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8B85967" w14:textId="77777777" w:rsidR="00181E01" w:rsidRDefault="00181E01" w:rsidP="0053748E">
      <w:pPr>
        <w:jc w:val="center"/>
        <w:rPr>
          <w:spacing w:val="80"/>
          <w:sz w:val="28"/>
        </w:rPr>
      </w:pPr>
    </w:p>
    <w:tbl>
      <w:tblPr>
        <w:tblStyle w:val="TableGrid"/>
        <w:tblW w:w="9000"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8DC63F"/>
        <w:tblLayout w:type="fixed"/>
        <w:tblCellMar>
          <w:left w:w="115" w:type="dxa"/>
          <w:right w:w="115" w:type="dxa"/>
        </w:tblCellMar>
        <w:tblLook w:val="04A0" w:firstRow="1" w:lastRow="0" w:firstColumn="1" w:lastColumn="0" w:noHBand="0" w:noVBand="1"/>
      </w:tblPr>
      <w:tblGrid>
        <w:gridCol w:w="9000"/>
      </w:tblGrid>
      <w:tr w:rsidR="000110D9" w:rsidRPr="00A841EC" w14:paraId="67BD4DD1" w14:textId="77777777" w:rsidTr="00BD221D">
        <w:trPr>
          <w:cantSplit/>
          <w:trHeight w:hRule="exact" w:val="1440"/>
          <w:jc w:val="right"/>
        </w:trPr>
        <w:tc>
          <w:tcPr>
            <w:tcW w:w="9000" w:type="dxa"/>
            <w:shd w:val="clear" w:color="auto" w:fill="8DC63F"/>
            <w:vAlign w:val="center"/>
          </w:tcPr>
          <w:p w14:paraId="3EF67A49" w14:textId="12E94914" w:rsidR="00BD221D" w:rsidRPr="00A841EC" w:rsidRDefault="00DC6BAC" w:rsidP="00BD221D">
            <w:pPr>
              <w:pStyle w:val="eTRMHeading1"/>
              <w:jc w:val="center"/>
              <w:rPr>
                <w:sz w:val="28"/>
              </w:rPr>
            </w:pPr>
            <w:r w:rsidRPr="00A841EC">
              <w:rPr>
                <w:sz w:val="28"/>
              </w:rPr>
              <w:t>HVAC</w:t>
            </w:r>
          </w:p>
          <w:p w14:paraId="5CA4091D" w14:textId="16F85766" w:rsidR="00BD221D" w:rsidRPr="00A841EC" w:rsidRDefault="00DC6BAC" w:rsidP="00B561EE">
            <w:pPr>
              <w:pStyle w:val="eTRMHeading2"/>
              <w:rPr>
                <w:color w:val="FFFFFF" w:themeColor="background1"/>
                <w:spacing w:val="60"/>
                <w:sz w:val="32"/>
              </w:rPr>
            </w:pPr>
            <w:r w:rsidRPr="00A841EC">
              <w:rPr>
                <w:color w:val="FFFFFF" w:themeColor="background1"/>
                <w:spacing w:val="60"/>
                <w:sz w:val="32"/>
              </w:rPr>
              <w:t>Gas fireplace</w:t>
            </w:r>
            <w:r w:rsidR="00B71280" w:rsidRPr="00A841EC">
              <w:rPr>
                <w:color w:val="FFFFFF" w:themeColor="background1"/>
                <w:spacing w:val="60"/>
                <w:sz w:val="32"/>
              </w:rPr>
              <w:t>, Residential</w:t>
            </w:r>
          </w:p>
          <w:p w14:paraId="10BE1877" w14:textId="20B2753A" w:rsidR="005044CA" w:rsidRPr="00A841EC" w:rsidRDefault="00585817" w:rsidP="00B561EE">
            <w:pPr>
              <w:pStyle w:val="eTRMHeading2"/>
              <w:rPr>
                <w:color w:val="FFFFFF" w:themeColor="background1"/>
                <w:spacing w:val="0"/>
                <w:sz w:val="28"/>
              </w:rPr>
            </w:pPr>
            <w:r w:rsidRPr="00A841EC">
              <w:rPr>
                <w:color w:val="FFFFFF" w:themeColor="background1"/>
                <w:spacing w:val="0"/>
                <w:sz w:val="28"/>
              </w:rPr>
              <w:t xml:space="preserve">SWHC047 </w:t>
            </w:r>
            <w:r w:rsidR="008C7CE6" w:rsidRPr="00A841EC">
              <w:rPr>
                <w:color w:val="FFFFFF" w:themeColor="background1"/>
                <w:spacing w:val="0"/>
                <w:sz w:val="28"/>
              </w:rPr>
              <w:t xml:space="preserve">- </w:t>
            </w:r>
            <w:r w:rsidR="005044CA" w:rsidRPr="00A841EC">
              <w:rPr>
                <w:color w:val="FFFFFF" w:themeColor="background1"/>
                <w:spacing w:val="0"/>
                <w:sz w:val="28"/>
              </w:rPr>
              <w:t>01</w:t>
            </w:r>
          </w:p>
        </w:tc>
      </w:tr>
    </w:tbl>
    <w:p w14:paraId="645F3ACB" w14:textId="77777777" w:rsidR="00BD221D" w:rsidRPr="00A841EC" w:rsidRDefault="00BD221D" w:rsidP="00BD221D"/>
    <w:p w14:paraId="31745A8D" w14:textId="45DC1270" w:rsidR="00D12B8C" w:rsidRPr="00A841EC" w:rsidRDefault="007E1F66" w:rsidP="0053748E">
      <w:pPr>
        <w:jc w:val="center"/>
        <w:rPr>
          <w:spacing w:val="80"/>
          <w:sz w:val="28"/>
        </w:rPr>
      </w:pPr>
      <w:r w:rsidRPr="00A841EC">
        <w:rPr>
          <w:spacing w:val="80"/>
          <w:sz w:val="28"/>
        </w:rPr>
        <w:t>CONTENTS</w:t>
      </w:r>
    </w:p>
    <w:p w14:paraId="2557C352" w14:textId="10B07D19" w:rsidR="00D16B89" w:rsidRPr="00A841EC" w:rsidRDefault="001C6C9B">
      <w:pPr>
        <w:pStyle w:val="TOC3"/>
        <w:rPr>
          <w:rFonts w:asciiTheme="minorHAnsi" w:hAnsiTheme="minorHAnsi"/>
          <w:noProof/>
          <w:szCs w:val="22"/>
        </w:rPr>
      </w:pPr>
      <w:r w:rsidRPr="00A841EC">
        <w:fldChar w:fldCharType="begin"/>
      </w:r>
      <w:r w:rsidRPr="00A841EC">
        <w:instrText xml:space="preserve"> TOC \t "eTRM Heading 3,3" </w:instrText>
      </w:r>
      <w:r w:rsidRPr="00A841EC">
        <w:fldChar w:fldCharType="separate"/>
      </w:r>
      <w:r w:rsidR="00D16B89" w:rsidRPr="00A841EC">
        <w:rPr>
          <w:noProof/>
        </w:rPr>
        <w:t>Measure Name</w:t>
      </w:r>
      <w:r w:rsidR="00D16B89" w:rsidRPr="00A841EC">
        <w:rPr>
          <w:noProof/>
        </w:rPr>
        <w:tab/>
      </w:r>
      <w:r w:rsidR="00D16B89" w:rsidRPr="00A841EC">
        <w:rPr>
          <w:noProof/>
        </w:rPr>
        <w:fldChar w:fldCharType="begin"/>
      </w:r>
      <w:r w:rsidR="00D16B89" w:rsidRPr="00A841EC">
        <w:rPr>
          <w:noProof/>
        </w:rPr>
        <w:instrText xml:space="preserve"> PAGEREF _Toc23836590 \h </w:instrText>
      </w:r>
      <w:r w:rsidR="00D16B89" w:rsidRPr="00A841EC">
        <w:rPr>
          <w:noProof/>
        </w:rPr>
      </w:r>
      <w:r w:rsidR="00D16B89" w:rsidRPr="00A841EC">
        <w:rPr>
          <w:noProof/>
        </w:rPr>
        <w:fldChar w:fldCharType="separate"/>
      </w:r>
      <w:r w:rsidR="00453433">
        <w:rPr>
          <w:noProof/>
        </w:rPr>
        <w:t>2</w:t>
      </w:r>
      <w:r w:rsidR="00D16B89" w:rsidRPr="00A841EC">
        <w:rPr>
          <w:noProof/>
        </w:rPr>
        <w:fldChar w:fldCharType="end"/>
      </w:r>
    </w:p>
    <w:p w14:paraId="32ECE14E" w14:textId="0C781C64" w:rsidR="00D16B89" w:rsidRPr="00A841EC" w:rsidRDefault="00D16B89">
      <w:pPr>
        <w:pStyle w:val="TOC3"/>
        <w:rPr>
          <w:rFonts w:asciiTheme="minorHAnsi" w:hAnsiTheme="minorHAnsi"/>
          <w:noProof/>
          <w:szCs w:val="22"/>
        </w:rPr>
      </w:pPr>
      <w:r w:rsidRPr="00A841EC">
        <w:rPr>
          <w:noProof/>
        </w:rPr>
        <w:t>Statewide Measure ID</w:t>
      </w:r>
      <w:r w:rsidRPr="00A841EC">
        <w:rPr>
          <w:noProof/>
        </w:rPr>
        <w:tab/>
      </w:r>
      <w:r w:rsidRPr="00A841EC">
        <w:rPr>
          <w:noProof/>
        </w:rPr>
        <w:fldChar w:fldCharType="begin"/>
      </w:r>
      <w:r w:rsidRPr="00A841EC">
        <w:rPr>
          <w:noProof/>
        </w:rPr>
        <w:instrText xml:space="preserve"> PAGEREF _Toc23836591 \h </w:instrText>
      </w:r>
      <w:r w:rsidRPr="00A841EC">
        <w:rPr>
          <w:noProof/>
        </w:rPr>
      </w:r>
      <w:r w:rsidRPr="00A841EC">
        <w:rPr>
          <w:noProof/>
        </w:rPr>
        <w:fldChar w:fldCharType="separate"/>
      </w:r>
      <w:r w:rsidR="00453433">
        <w:rPr>
          <w:noProof/>
        </w:rPr>
        <w:t>2</w:t>
      </w:r>
      <w:r w:rsidRPr="00A841EC">
        <w:rPr>
          <w:noProof/>
        </w:rPr>
        <w:fldChar w:fldCharType="end"/>
      </w:r>
    </w:p>
    <w:p w14:paraId="448C2FDF" w14:textId="6A4569FB" w:rsidR="00D16B89" w:rsidRPr="00A841EC" w:rsidRDefault="00D16B89">
      <w:pPr>
        <w:pStyle w:val="TOC3"/>
        <w:rPr>
          <w:rFonts w:asciiTheme="minorHAnsi" w:hAnsiTheme="minorHAnsi"/>
          <w:noProof/>
          <w:szCs w:val="22"/>
        </w:rPr>
      </w:pPr>
      <w:r w:rsidRPr="00A841EC">
        <w:rPr>
          <w:noProof/>
        </w:rPr>
        <w:t>Technology Summary</w:t>
      </w:r>
      <w:r w:rsidRPr="00A841EC">
        <w:rPr>
          <w:noProof/>
        </w:rPr>
        <w:tab/>
      </w:r>
      <w:r w:rsidRPr="00A841EC">
        <w:rPr>
          <w:noProof/>
        </w:rPr>
        <w:fldChar w:fldCharType="begin"/>
      </w:r>
      <w:r w:rsidRPr="00A841EC">
        <w:rPr>
          <w:noProof/>
        </w:rPr>
        <w:instrText xml:space="preserve"> PAGEREF _Toc23836592 \h </w:instrText>
      </w:r>
      <w:r w:rsidRPr="00A841EC">
        <w:rPr>
          <w:noProof/>
        </w:rPr>
      </w:r>
      <w:r w:rsidRPr="00A841EC">
        <w:rPr>
          <w:noProof/>
        </w:rPr>
        <w:fldChar w:fldCharType="separate"/>
      </w:r>
      <w:r w:rsidR="00453433">
        <w:rPr>
          <w:noProof/>
        </w:rPr>
        <w:t>2</w:t>
      </w:r>
      <w:r w:rsidRPr="00A841EC">
        <w:rPr>
          <w:noProof/>
        </w:rPr>
        <w:fldChar w:fldCharType="end"/>
      </w:r>
    </w:p>
    <w:p w14:paraId="5115633D" w14:textId="040AF613" w:rsidR="00D16B89" w:rsidRPr="00A841EC" w:rsidRDefault="00D16B89">
      <w:pPr>
        <w:pStyle w:val="TOC3"/>
        <w:rPr>
          <w:rFonts w:asciiTheme="minorHAnsi" w:hAnsiTheme="minorHAnsi"/>
          <w:noProof/>
          <w:szCs w:val="22"/>
        </w:rPr>
      </w:pPr>
      <w:r w:rsidRPr="00A841EC">
        <w:rPr>
          <w:noProof/>
        </w:rPr>
        <w:t>Measure Case Description</w:t>
      </w:r>
      <w:r w:rsidRPr="00A841EC">
        <w:rPr>
          <w:noProof/>
        </w:rPr>
        <w:tab/>
      </w:r>
      <w:r w:rsidRPr="00A841EC">
        <w:rPr>
          <w:noProof/>
        </w:rPr>
        <w:fldChar w:fldCharType="begin"/>
      </w:r>
      <w:r w:rsidRPr="00A841EC">
        <w:rPr>
          <w:noProof/>
        </w:rPr>
        <w:instrText xml:space="preserve"> PAGEREF _Toc23836593 \h </w:instrText>
      </w:r>
      <w:r w:rsidRPr="00A841EC">
        <w:rPr>
          <w:noProof/>
        </w:rPr>
      </w:r>
      <w:r w:rsidRPr="00A841EC">
        <w:rPr>
          <w:noProof/>
        </w:rPr>
        <w:fldChar w:fldCharType="separate"/>
      </w:r>
      <w:r w:rsidR="00453433">
        <w:rPr>
          <w:noProof/>
        </w:rPr>
        <w:t>5</w:t>
      </w:r>
      <w:r w:rsidRPr="00A841EC">
        <w:rPr>
          <w:noProof/>
        </w:rPr>
        <w:fldChar w:fldCharType="end"/>
      </w:r>
    </w:p>
    <w:p w14:paraId="3C8D0436" w14:textId="0C88DF80" w:rsidR="00D16B89" w:rsidRPr="00A841EC" w:rsidRDefault="00D16B89">
      <w:pPr>
        <w:pStyle w:val="TOC3"/>
        <w:rPr>
          <w:rFonts w:asciiTheme="minorHAnsi" w:hAnsiTheme="minorHAnsi"/>
          <w:noProof/>
          <w:szCs w:val="22"/>
        </w:rPr>
      </w:pPr>
      <w:r w:rsidRPr="00A841EC">
        <w:rPr>
          <w:noProof/>
        </w:rPr>
        <w:t>Base Case Description</w:t>
      </w:r>
      <w:r w:rsidRPr="00A841EC">
        <w:rPr>
          <w:noProof/>
        </w:rPr>
        <w:tab/>
      </w:r>
      <w:r w:rsidRPr="00A841EC">
        <w:rPr>
          <w:noProof/>
        </w:rPr>
        <w:fldChar w:fldCharType="begin"/>
      </w:r>
      <w:r w:rsidRPr="00A841EC">
        <w:rPr>
          <w:noProof/>
        </w:rPr>
        <w:instrText xml:space="preserve"> PAGEREF _Toc23836594 \h </w:instrText>
      </w:r>
      <w:r w:rsidRPr="00A841EC">
        <w:rPr>
          <w:noProof/>
        </w:rPr>
      </w:r>
      <w:r w:rsidRPr="00A841EC">
        <w:rPr>
          <w:noProof/>
        </w:rPr>
        <w:fldChar w:fldCharType="separate"/>
      </w:r>
      <w:r w:rsidR="00453433">
        <w:rPr>
          <w:noProof/>
        </w:rPr>
        <w:t>5</w:t>
      </w:r>
      <w:r w:rsidRPr="00A841EC">
        <w:rPr>
          <w:noProof/>
        </w:rPr>
        <w:fldChar w:fldCharType="end"/>
      </w:r>
    </w:p>
    <w:p w14:paraId="08E7586C" w14:textId="77105370" w:rsidR="00D16B89" w:rsidRPr="00A841EC" w:rsidRDefault="00D16B89">
      <w:pPr>
        <w:pStyle w:val="TOC3"/>
        <w:rPr>
          <w:rFonts w:asciiTheme="minorHAnsi" w:hAnsiTheme="minorHAnsi"/>
          <w:noProof/>
          <w:szCs w:val="22"/>
        </w:rPr>
      </w:pPr>
      <w:r w:rsidRPr="00A841EC">
        <w:rPr>
          <w:noProof/>
        </w:rPr>
        <w:t>Code Requirements</w:t>
      </w:r>
      <w:r w:rsidRPr="00A841EC">
        <w:rPr>
          <w:noProof/>
        </w:rPr>
        <w:tab/>
      </w:r>
      <w:r w:rsidRPr="00A841EC">
        <w:rPr>
          <w:noProof/>
        </w:rPr>
        <w:fldChar w:fldCharType="begin"/>
      </w:r>
      <w:r w:rsidRPr="00A841EC">
        <w:rPr>
          <w:noProof/>
        </w:rPr>
        <w:instrText xml:space="preserve"> PAGEREF _Toc23836595 \h </w:instrText>
      </w:r>
      <w:r w:rsidRPr="00A841EC">
        <w:rPr>
          <w:noProof/>
        </w:rPr>
      </w:r>
      <w:r w:rsidRPr="00A841EC">
        <w:rPr>
          <w:noProof/>
        </w:rPr>
        <w:fldChar w:fldCharType="separate"/>
      </w:r>
      <w:r w:rsidR="00453433">
        <w:rPr>
          <w:noProof/>
        </w:rPr>
        <w:t>6</w:t>
      </w:r>
      <w:r w:rsidRPr="00A841EC">
        <w:rPr>
          <w:noProof/>
        </w:rPr>
        <w:fldChar w:fldCharType="end"/>
      </w:r>
    </w:p>
    <w:p w14:paraId="2E37E1AE" w14:textId="53BAF2C0" w:rsidR="00D16B89" w:rsidRPr="00A841EC" w:rsidRDefault="00D16B89">
      <w:pPr>
        <w:pStyle w:val="TOC3"/>
        <w:rPr>
          <w:rFonts w:asciiTheme="minorHAnsi" w:hAnsiTheme="minorHAnsi"/>
          <w:noProof/>
          <w:szCs w:val="22"/>
        </w:rPr>
      </w:pPr>
      <w:r w:rsidRPr="00A841EC">
        <w:rPr>
          <w:noProof/>
        </w:rPr>
        <w:t>Normalizing Unit</w:t>
      </w:r>
      <w:r w:rsidRPr="00A841EC">
        <w:rPr>
          <w:noProof/>
        </w:rPr>
        <w:tab/>
      </w:r>
      <w:r w:rsidRPr="00A841EC">
        <w:rPr>
          <w:noProof/>
        </w:rPr>
        <w:fldChar w:fldCharType="begin"/>
      </w:r>
      <w:r w:rsidRPr="00A841EC">
        <w:rPr>
          <w:noProof/>
        </w:rPr>
        <w:instrText xml:space="preserve"> PAGEREF _Toc23836596 \h </w:instrText>
      </w:r>
      <w:r w:rsidRPr="00A841EC">
        <w:rPr>
          <w:noProof/>
        </w:rPr>
      </w:r>
      <w:r w:rsidRPr="00A841EC">
        <w:rPr>
          <w:noProof/>
        </w:rPr>
        <w:fldChar w:fldCharType="separate"/>
      </w:r>
      <w:r w:rsidR="00453433">
        <w:rPr>
          <w:noProof/>
        </w:rPr>
        <w:t>9</w:t>
      </w:r>
      <w:r w:rsidRPr="00A841EC">
        <w:rPr>
          <w:noProof/>
        </w:rPr>
        <w:fldChar w:fldCharType="end"/>
      </w:r>
    </w:p>
    <w:p w14:paraId="30D99DC3" w14:textId="798A3DCA" w:rsidR="00D16B89" w:rsidRPr="00A841EC" w:rsidRDefault="00D16B89">
      <w:pPr>
        <w:pStyle w:val="TOC3"/>
        <w:rPr>
          <w:rFonts w:asciiTheme="minorHAnsi" w:hAnsiTheme="minorHAnsi"/>
          <w:noProof/>
          <w:szCs w:val="22"/>
        </w:rPr>
      </w:pPr>
      <w:r w:rsidRPr="00A841EC">
        <w:rPr>
          <w:noProof/>
        </w:rPr>
        <w:t>Program Requirements</w:t>
      </w:r>
      <w:r w:rsidRPr="00A841EC">
        <w:rPr>
          <w:noProof/>
        </w:rPr>
        <w:tab/>
      </w:r>
      <w:r w:rsidRPr="00A841EC">
        <w:rPr>
          <w:noProof/>
        </w:rPr>
        <w:fldChar w:fldCharType="begin"/>
      </w:r>
      <w:r w:rsidRPr="00A841EC">
        <w:rPr>
          <w:noProof/>
        </w:rPr>
        <w:instrText xml:space="preserve"> PAGEREF _Toc23836597 \h </w:instrText>
      </w:r>
      <w:r w:rsidRPr="00A841EC">
        <w:rPr>
          <w:noProof/>
        </w:rPr>
      </w:r>
      <w:r w:rsidRPr="00A841EC">
        <w:rPr>
          <w:noProof/>
        </w:rPr>
        <w:fldChar w:fldCharType="separate"/>
      </w:r>
      <w:r w:rsidR="00453433">
        <w:rPr>
          <w:noProof/>
        </w:rPr>
        <w:t>9</w:t>
      </w:r>
      <w:r w:rsidRPr="00A841EC">
        <w:rPr>
          <w:noProof/>
        </w:rPr>
        <w:fldChar w:fldCharType="end"/>
      </w:r>
    </w:p>
    <w:p w14:paraId="27861B9B" w14:textId="63703BE6" w:rsidR="00D16B89" w:rsidRPr="00A841EC" w:rsidRDefault="00D16B89">
      <w:pPr>
        <w:pStyle w:val="TOC3"/>
        <w:rPr>
          <w:rFonts w:asciiTheme="minorHAnsi" w:hAnsiTheme="minorHAnsi"/>
          <w:noProof/>
          <w:szCs w:val="22"/>
        </w:rPr>
      </w:pPr>
      <w:r w:rsidRPr="00A841EC">
        <w:rPr>
          <w:noProof/>
        </w:rPr>
        <w:t>Program Exclusions</w:t>
      </w:r>
      <w:r w:rsidRPr="00A841EC">
        <w:rPr>
          <w:noProof/>
        </w:rPr>
        <w:tab/>
      </w:r>
      <w:r w:rsidRPr="00A841EC">
        <w:rPr>
          <w:noProof/>
        </w:rPr>
        <w:fldChar w:fldCharType="begin"/>
      </w:r>
      <w:r w:rsidRPr="00A841EC">
        <w:rPr>
          <w:noProof/>
        </w:rPr>
        <w:instrText xml:space="preserve"> PAGEREF _Toc23836598 \h </w:instrText>
      </w:r>
      <w:r w:rsidRPr="00A841EC">
        <w:rPr>
          <w:noProof/>
        </w:rPr>
      </w:r>
      <w:r w:rsidRPr="00A841EC">
        <w:rPr>
          <w:noProof/>
        </w:rPr>
        <w:fldChar w:fldCharType="separate"/>
      </w:r>
      <w:r w:rsidR="00453433">
        <w:rPr>
          <w:noProof/>
        </w:rPr>
        <w:t>10</w:t>
      </w:r>
      <w:r w:rsidRPr="00A841EC">
        <w:rPr>
          <w:noProof/>
        </w:rPr>
        <w:fldChar w:fldCharType="end"/>
      </w:r>
    </w:p>
    <w:p w14:paraId="5EDDD403" w14:textId="77193C2D" w:rsidR="00D16B89" w:rsidRPr="00A841EC" w:rsidRDefault="00D16B89">
      <w:pPr>
        <w:pStyle w:val="TOC3"/>
        <w:rPr>
          <w:rFonts w:asciiTheme="minorHAnsi" w:hAnsiTheme="minorHAnsi"/>
          <w:noProof/>
          <w:szCs w:val="22"/>
        </w:rPr>
      </w:pPr>
      <w:r w:rsidRPr="00A841EC">
        <w:rPr>
          <w:noProof/>
        </w:rPr>
        <w:t>Data Collection Requirements</w:t>
      </w:r>
      <w:r w:rsidRPr="00A841EC">
        <w:rPr>
          <w:noProof/>
        </w:rPr>
        <w:tab/>
      </w:r>
      <w:r w:rsidRPr="00A841EC">
        <w:rPr>
          <w:noProof/>
        </w:rPr>
        <w:fldChar w:fldCharType="begin"/>
      </w:r>
      <w:r w:rsidRPr="00A841EC">
        <w:rPr>
          <w:noProof/>
        </w:rPr>
        <w:instrText xml:space="preserve"> PAGEREF _Toc23836599 \h </w:instrText>
      </w:r>
      <w:r w:rsidRPr="00A841EC">
        <w:rPr>
          <w:noProof/>
        </w:rPr>
      </w:r>
      <w:r w:rsidRPr="00A841EC">
        <w:rPr>
          <w:noProof/>
        </w:rPr>
        <w:fldChar w:fldCharType="separate"/>
      </w:r>
      <w:r w:rsidR="00453433">
        <w:rPr>
          <w:noProof/>
        </w:rPr>
        <w:t>11</w:t>
      </w:r>
      <w:r w:rsidRPr="00A841EC">
        <w:rPr>
          <w:noProof/>
        </w:rPr>
        <w:fldChar w:fldCharType="end"/>
      </w:r>
    </w:p>
    <w:p w14:paraId="7F1B5499" w14:textId="470B7B7D" w:rsidR="00D16B89" w:rsidRPr="00A841EC" w:rsidRDefault="00D16B89">
      <w:pPr>
        <w:pStyle w:val="TOC3"/>
        <w:rPr>
          <w:rFonts w:asciiTheme="minorHAnsi" w:hAnsiTheme="minorHAnsi"/>
          <w:noProof/>
          <w:szCs w:val="22"/>
        </w:rPr>
      </w:pPr>
      <w:r w:rsidRPr="00A841EC">
        <w:rPr>
          <w:noProof/>
        </w:rPr>
        <w:t>Use Category</w:t>
      </w:r>
      <w:r w:rsidRPr="00A841EC">
        <w:rPr>
          <w:noProof/>
        </w:rPr>
        <w:tab/>
      </w:r>
      <w:r w:rsidRPr="00A841EC">
        <w:rPr>
          <w:noProof/>
        </w:rPr>
        <w:fldChar w:fldCharType="begin"/>
      </w:r>
      <w:r w:rsidRPr="00A841EC">
        <w:rPr>
          <w:noProof/>
        </w:rPr>
        <w:instrText xml:space="preserve"> PAGEREF _Toc23836600 \h </w:instrText>
      </w:r>
      <w:r w:rsidRPr="00A841EC">
        <w:rPr>
          <w:noProof/>
        </w:rPr>
      </w:r>
      <w:r w:rsidRPr="00A841EC">
        <w:rPr>
          <w:noProof/>
        </w:rPr>
        <w:fldChar w:fldCharType="separate"/>
      </w:r>
      <w:r w:rsidR="00453433">
        <w:rPr>
          <w:noProof/>
        </w:rPr>
        <w:t>11</w:t>
      </w:r>
      <w:r w:rsidRPr="00A841EC">
        <w:rPr>
          <w:noProof/>
        </w:rPr>
        <w:fldChar w:fldCharType="end"/>
      </w:r>
    </w:p>
    <w:p w14:paraId="568965CB" w14:textId="2F2F1E04" w:rsidR="00D16B89" w:rsidRPr="00A841EC" w:rsidRDefault="00D16B89">
      <w:pPr>
        <w:pStyle w:val="TOC3"/>
        <w:rPr>
          <w:rFonts w:asciiTheme="minorHAnsi" w:hAnsiTheme="minorHAnsi"/>
          <w:noProof/>
          <w:szCs w:val="22"/>
        </w:rPr>
      </w:pPr>
      <w:r w:rsidRPr="00A841EC">
        <w:rPr>
          <w:noProof/>
        </w:rPr>
        <w:t>Electric Savings (kWh)</w:t>
      </w:r>
      <w:r w:rsidRPr="00A841EC">
        <w:rPr>
          <w:noProof/>
        </w:rPr>
        <w:tab/>
      </w:r>
      <w:r w:rsidRPr="00A841EC">
        <w:rPr>
          <w:noProof/>
        </w:rPr>
        <w:fldChar w:fldCharType="begin"/>
      </w:r>
      <w:r w:rsidRPr="00A841EC">
        <w:rPr>
          <w:noProof/>
        </w:rPr>
        <w:instrText xml:space="preserve"> PAGEREF _Toc23836601 \h </w:instrText>
      </w:r>
      <w:r w:rsidRPr="00A841EC">
        <w:rPr>
          <w:noProof/>
        </w:rPr>
      </w:r>
      <w:r w:rsidRPr="00A841EC">
        <w:rPr>
          <w:noProof/>
        </w:rPr>
        <w:fldChar w:fldCharType="separate"/>
      </w:r>
      <w:r w:rsidR="00453433">
        <w:rPr>
          <w:noProof/>
        </w:rPr>
        <w:t>11</w:t>
      </w:r>
      <w:r w:rsidRPr="00A841EC">
        <w:rPr>
          <w:noProof/>
        </w:rPr>
        <w:fldChar w:fldCharType="end"/>
      </w:r>
    </w:p>
    <w:p w14:paraId="70131275" w14:textId="21407150" w:rsidR="00D16B89" w:rsidRPr="00A841EC" w:rsidRDefault="00D16B89">
      <w:pPr>
        <w:pStyle w:val="TOC3"/>
        <w:rPr>
          <w:rFonts w:asciiTheme="minorHAnsi" w:hAnsiTheme="minorHAnsi"/>
          <w:noProof/>
          <w:szCs w:val="22"/>
        </w:rPr>
      </w:pPr>
      <w:r w:rsidRPr="00A841EC">
        <w:rPr>
          <w:noProof/>
        </w:rPr>
        <w:t>Peak Electric Demand Reduction (kW)</w:t>
      </w:r>
      <w:r w:rsidRPr="00A841EC">
        <w:rPr>
          <w:noProof/>
        </w:rPr>
        <w:tab/>
      </w:r>
      <w:r w:rsidRPr="00A841EC">
        <w:rPr>
          <w:noProof/>
        </w:rPr>
        <w:fldChar w:fldCharType="begin"/>
      </w:r>
      <w:r w:rsidRPr="00A841EC">
        <w:rPr>
          <w:noProof/>
        </w:rPr>
        <w:instrText xml:space="preserve"> PAGEREF _Toc23836602 \h </w:instrText>
      </w:r>
      <w:r w:rsidRPr="00A841EC">
        <w:rPr>
          <w:noProof/>
        </w:rPr>
      </w:r>
      <w:r w:rsidRPr="00A841EC">
        <w:rPr>
          <w:noProof/>
        </w:rPr>
        <w:fldChar w:fldCharType="separate"/>
      </w:r>
      <w:r w:rsidR="00453433">
        <w:rPr>
          <w:noProof/>
        </w:rPr>
        <w:t>11</w:t>
      </w:r>
      <w:r w:rsidRPr="00A841EC">
        <w:rPr>
          <w:noProof/>
        </w:rPr>
        <w:fldChar w:fldCharType="end"/>
      </w:r>
    </w:p>
    <w:p w14:paraId="26B7FA0F" w14:textId="1F3B9AE5" w:rsidR="00D16B89" w:rsidRPr="00A841EC" w:rsidRDefault="00D16B89">
      <w:pPr>
        <w:pStyle w:val="TOC3"/>
        <w:rPr>
          <w:rFonts w:asciiTheme="minorHAnsi" w:hAnsiTheme="minorHAnsi"/>
          <w:noProof/>
          <w:szCs w:val="22"/>
        </w:rPr>
      </w:pPr>
      <w:r w:rsidRPr="00A841EC">
        <w:rPr>
          <w:noProof/>
        </w:rPr>
        <w:t>Gas Savings (Therms)</w:t>
      </w:r>
      <w:r w:rsidRPr="00A841EC">
        <w:rPr>
          <w:noProof/>
        </w:rPr>
        <w:tab/>
      </w:r>
      <w:r w:rsidRPr="00A841EC">
        <w:rPr>
          <w:noProof/>
        </w:rPr>
        <w:fldChar w:fldCharType="begin"/>
      </w:r>
      <w:r w:rsidRPr="00A841EC">
        <w:rPr>
          <w:noProof/>
        </w:rPr>
        <w:instrText xml:space="preserve"> PAGEREF _Toc23836603 \h </w:instrText>
      </w:r>
      <w:r w:rsidRPr="00A841EC">
        <w:rPr>
          <w:noProof/>
        </w:rPr>
      </w:r>
      <w:r w:rsidRPr="00A841EC">
        <w:rPr>
          <w:noProof/>
        </w:rPr>
        <w:fldChar w:fldCharType="separate"/>
      </w:r>
      <w:r w:rsidR="00453433">
        <w:rPr>
          <w:noProof/>
        </w:rPr>
        <w:t>11</w:t>
      </w:r>
      <w:r w:rsidRPr="00A841EC">
        <w:rPr>
          <w:noProof/>
        </w:rPr>
        <w:fldChar w:fldCharType="end"/>
      </w:r>
    </w:p>
    <w:p w14:paraId="7B00C61F" w14:textId="6738F747" w:rsidR="00D16B89" w:rsidRPr="00A841EC" w:rsidRDefault="00D16B89">
      <w:pPr>
        <w:pStyle w:val="TOC3"/>
        <w:rPr>
          <w:rFonts w:asciiTheme="minorHAnsi" w:hAnsiTheme="minorHAnsi"/>
          <w:noProof/>
          <w:szCs w:val="22"/>
        </w:rPr>
      </w:pPr>
      <w:r w:rsidRPr="00A841EC">
        <w:rPr>
          <w:noProof/>
        </w:rPr>
        <w:t>Life Cycle</w:t>
      </w:r>
      <w:r w:rsidRPr="00A841EC">
        <w:rPr>
          <w:noProof/>
        </w:rPr>
        <w:tab/>
      </w:r>
      <w:r w:rsidRPr="00A841EC">
        <w:rPr>
          <w:noProof/>
        </w:rPr>
        <w:fldChar w:fldCharType="begin"/>
      </w:r>
      <w:r w:rsidRPr="00A841EC">
        <w:rPr>
          <w:noProof/>
        </w:rPr>
        <w:instrText xml:space="preserve"> PAGEREF _Toc23836604 \h </w:instrText>
      </w:r>
      <w:r w:rsidRPr="00A841EC">
        <w:rPr>
          <w:noProof/>
        </w:rPr>
      </w:r>
      <w:r w:rsidRPr="00A841EC">
        <w:rPr>
          <w:noProof/>
        </w:rPr>
        <w:fldChar w:fldCharType="separate"/>
      </w:r>
      <w:r w:rsidR="00453433">
        <w:rPr>
          <w:noProof/>
        </w:rPr>
        <w:t>18</w:t>
      </w:r>
      <w:r w:rsidRPr="00A841EC">
        <w:rPr>
          <w:noProof/>
        </w:rPr>
        <w:fldChar w:fldCharType="end"/>
      </w:r>
    </w:p>
    <w:p w14:paraId="67BD87B3" w14:textId="52928D8C" w:rsidR="00D16B89" w:rsidRPr="00A841EC" w:rsidRDefault="00D16B89">
      <w:pPr>
        <w:pStyle w:val="TOC3"/>
        <w:rPr>
          <w:rFonts w:asciiTheme="minorHAnsi" w:hAnsiTheme="minorHAnsi"/>
          <w:noProof/>
          <w:szCs w:val="22"/>
        </w:rPr>
      </w:pPr>
      <w:r w:rsidRPr="00A841EC">
        <w:rPr>
          <w:noProof/>
        </w:rPr>
        <w:t>Base Case Material Cost ($/unit)</w:t>
      </w:r>
      <w:r w:rsidRPr="00A841EC">
        <w:rPr>
          <w:noProof/>
        </w:rPr>
        <w:tab/>
      </w:r>
      <w:r w:rsidRPr="00A841EC">
        <w:rPr>
          <w:noProof/>
        </w:rPr>
        <w:fldChar w:fldCharType="begin"/>
      </w:r>
      <w:r w:rsidRPr="00A841EC">
        <w:rPr>
          <w:noProof/>
        </w:rPr>
        <w:instrText xml:space="preserve"> PAGEREF _Toc23836605 \h </w:instrText>
      </w:r>
      <w:r w:rsidRPr="00A841EC">
        <w:rPr>
          <w:noProof/>
        </w:rPr>
      </w:r>
      <w:r w:rsidRPr="00A841EC">
        <w:rPr>
          <w:noProof/>
        </w:rPr>
        <w:fldChar w:fldCharType="separate"/>
      </w:r>
      <w:r w:rsidR="00453433">
        <w:rPr>
          <w:noProof/>
        </w:rPr>
        <w:t>19</w:t>
      </w:r>
      <w:r w:rsidRPr="00A841EC">
        <w:rPr>
          <w:noProof/>
        </w:rPr>
        <w:fldChar w:fldCharType="end"/>
      </w:r>
    </w:p>
    <w:p w14:paraId="6D0BC25B" w14:textId="390D1B6E" w:rsidR="00D16B89" w:rsidRPr="00A841EC" w:rsidRDefault="00D16B89">
      <w:pPr>
        <w:pStyle w:val="TOC3"/>
        <w:rPr>
          <w:rFonts w:asciiTheme="minorHAnsi" w:hAnsiTheme="minorHAnsi"/>
          <w:noProof/>
          <w:szCs w:val="22"/>
        </w:rPr>
      </w:pPr>
      <w:r w:rsidRPr="00A841EC">
        <w:rPr>
          <w:noProof/>
        </w:rPr>
        <w:t>Measure Case Material Cost ($/unit)</w:t>
      </w:r>
      <w:r w:rsidRPr="00A841EC">
        <w:rPr>
          <w:noProof/>
        </w:rPr>
        <w:tab/>
      </w:r>
      <w:r w:rsidRPr="00A841EC">
        <w:rPr>
          <w:noProof/>
        </w:rPr>
        <w:fldChar w:fldCharType="begin"/>
      </w:r>
      <w:r w:rsidRPr="00A841EC">
        <w:rPr>
          <w:noProof/>
        </w:rPr>
        <w:instrText xml:space="preserve"> PAGEREF _Toc23836606 \h </w:instrText>
      </w:r>
      <w:r w:rsidRPr="00A841EC">
        <w:rPr>
          <w:noProof/>
        </w:rPr>
      </w:r>
      <w:r w:rsidRPr="00A841EC">
        <w:rPr>
          <w:noProof/>
        </w:rPr>
        <w:fldChar w:fldCharType="separate"/>
      </w:r>
      <w:r w:rsidR="00453433">
        <w:rPr>
          <w:noProof/>
        </w:rPr>
        <w:t>20</w:t>
      </w:r>
      <w:r w:rsidRPr="00A841EC">
        <w:rPr>
          <w:noProof/>
        </w:rPr>
        <w:fldChar w:fldCharType="end"/>
      </w:r>
    </w:p>
    <w:p w14:paraId="772BFF36" w14:textId="69EA5DD4" w:rsidR="00D16B89" w:rsidRPr="00A841EC" w:rsidRDefault="00D16B89">
      <w:pPr>
        <w:pStyle w:val="TOC3"/>
        <w:rPr>
          <w:rFonts w:asciiTheme="minorHAnsi" w:hAnsiTheme="minorHAnsi"/>
          <w:noProof/>
          <w:szCs w:val="22"/>
        </w:rPr>
      </w:pPr>
      <w:r w:rsidRPr="00A841EC">
        <w:rPr>
          <w:noProof/>
        </w:rPr>
        <w:t>Base Case Labor Cost ($/unit)</w:t>
      </w:r>
      <w:r w:rsidRPr="00A841EC">
        <w:rPr>
          <w:noProof/>
        </w:rPr>
        <w:tab/>
      </w:r>
      <w:r w:rsidRPr="00A841EC">
        <w:rPr>
          <w:noProof/>
        </w:rPr>
        <w:fldChar w:fldCharType="begin"/>
      </w:r>
      <w:r w:rsidRPr="00A841EC">
        <w:rPr>
          <w:noProof/>
        </w:rPr>
        <w:instrText xml:space="preserve"> PAGEREF _Toc23836607 \h </w:instrText>
      </w:r>
      <w:r w:rsidRPr="00A841EC">
        <w:rPr>
          <w:noProof/>
        </w:rPr>
      </w:r>
      <w:r w:rsidRPr="00A841EC">
        <w:rPr>
          <w:noProof/>
        </w:rPr>
        <w:fldChar w:fldCharType="separate"/>
      </w:r>
      <w:r w:rsidR="00453433">
        <w:rPr>
          <w:noProof/>
        </w:rPr>
        <w:t>20</w:t>
      </w:r>
      <w:r w:rsidRPr="00A841EC">
        <w:rPr>
          <w:noProof/>
        </w:rPr>
        <w:fldChar w:fldCharType="end"/>
      </w:r>
    </w:p>
    <w:p w14:paraId="6DEAB905" w14:textId="2E4659ED" w:rsidR="00D16B89" w:rsidRPr="00A841EC" w:rsidRDefault="00D16B89">
      <w:pPr>
        <w:pStyle w:val="TOC3"/>
        <w:rPr>
          <w:rFonts w:asciiTheme="minorHAnsi" w:hAnsiTheme="minorHAnsi"/>
          <w:noProof/>
          <w:szCs w:val="22"/>
        </w:rPr>
      </w:pPr>
      <w:r w:rsidRPr="00A841EC">
        <w:rPr>
          <w:noProof/>
        </w:rPr>
        <w:t>Measure Case Labor Cost ($/unit)</w:t>
      </w:r>
      <w:r w:rsidRPr="00A841EC">
        <w:rPr>
          <w:noProof/>
        </w:rPr>
        <w:tab/>
      </w:r>
      <w:r w:rsidRPr="00A841EC">
        <w:rPr>
          <w:noProof/>
        </w:rPr>
        <w:fldChar w:fldCharType="begin"/>
      </w:r>
      <w:r w:rsidRPr="00A841EC">
        <w:rPr>
          <w:noProof/>
        </w:rPr>
        <w:instrText xml:space="preserve"> PAGEREF _Toc23836608 \h </w:instrText>
      </w:r>
      <w:r w:rsidRPr="00A841EC">
        <w:rPr>
          <w:noProof/>
        </w:rPr>
      </w:r>
      <w:r w:rsidRPr="00A841EC">
        <w:rPr>
          <w:noProof/>
        </w:rPr>
        <w:fldChar w:fldCharType="separate"/>
      </w:r>
      <w:r w:rsidR="00453433">
        <w:rPr>
          <w:noProof/>
        </w:rPr>
        <w:t>21</w:t>
      </w:r>
      <w:r w:rsidRPr="00A841EC">
        <w:rPr>
          <w:noProof/>
        </w:rPr>
        <w:fldChar w:fldCharType="end"/>
      </w:r>
    </w:p>
    <w:p w14:paraId="60C8DF23" w14:textId="56368AB6" w:rsidR="00D16B89" w:rsidRPr="00A841EC" w:rsidRDefault="00D16B89">
      <w:pPr>
        <w:pStyle w:val="TOC3"/>
        <w:rPr>
          <w:rFonts w:asciiTheme="minorHAnsi" w:hAnsiTheme="minorHAnsi"/>
          <w:noProof/>
          <w:szCs w:val="22"/>
        </w:rPr>
      </w:pPr>
      <w:r w:rsidRPr="00A841EC">
        <w:rPr>
          <w:noProof/>
        </w:rPr>
        <w:t>Net-to-Gross (NTG)</w:t>
      </w:r>
      <w:r w:rsidRPr="00A841EC">
        <w:rPr>
          <w:noProof/>
        </w:rPr>
        <w:tab/>
      </w:r>
      <w:r w:rsidRPr="00A841EC">
        <w:rPr>
          <w:noProof/>
        </w:rPr>
        <w:fldChar w:fldCharType="begin"/>
      </w:r>
      <w:r w:rsidRPr="00A841EC">
        <w:rPr>
          <w:noProof/>
        </w:rPr>
        <w:instrText xml:space="preserve"> PAGEREF _Toc23836610 \h </w:instrText>
      </w:r>
      <w:r w:rsidRPr="00A841EC">
        <w:rPr>
          <w:noProof/>
        </w:rPr>
      </w:r>
      <w:r w:rsidRPr="00A841EC">
        <w:rPr>
          <w:noProof/>
        </w:rPr>
        <w:fldChar w:fldCharType="separate"/>
      </w:r>
      <w:r w:rsidR="00453433">
        <w:rPr>
          <w:noProof/>
        </w:rPr>
        <w:t>21</w:t>
      </w:r>
      <w:r w:rsidRPr="00A841EC">
        <w:rPr>
          <w:noProof/>
        </w:rPr>
        <w:fldChar w:fldCharType="end"/>
      </w:r>
    </w:p>
    <w:p w14:paraId="15253854" w14:textId="5957F710" w:rsidR="00D16B89" w:rsidRPr="00A841EC" w:rsidRDefault="00D16B89">
      <w:pPr>
        <w:pStyle w:val="TOC3"/>
        <w:rPr>
          <w:rFonts w:asciiTheme="minorHAnsi" w:hAnsiTheme="minorHAnsi"/>
          <w:noProof/>
          <w:szCs w:val="22"/>
        </w:rPr>
      </w:pPr>
      <w:r w:rsidRPr="00A841EC">
        <w:rPr>
          <w:noProof/>
        </w:rPr>
        <w:t>Gross Savings Installation Adjustment (GSIA)</w:t>
      </w:r>
      <w:r w:rsidRPr="00A841EC">
        <w:rPr>
          <w:noProof/>
        </w:rPr>
        <w:tab/>
      </w:r>
      <w:r w:rsidRPr="00A841EC">
        <w:rPr>
          <w:noProof/>
        </w:rPr>
        <w:fldChar w:fldCharType="begin"/>
      </w:r>
      <w:r w:rsidRPr="00A841EC">
        <w:rPr>
          <w:noProof/>
        </w:rPr>
        <w:instrText xml:space="preserve"> PAGEREF _Toc23836611 \h </w:instrText>
      </w:r>
      <w:r w:rsidRPr="00A841EC">
        <w:rPr>
          <w:noProof/>
        </w:rPr>
      </w:r>
      <w:r w:rsidRPr="00A841EC">
        <w:rPr>
          <w:noProof/>
        </w:rPr>
        <w:fldChar w:fldCharType="separate"/>
      </w:r>
      <w:r w:rsidR="00453433">
        <w:rPr>
          <w:noProof/>
        </w:rPr>
        <w:t>21</w:t>
      </w:r>
      <w:r w:rsidRPr="00A841EC">
        <w:rPr>
          <w:noProof/>
        </w:rPr>
        <w:fldChar w:fldCharType="end"/>
      </w:r>
    </w:p>
    <w:p w14:paraId="4FEEB699" w14:textId="1298544D" w:rsidR="00D16B89" w:rsidRPr="00A841EC" w:rsidRDefault="00D16B89">
      <w:pPr>
        <w:pStyle w:val="TOC3"/>
        <w:rPr>
          <w:rFonts w:asciiTheme="minorHAnsi" w:hAnsiTheme="minorHAnsi"/>
          <w:noProof/>
          <w:szCs w:val="22"/>
        </w:rPr>
      </w:pPr>
      <w:r w:rsidRPr="00A841EC">
        <w:rPr>
          <w:noProof/>
        </w:rPr>
        <w:t>Non-Energy Impacts</w:t>
      </w:r>
      <w:r w:rsidRPr="00A841EC">
        <w:rPr>
          <w:noProof/>
        </w:rPr>
        <w:tab/>
      </w:r>
      <w:r w:rsidRPr="00A841EC">
        <w:rPr>
          <w:noProof/>
        </w:rPr>
        <w:fldChar w:fldCharType="begin"/>
      </w:r>
      <w:r w:rsidRPr="00A841EC">
        <w:rPr>
          <w:noProof/>
        </w:rPr>
        <w:instrText xml:space="preserve"> PAGEREF _Toc23836612 \h </w:instrText>
      </w:r>
      <w:r w:rsidRPr="00A841EC">
        <w:rPr>
          <w:noProof/>
        </w:rPr>
      </w:r>
      <w:r w:rsidRPr="00A841EC">
        <w:rPr>
          <w:noProof/>
        </w:rPr>
        <w:fldChar w:fldCharType="separate"/>
      </w:r>
      <w:r w:rsidR="00453433">
        <w:rPr>
          <w:noProof/>
        </w:rPr>
        <w:t>21</w:t>
      </w:r>
      <w:r w:rsidRPr="00A841EC">
        <w:rPr>
          <w:noProof/>
        </w:rPr>
        <w:fldChar w:fldCharType="end"/>
      </w:r>
    </w:p>
    <w:p w14:paraId="13DFDB62" w14:textId="49167940" w:rsidR="00D16B89" w:rsidRPr="00A841EC" w:rsidRDefault="00D16B89">
      <w:pPr>
        <w:pStyle w:val="TOC3"/>
        <w:rPr>
          <w:rFonts w:asciiTheme="minorHAnsi" w:hAnsiTheme="minorHAnsi"/>
          <w:noProof/>
          <w:szCs w:val="22"/>
        </w:rPr>
      </w:pPr>
      <w:r w:rsidRPr="00A841EC">
        <w:rPr>
          <w:noProof/>
        </w:rPr>
        <w:t>DEER Differences Analysis</w:t>
      </w:r>
      <w:r w:rsidRPr="00A841EC">
        <w:rPr>
          <w:noProof/>
        </w:rPr>
        <w:tab/>
      </w:r>
      <w:r w:rsidRPr="00A841EC">
        <w:rPr>
          <w:noProof/>
        </w:rPr>
        <w:fldChar w:fldCharType="begin"/>
      </w:r>
      <w:r w:rsidRPr="00A841EC">
        <w:rPr>
          <w:noProof/>
        </w:rPr>
        <w:instrText xml:space="preserve"> PAGEREF _Toc23836613 \h </w:instrText>
      </w:r>
      <w:r w:rsidRPr="00A841EC">
        <w:rPr>
          <w:noProof/>
        </w:rPr>
      </w:r>
      <w:r w:rsidRPr="00A841EC">
        <w:rPr>
          <w:noProof/>
        </w:rPr>
        <w:fldChar w:fldCharType="separate"/>
      </w:r>
      <w:r w:rsidR="00453433">
        <w:rPr>
          <w:noProof/>
        </w:rPr>
        <w:t>21</w:t>
      </w:r>
      <w:r w:rsidRPr="00A841EC">
        <w:rPr>
          <w:noProof/>
        </w:rPr>
        <w:fldChar w:fldCharType="end"/>
      </w:r>
    </w:p>
    <w:p w14:paraId="0DF0033D" w14:textId="064265B0" w:rsidR="00D16B89" w:rsidRPr="00A841EC" w:rsidRDefault="00D16B89">
      <w:pPr>
        <w:pStyle w:val="TOC3"/>
        <w:rPr>
          <w:rFonts w:asciiTheme="minorHAnsi" w:hAnsiTheme="minorHAnsi"/>
          <w:noProof/>
          <w:szCs w:val="22"/>
        </w:rPr>
      </w:pPr>
      <w:r w:rsidRPr="00A841EC">
        <w:rPr>
          <w:noProof/>
        </w:rPr>
        <w:t>Revision History</w:t>
      </w:r>
      <w:r w:rsidRPr="00A841EC">
        <w:rPr>
          <w:noProof/>
        </w:rPr>
        <w:tab/>
      </w:r>
      <w:r w:rsidRPr="00A841EC">
        <w:rPr>
          <w:noProof/>
        </w:rPr>
        <w:fldChar w:fldCharType="begin"/>
      </w:r>
      <w:r w:rsidRPr="00A841EC">
        <w:rPr>
          <w:noProof/>
        </w:rPr>
        <w:instrText xml:space="preserve"> PAGEREF _Toc23836614 \h </w:instrText>
      </w:r>
      <w:r w:rsidRPr="00A841EC">
        <w:rPr>
          <w:noProof/>
        </w:rPr>
      </w:r>
      <w:r w:rsidRPr="00A841EC">
        <w:rPr>
          <w:noProof/>
        </w:rPr>
        <w:fldChar w:fldCharType="separate"/>
      </w:r>
      <w:r w:rsidR="00453433">
        <w:rPr>
          <w:noProof/>
        </w:rPr>
        <w:t>22</w:t>
      </w:r>
      <w:r w:rsidRPr="00A841EC">
        <w:rPr>
          <w:noProof/>
        </w:rPr>
        <w:fldChar w:fldCharType="end"/>
      </w:r>
    </w:p>
    <w:p w14:paraId="4C194BAF" w14:textId="7C7E60C3" w:rsidR="001C6C9B" w:rsidRPr="00A841EC" w:rsidRDefault="001C6C9B" w:rsidP="00D12B8C">
      <w:r w:rsidRPr="00A841EC">
        <w:fldChar w:fldCharType="end"/>
      </w:r>
    </w:p>
    <w:p w14:paraId="7DD78D3A" w14:textId="77777777" w:rsidR="007E1F66" w:rsidRPr="00A841EC" w:rsidRDefault="007E1F66" w:rsidP="007E3A1D">
      <w:pPr>
        <w:pStyle w:val="eTRMHeading3"/>
        <w:sectPr w:rsidR="007E1F66" w:rsidRPr="00A841EC" w:rsidSect="00181E01">
          <w:headerReference w:type="even" r:id="rId11"/>
          <w:headerReference w:type="default" r:id="rId12"/>
          <w:footerReference w:type="even" r:id="rId13"/>
          <w:footerReference w:type="default" r:id="rId14"/>
          <w:headerReference w:type="first" r:id="rId15"/>
          <w:footerReference w:type="first" r:id="rId16"/>
          <w:endnotePr>
            <w:numFmt w:val="decimal"/>
          </w:endnotePr>
          <w:pgSz w:w="12240" w:h="15840"/>
          <w:pgMar w:top="1440" w:right="1440" w:bottom="1440" w:left="1440" w:header="720" w:footer="720" w:gutter="0"/>
          <w:cols w:space="720"/>
          <w:titlePg/>
          <w:docGrid w:linePitch="360"/>
        </w:sectPr>
      </w:pPr>
    </w:p>
    <w:p w14:paraId="39F3CABB" w14:textId="77777777" w:rsidR="00871123" w:rsidRPr="00A841EC" w:rsidRDefault="00871123" w:rsidP="007E3A1D">
      <w:pPr>
        <w:pStyle w:val="eTRMHeading3"/>
      </w:pPr>
      <w:bookmarkStart w:id="0" w:name="_Toc486490839"/>
      <w:bookmarkStart w:id="1" w:name="_Toc486580912"/>
      <w:bookmarkStart w:id="2" w:name="_Toc23836590"/>
      <w:r w:rsidRPr="00A841EC">
        <w:lastRenderedPageBreak/>
        <w:t>Measure Name</w:t>
      </w:r>
      <w:bookmarkEnd w:id="0"/>
      <w:bookmarkEnd w:id="1"/>
      <w:bookmarkEnd w:id="2"/>
    </w:p>
    <w:p w14:paraId="68949170" w14:textId="55FE5600" w:rsidR="00424F73" w:rsidRPr="00A841EC" w:rsidRDefault="00424F73" w:rsidP="00DC6BAC">
      <w:r w:rsidRPr="00A841EC">
        <w:t xml:space="preserve">Gas </w:t>
      </w:r>
      <w:r w:rsidR="002212B4" w:rsidRPr="00A841EC">
        <w:t>F</w:t>
      </w:r>
      <w:r w:rsidRPr="00A841EC">
        <w:t>ireplace</w:t>
      </w:r>
      <w:r w:rsidR="00090AC6" w:rsidRPr="00A841EC">
        <w:t>, Residential</w:t>
      </w:r>
      <w:r w:rsidR="00585817" w:rsidRPr="00A841EC">
        <w:t>.</w:t>
      </w:r>
    </w:p>
    <w:p w14:paraId="7868492E" w14:textId="77777777" w:rsidR="00367FF1" w:rsidRPr="00A841EC" w:rsidRDefault="00367FF1" w:rsidP="00367FF1"/>
    <w:p w14:paraId="32CEC67B" w14:textId="7D0548E2" w:rsidR="00F860EE" w:rsidRPr="00A841EC" w:rsidRDefault="00F860EE" w:rsidP="007E3A1D">
      <w:pPr>
        <w:pStyle w:val="eTRMHeading3"/>
      </w:pPr>
      <w:bookmarkStart w:id="3" w:name="_Toc23836591"/>
      <w:r w:rsidRPr="00A841EC">
        <w:t>Statewide Measure ID</w:t>
      </w:r>
      <w:bookmarkEnd w:id="3"/>
    </w:p>
    <w:p w14:paraId="3616ED0D" w14:textId="35F0CEFD" w:rsidR="004206DC" w:rsidRPr="00A841EC" w:rsidRDefault="00367FF1" w:rsidP="00151553">
      <w:r w:rsidRPr="00A841EC">
        <w:t>SWHC</w:t>
      </w:r>
      <w:r w:rsidR="00935C1C" w:rsidRPr="00A841EC">
        <w:t>047</w:t>
      </w:r>
      <w:r w:rsidRPr="00A841EC">
        <w:t>-01</w:t>
      </w:r>
    </w:p>
    <w:p w14:paraId="1DC2C388" w14:textId="77777777" w:rsidR="00367FF1" w:rsidRPr="00A841EC" w:rsidRDefault="00367FF1" w:rsidP="00151553"/>
    <w:p w14:paraId="0F7CA2E6" w14:textId="77777777" w:rsidR="00E70CBD" w:rsidRPr="00A841EC" w:rsidRDefault="00E70CBD" w:rsidP="007E3A1D">
      <w:pPr>
        <w:pStyle w:val="eTRMHeading3"/>
      </w:pPr>
      <w:bookmarkStart w:id="4" w:name="_Toc486490847"/>
      <w:bookmarkStart w:id="5" w:name="_Toc486580918"/>
      <w:bookmarkStart w:id="6" w:name="_Toc23836592"/>
      <w:r w:rsidRPr="00A841EC">
        <w:t>Technology Summary</w:t>
      </w:r>
      <w:bookmarkEnd w:id="4"/>
      <w:bookmarkEnd w:id="5"/>
      <w:bookmarkEnd w:id="6"/>
      <w:r w:rsidRPr="00A841EC">
        <w:t xml:space="preserve"> </w:t>
      </w:r>
    </w:p>
    <w:p w14:paraId="48F24C59" w14:textId="00FF28C8" w:rsidR="009804B5" w:rsidRPr="00A841EC" w:rsidRDefault="00367FF1" w:rsidP="009804B5">
      <w:r w:rsidRPr="00A841EC">
        <w:t xml:space="preserve">This measure pertains to a </w:t>
      </w:r>
      <w:r w:rsidR="009804B5" w:rsidRPr="00A841EC">
        <w:t xml:space="preserve">gas </w:t>
      </w:r>
      <w:r w:rsidRPr="00A841EC">
        <w:t>fireplace</w:t>
      </w:r>
      <w:r w:rsidR="009804B5" w:rsidRPr="00A841EC">
        <w:t xml:space="preserve"> </w:t>
      </w:r>
      <w:r w:rsidRPr="00A841EC">
        <w:t xml:space="preserve">that is </w:t>
      </w:r>
      <w:r w:rsidR="009804B5" w:rsidRPr="00A841EC">
        <w:t>self-contained vented heater</w:t>
      </w:r>
      <w:r w:rsidRPr="00A841EC">
        <w:t xml:space="preserve"> that</w:t>
      </w:r>
      <w:r w:rsidR="009804B5" w:rsidRPr="00A841EC">
        <w:t xml:space="preserve"> simulate</w:t>
      </w:r>
      <w:r w:rsidRPr="00A841EC">
        <w:t>s</w:t>
      </w:r>
      <w:r w:rsidR="009804B5" w:rsidRPr="00A841EC">
        <w:t xml:space="preserve"> a wood burning device. Each gas fireplace consists of a heat exchanger, an ignition system, a burner, a combustion chamber, a flue, an intake, a burner control thermostat, aesthetic feature (e.g., ceramic logs or glass), an outer case, and a tempered glass viewing pane. Manufacturers may differentiate gas fireplaces by efficiency rating (</w:t>
      </w:r>
      <w:r w:rsidRPr="00A841EC">
        <w:t>a</w:t>
      </w:r>
      <w:r w:rsidR="009804B5" w:rsidRPr="00A841EC">
        <w:t xml:space="preserve">nnual </w:t>
      </w:r>
      <w:r w:rsidRPr="00A841EC">
        <w:t>f</w:t>
      </w:r>
      <w:r w:rsidR="009804B5" w:rsidRPr="00A841EC">
        <w:t xml:space="preserve">uel </w:t>
      </w:r>
      <w:r w:rsidRPr="00A841EC">
        <w:t>u</w:t>
      </w:r>
      <w:r w:rsidR="009804B5" w:rsidRPr="00A841EC">
        <w:t xml:space="preserve">tilization </w:t>
      </w:r>
      <w:r w:rsidRPr="00A841EC">
        <w:t>e</w:t>
      </w:r>
      <w:r w:rsidR="009804B5" w:rsidRPr="00A841EC">
        <w:t>fficiency</w:t>
      </w:r>
      <w:r w:rsidRPr="00A841EC">
        <w:t>, AFUE</w:t>
      </w:r>
      <w:r w:rsidR="009804B5" w:rsidRPr="00A841EC">
        <w:t xml:space="preserve"> or </w:t>
      </w:r>
      <w:r w:rsidRPr="00A841EC">
        <w:t>f</w:t>
      </w:r>
      <w:r w:rsidR="009804B5" w:rsidRPr="00A841EC">
        <w:t xml:space="preserve">ireplace </w:t>
      </w:r>
      <w:r w:rsidRPr="00A841EC">
        <w:t>e</w:t>
      </w:r>
      <w:r w:rsidR="009804B5" w:rsidRPr="00A841EC">
        <w:t>fficiency</w:t>
      </w:r>
      <w:r w:rsidRPr="00A841EC">
        <w:t>, FE</w:t>
      </w:r>
      <w:r w:rsidR="009804B5" w:rsidRPr="00A841EC">
        <w:t>), input rating (Btu/hr.), and aesthetics.</w:t>
      </w:r>
    </w:p>
    <w:p w14:paraId="1267C3B5" w14:textId="2A82B450" w:rsidR="009804B5" w:rsidRPr="00A841EC" w:rsidRDefault="009804B5" w:rsidP="009804B5">
      <w:pPr>
        <w:jc w:val="center"/>
        <w:rPr>
          <w:i/>
        </w:rPr>
      </w:pPr>
      <w:r w:rsidRPr="00A841EC">
        <w:rPr>
          <w:noProof/>
        </w:rPr>
        <w:drawing>
          <wp:inline distT="0" distB="0" distL="0" distR="0" wp14:anchorId="3E0B0CAE" wp14:editId="0BC6AF3D">
            <wp:extent cx="2165350" cy="2632692"/>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clrChange>
                        <a:clrFrom>
                          <a:srgbClr val="FFFFFF"/>
                        </a:clrFrom>
                        <a:clrTo>
                          <a:srgbClr val="FFFFFF">
                            <a:alpha val="0"/>
                          </a:srgbClr>
                        </a:clrTo>
                      </a:clrChange>
                      <a:extLst>
                        <a:ext uri="{28A0092B-C50C-407E-A947-70E740481C1C}">
                          <a14:useLocalDpi xmlns:a14="http://schemas.microsoft.com/office/drawing/2010/main" val="0"/>
                        </a:ext>
                      </a:extLst>
                    </a:blip>
                    <a:srcRect/>
                    <a:stretch>
                      <a:fillRect/>
                    </a:stretch>
                  </pic:blipFill>
                  <pic:spPr bwMode="auto">
                    <a:xfrm>
                      <a:off x="0" y="0"/>
                      <a:ext cx="2169772" cy="2638068"/>
                    </a:xfrm>
                    <a:prstGeom prst="rect">
                      <a:avLst/>
                    </a:prstGeom>
                    <a:noFill/>
                    <a:ln>
                      <a:noFill/>
                    </a:ln>
                  </pic:spPr>
                </pic:pic>
              </a:graphicData>
            </a:graphic>
          </wp:inline>
        </w:drawing>
      </w:r>
    </w:p>
    <w:p w14:paraId="4FD77BE0" w14:textId="788A9D89" w:rsidR="009804B5" w:rsidRPr="00A841EC" w:rsidRDefault="009804B5" w:rsidP="009804B5">
      <w:pPr>
        <w:jc w:val="center"/>
        <w:rPr>
          <w:b/>
          <w:bCs/>
        </w:rPr>
      </w:pPr>
      <w:r w:rsidRPr="00A841EC">
        <w:rPr>
          <w:b/>
          <w:bCs/>
        </w:rPr>
        <w:t>Typical Gas Fireplace with Concentric Venting</w:t>
      </w:r>
    </w:p>
    <w:p w14:paraId="7D9EFB33" w14:textId="77777777" w:rsidR="00367FF1" w:rsidRPr="00A841EC" w:rsidRDefault="00367FF1" w:rsidP="000026A9"/>
    <w:p w14:paraId="06A786F4" w14:textId="23E3AA00" w:rsidR="000026A9" w:rsidRPr="00A841EC" w:rsidRDefault="00367FF1" w:rsidP="000026A9">
      <w:r w:rsidRPr="00A841EC">
        <w:t>E</w:t>
      </w:r>
      <w:r w:rsidR="000026A9" w:rsidRPr="00A841EC">
        <w:t xml:space="preserve">nergy </w:t>
      </w:r>
      <w:r w:rsidRPr="00A841EC">
        <w:t>savings will result from the replacement of a less efficient gas fireplace with a more</w:t>
      </w:r>
      <w:r w:rsidR="000026A9" w:rsidRPr="00A841EC">
        <w:t xml:space="preserve"> efficient gas fireplace</w:t>
      </w:r>
      <w:r w:rsidRPr="00A841EC">
        <w:t>.</w:t>
      </w:r>
      <w:r w:rsidR="000026A9" w:rsidRPr="00A841EC">
        <w:t xml:space="preserve"> Increases in FE can typically be achieved through the addition of </w:t>
      </w:r>
      <w:r w:rsidRPr="00A841EC">
        <w:t xml:space="preserve">one or more of </w:t>
      </w:r>
      <w:r w:rsidR="000026A9" w:rsidRPr="00A841EC">
        <w:t xml:space="preserve">the following technologies: </w:t>
      </w:r>
    </w:p>
    <w:p w14:paraId="63F10479" w14:textId="6D2E3159" w:rsidR="000026A9" w:rsidRPr="00A841EC" w:rsidRDefault="00367FF1" w:rsidP="000A2317">
      <w:pPr>
        <w:pStyle w:val="eTRMBulletedText"/>
      </w:pPr>
      <w:r w:rsidRPr="00A841EC">
        <w:t>I</w:t>
      </w:r>
      <w:r w:rsidR="000026A9" w:rsidRPr="00A841EC">
        <w:t>ndoor air circulation blower (“blower”)</w:t>
      </w:r>
    </w:p>
    <w:p w14:paraId="30457AE3" w14:textId="3B72B859" w:rsidR="000026A9" w:rsidRPr="00A841EC" w:rsidRDefault="00367FF1" w:rsidP="000A2317">
      <w:pPr>
        <w:pStyle w:val="eTRMBulletedText"/>
      </w:pPr>
      <w:r w:rsidRPr="00A841EC">
        <w:t>P</w:t>
      </w:r>
      <w:r w:rsidR="000026A9" w:rsidRPr="00A841EC">
        <w:t>ower venting (fan in the flue/exhaust)</w:t>
      </w:r>
    </w:p>
    <w:p w14:paraId="748823A3" w14:textId="7F19E0B6" w:rsidR="000026A9" w:rsidRPr="00A841EC" w:rsidRDefault="00367FF1" w:rsidP="000A2317">
      <w:pPr>
        <w:pStyle w:val="eTRMBulletedText"/>
      </w:pPr>
      <w:r w:rsidRPr="00A841EC">
        <w:t>F</w:t>
      </w:r>
      <w:r w:rsidR="000026A9" w:rsidRPr="00A841EC">
        <w:t>lue dampers</w:t>
      </w:r>
    </w:p>
    <w:p w14:paraId="25CC27DE" w14:textId="7853CF05" w:rsidR="000026A9" w:rsidRPr="00A841EC" w:rsidRDefault="00367FF1" w:rsidP="000A2317">
      <w:pPr>
        <w:pStyle w:val="eTRMBulletedText"/>
      </w:pPr>
      <w:r w:rsidRPr="00A841EC">
        <w:t>C</w:t>
      </w:r>
      <w:r w:rsidR="000026A9" w:rsidRPr="00A841EC">
        <w:t>oncentric direct venting</w:t>
      </w:r>
    </w:p>
    <w:p w14:paraId="242228AC" w14:textId="41EB12A2" w:rsidR="000026A9" w:rsidRPr="00A841EC" w:rsidRDefault="00367FF1" w:rsidP="000A2317">
      <w:pPr>
        <w:pStyle w:val="eTRMBulletedText"/>
      </w:pPr>
      <w:r w:rsidRPr="00A841EC">
        <w:t>C</w:t>
      </w:r>
      <w:r w:rsidR="000026A9" w:rsidRPr="00A841EC">
        <w:t xml:space="preserve">ondensing technology </w:t>
      </w:r>
    </w:p>
    <w:p w14:paraId="10A716DE" w14:textId="2FDA4018" w:rsidR="00FA1A84" w:rsidRPr="00A841EC" w:rsidRDefault="00FA1A84" w:rsidP="000026A9">
      <w:r w:rsidRPr="00A841EC">
        <w:lastRenderedPageBreak/>
        <w:t xml:space="preserve">Indoor air circulation </w:t>
      </w:r>
      <w:r w:rsidR="000026A9" w:rsidRPr="00A841EC">
        <w:t xml:space="preserve">blower and power venting </w:t>
      </w:r>
      <w:r w:rsidRPr="00A841EC">
        <w:t xml:space="preserve">both </w:t>
      </w:r>
      <w:r w:rsidR="000026A9" w:rsidRPr="00A841EC">
        <w:t>allow for a larger heat exchange area</w:t>
      </w:r>
      <w:r w:rsidRPr="00A841EC">
        <w:t>,</w:t>
      </w:r>
      <w:r w:rsidR="000026A9" w:rsidRPr="00A841EC">
        <w:t xml:space="preserve"> which can extract more heat from the combustion area. After enough heat is extracted condensation can occur</w:t>
      </w:r>
      <w:r w:rsidRPr="00A841EC">
        <w:t>,</w:t>
      </w:r>
      <w:r w:rsidR="000026A9" w:rsidRPr="00A841EC">
        <w:t xml:space="preserve"> which releases the latent heat in the condensate. </w:t>
      </w:r>
    </w:p>
    <w:p w14:paraId="07FCFE38" w14:textId="5250E464" w:rsidR="004B7067" w:rsidRPr="00A841EC" w:rsidRDefault="000026A9" w:rsidP="000026A9">
      <w:r w:rsidRPr="00A841EC">
        <w:t xml:space="preserve">Flue dampers are used to trap hot air within the fireplace after the burner has stopped firing, which allows more heat to transfer to the building than if the air were to vent naturally. Concentric direct venting preheats the incoming combustion air allowing for a more efficient burn of the gas. </w:t>
      </w:r>
    </w:p>
    <w:p w14:paraId="3D721118" w14:textId="0456B2CA" w:rsidR="00FA1A84" w:rsidRPr="00A841EC" w:rsidRDefault="000026A9" w:rsidP="000026A9">
      <w:r w:rsidRPr="00A841EC">
        <w:t>When the fireplace does not have the full flame ON, either a continuously operating pilot light (CPL) or an intermittent pilot light (IPL) ignition system is operating. A CPL ignition system is constantly burning gas to enable ignition of the burner in the event of a burner ON signal. An IPL system ignites the pilot when a burner ON signal is received and then the pilot light ignites the burner. The CPL system can be operated without electricity</w:t>
      </w:r>
      <w:r w:rsidR="004B7067" w:rsidRPr="00A841EC">
        <w:t>,</w:t>
      </w:r>
      <w:r w:rsidRPr="00A841EC">
        <w:t xml:space="preserve"> and the IPL system requires an electrical supply from either a battery or hardwired into the building electricity supply. </w:t>
      </w:r>
    </w:p>
    <w:p w14:paraId="3AD31D21" w14:textId="66AD483C" w:rsidR="000026A9" w:rsidRPr="00A841EC" w:rsidRDefault="000026A9" w:rsidP="000026A9">
      <w:r w:rsidRPr="00A841EC">
        <w:t xml:space="preserve">The </w:t>
      </w:r>
      <w:r w:rsidR="00FA1A84" w:rsidRPr="00A841EC">
        <w:t xml:space="preserve">measure offerings specified </w:t>
      </w:r>
      <w:r w:rsidRPr="00A841EC">
        <w:t xml:space="preserve">are not distinguished by technology but rather by </w:t>
      </w:r>
      <w:r w:rsidR="00C739BE" w:rsidRPr="00A841EC">
        <w:t>fireplace efficiency (</w:t>
      </w:r>
      <w:r w:rsidRPr="00A841EC">
        <w:t>FE</w:t>
      </w:r>
      <w:r w:rsidR="00C739BE" w:rsidRPr="00A841EC">
        <w:t>)</w:t>
      </w:r>
      <w:r w:rsidRPr="00A841EC">
        <w:t>. Therefore, they are technology independent</w:t>
      </w:r>
      <w:r w:rsidR="00FA1A84" w:rsidRPr="00A841EC">
        <w:t xml:space="preserve"> even</w:t>
      </w:r>
      <w:r w:rsidRPr="00A841EC">
        <w:t xml:space="preserve"> though specific technologies are typically used to </w:t>
      </w:r>
      <w:r w:rsidR="00FA1A84" w:rsidRPr="00A841EC">
        <w:t xml:space="preserve">achieve </w:t>
      </w:r>
      <w:r w:rsidRPr="00A841EC">
        <w:t>higher FE levels.</w:t>
      </w:r>
      <w:r w:rsidR="004B7067" w:rsidRPr="00A841EC">
        <w:t xml:space="preserve"> </w:t>
      </w:r>
      <w:r w:rsidRPr="00A841EC">
        <w:t xml:space="preserve">The energy savings calculated in </w:t>
      </w:r>
      <w:r w:rsidR="00CF71AA" w:rsidRPr="00A841EC">
        <w:t xml:space="preserve">the Gas Savings (Therms) section </w:t>
      </w:r>
      <w:r w:rsidRPr="00A841EC">
        <w:t xml:space="preserve">are based on an increase in FE and </w:t>
      </w:r>
      <w:r w:rsidR="00C739BE" w:rsidRPr="00A841EC">
        <w:t xml:space="preserve">for some measure offerings </w:t>
      </w:r>
      <w:r w:rsidRPr="00A841EC">
        <w:t>changing from a CPL to a</w:t>
      </w:r>
      <w:r w:rsidR="004B7067" w:rsidRPr="00A841EC">
        <w:t>n</w:t>
      </w:r>
      <w:r w:rsidRPr="00A841EC">
        <w:t xml:space="preserve"> IPL ignition system. </w:t>
      </w:r>
    </w:p>
    <w:p w14:paraId="59336159" w14:textId="20B9210E" w:rsidR="000026A9" w:rsidRPr="00A841EC" w:rsidRDefault="000026A9" w:rsidP="00E27E0C">
      <w:pPr>
        <w:pStyle w:val="eTRMHeading4"/>
      </w:pPr>
      <w:r w:rsidRPr="00A841EC">
        <w:t>Summary of Relevant Studies</w:t>
      </w:r>
    </w:p>
    <w:p w14:paraId="3915BA1C" w14:textId="77F30FE7" w:rsidR="004206DC" w:rsidRPr="00A841EC" w:rsidRDefault="00492CE7" w:rsidP="00CB0319">
      <w:r w:rsidRPr="00A841EC">
        <w:rPr>
          <w:b/>
          <w:bCs/>
        </w:rPr>
        <w:t>Energy Conservation Program: Energy Conservation Standards for Residential Water Heaters, Direct Heating Equipment, and Pool Heaters; Final Rule</w:t>
      </w:r>
      <w:r w:rsidRPr="00A841EC" w:rsidDel="00492CE7">
        <w:rPr>
          <w:b/>
          <w:bCs/>
        </w:rPr>
        <w:t xml:space="preserve"> </w:t>
      </w:r>
      <w:r w:rsidR="00FA1A84" w:rsidRPr="00A841EC">
        <w:rPr>
          <w:b/>
          <w:bCs/>
        </w:rPr>
        <w:t xml:space="preserve">(U.S. </w:t>
      </w:r>
      <w:r w:rsidRPr="00A841EC">
        <w:rPr>
          <w:b/>
          <w:bCs/>
        </w:rPr>
        <w:t>Department of Energy</w:t>
      </w:r>
      <w:r w:rsidR="00FA1A84" w:rsidRPr="00A841EC">
        <w:rPr>
          <w:b/>
          <w:bCs/>
        </w:rPr>
        <w:t>, 2010)</w:t>
      </w:r>
      <w:r w:rsidRPr="00A841EC">
        <w:rPr>
          <w:b/>
          <w:bCs/>
        </w:rPr>
        <w:t>.</w:t>
      </w:r>
      <w:r w:rsidR="008A4B45" w:rsidRPr="00A841EC">
        <w:rPr>
          <w:rStyle w:val="FootnoteReference"/>
          <w:b/>
          <w:bCs/>
        </w:rPr>
        <w:footnoteReference w:id="1"/>
      </w:r>
      <w:r w:rsidR="00FA1A84" w:rsidRPr="00A841EC">
        <w:rPr>
          <w:b/>
          <w:bCs/>
        </w:rPr>
        <w:t xml:space="preserve"> </w:t>
      </w:r>
      <w:r w:rsidR="00C739BE" w:rsidRPr="00A841EC">
        <w:t>The U.S. Department of Energy (</w:t>
      </w:r>
      <w:r w:rsidR="004206DC" w:rsidRPr="00A841EC">
        <w:t>DOE</w:t>
      </w:r>
      <w:r w:rsidR="00C739BE" w:rsidRPr="00A841EC">
        <w:t>)</w:t>
      </w:r>
      <w:r w:rsidR="004206DC" w:rsidRPr="00A841EC">
        <w:t xml:space="preserve"> published a final rule </w:t>
      </w:r>
      <w:r w:rsidRPr="00A841EC">
        <w:t xml:space="preserve">that established </w:t>
      </w:r>
      <w:r w:rsidR="004206DC" w:rsidRPr="00A841EC">
        <w:t xml:space="preserve">a definition for hearth products (fireplaces) and energy conservation standards. The April 2010 DOE Final Rule was vacated by the DC court of appeals because it did not fairly represent fireplaces </w:t>
      </w:r>
      <w:r w:rsidR="00C739BE" w:rsidRPr="00A841EC">
        <w:t xml:space="preserve">that are </w:t>
      </w:r>
      <w:r w:rsidR="004206DC" w:rsidRPr="00A841EC">
        <w:t xml:space="preserve">not designed to provide heat. </w:t>
      </w:r>
      <w:r w:rsidR="00C739BE" w:rsidRPr="00A841EC">
        <w:t>Because this measure</w:t>
      </w:r>
      <w:r w:rsidR="00FE6842" w:rsidRPr="00A841EC">
        <w:t xml:space="preserve"> </w:t>
      </w:r>
      <w:r w:rsidR="004206DC" w:rsidRPr="00A841EC">
        <w:t xml:space="preserve">considers fireplaces </w:t>
      </w:r>
      <w:r w:rsidRPr="00A841EC">
        <w:t xml:space="preserve">that are </w:t>
      </w:r>
      <w:r w:rsidR="004206DC" w:rsidRPr="00A841EC">
        <w:t>designed to provide heat</w:t>
      </w:r>
      <w:r w:rsidR="004B7067" w:rsidRPr="00A841EC">
        <w:t>,</w:t>
      </w:r>
      <w:r w:rsidR="004206DC" w:rsidRPr="00A841EC">
        <w:t xml:space="preserve"> the assumptions </w:t>
      </w:r>
      <w:r w:rsidR="00FE6842" w:rsidRPr="00A841EC">
        <w:t xml:space="preserve">of </w:t>
      </w:r>
      <w:r w:rsidR="004206DC" w:rsidRPr="00A841EC">
        <w:t>the April 2010 DOE Final Rule are still applicable.</w:t>
      </w:r>
    </w:p>
    <w:p w14:paraId="6E70888F" w14:textId="10C7AE3C" w:rsidR="004206DC" w:rsidRPr="00A841EC" w:rsidRDefault="004206DC" w:rsidP="000A2317">
      <w:pPr>
        <w:pStyle w:val="eTRMBulletedText"/>
      </w:pPr>
      <w:r w:rsidRPr="00A841EC">
        <w:t>Representative product class, “Over 27,000 and up to 46,000 Btu/h</w:t>
      </w:r>
      <w:r w:rsidR="00FE6842" w:rsidRPr="00A841EC">
        <w:t>r</w:t>
      </w:r>
      <w:r w:rsidRPr="00A841EC">
        <w:t>”</w:t>
      </w:r>
      <w:r w:rsidR="00FE6842" w:rsidRPr="00A841EC">
        <w:t>; a r</w:t>
      </w:r>
      <w:r w:rsidRPr="00A841EC">
        <w:t>epresentative input rate used was 35,000 Btu/h</w:t>
      </w:r>
      <w:r w:rsidR="00FE6842" w:rsidRPr="00A841EC">
        <w:t>r</w:t>
      </w:r>
    </w:p>
    <w:p w14:paraId="6E33D301" w14:textId="5773E15A" w:rsidR="004206DC" w:rsidRPr="00A841EC" w:rsidRDefault="004206DC" w:rsidP="000A2317">
      <w:pPr>
        <w:pStyle w:val="eTRMBulletedText"/>
      </w:pPr>
      <w:r w:rsidRPr="00A841EC">
        <w:t xml:space="preserve">Pilot light input rate </w:t>
      </w:r>
      <w:r w:rsidR="00FE6842" w:rsidRPr="00A841EC">
        <w:t>of</w:t>
      </w:r>
      <w:r w:rsidRPr="00A841EC">
        <w:t xml:space="preserve"> 350 Btu/h</w:t>
      </w:r>
      <w:r w:rsidR="00FE6842" w:rsidRPr="00A841EC">
        <w:t>r</w:t>
      </w:r>
    </w:p>
    <w:p w14:paraId="5532AD58" w14:textId="2CE9C88E" w:rsidR="004206DC" w:rsidRPr="00A841EC" w:rsidRDefault="004206DC" w:rsidP="000A2317">
      <w:pPr>
        <w:pStyle w:val="eTRMBulletedText"/>
      </w:pPr>
      <w:r w:rsidRPr="00A841EC">
        <w:t xml:space="preserve">Burner ON hours were a function </w:t>
      </w:r>
      <w:r w:rsidR="00FE6842" w:rsidRPr="00A841EC">
        <w:t xml:space="preserve">of </w:t>
      </w:r>
      <w:r w:rsidRPr="00A841EC">
        <w:t>house heating load (Btu/y</w:t>
      </w:r>
      <w:r w:rsidR="00FE6842" w:rsidRPr="00A841EC">
        <w:t>r</w:t>
      </w:r>
      <w:r w:rsidRPr="00A841EC">
        <w:t>), input rate of the pilot and fireplace, steady state efficiency, and average heating season hours.</w:t>
      </w:r>
    </w:p>
    <w:p w14:paraId="1430FD09" w14:textId="1FBFC036" w:rsidR="004206DC" w:rsidRPr="00A841EC" w:rsidRDefault="004206DC" w:rsidP="000A2317">
      <w:pPr>
        <w:pStyle w:val="eTRMBulletedText"/>
      </w:pPr>
      <w:r w:rsidRPr="00A841EC">
        <w:t>Product lifetime of 10 to 20 years with an average of 15 years</w:t>
      </w:r>
    </w:p>
    <w:p w14:paraId="4F5F3A22" w14:textId="77DEF0E4" w:rsidR="004206DC" w:rsidRPr="00A841EC" w:rsidRDefault="004206DC" w:rsidP="00A04BF1">
      <w:pPr>
        <w:pStyle w:val="Caption"/>
      </w:pPr>
      <w:r w:rsidRPr="00A841EC">
        <w:t>DOE Efficiency Levels from the April 2010 DOE Final Rule</w:t>
      </w:r>
    </w:p>
    <w:tbl>
      <w:tblPr>
        <w:tblW w:w="9350"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CellMar>
          <w:left w:w="0" w:type="dxa"/>
          <w:right w:w="0" w:type="dxa"/>
        </w:tblCellMar>
        <w:tblLook w:val="0600" w:firstRow="0" w:lastRow="0" w:firstColumn="0" w:lastColumn="0" w:noHBand="1" w:noVBand="1"/>
      </w:tblPr>
      <w:tblGrid>
        <w:gridCol w:w="2265"/>
        <w:gridCol w:w="1775"/>
        <w:gridCol w:w="1980"/>
        <w:gridCol w:w="1890"/>
        <w:gridCol w:w="1440"/>
      </w:tblGrid>
      <w:tr w:rsidR="004206DC" w:rsidRPr="00A841EC" w14:paraId="1BDA7A09" w14:textId="77777777" w:rsidTr="00E27E0C">
        <w:trPr>
          <w:trHeight w:val="505"/>
          <w:tblHeader/>
          <w:jc w:val="center"/>
        </w:trPr>
        <w:tc>
          <w:tcPr>
            <w:tcW w:w="2265" w:type="dxa"/>
            <w:shd w:val="clear" w:color="auto" w:fill="F2F2F2" w:themeFill="background1" w:themeFillShade="F2"/>
            <w:tcMar>
              <w:top w:w="15" w:type="dxa"/>
              <w:left w:w="15" w:type="dxa"/>
              <w:bottom w:w="0" w:type="dxa"/>
              <w:right w:w="15" w:type="dxa"/>
            </w:tcMar>
            <w:vAlign w:val="bottom"/>
            <w:hideMark/>
          </w:tcPr>
          <w:p w14:paraId="1346089D" w14:textId="77777777" w:rsidR="004206DC" w:rsidRPr="00A841EC" w:rsidRDefault="004206DC" w:rsidP="00492CE7">
            <w:pPr>
              <w:spacing w:before="0" w:after="0" w:line="240" w:lineRule="auto"/>
              <w:jc w:val="center"/>
              <w:rPr>
                <w:sz w:val="20"/>
                <w:szCs w:val="22"/>
              </w:rPr>
            </w:pPr>
            <w:r w:rsidRPr="00A841EC">
              <w:rPr>
                <w:b/>
                <w:bCs/>
                <w:sz w:val="20"/>
                <w:szCs w:val="22"/>
              </w:rPr>
              <w:t>Efficiency Level</w:t>
            </w:r>
          </w:p>
        </w:tc>
        <w:tc>
          <w:tcPr>
            <w:tcW w:w="1775" w:type="dxa"/>
            <w:shd w:val="clear" w:color="auto" w:fill="F2F2F2" w:themeFill="background1" w:themeFillShade="F2"/>
            <w:tcMar>
              <w:top w:w="15" w:type="dxa"/>
              <w:left w:w="15" w:type="dxa"/>
              <w:bottom w:w="0" w:type="dxa"/>
              <w:right w:w="15" w:type="dxa"/>
            </w:tcMar>
            <w:vAlign w:val="bottom"/>
            <w:hideMark/>
          </w:tcPr>
          <w:p w14:paraId="00C535D9" w14:textId="77777777" w:rsidR="004206DC" w:rsidRPr="00A841EC" w:rsidRDefault="004206DC" w:rsidP="00492CE7">
            <w:pPr>
              <w:spacing w:before="0" w:after="0" w:line="240" w:lineRule="auto"/>
              <w:jc w:val="center"/>
              <w:rPr>
                <w:sz w:val="20"/>
                <w:szCs w:val="22"/>
              </w:rPr>
            </w:pPr>
            <w:r w:rsidRPr="00A841EC">
              <w:rPr>
                <w:b/>
                <w:bCs/>
                <w:sz w:val="20"/>
                <w:szCs w:val="22"/>
              </w:rPr>
              <w:t>Technology</w:t>
            </w:r>
          </w:p>
        </w:tc>
        <w:tc>
          <w:tcPr>
            <w:tcW w:w="1980" w:type="dxa"/>
            <w:shd w:val="clear" w:color="auto" w:fill="F2F2F2" w:themeFill="background1" w:themeFillShade="F2"/>
            <w:vAlign w:val="bottom"/>
            <w:hideMark/>
          </w:tcPr>
          <w:p w14:paraId="28AF6BE6" w14:textId="19B0CA45" w:rsidR="004206DC" w:rsidRPr="00A841EC" w:rsidRDefault="004206DC" w:rsidP="00492CE7">
            <w:pPr>
              <w:spacing w:before="0" w:after="0" w:line="240" w:lineRule="auto"/>
              <w:jc w:val="center"/>
              <w:rPr>
                <w:sz w:val="20"/>
                <w:szCs w:val="22"/>
              </w:rPr>
            </w:pPr>
            <w:r w:rsidRPr="00A841EC">
              <w:rPr>
                <w:b/>
                <w:bCs/>
                <w:sz w:val="20"/>
                <w:szCs w:val="22"/>
              </w:rPr>
              <w:t xml:space="preserve">Average </w:t>
            </w:r>
            <w:r w:rsidR="00FE6842" w:rsidRPr="00A841EC">
              <w:rPr>
                <w:b/>
                <w:bCs/>
                <w:sz w:val="20"/>
                <w:szCs w:val="22"/>
              </w:rPr>
              <w:br/>
            </w:r>
            <w:r w:rsidRPr="00A841EC">
              <w:rPr>
                <w:b/>
                <w:bCs/>
                <w:sz w:val="20"/>
                <w:szCs w:val="22"/>
              </w:rPr>
              <w:t>Energy Savings</w:t>
            </w:r>
            <w:r w:rsidRPr="00A841EC">
              <w:rPr>
                <w:sz w:val="20"/>
                <w:szCs w:val="22"/>
              </w:rPr>
              <w:t xml:space="preserve">, </w:t>
            </w:r>
            <w:r w:rsidRPr="00A841EC">
              <w:rPr>
                <w:b/>
                <w:bCs/>
                <w:sz w:val="20"/>
                <w:szCs w:val="22"/>
              </w:rPr>
              <w:t>(Therms/yr)</w:t>
            </w:r>
          </w:p>
        </w:tc>
        <w:tc>
          <w:tcPr>
            <w:tcW w:w="1890" w:type="dxa"/>
            <w:shd w:val="clear" w:color="auto" w:fill="F2F2F2" w:themeFill="background1" w:themeFillShade="F2"/>
            <w:tcMar>
              <w:top w:w="15" w:type="dxa"/>
              <w:left w:w="15" w:type="dxa"/>
              <w:bottom w:w="0" w:type="dxa"/>
              <w:right w:w="15" w:type="dxa"/>
            </w:tcMar>
            <w:vAlign w:val="bottom"/>
            <w:hideMark/>
          </w:tcPr>
          <w:p w14:paraId="6CCB1485" w14:textId="313C9452" w:rsidR="004206DC" w:rsidRPr="00A841EC" w:rsidRDefault="004206DC" w:rsidP="00492CE7">
            <w:pPr>
              <w:spacing w:before="0" w:after="0" w:line="240" w:lineRule="auto"/>
              <w:jc w:val="center"/>
              <w:rPr>
                <w:sz w:val="20"/>
                <w:szCs w:val="22"/>
              </w:rPr>
            </w:pPr>
            <w:r w:rsidRPr="00A841EC">
              <w:rPr>
                <w:b/>
                <w:bCs/>
                <w:sz w:val="20"/>
                <w:szCs w:val="22"/>
              </w:rPr>
              <w:t xml:space="preserve">Manufacturer </w:t>
            </w:r>
            <w:r w:rsidR="00FE6842" w:rsidRPr="00A841EC">
              <w:rPr>
                <w:b/>
                <w:bCs/>
                <w:sz w:val="20"/>
                <w:szCs w:val="22"/>
              </w:rPr>
              <w:br/>
            </w:r>
            <w:r w:rsidRPr="00A841EC">
              <w:rPr>
                <w:b/>
                <w:bCs/>
                <w:sz w:val="20"/>
                <w:szCs w:val="22"/>
              </w:rPr>
              <w:t xml:space="preserve">Selling </w:t>
            </w:r>
            <w:r w:rsidR="00FE6842" w:rsidRPr="00A841EC">
              <w:rPr>
                <w:b/>
                <w:bCs/>
                <w:sz w:val="20"/>
                <w:szCs w:val="22"/>
              </w:rPr>
              <w:br/>
            </w:r>
            <w:r w:rsidRPr="00A841EC">
              <w:rPr>
                <w:b/>
                <w:bCs/>
                <w:sz w:val="20"/>
                <w:szCs w:val="22"/>
              </w:rPr>
              <w:t>Price</w:t>
            </w:r>
            <w:r w:rsidR="00FE6842" w:rsidRPr="00A841EC">
              <w:rPr>
                <w:sz w:val="20"/>
                <w:szCs w:val="22"/>
              </w:rPr>
              <w:t xml:space="preserve"> (</w:t>
            </w:r>
            <w:r w:rsidRPr="00A841EC">
              <w:rPr>
                <w:b/>
                <w:bCs/>
                <w:sz w:val="20"/>
                <w:szCs w:val="22"/>
              </w:rPr>
              <w:t>2009</w:t>
            </w:r>
            <w:r w:rsidR="000A2317" w:rsidRPr="00A841EC">
              <w:rPr>
                <w:b/>
                <w:bCs/>
                <w:sz w:val="20"/>
                <w:szCs w:val="22"/>
              </w:rPr>
              <w:t xml:space="preserve"> </w:t>
            </w:r>
            <w:r w:rsidRPr="00A841EC">
              <w:rPr>
                <w:b/>
                <w:bCs/>
                <w:sz w:val="20"/>
                <w:szCs w:val="22"/>
              </w:rPr>
              <w:t>$</w:t>
            </w:r>
            <w:r w:rsidR="00FE6842" w:rsidRPr="00A841EC">
              <w:rPr>
                <w:b/>
                <w:bCs/>
                <w:sz w:val="20"/>
                <w:szCs w:val="22"/>
              </w:rPr>
              <w:t>)</w:t>
            </w:r>
          </w:p>
        </w:tc>
        <w:tc>
          <w:tcPr>
            <w:tcW w:w="1440" w:type="dxa"/>
            <w:shd w:val="clear" w:color="auto" w:fill="F2F2F2" w:themeFill="background1" w:themeFillShade="F2"/>
            <w:vAlign w:val="bottom"/>
            <w:hideMark/>
          </w:tcPr>
          <w:p w14:paraId="45DF1FF9" w14:textId="3174DFDC" w:rsidR="004206DC" w:rsidRPr="00A841EC" w:rsidRDefault="004206DC" w:rsidP="00492CE7">
            <w:pPr>
              <w:spacing w:before="0" w:after="0" w:line="240" w:lineRule="auto"/>
              <w:jc w:val="center"/>
              <w:rPr>
                <w:b/>
                <w:bCs/>
                <w:sz w:val="20"/>
                <w:szCs w:val="22"/>
              </w:rPr>
            </w:pPr>
            <w:r w:rsidRPr="00A841EC">
              <w:rPr>
                <w:b/>
                <w:bCs/>
                <w:sz w:val="20"/>
                <w:szCs w:val="22"/>
              </w:rPr>
              <w:t>Installed Cost</w:t>
            </w:r>
            <w:r w:rsidR="00FE6842" w:rsidRPr="00A841EC">
              <w:rPr>
                <w:b/>
                <w:bCs/>
                <w:sz w:val="20"/>
                <w:szCs w:val="22"/>
              </w:rPr>
              <w:t xml:space="preserve"> (</w:t>
            </w:r>
            <w:r w:rsidRPr="00A841EC">
              <w:rPr>
                <w:b/>
                <w:bCs/>
                <w:sz w:val="20"/>
                <w:szCs w:val="22"/>
              </w:rPr>
              <w:t>2009</w:t>
            </w:r>
            <w:r w:rsidR="000A2317" w:rsidRPr="00A841EC">
              <w:rPr>
                <w:b/>
                <w:bCs/>
                <w:sz w:val="20"/>
                <w:szCs w:val="22"/>
              </w:rPr>
              <w:t xml:space="preserve"> </w:t>
            </w:r>
            <w:r w:rsidRPr="00A841EC">
              <w:rPr>
                <w:b/>
                <w:bCs/>
                <w:sz w:val="20"/>
                <w:szCs w:val="22"/>
              </w:rPr>
              <w:t>$</w:t>
            </w:r>
            <w:r w:rsidR="00FE6842" w:rsidRPr="00A841EC">
              <w:rPr>
                <w:b/>
                <w:bCs/>
                <w:sz w:val="20"/>
                <w:szCs w:val="22"/>
              </w:rPr>
              <w:t>)</w:t>
            </w:r>
          </w:p>
        </w:tc>
      </w:tr>
      <w:tr w:rsidR="004206DC" w:rsidRPr="00A841EC" w14:paraId="71390EEC" w14:textId="77777777" w:rsidTr="00492CE7">
        <w:trPr>
          <w:trHeight w:val="257"/>
          <w:jc w:val="center"/>
        </w:trPr>
        <w:tc>
          <w:tcPr>
            <w:tcW w:w="2265" w:type="dxa"/>
            <w:tcMar>
              <w:top w:w="15" w:type="dxa"/>
              <w:left w:w="15" w:type="dxa"/>
              <w:bottom w:w="0" w:type="dxa"/>
              <w:right w:w="15" w:type="dxa"/>
            </w:tcMar>
            <w:hideMark/>
          </w:tcPr>
          <w:p w14:paraId="2788784C" w14:textId="77777777" w:rsidR="004206DC" w:rsidRPr="00A841EC" w:rsidRDefault="004206DC" w:rsidP="00492CE7">
            <w:pPr>
              <w:spacing w:before="0" w:after="0" w:line="240" w:lineRule="auto"/>
              <w:rPr>
                <w:sz w:val="20"/>
                <w:szCs w:val="22"/>
              </w:rPr>
            </w:pPr>
            <w:r w:rsidRPr="00A841EC">
              <w:rPr>
                <w:sz w:val="20"/>
                <w:szCs w:val="22"/>
              </w:rPr>
              <w:t>Baseline (AFUE = 64)</w:t>
            </w:r>
          </w:p>
        </w:tc>
        <w:tc>
          <w:tcPr>
            <w:tcW w:w="1775" w:type="dxa"/>
            <w:tcMar>
              <w:top w:w="15" w:type="dxa"/>
              <w:left w:w="15" w:type="dxa"/>
              <w:bottom w:w="0" w:type="dxa"/>
              <w:right w:w="15" w:type="dxa"/>
            </w:tcMar>
            <w:hideMark/>
          </w:tcPr>
          <w:p w14:paraId="397BCAF6" w14:textId="1FCFDE68" w:rsidR="004206DC" w:rsidRPr="00A841EC" w:rsidRDefault="00994A1A" w:rsidP="00492CE7">
            <w:pPr>
              <w:spacing w:before="0" w:after="0" w:line="240" w:lineRule="auto"/>
              <w:rPr>
                <w:sz w:val="20"/>
                <w:szCs w:val="22"/>
              </w:rPr>
            </w:pPr>
            <w:r w:rsidRPr="00A841EC">
              <w:rPr>
                <w:sz w:val="20"/>
                <w:szCs w:val="22"/>
              </w:rPr>
              <w:t xml:space="preserve">Continuously operating pilot light </w:t>
            </w:r>
          </w:p>
        </w:tc>
        <w:tc>
          <w:tcPr>
            <w:tcW w:w="1980" w:type="dxa"/>
            <w:vAlign w:val="center"/>
            <w:hideMark/>
          </w:tcPr>
          <w:p w14:paraId="5D26008E" w14:textId="77777777" w:rsidR="004206DC" w:rsidRPr="00A841EC" w:rsidRDefault="004206DC" w:rsidP="00492CE7">
            <w:pPr>
              <w:spacing w:before="0" w:after="0" w:line="240" w:lineRule="auto"/>
              <w:ind w:right="888"/>
              <w:jc w:val="right"/>
              <w:rPr>
                <w:sz w:val="20"/>
                <w:szCs w:val="22"/>
              </w:rPr>
            </w:pPr>
            <w:r w:rsidRPr="00A841EC">
              <w:rPr>
                <w:sz w:val="20"/>
                <w:szCs w:val="22"/>
              </w:rPr>
              <w:t>0</w:t>
            </w:r>
          </w:p>
        </w:tc>
        <w:tc>
          <w:tcPr>
            <w:tcW w:w="1890" w:type="dxa"/>
            <w:tcMar>
              <w:top w:w="15" w:type="dxa"/>
              <w:left w:w="15" w:type="dxa"/>
              <w:bottom w:w="0" w:type="dxa"/>
              <w:right w:w="15" w:type="dxa"/>
            </w:tcMar>
            <w:vAlign w:val="center"/>
            <w:hideMark/>
          </w:tcPr>
          <w:p w14:paraId="15F0227A" w14:textId="281A6E70" w:rsidR="004206DC" w:rsidRPr="00A841EC" w:rsidRDefault="00FE6842" w:rsidP="00D16B89">
            <w:pPr>
              <w:spacing w:before="0" w:after="0" w:line="240" w:lineRule="auto"/>
              <w:ind w:right="610"/>
              <w:jc w:val="right"/>
              <w:rPr>
                <w:sz w:val="20"/>
                <w:szCs w:val="22"/>
              </w:rPr>
            </w:pPr>
            <w:r w:rsidRPr="00A841EC">
              <w:rPr>
                <w:sz w:val="20"/>
                <w:szCs w:val="22"/>
              </w:rPr>
              <w:t>$</w:t>
            </w:r>
            <w:r w:rsidR="004206DC" w:rsidRPr="00A841EC">
              <w:rPr>
                <w:sz w:val="20"/>
                <w:szCs w:val="22"/>
              </w:rPr>
              <w:t>502</w:t>
            </w:r>
          </w:p>
        </w:tc>
        <w:tc>
          <w:tcPr>
            <w:tcW w:w="1440" w:type="dxa"/>
            <w:vAlign w:val="center"/>
            <w:hideMark/>
          </w:tcPr>
          <w:p w14:paraId="38676276" w14:textId="77777777" w:rsidR="004206DC" w:rsidRPr="00A841EC" w:rsidRDefault="004206DC" w:rsidP="00492CE7">
            <w:pPr>
              <w:spacing w:before="0" w:after="0" w:line="240" w:lineRule="auto"/>
              <w:ind w:right="528"/>
              <w:jc w:val="right"/>
              <w:rPr>
                <w:sz w:val="20"/>
                <w:szCs w:val="22"/>
              </w:rPr>
            </w:pPr>
            <w:r w:rsidRPr="00A841EC">
              <w:rPr>
                <w:sz w:val="20"/>
                <w:szCs w:val="22"/>
              </w:rPr>
              <w:t>$547</w:t>
            </w:r>
          </w:p>
        </w:tc>
      </w:tr>
      <w:tr w:rsidR="004206DC" w:rsidRPr="00A841EC" w14:paraId="0A7F01E3" w14:textId="77777777" w:rsidTr="00492CE7">
        <w:trPr>
          <w:trHeight w:val="257"/>
          <w:jc w:val="center"/>
        </w:trPr>
        <w:tc>
          <w:tcPr>
            <w:tcW w:w="2265" w:type="dxa"/>
            <w:tcMar>
              <w:top w:w="15" w:type="dxa"/>
              <w:left w:w="15" w:type="dxa"/>
              <w:bottom w:w="0" w:type="dxa"/>
              <w:right w:w="15" w:type="dxa"/>
            </w:tcMar>
            <w:hideMark/>
          </w:tcPr>
          <w:p w14:paraId="34FE6D92" w14:textId="77777777" w:rsidR="004206DC" w:rsidRPr="00A841EC" w:rsidRDefault="004206DC" w:rsidP="00492CE7">
            <w:pPr>
              <w:spacing w:before="0" w:after="0" w:line="240" w:lineRule="auto"/>
              <w:rPr>
                <w:sz w:val="20"/>
                <w:szCs w:val="22"/>
              </w:rPr>
            </w:pPr>
            <w:r w:rsidRPr="00A841EC">
              <w:rPr>
                <w:sz w:val="20"/>
                <w:szCs w:val="22"/>
              </w:rPr>
              <w:lastRenderedPageBreak/>
              <w:t>1 (AFUE = 67)</w:t>
            </w:r>
          </w:p>
        </w:tc>
        <w:tc>
          <w:tcPr>
            <w:tcW w:w="1775" w:type="dxa"/>
            <w:tcMar>
              <w:top w:w="15" w:type="dxa"/>
              <w:left w:w="15" w:type="dxa"/>
              <w:bottom w:w="0" w:type="dxa"/>
              <w:right w:w="15" w:type="dxa"/>
            </w:tcMar>
            <w:hideMark/>
          </w:tcPr>
          <w:p w14:paraId="1FBE3B01" w14:textId="77777777" w:rsidR="004206DC" w:rsidRPr="00A841EC" w:rsidRDefault="004206DC" w:rsidP="00492CE7">
            <w:pPr>
              <w:spacing w:before="0" w:after="0" w:line="240" w:lineRule="auto"/>
              <w:rPr>
                <w:sz w:val="20"/>
                <w:szCs w:val="22"/>
              </w:rPr>
            </w:pPr>
            <w:r w:rsidRPr="00A841EC">
              <w:rPr>
                <w:sz w:val="20"/>
                <w:szCs w:val="22"/>
              </w:rPr>
              <w:t>Electronic Ignition</w:t>
            </w:r>
          </w:p>
        </w:tc>
        <w:tc>
          <w:tcPr>
            <w:tcW w:w="1980" w:type="dxa"/>
            <w:vAlign w:val="center"/>
            <w:hideMark/>
          </w:tcPr>
          <w:p w14:paraId="5FEA5B58" w14:textId="77777777" w:rsidR="004206DC" w:rsidRPr="00A841EC" w:rsidRDefault="004206DC" w:rsidP="00492CE7">
            <w:pPr>
              <w:spacing w:before="0" w:after="0" w:line="240" w:lineRule="auto"/>
              <w:ind w:right="888"/>
              <w:jc w:val="right"/>
              <w:rPr>
                <w:sz w:val="20"/>
                <w:szCs w:val="22"/>
              </w:rPr>
            </w:pPr>
            <w:r w:rsidRPr="00A841EC">
              <w:rPr>
                <w:sz w:val="20"/>
                <w:szCs w:val="22"/>
              </w:rPr>
              <w:t>20</w:t>
            </w:r>
          </w:p>
        </w:tc>
        <w:tc>
          <w:tcPr>
            <w:tcW w:w="1890" w:type="dxa"/>
            <w:tcMar>
              <w:top w:w="15" w:type="dxa"/>
              <w:left w:w="15" w:type="dxa"/>
              <w:bottom w:w="0" w:type="dxa"/>
              <w:right w:w="15" w:type="dxa"/>
            </w:tcMar>
            <w:vAlign w:val="center"/>
            <w:hideMark/>
          </w:tcPr>
          <w:p w14:paraId="3CBF31D6" w14:textId="190B9096" w:rsidR="004206DC" w:rsidRPr="00A841EC" w:rsidRDefault="00FE6842" w:rsidP="00D16B89">
            <w:pPr>
              <w:spacing w:before="0" w:after="0" w:line="240" w:lineRule="auto"/>
              <w:ind w:right="610"/>
              <w:jc w:val="right"/>
              <w:rPr>
                <w:sz w:val="20"/>
                <w:szCs w:val="22"/>
              </w:rPr>
            </w:pPr>
            <w:r w:rsidRPr="00A841EC">
              <w:rPr>
                <w:sz w:val="20"/>
                <w:szCs w:val="22"/>
              </w:rPr>
              <w:t>$</w:t>
            </w:r>
            <w:r w:rsidR="004206DC" w:rsidRPr="00A841EC">
              <w:rPr>
                <w:sz w:val="20"/>
                <w:szCs w:val="22"/>
              </w:rPr>
              <w:t>499</w:t>
            </w:r>
          </w:p>
        </w:tc>
        <w:tc>
          <w:tcPr>
            <w:tcW w:w="1440" w:type="dxa"/>
            <w:vAlign w:val="center"/>
            <w:hideMark/>
          </w:tcPr>
          <w:p w14:paraId="0DE7A3AE" w14:textId="77777777" w:rsidR="004206DC" w:rsidRPr="00A841EC" w:rsidRDefault="004206DC" w:rsidP="00492CE7">
            <w:pPr>
              <w:spacing w:before="0" w:after="0" w:line="240" w:lineRule="auto"/>
              <w:ind w:right="528"/>
              <w:jc w:val="right"/>
              <w:rPr>
                <w:sz w:val="20"/>
                <w:szCs w:val="22"/>
              </w:rPr>
            </w:pPr>
            <w:r w:rsidRPr="00A841EC">
              <w:rPr>
                <w:sz w:val="20"/>
                <w:szCs w:val="22"/>
              </w:rPr>
              <w:t>$695</w:t>
            </w:r>
          </w:p>
        </w:tc>
      </w:tr>
      <w:tr w:rsidR="004206DC" w:rsidRPr="00A841EC" w14:paraId="5952D715" w14:textId="77777777" w:rsidTr="00492CE7">
        <w:trPr>
          <w:trHeight w:val="257"/>
          <w:jc w:val="center"/>
        </w:trPr>
        <w:tc>
          <w:tcPr>
            <w:tcW w:w="2265" w:type="dxa"/>
            <w:tcMar>
              <w:top w:w="15" w:type="dxa"/>
              <w:left w:w="15" w:type="dxa"/>
              <w:bottom w:w="0" w:type="dxa"/>
              <w:right w:w="15" w:type="dxa"/>
            </w:tcMar>
            <w:hideMark/>
          </w:tcPr>
          <w:p w14:paraId="4578135E" w14:textId="77777777" w:rsidR="004206DC" w:rsidRPr="00A841EC" w:rsidRDefault="004206DC" w:rsidP="00492CE7">
            <w:pPr>
              <w:spacing w:before="0" w:after="0" w:line="240" w:lineRule="auto"/>
              <w:rPr>
                <w:sz w:val="20"/>
                <w:szCs w:val="22"/>
              </w:rPr>
            </w:pPr>
            <w:r w:rsidRPr="00A841EC">
              <w:rPr>
                <w:sz w:val="20"/>
                <w:szCs w:val="22"/>
              </w:rPr>
              <w:t>2 (AFUE = 72)</w:t>
            </w:r>
          </w:p>
        </w:tc>
        <w:tc>
          <w:tcPr>
            <w:tcW w:w="1775" w:type="dxa"/>
            <w:tcMar>
              <w:top w:w="15" w:type="dxa"/>
              <w:left w:w="15" w:type="dxa"/>
              <w:bottom w:w="0" w:type="dxa"/>
              <w:right w:w="15" w:type="dxa"/>
            </w:tcMar>
            <w:hideMark/>
          </w:tcPr>
          <w:p w14:paraId="2A8BD5F1" w14:textId="77777777" w:rsidR="004206DC" w:rsidRPr="00A841EC" w:rsidRDefault="004206DC" w:rsidP="00492CE7">
            <w:pPr>
              <w:spacing w:before="0" w:after="0" w:line="240" w:lineRule="auto"/>
              <w:rPr>
                <w:sz w:val="20"/>
                <w:szCs w:val="22"/>
              </w:rPr>
            </w:pPr>
            <w:r w:rsidRPr="00A841EC">
              <w:rPr>
                <w:sz w:val="20"/>
                <w:szCs w:val="22"/>
              </w:rPr>
              <w:t>Fan Assisted (Blower)</w:t>
            </w:r>
          </w:p>
        </w:tc>
        <w:tc>
          <w:tcPr>
            <w:tcW w:w="1980" w:type="dxa"/>
            <w:vAlign w:val="center"/>
            <w:hideMark/>
          </w:tcPr>
          <w:p w14:paraId="519B3B64" w14:textId="77777777" w:rsidR="004206DC" w:rsidRPr="00A841EC" w:rsidRDefault="004206DC" w:rsidP="00492CE7">
            <w:pPr>
              <w:spacing w:before="0" w:after="0" w:line="240" w:lineRule="auto"/>
              <w:ind w:right="888"/>
              <w:jc w:val="right"/>
              <w:rPr>
                <w:sz w:val="20"/>
                <w:szCs w:val="22"/>
              </w:rPr>
            </w:pPr>
            <w:r w:rsidRPr="00A841EC">
              <w:rPr>
                <w:sz w:val="20"/>
                <w:szCs w:val="22"/>
              </w:rPr>
              <w:t>31</w:t>
            </w:r>
          </w:p>
        </w:tc>
        <w:tc>
          <w:tcPr>
            <w:tcW w:w="1890" w:type="dxa"/>
            <w:tcMar>
              <w:top w:w="15" w:type="dxa"/>
              <w:left w:w="15" w:type="dxa"/>
              <w:bottom w:w="0" w:type="dxa"/>
              <w:right w:w="15" w:type="dxa"/>
            </w:tcMar>
            <w:vAlign w:val="center"/>
            <w:hideMark/>
          </w:tcPr>
          <w:p w14:paraId="4B42580C" w14:textId="6BB6926C" w:rsidR="004206DC" w:rsidRPr="00A841EC" w:rsidRDefault="00FE6842" w:rsidP="00D16B89">
            <w:pPr>
              <w:spacing w:before="0" w:after="0" w:line="240" w:lineRule="auto"/>
              <w:ind w:right="610"/>
              <w:jc w:val="right"/>
              <w:rPr>
                <w:sz w:val="20"/>
                <w:szCs w:val="22"/>
              </w:rPr>
            </w:pPr>
            <w:r w:rsidRPr="00A841EC">
              <w:rPr>
                <w:sz w:val="20"/>
                <w:szCs w:val="22"/>
              </w:rPr>
              <w:t>$</w:t>
            </w:r>
            <w:r w:rsidR="004206DC" w:rsidRPr="00A841EC">
              <w:rPr>
                <w:sz w:val="20"/>
                <w:szCs w:val="22"/>
              </w:rPr>
              <w:t>743</w:t>
            </w:r>
          </w:p>
        </w:tc>
        <w:tc>
          <w:tcPr>
            <w:tcW w:w="1440" w:type="dxa"/>
            <w:vAlign w:val="center"/>
            <w:hideMark/>
          </w:tcPr>
          <w:p w14:paraId="4B38B3B4" w14:textId="77777777" w:rsidR="004206DC" w:rsidRPr="00A841EC" w:rsidRDefault="004206DC" w:rsidP="00492CE7">
            <w:pPr>
              <w:spacing w:before="0" w:after="0" w:line="240" w:lineRule="auto"/>
              <w:ind w:right="528"/>
              <w:jc w:val="right"/>
              <w:rPr>
                <w:sz w:val="20"/>
                <w:szCs w:val="22"/>
              </w:rPr>
            </w:pPr>
            <w:r w:rsidRPr="00A841EC">
              <w:rPr>
                <w:sz w:val="20"/>
                <w:szCs w:val="22"/>
              </w:rPr>
              <w:t>$695</w:t>
            </w:r>
          </w:p>
        </w:tc>
      </w:tr>
      <w:tr w:rsidR="004206DC" w:rsidRPr="00A841EC" w14:paraId="6979C185" w14:textId="77777777" w:rsidTr="00492CE7">
        <w:trPr>
          <w:trHeight w:val="257"/>
          <w:jc w:val="center"/>
        </w:trPr>
        <w:tc>
          <w:tcPr>
            <w:tcW w:w="2265" w:type="dxa"/>
            <w:tcMar>
              <w:top w:w="15" w:type="dxa"/>
              <w:left w:w="15" w:type="dxa"/>
              <w:bottom w:w="0" w:type="dxa"/>
              <w:right w:w="15" w:type="dxa"/>
            </w:tcMar>
            <w:hideMark/>
          </w:tcPr>
          <w:p w14:paraId="5A122089" w14:textId="77777777" w:rsidR="004206DC" w:rsidRPr="00A841EC" w:rsidRDefault="004206DC" w:rsidP="00492CE7">
            <w:pPr>
              <w:spacing w:before="0" w:after="0" w:line="240" w:lineRule="auto"/>
              <w:rPr>
                <w:sz w:val="20"/>
                <w:szCs w:val="22"/>
              </w:rPr>
            </w:pPr>
            <w:r w:rsidRPr="00A841EC">
              <w:rPr>
                <w:sz w:val="20"/>
                <w:szCs w:val="22"/>
              </w:rPr>
              <w:t>3 – Max Tech (AFUE = 93)</w:t>
            </w:r>
          </w:p>
        </w:tc>
        <w:tc>
          <w:tcPr>
            <w:tcW w:w="1775" w:type="dxa"/>
            <w:tcMar>
              <w:top w:w="15" w:type="dxa"/>
              <w:left w:w="15" w:type="dxa"/>
              <w:bottom w:w="0" w:type="dxa"/>
              <w:right w:w="15" w:type="dxa"/>
            </w:tcMar>
            <w:hideMark/>
          </w:tcPr>
          <w:p w14:paraId="047714CB" w14:textId="77777777" w:rsidR="004206DC" w:rsidRPr="00A841EC" w:rsidRDefault="004206DC" w:rsidP="00492CE7">
            <w:pPr>
              <w:spacing w:before="0" w:after="0" w:line="240" w:lineRule="auto"/>
              <w:rPr>
                <w:sz w:val="20"/>
                <w:szCs w:val="22"/>
              </w:rPr>
            </w:pPr>
            <w:r w:rsidRPr="00A841EC">
              <w:rPr>
                <w:sz w:val="20"/>
                <w:szCs w:val="22"/>
              </w:rPr>
              <w:t>Condensing</w:t>
            </w:r>
          </w:p>
        </w:tc>
        <w:tc>
          <w:tcPr>
            <w:tcW w:w="1980" w:type="dxa"/>
            <w:vAlign w:val="center"/>
            <w:hideMark/>
          </w:tcPr>
          <w:p w14:paraId="67656E3C" w14:textId="77777777" w:rsidR="004206DC" w:rsidRPr="00A841EC" w:rsidRDefault="004206DC" w:rsidP="00492CE7">
            <w:pPr>
              <w:spacing w:before="0" w:after="0" w:line="240" w:lineRule="auto"/>
              <w:ind w:right="888"/>
              <w:jc w:val="right"/>
              <w:rPr>
                <w:sz w:val="20"/>
                <w:szCs w:val="22"/>
              </w:rPr>
            </w:pPr>
            <w:r w:rsidRPr="00A841EC">
              <w:rPr>
                <w:sz w:val="20"/>
                <w:szCs w:val="22"/>
              </w:rPr>
              <w:t>62</w:t>
            </w:r>
          </w:p>
        </w:tc>
        <w:tc>
          <w:tcPr>
            <w:tcW w:w="1890" w:type="dxa"/>
            <w:tcMar>
              <w:top w:w="15" w:type="dxa"/>
              <w:left w:w="15" w:type="dxa"/>
              <w:bottom w:w="0" w:type="dxa"/>
              <w:right w:w="15" w:type="dxa"/>
            </w:tcMar>
            <w:vAlign w:val="center"/>
            <w:hideMark/>
          </w:tcPr>
          <w:p w14:paraId="3942E05E" w14:textId="561C2175" w:rsidR="004206DC" w:rsidRPr="00A841EC" w:rsidRDefault="00FE6842" w:rsidP="00D16B89">
            <w:pPr>
              <w:spacing w:before="0" w:after="0" w:line="240" w:lineRule="auto"/>
              <w:ind w:right="610"/>
              <w:jc w:val="right"/>
              <w:rPr>
                <w:sz w:val="20"/>
                <w:szCs w:val="22"/>
              </w:rPr>
            </w:pPr>
            <w:r w:rsidRPr="00A841EC">
              <w:rPr>
                <w:sz w:val="20"/>
                <w:szCs w:val="22"/>
              </w:rPr>
              <w:t>$</w:t>
            </w:r>
            <w:r w:rsidR="004206DC" w:rsidRPr="00A841EC">
              <w:rPr>
                <w:sz w:val="20"/>
                <w:szCs w:val="22"/>
              </w:rPr>
              <w:t>1,239</w:t>
            </w:r>
          </w:p>
        </w:tc>
        <w:tc>
          <w:tcPr>
            <w:tcW w:w="1440" w:type="dxa"/>
            <w:vAlign w:val="center"/>
            <w:hideMark/>
          </w:tcPr>
          <w:p w14:paraId="55A6578E" w14:textId="77777777" w:rsidR="004206DC" w:rsidRPr="00A841EC" w:rsidRDefault="004206DC" w:rsidP="00492CE7">
            <w:pPr>
              <w:spacing w:before="0" w:after="0" w:line="240" w:lineRule="auto"/>
              <w:ind w:right="528"/>
              <w:jc w:val="right"/>
              <w:rPr>
                <w:sz w:val="20"/>
                <w:szCs w:val="22"/>
              </w:rPr>
            </w:pPr>
            <w:r w:rsidRPr="00A841EC">
              <w:rPr>
                <w:sz w:val="20"/>
                <w:szCs w:val="22"/>
              </w:rPr>
              <w:t>$695</w:t>
            </w:r>
          </w:p>
        </w:tc>
      </w:tr>
    </w:tbl>
    <w:p w14:paraId="26613063" w14:textId="1141E96B" w:rsidR="004206DC" w:rsidRPr="00A841EC" w:rsidRDefault="004206DC" w:rsidP="009804B5">
      <w:pPr>
        <w:spacing w:before="0" w:after="0" w:line="240" w:lineRule="auto"/>
      </w:pPr>
    </w:p>
    <w:p w14:paraId="4ADF5F97" w14:textId="3726DEFD" w:rsidR="004206DC" w:rsidRPr="00A841EC" w:rsidRDefault="004206DC" w:rsidP="00492CE7">
      <w:r w:rsidRPr="00A841EC">
        <w:rPr>
          <w:b/>
          <w:bCs/>
        </w:rPr>
        <w:t>Efficient Direct Vent Gas Fireplaces in Oregon</w:t>
      </w:r>
      <w:r w:rsidR="00536DD2" w:rsidRPr="00A841EC">
        <w:rPr>
          <w:b/>
          <w:bCs/>
        </w:rPr>
        <w:t xml:space="preserve"> (Cadmus, 2013).</w:t>
      </w:r>
      <w:r w:rsidR="00492CE7" w:rsidRPr="00A841EC">
        <w:rPr>
          <w:rStyle w:val="FootnoteReference"/>
        </w:rPr>
        <w:footnoteReference w:id="2"/>
      </w:r>
      <w:r w:rsidR="00536DD2" w:rsidRPr="00A841EC">
        <w:rPr>
          <w:b/>
          <w:bCs/>
        </w:rPr>
        <w:t xml:space="preserve"> </w:t>
      </w:r>
      <w:r w:rsidRPr="00A841EC">
        <w:t>To assess the appropriateness of the incentives</w:t>
      </w:r>
      <w:r w:rsidR="00FE6842" w:rsidRPr="00A841EC">
        <w:t xml:space="preserve"> </w:t>
      </w:r>
      <w:r w:rsidR="00492CE7" w:rsidRPr="00A841EC">
        <w:t xml:space="preserve">for </w:t>
      </w:r>
      <w:r w:rsidR="00FE6842" w:rsidRPr="00A841EC">
        <w:t>and to better understand the market for direct-vent gas fireplaces</w:t>
      </w:r>
      <w:r w:rsidRPr="00A841EC">
        <w:t xml:space="preserve">, </w:t>
      </w:r>
      <w:r w:rsidR="00492CE7" w:rsidRPr="00A841EC">
        <w:t xml:space="preserve">the Energy Trust of Oregon (ETO) </w:t>
      </w:r>
      <w:r w:rsidR="00FE6842" w:rsidRPr="00A841EC">
        <w:t xml:space="preserve">administered </w:t>
      </w:r>
      <w:r w:rsidRPr="00A841EC">
        <w:t>a survey of Oregon hearth</w:t>
      </w:r>
      <w:r w:rsidR="00FE6842" w:rsidRPr="00A841EC">
        <w:t xml:space="preserve"> dealers</w:t>
      </w:r>
      <w:r w:rsidRPr="00A841EC">
        <w:t xml:space="preserve">. </w:t>
      </w:r>
      <w:r w:rsidR="00FE6842" w:rsidRPr="00A841EC">
        <w:t>Key results are noted below:</w:t>
      </w:r>
    </w:p>
    <w:p w14:paraId="766313A5" w14:textId="6A5E94E8" w:rsidR="004206DC" w:rsidRPr="00A841EC" w:rsidRDefault="004206DC" w:rsidP="000A2317">
      <w:pPr>
        <w:pStyle w:val="eTRMBulletedText"/>
      </w:pPr>
      <w:r w:rsidRPr="00A841EC">
        <w:t>Vendors believe customer concern</w:t>
      </w:r>
      <w:r w:rsidR="004B7067" w:rsidRPr="00A841EC">
        <w:t>s</w:t>
      </w:r>
      <w:r w:rsidRPr="00A841EC">
        <w:t xml:space="preserve"> about heating efficiency is increasing</w:t>
      </w:r>
      <w:r w:rsidR="004B7067" w:rsidRPr="00A841EC">
        <w:t>.</w:t>
      </w:r>
    </w:p>
    <w:p w14:paraId="51F5A171" w14:textId="55995468" w:rsidR="004206DC" w:rsidRPr="00A841EC" w:rsidRDefault="004206DC" w:rsidP="000A2317">
      <w:pPr>
        <w:pStyle w:val="eTRMBulletedText"/>
      </w:pPr>
      <w:r w:rsidRPr="00A841EC">
        <w:t>83% of vendors said they actively sell high efficiency direct vent gas fireplaces compared to 69% of vendors in 2009</w:t>
      </w:r>
      <w:r w:rsidR="004B7067" w:rsidRPr="00A841EC">
        <w:t>.</w:t>
      </w:r>
    </w:p>
    <w:p w14:paraId="573F59AB" w14:textId="4575FD1A" w:rsidR="004206DC" w:rsidRPr="00A841EC" w:rsidRDefault="004206DC" w:rsidP="000A2317">
      <w:pPr>
        <w:pStyle w:val="eTRMBulletedText"/>
      </w:pPr>
      <w:r w:rsidRPr="00A841EC">
        <w:t>74% of vendors said that one-half or more of their customers rely on their fireplaces as a major heat source during the heating season</w:t>
      </w:r>
      <w:r w:rsidR="004B7067" w:rsidRPr="00A841EC">
        <w:t>.</w:t>
      </w:r>
    </w:p>
    <w:p w14:paraId="345FEB5C" w14:textId="5310DFEB" w:rsidR="004206DC" w:rsidRPr="00A841EC" w:rsidRDefault="004206DC" w:rsidP="000A2317">
      <w:pPr>
        <w:pStyle w:val="eTRMBulletedText"/>
      </w:pPr>
      <w:r w:rsidRPr="00A841EC">
        <w:t>For top selling fireplaces</w:t>
      </w:r>
      <w:r w:rsidR="004B7067" w:rsidRPr="00A841EC">
        <w:t>,</w:t>
      </w:r>
      <w:r w:rsidRPr="00A841EC">
        <w:t xml:space="preserve"> where FE ratings were available, the average rating was 68 compared to an average rating of 61 in 2009.</w:t>
      </w:r>
    </w:p>
    <w:p w14:paraId="5ED4F406" w14:textId="77777777" w:rsidR="004206DC" w:rsidRPr="00A841EC" w:rsidRDefault="004206DC" w:rsidP="000A2317">
      <w:pPr>
        <w:pStyle w:val="eTRMBulletedText"/>
      </w:pPr>
      <w:r w:rsidRPr="00A841EC">
        <w:t>Based upon vendor reports, the prices across all 74 top models ranged from $1,076 to $4,500, with an average price of $2,653. More efficient models have higher average prices.</w:t>
      </w:r>
    </w:p>
    <w:p w14:paraId="2AA26E96" w14:textId="79529F3C" w:rsidR="004206DC" w:rsidRPr="00A841EC" w:rsidRDefault="004206DC" w:rsidP="000A2317">
      <w:pPr>
        <w:pStyle w:val="eTRMBulletedText"/>
      </w:pPr>
      <w:r w:rsidRPr="00A841EC">
        <w:t>The average cost to install and vent three types of direct vent gas fireplaces ranged from $838 for fireplace inserts to $947 for free-standing fireplaces/stoves and to $975 for zero clearance fireplaces.</w:t>
      </w:r>
    </w:p>
    <w:p w14:paraId="3FD6CEB4" w14:textId="03DDD97B" w:rsidR="004206DC" w:rsidRPr="00A841EC" w:rsidRDefault="004206DC" w:rsidP="004206DC">
      <w:bookmarkStart w:id="7" w:name="_Ref531766484"/>
      <w:r w:rsidRPr="00A841EC">
        <w:rPr>
          <w:b/>
          <w:bCs/>
        </w:rPr>
        <w:t>Northwest Natural’s 2015 Energy Efficiency Plan</w:t>
      </w:r>
      <w:bookmarkEnd w:id="7"/>
      <w:r w:rsidR="0008141A" w:rsidRPr="00A841EC">
        <w:rPr>
          <w:b/>
          <w:bCs/>
        </w:rPr>
        <w:t xml:space="preserve"> (Northwest Natural, 2014</w:t>
      </w:r>
      <w:r w:rsidR="00536DD2" w:rsidRPr="00A841EC">
        <w:rPr>
          <w:b/>
          <w:bCs/>
        </w:rPr>
        <w:t>.</w:t>
      </w:r>
      <w:r w:rsidR="0008141A" w:rsidRPr="00A841EC">
        <w:rPr>
          <w:vertAlign w:val="superscript"/>
        </w:rPr>
        <w:footnoteReference w:id="3"/>
      </w:r>
      <w:r w:rsidR="00536DD2" w:rsidRPr="00A841EC">
        <w:rPr>
          <w:b/>
          <w:bCs/>
        </w:rPr>
        <w:t xml:space="preserve"> </w:t>
      </w:r>
      <w:r w:rsidRPr="00A841EC">
        <w:t xml:space="preserve">Northwest Natural (NW Natural) began </w:t>
      </w:r>
      <w:r w:rsidR="00585817" w:rsidRPr="00A841EC">
        <w:t xml:space="preserve">to offer </w:t>
      </w:r>
      <w:r w:rsidRPr="00A841EC">
        <w:t xml:space="preserve">its current energy efficiency programs to Washington customers on October 1, 2009. The Washington Utilities and Transportation Commission (“WUTC”) Order No. 04 in the </w:t>
      </w:r>
      <w:r w:rsidR="00585817" w:rsidRPr="00A841EC">
        <w:t>c</w:t>
      </w:r>
      <w:r w:rsidRPr="00A841EC">
        <w:t xml:space="preserve">ompany’s 2008 rate case, docketed as UG-080546, directed NW Natural to create and begin offering a program. NW Natural characterized </w:t>
      </w:r>
      <w:r w:rsidR="00585817" w:rsidRPr="00A841EC">
        <w:t>its</w:t>
      </w:r>
      <w:r w:rsidRPr="00A841EC">
        <w:t xml:space="preserve"> gas fireplace measures </w:t>
      </w:r>
      <w:r w:rsidR="00585817" w:rsidRPr="00A841EC">
        <w:t>in its</w:t>
      </w:r>
      <w:r w:rsidRPr="00A841EC">
        <w:t xml:space="preserve"> 2015 Energy Efficiency Plan. </w:t>
      </w:r>
    </w:p>
    <w:p w14:paraId="4A12E8CE" w14:textId="46C14B79" w:rsidR="004206DC" w:rsidRPr="00A841EC" w:rsidRDefault="0008141A" w:rsidP="000A2317">
      <w:pPr>
        <w:pStyle w:val="eTRMBulletedText"/>
      </w:pPr>
      <w:r w:rsidRPr="00A841EC">
        <w:t>B</w:t>
      </w:r>
      <w:r w:rsidR="004206DC" w:rsidRPr="00A841EC">
        <w:t xml:space="preserve">aseline FE of 66.8% </w:t>
      </w:r>
      <w:r w:rsidRPr="00A841EC">
        <w:t>estimated from</w:t>
      </w:r>
      <w:r w:rsidR="004206DC" w:rsidRPr="00A841EC">
        <w:t xml:space="preserve"> vendor survey</w:t>
      </w:r>
      <w:r w:rsidRPr="00A841EC">
        <w:t xml:space="preserve"> data</w:t>
      </w:r>
      <w:r w:rsidR="004206DC" w:rsidRPr="00A841EC">
        <w:t>.</w:t>
      </w:r>
    </w:p>
    <w:p w14:paraId="4B9BB2FF" w14:textId="64071C01" w:rsidR="004206DC" w:rsidRPr="00A841EC" w:rsidRDefault="004206DC" w:rsidP="00A04BF1">
      <w:pPr>
        <w:pStyle w:val="eTRMBulletedText"/>
      </w:pPr>
      <w:r w:rsidRPr="00A841EC">
        <w:t>Proposed efficiency-based measure tiers</w:t>
      </w:r>
      <w:r w:rsidR="0008141A" w:rsidRPr="00A841EC">
        <w:t xml:space="preserve"> specified below</w:t>
      </w:r>
      <w:r w:rsidR="000A2317" w:rsidRPr="00A841EC">
        <w:t>:</w:t>
      </w:r>
    </w:p>
    <w:tbl>
      <w:tblPr>
        <w:tblStyle w:val="TableGrid"/>
        <w:tblW w:w="5035" w:type="dxa"/>
        <w:tblInd w:w="720" w:type="dxa"/>
        <w:tblBorders>
          <w:bottom w:val="single" w:sz="4" w:space="0" w:color="808080" w:themeColor="background1" w:themeShade="80"/>
        </w:tblBorders>
        <w:tblLook w:val="04A0" w:firstRow="1" w:lastRow="0" w:firstColumn="1" w:lastColumn="0" w:noHBand="0" w:noVBand="1"/>
      </w:tblPr>
      <w:tblGrid>
        <w:gridCol w:w="1777"/>
        <w:gridCol w:w="1908"/>
        <w:gridCol w:w="1350"/>
      </w:tblGrid>
      <w:tr w:rsidR="004206DC" w:rsidRPr="00A841EC" w14:paraId="27E6C83E" w14:textId="77777777" w:rsidTr="00D16B89">
        <w:tc>
          <w:tcPr>
            <w:tcW w:w="1777" w:type="dxa"/>
            <w:shd w:val="clear" w:color="auto" w:fill="F2F2F2" w:themeFill="background1" w:themeFillShade="F2"/>
            <w:vAlign w:val="center"/>
            <w:hideMark/>
          </w:tcPr>
          <w:p w14:paraId="2F2EABCB" w14:textId="77777777" w:rsidR="004206DC" w:rsidRPr="00A841EC" w:rsidRDefault="004206DC" w:rsidP="0008141A">
            <w:pPr>
              <w:spacing w:before="0" w:after="0" w:line="240" w:lineRule="auto"/>
              <w:jc w:val="center"/>
              <w:rPr>
                <w:b/>
                <w:sz w:val="20"/>
                <w:szCs w:val="22"/>
              </w:rPr>
            </w:pPr>
            <w:r w:rsidRPr="00A841EC">
              <w:rPr>
                <w:b/>
                <w:sz w:val="20"/>
                <w:szCs w:val="22"/>
              </w:rPr>
              <w:t>Efficiency Tiers</w:t>
            </w:r>
          </w:p>
        </w:tc>
        <w:tc>
          <w:tcPr>
            <w:tcW w:w="1908" w:type="dxa"/>
            <w:shd w:val="clear" w:color="auto" w:fill="F2F2F2" w:themeFill="background1" w:themeFillShade="F2"/>
            <w:vAlign w:val="center"/>
            <w:hideMark/>
          </w:tcPr>
          <w:p w14:paraId="2C814557" w14:textId="7FCA3F88" w:rsidR="004206DC" w:rsidRPr="00A841EC" w:rsidRDefault="004206DC" w:rsidP="0008141A">
            <w:pPr>
              <w:spacing w:before="0" w:after="0" w:line="240" w:lineRule="auto"/>
              <w:jc w:val="center"/>
              <w:rPr>
                <w:b/>
                <w:sz w:val="20"/>
                <w:szCs w:val="22"/>
              </w:rPr>
            </w:pPr>
            <w:r w:rsidRPr="00A841EC">
              <w:rPr>
                <w:b/>
                <w:sz w:val="20"/>
                <w:szCs w:val="22"/>
              </w:rPr>
              <w:t xml:space="preserve">Annual Gas Savings </w:t>
            </w:r>
            <w:r w:rsidR="000A2317" w:rsidRPr="00A841EC">
              <w:rPr>
                <w:b/>
                <w:sz w:val="20"/>
                <w:szCs w:val="22"/>
              </w:rPr>
              <w:t>(</w:t>
            </w:r>
            <w:r w:rsidRPr="00A841EC">
              <w:rPr>
                <w:b/>
                <w:sz w:val="20"/>
                <w:szCs w:val="22"/>
              </w:rPr>
              <w:t>Therms</w:t>
            </w:r>
            <w:r w:rsidR="000A2317" w:rsidRPr="00A841EC">
              <w:rPr>
                <w:b/>
                <w:sz w:val="20"/>
                <w:szCs w:val="22"/>
              </w:rPr>
              <w:t>)</w:t>
            </w:r>
          </w:p>
        </w:tc>
        <w:tc>
          <w:tcPr>
            <w:tcW w:w="1350" w:type="dxa"/>
            <w:shd w:val="clear" w:color="auto" w:fill="F2F2F2" w:themeFill="background1" w:themeFillShade="F2"/>
            <w:vAlign w:val="center"/>
            <w:hideMark/>
          </w:tcPr>
          <w:p w14:paraId="764DF617" w14:textId="77777777" w:rsidR="004206DC" w:rsidRPr="00A841EC" w:rsidRDefault="004206DC" w:rsidP="0008141A">
            <w:pPr>
              <w:spacing w:before="0" w:after="0" w:line="240" w:lineRule="auto"/>
              <w:jc w:val="center"/>
              <w:rPr>
                <w:b/>
                <w:sz w:val="20"/>
                <w:szCs w:val="22"/>
              </w:rPr>
            </w:pPr>
            <w:r w:rsidRPr="00A841EC">
              <w:rPr>
                <w:b/>
                <w:sz w:val="20"/>
                <w:szCs w:val="22"/>
              </w:rPr>
              <w:t>Incremental Cost</w:t>
            </w:r>
          </w:p>
        </w:tc>
      </w:tr>
      <w:tr w:rsidR="004206DC" w:rsidRPr="00A841EC" w14:paraId="7350BA7C" w14:textId="77777777" w:rsidTr="00D16B89">
        <w:tc>
          <w:tcPr>
            <w:tcW w:w="1777" w:type="dxa"/>
            <w:hideMark/>
          </w:tcPr>
          <w:p w14:paraId="5B9CBDFA" w14:textId="77777777" w:rsidR="004206DC" w:rsidRPr="00A841EC" w:rsidRDefault="004206DC" w:rsidP="0008141A">
            <w:pPr>
              <w:spacing w:before="0" w:after="0" w:line="240" w:lineRule="auto"/>
              <w:rPr>
                <w:sz w:val="20"/>
                <w:szCs w:val="22"/>
              </w:rPr>
            </w:pPr>
            <w:r w:rsidRPr="00A841EC">
              <w:rPr>
                <w:sz w:val="20"/>
                <w:szCs w:val="22"/>
              </w:rPr>
              <w:t>70% FE to 74% FE</w:t>
            </w:r>
          </w:p>
        </w:tc>
        <w:tc>
          <w:tcPr>
            <w:tcW w:w="1908" w:type="dxa"/>
            <w:vAlign w:val="center"/>
            <w:hideMark/>
          </w:tcPr>
          <w:p w14:paraId="2730F64A" w14:textId="77777777" w:rsidR="004206DC" w:rsidRPr="00A841EC" w:rsidRDefault="004206DC" w:rsidP="0008141A">
            <w:pPr>
              <w:spacing w:before="0" w:after="0" w:line="240" w:lineRule="auto"/>
              <w:jc w:val="center"/>
              <w:rPr>
                <w:sz w:val="20"/>
                <w:szCs w:val="22"/>
              </w:rPr>
            </w:pPr>
            <w:r w:rsidRPr="00A841EC">
              <w:rPr>
                <w:sz w:val="20"/>
                <w:szCs w:val="22"/>
              </w:rPr>
              <w:t>79.4</w:t>
            </w:r>
          </w:p>
        </w:tc>
        <w:tc>
          <w:tcPr>
            <w:tcW w:w="1350" w:type="dxa"/>
            <w:vAlign w:val="center"/>
            <w:hideMark/>
          </w:tcPr>
          <w:p w14:paraId="1C653FE3" w14:textId="77777777" w:rsidR="004206DC" w:rsidRPr="00A841EC" w:rsidRDefault="004206DC" w:rsidP="00D16B89">
            <w:pPr>
              <w:spacing w:before="0" w:after="0" w:line="240" w:lineRule="auto"/>
              <w:ind w:right="313"/>
              <w:jc w:val="right"/>
              <w:rPr>
                <w:sz w:val="20"/>
                <w:szCs w:val="22"/>
              </w:rPr>
            </w:pPr>
            <w:r w:rsidRPr="00A841EC">
              <w:rPr>
                <w:sz w:val="20"/>
                <w:szCs w:val="22"/>
              </w:rPr>
              <w:t>$1</w:t>
            </w:r>
          </w:p>
        </w:tc>
      </w:tr>
      <w:tr w:rsidR="004206DC" w:rsidRPr="00A841EC" w14:paraId="76E53C8F" w14:textId="77777777" w:rsidTr="00D16B89">
        <w:tc>
          <w:tcPr>
            <w:tcW w:w="1777" w:type="dxa"/>
            <w:hideMark/>
          </w:tcPr>
          <w:p w14:paraId="7B0F0AC6" w14:textId="77777777" w:rsidR="004206DC" w:rsidRPr="00A841EC" w:rsidRDefault="004206DC" w:rsidP="0008141A">
            <w:pPr>
              <w:spacing w:before="0" w:after="0" w:line="240" w:lineRule="auto"/>
              <w:rPr>
                <w:sz w:val="20"/>
                <w:szCs w:val="22"/>
              </w:rPr>
            </w:pPr>
            <w:r w:rsidRPr="00A841EC">
              <w:rPr>
                <w:sz w:val="20"/>
                <w:szCs w:val="22"/>
              </w:rPr>
              <w:t>75% FE and above</w:t>
            </w:r>
          </w:p>
        </w:tc>
        <w:tc>
          <w:tcPr>
            <w:tcW w:w="1908" w:type="dxa"/>
            <w:vAlign w:val="center"/>
            <w:hideMark/>
          </w:tcPr>
          <w:p w14:paraId="0B1D4525" w14:textId="77777777" w:rsidR="004206DC" w:rsidRPr="00A841EC" w:rsidRDefault="004206DC" w:rsidP="0008141A">
            <w:pPr>
              <w:spacing w:before="0" w:after="0" w:line="240" w:lineRule="auto"/>
              <w:jc w:val="center"/>
              <w:rPr>
                <w:sz w:val="20"/>
                <w:szCs w:val="22"/>
              </w:rPr>
            </w:pPr>
            <w:r w:rsidRPr="00A841EC">
              <w:rPr>
                <w:sz w:val="20"/>
                <w:szCs w:val="22"/>
              </w:rPr>
              <w:t>90.9</w:t>
            </w:r>
          </w:p>
        </w:tc>
        <w:tc>
          <w:tcPr>
            <w:tcW w:w="1350" w:type="dxa"/>
            <w:vAlign w:val="center"/>
            <w:hideMark/>
          </w:tcPr>
          <w:p w14:paraId="7CF24F9D" w14:textId="77777777" w:rsidR="004206DC" w:rsidRPr="00A841EC" w:rsidRDefault="004206DC" w:rsidP="00D16B89">
            <w:pPr>
              <w:spacing w:before="0" w:after="0" w:line="240" w:lineRule="auto"/>
              <w:ind w:right="313"/>
              <w:jc w:val="right"/>
              <w:rPr>
                <w:sz w:val="20"/>
                <w:szCs w:val="22"/>
              </w:rPr>
            </w:pPr>
            <w:r w:rsidRPr="00A841EC">
              <w:rPr>
                <w:sz w:val="20"/>
                <w:szCs w:val="22"/>
              </w:rPr>
              <w:t>$173</w:t>
            </w:r>
          </w:p>
        </w:tc>
      </w:tr>
    </w:tbl>
    <w:p w14:paraId="6ADDE231" w14:textId="796D8CED" w:rsidR="004206DC" w:rsidRPr="00A841EC" w:rsidRDefault="00585817" w:rsidP="000A2317">
      <w:pPr>
        <w:pStyle w:val="eTRMBulletedText"/>
      </w:pPr>
      <w:r w:rsidRPr="00A841EC">
        <w:t>Estimated b</w:t>
      </w:r>
      <w:r w:rsidR="004206DC" w:rsidRPr="00A841EC">
        <w:t xml:space="preserve">urner ON time </w:t>
      </w:r>
      <w:r w:rsidRPr="00A841EC">
        <w:t>of</w:t>
      </w:r>
      <w:r w:rsidR="004206DC" w:rsidRPr="00A841EC">
        <w:t xml:space="preserve"> 15 h</w:t>
      </w:r>
      <w:r w:rsidRPr="00A841EC">
        <w:t>rs</w:t>
      </w:r>
      <w:r w:rsidR="004206DC" w:rsidRPr="00A841EC">
        <w:t>/w</w:t>
      </w:r>
      <w:r w:rsidRPr="00A841EC">
        <w:t>ee</w:t>
      </w:r>
      <w:r w:rsidR="004206DC" w:rsidRPr="00A841EC">
        <w:t>k during a 40-week heating season (</w:t>
      </w:r>
      <w:r w:rsidRPr="00A841EC">
        <w:t xml:space="preserve">total of </w:t>
      </w:r>
      <w:r w:rsidR="004206DC" w:rsidRPr="00A841EC">
        <w:t>600 burner ON hours)</w:t>
      </w:r>
    </w:p>
    <w:p w14:paraId="5D3B70BA" w14:textId="2624F032" w:rsidR="004206DC" w:rsidRPr="00A841EC" w:rsidRDefault="004206DC" w:rsidP="000A2317">
      <w:pPr>
        <w:pStyle w:val="eTRMBulletedText"/>
      </w:pPr>
      <w:r w:rsidRPr="00A841EC">
        <w:t>Pilot light input rate assumed to be 900 Btu/h</w:t>
      </w:r>
      <w:r w:rsidR="00585817" w:rsidRPr="00A841EC">
        <w:t>r</w:t>
      </w:r>
    </w:p>
    <w:p w14:paraId="4C608462" w14:textId="721F70EC" w:rsidR="004206DC" w:rsidRPr="00A841EC" w:rsidRDefault="004206DC" w:rsidP="000A2317">
      <w:pPr>
        <w:pStyle w:val="eTRMBulletedText"/>
      </w:pPr>
      <w:r w:rsidRPr="00A841EC">
        <w:lastRenderedPageBreak/>
        <w:t>Representative input rate of the burner is assumed to be 33,000 Btu/h</w:t>
      </w:r>
      <w:r w:rsidR="00585817" w:rsidRPr="00A841EC">
        <w:t>r</w:t>
      </w:r>
    </w:p>
    <w:p w14:paraId="2DC38443" w14:textId="3B3F6998" w:rsidR="004206DC" w:rsidRPr="00A841EC" w:rsidRDefault="004206DC" w:rsidP="000A2317">
      <w:pPr>
        <w:pStyle w:val="eTRMBulletedText"/>
      </w:pPr>
      <w:r w:rsidRPr="00A841EC">
        <w:t>Net</w:t>
      </w:r>
      <w:r w:rsidR="00585817" w:rsidRPr="00A841EC">
        <w:t>-</w:t>
      </w:r>
      <w:r w:rsidRPr="00A841EC">
        <w:t>to</w:t>
      </w:r>
      <w:r w:rsidR="00585817" w:rsidRPr="00A841EC">
        <w:t>-g</w:t>
      </w:r>
      <w:r w:rsidRPr="00A841EC">
        <w:t xml:space="preserve">ross </w:t>
      </w:r>
      <w:r w:rsidR="00585817" w:rsidRPr="00A841EC">
        <w:t>r</w:t>
      </w:r>
      <w:r w:rsidRPr="00A841EC">
        <w:t>atio assumed to be 0.81</w:t>
      </w:r>
    </w:p>
    <w:p w14:paraId="40B5BDF4" w14:textId="0AC2C310" w:rsidR="004206DC" w:rsidRPr="00A841EC" w:rsidRDefault="00585817" w:rsidP="000A2317">
      <w:pPr>
        <w:pStyle w:val="eTRMBulletedText"/>
      </w:pPr>
      <w:r w:rsidRPr="00A841EC">
        <w:t>Estimated m</w:t>
      </w:r>
      <w:r w:rsidR="004206DC" w:rsidRPr="00A841EC">
        <w:t xml:space="preserve">easure life </w:t>
      </w:r>
      <w:r w:rsidRPr="00A841EC">
        <w:t xml:space="preserve">of </w:t>
      </w:r>
      <w:r w:rsidR="004206DC" w:rsidRPr="00A841EC">
        <w:t>20 years</w:t>
      </w:r>
    </w:p>
    <w:p w14:paraId="688D8B2D" w14:textId="3651605B" w:rsidR="004206DC" w:rsidRPr="00A841EC" w:rsidRDefault="004206DC" w:rsidP="000A2317">
      <w:r w:rsidRPr="00A841EC">
        <w:t>.</w:t>
      </w:r>
    </w:p>
    <w:p w14:paraId="2AE72009" w14:textId="3EC6B491" w:rsidR="004206DC" w:rsidRPr="00A841EC" w:rsidRDefault="004206DC" w:rsidP="004206DC">
      <w:r w:rsidRPr="00A841EC">
        <w:rPr>
          <w:b/>
          <w:bCs/>
        </w:rPr>
        <w:t>Survey of Hearth Products in U.S. Homes</w:t>
      </w:r>
      <w:r w:rsidR="009D70E5" w:rsidRPr="00A841EC">
        <w:rPr>
          <w:b/>
          <w:bCs/>
        </w:rPr>
        <w:t xml:space="preserve"> (Lawrence Berkeley National Laboratory, 2017)</w:t>
      </w:r>
      <w:r w:rsidR="00B14312" w:rsidRPr="00A841EC">
        <w:rPr>
          <w:b/>
          <w:bCs/>
        </w:rPr>
        <w:t>.</w:t>
      </w:r>
      <w:r w:rsidR="005C4A7F" w:rsidRPr="00A841EC">
        <w:rPr>
          <w:rStyle w:val="FootnoteReference"/>
        </w:rPr>
        <w:footnoteReference w:id="4"/>
      </w:r>
      <w:r w:rsidR="00B14312" w:rsidRPr="00A841EC">
        <w:rPr>
          <w:b/>
          <w:bCs/>
        </w:rPr>
        <w:t xml:space="preserve"> </w:t>
      </w:r>
      <w:r w:rsidRPr="00A841EC">
        <w:t xml:space="preserve">Lawrence Berkeley National Laboratory (LBNL) published a survey of hearth product characteristics, usage information, and repair and maintenance practices in June 2017. This survey compiled </w:t>
      </w:r>
      <w:r w:rsidR="009D70E5" w:rsidRPr="00A841EC">
        <w:t xml:space="preserve">results of </w:t>
      </w:r>
      <w:r w:rsidRPr="00A841EC">
        <w:t>past surveys and metering studies.</w:t>
      </w:r>
      <w:r w:rsidR="00CC1338" w:rsidRPr="00A841EC">
        <w:t xml:space="preserve"> Results relevant to this measure include:</w:t>
      </w:r>
    </w:p>
    <w:p w14:paraId="399690DE" w14:textId="77777777" w:rsidR="004206DC" w:rsidRPr="00A841EC" w:rsidRDefault="004206DC" w:rsidP="000A2317">
      <w:pPr>
        <w:pStyle w:val="eTRMBulletedText"/>
      </w:pPr>
      <w:r w:rsidRPr="00A841EC">
        <w:t>National average burner ON time reported as 234 hours</w:t>
      </w:r>
    </w:p>
    <w:p w14:paraId="60405E00" w14:textId="77777777" w:rsidR="004206DC" w:rsidRPr="00A841EC" w:rsidRDefault="004206DC" w:rsidP="000A2317">
      <w:pPr>
        <w:pStyle w:val="eTRMBulletedText"/>
      </w:pPr>
      <w:r w:rsidRPr="00A841EC">
        <w:t>National average pilot ON time reported as 4593 hours</w:t>
      </w:r>
    </w:p>
    <w:p w14:paraId="20631F89" w14:textId="2B2CD2B2" w:rsidR="004206DC" w:rsidRPr="00A841EC" w:rsidRDefault="004206DC" w:rsidP="000A2317">
      <w:pPr>
        <w:pStyle w:val="eTRMBulletedText"/>
      </w:pPr>
      <w:r w:rsidRPr="00A841EC">
        <w:t>Pilot light input rate of 1000 Btu/h</w:t>
      </w:r>
      <w:r w:rsidR="005C4A7F" w:rsidRPr="00A841EC">
        <w:t>r</w:t>
      </w:r>
      <w:r w:rsidRPr="00A841EC">
        <w:t xml:space="preserve"> for fireplaces, inserts, and stoves and 700 Btu/h for log sets.</w:t>
      </w:r>
    </w:p>
    <w:p w14:paraId="15BD9613" w14:textId="39EAC2AF" w:rsidR="004206DC" w:rsidRPr="00A841EC" w:rsidRDefault="004206DC" w:rsidP="000A2317">
      <w:pPr>
        <w:pStyle w:val="eTRMBulletedText"/>
      </w:pPr>
      <w:r w:rsidRPr="00A841EC">
        <w:t>Burner input rate reported as 35,000 Btu/h</w:t>
      </w:r>
      <w:r w:rsidR="005C4A7F" w:rsidRPr="00A841EC">
        <w:t>r</w:t>
      </w:r>
      <w:r w:rsidRPr="00A841EC">
        <w:t>.</w:t>
      </w:r>
    </w:p>
    <w:p w14:paraId="6B3153D5" w14:textId="77777777" w:rsidR="00424F73" w:rsidRPr="00A841EC" w:rsidRDefault="00424F73" w:rsidP="005C4A7F"/>
    <w:p w14:paraId="5AF18021" w14:textId="77777777" w:rsidR="007D230B" w:rsidRPr="00A841EC" w:rsidRDefault="007D230B" w:rsidP="007E3A1D">
      <w:pPr>
        <w:pStyle w:val="eTRMHeading3"/>
      </w:pPr>
      <w:bookmarkStart w:id="8" w:name="_Toc486490848"/>
      <w:bookmarkStart w:id="9" w:name="_Toc486580919"/>
      <w:bookmarkStart w:id="10" w:name="_Toc23836593"/>
      <w:r w:rsidRPr="00A841EC">
        <w:t>Measure Case Description</w:t>
      </w:r>
      <w:bookmarkEnd w:id="8"/>
      <w:bookmarkEnd w:id="9"/>
      <w:bookmarkEnd w:id="10"/>
    </w:p>
    <w:p w14:paraId="1782EF3C" w14:textId="601162D3" w:rsidR="001748BD" w:rsidRPr="00A841EC" w:rsidRDefault="00523F9B" w:rsidP="00DC6BAC">
      <w:r w:rsidRPr="00A841EC">
        <w:t xml:space="preserve">The measure case is defined as </w:t>
      </w:r>
      <w:r w:rsidR="00DC6BAC" w:rsidRPr="00A841EC">
        <w:t xml:space="preserve">a </w:t>
      </w:r>
      <w:r w:rsidR="009D70E5" w:rsidRPr="00A841EC">
        <w:t>high efficiency</w:t>
      </w:r>
      <w:r w:rsidR="00DC6BAC" w:rsidRPr="00A841EC">
        <w:t xml:space="preserve"> gas fireplace</w:t>
      </w:r>
      <w:r w:rsidR="009D70E5" w:rsidRPr="00A841EC">
        <w:t xml:space="preserve">, defined in by </w:t>
      </w:r>
      <w:r w:rsidR="00DC6BAC" w:rsidRPr="00A841EC">
        <w:t xml:space="preserve">two </w:t>
      </w:r>
      <w:r w:rsidR="009D70E5" w:rsidRPr="00A841EC">
        <w:t xml:space="preserve">fireplace efficiency (FE) </w:t>
      </w:r>
      <w:r w:rsidR="00DC6BAC" w:rsidRPr="00A841EC">
        <w:t xml:space="preserve">tiers: </w:t>
      </w:r>
    </w:p>
    <w:p w14:paraId="1228E349" w14:textId="0E35D5DB" w:rsidR="00DC6BAC" w:rsidRPr="00A841EC" w:rsidRDefault="00DC6BAC" w:rsidP="00A04BF1">
      <w:pPr>
        <w:pStyle w:val="Caption"/>
      </w:pPr>
      <w:bookmarkStart w:id="11" w:name="_Toc526322816"/>
      <w:r w:rsidRPr="00A841EC">
        <w:t>Measures Offerings</w:t>
      </w:r>
      <w:bookmarkEnd w:id="11"/>
    </w:p>
    <w:tbl>
      <w:tblPr>
        <w:tblStyle w:val="TableGrid1"/>
        <w:tblW w:w="5000" w:type="pct"/>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ook w:val="04A0" w:firstRow="1" w:lastRow="0" w:firstColumn="1" w:lastColumn="0" w:noHBand="0" w:noVBand="1"/>
      </w:tblPr>
      <w:tblGrid>
        <w:gridCol w:w="1801"/>
        <w:gridCol w:w="1801"/>
        <w:gridCol w:w="5748"/>
      </w:tblGrid>
      <w:tr w:rsidR="007E3A1D" w:rsidRPr="00A841EC" w14:paraId="1E5212E1" w14:textId="0859B2C3" w:rsidTr="00D16B89">
        <w:trPr>
          <w:trHeight w:val="144"/>
        </w:trPr>
        <w:tc>
          <w:tcPr>
            <w:tcW w:w="963" w:type="pct"/>
            <w:shd w:val="clear" w:color="auto" w:fill="F2F2F2" w:themeFill="background1" w:themeFillShade="F2"/>
            <w:vAlign w:val="bottom"/>
          </w:tcPr>
          <w:p w14:paraId="093485C9" w14:textId="2296CBCC" w:rsidR="007E3A1D" w:rsidRPr="00A841EC" w:rsidRDefault="007E3A1D" w:rsidP="007147C9">
            <w:pPr>
              <w:spacing w:before="0" w:after="0" w:line="240" w:lineRule="auto"/>
              <w:jc w:val="center"/>
              <w:rPr>
                <w:rFonts w:cs="Calibri Light"/>
                <w:b/>
                <w:bCs/>
                <w:sz w:val="20"/>
              </w:rPr>
            </w:pPr>
            <w:r w:rsidRPr="00A841EC">
              <w:rPr>
                <w:rFonts w:cs="Calibri Light"/>
                <w:b/>
                <w:bCs/>
                <w:sz w:val="20"/>
              </w:rPr>
              <w:t>FE Efficiency Tier</w:t>
            </w:r>
          </w:p>
        </w:tc>
        <w:tc>
          <w:tcPr>
            <w:tcW w:w="963" w:type="pct"/>
            <w:shd w:val="clear" w:color="auto" w:fill="F2F2F2" w:themeFill="background1" w:themeFillShade="F2"/>
            <w:vAlign w:val="bottom"/>
          </w:tcPr>
          <w:p w14:paraId="45A41826" w14:textId="701C4FF6" w:rsidR="007E3A1D" w:rsidRPr="00A841EC" w:rsidRDefault="007E3A1D" w:rsidP="007147C9">
            <w:pPr>
              <w:spacing w:before="0" w:after="0" w:line="240" w:lineRule="auto"/>
              <w:jc w:val="center"/>
              <w:rPr>
                <w:rFonts w:cs="Calibri Light"/>
                <w:b/>
                <w:bCs/>
                <w:sz w:val="20"/>
              </w:rPr>
            </w:pPr>
            <w:r w:rsidRPr="00A841EC">
              <w:rPr>
                <w:rFonts w:cs="Calibri Light"/>
                <w:b/>
                <w:bCs/>
                <w:sz w:val="20"/>
              </w:rPr>
              <w:t>Statewide Measure</w:t>
            </w:r>
          </w:p>
          <w:p w14:paraId="433F3F39" w14:textId="0232A221" w:rsidR="007E3A1D" w:rsidRPr="00A841EC" w:rsidRDefault="007E3A1D" w:rsidP="007147C9">
            <w:pPr>
              <w:spacing w:before="0" w:after="0" w:line="240" w:lineRule="auto"/>
              <w:jc w:val="center"/>
              <w:rPr>
                <w:rFonts w:cs="Calibri Light"/>
                <w:b/>
                <w:bCs/>
                <w:sz w:val="20"/>
              </w:rPr>
            </w:pPr>
            <w:r w:rsidRPr="00A841EC">
              <w:rPr>
                <w:rFonts w:cs="Calibri Light"/>
                <w:b/>
                <w:bCs/>
                <w:sz w:val="20"/>
              </w:rPr>
              <w:t>Offering ID</w:t>
            </w:r>
          </w:p>
        </w:tc>
        <w:tc>
          <w:tcPr>
            <w:tcW w:w="3074" w:type="pct"/>
            <w:shd w:val="clear" w:color="auto" w:fill="F2F2F2" w:themeFill="background1" w:themeFillShade="F2"/>
            <w:vAlign w:val="bottom"/>
          </w:tcPr>
          <w:p w14:paraId="6C694A3E" w14:textId="06FF39D1" w:rsidR="007E3A1D" w:rsidRPr="00A841EC" w:rsidRDefault="007E3A1D" w:rsidP="007147C9">
            <w:pPr>
              <w:spacing w:before="0" w:after="0" w:line="240" w:lineRule="auto"/>
              <w:jc w:val="center"/>
              <w:rPr>
                <w:rFonts w:cs="Calibri Light"/>
                <w:b/>
                <w:bCs/>
                <w:sz w:val="20"/>
              </w:rPr>
            </w:pPr>
            <w:r w:rsidRPr="00A841EC">
              <w:rPr>
                <w:rFonts w:cs="Calibri Light"/>
                <w:b/>
                <w:bCs/>
                <w:sz w:val="20"/>
              </w:rPr>
              <w:t>Measure Offering Descriptions</w:t>
            </w:r>
          </w:p>
        </w:tc>
      </w:tr>
      <w:tr w:rsidR="007E3A1D" w:rsidRPr="00A841EC" w14:paraId="20BC2910" w14:textId="6BDAEBCB" w:rsidTr="00D16B89">
        <w:trPr>
          <w:trHeight w:val="144"/>
        </w:trPr>
        <w:tc>
          <w:tcPr>
            <w:tcW w:w="963" w:type="pct"/>
            <w:vMerge w:val="restart"/>
          </w:tcPr>
          <w:p w14:paraId="0E2B2920" w14:textId="28CA93D7" w:rsidR="007E3A1D" w:rsidRPr="00A841EC" w:rsidDel="007E3A1D" w:rsidRDefault="007E3A1D" w:rsidP="007E3A1D">
            <w:pPr>
              <w:spacing w:before="0" w:after="0" w:line="240" w:lineRule="auto"/>
              <w:jc w:val="center"/>
              <w:rPr>
                <w:rFonts w:cs="Calibri Light"/>
                <w:color w:val="00B050"/>
                <w:sz w:val="20"/>
                <w:szCs w:val="18"/>
              </w:rPr>
            </w:pPr>
            <w:r w:rsidRPr="00A841EC">
              <w:rPr>
                <w:sz w:val="20"/>
                <w:szCs w:val="18"/>
              </w:rPr>
              <w:t>Tier 1: 70%-75% FE</w:t>
            </w:r>
          </w:p>
        </w:tc>
        <w:tc>
          <w:tcPr>
            <w:tcW w:w="963" w:type="pct"/>
            <w:shd w:val="clear" w:color="auto" w:fill="auto"/>
            <w:vAlign w:val="center"/>
          </w:tcPr>
          <w:p w14:paraId="4DAAFA02" w14:textId="19F15A0E" w:rsidR="007E3A1D" w:rsidRPr="00A841EC" w:rsidRDefault="00CC0229" w:rsidP="007E3A1D">
            <w:pPr>
              <w:spacing w:before="0" w:after="0" w:line="240" w:lineRule="auto"/>
              <w:jc w:val="center"/>
              <w:rPr>
                <w:rFonts w:cs="Calibri Light"/>
                <w:sz w:val="20"/>
              </w:rPr>
            </w:pPr>
            <w:r w:rsidRPr="00A841EC">
              <w:rPr>
                <w:rFonts w:cs="Calibri Light"/>
                <w:sz w:val="20"/>
              </w:rPr>
              <w:t>SWHC047</w:t>
            </w:r>
            <w:r w:rsidR="00E41FEB" w:rsidRPr="00A841EC">
              <w:rPr>
                <w:rFonts w:cs="Calibri Light"/>
                <w:sz w:val="20"/>
              </w:rPr>
              <w:t>C</w:t>
            </w:r>
          </w:p>
        </w:tc>
        <w:tc>
          <w:tcPr>
            <w:tcW w:w="3074" w:type="pct"/>
            <w:shd w:val="clear" w:color="auto" w:fill="auto"/>
          </w:tcPr>
          <w:p w14:paraId="33460860" w14:textId="061D27E0" w:rsidR="007E3A1D" w:rsidRPr="00A841EC" w:rsidRDefault="007E3A1D" w:rsidP="007E3A1D">
            <w:pPr>
              <w:spacing w:before="0" w:after="0" w:line="240" w:lineRule="auto"/>
              <w:rPr>
                <w:rFonts w:cs="Calibri Light"/>
                <w:sz w:val="20"/>
                <w:szCs w:val="18"/>
              </w:rPr>
            </w:pPr>
            <w:r w:rsidRPr="00A841EC">
              <w:rPr>
                <w:sz w:val="20"/>
                <w:szCs w:val="18"/>
              </w:rPr>
              <w:t>70% FE to 75% FE fireplace with IPL replacing a 61% FE fireplace with a continuously operating pilot light.</w:t>
            </w:r>
          </w:p>
        </w:tc>
      </w:tr>
      <w:tr w:rsidR="007E3A1D" w:rsidRPr="00A841EC" w14:paraId="7BF09B1A" w14:textId="77777777" w:rsidTr="00D16B89">
        <w:trPr>
          <w:trHeight w:val="144"/>
        </w:trPr>
        <w:tc>
          <w:tcPr>
            <w:tcW w:w="963" w:type="pct"/>
            <w:vMerge/>
          </w:tcPr>
          <w:p w14:paraId="041BB912" w14:textId="14C4DD01" w:rsidR="007E3A1D" w:rsidRPr="00A841EC" w:rsidDel="007E3A1D" w:rsidRDefault="007E3A1D" w:rsidP="00B65A0C">
            <w:pPr>
              <w:spacing w:before="0" w:after="0" w:line="240" w:lineRule="auto"/>
              <w:jc w:val="center"/>
              <w:rPr>
                <w:rFonts w:cs="Calibri Light"/>
                <w:color w:val="00B050"/>
                <w:sz w:val="20"/>
                <w:szCs w:val="18"/>
              </w:rPr>
            </w:pPr>
          </w:p>
        </w:tc>
        <w:tc>
          <w:tcPr>
            <w:tcW w:w="963" w:type="pct"/>
            <w:shd w:val="clear" w:color="auto" w:fill="auto"/>
            <w:vAlign w:val="center"/>
          </w:tcPr>
          <w:p w14:paraId="36979579" w14:textId="4204D3A1" w:rsidR="007E3A1D" w:rsidRPr="00A841EC" w:rsidDel="007E3A1D" w:rsidRDefault="00CC0229" w:rsidP="00B65A0C">
            <w:pPr>
              <w:spacing w:before="0" w:after="0" w:line="240" w:lineRule="auto"/>
              <w:jc w:val="center"/>
              <w:rPr>
                <w:rFonts w:cs="Calibri Light"/>
                <w:color w:val="00B050"/>
                <w:sz w:val="20"/>
              </w:rPr>
            </w:pPr>
            <w:r w:rsidRPr="00A841EC">
              <w:rPr>
                <w:rFonts w:cs="Calibri Light"/>
                <w:sz w:val="20"/>
              </w:rPr>
              <w:t>SWHC047</w:t>
            </w:r>
            <w:r w:rsidR="00E41FEB" w:rsidRPr="00A841EC">
              <w:rPr>
                <w:rFonts w:cs="Calibri Light"/>
                <w:sz w:val="20"/>
              </w:rPr>
              <w:t>A</w:t>
            </w:r>
          </w:p>
        </w:tc>
        <w:tc>
          <w:tcPr>
            <w:tcW w:w="3074" w:type="pct"/>
            <w:shd w:val="clear" w:color="auto" w:fill="auto"/>
          </w:tcPr>
          <w:p w14:paraId="704E03B1" w14:textId="77777777" w:rsidR="007E3A1D" w:rsidRPr="00A841EC" w:rsidRDefault="007E3A1D" w:rsidP="00B65A0C">
            <w:pPr>
              <w:spacing w:before="0" w:after="0" w:line="240" w:lineRule="auto"/>
              <w:rPr>
                <w:rFonts w:cs="Calibri Light"/>
                <w:sz w:val="20"/>
                <w:szCs w:val="18"/>
              </w:rPr>
            </w:pPr>
            <w:r w:rsidRPr="00A841EC">
              <w:rPr>
                <w:sz w:val="20"/>
                <w:szCs w:val="18"/>
              </w:rPr>
              <w:t>70% FE to 75% FE fireplace with IPL replacing a 64% FE fireplace with an IPL.</w:t>
            </w:r>
          </w:p>
        </w:tc>
      </w:tr>
      <w:tr w:rsidR="007E3A1D" w:rsidRPr="00A841EC" w14:paraId="33724C46" w14:textId="77777777" w:rsidTr="00D16B89">
        <w:trPr>
          <w:trHeight w:val="144"/>
        </w:trPr>
        <w:tc>
          <w:tcPr>
            <w:tcW w:w="963" w:type="pct"/>
            <w:vMerge w:val="restart"/>
          </w:tcPr>
          <w:p w14:paraId="1E7C3EF7" w14:textId="546C6BED" w:rsidR="007E3A1D" w:rsidRPr="00A841EC" w:rsidDel="007E3A1D" w:rsidRDefault="007E3A1D" w:rsidP="007E3A1D">
            <w:pPr>
              <w:spacing w:before="0" w:after="0" w:line="240" w:lineRule="auto"/>
              <w:jc w:val="center"/>
              <w:rPr>
                <w:rFonts w:cs="Calibri Light"/>
                <w:color w:val="00B050"/>
                <w:sz w:val="20"/>
                <w:szCs w:val="18"/>
              </w:rPr>
            </w:pPr>
            <w:r w:rsidRPr="00A841EC">
              <w:rPr>
                <w:sz w:val="20"/>
                <w:szCs w:val="18"/>
              </w:rPr>
              <w:t>Tier 2: 75%+ FE.</w:t>
            </w:r>
          </w:p>
        </w:tc>
        <w:tc>
          <w:tcPr>
            <w:tcW w:w="963" w:type="pct"/>
            <w:shd w:val="clear" w:color="auto" w:fill="auto"/>
            <w:vAlign w:val="center"/>
          </w:tcPr>
          <w:p w14:paraId="47EBB50F" w14:textId="5551D0C5" w:rsidR="007E3A1D" w:rsidRPr="00A841EC" w:rsidDel="007E3A1D" w:rsidRDefault="00CC0229" w:rsidP="007E3A1D">
            <w:pPr>
              <w:spacing w:before="0" w:after="0" w:line="240" w:lineRule="auto"/>
              <w:jc w:val="center"/>
              <w:rPr>
                <w:rFonts w:cs="Calibri Light"/>
                <w:color w:val="00B050"/>
                <w:sz w:val="20"/>
              </w:rPr>
            </w:pPr>
            <w:r w:rsidRPr="00A841EC">
              <w:rPr>
                <w:rFonts w:cs="Calibri Light"/>
                <w:sz w:val="20"/>
              </w:rPr>
              <w:t>SWHC047</w:t>
            </w:r>
            <w:r w:rsidR="00E41FEB" w:rsidRPr="00A841EC">
              <w:rPr>
                <w:rFonts w:cs="Calibri Light"/>
                <w:sz w:val="20"/>
              </w:rPr>
              <w:t>D</w:t>
            </w:r>
          </w:p>
        </w:tc>
        <w:tc>
          <w:tcPr>
            <w:tcW w:w="3074" w:type="pct"/>
            <w:shd w:val="clear" w:color="auto" w:fill="auto"/>
          </w:tcPr>
          <w:p w14:paraId="388DD006" w14:textId="0EB42FD4" w:rsidR="007E3A1D" w:rsidRPr="00A841EC" w:rsidRDefault="007E3A1D" w:rsidP="007E3A1D">
            <w:pPr>
              <w:spacing w:before="0" w:after="0" w:line="240" w:lineRule="auto"/>
              <w:rPr>
                <w:rFonts w:cs="Calibri Light"/>
                <w:sz w:val="20"/>
                <w:szCs w:val="18"/>
              </w:rPr>
            </w:pPr>
            <w:r w:rsidRPr="00A841EC">
              <w:rPr>
                <w:sz w:val="20"/>
                <w:szCs w:val="18"/>
              </w:rPr>
              <w:t>75% FE or greater FE fireplace with IPL replacing a 61% FE fireplace with a continuously operating pilot light.</w:t>
            </w:r>
          </w:p>
        </w:tc>
      </w:tr>
      <w:tr w:rsidR="007E3A1D" w:rsidRPr="00A841EC" w14:paraId="4AC29588" w14:textId="77777777" w:rsidTr="00D16B89">
        <w:trPr>
          <w:trHeight w:val="144"/>
        </w:trPr>
        <w:tc>
          <w:tcPr>
            <w:tcW w:w="963" w:type="pct"/>
            <w:vMerge/>
          </w:tcPr>
          <w:p w14:paraId="19A54A48" w14:textId="3B0C8A40" w:rsidR="007E3A1D" w:rsidRPr="00A841EC" w:rsidDel="007E3A1D" w:rsidRDefault="007E3A1D" w:rsidP="007E3A1D">
            <w:pPr>
              <w:spacing w:before="0" w:after="0" w:line="240" w:lineRule="auto"/>
              <w:jc w:val="center"/>
              <w:rPr>
                <w:rFonts w:cs="Calibri Light"/>
                <w:color w:val="00B050"/>
                <w:sz w:val="20"/>
              </w:rPr>
            </w:pPr>
          </w:p>
        </w:tc>
        <w:tc>
          <w:tcPr>
            <w:tcW w:w="963" w:type="pct"/>
            <w:shd w:val="clear" w:color="auto" w:fill="auto"/>
            <w:vAlign w:val="center"/>
          </w:tcPr>
          <w:p w14:paraId="6028B804" w14:textId="489F14E4" w:rsidR="007E3A1D" w:rsidRPr="00A841EC" w:rsidDel="007E3A1D" w:rsidRDefault="00C74205" w:rsidP="007E3A1D">
            <w:pPr>
              <w:spacing w:before="0" w:after="0" w:line="240" w:lineRule="auto"/>
              <w:jc w:val="center"/>
              <w:rPr>
                <w:rFonts w:cs="Calibri Light"/>
                <w:color w:val="00B050"/>
                <w:sz w:val="20"/>
              </w:rPr>
            </w:pPr>
            <w:r w:rsidRPr="00A841EC">
              <w:rPr>
                <w:rFonts w:cs="Calibri Light"/>
                <w:sz w:val="20"/>
              </w:rPr>
              <w:t>SWHC047</w:t>
            </w:r>
            <w:r w:rsidR="00E41FEB" w:rsidRPr="00A841EC">
              <w:rPr>
                <w:rFonts w:cs="Calibri Light"/>
                <w:sz w:val="20"/>
              </w:rPr>
              <w:t>B</w:t>
            </w:r>
          </w:p>
        </w:tc>
        <w:tc>
          <w:tcPr>
            <w:tcW w:w="3074" w:type="pct"/>
            <w:shd w:val="clear" w:color="auto" w:fill="auto"/>
          </w:tcPr>
          <w:p w14:paraId="15286BF7" w14:textId="353DC9BA" w:rsidR="007E3A1D" w:rsidRPr="00A841EC" w:rsidRDefault="007E3A1D" w:rsidP="007E3A1D">
            <w:pPr>
              <w:spacing w:before="0" w:after="0" w:line="240" w:lineRule="auto"/>
              <w:rPr>
                <w:rFonts w:cs="Calibri Light"/>
                <w:sz w:val="20"/>
                <w:szCs w:val="18"/>
              </w:rPr>
            </w:pPr>
            <w:r w:rsidRPr="00A841EC">
              <w:rPr>
                <w:sz w:val="20"/>
                <w:szCs w:val="18"/>
              </w:rPr>
              <w:t>75% FE or greater FE fireplace with IPL replacing a 64% FE fireplace with an IPL.</w:t>
            </w:r>
          </w:p>
        </w:tc>
      </w:tr>
    </w:tbl>
    <w:p w14:paraId="428D3761" w14:textId="77777777" w:rsidR="00DA6088" w:rsidRPr="00A841EC" w:rsidRDefault="00DA6088" w:rsidP="00DA6088">
      <w:pPr>
        <w:rPr>
          <w:szCs w:val="22"/>
        </w:rPr>
      </w:pPr>
    </w:p>
    <w:p w14:paraId="54FD79D6" w14:textId="278F7493" w:rsidR="00E70CBD" w:rsidRPr="00A841EC" w:rsidRDefault="00E70CBD" w:rsidP="007E3A1D">
      <w:pPr>
        <w:pStyle w:val="eTRMHeading3"/>
      </w:pPr>
      <w:bookmarkStart w:id="12" w:name="_Toc486490849"/>
      <w:bookmarkStart w:id="13" w:name="_Toc486580920"/>
      <w:bookmarkStart w:id="14" w:name="_Toc23836594"/>
      <w:r w:rsidRPr="00A841EC">
        <w:t>Base Case Description</w:t>
      </w:r>
      <w:bookmarkEnd w:id="12"/>
      <w:bookmarkEnd w:id="13"/>
      <w:bookmarkEnd w:id="14"/>
      <w:r w:rsidRPr="00A841EC">
        <w:t xml:space="preserve"> </w:t>
      </w:r>
    </w:p>
    <w:p w14:paraId="48B9668A" w14:textId="22B700A4" w:rsidR="00DC6BAC" w:rsidRPr="00A841EC" w:rsidRDefault="00F8464D" w:rsidP="007E3A1D">
      <w:pPr>
        <w:rPr>
          <w:b/>
          <w:bCs/>
        </w:rPr>
      </w:pPr>
      <w:r w:rsidRPr="00A841EC">
        <w:t>The base case is defined as</w:t>
      </w:r>
      <w:r w:rsidR="00DC6BAC" w:rsidRPr="00A841EC">
        <w:t xml:space="preserve"> </w:t>
      </w:r>
      <w:r w:rsidR="00C5389E" w:rsidRPr="00A841EC">
        <w:t>a</w:t>
      </w:r>
      <w:r w:rsidR="00CE71C7" w:rsidRPr="00A841EC">
        <w:rPr>
          <w:b/>
          <w:bCs/>
        </w:rPr>
        <w:t xml:space="preserve"> </w:t>
      </w:r>
      <w:r w:rsidR="00CE71C7" w:rsidRPr="00A841EC">
        <w:t>gas fireplace</w:t>
      </w:r>
      <w:r w:rsidR="00CE71C7" w:rsidRPr="00A841EC">
        <w:rPr>
          <w:b/>
          <w:bCs/>
        </w:rPr>
        <w:t xml:space="preserve"> </w:t>
      </w:r>
      <w:r w:rsidR="00CE71C7" w:rsidRPr="00A841EC">
        <w:t>with either</w:t>
      </w:r>
      <w:r w:rsidR="009D70E5" w:rsidRPr="00A841EC">
        <w:t xml:space="preserve"> a c</w:t>
      </w:r>
      <w:r w:rsidR="00CE71C7" w:rsidRPr="00A841EC">
        <w:t xml:space="preserve">ontinuously operating pilot (for accelerated </w:t>
      </w:r>
      <w:r w:rsidR="001748BD" w:rsidRPr="00A841EC">
        <w:t>replacement</w:t>
      </w:r>
      <w:r w:rsidR="00CE71C7" w:rsidRPr="00A841EC">
        <w:t>), representing customer’s existing equipment</w:t>
      </w:r>
      <w:r w:rsidR="001748BD" w:rsidRPr="00A841EC">
        <w:t>, or</w:t>
      </w:r>
      <w:r w:rsidR="009D70E5" w:rsidRPr="00A841EC">
        <w:t xml:space="preserve"> an i</w:t>
      </w:r>
      <w:r w:rsidR="00CE71C7" w:rsidRPr="00A841EC">
        <w:t xml:space="preserve">ntermittent pilot light (for normal </w:t>
      </w:r>
      <w:r w:rsidR="001748BD" w:rsidRPr="00A841EC">
        <w:t xml:space="preserve">replacement </w:t>
      </w:r>
      <w:r w:rsidR="00CE71C7" w:rsidRPr="00A841EC">
        <w:t xml:space="preserve">or new </w:t>
      </w:r>
      <w:r w:rsidR="00EC314A" w:rsidRPr="00A841EC">
        <w:t>construction</w:t>
      </w:r>
      <w:r w:rsidR="00CE71C7" w:rsidRPr="00A841EC">
        <w:t>)</w:t>
      </w:r>
      <w:r w:rsidR="0034285E" w:rsidRPr="00A841EC">
        <w:t>,</w:t>
      </w:r>
      <w:r w:rsidR="00CE71C7" w:rsidRPr="00A841EC">
        <w:t xml:space="preserve"> representing code/standard equipment</w:t>
      </w:r>
      <w:r w:rsidR="001748BD" w:rsidRPr="00A841EC">
        <w:t>.</w:t>
      </w:r>
    </w:p>
    <w:p w14:paraId="771C5DF9" w14:textId="6D64010C" w:rsidR="00430845" w:rsidRPr="00A841EC" w:rsidRDefault="00430845">
      <w:pPr>
        <w:spacing w:before="0" w:after="0" w:line="240" w:lineRule="auto"/>
      </w:pPr>
    </w:p>
    <w:p w14:paraId="7D9DA4A6" w14:textId="62490DB1" w:rsidR="007D230B" w:rsidRPr="00A841EC" w:rsidRDefault="007D230B" w:rsidP="007E3A1D">
      <w:pPr>
        <w:pStyle w:val="eTRMHeading3"/>
      </w:pPr>
      <w:bookmarkStart w:id="15" w:name="_Toc486490850"/>
      <w:bookmarkStart w:id="16" w:name="_Toc486580921"/>
      <w:bookmarkStart w:id="17" w:name="_Toc23836595"/>
      <w:r w:rsidRPr="00A841EC">
        <w:lastRenderedPageBreak/>
        <w:t>Code Requirements</w:t>
      </w:r>
      <w:bookmarkEnd w:id="15"/>
      <w:bookmarkEnd w:id="16"/>
      <w:bookmarkEnd w:id="17"/>
    </w:p>
    <w:p w14:paraId="77D4746B" w14:textId="1A68B10C" w:rsidR="00D87A2C" w:rsidRPr="00A841EC" w:rsidRDefault="00D05D2B" w:rsidP="00D87A2C">
      <w:pPr>
        <w:rPr>
          <w:rFonts w:eastAsiaTheme="minorHAnsi" w:cs="Calibri Light"/>
          <w:szCs w:val="22"/>
        </w:rPr>
      </w:pPr>
      <w:r w:rsidRPr="00A841EC">
        <w:t>Both state and federal standards apply to this measure, as specified below.</w:t>
      </w:r>
      <w:r w:rsidR="00D87A2C" w:rsidRPr="00A841EC">
        <w:rPr>
          <w:b/>
          <w:bCs/>
        </w:rPr>
        <w:t xml:space="preserve"> </w:t>
      </w:r>
      <w:r w:rsidR="00D87A2C" w:rsidRPr="00A841EC">
        <w:rPr>
          <w:rFonts w:cs="Calibri Light"/>
          <w:szCs w:val="22"/>
        </w:rPr>
        <w:t>Gas fireplaces are not mentioned in any of the following codes or standards: California Appliance Efficiency Regulations (Title 20)Environmental Protection Agency (EPA) ENERGY STAR, or the South Coast Air Quality Management District (SCAQMD).</w:t>
      </w:r>
      <w:r w:rsidR="00D87A2C" w:rsidRPr="00A841EC">
        <w:rPr>
          <w:rFonts w:eastAsiaTheme="minorHAnsi" w:cs="Calibri Light"/>
          <w:szCs w:val="22"/>
        </w:rPr>
        <w:t xml:space="preserve"> </w:t>
      </w:r>
    </w:p>
    <w:p w14:paraId="101FB1A6" w14:textId="1A69B330" w:rsidR="00D05D2B" w:rsidRPr="00A841EC" w:rsidRDefault="00D05D2B" w:rsidP="00A04BF1">
      <w:pPr>
        <w:pStyle w:val="Caption"/>
      </w:pPr>
      <w:r w:rsidRPr="00A841EC">
        <w:t>Applicable State and Federal Codes and Standards</w:t>
      </w:r>
    </w:p>
    <w:tbl>
      <w:tblPr>
        <w:tblpPr w:leftFromText="180" w:rightFromText="180" w:vertAnchor="text" w:horzAnchor="margin" w:tblpXSpec="center" w:tblpY="66"/>
        <w:tblW w:w="95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95"/>
        <w:gridCol w:w="4140"/>
        <w:gridCol w:w="1800"/>
      </w:tblGrid>
      <w:tr w:rsidR="00D05D2B" w:rsidRPr="00A841EC" w14:paraId="2D1E8267" w14:textId="77777777" w:rsidTr="00CB0319">
        <w:trPr>
          <w:cantSplit/>
          <w:trHeight w:val="20"/>
          <w:jc w:val="center"/>
        </w:trPr>
        <w:tc>
          <w:tcPr>
            <w:tcW w:w="3595" w:type="dxa"/>
            <w:shd w:val="clear" w:color="auto" w:fill="F2F2F2" w:themeFill="background1" w:themeFillShade="F2"/>
            <w:vAlign w:val="center"/>
          </w:tcPr>
          <w:p w14:paraId="2AEEF397" w14:textId="77777777" w:rsidR="00D05D2B" w:rsidRPr="00A841EC" w:rsidRDefault="00D05D2B" w:rsidP="003A444C">
            <w:pPr>
              <w:keepNext/>
              <w:keepLines/>
              <w:spacing w:before="0" w:after="0" w:line="240" w:lineRule="auto"/>
              <w:jc w:val="center"/>
              <w:rPr>
                <w:b/>
                <w:sz w:val="20"/>
                <w:szCs w:val="20"/>
              </w:rPr>
            </w:pPr>
            <w:r w:rsidRPr="00A841EC">
              <w:rPr>
                <w:b/>
                <w:sz w:val="20"/>
              </w:rPr>
              <w:t>Code</w:t>
            </w:r>
          </w:p>
        </w:tc>
        <w:tc>
          <w:tcPr>
            <w:tcW w:w="4140" w:type="dxa"/>
            <w:shd w:val="clear" w:color="auto" w:fill="F2F2F2" w:themeFill="background1" w:themeFillShade="F2"/>
            <w:vAlign w:val="center"/>
          </w:tcPr>
          <w:p w14:paraId="2C03A9DE" w14:textId="77777777" w:rsidR="00D05D2B" w:rsidRPr="00A841EC" w:rsidRDefault="00D05D2B" w:rsidP="003A444C">
            <w:pPr>
              <w:keepNext/>
              <w:keepLines/>
              <w:spacing w:before="0" w:after="0" w:line="240" w:lineRule="auto"/>
              <w:jc w:val="center"/>
              <w:rPr>
                <w:b/>
                <w:sz w:val="20"/>
                <w:szCs w:val="20"/>
              </w:rPr>
            </w:pPr>
            <w:r w:rsidRPr="00A841EC">
              <w:rPr>
                <w:b/>
                <w:sz w:val="20"/>
              </w:rPr>
              <w:t>Applicable Code Reference</w:t>
            </w:r>
          </w:p>
        </w:tc>
        <w:tc>
          <w:tcPr>
            <w:tcW w:w="1800" w:type="dxa"/>
            <w:shd w:val="clear" w:color="auto" w:fill="F2F2F2" w:themeFill="background1" w:themeFillShade="F2"/>
            <w:vAlign w:val="center"/>
          </w:tcPr>
          <w:p w14:paraId="23988477" w14:textId="77777777" w:rsidR="00D05D2B" w:rsidRPr="00A841EC" w:rsidRDefault="00D05D2B" w:rsidP="003A444C">
            <w:pPr>
              <w:keepNext/>
              <w:keepLines/>
              <w:spacing w:before="0" w:after="0" w:line="240" w:lineRule="auto"/>
              <w:jc w:val="center"/>
              <w:rPr>
                <w:b/>
                <w:sz w:val="20"/>
                <w:szCs w:val="20"/>
              </w:rPr>
            </w:pPr>
            <w:r w:rsidRPr="00A841EC">
              <w:rPr>
                <w:b/>
                <w:sz w:val="20"/>
              </w:rPr>
              <w:t>Effective Date</w:t>
            </w:r>
          </w:p>
        </w:tc>
      </w:tr>
      <w:tr w:rsidR="00D05D2B" w:rsidRPr="00A841EC" w14:paraId="1B44E183" w14:textId="77777777" w:rsidTr="00CB0319">
        <w:trPr>
          <w:cantSplit/>
          <w:trHeight w:val="20"/>
          <w:jc w:val="center"/>
        </w:trPr>
        <w:tc>
          <w:tcPr>
            <w:tcW w:w="3595" w:type="dxa"/>
            <w:shd w:val="clear" w:color="auto" w:fill="auto"/>
            <w:vAlign w:val="center"/>
          </w:tcPr>
          <w:p w14:paraId="067D739A" w14:textId="77777777" w:rsidR="00D05D2B" w:rsidRPr="00A841EC" w:rsidRDefault="00D05D2B" w:rsidP="003A444C">
            <w:pPr>
              <w:keepNext/>
              <w:keepLines/>
              <w:spacing w:before="0" w:after="0" w:line="240" w:lineRule="auto"/>
              <w:rPr>
                <w:sz w:val="20"/>
                <w:szCs w:val="20"/>
              </w:rPr>
            </w:pPr>
            <w:r w:rsidRPr="00A841EC">
              <w:rPr>
                <w:sz w:val="20"/>
              </w:rPr>
              <w:t xml:space="preserve">CA Appliance Efficiency Regulations – Title 20 </w:t>
            </w:r>
          </w:p>
        </w:tc>
        <w:tc>
          <w:tcPr>
            <w:tcW w:w="4140" w:type="dxa"/>
            <w:shd w:val="clear" w:color="auto" w:fill="auto"/>
          </w:tcPr>
          <w:p w14:paraId="15C887AE" w14:textId="4822E9E3" w:rsidR="00D05D2B" w:rsidRPr="00A841EC" w:rsidRDefault="00D05D2B" w:rsidP="00CB0319">
            <w:pPr>
              <w:keepNext/>
              <w:keepLines/>
              <w:spacing w:before="0" w:after="0" w:line="240" w:lineRule="auto"/>
              <w:rPr>
                <w:sz w:val="20"/>
                <w:szCs w:val="20"/>
              </w:rPr>
            </w:pPr>
            <w:r w:rsidRPr="00A841EC">
              <w:rPr>
                <w:sz w:val="20"/>
                <w:szCs w:val="20"/>
              </w:rPr>
              <w:t>None.</w:t>
            </w:r>
          </w:p>
        </w:tc>
        <w:tc>
          <w:tcPr>
            <w:tcW w:w="1800" w:type="dxa"/>
            <w:shd w:val="clear" w:color="auto" w:fill="auto"/>
            <w:vAlign w:val="center"/>
          </w:tcPr>
          <w:p w14:paraId="4909E28C" w14:textId="7E738D57" w:rsidR="00D05D2B" w:rsidRPr="00A841EC" w:rsidRDefault="00D05D2B" w:rsidP="003A444C">
            <w:pPr>
              <w:keepNext/>
              <w:keepLines/>
              <w:spacing w:before="0" w:after="0" w:line="240" w:lineRule="auto"/>
              <w:jc w:val="center"/>
              <w:rPr>
                <w:sz w:val="20"/>
                <w:szCs w:val="20"/>
              </w:rPr>
            </w:pPr>
            <w:r w:rsidRPr="00A841EC">
              <w:rPr>
                <w:sz w:val="20"/>
                <w:szCs w:val="20"/>
              </w:rPr>
              <w:t>n/a</w:t>
            </w:r>
          </w:p>
        </w:tc>
      </w:tr>
      <w:tr w:rsidR="00D05D2B" w:rsidRPr="00A841EC" w14:paraId="08F122E5" w14:textId="77777777" w:rsidTr="00CB0319">
        <w:trPr>
          <w:cantSplit/>
          <w:trHeight w:val="20"/>
          <w:jc w:val="center"/>
        </w:trPr>
        <w:tc>
          <w:tcPr>
            <w:tcW w:w="3595" w:type="dxa"/>
            <w:vMerge w:val="restart"/>
            <w:shd w:val="clear" w:color="auto" w:fill="auto"/>
            <w:vAlign w:val="center"/>
          </w:tcPr>
          <w:p w14:paraId="052C65F7" w14:textId="320247AE" w:rsidR="00D05D2B" w:rsidRPr="00A841EC" w:rsidRDefault="00D05D2B" w:rsidP="003A444C">
            <w:pPr>
              <w:keepNext/>
              <w:keepLines/>
              <w:spacing w:before="0" w:after="0" w:line="240" w:lineRule="auto"/>
              <w:rPr>
                <w:sz w:val="20"/>
              </w:rPr>
            </w:pPr>
            <w:r w:rsidRPr="00A841EC">
              <w:rPr>
                <w:sz w:val="20"/>
              </w:rPr>
              <w:t>CA Building Energy Efficiency Standards – Title 24 (2016)</w:t>
            </w:r>
          </w:p>
          <w:p w14:paraId="3C8C3176" w14:textId="283FB74C" w:rsidR="00D05D2B" w:rsidRPr="00A841EC" w:rsidRDefault="00D05D2B" w:rsidP="003A444C">
            <w:pPr>
              <w:keepNext/>
              <w:keepLines/>
              <w:spacing w:before="0" w:after="0" w:line="240" w:lineRule="auto"/>
              <w:rPr>
                <w:sz w:val="20"/>
                <w:szCs w:val="20"/>
              </w:rPr>
            </w:pPr>
          </w:p>
        </w:tc>
        <w:tc>
          <w:tcPr>
            <w:tcW w:w="4140" w:type="dxa"/>
            <w:vAlign w:val="center"/>
          </w:tcPr>
          <w:p w14:paraId="695251A8" w14:textId="77777777" w:rsidR="00D05D2B" w:rsidRPr="00A841EC" w:rsidRDefault="00D05D2B" w:rsidP="003A444C">
            <w:pPr>
              <w:keepNext/>
              <w:keepLines/>
              <w:spacing w:before="0" w:after="0" w:line="240" w:lineRule="auto"/>
              <w:rPr>
                <w:sz w:val="20"/>
                <w:szCs w:val="20"/>
              </w:rPr>
            </w:pPr>
            <w:r w:rsidRPr="00A841EC">
              <w:rPr>
                <w:rFonts w:cstheme="minorHAnsi"/>
                <w:sz w:val="20"/>
                <w:szCs w:val="20"/>
              </w:rPr>
              <w:t>Section 100.1 DEFINITIONS AND RULES OF CONSTRUCTION</w:t>
            </w:r>
          </w:p>
        </w:tc>
        <w:tc>
          <w:tcPr>
            <w:tcW w:w="1800" w:type="dxa"/>
            <w:shd w:val="clear" w:color="auto" w:fill="auto"/>
            <w:vAlign w:val="center"/>
          </w:tcPr>
          <w:p w14:paraId="1613996A" w14:textId="77777777" w:rsidR="00D05D2B" w:rsidRPr="00A841EC" w:rsidRDefault="00D05D2B" w:rsidP="003A444C">
            <w:pPr>
              <w:keepNext/>
              <w:keepLines/>
              <w:spacing w:before="0" w:after="0" w:line="240" w:lineRule="auto"/>
              <w:jc w:val="center"/>
              <w:rPr>
                <w:sz w:val="20"/>
                <w:szCs w:val="20"/>
              </w:rPr>
            </w:pPr>
            <w:r w:rsidRPr="00A841EC">
              <w:rPr>
                <w:sz w:val="20"/>
                <w:szCs w:val="20"/>
              </w:rPr>
              <w:t>January 1, 2017</w:t>
            </w:r>
          </w:p>
        </w:tc>
      </w:tr>
      <w:tr w:rsidR="00D05D2B" w:rsidRPr="00A841EC" w14:paraId="2728EE95" w14:textId="77777777" w:rsidTr="00CB0319">
        <w:trPr>
          <w:cantSplit/>
          <w:trHeight w:val="20"/>
          <w:jc w:val="center"/>
        </w:trPr>
        <w:tc>
          <w:tcPr>
            <w:tcW w:w="3595" w:type="dxa"/>
            <w:vMerge/>
            <w:shd w:val="clear" w:color="auto" w:fill="auto"/>
            <w:vAlign w:val="center"/>
          </w:tcPr>
          <w:p w14:paraId="25D46530" w14:textId="76E9B749" w:rsidR="00D05D2B" w:rsidRPr="00A841EC" w:rsidRDefault="00D05D2B" w:rsidP="003A444C">
            <w:pPr>
              <w:keepNext/>
              <w:keepLines/>
              <w:spacing w:before="0" w:after="0" w:line="240" w:lineRule="auto"/>
              <w:rPr>
                <w:sz w:val="20"/>
              </w:rPr>
            </w:pPr>
          </w:p>
        </w:tc>
        <w:tc>
          <w:tcPr>
            <w:tcW w:w="4140" w:type="dxa"/>
            <w:vAlign w:val="center"/>
          </w:tcPr>
          <w:p w14:paraId="603AAC8A" w14:textId="77777777" w:rsidR="00D05D2B" w:rsidRPr="00A841EC" w:rsidRDefault="00D05D2B" w:rsidP="003A444C">
            <w:pPr>
              <w:keepNext/>
              <w:keepLines/>
              <w:spacing w:before="0" w:after="0" w:line="240" w:lineRule="auto"/>
              <w:rPr>
                <w:sz w:val="20"/>
                <w:szCs w:val="20"/>
              </w:rPr>
            </w:pPr>
            <w:r w:rsidRPr="00A841EC">
              <w:rPr>
                <w:rFonts w:cstheme="minorHAnsi"/>
                <w:sz w:val="20"/>
                <w:szCs w:val="20"/>
              </w:rPr>
              <w:t>Section 110.2(c) MANDATORY REQUIREMENTS FOR SPACE-CONDITIONING EQUIPMENT</w:t>
            </w:r>
          </w:p>
        </w:tc>
        <w:tc>
          <w:tcPr>
            <w:tcW w:w="1800" w:type="dxa"/>
            <w:shd w:val="clear" w:color="auto" w:fill="auto"/>
            <w:vAlign w:val="center"/>
          </w:tcPr>
          <w:p w14:paraId="45FA1CA0" w14:textId="77777777" w:rsidR="00D05D2B" w:rsidRPr="00A841EC" w:rsidRDefault="00D05D2B" w:rsidP="003A444C">
            <w:pPr>
              <w:keepNext/>
              <w:keepLines/>
              <w:spacing w:before="0" w:after="0" w:line="240" w:lineRule="auto"/>
              <w:jc w:val="center"/>
              <w:rPr>
                <w:sz w:val="20"/>
                <w:szCs w:val="20"/>
              </w:rPr>
            </w:pPr>
            <w:r w:rsidRPr="00A841EC">
              <w:rPr>
                <w:sz w:val="20"/>
                <w:szCs w:val="20"/>
              </w:rPr>
              <w:t>January 1, 2017</w:t>
            </w:r>
          </w:p>
        </w:tc>
      </w:tr>
      <w:tr w:rsidR="00D05D2B" w:rsidRPr="00A841EC" w14:paraId="38667ABE" w14:textId="77777777" w:rsidTr="00CB0319">
        <w:trPr>
          <w:cantSplit/>
          <w:trHeight w:val="20"/>
          <w:jc w:val="center"/>
        </w:trPr>
        <w:tc>
          <w:tcPr>
            <w:tcW w:w="3595" w:type="dxa"/>
            <w:vMerge/>
            <w:shd w:val="clear" w:color="auto" w:fill="auto"/>
            <w:vAlign w:val="center"/>
          </w:tcPr>
          <w:p w14:paraId="68559667" w14:textId="4D0049B0" w:rsidR="00D05D2B" w:rsidRPr="00A841EC" w:rsidRDefault="00D05D2B" w:rsidP="003A444C">
            <w:pPr>
              <w:keepNext/>
              <w:keepLines/>
              <w:spacing w:before="0" w:after="0" w:line="240" w:lineRule="auto"/>
              <w:rPr>
                <w:sz w:val="20"/>
              </w:rPr>
            </w:pPr>
          </w:p>
        </w:tc>
        <w:tc>
          <w:tcPr>
            <w:tcW w:w="4140" w:type="dxa"/>
            <w:vAlign w:val="center"/>
          </w:tcPr>
          <w:p w14:paraId="3677EA2D" w14:textId="77777777" w:rsidR="00D05D2B" w:rsidRPr="00A841EC" w:rsidRDefault="00D05D2B" w:rsidP="003A444C">
            <w:pPr>
              <w:keepNext/>
              <w:keepLines/>
              <w:spacing w:before="0" w:after="0" w:line="240" w:lineRule="auto"/>
              <w:rPr>
                <w:sz w:val="20"/>
                <w:szCs w:val="20"/>
              </w:rPr>
            </w:pPr>
            <w:r w:rsidRPr="00A841EC">
              <w:rPr>
                <w:rFonts w:cstheme="minorHAnsi"/>
                <w:sz w:val="20"/>
                <w:szCs w:val="20"/>
              </w:rPr>
              <w:t>Section 150.0(e)</w:t>
            </w:r>
            <w:r w:rsidRPr="00A841EC">
              <w:rPr>
                <w:sz w:val="20"/>
              </w:rPr>
              <w:t xml:space="preserve"> </w:t>
            </w:r>
            <w:r w:rsidRPr="00A841EC">
              <w:rPr>
                <w:rFonts w:cstheme="minorHAnsi"/>
                <w:sz w:val="20"/>
                <w:szCs w:val="20"/>
              </w:rPr>
              <w:t>MANDATORY FEATURES AND DEVICES</w:t>
            </w:r>
          </w:p>
        </w:tc>
        <w:tc>
          <w:tcPr>
            <w:tcW w:w="1800" w:type="dxa"/>
            <w:shd w:val="clear" w:color="auto" w:fill="auto"/>
            <w:vAlign w:val="center"/>
          </w:tcPr>
          <w:p w14:paraId="315F8462" w14:textId="77777777" w:rsidR="00D05D2B" w:rsidRPr="00A841EC" w:rsidRDefault="00D05D2B" w:rsidP="003A444C">
            <w:pPr>
              <w:keepNext/>
              <w:keepLines/>
              <w:spacing w:before="0" w:after="0" w:line="240" w:lineRule="auto"/>
              <w:jc w:val="center"/>
              <w:rPr>
                <w:sz w:val="20"/>
                <w:szCs w:val="20"/>
              </w:rPr>
            </w:pPr>
            <w:r w:rsidRPr="00A841EC">
              <w:rPr>
                <w:sz w:val="20"/>
                <w:szCs w:val="20"/>
              </w:rPr>
              <w:t>January 1, 2017</w:t>
            </w:r>
          </w:p>
        </w:tc>
      </w:tr>
      <w:tr w:rsidR="00D05D2B" w:rsidRPr="00A841EC" w14:paraId="787AE5AA" w14:textId="77777777" w:rsidTr="00CB0319">
        <w:trPr>
          <w:cantSplit/>
          <w:trHeight w:val="20"/>
          <w:jc w:val="center"/>
        </w:trPr>
        <w:tc>
          <w:tcPr>
            <w:tcW w:w="3595" w:type="dxa"/>
            <w:vMerge/>
            <w:shd w:val="clear" w:color="auto" w:fill="auto"/>
            <w:vAlign w:val="center"/>
          </w:tcPr>
          <w:p w14:paraId="4E7FAE61" w14:textId="75E7DE87" w:rsidR="00D05D2B" w:rsidRPr="00A841EC" w:rsidRDefault="00D05D2B" w:rsidP="003A444C">
            <w:pPr>
              <w:keepNext/>
              <w:keepLines/>
              <w:spacing w:before="0" w:after="0" w:line="240" w:lineRule="auto"/>
              <w:rPr>
                <w:sz w:val="20"/>
              </w:rPr>
            </w:pPr>
          </w:p>
        </w:tc>
        <w:tc>
          <w:tcPr>
            <w:tcW w:w="4140" w:type="dxa"/>
            <w:vAlign w:val="center"/>
          </w:tcPr>
          <w:p w14:paraId="13519389" w14:textId="77777777" w:rsidR="00D05D2B" w:rsidRPr="00A841EC" w:rsidRDefault="00D05D2B" w:rsidP="003A444C">
            <w:pPr>
              <w:keepNext/>
              <w:keepLines/>
              <w:spacing w:before="0" w:after="0" w:line="240" w:lineRule="auto"/>
              <w:rPr>
                <w:sz w:val="20"/>
                <w:szCs w:val="20"/>
              </w:rPr>
            </w:pPr>
            <w:r w:rsidRPr="00A841EC">
              <w:rPr>
                <w:rFonts w:cstheme="minorHAnsi"/>
                <w:sz w:val="20"/>
                <w:szCs w:val="20"/>
              </w:rPr>
              <w:t>Section 150.0(m)</w:t>
            </w:r>
            <w:r w:rsidRPr="00A841EC">
              <w:rPr>
                <w:sz w:val="20"/>
              </w:rPr>
              <w:t xml:space="preserve"> </w:t>
            </w:r>
            <w:r w:rsidRPr="00A841EC">
              <w:rPr>
                <w:rFonts w:cstheme="minorHAnsi"/>
                <w:sz w:val="20"/>
                <w:szCs w:val="20"/>
              </w:rPr>
              <w:t>MANDATORY FEATURES AND DEVICES</w:t>
            </w:r>
          </w:p>
        </w:tc>
        <w:tc>
          <w:tcPr>
            <w:tcW w:w="1800" w:type="dxa"/>
            <w:shd w:val="clear" w:color="auto" w:fill="auto"/>
            <w:vAlign w:val="center"/>
          </w:tcPr>
          <w:p w14:paraId="3B95AF82" w14:textId="77777777" w:rsidR="00D05D2B" w:rsidRPr="00A841EC" w:rsidRDefault="00D05D2B" w:rsidP="003A444C">
            <w:pPr>
              <w:keepNext/>
              <w:keepLines/>
              <w:spacing w:before="0" w:after="0" w:line="240" w:lineRule="auto"/>
              <w:jc w:val="center"/>
              <w:rPr>
                <w:sz w:val="20"/>
                <w:szCs w:val="20"/>
              </w:rPr>
            </w:pPr>
            <w:r w:rsidRPr="00A841EC">
              <w:rPr>
                <w:sz w:val="20"/>
                <w:szCs w:val="20"/>
              </w:rPr>
              <w:t>January 1, 2017</w:t>
            </w:r>
          </w:p>
        </w:tc>
      </w:tr>
      <w:tr w:rsidR="00D05D2B" w:rsidRPr="00A841EC" w14:paraId="1B1C838E" w14:textId="77777777" w:rsidTr="00CB0319">
        <w:trPr>
          <w:cantSplit/>
          <w:trHeight w:val="20"/>
          <w:jc w:val="center"/>
        </w:trPr>
        <w:tc>
          <w:tcPr>
            <w:tcW w:w="3595" w:type="dxa"/>
            <w:shd w:val="clear" w:color="auto" w:fill="auto"/>
            <w:vAlign w:val="center"/>
          </w:tcPr>
          <w:p w14:paraId="1DC9A9FD" w14:textId="77777777" w:rsidR="00D05D2B" w:rsidRPr="00A841EC" w:rsidRDefault="00D05D2B" w:rsidP="003A444C">
            <w:pPr>
              <w:keepNext/>
              <w:keepLines/>
              <w:spacing w:before="0" w:after="0" w:line="240" w:lineRule="auto"/>
              <w:rPr>
                <w:sz w:val="20"/>
                <w:szCs w:val="20"/>
              </w:rPr>
            </w:pPr>
            <w:r w:rsidRPr="00A841EC">
              <w:rPr>
                <w:sz w:val="20"/>
              </w:rPr>
              <w:t>Federal Standards – Department of Energy</w:t>
            </w:r>
          </w:p>
        </w:tc>
        <w:tc>
          <w:tcPr>
            <w:tcW w:w="4140" w:type="dxa"/>
            <w:shd w:val="clear" w:color="auto" w:fill="auto"/>
            <w:vAlign w:val="center"/>
          </w:tcPr>
          <w:p w14:paraId="5C8B12DE" w14:textId="77777777" w:rsidR="00D05D2B" w:rsidRPr="00A841EC" w:rsidRDefault="00D05D2B" w:rsidP="003A444C">
            <w:pPr>
              <w:keepNext/>
              <w:keepLines/>
              <w:spacing w:before="0" w:after="0" w:line="240" w:lineRule="auto"/>
              <w:rPr>
                <w:sz w:val="20"/>
                <w:szCs w:val="20"/>
              </w:rPr>
            </w:pPr>
            <w:r w:rsidRPr="00A841EC">
              <w:rPr>
                <w:sz w:val="20"/>
                <w:szCs w:val="20"/>
              </w:rPr>
              <w:t>April 2010 DOE Final Rule</w:t>
            </w:r>
          </w:p>
        </w:tc>
        <w:tc>
          <w:tcPr>
            <w:tcW w:w="1800" w:type="dxa"/>
            <w:shd w:val="clear" w:color="auto" w:fill="auto"/>
            <w:vAlign w:val="center"/>
          </w:tcPr>
          <w:p w14:paraId="5E5FC52F" w14:textId="2F679ED3" w:rsidR="00D05D2B" w:rsidRPr="00A841EC" w:rsidRDefault="00D05D2B" w:rsidP="003A444C">
            <w:pPr>
              <w:keepNext/>
              <w:keepLines/>
              <w:spacing w:before="0" w:after="0" w:line="240" w:lineRule="auto"/>
              <w:jc w:val="center"/>
              <w:rPr>
                <w:sz w:val="20"/>
                <w:szCs w:val="20"/>
              </w:rPr>
            </w:pPr>
            <w:r w:rsidRPr="00A841EC">
              <w:rPr>
                <w:sz w:val="20"/>
                <w:szCs w:val="20"/>
              </w:rPr>
              <w:t>n/a</w:t>
            </w:r>
          </w:p>
        </w:tc>
      </w:tr>
    </w:tbl>
    <w:p w14:paraId="2FEF8C25" w14:textId="77777777" w:rsidR="00D05D2B" w:rsidRPr="00A841EC" w:rsidRDefault="00D05D2B" w:rsidP="00D05D2B"/>
    <w:p w14:paraId="61254F1D" w14:textId="2C2CCF90" w:rsidR="00743BED" w:rsidRPr="00A841EC" w:rsidRDefault="009D70E5" w:rsidP="00743BED">
      <w:pPr>
        <w:pStyle w:val="Reminders"/>
        <w:rPr>
          <w:rFonts w:ascii="Calibri Light" w:hAnsi="Calibri Light" w:cs="Calibri Light"/>
          <w:i w:val="0"/>
          <w:color w:val="auto"/>
          <w:sz w:val="22"/>
          <w:szCs w:val="22"/>
        </w:rPr>
      </w:pPr>
      <w:r w:rsidRPr="00A841EC">
        <w:rPr>
          <w:rFonts w:ascii="Calibri Light" w:hAnsi="Calibri Light" w:cs="Calibri Light"/>
          <w:i w:val="0"/>
          <w:color w:val="auto"/>
          <w:sz w:val="22"/>
          <w:szCs w:val="22"/>
        </w:rPr>
        <w:t xml:space="preserve">The </w:t>
      </w:r>
      <w:r w:rsidR="00743BED" w:rsidRPr="00A841EC">
        <w:rPr>
          <w:rFonts w:ascii="Calibri Light" w:hAnsi="Calibri Light" w:cs="Calibri Light"/>
          <w:i w:val="0"/>
          <w:color w:val="auto"/>
          <w:sz w:val="22"/>
          <w:szCs w:val="22"/>
        </w:rPr>
        <w:t>California</w:t>
      </w:r>
      <w:r w:rsidRPr="00A841EC">
        <w:rPr>
          <w:rFonts w:ascii="Calibri Light" w:hAnsi="Calibri Light" w:cs="Calibri Light"/>
          <w:i w:val="0"/>
          <w:color w:val="auto"/>
          <w:sz w:val="22"/>
          <w:szCs w:val="22"/>
        </w:rPr>
        <w:t xml:space="preserve"> Building Energy Efficiency Standards (</w:t>
      </w:r>
      <w:r w:rsidR="00743BED" w:rsidRPr="00A841EC">
        <w:rPr>
          <w:rFonts w:ascii="Calibri Light" w:hAnsi="Calibri Light" w:cs="Calibri Light"/>
          <w:i w:val="0"/>
          <w:color w:val="auto"/>
          <w:sz w:val="22"/>
          <w:szCs w:val="22"/>
        </w:rPr>
        <w:t>Title 24</w:t>
      </w:r>
      <w:r w:rsidRPr="00A841EC">
        <w:rPr>
          <w:rFonts w:ascii="Calibri Light" w:hAnsi="Calibri Light" w:cs="Calibri Light"/>
          <w:i w:val="0"/>
          <w:color w:val="auto"/>
          <w:sz w:val="22"/>
          <w:szCs w:val="22"/>
        </w:rPr>
        <w:t>)</w:t>
      </w:r>
      <w:r w:rsidR="008A4B45" w:rsidRPr="00A841EC">
        <w:rPr>
          <w:rStyle w:val="FootnoteReference"/>
          <w:rFonts w:ascii="Calibri Light" w:hAnsi="Calibri Light" w:cs="Calibri Light"/>
          <w:i w:val="0"/>
          <w:color w:val="auto"/>
          <w:sz w:val="22"/>
          <w:szCs w:val="22"/>
        </w:rPr>
        <w:footnoteReference w:id="5"/>
      </w:r>
      <w:r w:rsidR="00743BED" w:rsidRPr="00A841EC">
        <w:rPr>
          <w:rFonts w:ascii="Calibri Light" w:hAnsi="Calibri Light" w:cs="Calibri Light"/>
          <w:i w:val="0"/>
          <w:color w:val="auto"/>
          <w:sz w:val="22"/>
          <w:szCs w:val="22"/>
        </w:rPr>
        <w:t>, Section 100.1 includes the following definitions related to fireplaces:</w:t>
      </w:r>
    </w:p>
    <w:p w14:paraId="6F58F70E" w14:textId="44387163" w:rsidR="00743BED" w:rsidRPr="00A841EC" w:rsidRDefault="00D05D2B" w:rsidP="00743BED">
      <w:pPr>
        <w:pStyle w:val="Reminders"/>
        <w:numPr>
          <w:ilvl w:val="0"/>
          <w:numId w:val="20"/>
        </w:numPr>
        <w:rPr>
          <w:rFonts w:ascii="Calibri Light" w:hAnsi="Calibri Light" w:cs="Calibri Light"/>
          <w:i w:val="0"/>
          <w:color w:val="auto"/>
          <w:sz w:val="22"/>
          <w:szCs w:val="22"/>
        </w:rPr>
      </w:pPr>
      <w:r w:rsidRPr="00A841EC">
        <w:rPr>
          <w:rFonts w:ascii="Calibri Light" w:hAnsi="Calibri Light" w:cs="Calibri Light"/>
          <w:b/>
          <w:bCs/>
          <w:i w:val="0"/>
          <w:color w:val="auto"/>
          <w:sz w:val="22"/>
          <w:szCs w:val="22"/>
        </w:rPr>
        <w:t>Decorative gas appliance:</w:t>
      </w:r>
      <w:r w:rsidR="00743BED" w:rsidRPr="00A841EC">
        <w:rPr>
          <w:rFonts w:ascii="Calibri Light" w:hAnsi="Calibri Light" w:cs="Calibri Light"/>
          <w:i w:val="0"/>
          <w:color w:val="auto"/>
          <w:sz w:val="22"/>
          <w:szCs w:val="22"/>
        </w:rPr>
        <w:t xml:space="preserve"> a gas appliance that is designed or installed for visual effect only, cannot burn solid wood, and simulates a fire in a fireplace.</w:t>
      </w:r>
    </w:p>
    <w:p w14:paraId="430AC707" w14:textId="1CECC824" w:rsidR="00743BED" w:rsidRPr="00A841EC" w:rsidRDefault="00D05D2B" w:rsidP="00743BED">
      <w:pPr>
        <w:pStyle w:val="Reminders"/>
        <w:numPr>
          <w:ilvl w:val="0"/>
          <w:numId w:val="20"/>
        </w:numPr>
        <w:rPr>
          <w:rFonts w:ascii="Calibri Light" w:hAnsi="Calibri Light" w:cs="Calibri Light"/>
          <w:i w:val="0"/>
          <w:color w:val="auto"/>
          <w:sz w:val="22"/>
          <w:szCs w:val="22"/>
        </w:rPr>
      </w:pPr>
      <w:r w:rsidRPr="00A841EC">
        <w:rPr>
          <w:rFonts w:ascii="Calibri Light" w:hAnsi="Calibri Light" w:cs="Calibri Light"/>
          <w:b/>
          <w:bCs/>
          <w:i w:val="0"/>
          <w:color w:val="auto"/>
          <w:sz w:val="22"/>
          <w:szCs w:val="22"/>
        </w:rPr>
        <w:t xml:space="preserve">Fireplace: </w:t>
      </w:r>
      <w:r w:rsidR="00743BED" w:rsidRPr="00A841EC">
        <w:rPr>
          <w:rFonts w:ascii="Calibri Light" w:hAnsi="Calibri Light" w:cs="Calibri Light"/>
          <w:i w:val="0"/>
          <w:color w:val="auto"/>
          <w:sz w:val="22"/>
          <w:szCs w:val="22"/>
        </w:rPr>
        <w:t>a hearth and fire chamber, or similar prepared place, in which a fire may be made, and which is built in conjunction with a flue or chimney, including but not limited to factory-built fireplaces, masonry fireplaces, and masonry heaters as further clarified in the CBC.</w:t>
      </w:r>
    </w:p>
    <w:p w14:paraId="0F822399" w14:textId="5FD5823C" w:rsidR="00743BED" w:rsidRPr="00A841EC" w:rsidRDefault="00D05D2B" w:rsidP="00743BED">
      <w:pPr>
        <w:pStyle w:val="Reminders"/>
        <w:numPr>
          <w:ilvl w:val="0"/>
          <w:numId w:val="20"/>
        </w:numPr>
        <w:rPr>
          <w:rFonts w:ascii="Calibri Light" w:hAnsi="Calibri Light" w:cs="Calibri Light"/>
          <w:i w:val="0"/>
          <w:color w:val="auto"/>
          <w:sz w:val="22"/>
          <w:szCs w:val="22"/>
        </w:rPr>
      </w:pPr>
      <w:r w:rsidRPr="00A841EC">
        <w:rPr>
          <w:rFonts w:ascii="Calibri Light" w:hAnsi="Calibri Light" w:cs="Calibri Light"/>
          <w:b/>
          <w:bCs/>
          <w:i w:val="0"/>
          <w:color w:val="auto"/>
          <w:sz w:val="22"/>
          <w:szCs w:val="22"/>
        </w:rPr>
        <w:t>Gas log:</w:t>
      </w:r>
      <w:r w:rsidR="00743BED" w:rsidRPr="00A841EC">
        <w:rPr>
          <w:rFonts w:ascii="Calibri Light" w:hAnsi="Calibri Light" w:cs="Calibri Light"/>
          <w:i w:val="0"/>
          <w:color w:val="auto"/>
          <w:sz w:val="22"/>
          <w:szCs w:val="22"/>
        </w:rPr>
        <w:t xml:space="preserve"> a self-contained, free-standing, open-flame, gas-burning appliance consisting of a metal frame or base supporting simulated logs and designed for installation only in a vented fireplace.</w:t>
      </w:r>
    </w:p>
    <w:p w14:paraId="0E9C6613" w14:textId="3CE00A25" w:rsidR="00743BED" w:rsidRPr="00A841EC" w:rsidRDefault="00743BED" w:rsidP="00743BED">
      <w:pPr>
        <w:pStyle w:val="Reminders"/>
        <w:rPr>
          <w:rFonts w:ascii="Calibri Light" w:hAnsi="Calibri Light" w:cs="Calibri Light"/>
          <w:i w:val="0"/>
          <w:color w:val="auto"/>
          <w:sz w:val="22"/>
          <w:szCs w:val="22"/>
        </w:rPr>
      </w:pPr>
    </w:p>
    <w:p w14:paraId="123DF7D1" w14:textId="3EC6952D" w:rsidR="00D05D2B" w:rsidRPr="00A841EC" w:rsidRDefault="00D05D2B" w:rsidP="00D05D2B">
      <w:pPr>
        <w:rPr>
          <w:rFonts w:cs="Calibri Light"/>
          <w:szCs w:val="22"/>
        </w:rPr>
      </w:pPr>
      <w:r w:rsidRPr="00A841EC">
        <w:t xml:space="preserve">Details pertaining to this measure are provided below. </w:t>
      </w:r>
      <w:r w:rsidR="00743BED" w:rsidRPr="00A841EC">
        <w:rPr>
          <w:iCs/>
        </w:rPr>
        <w:t xml:space="preserve">Section 110.2(c) </w:t>
      </w:r>
      <w:r w:rsidRPr="00A841EC">
        <w:rPr>
          <w:iCs/>
        </w:rPr>
        <w:t xml:space="preserve">provides the </w:t>
      </w:r>
      <w:r w:rsidR="00743BED" w:rsidRPr="00A841EC">
        <w:rPr>
          <w:iCs/>
        </w:rPr>
        <w:t>thermostat</w:t>
      </w:r>
      <w:r w:rsidR="00743BED" w:rsidRPr="00A841EC">
        <w:t xml:space="preserve"> exemption for fireplaces.</w:t>
      </w:r>
      <w:r w:rsidRPr="00A841EC">
        <w:rPr>
          <w:b/>
          <w:bCs/>
        </w:rPr>
        <w:t xml:space="preserve"> </w:t>
      </w:r>
      <w:r w:rsidRPr="00A841EC">
        <w:t xml:space="preserve">Section 150.0(e) specifies the installation requirements specific to fireplaces. Requirement (e)(2) is of importance to this measure as new fireplaces cannot use a </w:t>
      </w:r>
      <w:r w:rsidR="00994A1A" w:rsidRPr="00A841EC">
        <w:t xml:space="preserve">continuously operating pilot light </w:t>
      </w:r>
      <w:r w:rsidRPr="00A841EC">
        <w:t xml:space="preserve"> light.</w:t>
      </w:r>
      <w:r w:rsidRPr="00A841EC">
        <w:rPr>
          <w:rFonts w:cs="Calibri Light"/>
          <w:b/>
          <w:bCs/>
          <w:szCs w:val="22"/>
        </w:rPr>
        <w:t xml:space="preserve"> </w:t>
      </w:r>
      <w:r w:rsidRPr="00A841EC">
        <w:rPr>
          <w:rFonts w:cs="Calibri Light"/>
          <w:szCs w:val="22"/>
        </w:rPr>
        <w:t>Section 150.0(m) provides requirements for the installation of air-distribution and ventilation system ducts, plenums, and fans.</w:t>
      </w:r>
    </w:p>
    <w:p w14:paraId="47391D34" w14:textId="74D5FD9F" w:rsidR="00743BED" w:rsidRPr="00A841EC" w:rsidRDefault="00743BED" w:rsidP="00743BED">
      <w:pPr>
        <w:keepNext/>
        <w:rPr>
          <w:rFonts w:cs="Calibri Light"/>
          <w:szCs w:val="22"/>
        </w:rPr>
      </w:pPr>
      <w:r w:rsidRPr="00A841EC">
        <w:rPr>
          <w:rFonts w:cs="Calibri Light"/>
          <w:noProof/>
          <w:szCs w:val="22"/>
        </w:rPr>
        <w:lastRenderedPageBreak/>
        <w:drawing>
          <wp:inline distT="0" distB="0" distL="0" distR="0" wp14:anchorId="63B5D88C" wp14:editId="6B2B3D27">
            <wp:extent cx="5943600" cy="1403350"/>
            <wp:effectExtent l="19050" t="19050" r="19050" b="2540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943600" cy="1403350"/>
                    </a:xfrm>
                    <a:prstGeom prst="rect">
                      <a:avLst/>
                    </a:prstGeom>
                    <a:noFill/>
                    <a:ln w="9525" cmpd="sng">
                      <a:solidFill>
                        <a:srgbClr val="000000"/>
                      </a:solidFill>
                      <a:miter lim="800000"/>
                      <a:headEnd/>
                      <a:tailEnd/>
                    </a:ln>
                    <a:effectLst/>
                  </pic:spPr>
                </pic:pic>
              </a:graphicData>
            </a:graphic>
          </wp:inline>
        </w:drawing>
      </w:r>
    </w:p>
    <w:p w14:paraId="3E438DF2" w14:textId="05076865" w:rsidR="00743BED" w:rsidRPr="00A841EC" w:rsidRDefault="00743BED" w:rsidP="00090AC6">
      <w:pPr>
        <w:jc w:val="center"/>
        <w:rPr>
          <w:bCs/>
        </w:rPr>
      </w:pPr>
      <w:r w:rsidRPr="00A841EC">
        <w:rPr>
          <w:b/>
          <w:bCs/>
        </w:rPr>
        <w:t>Title 24, Section 110.2(c) Fireplace Thermostat Requirements</w:t>
      </w:r>
    </w:p>
    <w:p w14:paraId="40A95E8C" w14:textId="29321A78" w:rsidR="00743BED" w:rsidRPr="00A841EC" w:rsidRDefault="00743BED" w:rsidP="00743BED">
      <w:pPr>
        <w:rPr>
          <w:rFonts w:cs="Calibri Light"/>
          <w:szCs w:val="22"/>
        </w:rPr>
      </w:pPr>
    </w:p>
    <w:p w14:paraId="6B702C09" w14:textId="7C08E8FA" w:rsidR="00743BED" w:rsidRPr="00A841EC" w:rsidRDefault="00430845" w:rsidP="00430845">
      <w:pPr>
        <w:rPr>
          <w:rFonts w:cs="Calibri Light"/>
          <w:noProof/>
          <w:szCs w:val="22"/>
        </w:rPr>
      </w:pPr>
      <w:r w:rsidRPr="00A841EC">
        <w:rPr>
          <w:rFonts w:cs="Calibri Light"/>
          <w:noProof/>
          <w:szCs w:val="22"/>
        </w:rPr>
        <w:drawing>
          <wp:inline distT="0" distB="0" distL="0" distR="0" wp14:anchorId="4AC2200A" wp14:editId="79859A14">
            <wp:extent cx="5955428" cy="2343150"/>
            <wp:effectExtent l="19050" t="19050" r="26670" b="190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976069" cy="2351271"/>
                    </a:xfrm>
                    <a:prstGeom prst="rect">
                      <a:avLst/>
                    </a:prstGeom>
                    <a:noFill/>
                    <a:ln w="9525" cmpd="sng">
                      <a:solidFill>
                        <a:srgbClr val="000000"/>
                      </a:solidFill>
                      <a:miter lim="800000"/>
                      <a:headEnd/>
                      <a:tailEnd/>
                    </a:ln>
                    <a:effectLst/>
                  </pic:spPr>
                </pic:pic>
              </a:graphicData>
            </a:graphic>
          </wp:inline>
        </w:drawing>
      </w:r>
    </w:p>
    <w:p w14:paraId="3DC9DA09" w14:textId="6AFDBE3D" w:rsidR="00430845" w:rsidRPr="00A841EC" w:rsidRDefault="00430845" w:rsidP="00EC314A">
      <w:pPr>
        <w:jc w:val="center"/>
        <w:rPr>
          <w:rFonts w:cs="Calibri Light"/>
          <w:b/>
          <w:szCs w:val="22"/>
        </w:rPr>
      </w:pPr>
      <w:r w:rsidRPr="00A841EC">
        <w:rPr>
          <w:rFonts w:cs="Calibri Light"/>
          <w:b/>
          <w:szCs w:val="22"/>
        </w:rPr>
        <w:t>Title 24, Section 150.0(e) Fireplace Installation Requirements</w:t>
      </w:r>
    </w:p>
    <w:p w14:paraId="0D628631" w14:textId="77777777" w:rsidR="00536DD2" w:rsidRPr="00A841EC" w:rsidRDefault="00536DD2" w:rsidP="00CB0319"/>
    <w:p w14:paraId="718C6127" w14:textId="6BD40314" w:rsidR="00743BED" w:rsidRPr="00A841EC" w:rsidRDefault="00743BED" w:rsidP="00743BED">
      <w:pPr>
        <w:keepNext/>
        <w:rPr>
          <w:rFonts w:cs="Calibri Light"/>
          <w:szCs w:val="22"/>
        </w:rPr>
      </w:pPr>
      <w:r w:rsidRPr="00A841EC">
        <w:rPr>
          <w:rFonts w:cs="Calibri Light"/>
          <w:noProof/>
          <w:szCs w:val="22"/>
        </w:rPr>
        <w:drawing>
          <wp:inline distT="0" distB="0" distL="0" distR="0" wp14:anchorId="317B1A6C" wp14:editId="2389782C">
            <wp:extent cx="5943600" cy="2857500"/>
            <wp:effectExtent l="19050" t="19050" r="19050" b="190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5943600" cy="2857500"/>
                    </a:xfrm>
                    <a:prstGeom prst="rect">
                      <a:avLst/>
                    </a:prstGeom>
                    <a:noFill/>
                    <a:ln w="9525" cmpd="sng">
                      <a:solidFill>
                        <a:srgbClr val="000000"/>
                      </a:solidFill>
                      <a:miter lim="800000"/>
                      <a:headEnd/>
                      <a:tailEnd/>
                    </a:ln>
                    <a:effectLst/>
                  </pic:spPr>
                </pic:pic>
              </a:graphicData>
            </a:graphic>
          </wp:inline>
        </w:drawing>
      </w:r>
    </w:p>
    <w:p w14:paraId="31781A51" w14:textId="1C2409B2" w:rsidR="00743BED" w:rsidRPr="00A841EC" w:rsidRDefault="00743BED" w:rsidP="00090AC6">
      <w:pPr>
        <w:jc w:val="center"/>
        <w:rPr>
          <w:bCs/>
        </w:rPr>
      </w:pPr>
      <w:r w:rsidRPr="00A841EC">
        <w:rPr>
          <w:b/>
          <w:bCs/>
        </w:rPr>
        <w:t>Title 24, Section 150.0(m) Installation Ducting Requirements</w:t>
      </w:r>
    </w:p>
    <w:p w14:paraId="679666B9" w14:textId="77777777" w:rsidR="00743BED" w:rsidRPr="00A841EC" w:rsidRDefault="00743BED"/>
    <w:p w14:paraId="640ADB5D" w14:textId="0C7D17BA" w:rsidR="00743BED" w:rsidRPr="00A841EC" w:rsidRDefault="007E3A1D">
      <w:r w:rsidRPr="00A841EC">
        <w:rPr>
          <w:b/>
          <w:bCs/>
        </w:rPr>
        <w:t xml:space="preserve">Federal </w:t>
      </w:r>
      <w:r w:rsidR="00743BED" w:rsidRPr="00A841EC">
        <w:rPr>
          <w:b/>
          <w:bCs/>
        </w:rPr>
        <w:t>Standards</w:t>
      </w:r>
      <w:r w:rsidR="00536DD2" w:rsidRPr="00A841EC">
        <w:rPr>
          <w:b/>
          <w:bCs/>
        </w:rPr>
        <w:t xml:space="preserve">. </w:t>
      </w:r>
      <w:r w:rsidRPr="00A841EC">
        <w:t>The U.S. Department of Energy (</w:t>
      </w:r>
      <w:r w:rsidR="00743BED" w:rsidRPr="00A841EC">
        <w:t>DOE</w:t>
      </w:r>
      <w:r w:rsidRPr="00A841EC">
        <w:t>)</w:t>
      </w:r>
      <w:r w:rsidR="00743BED" w:rsidRPr="00A841EC">
        <w:t xml:space="preserve"> published an energy conservation standards final rule on April 16, 2010 (“April 2010 DOE Final Rule”) codifying the definition of “vented hearth heater” and establishing energy conservation standards.</w:t>
      </w:r>
      <w:r w:rsidRPr="00A841EC">
        <w:rPr>
          <w:rStyle w:val="FootnoteReference"/>
        </w:rPr>
        <w:footnoteReference w:id="6"/>
      </w:r>
      <w:r w:rsidR="0034285E" w:rsidRPr="00A841EC">
        <w:t xml:space="preserve"> </w:t>
      </w:r>
      <w:r w:rsidR="00743BED" w:rsidRPr="00A841EC">
        <w:t xml:space="preserve">The April 2010 DOE Final Rule definition of a vented hearth heater: a vented appliance which simulates a solid fuel fireplace and is designed to furnish warm air, with or without duct connections, to the space in which it is installed. The circulation of heated room air may be by gravity or mechanical means. A vented hearth heater may be freestanding, recessed, zero clearance, or a gas fireplace insert or stove. Those heaters with a maximum input capacity less than or equal to 9,000 British thermal units per hour (Btu/h), as measured using </w:t>
      </w:r>
      <w:r w:rsidRPr="00A841EC">
        <w:t xml:space="preserve">the </w:t>
      </w:r>
      <w:r w:rsidR="00743BED" w:rsidRPr="00A841EC">
        <w:t>DOE test procedure for vented home heating equipment (10 CFR part 430, subpart B, appendix O), are considered purely decorative and are excluded from DOE’s regulations.</w:t>
      </w:r>
    </w:p>
    <w:p w14:paraId="653AE927" w14:textId="557B790E" w:rsidR="00743BED" w:rsidRPr="00A841EC" w:rsidRDefault="00743BED">
      <w:r w:rsidRPr="00A841EC">
        <w:t xml:space="preserve">On November 18, 2011, </w:t>
      </w:r>
      <w:r w:rsidR="007E3A1D" w:rsidRPr="00A841EC">
        <w:t xml:space="preserve">the </w:t>
      </w:r>
      <w:r w:rsidRPr="00A841EC">
        <w:t>DOE published the following a vented hearth heater definition revision:</w:t>
      </w:r>
      <w:r w:rsidR="007E3A1D" w:rsidRPr="00A841EC">
        <w:rPr>
          <w:rStyle w:val="FootnoteReference"/>
          <w:rFonts w:cs="Calibri Light"/>
          <w:szCs w:val="22"/>
        </w:rPr>
        <w:t xml:space="preserve"> </w:t>
      </w:r>
      <w:r w:rsidR="007E3A1D" w:rsidRPr="00A841EC">
        <w:rPr>
          <w:rStyle w:val="FootnoteReference"/>
          <w:rFonts w:cs="Calibri Light"/>
          <w:szCs w:val="22"/>
        </w:rPr>
        <w:footnoteReference w:id="7"/>
      </w:r>
    </w:p>
    <w:p w14:paraId="200F77FA" w14:textId="77777777" w:rsidR="00743BED" w:rsidRPr="00A841EC" w:rsidRDefault="00743BED" w:rsidP="00EC314A">
      <w:pPr>
        <w:ind w:left="360"/>
        <w:jc w:val="both"/>
        <w:rPr>
          <w:rFonts w:cs="Calibri Light"/>
          <w:i/>
          <w:iCs/>
          <w:sz w:val="20"/>
          <w:szCs w:val="20"/>
        </w:rPr>
      </w:pPr>
      <w:r w:rsidRPr="00A841EC">
        <w:rPr>
          <w:rFonts w:cs="Calibri Light"/>
          <w:i/>
          <w:iCs/>
          <w:sz w:val="20"/>
          <w:szCs w:val="20"/>
        </w:rPr>
        <w:t>Vented hearth heater means a vented appliance which simulates a solid fuel fireplace and is designed to furnish warm air, with or without duct connections, to the space in which it is installed. The circulation of heated room air may be by gravity or mechanical means. A vented hearth heater may be freestanding, recessed, zero clearance, or a gas fireplace insert or stove. The following products are not subject to the energy conservation standards for vented hearth heaters:</w:t>
      </w:r>
    </w:p>
    <w:p w14:paraId="0C7A8080" w14:textId="77777777" w:rsidR="00743BED" w:rsidRPr="00A841EC" w:rsidRDefault="00743BED" w:rsidP="00743BED">
      <w:pPr>
        <w:pStyle w:val="ListParagraph"/>
        <w:numPr>
          <w:ilvl w:val="0"/>
          <w:numId w:val="21"/>
        </w:numPr>
        <w:spacing w:before="0" w:after="0" w:line="240" w:lineRule="auto"/>
        <w:rPr>
          <w:rFonts w:cs="Calibri Light"/>
          <w:i/>
          <w:iCs/>
          <w:sz w:val="20"/>
          <w:szCs w:val="20"/>
        </w:rPr>
      </w:pPr>
      <w:r w:rsidRPr="00A841EC">
        <w:rPr>
          <w:rFonts w:cs="Calibri Light"/>
          <w:i/>
          <w:iCs/>
          <w:sz w:val="20"/>
          <w:szCs w:val="20"/>
        </w:rPr>
        <w:t>Vented gas log sets and</w:t>
      </w:r>
    </w:p>
    <w:p w14:paraId="52A05756" w14:textId="77777777" w:rsidR="00743BED" w:rsidRPr="00A841EC" w:rsidRDefault="00743BED" w:rsidP="00743BED">
      <w:pPr>
        <w:pStyle w:val="ListParagraph"/>
        <w:numPr>
          <w:ilvl w:val="0"/>
          <w:numId w:val="21"/>
        </w:numPr>
        <w:spacing w:before="0" w:after="0" w:line="240" w:lineRule="auto"/>
        <w:rPr>
          <w:rFonts w:cs="Calibri Light"/>
          <w:i/>
          <w:iCs/>
          <w:sz w:val="20"/>
          <w:szCs w:val="20"/>
        </w:rPr>
      </w:pPr>
      <w:r w:rsidRPr="00A841EC">
        <w:rPr>
          <w:rFonts w:cs="Calibri Light"/>
          <w:i/>
          <w:iCs/>
          <w:sz w:val="20"/>
          <w:szCs w:val="20"/>
        </w:rPr>
        <w:t>Vented gas hearth products that meet all of the following four criteria:</w:t>
      </w:r>
    </w:p>
    <w:p w14:paraId="6C4357DB" w14:textId="77777777" w:rsidR="00743BED" w:rsidRPr="00A841EC" w:rsidRDefault="00743BED" w:rsidP="00743BED">
      <w:pPr>
        <w:pStyle w:val="ListParagraph"/>
        <w:numPr>
          <w:ilvl w:val="1"/>
          <w:numId w:val="21"/>
        </w:numPr>
        <w:spacing w:before="0" w:after="0" w:line="240" w:lineRule="auto"/>
        <w:rPr>
          <w:rFonts w:cs="Calibri Light"/>
          <w:i/>
          <w:iCs/>
          <w:sz w:val="20"/>
          <w:szCs w:val="20"/>
        </w:rPr>
      </w:pPr>
      <w:r w:rsidRPr="00A841EC">
        <w:rPr>
          <w:rFonts w:cs="Calibri Light"/>
          <w:i/>
          <w:iCs/>
          <w:sz w:val="20"/>
          <w:szCs w:val="20"/>
        </w:rPr>
        <w:t>Certified to ANSI Z21.50 (incorporated by reference; see § 430.3), but not to ANSI Z21.88 (incorporated by reference; see § 430.3);</w:t>
      </w:r>
    </w:p>
    <w:p w14:paraId="6E8E4FB0" w14:textId="77777777" w:rsidR="00743BED" w:rsidRPr="00A841EC" w:rsidRDefault="00743BED" w:rsidP="00743BED">
      <w:pPr>
        <w:pStyle w:val="ListParagraph"/>
        <w:numPr>
          <w:ilvl w:val="1"/>
          <w:numId w:val="21"/>
        </w:numPr>
        <w:spacing w:before="0" w:after="0" w:line="240" w:lineRule="auto"/>
        <w:rPr>
          <w:rFonts w:cs="Calibri Light"/>
          <w:i/>
          <w:iCs/>
          <w:sz w:val="20"/>
          <w:szCs w:val="20"/>
        </w:rPr>
      </w:pPr>
      <w:r w:rsidRPr="00A841EC">
        <w:rPr>
          <w:rFonts w:cs="Calibri Light"/>
          <w:i/>
          <w:iCs/>
          <w:sz w:val="20"/>
          <w:szCs w:val="20"/>
        </w:rPr>
        <w:t>Sold without a thermostat and with a warranty provision expressly voiding all manufacturer warranties in the event the product is used with a thermostat;</w:t>
      </w:r>
    </w:p>
    <w:p w14:paraId="6493F8C3" w14:textId="77777777" w:rsidR="00743BED" w:rsidRPr="00A841EC" w:rsidRDefault="00743BED" w:rsidP="00743BED">
      <w:pPr>
        <w:pStyle w:val="ListParagraph"/>
        <w:numPr>
          <w:ilvl w:val="1"/>
          <w:numId w:val="21"/>
        </w:numPr>
        <w:spacing w:before="0" w:after="0" w:line="240" w:lineRule="auto"/>
        <w:rPr>
          <w:rFonts w:cs="Calibri Light"/>
          <w:i/>
          <w:iCs/>
          <w:sz w:val="20"/>
          <w:szCs w:val="20"/>
        </w:rPr>
      </w:pPr>
      <w:r w:rsidRPr="00A841EC">
        <w:rPr>
          <w:rFonts w:cs="Calibri Light"/>
          <w:i/>
          <w:iCs/>
          <w:sz w:val="20"/>
          <w:szCs w:val="20"/>
        </w:rPr>
        <w:t>Expressly and conspicuously identified on its rating plate and in all manufacturer’s advertising and product literature as a “Decorative Product: Not for use as a Heating Appliance”; and</w:t>
      </w:r>
    </w:p>
    <w:p w14:paraId="1BBB4B5A" w14:textId="6C072896" w:rsidR="00743BED" w:rsidRPr="00A841EC" w:rsidRDefault="00743BED" w:rsidP="00743BED">
      <w:pPr>
        <w:pStyle w:val="ListParagraph"/>
        <w:numPr>
          <w:ilvl w:val="1"/>
          <w:numId w:val="21"/>
        </w:numPr>
        <w:spacing w:before="0" w:after="0" w:line="240" w:lineRule="auto"/>
        <w:rPr>
          <w:rFonts w:cs="Calibri Light"/>
          <w:i/>
          <w:iCs/>
          <w:sz w:val="20"/>
          <w:szCs w:val="20"/>
        </w:rPr>
      </w:pPr>
      <w:r w:rsidRPr="00A841EC">
        <w:rPr>
          <w:rFonts w:cs="Calibri Light"/>
          <w:i/>
          <w:iCs/>
          <w:sz w:val="20"/>
          <w:szCs w:val="20"/>
        </w:rPr>
        <w:t xml:space="preserve">With respect to products sold after January 1, 2015, not equipped with a </w:t>
      </w:r>
      <w:r w:rsidR="00994A1A" w:rsidRPr="00A841EC">
        <w:rPr>
          <w:rFonts w:cs="Calibri Light"/>
          <w:i/>
          <w:iCs/>
          <w:sz w:val="20"/>
          <w:szCs w:val="20"/>
        </w:rPr>
        <w:t xml:space="preserve">continuously operating pilot light </w:t>
      </w:r>
      <w:r w:rsidRPr="00A841EC">
        <w:rPr>
          <w:rFonts w:cs="Calibri Light"/>
          <w:i/>
          <w:iCs/>
          <w:sz w:val="20"/>
          <w:szCs w:val="20"/>
        </w:rPr>
        <w:t xml:space="preserve"> light or other continuously-burning ignition source.</w:t>
      </w:r>
    </w:p>
    <w:p w14:paraId="66065876" w14:textId="77777777" w:rsidR="007E3A1D" w:rsidRPr="00A841EC" w:rsidRDefault="007E3A1D" w:rsidP="00D16B89">
      <w:pPr>
        <w:spacing w:before="0" w:after="0" w:line="240" w:lineRule="auto"/>
        <w:rPr>
          <w:rFonts w:cs="Calibri Light"/>
          <w:i/>
          <w:iCs/>
          <w:sz w:val="20"/>
          <w:szCs w:val="20"/>
        </w:rPr>
      </w:pPr>
    </w:p>
    <w:p w14:paraId="0D8F997C" w14:textId="6C0ADDBE" w:rsidR="00743BED" w:rsidRPr="00A841EC" w:rsidRDefault="00743BED">
      <w:r w:rsidRPr="00A841EC">
        <w:t>On February 8, 2013, the U.S. Court of Appeals for the District of Columbia vacated</w:t>
      </w:r>
      <w:r w:rsidR="008952A0" w:rsidRPr="00A841EC">
        <w:t xml:space="preserve"> </w:t>
      </w:r>
      <w:r w:rsidRPr="00A841EC">
        <w:t>the DOE definition of “vented hearth heater.”</w:t>
      </w:r>
      <w:r w:rsidR="007E3A1D" w:rsidRPr="00A841EC">
        <w:rPr>
          <w:rStyle w:val="FootnoteReference"/>
          <w:rFonts w:cs="Calibri Light"/>
          <w:szCs w:val="22"/>
        </w:rPr>
        <w:t xml:space="preserve"> </w:t>
      </w:r>
      <w:r w:rsidR="007E3A1D" w:rsidRPr="00A841EC">
        <w:rPr>
          <w:rStyle w:val="FootnoteReference"/>
          <w:rFonts w:cs="Calibri Light"/>
          <w:szCs w:val="22"/>
        </w:rPr>
        <w:footnoteReference w:id="8"/>
      </w:r>
      <w:r w:rsidRPr="00A841EC">
        <w:t xml:space="preserve"> This also vacated the energy conservation standards established in the April 2010 DOE Final Rule.  The main argument for vacating the vented hearth heater provisions was that for hearths installed purely for aesthetics it is desirable to provide no heat to the residence. Because little to no heat is provided to the residence, the efficiency of the hearth as measured by the DOE test procedure is much lower than the standards established in the April 2010 DOE Final Rule. In other words, the April 2010 DOE Final Rule standards made an entire class of hearth products illegal by measuring efficiency instead aesthetic utility. This workpaper notes that the assumptions made in the April 2010 DOE Final </w:t>
      </w:r>
      <w:r w:rsidRPr="00A841EC">
        <w:lastRenderedPageBreak/>
        <w:t>Rule about hearths designed to provide heat are still valid and this workpaper is only considering measures for hearths that provide heat.</w:t>
      </w:r>
    </w:p>
    <w:p w14:paraId="69AE9D30" w14:textId="73206C39" w:rsidR="00743BED" w:rsidRPr="00A841EC" w:rsidRDefault="00743BED" w:rsidP="00743BED">
      <w:pPr>
        <w:rPr>
          <w:rFonts w:cs="Calibri Light"/>
          <w:szCs w:val="22"/>
        </w:rPr>
      </w:pPr>
      <w:r w:rsidRPr="00A841EC">
        <w:rPr>
          <w:rFonts w:cs="Calibri Light"/>
          <w:szCs w:val="22"/>
        </w:rPr>
        <w:t xml:space="preserve">On February 9, 2015, </w:t>
      </w:r>
      <w:r w:rsidR="00216433" w:rsidRPr="00A841EC">
        <w:rPr>
          <w:rFonts w:cs="Calibri Light"/>
          <w:szCs w:val="22"/>
        </w:rPr>
        <w:t xml:space="preserve">the U.S. </w:t>
      </w:r>
      <w:r w:rsidRPr="00A841EC">
        <w:rPr>
          <w:rFonts w:cs="Calibri Light"/>
          <w:szCs w:val="22"/>
        </w:rPr>
        <w:t>DOE published a Notice of Proposed Rulemaking (NOPR) proposing a new definition of “hearth product” and a prescriptive standard stating that hearth products not</w:t>
      </w:r>
      <w:r w:rsidR="0034285E" w:rsidRPr="00A841EC">
        <w:rPr>
          <w:rFonts w:cs="Calibri Light"/>
          <w:szCs w:val="22"/>
        </w:rPr>
        <w:t xml:space="preserve"> </w:t>
      </w:r>
      <w:r w:rsidRPr="00A841EC">
        <w:rPr>
          <w:rFonts w:cs="Calibri Light"/>
          <w:szCs w:val="22"/>
        </w:rPr>
        <w:t>be equipped with a constant-burning pilot.</w:t>
      </w:r>
      <w:r w:rsidR="00216433" w:rsidRPr="00A841EC">
        <w:rPr>
          <w:rStyle w:val="FootnoteReference"/>
          <w:rFonts w:cs="Calibri Light"/>
          <w:szCs w:val="22"/>
        </w:rPr>
        <w:footnoteReference w:id="9"/>
      </w:r>
    </w:p>
    <w:p w14:paraId="5C42E874" w14:textId="1F2F90B4" w:rsidR="00743BED" w:rsidRPr="00A841EC" w:rsidRDefault="00743BED" w:rsidP="00EC314A">
      <w:pPr>
        <w:ind w:left="720"/>
        <w:rPr>
          <w:rFonts w:cs="Calibri Light"/>
          <w:szCs w:val="22"/>
        </w:rPr>
      </w:pPr>
      <w:r w:rsidRPr="00A841EC">
        <w:rPr>
          <w:rFonts w:cs="Calibri Light"/>
          <w:szCs w:val="22"/>
        </w:rPr>
        <w:t>“</w:t>
      </w:r>
      <w:r w:rsidRPr="00A841EC">
        <w:rPr>
          <w:rFonts w:cs="Calibri Light"/>
          <w:i/>
          <w:iCs/>
          <w:szCs w:val="22"/>
        </w:rPr>
        <w:t>Hearth product</w:t>
      </w:r>
      <w:r w:rsidRPr="00A841EC">
        <w:rPr>
          <w:rFonts w:cs="Calibri Light"/>
          <w:szCs w:val="22"/>
        </w:rPr>
        <w:t xml:space="preserve">” </w:t>
      </w:r>
      <w:r w:rsidRPr="00A841EC">
        <w:rPr>
          <w:rFonts w:cs="Calibri Light"/>
          <w:i/>
          <w:iCs/>
          <w:szCs w:val="22"/>
        </w:rPr>
        <w:t>means a gas-fired appliance that simulates a solid-fueled fireplace or presents a flame pattern (for aesthetics or other purpose) and that may provide space heating directly to the space in which it is installed</w:t>
      </w:r>
      <w:r w:rsidRPr="00A841EC">
        <w:rPr>
          <w:rFonts w:cs="Calibri Light"/>
          <w:szCs w:val="22"/>
        </w:rPr>
        <w:t>.</w:t>
      </w:r>
      <w:r w:rsidR="0034285E" w:rsidRPr="00A841EC">
        <w:rPr>
          <w:rFonts w:cs="Calibri Light"/>
          <w:szCs w:val="22"/>
        </w:rPr>
        <w:t>”</w:t>
      </w:r>
    </w:p>
    <w:p w14:paraId="22407B67" w14:textId="77777777" w:rsidR="00EA6ADE" w:rsidRPr="00A841EC" w:rsidRDefault="00EA6ADE" w:rsidP="00CB0319">
      <w:bookmarkStart w:id="18" w:name="_Toc486490851"/>
      <w:bookmarkStart w:id="19" w:name="_Toc486580922"/>
    </w:p>
    <w:p w14:paraId="1EE16D20" w14:textId="3B9A1C67" w:rsidR="007D230B" w:rsidRPr="00A841EC" w:rsidRDefault="007D230B" w:rsidP="007E3A1D">
      <w:pPr>
        <w:pStyle w:val="eTRMHeading3"/>
      </w:pPr>
      <w:bookmarkStart w:id="20" w:name="_Toc23836596"/>
      <w:r w:rsidRPr="00A841EC">
        <w:t>Normalizing Unit</w:t>
      </w:r>
      <w:bookmarkEnd w:id="18"/>
      <w:bookmarkEnd w:id="19"/>
      <w:bookmarkEnd w:id="20"/>
    </w:p>
    <w:p w14:paraId="4610F087" w14:textId="5CCCB5BE" w:rsidR="00AA2841" w:rsidRPr="00A841EC" w:rsidRDefault="00B7225F" w:rsidP="00486585">
      <w:r w:rsidRPr="00A841EC">
        <w:t>Each.</w:t>
      </w:r>
    </w:p>
    <w:p w14:paraId="34652B3E" w14:textId="77777777" w:rsidR="00424F73" w:rsidRPr="00A841EC" w:rsidRDefault="00424F73" w:rsidP="00486585"/>
    <w:p w14:paraId="2F4904E6" w14:textId="77777777" w:rsidR="007D230B" w:rsidRPr="00A841EC" w:rsidRDefault="007D230B" w:rsidP="007E3A1D">
      <w:pPr>
        <w:pStyle w:val="eTRMHeading3"/>
      </w:pPr>
      <w:bookmarkStart w:id="21" w:name="_Toc486490852"/>
      <w:bookmarkStart w:id="22" w:name="_Toc486580923"/>
      <w:bookmarkStart w:id="23" w:name="_Toc23836597"/>
      <w:bookmarkStart w:id="24" w:name="_Hlk515365299"/>
      <w:bookmarkStart w:id="25" w:name="_Hlk515878271"/>
      <w:r w:rsidRPr="00A841EC">
        <w:t>Program Requirements</w:t>
      </w:r>
      <w:bookmarkEnd w:id="21"/>
      <w:bookmarkEnd w:id="22"/>
      <w:bookmarkEnd w:id="23"/>
      <w:r w:rsidRPr="00A841EC">
        <w:t xml:space="preserve"> </w:t>
      </w:r>
    </w:p>
    <w:p w14:paraId="76F286D8" w14:textId="77777777" w:rsidR="00AA2841" w:rsidRPr="00A841EC" w:rsidRDefault="00AA2841" w:rsidP="00AA2841">
      <w:pPr>
        <w:pStyle w:val="eTRMHeading5"/>
        <w:keepNext/>
        <w:keepLines/>
      </w:pPr>
      <w:bookmarkStart w:id="26" w:name="_Hlk516047641"/>
      <w:bookmarkEnd w:id="24"/>
      <w:r w:rsidRPr="00A841EC">
        <w:t>Measure Implementation Eligibility</w:t>
      </w:r>
    </w:p>
    <w:p w14:paraId="512C0D1F" w14:textId="743A1E2B" w:rsidR="00AA2841" w:rsidRPr="00A841EC" w:rsidRDefault="00AA2841" w:rsidP="003F7CD4">
      <w:bookmarkStart w:id="27" w:name="_Hlk527543844"/>
      <w:bookmarkStart w:id="28" w:name="_Hlk526859582"/>
      <w:r w:rsidRPr="00A841EC">
        <w:t>All combinations of measure application type, delivery type, and sector that are established for this measure are specified below. Measure application type is a categorization based on the circumstances and timing of the measure installation</w:t>
      </w:r>
      <w:r w:rsidR="0034285E" w:rsidRPr="00A841EC">
        <w:t>.</w:t>
      </w:r>
      <w:r w:rsidRPr="00A841EC">
        <w:t xml:space="preserve"> </w:t>
      </w:r>
      <w:r w:rsidR="0034285E" w:rsidRPr="00A841EC">
        <w:t>E</w:t>
      </w:r>
      <w:r w:rsidRPr="00A841EC">
        <w:t>ach measure application type is distinguished by its baseline determination, cost basis, eligibility, and documentation requirements.  Delivery type is the broad categorization of the delivery channel through which the market intervention strategy (financial incentives or other services) is targeted. This table also designates the broad market sector(s) that are applicable for this measure.</w:t>
      </w:r>
      <w:bookmarkEnd w:id="27"/>
    </w:p>
    <w:bookmarkEnd w:id="28"/>
    <w:p w14:paraId="22003375" w14:textId="2BD2B2F4" w:rsidR="00AA2841" w:rsidRPr="00A841EC" w:rsidRDefault="00AA2841" w:rsidP="003F7CD4">
      <w:pPr>
        <w:rPr>
          <w:rFonts w:cs="Calibri Light"/>
          <w:i/>
          <w:szCs w:val="22"/>
        </w:rPr>
      </w:pPr>
      <w:r w:rsidRPr="00A841EC">
        <w:rPr>
          <w:rFonts w:cs="Calibri Light"/>
          <w:i/>
          <w:szCs w:val="22"/>
        </w:rPr>
        <w:t>Note</w:t>
      </w:r>
      <w:r w:rsidR="002212B4" w:rsidRPr="00A841EC">
        <w:rPr>
          <w:rFonts w:cs="Calibri Light"/>
          <w:i/>
          <w:szCs w:val="22"/>
        </w:rPr>
        <w:t xml:space="preserve"> that s</w:t>
      </w:r>
      <w:r w:rsidRPr="00A841EC">
        <w:rPr>
          <w:rFonts w:cs="Calibri Light"/>
          <w:i/>
          <w:szCs w:val="22"/>
        </w:rPr>
        <w:t>ome of the implementation combinations below may not be allowed for some measure offerings by all program administrators.</w:t>
      </w:r>
    </w:p>
    <w:p w14:paraId="4C20D576" w14:textId="51A07348" w:rsidR="001B426F" w:rsidRPr="00A841EC" w:rsidRDefault="001B426F" w:rsidP="00A04BF1">
      <w:pPr>
        <w:pStyle w:val="Caption"/>
      </w:pPr>
      <w:r w:rsidRPr="00A841EC">
        <w:t>Implementation Eligibility</w:t>
      </w:r>
    </w:p>
    <w:tbl>
      <w:tblPr>
        <w:tblW w:w="9072" w:type="dxa"/>
        <w:tblInd w:w="140"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0" w:type="dxa"/>
          <w:right w:w="0" w:type="dxa"/>
        </w:tblCellMar>
        <w:tblLook w:val="04A0" w:firstRow="1" w:lastRow="0" w:firstColumn="1" w:lastColumn="0" w:noHBand="0" w:noVBand="1"/>
      </w:tblPr>
      <w:tblGrid>
        <w:gridCol w:w="3024"/>
        <w:gridCol w:w="3024"/>
        <w:gridCol w:w="3024"/>
      </w:tblGrid>
      <w:tr w:rsidR="001B426F" w:rsidRPr="00A841EC" w14:paraId="40946250" w14:textId="77777777" w:rsidTr="007572AC">
        <w:trPr>
          <w:trHeight w:val="290"/>
        </w:trPr>
        <w:tc>
          <w:tcPr>
            <w:tcW w:w="3024" w:type="dxa"/>
            <w:shd w:val="clear" w:color="auto" w:fill="F2F2F2" w:themeFill="background1" w:themeFillShade="F2"/>
            <w:noWrap/>
            <w:tcMar>
              <w:top w:w="0" w:type="dxa"/>
              <w:left w:w="108" w:type="dxa"/>
              <w:bottom w:w="0" w:type="dxa"/>
              <w:right w:w="108" w:type="dxa"/>
            </w:tcMar>
            <w:vAlign w:val="bottom"/>
            <w:hideMark/>
          </w:tcPr>
          <w:p w14:paraId="22A9E909" w14:textId="77777777" w:rsidR="001B426F" w:rsidRPr="00A841EC" w:rsidRDefault="001B426F" w:rsidP="001B426F">
            <w:pPr>
              <w:keepNext/>
              <w:spacing w:before="0" w:after="0"/>
              <w:rPr>
                <w:b/>
                <w:bCs/>
                <w:sz w:val="20"/>
              </w:rPr>
            </w:pPr>
            <w:r w:rsidRPr="00A841EC">
              <w:rPr>
                <w:b/>
                <w:bCs/>
                <w:sz w:val="20"/>
              </w:rPr>
              <w:t>Measure Application Type</w:t>
            </w:r>
          </w:p>
        </w:tc>
        <w:tc>
          <w:tcPr>
            <w:tcW w:w="3024" w:type="dxa"/>
            <w:shd w:val="clear" w:color="auto" w:fill="F2F2F2" w:themeFill="background1" w:themeFillShade="F2"/>
            <w:noWrap/>
            <w:tcMar>
              <w:top w:w="0" w:type="dxa"/>
              <w:left w:w="108" w:type="dxa"/>
              <w:bottom w:w="0" w:type="dxa"/>
              <w:right w:w="108" w:type="dxa"/>
            </w:tcMar>
            <w:vAlign w:val="bottom"/>
            <w:hideMark/>
          </w:tcPr>
          <w:p w14:paraId="6B5DB796" w14:textId="77777777" w:rsidR="001B426F" w:rsidRPr="00A841EC" w:rsidRDefault="001B426F" w:rsidP="001B426F">
            <w:pPr>
              <w:keepNext/>
              <w:spacing w:before="0" w:after="0"/>
              <w:rPr>
                <w:b/>
                <w:bCs/>
                <w:sz w:val="20"/>
              </w:rPr>
            </w:pPr>
            <w:r w:rsidRPr="00A841EC">
              <w:rPr>
                <w:b/>
                <w:bCs/>
                <w:sz w:val="20"/>
              </w:rPr>
              <w:t>Delivery Type</w:t>
            </w:r>
          </w:p>
        </w:tc>
        <w:tc>
          <w:tcPr>
            <w:tcW w:w="3024" w:type="dxa"/>
            <w:shd w:val="clear" w:color="auto" w:fill="F2F2F2" w:themeFill="background1" w:themeFillShade="F2"/>
            <w:noWrap/>
            <w:tcMar>
              <w:top w:w="0" w:type="dxa"/>
              <w:left w:w="108" w:type="dxa"/>
              <w:bottom w:w="0" w:type="dxa"/>
              <w:right w:w="108" w:type="dxa"/>
            </w:tcMar>
            <w:vAlign w:val="bottom"/>
            <w:hideMark/>
          </w:tcPr>
          <w:p w14:paraId="0558F3FA" w14:textId="77777777" w:rsidR="001B426F" w:rsidRPr="00A841EC" w:rsidRDefault="001B426F" w:rsidP="001B426F">
            <w:pPr>
              <w:keepNext/>
              <w:spacing w:before="0" w:after="0"/>
              <w:rPr>
                <w:b/>
                <w:bCs/>
                <w:sz w:val="20"/>
              </w:rPr>
            </w:pPr>
            <w:r w:rsidRPr="00A841EC">
              <w:rPr>
                <w:b/>
                <w:bCs/>
                <w:sz w:val="20"/>
              </w:rPr>
              <w:t>Sector</w:t>
            </w:r>
          </w:p>
        </w:tc>
      </w:tr>
      <w:tr w:rsidR="001B426F" w:rsidRPr="00A841EC" w14:paraId="54F21FF2" w14:textId="77777777" w:rsidTr="00EC314A">
        <w:trPr>
          <w:trHeight w:val="290"/>
        </w:trPr>
        <w:tc>
          <w:tcPr>
            <w:tcW w:w="3024" w:type="dxa"/>
            <w:noWrap/>
            <w:tcMar>
              <w:top w:w="0" w:type="dxa"/>
              <w:left w:w="108" w:type="dxa"/>
              <w:bottom w:w="0" w:type="dxa"/>
              <w:right w:w="108" w:type="dxa"/>
            </w:tcMar>
            <w:vAlign w:val="bottom"/>
          </w:tcPr>
          <w:p w14:paraId="178C5C26" w14:textId="08157600" w:rsidR="001B426F" w:rsidRPr="00A841EC" w:rsidRDefault="00EF6D98" w:rsidP="001B426F">
            <w:pPr>
              <w:keepNext/>
              <w:spacing w:before="0" w:after="0"/>
              <w:rPr>
                <w:color w:val="000000"/>
                <w:sz w:val="20"/>
              </w:rPr>
            </w:pPr>
            <w:r w:rsidRPr="00A841EC">
              <w:rPr>
                <w:color w:val="000000"/>
                <w:sz w:val="20"/>
              </w:rPr>
              <w:t>Normal Replacement (NR)</w:t>
            </w:r>
          </w:p>
        </w:tc>
        <w:tc>
          <w:tcPr>
            <w:tcW w:w="3024" w:type="dxa"/>
            <w:noWrap/>
            <w:tcMar>
              <w:top w:w="0" w:type="dxa"/>
              <w:left w:w="108" w:type="dxa"/>
              <w:bottom w:w="0" w:type="dxa"/>
              <w:right w:w="108" w:type="dxa"/>
            </w:tcMar>
            <w:vAlign w:val="center"/>
          </w:tcPr>
          <w:p w14:paraId="7EB7E369" w14:textId="6EB10C43" w:rsidR="001B426F" w:rsidRPr="00A841EC" w:rsidRDefault="00EF6D98" w:rsidP="00EC314A">
            <w:pPr>
              <w:keepNext/>
              <w:spacing w:before="0" w:after="0"/>
              <w:jc w:val="center"/>
              <w:rPr>
                <w:color w:val="000000"/>
                <w:sz w:val="20"/>
              </w:rPr>
            </w:pPr>
            <w:r w:rsidRPr="00A841EC">
              <w:rPr>
                <w:color w:val="000000"/>
                <w:sz w:val="20"/>
              </w:rPr>
              <w:t>DnDeemed</w:t>
            </w:r>
          </w:p>
        </w:tc>
        <w:tc>
          <w:tcPr>
            <w:tcW w:w="3024" w:type="dxa"/>
            <w:noWrap/>
            <w:tcMar>
              <w:top w:w="0" w:type="dxa"/>
              <w:left w:w="108" w:type="dxa"/>
              <w:bottom w:w="0" w:type="dxa"/>
              <w:right w:w="108" w:type="dxa"/>
            </w:tcMar>
            <w:vAlign w:val="center"/>
          </w:tcPr>
          <w:p w14:paraId="6F9C2987" w14:textId="4CC5CAD0" w:rsidR="001B426F" w:rsidRPr="00A841EC" w:rsidRDefault="00EF6D98" w:rsidP="00EC314A">
            <w:pPr>
              <w:keepNext/>
              <w:spacing w:before="0" w:after="0"/>
              <w:jc w:val="center"/>
              <w:rPr>
                <w:color w:val="000000"/>
                <w:sz w:val="20"/>
              </w:rPr>
            </w:pPr>
            <w:r w:rsidRPr="00A841EC">
              <w:rPr>
                <w:color w:val="000000"/>
                <w:sz w:val="20"/>
              </w:rPr>
              <w:t>Residential</w:t>
            </w:r>
          </w:p>
        </w:tc>
      </w:tr>
      <w:tr w:rsidR="00D0761C" w:rsidRPr="00A841EC" w14:paraId="153F91F9" w14:textId="77777777" w:rsidTr="00EC314A">
        <w:trPr>
          <w:trHeight w:val="290"/>
        </w:trPr>
        <w:tc>
          <w:tcPr>
            <w:tcW w:w="3024" w:type="dxa"/>
            <w:noWrap/>
            <w:tcMar>
              <w:top w:w="0" w:type="dxa"/>
              <w:left w:w="108" w:type="dxa"/>
              <w:bottom w:w="0" w:type="dxa"/>
              <w:right w:w="108" w:type="dxa"/>
            </w:tcMar>
            <w:vAlign w:val="bottom"/>
          </w:tcPr>
          <w:p w14:paraId="3E15F312" w14:textId="1C5C2557" w:rsidR="00D0761C" w:rsidRPr="00A841EC" w:rsidRDefault="00EF6D98" w:rsidP="001B426F">
            <w:pPr>
              <w:keepNext/>
              <w:spacing w:before="0" w:after="0"/>
              <w:rPr>
                <w:color w:val="000000"/>
                <w:sz w:val="20"/>
              </w:rPr>
            </w:pPr>
            <w:r w:rsidRPr="00A841EC">
              <w:rPr>
                <w:color w:val="000000"/>
                <w:sz w:val="20"/>
              </w:rPr>
              <w:t>Accelerated Replacement (AR)</w:t>
            </w:r>
          </w:p>
        </w:tc>
        <w:tc>
          <w:tcPr>
            <w:tcW w:w="3024" w:type="dxa"/>
            <w:noWrap/>
            <w:tcMar>
              <w:top w:w="0" w:type="dxa"/>
              <w:left w:w="108" w:type="dxa"/>
              <w:bottom w:w="0" w:type="dxa"/>
              <w:right w:w="108" w:type="dxa"/>
            </w:tcMar>
            <w:vAlign w:val="center"/>
          </w:tcPr>
          <w:p w14:paraId="6B1AD6E6" w14:textId="56266783" w:rsidR="00D0761C" w:rsidRPr="00A841EC" w:rsidRDefault="00EF6D98" w:rsidP="00EC314A">
            <w:pPr>
              <w:keepNext/>
              <w:spacing w:before="0" w:after="0"/>
              <w:jc w:val="center"/>
              <w:rPr>
                <w:color w:val="000000"/>
                <w:sz w:val="20"/>
              </w:rPr>
            </w:pPr>
            <w:r w:rsidRPr="00A841EC">
              <w:rPr>
                <w:color w:val="000000"/>
                <w:sz w:val="20"/>
              </w:rPr>
              <w:t>DnDeemed</w:t>
            </w:r>
          </w:p>
        </w:tc>
        <w:tc>
          <w:tcPr>
            <w:tcW w:w="3024" w:type="dxa"/>
            <w:noWrap/>
            <w:tcMar>
              <w:top w:w="0" w:type="dxa"/>
              <w:left w:w="108" w:type="dxa"/>
              <w:bottom w:w="0" w:type="dxa"/>
              <w:right w:w="108" w:type="dxa"/>
            </w:tcMar>
            <w:vAlign w:val="center"/>
          </w:tcPr>
          <w:p w14:paraId="7FB31BD4" w14:textId="63F6D3C8" w:rsidR="00D0761C" w:rsidRPr="00A841EC" w:rsidRDefault="00EF6D98" w:rsidP="00EC314A">
            <w:pPr>
              <w:keepNext/>
              <w:spacing w:before="0" w:after="0"/>
              <w:jc w:val="center"/>
              <w:rPr>
                <w:color w:val="000000"/>
                <w:sz w:val="20"/>
              </w:rPr>
            </w:pPr>
            <w:r w:rsidRPr="00A841EC">
              <w:rPr>
                <w:color w:val="000000"/>
                <w:sz w:val="20"/>
              </w:rPr>
              <w:t>Residential</w:t>
            </w:r>
          </w:p>
        </w:tc>
      </w:tr>
    </w:tbl>
    <w:p w14:paraId="73035A5C" w14:textId="49BEAFA2" w:rsidR="001B426F" w:rsidRPr="00A841EC" w:rsidRDefault="001B426F" w:rsidP="001B426F"/>
    <w:p w14:paraId="3F89F36C" w14:textId="77777777" w:rsidR="00DF51E1" w:rsidRPr="00A841EC" w:rsidRDefault="00DF51E1" w:rsidP="00DF51E1">
      <w:r w:rsidRPr="00A841EC">
        <w:rPr>
          <w:rFonts w:eastAsia="Calibri Light" w:cs="Calibri Light"/>
          <w:szCs w:val="22"/>
        </w:rPr>
        <w:t xml:space="preserve">For </w:t>
      </w:r>
      <w:r w:rsidRPr="00A841EC">
        <w:rPr>
          <w:rFonts w:eastAsia="Calibri Light" w:cs="Calibri Light"/>
          <w:i/>
          <w:iCs/>
          <w:szCs w:val="22"/>
        </w:rPr>
        <w:t xml:space="preserve">accelerated replacement </w:t>
      </w:r>
      <w:r w:rsidRPr="00A841EC">
        <w:rPr>
          <w:rFonts w:eastAsia="Calibri Light" w:cs="Calibri Light"/>
          <w:szCs w:val="22"/>
        </w:rPr>
        <w:t>application types, this measure adopts the program-level “Preponderance of Evidence Assessment” described in Version 2.0 of the Accelerated Replacement Using Preponderance of Evidence report developed by the utilities and stakeholders to provide guidance for the California programs (“POEV 2.0”, see Section 7)</w:t>
      </w:r>
      <w:r w:rsidRPr="00A841EC">
        <w:rPr>
          <w:rStyle w:val="FootnoteReference"/>
        </w:rPr>
        <w:footnoteReference w:id="10"/>
      </w:r>
      <w:r w:rsidRPr="00A841EC">
        <w:rPr>
          <w:rFonts w:eastAsia="Calibri Light" w:cs="Calibri Light"/>
          <w:szCs w:val="22"/>
        </w:rPr>
        <w:t xml:space="preserve">.  “Continued viability” and “program influence” must be demonstrated as the evidence of accelerated replacement.  </w:t>
      </w:r>
    </w:p>
    <w:p w14:paraId="2A4C497B" w14:textId="77777777" w:rsidR="00DF51E1" w:rsidRPr="00A841EC" w:rsidRDefault="00DF51E1" w:rsidP="00DF51E1">
      <w:r w:rsidRPr="00A841EC">
        <w:rPr>
          <w:rFonts w:eastAsia="Calibri Light" w:cs="Calibri Light"/>
          <w:szCs w:val="22"/>
        </w:rPr>
        <w:lastRenderedPageBreak/>
        <w:t>To demonstrate the viability of the pre-existing system or to show that the program is replacing equipment that is “installed and operating,” the customer must be approached by a direct install implementer. Additionally, the program must obtain and provide additional documentation, including (but not limited to) the following:</w:t>
      </w:r>
    </w:p>
    <w:p w14:paraId="4BABC5F4" w14:textId="77777777" w:rsidR="00DF51E1" w:rsidRPr="00A841EC" w:rsidRDefault="00DF51E1" w:rsidP="000A2317">
      <w:pPr>
        <w:pStyle w:val="eTRMBulletedText"/>
      </w:pPr>
      <w:r w:rsidRPr="00A841EC">
        <w:t>Targeted segment of the market or customers</w:t>
      </w:r>
    </w:p>
    <w:p w14:paraId="17D60C6B" w14:textId="77777777" w:rsidR="00DF51E1" w:rsidRPr="00A841EC" w:rsidRDefault="00DF51E1" w:rsidP="000A2317">
      <w:pPr>
        <w:pStyle w:val="eTRMBulletedText"/>
      </w:pPr>
      <w:r w:rsidRPr="00A841EC">
        <w:t>Customer/site information</w:t>
      </w:r>
    </w:p>
    <w:p w14:paraId="09A71222" w14:textId="77777777" w:rsidR="00DF51E1" w:rsidRPr="00A841EC" w:rsidRDefault="00DF51E1" w:rsidP="000A2317">
      <w:pPr>
        <w:pStyle w:val="eTRMBulletedText"/>
      </w:pPr>
      <w:r w:rsidRPr="00A841EC">
        <w:t>Make/model of pre-existing equipment and/or</w:t>
      </w:r>
    </w:p>
    <w:p w14:paraId="696F4ABC" w14:textId="77777777" w:rsidR="00DF51E1" w:rsidRPr="00A841EC" w:rsidRDefault="00DF51E1" w:rsidP="000A2317">
      <w:pPr>
        <w:pStyle w:val="eTRMBulletedText"/>
      </w:pPr>
      <w:r w:rsidRPr="00A841EC">
        <w:t>Performance/flowrate measurements of pre-existing equipment, and/or</w:t>
      </w:r>
    </w:p>
    <w:p w14:paraId="6D930AD3" w14:textId="77777777" w:rsidR="00DF51E1" w:rsidRPr="00A841EC" w:rsidRDefault="00DF51E1" w:rsidP="000A2317">
      <w:pPr>
        <w:pStyle w:val="eTRMBulletedText"/>
      </w:pPr>
      <w:r w:rsidRPr="00A841EC">
        <w:t>Photograph of pre-existing equipment in place and operating</w:t>
      </w:r>
    </w:p>
    <w:p w14:paraId="3D133C82" w14:textId="77777777" w:rsidR="00DF51E1" w:rsidRPr="00A841EC" w:rsidRDefault="00DF51E1" w:rsidP="00DF51E1">
      <w:r w:rsidRPr="00A841EC">
        <w:rPr>
          <w:rFonts w:eastAsia="Calibri Light" w:cs="Calibri Light"/>
          <w:szCs w:val="22"/>
        </w:rPr>
        <w:t>Program influence evidence can be demonstrated through one of the three alternatives listed in Section 7.3 of POEV 2.0.  This measure establishes the program-level evidence of program influence by adopting the net-to-gross (NTG) ratio from prior program evaluation results.</w:t>
      </w:r>
    </w:p>
    <w:p w14:paraId="26052ACF" w14:textId="77777777" w:rsidR="00DF51E1" w:rsidRPr="00A841EC" w:rsidRDefault="00DF51E1" w:rsidP="00DF51E1">
      <w:r w:rsidRPr="00A841EC">
        <w:rPr>
          <w:rFonts w:eastAsia="Calibri Light" w:cs="Calibri Light"/>
          <w:szCs w:val="22"/>
        </w:rPr>
        <w:t>Specific documentation requirements will be determined by the program administrator and will be specified in the program implementation plan.</w:t>
      </w:r>
    </w:p>
    <w:p w14:paraId="3364B2B8" w14:textId="77777777" w:rsidR="00DF51E1" w:rsidRPr="00A841EC" w:rsidRDefault="00DF51E1" w:rsidP="001B426F"/>
    <w:bookmarkEnd w:id="25"/>
    <w:bookmarkEnd w:id="26"/>
    <w:p w14:paraId="50711562" w14:textId="5D0894B2" w:rsidR="00AA46AF" w:rsidRPr="00A841EC" w:rsidRDefault="00196649" w:rsidP="0026110B">
      <w:pPr>
        <w:pStyle w:val="eTRMHeading5"/>
        <w:keepNext/>
        <w:keepLines/>
      </w:pPr>
      <w:r w:rsidRPr="00A841EC">
        <w:t>Eligible Products</w:t>
      </w:r>
    </w:p>
    <w:p w14:paraId="79F3574F" w14:textId="0A8E0A6D" w:rsidR="00EF6D98" w:rsidRPr="00A841EC" w:rsidRDefault="00EF6D98" w:rsidP="00EF6D98">
      <w:pPr>
        <w:rPr>
          <w:b/>
          <w:bCs/>
        </w:rPr>
      </w:pPr>
      <w:r w:rsidRPr="00A841EC">
        <w:rPr>
          <w:b/>
          <w:bCs/>
        </w:rPr>
        <w:t>Eligibility requirements</w:t>
      </w:r>
    </w:p>
    <w:p w14:paraId="0FB6F9EC" w14:textId="0632BD96" w:rsidR="00DF51E1" w:rsidRPr="00A841EC" w:rsidRDefault="00DF51E1" w:rsidP="00DF51E1">
      <w:r w:rsidRPr="00A841EC">
        <w:t>These measures only apply to gas fireplaces manufactured with burner-control thermostats, integrated IPL controls, and fireplace efficiency (FE) values within the specified ranges. See Measure Case Description.</w:t>
      </w:r>
    </w:p>
    <w:p w14:paraId="51059D7F" w14:textId="77777777" w:rsidR="00DF51E1" w:rsidRPr="00A841EC" w:rsidRDefault="00DF51E1" w:rsidP="00E27E0C">
      <w:r w:rsidRPr="00A841EC">
        <w:t>The fireplace shall be functional prior to being installed.</w:t>
      </w:r>
    </w:p>
    <w:p w14:paraId="440C8567" w14:textId="11EF8610" w:rsidR="00F85099" w:rsidRPr="00A841EC" w:rsidRDefault="00EF6D98" w:rsidP="00536DD2">
      <w:r w:rsidRPr="00A841EC">
        <w:t>Any technology manufacturer qualifies to be used in this program if safety and all other regulations are met and the technology is commercially available.</w:t>
      </w:r>
    </w:p>
    <w:p w14:paraId="42E40CDA" w14:textId="77777777" w:rsidR="00DF51E1" w:rsidRPr="00A841EC" w:rsidRDefault="00DF51E1" w:rsidP="00E27E0C">
      <w:r w:rsidRPr="00A841EC">
        <w:t>The purchase invoice for the gas fireplace must be provided as proof of purchase.</w:t>
      </w:r>
    </w:p>
    <w:p w14:paraId="41CDF1E5" w14:textId="3CD18819" w:rsidR="00DF51E1" w:rsidRPr="00A841EC" w:rsidRDefault="00DF51E1" w:rsidP="00E27E0C">
      <w:r w:rsidRPr="00A841EC">
        <w:t>The customer agrees to a post measure implementation inspection.</w:t>
      </w:r>
    </w:p>
    <w:p w14:paraId="2CF6D860" w14:textId="77777777" w:rsidR="00536DD2" w:rsidRPr="00A841EC" w:rsidRDefault="00536DD2" w:rsidP="00E27E0C"/>
    <w:p w14:paraId="7CE938DA" w14:textId="2FA54ECE" w:rsidR="007B6A74" w:rsidRPr="00A841EC" w:rsidRDefault="007B6A74" w:rsidP="00401C43">
      <w:pPr>
        <w:pStyle w:val="eTRMHeading5"/>
      </w:pPr>
      <w:r w:rsidRPr="00A841EC">
        <w:t>Eligible Building Types</w:t>
      </w:r>
      <w:r w:rsidR="00E57AAD" w:rsidRPr="00A841EC">
        <w:t xml:space="preserve"> and Vintages</w:t>
      </w:r>
    </w:p>
    <w:p w14:paraId="0EE3AE4E" w14:textId="4D5F087E" w:rsidR="00BF0A45" w:rsidRPr="00A841EC" w:rsidRDefault="00BF0A45" w:rsidP="00BF0A45">
      <w:pPr>
        <w:contextualSpacing/>
      </w:pPr>
      <w:r w:rsidRPr="00A841EC">
        <w:t xml:space="preserve">This measure is applicable in </w:t>
      </w:r>
      <w:r w:rsidR="003A444C" w:rsidRPr="00A841EC">
        <w:t>single-family or multifamily</w:t>
      </w:r>
      <w:r w:rsidR="00536DD2" w:rsidRPr="00A841EC">
        <w:t xml:space="preserve"> building type of any vintage</w:t>
      </w:r>
      <w:r w:rsidRPr="00A841EC">
        <w:t>.</w:t>
      </w:r>
    </w:p>
    <w:p w14:paraId="5E6348EA" w14:textId="77777777" w:rsidR="00AA2841" w:rsidRPr="00A841EC" w:rsidRDefault="00AA2841" w:rsidP="006161A6"/>
    <w:p w14:paraId="1A3705F3" w14:textId="4BC0985D" w:rsidR="007B6A74" w:rsidRPr="00A841EC" w:rsidRDefault="00196649" w:rsidP="00154391">
      <w:pPr>
        <w:pStyle w:val="eTRMHeading5"/>
      </w:pPr>
      <w:r w:rsidRPr="00A841EC">
        <w:t>Eligible Climate Zones</w:t>
      </w:r>
    </w:p>
    <w:p w14:paraId="34FF761D" w14:textId="7D238D7C" w:rsidR="006C41AD" w:rsidRPr="00A841EC" w:rsidRDefault="004B6780" w:rsidP="004B06E3">
      <w:r w:rsidRPr="00A841EC">
        <w:t xml:space="preserve">This measure is applicable </w:t>
      </w:r>
      <w:r w:rsidR="0026110B" w:rsidRPr="00A841EC">
        <w:t>in</w:t>
      </w:r>
      <w:r w:rsidRPr="00A841EC">
        <w:t xml:space="preserve"> </w:t>
      </w:r>
      <w:r w:rsidR="0026110B" w:rsidRPr="00A841EC">
        <w:t>all</w:t>
      </w:r>
      <w:r w:rsidRPr="00A841EC">
        <w:t xml:space="preserve"> California climate zones.</w:t>
      </w:r>
    </w:p>
    <w:p w14:paraId="57F7C961" w14:textId="77777777" w:rsidR="00424F73" w:rsidRPr="00A841EC" w:rsidRDefault="00424F73" w:rsidP="004B06E3"/>
    <w:p w14:paraId="47630D60" w14:textId="77777777" w:rsidR="007D230B" w:rsidRPr="00A841EC" w:rsidRDefault="007D230B" w:rsidP="007E3A1D">
      <w:pPr>
        <w:pStyle w:val="eTRMHeading3"/>
      </w:pPr>
      <w:bookmarkStart w:id="29" w:name="_Toc486490853"/>
      <w:bookmarkStart w:id="30" w:name="_Toc486580924"/>
      <w:bookmarkStart w:id="31" w:name="_Toc23836598"/>
      <w:r w:rsidRPr="00A841EC">
        <w:t>Program Exclusions</w:t>
      </w:r>
      <w:bookmarkEnd w:id="29"/>
      <w:bookmarkEnd w:id="30"/>
      <w:bookmarkEnd w:id="31"/>
      <w:r w:rsidRPr="00A841EC">
        <w:t xml:space="preserve"> </w:t>
      </w:r>
    </w:p>
    <w:p w14:paraId="54575027" w14:textId="51D59959" w:rsidR="00190874" w:rsidRPr="00A841EC" w:rsidRDefault="00424F73" w:rsidP="004B06E3">
      <w:r w:rsidRPr="00A841EC">
        <w:t>None.</w:t>
      </w:r>
    </w:p>
    <w:p w14:paraId="65616271" w14:textId="77777777" w:rsidR="00424F73" w:rsidRPr="00A841EC" w:rsidRDefault="00424F73" w:rsidP="004B06E3"/>
    <w:p w14:paraId="655E299F" w14:textId="77777777" w:rsidR="007D230B" w:rsidRPr="00A841EC" w:rsidRDefault="007D230B" w:rsidP="007E3A1D">
      <w:pPr>
        <w:pStyle w:val="eTRMHeading3"/>
      </w:pPr>
      <w:bookmarkStart w:id="32" w:name="_Toc486490854"/>
      <w:bookmarkStart w:id="33" w:name="_Toc486580925"/>
      <w:bookmarkStart w:id="34" w:name="_Toc23836599"/>
      <w:r w:rsidRPr="00A841EC">
        <w:lastRenderedPageBreak/>
        <w:t>Data Collection Requirements</w:t>
      </w:r>
      <w:bookmarkEnd w:id="32"/>
      <w:bookmarkEnd w:id="33"/>
      <w:bookmarkEnd w:id="34"/>
      <w:r w:rsidRPr="00A841EC">
        <w:t xml:space="preserve"> </w:t>
      </w:r>
    </w:p>
    <w:p w14:paraId="5DC4E1BD" w14:textId="6FD1411F" w:rsidR="00CC520D" w:rsidRPr="00A841EC" w:rsidRDefault="00CC520D" w:rsidP="00CC520D">
      <w:r w:rsidRPr="00A841EC">
        <w:t xml:space="preserve">The quality of the data used in this workpaper is appropriate for computations purposes. Primarily the data is used to establish the precedent of energy consumption from the use of a </w:t>
      </w:r>
      <w:r w:rsidR="003A444C" w:rsidRPr="00A841EC">
        <w:t xml:space="preserve">continuous pilot light (CPL) </w:t>
      </w:r>
      <w:r w:rsidRPr="00A841EC">
        <w:t xml:space="preserve">and the energy savings from an increase in </w:t>
      </w:r>
      <w:r w:rsidR="003A444C" w:rsidRPr="00A841EC">
        <w:t>fireplace efficiency (FE)</w:t>
      </w:r>
      <w:r w:rsidRPr="00A841EC">
        <w:t xml:space="preserve">. </w:t>
      </w:r>
    </w:p>
    <w:p w14:paraId="6514F303" w14:textId="77777777" w:rsidR="00CC520D" w:rsidRPr="00A841EC" w:rsidRDefault="00CC520D" w:rsidP="00CC520D">
      <w:r w:rsidRPr="00A841EC">
        <w:t>Future data needs could involve:</w:t>
      </w:r>
    </w:p>
    <w:p w14:paraId="6FBBB4BF" w14:textId="495CD206" w:rsidR="00CC520D" w:rsidRPr="00A841EC" w:rsidRDefault="00CC520D" w:rsidP="003F7CD4">
      <w:pPr>
        <w:pStyle w:val="eTRMBulletedText"/>
      </w:pPr>
      <w:r w:rsidRPr="00A841EC">
        <w:t xml:space="preserve">A </w:t>
      </w:r>
      <w:r w:rsidR="005710D6" w:rsidRPr="00A841EC">
        <w:t xml:space="preserve">comprehensive </w:t>
      </w:r>
      <w:r w:rsidRPr="00A841EC">
        <w:t xml:space="preserve">survey to more accurately </w:t>
      </w:r>
      <w:r w:rsidR="005710D6" w:rsidRPr="00A841EC">
        <w:t>estimate</w:t>
      </w:r>
      <w:r w:rsidRPr="00A841EC">
        <w:t xml:space="preserve"> the annual hours the pilot is </w:t>
      </w:r>
      <w:r w:rsidR="005710D6" w:rsidRPr="00A841EC">
        <w:t>ON</w:t>
      </w:r>
      <w:r w:rsidRPr="00A841EC">
        <w:t>.</w:t>
      </w:r>
    </w:p>
    <w:p w14:paraId="0F11EA7E" w14:textId="4D604A9C" w:rsidR="00CC520D" w:rsidRPr="00A841EC" w:rsidRDefault="00CC520D" w:rsidP="003F7CD4">
      <w:pPr>
        <w:pStyle w:val="eTRMBulletedText"/>
      </w:pPr>
      <w:r w:rsidRPr="00A841EC">
        <w:t>A thorough survey to more accurately address burner ON times of a manually operated fireplace.</w:t>
      </w:r>
    </w:p>
    <w:p w14:paraId="021B2C06" w14:textId="77777777" w:rsidR="00424F73" w:rsidRPr="00A841EC" w:rsidRDefault="00424F73" w:rsidP="00E27E0C"/>
    <w:p w14:paraId="4891FCAB" w14:textId="77777777" w:rsidR="007D230B" w:rsidRPr="00A841EC" w:rsidRDefault="007D230B" w:rsidP="007E3A1D">
      <w:pPr>
        <w:pStyle w:val="eTRMHeading3"/>
      </w:pPr>
      <w:bookmarkStart w:id="35" w:name="_Toc486490855"/>
      <w:bookmarkStart w:id="36" w:name="_Toc486580926"/>
      <w:bookmarkStart w:id="37" w:name="_Toc23836600"/>
      <w:r w:rsidRPr="00A841EC">
        <w:t>Use Category</w:t>
      </w:r>
      <w:bookmarkEnd w:id="35"/>
      <w:bookmarkEnd w:id="36"/>
      <w:bookmarkEnd w:id="37"/>
    </w:p>
    <w:p w14:paraId="69458728" w14:textId="08F1FF3C" w:rsidR="00132E1A" w:rsidRPr="00A841EC" w:rsidRDefault="00CC520D" w:rsidP="004B06E3">
      <w:r w:rsidRPr="00A841EC">
        <w:t>HVAC</w:t>
      </w:r>
    </w:p>
    <w:p w14:paraId="00D7461A" w14:textId="77777777" w:rsidR="00424F73" w:rsidRPr="00A841EC" w:rsidRDefault="00424F73" w:rsidP="004B06E3"/>
    <w:p w14:paraId="4B62D367" w14:textId="370A839E" w:rsidR="007D230B" w:rsidRPr="00A841EC" w:rsidRDefault="007D230B" w:rsidP="007E3A1D">
      <w:pPr>
        <w:pStyle w:val="eTRMHeading3"/>
      </w:pPr>
      <w:bookmarkStart w:id="38" w:name="_Toc486490857"/>
      <w:bookmarkStart w:id="39" w:name="_Toc486580928"/>
      <w:bookmarkStart w:id="40" w:name="_Toc23836601"/>
      <w:r w:rsidRPr="00A841EC">
        <w:t>Electric Savings</w:t>
      </w:r>
      <w:r w:rsidR="00245AFF" w:rsidRPr="00A841EC">
        <w:t xml:space="preserve"> (</w:t>
      </w:r>
      <w:r w:rsidR="00E14349" w:rsidRPr="00A841EC">
        <w:t>k</w:t>
      </w:r>
      <w:r w:rsidR="00245AFF" w:rsidRPr="00A841EC">
        <w:t>Wh)</w:t>
      </w:r>
      <w:bookmarkEnd w:id="38"/>
      <w:bookmarkEnd w:id="39"/>
      <w:bookmarkEnd w:id="40"/>
    </w:p>
    <w:p w14:paraId="12D5A557" w14:textId="3DED3880" w:rsidR="00D67B9C" w:rsidRPr="00A841EC" w:rsidRDefault="00424F73" w:rsidP="00AB71BC">
      <w:r w:rsidRPr="00A841EC">
        <w:t>Not applicable.</w:t>
      </w:r>
    </w:p>
    <w:p w14:paraId="3A4FE854" w14:textId="77777777" w:rsidR="00424F73" w:rsidRPr="00A841EC" w:rsidRDefault="00424F73" w:rsidP="00AB71BC"/>
    <w:p w14:paraId="46B7702E" w14:textId="75623427" w:rsidR="00BB4F22" w:rsidRPr="00A841EC" w:rsidRDefault="00BB4F22" w:rsidP="007E3A1D">
      <w:pPr>
        <w:pStyle w:val="eTRMHeading3"/>
      </w:pPr>
      <w:bookmarkStart w:id="41" w:name="_Toc486490856"/>
      <w:bookmarkStart w:id="42" w:name="_Toc486580927"/>
      <w:bookmarkStart w:id="43" w:name="_Toc23836602"/>
      <w:r w:rsidRPr="00A841EC">
        <w:t>Peak Electric Demand Reduction (</w:t>
      </w:r>
      <w:r w:rsidR="005710D6" w:rsidRPr="00A841EC">
        <w:t>kW</w:t>
      </w:r>
      <w:r w:rsidRPr="00A841EC">
        <w:t>)</w:t>
      </w:r>
      <w:bookmarkEnd w:id="41"/>
      <w:bookmarkEnd w:id="42"/>
      <w:bookmarkEnd w:id="43"/>
    </w:p>
    <w:p w14:paraId="732CC9D2" w14:textId="2886FC7E" w:rsidR="005C7B6B" w:rsidRPr="00A841EC" w:rsidRDefault="00424F73" w:rsidP="005C7B6B">
      <w:r w:rsidRPr="00A841EC">
        <w:t>Not applicable.</w:t>
      </w:r>
    </w:p>
    <w:p w14:paraId="675D4562" w14:textId="77777777" w:rsidR="00536DD2" w:rsidRPr="00A841EC" w:rsidRDefault="00536DD2" w:rsidP="005C7B6B"/>
    <w:p w14:paraId="02E97124" w14:textId="3E3265AF" w:rsidR="00177EB6" w:rsidRPr="00A841EC" w:rsidRDefault="00177EB6" w:rsidP="007E3A1D">
      <w:pPr>
        <w:pStyle w:val="eTRMHeading3"/>
      </w:pPr>
      <w:bookmarkStart w:id="44" w:name="_Toc486490858"/>
      <w:bookmarkStart w:id="45" w:name="_Toc486580929"/>
      <w:bookmarkStart w:id="46" w:name="_Toc23836603"/>
      <w:r w:rsidRPr="00A841EC">
        <w:t>Gas Savings (</w:t>
      </w:r>
      <w:r w:rsidR="005710D6" w:rsidRPr="00A841EC">
        <w:t>Therms</w:t>
      </w:r>
      <w:r w:rsidRPr="00A841EC">
        <w:t>)</w:t>
      </w:r>
      <w:bookmarkEnd w:id="44"/>
      <w:bookmarkEnd w:id="45"/>
      <w:bookmarkEnd w:id="46"/>
    </w:p>
    <w:p w14:paraId="55F9F5F8" w14:textId="77777777" w:rsidR="005C7B6B" w:rsidRPr="00A841EC" w:rsidRDefault="005C7B6B" w:rsidP="005C7B6B">
      <w:pPr>
        <w:pStyle w:val="eTRMHeading4"/>
      </w:pPr>
      <w:r w:rsidRPr="00A841EC">
        <w:t>Methodology</w:t>
      </w:r>
    </w:p>
    <w:p w14:paraId="3A91C65A" w14:textId="77777777" w:rsidR="00954569" w:rsidRPr="00A841EC" w:rsidRDefault="00DD1D9C" w:rsidP="00DD1D9C">
      <w:pPr>
        <w:rPr>
          <w:shd w:val="clear" w:color="auto" w:fill="FFFFFF"/>
        </w:rPr>
      </w:pPr>
      <w:r w:rsidRPr="00A841EC">
        <w:rPr>
          <w:shd w:val="clear" w:color="auto" w:fill="FFFFFF"/>
        </w:rPr>
        <w:t>The gas unit energy savings (UES) of this measure is a function of the pilot light usage and efficiency and the fireplace usage and efficiency.</w:t>
      </w:r>
    </w:p>
    <w:p w14:paraId="57CF28C4" w14:textId="52A65190" w:rsidR="008D14CA" w:rsidRPr="00A841EC" w:rsidRDefault="00555D0C" w:rsidP="00DD1D9C">
      <w:r w:rsidRPr="00A841EC">
        <w:t xml:space="preserve">The baseline for the AR measure is assumed to use a </w:t>
      </w:r>
      <w:r w:rsidR="00994A1A" w:rsidRPr="00A841EC">
        <w:t>continuously operating pilot light</w:t>
      </w:r>
      <w:r w:rsidR="008D14CA" w:rsidRPr="00A841EC">
        <w:t>,</w:t>
      </w:r>
      <w:r w:rsidRPr="00A841EC">
        <w:t xml:space="preserve"> and both measure tiers must use electronic ignition</w:t>
      </w:r>
      <w:r w:rsidR="008D14CA" w:rsidRPr="00A841EC">
        <w:t>.</w:t>
      </w:r>
      <w:r w:rsidRPr="00A841EC">
        <w:t xml:space="preserve"> </w:t>
      </w:r>
      <w:r w:rsidR="00DF4B35" w:rsidRPr="00A841EC">
        <w:t>The UES of an accelerated replacement (</w:t>
      </w:r>
      <w:r w:rsidRPr="00A841EC">
        <w:t>AR</w:t>
      </w:r>
      <w:r w:rsidR="00DF4B35" w:rsidRPr="00A841EC">
        <w:t>)</w:t>
      </w:r>
      <w:r w:rsidRPr="00A841EC">
        <w:t xml:space="preserve"> </w:t>
      </w:r>
      <w:r w:rsidR="00DF4B35" w:rsidRPr="00A841EC">
        <w:t>is equal to the gas energy savings due</w:t>
      </w:r>
      <w:r w:rsidRPr="00A841EC">
        <w:t xml:space="preserve"> the removal of a </w:t>
      </w:r>
      <w:r w:rsidR="00994A1A" w:rsidRPr="00A841EC">
        <w:t xml:space="preserve">continuously operating pilot light </w:t>
      </w:r>
      <w:r w:rsidRPr="00A841EC">
        <w:t xml:space="preserve">and </w:t>
      </w:r>
      <w:r w:rsidR="00DF4B35" w:rsidRPr="00A841EC">
        <w:t xml:space="preserve">the gas energy </w:t>
      </w:r>
      <w:r w:rsidRPr="00A841EC">
        <w:t xml:space="preserve">savings </w:t>
      </w:r>
      <w:r w:rsidR="00DF4B35" w:rsidRPr="00A841EC">
        <w:t xml:space="preserve">due to the </w:t>
      </w:r>
      <w:r w:rsidRPr="00A841EC">
        <w:t xml:space="preserve">increase in </w:t>
      </w:r>
      <w:r w:rsidR="00DF4B35" w:rsidRPr="00A841EC">
        <w:t>fireplace efficiency (FE)</w:t>
      </w:r>
      <w:r w:rsidRPr="00A841EC">
        <w:t xml:space="preserve">.  </w:t>
      </w:r>
    </w:p>
    <w:p w14:paraId="25010E8F" w14:textId="146BDCCE" w:rsidR="00555D0C" w:rsidRPr="00A841EC" w:rsidRDefault="00555D0C" w:rsidP="00DD1D9C">
      <w:r w:rsidRPr="00A841EC">
        <w:t xml:space="preserve">The baseline for the </w:t>
      </w:r>
      <w:r w:rsidR="00DF4B35" w:rsidRPr="00A841EC">
        <w:t>normal replacement (</w:t>
      </w:r>
      <w:r w:rsidRPr="00A841EC">
        <w:t>NR</w:t>
      </w:r>
      <w:r w:rsidR="00DF4B35" w:rsidRPr="00A841EC">
        <w:t xml:space="preserve">) and new construction (NC) </w:t>
      </w:r>
      <w:r w:rsidRPr="00A841EC">
        <w:t>measure</w:t>
      </w:r>
      <w:r w:rsidR="00DF4B35" w:rsidRPr="00A841EC">
        <w:t xml:space="preserve"> offerings</w:t>
      </w:r>
      <w:r w:rsidRPr="00A841EC">
        <w:t xml:space="preserve"> is assumed to use electronic ignition and both must use electronic ignition, therefore the </w:t>
      </w:r>
      <w:r w:rsidR="00DF4B35" w:rsidRPr="00A841EC">
        <w:t>UES</w:t>
      </w:r>
      <w:r w:rsidRPr="00A841EC">
        <w:t xml:space="preserve"> </w:t>
      </w:r>
      <w:r w:rsidR="00DF4B35" w:rsidRPr="00A841EC">
        <w:t xml:space="preserve">of </w:t>
      </w:r>
      <w:r w:rsidRPr="00A841EC">
        <w:t>the NR</w:t>
      </w:r>
      <w:r w:rsidR="00DF4B35" w:rsidRPr="00A841EC">
        <w:t xml:space="preserve"> and </w:t>
      </w:r>
      <w:r w:rsidRPr="00A841EC">
        <w:t>NC measure</w:t>
      </w:r>
      <w:r w:rsidR="00DF4B35" w:rsidRPr="00A841EC">
        <w:t xml:space="preserve"> offerings</w:t>
      </w:r>
      <w:r w:rsidRPr="00A841EC">
        <w:t xml:space="preserve"> </w:t>
      </w:r>
      <w:r w:rsidR="00DF4B35" w:rsidRPr="00A841EC">
        <w:t>is equal to the UES</w:t>
      </w:r>
      <w:r w:rsidRPr="00A841EC">
        <w:t xml:space="preserve"> </w:t>
      </w:r>
      <w:r w:rsidR="00DF4B35" w:rsidRPr="00A841EC">
        <w:t xml:space="preserve">due to </w:t>
      </w:r>
      <w:r w:rsidRPr="00A841EC">
        <w:t xml:space="preserve">an increase in FE only. </w:t>
      </w:r>
    </w:p>
    <w:p w14:paraId="12D4EE1B" w14:textId="77777777" w:rsidR="006A2109" w:rsidRPr="00A841EC" w:rsidRDefault="006A2109" w:rsidP="00555D0C">
      <w:pPr>
        <w:pStyle w:val="Reminders"/>
        <w:rPr>
          <w:rFonts w:ascii="Calibri Light" w:hAnsi="Calibri Light" w:cs="Calibri Light"/>
          <w:i w:val="0"/>
          <w:color w:val="auto"/>
          <w:sz w:val="22"/>
          <w:szCs w:val="22"/>
        </w:rPr>
      </w:pPr>
    </w:p>
    <w:p w14:paraId="541962A4" w14:textId="43668289" w:rsidR="00555D0C" w:rsidRPr="00A841EC" w:rsidRDefault="00F837E5" w:rsidP="00DD1D9C">
      <w:pPr>
        <w:pStyle w:val="Reminders"/>
        <w:ind w:left="720"/>
        <w:rPr>
          <w:rFonts w:ascii="Calibri Light" w:hAnsi="Calibri Light" w:cs="Calibri Light"/>
          <w:i w:val="0"/>
          <w:color w:val="auto"/>
          <w:sz w:val="22"/>
          <w:szCs w:val="22"/>
          <w:u w:val="single"/>
        </w:rPr>
      </w:pPr>
      <m:oMathPara>
        <m:oMathParaPr>
          <m:jc m:val="left"/>
        </m:oMathParaPr>
        <m:oMath>
          <m:sSub>
            <m:sSubPr>
              <m:ctrlPr>
                <w:rPr>
                  <w:rFonts w:ascii="Cambria Math" w:hAnsi="Cambria Math" w:cs="Calibri Light"/>
                  <w:sz w:val="20"/>
                  <w:szCs w:val="20"/>
                </w:rPr>
              </m:ctrlPr>
            </m:sSubPr>
            <m:e>
              <m:r>
                <w:rPr>
                  <w:rFonts w:ascii="Cambria Math" w:hAnsi="Cambria Math" w:cs="Calibri Light"/>
                  <w:color w:val="auto"/>
                  <w:sz w:val="18"/>
                  <w:szCs w:val="18"/>
                </w:rPr>
                <m:t>UES</m:t>
              </m:r>
            </m:e>
            <m:sub>
              <m:r>
                <w:rPr>
                  <w:rFonts w:ascii="Cambria Math" w:hAnsi="Cambria Math" w:cs="Calibri Light"/>
                  <w:color w:val="auto"/>
                  <w:sz w:val="20"/>
                  <w:szCs w:val="20"/>
                </w:rPr>
                <m:t>AR</m:t>
              </m:r>
            </m:sub>
          </m:sSub>
          <m:r>
            <w:rPr>
              <w:rFonts w:ascii="Cambria Math" w:hAnsi="Cambria Math" w:cs="Calibri Light"/>
              <w:color w:val="auto"/>
              <w:sz w:val="20"/>
              <w:szCs w:val="20"/>
            </w:rPr>
            <m:t>=</m:t>
          </m:r>
          <m:sSub>
            <m:sSubPr>
              <m:ctrlPr>
                <w:rPr>
                  <w:rFonts w:ascii="Cambria Math" w:hAnsi="Cambria Math" w:cs="Calibri Light"/>
                  <w:sz w:val="20"/>
                  <w:szCs w:val="20"/>
                </w:rPr>
              </m:ctrlPr>
            </m:sSubPr>
            <m:e>
              <m:r>
                <w:rPr>
                  <w:rFonts w:ascii="Cambria Math" w:hAnsi="Cambria Math" w:cs="Calibri Light"/>
                  <w:color w:val="auto"/>
                  <w:sz w:val="20"/>
                  <w:szCs w:val="20"/>
                </w:rPr>
                <m:t>UES</m:t>
              </m:r>
            </m:e>
            <m:sub>
              <m:r>
                <w:rPr>
                  <w:rFonts w:ascii="Cambria Math" w:hAnsi="Cambria Math" w:cs="Calibri Light"/>
                  <w:color w:val="auto"/>
                  <w:sz w:val="20"/>
                  <w:szCs w:val="20"/>
                </w:rPr>
                <m:t>P</m:t>
              </m:r>
            </m:sub>
          </m:sSub>
          <m:r>
            <w:rPr>
              <w:rFonts w:ascii="Cambria Math" w:hAnsi="Cambria Math" w:cs="Calibri Light"/>
              <w:color w:val="auto"/>
              <w:sz w:val="20"/>
              <w:szCs w:val="20"/>
            </w:rPr>
            <m:t>+</m:t>
          </m:r>
          <m:sSub>
            <m:sSubPr>
              <m:ctrlPr>
                <w:rPr>
                  <w:rFonts w:ascii="Cambria Math" w:hAnsi="Cambria Math" w:cs="Calibri Light"/>
                  <w:sz w:val="20"/>
                  <w:szCs w:val="20"/>
                </w:rPr>
              </m:ctrlPr>
            </m:sSubPr>
            <m:e>
              <m:r>
                <w:rPr>
                  <w:rFonts w:ascii="Cambria Math" w:hAnsi="Cambria Math" w:cs="Calibri Light"/>
                  <w:color w:val="auto"/>
                  <w:sz w:val="20"/>
                  <w:szCs w:val="20"/>
                </w:rPr>
                <m:t>UES</m:t>
              </m:r>
            </m:e>
            <m:sub>
              <m:r>
                <w:rPr>
                  <w:rFonts w:ascii="Cambria Math" w:hAnsi="Cambria Math" w:cs="Calibri Light"/>
                  <w:color w:val="auto"/>
                  <w:sz w:val="20"/>
                  <w:szCs w:val="20"/>
                </w:rPr>
                <m:t>FE</m:t>
              </m:r>
            </m:sub>
          </m:sSub>
        </m:oMath>
      </m:oMathPara>
    </w:p>
    <w:p w14:paraId="6054C99B" w14:textId="77777777" w:rsidR="008D14CA" w:rsidRPr="00A841EC" w:rsidRDefault="008D14CA" w:rsidP="00DD1D9C">
      <w:pPr>
        <w:pStyle w:val="Reminders"/>
        <w:ind w:left="720"/>
        <w:rPr>
          <w:rFonts w:ascii="Calibri Light" w:hAnsi="Calibri Light" w:cs="Calibri Light"/>
          <w:i w:val="0"/>
          <w:color w:val="auto"/>
          <w:sz w:val="22"/>
          <w:szCs w:val="22"/>
        </w:rPr>
      </w:pPr>
    </w:p>
    <w:p w14:paraId="6B29DD80" w14:textId="43BC9548" w:rsidR="00DF4B35" w:rsidRPr="00A841EC" w:rsidRDefault="00F837E5" w:rsidP="00221961">
      <w:pPr>
        <w:pStyle w:val="Reminders"/>
        <w:ind w:left="720"/>
        <w:rPr>
          <w:rFonts w:ascii="Calibri Light" w:hAnsi="Calibri Light" w:cs="Calibri Light"/>
          <w:i w:val="0"/>
          <w:color w:val="auto"/>
          <w:sz w:val="22"/>
          <w:szCs w:val="22"/>
        </w:rPr>
      </w:pPr>
      <m:oMathPara>
        <m:oMath>
          <m:sSub>
            <m:sSubPr>
              <m:ctrlPr>
                <w:rPr>
                  <w:rFonts w:ascii="Cambria Math" w:hAnsi="Cambria Math" w:cs="Calibri Light"/>
                  <w:color w:val="auto"/>
                  <w:sz w:val="20"/>
                  <w:szCs w:val="20"/>
                </w:rPr>
              </m:ctrlPr>
            </m:sSubPr>
            <m:e>
              <m:r>
                <w:rPr>
                  <w:rFonts w:ascii="Cambria Math" w:hAnsi="Cambria Math" w:cs="Calibri Light"/>
                  <w:color w:val="auto"/>
                  <w:sz w:val="20"/>
                  <w:szCs w:val="20"/>
                </w:rPr>
                <m:t>UES</m:t>
              </m:r>
            </m:e>
            <m:sub>
              <m:r>
                <w:rPr>
                  <w:rFonts w:ascii="Cambria Math" w:hAnsi="Cambria Math" w:cs="Calibri Light"/>
                  <w:color w:val="auto"/>
                  <w:sz w:val="20"/>
                  <w:szCs w:val="20"/>
                </w:rPr>
                <m:t>NR, NC</m:t>
              </m:r>
            </m:sub>
          </m:sSub>
          <m:r>
            <w:rPr>
              <w:rFonts w:ascii="Cambria Math" w:hAnsi="Cambria Math" w:cs="Calibri Light"/>
              <w:color w:val="auto"/>
              <w:sz w:val="20"/>
              <w:szCs w:val="20"/>
            </w:rPr>
            <m:t>=</m:t>
          </m:r>
          <m:sSub>
            <m:sSubPr>
              <m:ctrlPr>
                <w:rPr>
                  <w:rFonts w:ascii="Cambria Math" w:hAnsi="Cambria Math" w:cs="Calibri Light"/>
                  <w:color w:val="auto"/>
                  <w:sz w:val="20"/>
                  <w:szCs w:val="20"/>
                </w:rPr>
              </m:ctrlPr>
            </m:sSubPr>
            <m:e>
              <m:r>
                <w:rPr>
                  <w:rFonts w:ascii="Cambria Math" w:hAnsi="Cambria Math" w:cs="Calibri Light"/>
                  <w:color w:val="auto"/>
                  <w:sz w:val="20"/>
                  <w:szCs w:val="20"/>
                </w:rPr>
                <m:t>UES</m:t>
              </m:r>
            </m:e>
            <m:sub>
              <m:r>
                <w:rPr>
                  <w:rFonts w:ascii="Cambria Math" w:hAnsi="Cambria Math" w:cs="Calibri Light"/>
                  <w:color w:val="auto"/>
                  <w:sz w:val="20"/>
                  <w:szCs w:val="20"/>
                </w:rPr>
                <m:t>FE</m:t>
              </m:r>
            </m:sub>
          </m:sSub>
        </m:oMath>
      </m:oMathPara>
    </w:p>
    <w:p w14:paraId="7D93EA5B" w14:textId="77777777" w:rsidR="006A2109" w:rsidRPr="00A841EC" w:rsidRDefault="006A2109" w:rsidP="00221961">
      <w:pPr>
        <w:pStyle w:val="Reminders"/>
        <w:ind w:left="720"/>
        <w:rPr>
          <w:rFonts w:ascii="Calibri Light" w:hAnsi="Calibri Light" w:cs="Calibri Light"/>
          <w:i w:val="0"/>
          <w:color w:val="auto"/>
          <w:sz w:val="22"/>
          <w:szCs w:val="22"/>
        </w:rPr>
      </w:pPr>
    </w:p>
    <w:p w14:paraId="1127B284" w14:textId="652B642E" w:rsidR="00555D0C" w:rsidRPr="00A841EC" w:rsidRDefault="00CB0319" w:rsidP="00221961">
      <w:pPr>
        <w:pStyle w:val="Reminders"/>
        <w:ind w:left="1440"/>
        <w:rPr>
          <w:rFonts w:ascii="Cambria Math" w:hAnsi="Cambria Math" w:cs="Calibri Light"/>
          <w:iCs/>
          <w:color w:val="auto"/>
          <w:sz w:val="18"/>
          <w:szCs w:val="18"/>
        </w:rPr>
      </w:pPr>
      <m:oMath>
        <m:r>
          <w:rPr>
            <w:rFonts w:ascii="Cambria Math" w:hAnsi="Cambria Math" w:cs="Calibri Light"/>
            <w:color w:val="auto"/>
            <w:sz w:val="18"/>
            <w:szCs w:val="18"/>
          </w:rPr>
          <m:t>U</m:t>
        </m:r>
        <m:sSub>
          <m:sSubPr>
            <m:ctrlPr>
              <w:rPr>
                <w:rFonts w:ascii="Cambria Math" w:hAnsi="Cambria Math" w:cs="Calibri Light"/>
                <w:iCs/>
                <w:color w:val="auto"/>
                <w:sz w:val="18"/>
                <w:szCs w:val="18"/>
              </w:rPr>
            </m:ctrlPr>
          </m:sSubPr>
          <m:e>
            <m:r>
              <w:rPr>
                <w:rFonts w:ascii="Cambria Math" w:hAnsi="Cambria Math" w:cs="Calibri Light"/>
                <w:color w:val="auto"/>
                <w:sz w:val="18"/>
                <w:szCs w:val="18"/>
              </w:rPr>
              <m:t>ES</m:t>
            </m:r>
          </m:e>
          <m:sub>
            <m:r>
              <w:rPr>
                <w:rFonts w:ascii="Cambria Math" w:hAnsi="Cambria Math" w:cs="Calibri Light"/>
                <w:color w:val="auto"/>
                <w:sz w:val="18"/>
                <w:szCs w:val="18"/>
              </w:rPr>
              <m:t>AR</m:t>
            </m:r>
          </m:sub>
        </m:sSub>
      </m:oMath>
      <w:r w:rsidR="00555D0C" w:rsidRPr="00A841EC">
        <w:rPr>
          <w:rFonts w:ascii="Cambria Math" w:hAnsi="Cambria Math" w:cs="Calibri Light"/>
          <w:iCs/>
          <w:color w:val="auto"/>
          <w:sz w:val="18"/>
          <w:szCs w:val="18"/>
        </w:rPr>
        <w:t xml:space="preserve"> = Energy savings for the AR Measure (Therms).</w:t>
      </w:r>
    </w:p>
    <w:p w14:paraId="3AF83C82" w14:textId="4CAF1459" w:rsidR="00555D0C" w:rsidRPr="00A841EC" w:rsidRDefault="00F837E5" w:rsidP="00221961">
      <w:pPr>
        <w:pStyle w:val="Reminders"/>
        <w:ind w:left="1440"/>
        <w:rPr>
          <w:rFonts w:ascii="Cambria Math" w:hAnsi="Cambria Math" w:cs="Calibri Light"/>
          <w:iCs/>
          <w:color w:val="auto"/>
          <w:sz w:val="18"/>
          <w:szCs w:val="18"/>
        </w:rPr>
      </w:pPr>
      <m:oMath>
        <m:sSub>
          <m:sSubPr>
            <m:ctrlPr>
              <w:rPr>
                <w:rFonts w:ascii="Cambria Math" w:hAnsi="Cambria Math" w:cs="Calibri Light"/>
                <w:iCs/>
                <w:color w:val="auto"/>
                <w:sz w:val="18"/>
                <w:szCs w:val="18"/>
              </w:rPr>
            </m:ctrlPr>
          </m:sSubPr>
          <m:e>
            <m:r>
              <w:rPr>
                <w:rFonts w:ascii="Cambria Math" w:hAnsi="Cambria Math" w:cs="Calibri Light"/>
                <w:color w:val="auto"/>
                <w:sz w:val="18"/>
                <w:szCs w:val="18"/>
              </w:rPr>
              <m:t>UES</m:t>
            </m:r>
          </m:e>
          <m:sub>
            <m:r>
              <w:rPr>
                <w:rFonts w:ascii="Cambria Math" w:hAnsi="Cambria Math" w:cs="Calibri Light"/>
                <w:color w:val="auto"/>
                <w:sz w:val="18"/>
                <w:szCs w:val="18"/>
              </w:rPr>
              <m:t>P</m:t>
            </m:r>
          </m:sub>
        </m:sSub>
      </m:oMath>
      <w:r w:rsidR="00555D0C" w:rsidRPr="00A841EC">
        <w:rPr>
          <w:rFonts w:ascii="Cambria Math" w:hAnsi="Cambria Math" w:cs="Calibri Light"/>
          <w:iCs/>
          <w:color w:val="auto"/>
          <w:sz w:val="18"/>
          <w:szCs w:val="18"/>
        </w:rPr>
        <w:t xml:space="preserve"> = Total energy savings </w:t>
      </w:r>
      <w:r w:rsidR="00C147EF" w:rsidRPr="00A841EC">
        <w:rPr>
          <w:rFonts w:ascii="Cambria Math" w:hAnsi="Cambria Math" w:cs="Calibri Light"/>
          <w:iCs/>
          <w:color w:val="auto"/>
          <w:sz w:val="18"/>
          <w:szCs w:val="18"/>
        </w:rPr>
        <w:t>due to</w:t>
      </w:r>
      <w:r w:rsidR="00555D0C" w:rsidRPr="00A841EC">
        <w:rPr>
          <w:rFonts w:ascii="Cambria Math" w:hAnsi="Cambria Math" w:cs="Calibri Light"/>
          <w:iCs/>
          <w:color w:val="auto"/>
          <w:sz w:val="18"/>
          <w:szCs w:val="18"/>
        </w:rPr>
        <w:t xml:space="preserve"> the removal of the pilot light (Therms)</w:t>
      </w:r>
      <w:r w:rsidR="008D14CA" w:rsidRPr="00A841EC">
        <w:rPr>
          <w:rFonts w:ascii="Cambria Math" w:hAnsi="Cambria Math" w:cs="Calibri Light"/>
          <w:iCs/>
          <w:color w:val="auto"/>
          <w:sz w:val="18"/>
          <w:szCs w:val="18"/>
        </w:rPr>
        <w:t>.</w:t>
      </w:r>
    </w:p>
    <w:p w14:paraId="603616CC" w14:textId="73AC79CA" w:rsidR="00555D0C" w:rsidRPr="00A841EC" w:rsidRDefault="00F837E5" w:rsidP="00221961">
      <w:pPr>
        <w:pStyle w:val="Reminders"/>
        <w:ind w:left="1440"/>
        <w:rPr>
          <w:rFonts w:ascii="Cambria Math" w:hAnsi="Cambria Math" w:cs="Calibri Light"/>
          <w:iCs/>
          <w:color w:val="auto"/>
          <w:sz w:val="18"/>
          <w:szCs w:val="18"/>
        </w:rPr>
      </w:pPr>
      <m:oMath>
        <m:sSub>
          <m:sSubPr>
            <m:ctrlPr>
              <w:rPr>
                <w:rFonts w:ascii="Cambria Math" w:hAnsi="Cambria Math" w:cs="Calibri Light"/>
                <w:iCs/>
                <w:color w:val="auto"/>
                <w:sz w:val="18"/>
                <w:szCs w:val="18"/>
              </w:rPr>
            </m:ctrlPr>
          </m:sSubPr>
          <m:e>
            <m:r>
              <w:rPr>
                <w:rFonts w:ascii="Cambria Math" w:hAnsi="Cambria Math" w:cs="Calibri Light"/>
                <w:color w:val="auto"/>
                <w:sz w:val="18"/>
                <w:szCs w:val="18"/>
              </w:rPr>
              <m:t>UES</m:t>
            </m:r>
          </m:e>
          <m:sub>
            <m:r>
              <w:rPr>
                <w:rFonts w:ascii="Cambria Math" w:hAnsi="Cambria Math" w:cs="Calibri Light"/>
                <w:color w:val="auto"/>
                <w:sz w:val="18"/>
                <w:szCs w:val="18"/>
              </w:rPr>
              <m:t>FE</m:t>
            </m:r>
          </m:sub>
        </m:sSub>
      </m:oMath>
      <w:r w:rsidR="00555D0C" w:rsidRPr="00A841EC">
        <w:rPr>
          <w:rFonts w:ascii="Cambria Math" w:hAnsi="Cambria Math" w:cs="Calibri Light"/>
          <w:iCs/>
          <w:color w:val="auto"/>
          <w:sz w:val="18"/>
          <w:szCs w:val="18"/>
        </w:rPr>
        <w:t xml:space="preserve"> = Energy savings </w:t>
      </w:r>
      <w:r w:rsidR="00C147EF" w:rsidRPr="00A841EC">
        <w:rPr>
          <w:rFonts w:ascii="Cambria Math" w:hAnsi="Cambria Math" w:cs="Calibri Light"/>
          <w:iCs/>
          <w:color w:val="auto"/>
          <w:sz w:val="18"/>
          <w:szCs w:val="18"/>
        </w:rPr>
        <w:t>due to</w:t>
      </w:r>
      <w:r w:rsidR="00555D0C" w:rsidRPr="00A841EC">
        <w:rPr>
          <w:rFonts w:ascii="Cambria Math" w:hAnsi="Cambria Math" w:cs="Calibri Light"/>
          <w:iCs/>
          <w:color w:val="auto"/>
          <w:sz w:val="18"/>
          <w:szCs w:val="18"/>
        </w:rPr>
        <w:t xml:space="preserve"> an increase in FE (Therms)</w:t>
      </w:r>
      <w:r w:rsidR="008D14CA" w:rsidRPr="00A841EC">
        <w:rPr>
          <w:rFonts w:ascii="Cambria Math" w:hAnsi="Cambria Math" w:cs="Calibri Light"/>
          <w:iCs/>
          <w:color w:val="auto"/>
          <w:sz w:val="18"/>
          <w:szCs w:val="18"/>
        </w:rPr>
        <w:t>.</w:t>
      </w:r>
    </w:p>
    <w:p w14:paraId="16158C91" w14:textId="0DC25D30" w:rsidR="00555D0C" w:rsidRPr="00A841EC" w:rsidRDefault="00F837E5" w:rsidP="00221961">
      <w:pPr>
        <w:pStyle w:val="Reminders"/>
        <w:ind w:left="1440"/>
        <w:rPr>
          <w:rFonts w:ascii="Cambria Math" w:hAnsi="Cambria Math" w:cs="Calibri Light"/>
          <w:i w:val="0"/>
          <w:color w:val="auto"/>
          <w:sz w:val="18"/>
          <w:szCs w:val="18"/>
        </w:rPr>
      </w:pPr>
      <m:oMath>
        <m:sSub>
          <m:sSubPr>
            <m:ctrlPr>
              <w:rPr>
                <w:rFonts w:ascii="Cambria Math" w:hAnsi="Cambria Math" w:cs="Calibri Light"/>
                <w:iCs/>
                <w:color w:val="auto"/>
                <w:sz w:val="18"/>
                <w:szCs w:val="18"/>
              </w:rPr>
            </m:ctrlPr>
          </m:sSubPr>
          <m:e>
            <m:r>
              <w:rPr>
                <w:rFonts w:ascii="Cambria Math" w:hAnsi="Cambria Math" w:cs="Calibri Light"/>
                <w:color w:val="auto"/>
                <w:sz w:val="18"/>
                <w:szCs w:val="18"/>
              </w:rPr>
              <m:t>UES</m:t>
            </m:r>
          </m:e>
          <m:sub>
            <m:r>
              <w:rPr>
                <w:rFonts w:ascii="Cambria Math" w:hAnsi="Cambria Math" w:cs="Calibri Light"/>
                <w:color w:val="auto"/>
                <w:sz w:val="18"/>
                <w:szCs w:val="18"/>
              </w:rPr>
              <m:t>NR, NC</m:t>
            </m:r>
          </m:sub>
        </m:sSub>
      </m:oMath>
      <w:r w:rsidR="00555D0C" w:rsidRPr="00A841EC">
        <w:rPr>
          <w:rFonts w:ascii="Cambria Math" w:hAnsi="Cambria Math" w:cs="Calibri Light"/>
          <w:iCs/>
          <w:color w:val="auto"/>
          <w:sz w:val="18"/>
          <w:szCs w:val="18"/>
        </w:rPr>
        <w:t xml:space="preserve"> = Energy savings for the NR</w:t>
      </w:r>
      <w:r w:rsidR="00DF4B35" w:rsidRPr="00A841EC">
        <w:rPr>
          <w:rFonts w:ascii="Cambria Math" w:hAnsi="Cambria Math" w:cs="Calibri Light"/>
          <w:iCs/>
          <w:color w:val="auto"/>
          <w:sz w:val="18"/>
          <w:szCs w:val="18"/>
        </w:rPr>
        <w:t xml:space="preserve"> and </w:t>
      </w:r>
      <w:r w:rsidR="00555D0C" w:rsidRPr="00A841EC">
        <w:rPr>
          <w:rFonts w:ascii="Cambria Math" w:hAnsi="Cambria Math" w:cs="Calibri Light"/>
          <w:iCs/>
          <w:color w:val="auto"/>
          <w:sz w:val="18"/>
          <w:szCs w:val="18"/>
        </w:rPr>
        <w:t xml:space="preserve">NC </w:t>
      </w:r>
      <w:r w:rsidR="00DF4B35" w:rsidRPr="00A841EC">
        <w:rPr>
          <w:rFonts w:ascii="Cambria Math" w:hAnsi="Cambria Math" w:cs="Calibri Light"/>
          <w:iCs/>
          <w:color w:val="auto"/>
          <w:sz w:val="18"/>
          <w:szCs w:val="18"/>
        </w:rPr>
        <w:t>m</w:t>
      </w:r>
      <w:r w:rsidR="00555D0C" w:rsidRPr="00A841EC">
        <w:rPr>
          <w:rFonts w:ascii="Cambria Math" w:hAnsi="Cambria Math" w:cs="Calibri Light"/>
          <w:iCs/>
          <w:color w:val="auto"/>
          <w:sz w:val="18"/>
          <w:szCs w:val="18"/>
        </w:rPr>
        <w:t>easure</w:t>
      </w:r>
      <w:r w:rsidR="00DF4B35" w:rsidRPr="00A841EC">
        <w:rPr>
          <w:rFonts w:ascii="Cambria Math" w:hAnsi="Cambria Math" w:cs="Calibri Light"/>
          <w:iCs/>
          <w:color w:val="auto"/>
          <w:sz w:val="18"/>
          <w:szCs w:val="18"/>
        </w:rPr>
        <w:t xml:space="preserve"> offerings</w:t>
      </w:r>
      <w:r w:rsidR="00555D0C" w:rsidRPr="00A841EC">
        <w:rPr>
          <w:rFonts w:ascii="Cambria Math" w:hAnsi="Cambria Math" w:cs="Calibri Light"/>
          <w:iCs/>
          <w:color w:val="auto"/>
          <w:sz w:val="18"/>
          <w:szCs w:val="18"/>
        </w:rPr>
        <w:t xml:space="preserve"> (Therms).</w:t>
      </w:r>
    </w:p>
    <w:p w14:paraId="313643C9" w14:textId="77777777" w:rsidR="004545D6" w:rsidRPr="00A841EC" w:rsidRDefault="004545D6" w:rsidP="004545D6"/>
    <w:p w14:paraId="643CB4AC" w14:textId="7218147B" w:rsidR="00954569" w:rsidRPr="00A841EC" w:rsidRDefault="00954569" w:rsidP="00954569">
      <w:pPr>
        <w:pStyle w:val="eTRMHeading5"/>
      </w:pPr>
      <w:r w:rsidRPr="00A841EC">
        <w:t xml:space="preserve">Energy Savings from Removal of the </w:t>
      </w:r>
      <w:r w:rsidR="00994A1A" w:rsidRPr="00A841EC">
        <w:t xml:space="preserve">Continuously operating pilot light </w:t>
      </w:r>
    </w:p>
    <w:p w14:paraId="07EC242C" w14:textId="681ADA51" w:rsidR="00954569" w:rsidRPr="00A841EC" w:rsidRDefault="004545D6" w:rsidP="00954569">
      <w:r w:rsidRPr="00A841EC">
        <w:t xml:space="preserve">There are different methods of calculating the energy savings due to removing the </w:t>
      </w:r>
      <w:r w:rsidR="00994A1A" w:rsidRPr="00A841EC">
        <w:t xml:space="preserve">continuously operating pilot light </w:t>
      </w:r>
      <w:r w:rsidRPr="00A841EC">
        <w:t xml:space="preserve">, depending upon the pilot </w:t>
      </w:r>
      <w:r w:rsidR="00954569" w:rsidRPr="00A841EC">
        <w:t>operating state</w:t>
      </w:r>
      <w:r w:rsidRPr="00A841EC">
        <w:t>.</w:t>
      </w:r>
      <w:r w:rsidR="00F14FDC" w:rsidRPr="00A841EC">
        <w:t xml:space="preserve"> The three pilot operating states are:</w:t>
      </w:r>
      <w:r w:rsidRPr="00A841EC">
        <w:t xml:space="preserve"> </w:t>
      </w:r>
    </w:p>
    <w:p w14:paraId="09345EDD" w14:textId="72BE24B3" w:rsidR="00954569" w:rsidRPr="00A841EC" w:rsidRDefault="00954569" w:rsidP="00954569">
      <w:pPr>
        <w:pStyle w:val="Reminders"/>
        <w:ind w:left="360"/>
        <w:rPr>
          <w:rFonts w:ascii="Calibri Light" w:hAnsi="Calibri Light" w:cs="Calibri Light"/>
          <w:i w:val="0"/>
          <w:color w:val="auto"/>
          <w:sz w:val="22"/>
          <w:szCs w:val="22"/>
        </w:rPr>
      </w:pPr>
      <w:r w:rsidRPr="00A841EC">
        <w:rPr>
          <w:rFonts w:ascii="Calibri Light" w:hAnsi="Calibri Light" w:cs="Calibri Light"/>
          <w:b/>
          <w:i w:val="0"/>
          <w:color w:val="auto"/>
          <w:sz w:val="22"/>
          <w:szCs w:val="22"/>
        </w:rPr>
        <w:t>Pilot ON for the entire hour.</w:t>
      </w:r>
      <w:r w:rsidRPr="00A841EC">
        <w:rPr>
          <w:rFonts w:ascii="Calibri Light" w:hAnsi="Calibri Light" w:cs="Calibri Light"/>
          <w:i w:val="0"/>
          <w:color w:val="auto"/>
          <w:sz w:val="22"/>
          <w:szCs w:val="22"/>
        </w:rPr>
        <w:t xml:space="preserve"> No heating is required during this hour, so all the heat provided by the pilot to the conditioned space is wasted. </w:t>
      </w:r>
    </w:p>
    <w:p w14:paraId="39280493" w14:textId="77777777" w:rsidR="00954569" w:rsidRPr="00A841EC" w:rsidRDefault="00954569" w:rsidP="00954569">
      <w:pPr>
        <w:pStyle w:val="Reminders"/>
        <w:ind w:left="360"/>
        <w:rPr>
          <w:rFonts w:ascii="Calibri Light" w:hAnsi="Calibri Light" w:cs="Calibri Light"/>
          <w:i w:val="0"/>
          <w:color w:val="auto"/>
          <w:sz w:val="22"/>
          <w:szCs w:val="22"/>
        </w:rPr>
      </w:pPr>
      <w:r w:rsidRPr="00A841EC">
        <w:rPr>
          <w:rFonts w:ascii="Calibri Light" w:hAnsi="Calibri Light" w:cs="Calibri Light"/>
          <w:b/>
          <w:i w:val="0"/>
          <w:color w:val="auto"/>
          <w:sz w:val="22"/>
          <w:szCs w:val="22"/>
        </w:rPr>
        <w:t>Pilot and Burner ON for part of the hour.</w:t>
      </w:r>
      <w:r w:rsidRPr="00A841EC">
        <w:rPr>
          <w:rFonts w:ascii="Calibri Light" w:hAnsi="Calibri Light" w:cs="Calibri Light"/>
          <w:i w:val="0"/>
          <w:color w:val="auto"/>
          <w:sz w:val="22"/>
          <w:szCs w:val="22"/>
        </w:rPr>
        <w:t xml:space="preserve"> The input rate and efficiency of a fireplace are found using the total gas entering the fireplace when the burner is ON. Therefore, the energy savings from the removal of a pilot light are accounted for more appropriately within the energy savings for an increase of efficiency.</w:t>
      </w:r>
    </w:p>
    <w:p w14:paraId="4F444F65" w14:textId="138C3EF9" w:rsidR="00954569" w:rsidRPr="00A841EC" w:rsidRDefault="00954569" w:rsidP="00954569">
      <w:pPr>
        <w:pStyle w:val="Reminders"/>
        <w:ind w:left="360"/>
        <w:rPr>
          <w:rFonts w:ascii="Calibri Light" w:hAnsi="Calibri Light" w:cs="Calibri Light"/>
          <w:i w:val="0"/>
          <w:color w:val="auto"/>
          <w:sz w:val="22"/>
          <w:szCs w:val="22"/>
        </w:rPr>
      </w:pPr>
      <w:r w:rsidRPr="00A841EC">
        <w:rPr>
          <w:rFonts w:ascii="Calibri Light" w:hAnsi="Calibri Light" w:cs="Calibri Light"/>
          <w:b/>
          <w:i w:val="0"/>
          <w:color w:val="auto"/>
          <w:sz w:val="22"/>
          <w:szCs w:val="22"/>
        </w:rPr>
        <w:t>Pilot ON and Burner OFF for part of the hour.</w:t>
      </w:r>
      <w:r w:rsidRPr="00A841EC">
        <w:rPr>
          <w:rFonts w:ascii="Calibri Light" w:hAnsi="Calibri Light" w:cs="Calibri Light"/>
          <w:i w:val="0"/>
          <w:color w:val="auto"/>
          <w:sz w:val="22"/>
          <w:szCs w:val="22"/>
        </w:rPr>
        <w:t xml:space="preserve"> Heating is required during this hour, so the heat provided by the pilot can be considered useful. This case will also consider a pilot light efficiency, a value that captures the amount of heat produced from the pilot light that is transferred to the conditioned space. </w:t>
      </w:r>
    </w:p>
    <w:p w14:paraId="0AA6C749" w14:textId="5FA32B28" w:rsidR="00954569" w:rsidRPr="00A841EC" w:rsidRDefault="00954569" w:rsidP="00954569">
      <w:r w:rsidRPr="00A841EC">
        <w:t xml:space="preserve">The energy savings for the removal of the </w:t>
      </w:r>
      <w:r w:rsidR="00994A1A" w:rsidRPr="00A841EC">
        <w:t xml:space="preserve">continuously operating pilot light </w:t>
      </w:r>
      <w:r w:rsidRPr="00A841EC">
        <w:t xml:space="preserve"> light </w:t>
      </w:r>
      <w:r w:rsidR="00F14FDC" w:rsidRPr="00A841EC">
        <w:t>for each pilot operation state are calculate</w:t>
      </w:r>
    </w:p>
    <w:p w14:paraId="3B37FD15" w14:textId="77777777" w:rsidR="00954569" w:rsidRPr="00A841EC" w:rsidRDefault="00954569" w:rsidP="00954569">
      <w:pPr>
        <w:pStyle w:val="Reminders"/>
        <w:rPr>
          <w:rFonts w:ascii="Calibri Light" w:hAnsi="Calibri Light" w:cs="Calibri Light"/>
          <w:i w:val="0"/>
          <w:color w:val="auto"/>
          <w:sz w:val="22"/>
          <w:szCs w:val="22"/>
        </w:rPr>
      </w:pPr>
    </w:p>
    <w:p w14:paraId="6DF4E5FE" w14:textId="67EB04A1" w:rsidR="00954569" w:rsidRPr="00A841EC" w:rsidRDefault="00F837E5" w:rsidP="00954569">
      <w:pPr>
        <w:pStyle w:val="Reminders"/>
        <w:ind w:left="720"/>
        <w:rPr>
          <w:rFonts w:ascii="Calibri Light" w:hAnsi="Calibri Light" w:cs="Calibri Light"/>
          <w:i w:val="0"/>
          <w:color w:val="auto"/>
          <w:sz w:val="20"/>
          <w:szCs w:val="20"/>
        </w:rPr>
      </w:pPr>
      <m:oMathPara>
        <m:oMathParaPr>
          <m:jc m:val="left"/>
        </m:oMathParaPr>
        <m:oMath>
          <m:sSub>
            <m:sSubPr>
              <m:ctrlPr>
                <w:rPr>
                  <w:rFonts w:ascii="Cambria Math" w:hAnsi="Cambria Math" w:cs="Calibri Light"/>
                  <w:sz w:val="18"/>
                  <w:szCs w:val="18"/>
                </w:rPr>
              </m:ctrlPr>
            </m:sSubPr>
            <m:e>
              <m:r>
                <w:rPr>
                  <w:rFonts w:ascii="Cambria Math" w:hAnsi="Cambria Math" w:cs="Calibri Light"/>
                  <w:color w:val="auto"/>
                  <w:sz w:val="18"/>
                  <w:szCs w:val="18"/>
                </w:rPr>
                <m:t>E</m:t>
              </m:r>
            </m:e>
            <m:sub>
              <m:r>
                <w:rPr>
                  <w:rFonts w:ascii="Cambria Math" w:hAnsi="Cambria Math" w:cs="Calibri Light"/>
                  <w:color w:val="auto"/>
                  <w:sz w:val="18"/>
                  <w:szCs w:val="18"/>
                </w:rPr>
                <m:t>1</m:t>
              </m:r>
            </m:sub>
          </m:sSub>
          <m:r>
            <w:rPr>
              <w:rFonts w:ascii="Cambria Math" w:hAnsi="Cambria Math" w:cs="Calibri Light"/>
              <w:color w:val="auto"/>
              <w:sz w:val="18"/>
              <w:szCs w:val="18"/>
            </w:rPr>
            <m:t>=</m:t>
          </m:r>
          <m:sSub>
            <m:sSubPr>
              <m:ctrlPr>
                <w:rPr>
                  <w:rFonts w:ascii="Cambria Math" w:hAnsi="Cambria Math" w:cs="Calibri Light"/>
                  <w:sz w:val="18"/>
                  <w:szCs w:val="18"/>
                </w:rPr>
              </m:ctrlPr>
            </m:sSubPr>
            <m:e>
              <m:r>
                <w:rPr>
                  <w:rFonts w:ascii="Cambria Math" w:hAnsi="Cambria Math" w:cs="Calibri Light"/>
                  <w:color w:val="auto"/>
                  <w:sz w:val="18"/>
                  <w:szCs w:val="18"/>
                </w:rPr>
                <m:t>t</m:t>
              </m:r>
            </m:e>
            <m:sub>
              <m:r>
                <w:rPr>
                  <w:rFonts w:ascii="Cambria Math" w:hAnsi="Cambria Math" w:cs="Calibri Light"/>
                  <w:color w:val="auto"/>
                  <w:sz w:val="18"/>
                  <w:szCs w:val="18"/>
                </w:rPr>
                <m:t>1</m:t>
              </m:r>
            </m:sub>
          </m:sSub>
          <m:r>
            <w:rPr>
              <w:rFonts w:ascii="Cambria Math" w:hAnsi="Cambria Math" w:cs="Calibri Light"/>
              <w:color w:val="auto"/>
              <w:sz w:val="18"/>
              <w:szCs w:val="18"/>
            </w:rPr>
            <m:t xml:space="preserve"> x </m:t>
          </m:r>
          <m:sSub>
            <m:sSubPr>
              <m:ctrlPr>
                <w:rPr>
                  <w:rFonts w:ascii="Cambria Math" w:hAnsi="Cambria Math" w:cs="Calibri Light"/>
                  <w:color w:val="auto"/>
                  <w:sz w:val="18"/>
                  <w:szCs w:val="18"/>
                </w:rPr>
              </m:ctrlPr>
            </m:sSubPr>
            <m:e>
              <m:r>
                <w:rPr>
                  <w:rFonts w:ascii="Cambria Math" w:hAnsi="Cambria Math" w:cs="Calibri Light"/>
                  <w:color w:val="auto"/>
                  <w:sz w:val="18"/>
                  <w:szCs w:val="18"/>
                </w:rPr>
                <m:t>I</m:t>
              </m:r>
            </m:e>
            <m:sub>
              <m:r>
                <w:rPr>
                  <w:rFonts w:ascii="Cambria Math" w:hAnsi="Cambria Math" w:cs="Calibri Light"/>
                  <w:color w:val="auto"/>
                  <w:sz w:val="18"/>
                  <w:szCs w:val="18"/>
                </w:rPr>
                <m:t>P</m:t>
              </m:r>
            </m:sub>
          </m:sSub>
          <m:r>
            <w:rPr>
              <w:rFonts w:ascii="Cambria Math" w:hAnsi="Cambria Math" w:cs="Calibri Light"/>
              <w:color w:val="auto"/>
              <w:sz w:val="18"/>
              <w:szCs w:val="18"/>
            </w:rPr>
            <m:t xml:space="preserve"> x </m:t>
          </m:r>
          <m:f>
            <m:fPr>
              <m:ctrlPr>
                <w:rPr>
                  <w:rFonts w:ascii="Cambria Math" w:hAnsi="Cambria Math" w:cs="Calibri Light"/>
                  <w:color w:val="auto"/>
                  <w:sz w:val="18"/>
                  <w:szCs w:val="18"/>
                </w:rPr>
              </m:ctrlPr>
            </m:fPr>
            <m:num>
              <m:r>
                <w:rPr>
                  <w:rFonts w:ascii="Cambria Math" w:hAnsi="Cambria Math" w:cs="Calibri Light"/>
                  <w:color w:val="auto"/>
                  <w:sz w:val="18"/>
                  <w:szCs w:val="18"/>
                </w:rPr>
                <m:t>1 Therm</m:t>
              </m:r>
            </m:num>
            <m:den>
              <m:r>
                <w:rPr>
                  <w:rFonts w:ascii="Cambria Math" w:hAnsi="Cambria Math" w:cs="Calibri Light"/>
                  <w:color w:val="auto"/>
                  <w:sz w:val="18"/>
                  <w:szCs w:val="18"/>
                </w:rPr>
                <m:t>100,000 Btu</m:t>
              </m:r>
            </m:den>
          </m:f>
        </m:oMath>
      </m:oMathPara>
    </w:p>
    <w:p w14:paraId="67283988" w14:textId="77777777" w:rsidR="00954569" w:rsidRPr="00A841EC" w:rsidRDefault="00954569" w:rsidP="00954569">
      <w:pPr>
        <w:pStyle w:val="Reminders"/>
        <w:ind w:left="720"/>
        <w:rPr>
          <w:rFonts w:ascii="Calibri Light" w:hAnsi="Calibri Light" w:cs="Calibri Light"/>
          <w:i w:val="0"/>
          <w:color w:val="auto"/>
          <w:sz w:val="20"/>
          <w:szCs w:val="20"/>
        </w:rPr>
      </w:pPr>
    </w:p>
    <w:p w14:paraId="0D3404C7" w14:textId="760A9E06" w:rsidR="00954569" w:rsidRPr="00A841EC" w:rsidRDefault="00F837E5" w:rsidP="00954569">
      <w:pPr>
        <w:pStyle w:val="Reminders"/>
        <w:ind w:left="720"/>
        <w:rPr>
          <w:rFonts w:ascii="Calibri Light" w:hAnsi="Calibri Light" w:cs="Calibri Light"/>
          <w:i w:val="0"/>
          <w:color w:val="auto"/>
          <w:sz w:val="20"/>
          <w:szCs w:val="20"/>
        </w:rPr>
      </w:pPr>
      <m:oMathPara>
        <m:oMathParaPr>
          <m:jc m:val="left"/>
        </m:oMathParaPr>
        <m:oMath>
          <m:sSub>
            <m:sSubPr>
              <m:ctrlPr>
                <w:rPr>
                  <w:rFonts w:ascii="Cambria Math" w:hAnsi="Cambria Math" w:cs="Calibri Light"/>
                  <w:sz w:val="18"/>
                  <w:szCs w:val="18"/>
                </w:rPr>
              </m:ctrlPr>
            </m:sSubPr>
            <m:e>
              <m:r>
                <w:rPr>
                  <w:rFonts w:ascii="Cambria Math" w:hAnsi="Cambria Math" w:cs="Calibri Light"/>
                  <w:color w:val="auto"/>
                  <w:sz w:val="18"/>
                  <w:szCs w:val="18"/>
                </w:rPr>
                <m:t>E</m:t>
              </m:r>
            </m:e>
            <m:sub>
              <m:r>
                <w:rPr>
                  <w:rFonts w:ascii="Cambria Math" w:hAnsi="Cambria Math" w:cs="Calibri Light"/>
                  <w:color w:val="auto"/>
                  <w:sz w:val="18"/>
                  <w:szCs w:val="18"/>
                </w:rPr>
                <m:t>2</m:t>
              </m:r>
            </m:sub>
          </m:sSub>
          <m:r>
            <w:rPr>
              <w:rFonts w:ascii="Cambria Math" w:hAnsi="Cambria Math" w:cs="Calibri Light"/>
              <w:color w:val="auto"/>
              <w:sz w:val="18"/>
              <w:szCs w:val="18"/>
            </w:rPr>
            <m:t>=0</m:t>
          </m:r>
        </m:oMath>
      </m:oMathPara>
    </w:p>
    <w:p w14:paraId="1FA80F20" w14:textId="77777777" w:rsidR="00954569" w:rsidRPr="00A841EC" w:rsidRDefault="00954569" w:rsidP="00954569">
      <w:pPr>
        <w:pStyle w:val="Reminders"/>
        <w:ind w:left="720"/>
        <w:rPr>
          <w:rFonts w:ascii="Calibri Light" w:hAnsi="Calibri Light" w:cs="Calibri Light"/>
          <w:i w:val="0"/>
          <w:color w:val="auto"/>
          <w:sz w:val="20"/>
          <w:szCs w:val="20"/>
        </w:rPr>
      </w:pPr>
    </w:p>
    <w:p w14:paraId="0D590762" w14:textId="7F23E4AC" w:rsidR="00954569" w:rsidRPr="00A841EC" w:rsidRDefault="00F837E5" w:rsidP="00954569">
      <w:pPr>
        <w:pStyle w:val="Reminders"/>
        <w:ind w:left="720"/>
        <w:rPr>
          <w:rFonts w:ascii="Calibri Light" w:hAnsi="Calibri Light" w:cs="Calibri Light"/>
          <w:i w:val="0"/>
          <w:color w:val="auto"/>
          <w:sz w:val="20"/>
          <w:szCs w:val="20"/>
        </w:rPr>
      </w:pPr>
      <m:oMathPara>
        <m:oMathParaPr>
          <m:jc m:val="left"/>
        </m:oMathParaPr>
        <m:oMath>
          <m:sSub>
            <m:sSubPr>
              <m:ctrlPr>
                <w:rPr>
                  <w:rFonts w:ascii="Cambria Math" w:hAnsi="Cambria Math" w:cs="Calibri Light"/>
                  <w:sz w:val="18"/>
                  <w:szCs w:val="18"/>
                </w:rPr>
              </m:ctrlPr>
            </m:sSubPr>
            <m:e>
              <m:r>
                <w:rPr>
                  <w:rFonts w:ascii="Cambria Math" w:hAnsi="Cambria Math" w:cs="Calibri Light"/>
                  <w:color w:val="auto"/>
                  <w:sz w:val="18"/>
                  <w:szCs w:val="18"/>
                </w:rPr>
                <m:t>E</m:t>
              </m:r>
            </m:e>
            <m:sub>
              <m:r>
                <w:rPr>
                  <w:rFonts w:ascii="Cambria Math" w:hAnsi="Cambria Math" w:cs="Calibri Light"/>
                  <w:color w:val="auto"/>
                  <w:sz w:val="18"/>
                  <w:szCs w:val="18"/>
                </w:rPr>
                <m:t>3</m:t>
              </m:r>
            </m:sub>
          </m:sSub>
          <m:r>
            <w:rPr>
              <w:rFonts w:ascii="Cambria Math" w:hAnsi="Cambria Math" w:cs="Calibri Light"/>
              <w:color w:val="auto"/>
              <w:sz w:val="18"/>
              <w:szCs w:val="18"/>
            </w:rPr>
            <m:t>=</m:t>
          </m:r>
          <m:sSub>
            <m:sSubPr>
              <m:ctrlPr>
                <w:rPr>
                  <w:rFonts w:ascii="Cambria Math" w:hAnsi="Cambria Math" w:cs="Calibri Light"/>
                  <w:sz w:val="18"/>
                  <w:szCs w:val="18"/>
                </w:rPr>
              </m:ctrlPr>
            </m:sSubPr>
            <m:e>
              <m:r>
                <w:rPr>
                  <w:rFonts w:ascii="Cambria Math" w:hAnsi="Cambria Math" w:cs="Calibri Light"/>
                  <w:color w:val="auto"/>
                  <w:sz w:val="18"/>
                  <w:szCs w:val="18"/>
                </w:rPr>
                <m:t>t</m:t>
              </m:r>
            </m:e>
            <m:sub>
              <m:r>
                <w:rPr>
                  <w:rFonts w:ascii="Cambria Math" w:hAnsi="Cambria Math" w:cs="Calibri Light"/>
                  <w:color w:val="auto"/>
                  <w:sz w:val="18"/>
                  <w:szCs w:val="18"/>
                </w:rPr>
                <m:t>3</m:t>
              </m:r>
            </m:sub>
          </m:sSub>
          <m:r>
            <w:rPr>
              <w:rFonts w:ascii="Cambria Math" w:hAnsi="Cambria Math" w:cs="Calibri Light"/>
              <w:color w:val="auto"/>
              <w:sz w:val="18"/>
              <w:szCs w:val="18"/>
            </w:rPr>
            <m:t xml:space="preserve"> x </m:t>
          </m:r>
          <m:sSub>
            <m:sSubPr>
              <m:ctrlPr>
                <w:rPr>
                  <w:rFonts w:ascii="Cambria Math" w:hAnsi="Cambria Math" w:cs="Calibri Light"/>
                  <w:sz w:val="18"/>
                  <w:szCs w:val="18"/>
                </w:rPr>
              </m:ctrlPr>
            </m:sSubPr>
            <m:e>
              <m:r>
                <w:rPr>
                  <w:rFonts w:ascii="Cambria Math" w:hAnsi="Cambria Math" w:cs="Calibri Light"/>
                  <w:color w:val="auto"/>
                  <w:sz w:val="18"/>
                  <w:szCs w:val="18"/>
                </w:rPr>
                <m:t>I</m:t>
              </m:r>
            </m:e>
            <m:sub>
              <m:r>
                <w:rPr>
                  <w:rFonts w:ascii="Cambria Math" w:hAnsi="Cambria Math" w:cs="Calibri Light"/>
                  <w:color w:val="auto"/>
                  <w:sz w:val="18"/>
                  <w:szCs w:val="18"/>
                </w:rPr>
                <m:t>P</m:t>
              </m:r>
            </m:sub>
          </m:sSub>
          <m:r>
            <w:rPr>
              <w:rFonts w:ascii="Cambria Math" w:hAnsi="Cambria Math" w:cs="Calibri Light"/>
              <w:color w:val="auto"/>
              <w:sz w:val="18"/>
              <w:szCs w:val="18"/>
            </w:rPr>
            <m:t xml:space="preserve"> x </m:t>
          </m:r>
          <m:d>
            <m:dPr>
              <m:ctrlPr>
                <w:rPr>
                  <w:rFonts w:ascii="Cambria Math" w:hAnsi="Cambria Math" w:cs="Calibri Light"/>
                  <w:color w:val="auto"/>
                  <w:sz w:val="18"/>
                  <w:szCs w:val="18"/>
                </w:rPr>
              </m:ctrlPr>
            </m:dPr>
            <m:e>
              <m:r>
                <w:rPr>
                  <w:rFonts w:ascii="Cambria Math" w:hAnsi="Cambria Math" w:cs="Calibri Light"/>
                  <w:color w:val="auto"/>
                  <w:sz w:val="18"/>
                  <w:szCs w:val="18"/>
                </w:rPr>
                <m:t>1-η</m:t>
              </m:r>
            </m:e>
          </m:d>
          <m:r>
            <w:rPr>
              <w:rFonts w:ascii="Cambria Math" w:hAnsi="Cambria Math" w:cs="Calibri Light"/>
              <w:color w:val="auto"/>
              <w:sz w:val="18"/>
              <w:szCs w:val="18"/>
            </w:rPr>
            <m:t xml:space="preserve"> x </m:t>
          </m:r>
          <m:f>
            <m:fPr>
              <m:ctrlPr>
                <w:rPr>
                  <w:rFonts w:ascii="Cambria Math" w:hAnsi="Cambria Math" w:cs="Calibri Light"/>
                  <w:color w:val="auto"/>
                  <w:sz w:val="18"/>
                  <w:szCs w:val="18"/>
                </w:rPr>
              </m:ctrlPr>
            </m:fPr>
            <m:num>
              <m:r>
                <w:rPr>
                  <w:rFonts w:ascii="Cambria Math" w:hAnsi="Cambria Math" w:cs="Calibri Light"/>
                  <w:color w:val="auto"/>
                  <w:sz w:val="18"/>
                  <w:szCs w:val="18"/>
                </w:rPr>
                <m:t>1 Therm</m:t>
              </m:r>
            </m:num>
            <m:den>
              <m:r>
                <w:rPr>
                  <w:rFonts w:ascii="Cambria Math" w:hAnsi="Cambria Math" w:cs="Calibri Light"/>
                  <w:color w:val="auto"/>
                  <w:sz w:val="18"/>
                  <w:szCs w:val="18"/>
                </w:rPr>
                <m:t>100,000 Btu</m:t>
              </m:r>
            </m:den>
          </m:f>
        </m:oMath>
      </m:oMathPara>
    </w:p>
    <w:p w14:paraId="2B7CFC64" w14:textId="77777777" w:rsidR="00954569" w:rsidRPr="00A841EC" w:rsidRDefault="00954569" w:rsidP="00954569">
      <w:pPr>
        <w:pStyle w:val="Reminders"/>
        <w:ind w:left="720"/>
        <w:rPr>
          <w:rFonts w:ascii="Calibri Light" w:hAnsi="Calibri Light" w:cs="Calibri Light"/>
          <w:i w:val="0"/>
          <w:color w:val="auto"/>
          <w:sz w:val="20"/>
          <w:szCs w:val="20"/>
        </w:rPr>
      </w:pPr>
    </w:p>
    <w:p w14:paraId="74EB4E3C" w14:textId="1FF143D3" w:rsidR="00954569" w:rsidRPr="00A841EC" w:rsidRDefault="00F837E5" w:rsidP="00954569">
      <w:pPr>
        <w:pStyle w:val="Reminders"/>
        <w:ind w:left="720"/>
        <w:rPr>
          <w:rFonts w:ascii="Calibri Light" w:hAnsi="Calibri Light" w:cs="Calibri Light"/>
          <w:i w:val="0"/>
          <w:color w:val="auto"/>
          <w:sz w:val="20"/>
          <w:szCs w:val="20"/>
        </w:rPr>
      </w:pPr>
      <m:oMathPara>
        <m:oMathParaPr>
          <m:jc m:val="left"/>
        </m:oMathParaPr>
        <m:oMath>
          <m:sSub>
            <m:sSubPr>
              <m:ctrlPr>
                <w:rPr>
                  <w:rFonts w:ascii="Cambria Math" w:hAnsi="Cambria Math" w:cs="Calibri Light"/>
                  <w:sz w:val="18"/>
                  <w:szCs w:val="18"/>
                </w:rPr>
              </m:ctrlPr>
            </m:sSubPr>
            <m:e>
              <m:r>
                <w:rPr>
                  <w:rFonts w:ascii="Cambria Math" w:hAnsi="Cambria Math" w:cs="Calibri Light"/>
                  <w:color w:val="auto"/>
                  <w:sz w:val="18"/>
                  <w:szCs w:val="18"/>
                </w:rPr>
                <m:t>UES</m:t>
              </m:r>
            </m:e>
            <m:sub>
              <m:r>
                <w:rPr>
                  <w:rFonts w:ascii="Cambria Math" w:hAnsi="Cambria Math" w:cs="Calibri Light"/>
                  <w:color w:val="auto"/>
                  <w:sz w:val="18"/>
                  <w:szCs w:val="18"/>
                </w:rPr>
                <m:t>P</m:t>
              </m:r>
            </m:sub>
          </m:sSub>
          <m:r>
            <w:rPr>
              <w:rFonts w:ascii="Cambria Math" w:hAnsi="Cambria Math" w:cs="Calibri Light"/>
              <w:color w:val="auto"/>
              <w:sz w:val="18"/>
              <w:szCs w:val="18"/>
            </w:rPr>
            <m:t>=</m:t>
          </m:r>
          <m:sSub>
            <m:sSubPr>
              <m:ctrlPr>
                <w:rPr>
                  <w:rFonts w:ascii="Cambria Math" w:hAnsi="Cambria Math" w:cs="Calibri Light"/>
                  <w:sz w:val="18"/>
                  <w:szCs w:val="18"/>
                </w:rPr>
              </m:ctrlPr>
            </m:sSubPr>
            <m:e>
              <m:r>
                <w:rPr>
                  <w:rFonts w:ascii="Cambria Math" w:hAnsi="Cambria Math" w:cs="Calibri Light"/>
                  <w:color w:val="auto"/>
                  <w:sz w:val="18"/>
                  <w:szCs w:val="18"/>
                </w:rPr>
                <m:t>E</m:t>
              </m:r>
            </m:e>
            <m:sub>
              <m:r>
                <w:rPr>
                  <w:rFonts w:ascii="Cambria Math" w:hAnsi="Cambria Math" w:cs="Calibri Light"/>
                  <w:color w:val="auto"/>
                  <w:sz w:val="18"/>
                  <w:szCs w:val="18"/>
                </w:rPr>
                <m:t>1</m:t>
              </m:r>
            </m:sub>
          </m:sSub>
          <m:r>
            <w:rPr>
              <w:rFonts w:ascii="Cambria Math" w:hAnsi="Cambria Math" w:cs="Calibri Light"/>
              <w:color w:val="auto"/>
              <w:sz w:val="18"/>
              <w:szCs w:val="18"/>
            </w:rPr>
            <m:t>+</m:t>
          </m:r>
          <m:sSub>
            <m:sSubPr>
              <m:ctrlPr>
                <w:rPr>
                  <w:rFonts w:ascii="Cambria Math" w:hAnsi="Cambria Math" w:cs="Calibri Light"/>
                  <w:sz w:val="18"/>
                  <w:szCs w:val="18"/>
                </w:rPr>
              </m:ctrlPr>
            </m:sSubPr>
            <m:e>
              <m:r>
                <w:rPr>
                  <w:rFonts w:ascii="Cambria Math" w:hAnsi="Cambria Math" w:cs="Calibri Light"/>
                  <w:color w:val="auto"/>
                  <w:sz w:val="18"/>
                  <w:szCs w:val="18"/>
                </w:rPr>
                <m:t>E</m:t>
              </m:r>
            </m:e>
            <m:sub>
              <m:r>
                <w:rPr>
                  <w:rFonts w:ascii="Cambria Math" w:hAnsi="Cambria Math" w:cs="Calibri Light"/>
                  <w:color w:val="auto"/>
                  <w:sz w:val="18"/>
                  <w:szCs w:val="18"/>
                </w:rPr>
                <m:t>2</m:t>
              </m:r>
            </m:sub>
          </m:sSub>
          <m:r>
            <w:rPr>
              <w:rFonts w:ascii="Cambria Math" w:hAnsi="Cambria Math" w:cs="Calibri Light"/>
              <w:color w:val="auto"/>
              <w:sz w:val="18"/>
              <w:szCs w:val="18"/>
            </w:rPr>
            <m:t>+</m:t>
          </m:r>
          <m:sSub>
            <m:sSubPr>
              <m:ctrlPr>
                <w:rPr>
                  <w:rFonts w:ascii="Cambria Math" w:hAnsi="Cambria Math" w:cs="Calibri Light"/>
                  <w:sz w:val="18"/>
                  <w:szCs w:val="18"/>
                </w:rPr>
              </m:ctrlPr>
            </m:sSubPr>
            <m:e>
              <m:r>
                <w:rPr>
                  <w:rFonts w:ascii="Cambria Math" w:hAnsi="Cambria Math" w:cs="Calibri Light"/>
                  <w:color w:val="auto"/>
                  <w:sz w:val="18"/>
                  <w:szCs w:val="18"/>
                </w:rPr>
                <m:t>E</m:t>
              </m:r>
            </m:e>
            <m:sub>
              <m:r>
                <w:rPr>
                  <w:rFonts w:ascii="Cambria Math" w:hAnsi="Cambria Math" w:cs="Calibri Light"/>
                  <w:color w:val="auto"/>
                  <w:sz w:val="18"/>
                  <w:szCs w:val="18"/>
                </w:rPr>
                <m:t>3</m:t>
              </m:r>
            </m:sub>
          </m:sSub>
          <m:r>
            <w:rPr>
              <w:rFonts w:ascii="Cambria Math" w:hAnsi="Cambria Math" w:cs="Calibri Light"/>
              <w:color w:val="auto"/>
              <w:sz w:val="18"/>
              <w:szCs w:val="18"/>
            </w:rPr>
            <m:t xml:space="preserve"> </m:t>
          </m:r>
        </m:oMath>
      </m:oMathPara>
    </w:p>
    <w:p w14:paraId="02253FB3" w14:textId="77777777" w:rsidR="00954569" w:rsidRPr="00A841EC" w:rsidRDefault="00954569" w:rsidP="00954569">
      <w:pPr>
        <w:pStyle w:val="Reminders"/>
        <w:rPr>
          <w:rFonts w:ascii="Calibri Light" w:hAnsi="Calibri Light" w:cs="Calibri Light"/>
          <w:i w:val="0"/>
          <w:color w:val="auto"/>
          <w:sz w:val="22"/>
          <w:szCs w:val="22"/>
        </w:rPr>
      </w:pPr>
    </w:p>
    <w:p w14:paraId="6A0958B8" w14:textId="1584A87E" w:rsidR="00954569" w:rsidRPr="00A841EC" w:rsidRDefault="00F837E5" w:rsidP="002800A3">
      <w:pPr>
        <w:spacing w:beforeLines="20" w:before="48" w:afterLines="20" w:after="48"/>
        <w:ind w:left="2340" w:hanging="900"/>
        <w:rPr>
          <w:rFonts w:ascii="Cambria Math" w:hAnsi="Cambria Math"/>
          <w:b/>
          <w:bCs/>
          <w:i/>
          <w:sz w:val="18"/>
          <w:szCs w:val="20"/>
          <w:u w:val="single"/>
        </w:rPr>
      </w:pPr>
      <m:oMath>
        <m:sSub>
          <m:sSubPr>
            <m:ctrlPr>
              <w:rPr>
                <w:rFonts w:ascii="Cambria Math" w:hAnsi="Cambria Math" w:cs="Calibri Light"/>
                <w:i/>
                <w:sz w:val="18"/>
                <w:szCs w:val="18"/>
              </w:rPr>
            </m:ctrlPr>
          </m:sSubPr>
          <m:e>
            <m:r>
              <w:rPr>
                <w:rFonts w:ascii="Cambria Math" w:hAnsi="Cambria Math" w:cs="Calibri Light"/>
                <w:sz w:val="18"/>
                <w:szCs w:val="18"/>
              </w:rPr>
              <m:t>E</m:t>
            </m:r>
          </m:e>
          <m:sub>
            <m:r>
              <w:rPr>
                <w:rFonts w:ascii="Cambria Math" w:hAnsi="Cambria Math" w:cs="Calibri Light"/>
                <w:sz w:val="18"/>
                <w:szCs w:val="18"/>
              </w:rPr>
              <m:t>1</m:t>
            </m:r>
          </m:sub>
        </m:sSub>
      </m:oMath>
      <w:r w:rsidR="00954569" w:rsidRPr="00A841EC">
        <w:rPr>
          <w:rFonts w:ascii="Cambria Math" w:hAnsi="Cambria Math" w:cs="Calibri Light"/>
          <w:i/>
          <w:sz w:val="18"/>
          <w:szCs w:val="18"/>
        </w:rPr>
        <w:t xml:space="preserve"> = </w:t>
      </w:r>
      <w:r w:rsidR="00D10403" w:rsidRPr="00A841EC">
        <w:rPr>
          <w:rFonts w:ascii="Cambria Math" w:hAnsi="Cambria Math" w:cs="Calibri Light"/>
          <w:i/>
          <w:sz w:val="18"/>
          <w:szCs w:val="18"/>
        </w:rPr>
        <w:tab/>
      </w:r>
      <w:r w:rsidR="00954569" w:rsidRPr="00A841EC">
        <w:rPr>
          <w:rFonts w:ascii="Cambria Math" w:hAnsi="Cambria Math" w:cs="Calibri Light"/>
          <w:i/>
          <w:sz w:val="18"/>
          <w:szCs w:val="18"/>
        </w:rPr>
        <w:t xml:space="preserve">Pilot light energy savings when the pilot light was </w:t>
      </w:r>
      <w:r w:rsidR="00B068EA" w:rsidRPr="00A841EC">
        <w:rPr>
          <w:rFonts w:ascii="Cambria Math" w:hAnsi="Cambria Math" w:cs="Calibri Light"/>
          <w:i/>
          <w:sz w:val="18"/>
          <w:szCs w:val="18"/>
        </w:rPr>
        <w:t>ON</w:t>
      </w:r>
      <w:r w:rsidR="00954569" w:rsidRPr="00A841EC">
        <w:rPr>
          <w:rFonts w:ascii="Cambria Math" w:hAnsi="Cambria Math" w:cs="Calibri Light"/>
          <w:i/>
          <w:sz w:val="18"/>
          <w:szCs w:val="18"/>
        </w:rPr>
        <w:t xml:space="preserve"> for the entire hour (Therms) </w:t>
      </w:r>
    </w:p>
    <w:p w14:paraId="039D6883" w14:textId="7810DE26" w:rsidR="00954569" w:rsidRPr="00A841EC" w:rsidRDefault="00F837E5" w:rsidP="002800A3">
      <w:pPr>
        <w:pStyle w:val="Reminders"/>
        <w:spacing w:beforeLines="20" w:before="48" w:afterLines="20" w:after="48"/>
        <w:ind w:left="2340" w:hanging="900"/>
        <w:rPr>
          <w:rFonts w:ascii="Cambria Math" w:hAnsi="Cambria Math" w:cs="Calibri Light"/>
          <w:color w:val="auto"/>
          <w:sz w:val="18"/>
          <w:szCs w:val="18"/>
        </w:rPr>
      </w:pPr>
      <m:oMath>
        <m:sSub>
          <m:sSubPr>
            <m:ctrlPr>
              <w:rPr>
                <w:rFonts w:ascii="Cambria Math" w:hAnsi="Cambria Math" w:cs="Calibri Light"/>
                <w:sz w:val="18"/>
                <w:szCs w:val="18"/>
              </w:rPr>
            </m:ctrlPr>
          </m:sSubPr>
          <m:e>
            <m:r>
              <w:rPr>
                <w:rFonts w:ascii="Cambria Math" w:hAnsi="Cambria Math" w:cs="Calibri Light"/>
                <w:color w:val="auto"/>
                <w:sz w:val="18"/>
                <w:szCs w:val="18"/>
              </w:rPr>
              <m:t>t</m:t>
            </m:r>
          </m:e>
          <m:sub>
            <m:r>
              <w:rPr>
                <w:rFonts w:ascii="Cambria Math" w:hAnsi="Cambria Math" w:cs="Calibri Light"/>
                <w:color w:val="auto"/>
                <w:sz w:val="18"/>
                <w:szCs w:val="18"/>
              </w:rPr>
              <m:t>1</m:t>
            </m:r>
          </m:sub>
        </m:sSub>
      </m:oMath>
      <w:r w:rsidR="00954569" w:rsidRPr="00A841EC">
        <w:rPr>
          <w:rFonts w:ascii="Cambria Math" w:hAnsi="Cambria Math" w:cs="Calibri Light"/>
          <w:color w:val="auto"/>
          <w:sz w:val="18"/>
          <w:szCs w:val="18"/>
        </w:rPr>
        <w:t xml:space="preserve"> = </w:t>
      </w:r>
      <w:r w:rsidR="00D10403" w:rsidRPr="00A841EC">
        <w:rPr>
          <w:rFonts w:ascii="Cambria Math" w:hAnsi="Cambria Math" w:cs="Calibri Light"/>
          <w:color w:val="auto"/>
          <w:sz w:val="18"/>
          <w:szCs w:val="18"/>
        </w:rPr>
        <w:tab/>
      </w:r>
      <w:r w:rsidR="00954569" w:rsidRPr="00A841EC">
        <w:rPr>
          <w:rFonts w:ascii="Cambria Math" w:hAnsi="Cambria Math" w:cs="Calibri Light"/>
          <w:color w:val="auto"/>
          <w:sz w:val="18"/>
          <w:szCs w:val="18"/>
        </w:rPr>
        <w:t xml:space="preserve">Pilot light ON time when the pilot light was </w:t>
      </w:r>
      <w:r w:rsidR="004545D6" w:rsidRPr="00A841EC">
        <w:rPr>
          <w:rFonts w:ascii="Cambria Math" w:hAnsi="Cambria Math" w:cs="Calibri Light"/>
          <w:color w:val="auto"/>
          <w:sz w:val="18"/>
          <w:szCs w:val="18"/>
        </w:rPr>
        <w:t>ON</w:t>
      </w:r>
      <w:r w:rsidR="00954569" w:rsidRPr="00A841EC">
        <w:rPr>
          <w:rFonts w:ascii="Cambria Math" w:hAnsi="Cambria Math" w:cs="Calibri Light"/>
          <w:color w:val="auto"/>
          <w:sz w:val="18"/>
          <w:szCs w:val="18"/>
        </w:rPr>
        <w:t xml:space="preserve"> for the entire hour (hours)</w:t>
      </w:r>
    </w:p>
    <w:p w14:paraId="48BF0FA7" w14:textId="06A9C389" w:rsidR="00954569" w:rsidRPr="00A841EC" w:rsidRDefault="00F837E5" w:rsidP="002800A3">
      <w:pPr>
        <w:pStyle w:val="Reminders"/>
        <w:spacing w:beforeLines="20" w:before="48" w:afterLines="20" w:after="48"/>
        <w:ind w:left="2340" w:hanging="900"/>
        <w:rPr>
          <w:rFonts w:ascii="Cambria Math" w:hAnsi="Cambria Math" w:cs="Calibri Light"/>
          <w:color w:val="auto"/>
          <w:sz w:val="18"/>
          <w:szCs w:val="18"/>
        </w:rPr>
      </w:pPr>
      <m:oMath>
        <m:sSub>
          <m:sSubPr>
            <m:ctrlPr>
              <w:rPr>
                <w:rFonts w:ascii="Cambria Math" w:hAnsi="Cambria Math" w:cs="Calibri Light"/>
                <w:sz w:val="18"/>
                <w:szCs w:val="18"/>
              </w:rPr>
            </m:ctrlPr>
          </m:sSubPr>
          <m:e>
            <m:r>
              <w:rPr>
                <w:rFonts w:ascii="Cambria Math" w:hAnsi="Cambria Math" w:cs="Calibri Light"/>
                <w:color w:val="auto"/>
                <w:sz w:val="18"/>
                <w:szCs w:val="18"/>
              </w:rPr>
              <m:t>I</m:t>
            </m:r>
          </m:e>
          <m:sub>
            <m:r>
              <w:rPr>
                <w:rFonts w:ascii="Cambria Math" w:hAnsi="Cambria Math" w:cs="Calibri Light"/>
                <w:color w:val="auto"/>
                <w:sz w:val="18"/>
                <w:szCs w:val="18"/>
              </w:rPr>
              <m:t>P</m:t>
            </m:r>
          </m:sub>
        </m:sSub>
      </m:oMath>
      <w:r w:rsidR="00954569" w:rsidRPr="00A841EC">
        <w:rPr>
          <w:rFonts w:ascii="Cambria Math" w:hAnsi="Cambria Math" w:cs="Calibri Light"/>
          <w:color w:val="auto"/>
          <w:sz w:val="18"/>
          <w:szCs w:val="18"/>
        </w:rPr>
        <w:t xml:space="preserve"> = </w:t>
      </w:r>
      <w:r w:rsidR="00D10403" w:rsidRPr="00A841EC">
        <w:rPr>
          <w:rFonts w:ascii="Cambria Math" w:hAnsi="Cambria Math" w:cs="Calibri Light"/>
          <w:color w:val="auto"/>
          <w:sz w:val="18"/>
          <w:szCs w:val="18"/>
        </w:rPr>
        <w:tab/>
      </w:r>
      <w:r w:rsidR="00954569" w:rsidRPr="00A841EC">
        <w:rPr>
          <w:rFonts w:ascii="Cambria Math" w:hAnsi="Cambria Math" w:cs="Calibri Light"/>
          <w:color w:val="auto"/>
          <w:sz w:val="18"/>
          <w:szCs w:val="18"/>
        </w:rPr>
        <w:t xml:space="preserve">Input rate of the pilot light </w:t>
      </w:r>
    </w:p>
    <w:p w14:paraId="64C85DFF" w14:textId="73EAA6A4" w:rsidR="00954569" w:rsidRPr="00A841EC" w:rsidRDefault="00F837E5" w:rsidP="002800A3">
      <w:pPr>
        <w:pStyle w:val="Reminders"/>
        <w:spacing w:beforeLines="20" w:before="48" w:afterLines="20" w:after="48"/>
        <w:ind w:left="2340" w:hanging="900"/>
        <w:rPr>
          <w:rFonts w:ascii="Cambria Math" w:hAnsi="Cambria Math" w:cs="Calibri Light"/>
          <w:color w:val="auto"/>
          <w:sz w:val="18"/>
          <w:szCs w:val="18"/>
        </w:rPr>
      </w:pPr>
      <m:oMath>
        <m:sSub>
          <m:sSubPr>
            <m:ctrlPr>
              <w:rPr>
                <w:rFonts w:ascii="Cambria Math" w:hAnsi="Cambria Math" w:cs="Calibri Light"/>
                <w:sz w:val="18"/>
                <w:szCs w:val="18"/>
              </w:rPr>
            </m:ctrlPr>
          </m:sSubPr>
          <m:e>
            <m:r>
              <w:rPr>
                <w:rFonts w:ascii="Cambria Math" w:hAnsi="Cambria Math" w:cs="Calibri Light"/>
                <w:color w:val="auto"/>
                <w:sz w:val="18"/>
                <w:szCs w:val="18"/>
              </w:rPr>
              <m:t>E</m:t>
            </m:r>
          </m:e>
          <m:sub>
            <m:r>
              <w:rPr>
                <w:rFonts w:ascii="Cambria Math" w:hAnsi="Cambria Math" w:cs="Calibri Light"/>
                <w:color w:val="auto"/>
                <w:sz w:val="18"/>
                <w:szCs w:val="18"/>
              </w:rPr>
              <m:t>2</m:t>
            </m:r>
          </m:sub>
        </m:sSub>
      </m:oMath>
      <w:r w:rsidR="00954569" w:rsidRPr="00A841EC">
        <w:rPr>
          <w:rFonts w:ascii="Cambria Math" w:hAnsi="Cambria Math" w:cs="Calibri Light"/>
          <w:color w:val="auto"/>
          <w:sz w:val="18"/>
          <w:szCs w:val="18"/>
        </w:rPr>
        <w:t xml:space="preserve"> = </w:t>
      </w:r>
      <w:r w:rsidR="00D10403" w:rsidRPr="00A841EC">
        <w:rPr>
          <w:rFonts w:ascii="Cambria Math" w:hAnsi="Cambria Math" w:cs="Calibri Light"/>
          <w:color w:val="auto"/>
          <w:sz w:val="18"/>
          <w:szCs w:val="18"/>
        </w:rPr>
        <w:tab/>
      </w:r>
      <w:r w:rsidR="00954569" w:rsidRPr="00A841EC">
        <w:rPr>
          <w:rFonts w:ascii="Cambria Math" w:hAnsi="Cambria Math" w:cs="Calibri Light"/>
          <w:color w:val="auto"/>
          <w:sz w:val="18"/>
          <w:szCs w:val="18"/>
        </w:rPr>
        <w:t xml:space="preserve">Pilot light energy savings when the pilot light </w:t>
      </w:r>
      <w:r w:rsidR="00954569" w:rsidRPr="00A841EC">
        <w:rPr>
          <w:rFonts w:ascii="Cambria Math" w:hAnsi="Cambria Math" w:cs="Calibri Light"/>
          <w:color w:val="auto"/>
          <w:sz w:val="18"/>
          <w:szCs w:val="18"/>
          <w:u w:val="single"/>
        </w:rPr>
        <w:t>and</w:t>
      </w:r>
      <w:r w:rsidR="00954569" w:rsidRPr="00A841EC">
        <w:rPr>
          <w:rFonts w:ascii="Cambria Math" w:hAnsi="Cambria Math" w:cs="Calibri Light"/>
          <w:color w:val="auto"/>
          <w:sz w:val="18"/>
          <w:szCs w:val="18"/>
        </w:rPr>
        <w:t xml:space="preserve"> burner were ON for a portion of the hour (Therms)</w:t>
      </w:r>
    </w:p>
    <w:p w14:paraId="75CAE1CA" w14:textId="234CF1EE" w:rsidR="00954569" w:rsidRPr="00A841EC" w:rsidRDefault="00F837E5" w:rsidP="002800A3">
      <w:pPr>
        <w:pStyle w:val="Reminders"/>
        <w:spacing w:beforeLines="20" w:before="48" w:afterLines="20" w:after="48"/>
        <w:ind w:left="2340" w:hanging="900"/>
        <w:rPr>
          <w:rFonts w:ascii="Cambria Math" w:hAnsi="Cambria Math" w:cs="Calibri Light"/>
          <w:color w:val="auto"/>
          <w:sz w:val="18"/>
          <w:szCs w:val="18"/>
        </w:rPr>
      </w:pPr>
      <m:oMath>
        <m:sSub>
          <m:sSubPr>
            <m:ctrlPr>
              <w:rPr>
                <w:rFonts w:ascii="Cambria Math" w:hAnsi="Cambria Math" w:cs="Calibri Light"/>
                <w:sz w:val="18"/>
                <w:szCs w:val="18"/>
              </w:rPr>
            </m:ctrlPr>
          </m:sSubPr>
          <m:e>
            <m:r>
              <w:rPr>
                <w:rFonts w:ascii="Cambria Math" w:hAnsi="Cambria Math" w:cs="Calibri Light"/>
                <w:color w:val="auto"/>
                <w:sz w:val="18"/>
                <w:szCs w:val="18"/>
              </w:rPr>
              <m:t>E</m:t>
            </m:r>
          </m:e>
          <m:sub>
            <m:r>
              <w:rPr>
                <w:rFonts w:ascii="Cambria Math" w:hAnsi="Cambria Math" w:cs="Calibri Light"/>
                <w:color w:val="auto"/>
                <w:sz w:val="18"/>
                <w:szCs w:val="18"/>
              </w:rPr>
              <m:t>3</m:t>
            </m:r>
          </m:sub>
        </m:sSub>
      </m:oMath>
      <w:r w:rsidR="00954569" w:rsidRPr="00A841EC">
        <w:rPr>
          <w:rFonts w:ascii="Cambria Math" w:hAnsi="Cambria Math" w:cs="Calibri Light"/>
          <w:color w:val="auto"/>
          <w:sz w:val="18"/>
          <w:szCs w:val="18"/>
        </w:rPr>
        <w:t xml:space="preserve"> = </w:t>
      </w:r>
      <w:r w:rsidR="00D10403" w:rsidRPr="00A841EC">
        <w:rPr>
          <w:rFonts w:ascii="Cambria Math" w:hAnsi="Cambria Math" w:cs="Calibri Light"/>
          <w:color w:val="auto"/>
          <w:sz w:val="18"/>
          <w:szCs w:val="18"/>
        </w:rPr>
        <w:tab/>
      </w:r>
      <w:r w:rsidR="00954569" w:rsidRPr="00A841EC">
        <w:rPr>
          <w:rFonts w:ascii="Cambria Math" w:hAnsi="Cambria Math" w:cs="Calibri Light"/>
          <w:color w:val="auto"/>
          <w:sz w:val="18"/>
          <w:szCs w:val="18"/>
        </w:rPr>
        <w:t>Pilot light energy savings when the pilot light was ON and the burner was OFF for a portion of the hour (Therms)</w:t>
      </w:r>
    </w:p>
    <w:p w14:paraId="034500A4" w14:textId="1EB1288D" w:rsidR="00954569" w:rsidRPr="00A841EC" w:rsidRDefault="00F837E5" w:rsidP="002800A3">
      <w:pPr>
        <w:pStyle w:val="Reminders"/>
        <w:spacing w:beforeLines="20" w:before="48" w:afterLines="20" w:after="48"/>
        <w:ind w:left="2340" w:hanging="900"/>
        <w:rPr>
          <w:rFonts w:ascii="Cambria Math" w:hAnsi="Cambria Math" w:cs="Calibri Light"/>
          <w:color w:val="auto"/>
          <w:sz w:val="18"/>
          <w:szCs w:val="18"/>
        </w:rPr>
      </w:pPr>
      <m:oMath>
        <m:sSub>
          <m:sSubPr>
            <m:ctrlPr>
              <w:rPr>
                <w:rFonts w:ascii="Cambria Math" w:hAnsi="Cambria Math" w:cs="Calibri Light"/>
                <w:sz w:val="18"/>
                <w:szCs w:val="18"/>
              </w:rPr>
            </m:ctrlPr>
          </m:sSubPr>
          <m:e>
            <m:r>
              <w:rPr>
                <w:rFonts w:ascii="Cambria Math" w:hAnsi="Cambria Math" w:cs="Calibri Light"/>
                <w:color w:val="auto"/>
                <w:sz w:val="18"/>
                <w:szCs w:val="18"/>
              </w:rPr>
              <m:t>t</m:t>
            </m:r>
          </m:e>
          <m:sub>
            <m:r>
              <w:rPr>
                <w:rFonts w:ascii="Cambria Math" w:hAnsi="Cambria Math" w:cs="Calibri Light"/>
                <w:color w:val="auto"/>
                <w:sz w:val="18"/>
                <w:szCs w:val="18"/>
              </w:rPr>
              <m:t>3</m:t>
            </m:r>
          </m:sub>
        </m:sSub>
      </m:oMath>
      <w:r w:rsidR="00954569" w:rsidRPr="00A841EC">
        <w:rPr>
          <w:rFonts w:ascii="Cambria Math" w:hAnsi="Cambria Math" w:cs="Calibri Light"/>
          <w:color w:val="auto"/>
          <w:sz w:val="18"/>
          <w:szCs w:val="18"/>
        </w:rPr>
        <w:t xml:space="preserve"> = </w:t>
      </w:r>
      <w:r w:rsidR="00D10403" w:rsidRPr="00A841EC">
        <w:rPr>
          <w:rFonts w:ascii="Cambria Math" w:hAnsi="Cambria Math" w:cs="Calibri Light"/>
          <w:color w:val="auto"/>
          <w:sz w:val="18"/>
          <w:szCs w:val="18"/>
        </w:rPr>
        <w:tab/>
      </w:r>
      <w:r w:rsidR="00954569" w:rsidRPr="00A841EC">
        <w:rPr>
          <w:rFonts w:ascii="Cambria Math" w:hAnsi="Cambria Math" w:cs="Calibri Light"/>
          <w:color w:val="auto"/>
          <w:sz w:val="18"/>
          <w:szCs w:val="18"/>
        </w:rPr>
        <w:t>Pilot light ON time when the pilot light was ON and the burner was OFF for a portion of the hour (hours)</w:t>
      </w:r>
    </w:p>
    <w:p w14:paraId="0936499B" w14:textId="0AC1C5B1" w:rsidR="00954569" w:rsidRPr="00A841EC" w:rsidRDefault="00954569" w:rsidP="002800A3">
      <w:pPr>
        <w:pStyle w:val="Reminders"/>
        <w:spacing w:beforeLines="20" w:before="48" w:afterLines="20" w:after="48"/>
        <w:ind w:left="2340" w:hanging="900"/>
        <w:rPr>
          <w:rFonts w:ascii="Cambria Math" w:hAnsi="Cambria Math" w:cs="Calibri Light"/>
          <w:color w:val="auto"/>
          <w:sz w:val="18"/>
          <w:szCs w:val="18"/>
        </w:rPr>
      </w:pPr>
      <w:r w:rsidRPr="00A841EC">
        <w:rPr>
          <w:rFonts w:ascii="Cambria Math" w:hAnsi="Cambria Math" w:cs="Calibri Light"/>
          <w:color w:val="auto"/>
          <w:sz w:val="18"/>
          <w:szCs w:val="18"/>
        </w:rPr>
        <w:t xml:space="preserve">η = </w:t>
      </w:r>
      <w:r w:rsidR="00D10403" w:rsidRPr="00A841EC">
        <w:rPr>
          <w:rFonts w:ascii="Cambria Math" w:hAnsi="Cambria Math" w:cs="Calibri Light"/>
          <w:color w:val="auto"/>
          <w:sz w:val="18"/>
          <w:szCs w:val="18"/>
        </w:rPr>
        <w:tab/>
        <w:t>E</w:t>
      </w:r>
      <w:r w:rsidRPr="00A841EC">
        <w:rPr>
          <w:rFonts w:ascii="Cambria Math" w:hAnsi="Cambria Math" w:cs="Calibri Light"/>
          <w:color w:val="auto"/>
          <w:sz w:val="18"/>
          <w:szCs w:val="18"/>
        </w:rPr>
        <w:t xml:space="preserve">fficiency of the pilot light </w:t>
      </w:r>
    </w:p>
    <w:p w14:paraId="02B2715E" w14:textId="2C8BFE32" w:rsidR="00954569" w:rsidRPr="00A841EC" w:rsidRDefault="00F837E5" w:rsidP="002800A3">
      <w:pPr>
        <w:pStyle w:val="Reminders"/>
        <w:spacing w:beforeLines="20" w:before="48" w:afterLines="20" w:after="48"/>
        <w:ind w:left="2340" w:hanging="900"/>
        <w:rPr>
          <w:rFonts w:ascii="Calibri Light" w:hAnsi="Calibri Light" w:cs="Calibri Light"/>
          <w:i w:val="0"/>
          <w:color w:val="auto"/>
          <w:sz w:val="22"/>
          <w:szCs w:val="22"/>
        </w:rPr>
      </w:pPr>
      <m:oMath>
        <m:sSub>
          <m:sSubPr>
            <m:ctrlPr>
              <w:rPr>
                <w:rFonts w:ascii="Cambria Math" w:hAnsi="Cambria Math" w:cs="Calibri Light"/>
                <w:sz w:val="18"/>
                <w:szCs w:val="18"/>
              </w:rPr>
            </m:ctrlPr>
          </m:sSubPr>
          <m:e>
            <m:r>
              <w:rPr>
                <w:rFonts w:ascii="Cambria Math" w:hAnsi="Cambria Math" w:cs="Calibri Light"/>
                <w:color w:val="auto"/>
                <w:sz w:val="18"/>
                <w:szCs w:val="18"/>
              </w:rPr>
              <m:t>E</m:t>
            </m:r>
          </m:e>
          <m:sub>
            <m:r>
              <w:rPr>
                <w:rFonts w:ascii="Cambria Math" w:hAnsi="Cambria Math" w:cs="Calibri Light"/>
                <w:color w:val="auto"/>
                <w:sz w:val="18"/>
                <w:szCs w:val="18"/>
              </w:rPr>
              <m:t>P</m:t>
            </m:r>
          </m:sub>
        </m:sSub>
      </m:oMath>
      <w:r w:rsidR="00954569" w:rsidRPr="00A841EC">
        <w:rPr>
          <w:rFonts w:ascii="Cambria Math" w:hAnsi="Cambria Math" w:cs="Calibri Light"/>
          <w:color w:val="auto"/>
          <w:sz w:val="18"/>
          <w:szCs w:val="18"/>
        </w:rPr>
        <w:t xml:space="preserve"> = </w:t>
      </w:r>
      <w:r w:rsidR="00D10403" w:rsidRPr="00A841EC">
        <w:rPr>
          <w:rFonts w:ascii="Cambria Math" w:hAnsi="Cambria Math" w:cs="Calibri Light"/>
          <w:color w:val="auto"/>
          <w:sz w:val="18"/>
          <w:szCs w:val="18"/>
        </w:rPr>
        <w:tab/>
      </w:r>
      <w:r w:rsidR="00954569" w:rsidRPr="00A841EC">
        <w:rPr>
          <w:rFonts w:ascii="Cambria Math" w:hAnsi="Cambria Math" w:cs="Calibri Light"/>
          <w:color w:val="auto"/>
          <w:sz w:val="18"/>
          <w:szCs w:val="18"/>
        </w:rPr>
        <w:t xml:space="preserve">Total energy saving from the removal of </w:t>
      </w:r>
      <w:r w:rsidR="00D10403" w:rsidRPr="00A841EC">
        <w:rPr>
          <w:rFonts w:ascii="Cambria Math" w:hAnsi="Cambria Math" w:cs="Calibri Light"/>
          <w:color w:val="auto"/>
          <w:sz w:val="18"/>
          <w:szCs w:val="18"/>
        </w:rPr>
        <w:t>the</w:t>
      </w:r>
      <w:r w:rsidR="00954569" w:rsidRPr="00A841EC">
        <w:rPr>
          <w:rFonts w:ascii="Cambria Math" w:hAnsi="Cambria Math" w:cs="Calibri Light"/>
          <w:color w:val="auto"/>
          <w:sz w:val="18"/>
          <w:szCs w:val="18"/>
        </w:rPr>
        <w:t xml:space="preserve"> pilot light.</w:t>
      </w:r>
    </w:p>
    <w:p w14:paraId="12B3D425" w14:textId="77777777" w:rsidR="00954569" w:rsidRPr="00A841EC" w:rsidRDefault="00954569" w:rsidP="00954569">
      <w:pPr>
        <w:pStyle w:val="Reminders"/>
        <w:rPr>
          <w:rFonts w:ascii="Calibri Light" w:hAnsi="Calibri Light" w:cs="Calibri Light"/>
          <w:i w:val="0"/>
          <w:color w:val="auto"/>
          <w:sz w:val="22"/>
          <w:szCs w:val="22"/>
        </w:rPr>
      </w:pPr>
    </w:p>
    <w:p w14:paraId="17DE5216" w14:textId="77777777" w:rsidR="00954569" w:rsidRPr="00A841EC" w:rsidRDefault="00954569" w:rsidP="00954569">
      <w:pPr>
        <w:pStyle w:val="eTRMHeading5"/>
      </w:pPr>
      <w:r w:rsidRPr="00A841EC">
        <w:t>Energy Savings from an Increase in Fireplace Efficiency</w:t>
      </w:r>
    </w:p>
    <w:p w14:paraId="46FFD3DD" w14:textId="2AB97D70" w:rsidR="00954569" w:rsidRPr="00A841EC" w:rsidRDefault="00954569" w:rsidP="00954569">
      <w:pPr>
        <w:pStyle w:val="Reminders"/>
        <w:rPr>
          <w:rFonts w:ascii="Calibri Light" w:hAnsi="Calibri Light" w:cs="Calibri Light"/>
          <w:i w:val="0"/>
          <w:color w:val="auto"/>
          <w:sz w:val="22"/>
          <w:szCs w:val="22"/>
        </w:rPr>
      </w:pPr>
      <w:r w:rsidRPr="00A841EC">
        <w:rPr>
          <w:rFonts w:ascii="Calibri Light" w:hAnsi="Calibri Light" w:cs="Calibri Light"/>
          <w:i w:val="0"/>
          <w:color w:val="auto"/>
          <w:sz w:val="22"/>
          <w:szCs w:val="22"/>
        </w:rPr>
        <w:t xml:space="preserve">The energy savings from an increase in FE </w:t>
      </w:r>
      <w:r w:rsidR="00B65A0C" w:rsidRPr="00A841EC">
        <w:rPr>
          <w:rFonts w:ascii="Calibri Light" w:hAnsi="Calibri Light" w:cs="Calibri Light"/>
          <w:i w:val="0"/>
          <w:color w:val="auto"/>
          <w:sz w:val="22"/>
          <w:szCs w:val="22"/>
        </w:rPr>
        <w:t xml:space="preserve">(below) is a function of the total hours per year the burn is ON, the input rate of the fireplace, and increase in FE. </w:t>
      </w:r>
    </w:p>
    <w:p w14:paraId="5F6FA852" w14:textId="77777777" w:rsidR="00954569" w:rsidRPr="00A841EC" w:rsidRDefault="00954569" w:rsidP="00954569">
      <w:pPr>
        <w:pStyle w:val="Reminders"/>
        <w:rPr>
          <w:rFonts w:ascii="Calibri Light" w:hAnsi="Calibri Light" w:cs="Calibri Light"/>
          <w:i w:val="0"/>
          <w:color w:val="auto"/>
          <w:sz w:val="22"/>
          <w:szCs w:val="22"/>
        </w:rPr>
      </w:pPr>
    </w:p>
    <w:p w14:paraId="59993871" w14:textId="6C2F0403" w:rsidR="00954569" w:rsidRPr="00A841EC" w:rsidRDefault="00F837E5" w:rsidP="00954569">
      <w:pPr>
        <w:pStyle w:val="Reminders"/>
        <w:ind w:left="720"/>
        <w:rPr>
          <w:rFonts w:ascii="Calibri Light" w:hAnsi="Calibri Light" w:cs="Calibri Light"/>
          <w:i w:val="0"/>
          <w:color w:val="auto"/>
          <w:sz w:val="22"/>
          <w:szCs w:val="22"/>
        </w:rPr>
      </w:pPr>
      <m:oMathPara>
        <m:oMathParaPr>
          <m:jc m:val="left"/>
        </m:oMathParaPr>
        <m:oMath>
          <m:sSub>
            <m:sSubPr>
              <m:ctrlPr>
                <w:rPr>
                  <w:rFonts w:ascii="Cambria Math" w:hAnsi="Cambria Math" w:cs="Calibri Light"/>
                  <w:sz w:val="20"/>
                  <w:szCs w:val="20"/>
                </w:rPr>
              </m:ctrlPr>
            </m:sSubPr>
            <m:e>
              <m:r>
                <w:rPr>
                  <w:rFonts w:ascii="Cambria Math" w:hAnsi="Cambria Math" w:cs="Calibri Light"/>
                  <w:color w:val="auto"/>
                  <w:sz w:val="20"/>
                  <w:szCs w:val="20"/>
                </w:rPr>
                <m:t>UES</m:t>
              </m:r>
            </m:e>
            <m:sub>
              <m:r>
                <w:rPr>
                  <w:rFonts w:ascii="Cambria Math" w:hAnsi="Cambria Math" w:cs="Calibri Light"/>
                  <w:color w:val="auto"/>
                  <w:sz w:val="20"/>
                  <w:szCs w:val="20"/>
                </w:rPr>
                <m:t>FE</m:t>
              </m:r>
            </m:sub>
          </m:sSub>
          <m:r>
            <w:rPr>
              <w:rFonts w:ascii="Cambria Math" w:hAnsi="Cambria Math" w:cs="Calibri Light"/>
              <w:color w:val="auto"/>
              <w:sz w:val="20"/>
              <w:szCs w:val="20"/>
            </w:rPr>
            <m:t>=</m:t>
          </m:r>
          <m:sSub>
            <m:sSubPr>
              <m:ctrlPr>
                <w:rPr>
                  <w:rFonts w:ascii="Cambria Math" w:hAnsi="Cambria Math" w:cs="Calibri Light"/>
                  <w:sz w:val="20"/>
                  <w:szCs w:val="20"/>
                </w:rPr>
              </m:ctrlPr>
            </m:sSubPr>
            <m:e>
              <m:r>
                <w:rPr>
                  <w:rFonts w:ascii="Cambria Math" w:hAnsi="Cambria Math" w:cs="Calibri Light"/>
                  <w:color w:val="auto"/>
                  <w:sz w:val="20"/>
                  <w:szCs w:val="20"/>
                </w:rPr>
                <m:t>t</m:t>
              </m:r>
            </m:e>
            <m:sub>
              <m:r>
                <w:rPr>
                  <w:rFonts w:ascii="Cambria Math" w:hAnsi="Cambria Math" w:cs="Calibri Light"/>
                  <w:color w:val="auto"/>
                  <w:sz w:val="20"/>
                  <w:szCs w:val="20"/>
                </w:rPr>
                <m:t>Burner ON</m:t>
              </m:r>
            </m:sub>
          </m:sSub>
          <m:r>
            <w:rPr>
              <w:rFonts w:ascii="Cambria Math" w:hAnsi="Cambria Math" w:cs="Calibri Light"/>
              <w:color w:val="auto"/>
              <w:sz w:val="20"/>
              <w:szCs w:val="20"/>
            </w:rPr>
            <m:t xml:space="preserve"> x </m:t>
          </m:r>
          <m:sSub>
            <m:sSubPr>
              <m:ctrlPr>
                <w:rPr>
                  <w:rFonts w:ascii="Cambria Math" w:hAnsi="Cambria Math" w:cs="Calibri Light"/>
                  <w:sz w:val="20"/>
                  <w:szCs w:val="20"/>
                </w:rPr>
              </m:ctrlPr>
            </m:sSubPr>
            <m:e>
              <m:r>
                <w:rPr>
                  <w:rFonts w:ascii="Cambria Math" w:hAnsi="Cambria Math" w:cs="Calibri Light"/>
                  <w:color w:val="auto"/>
                  <w:sz w:val="20"/>
                  <w:szCs w:val="20"/>
                </w:rPr>
                <m:t>I</m:t>
              </m:r>
            </m:e>
            <m:sub>
              <m:r>
                <w:rPr>
                  <w:rFonts w:ascii="Cambria Math" w:hAnsi="Cambria Math" w:cs="Calibri Light"/>
                  <w:color w:val="auto"/>
                  <w:sz w:val="20"/>
                  <w:szCs w:val="20"/>
                </w:rPr>
                <m:t>Burner</m:t>
              </m:r>
            </m:sub>
          </m:sSub>
          <m:r>
            <w:rPr>
              <w:rFonts w:ascii="Cambria Math" w:hAnsi="Cambria Math" w:cs="Calibri Light"/>
              <w:color w:val="auto"/>
              <w:sz w:val="20"/>
              <w:szCs w:val="20"/>
            </w:rPr>
            <m:t xml:space="preserve"> x </m:t>
          </m:r>
          <m:d>
            <m:dPr>
              <m:ctrlPr>
                <w:rPr>
                  <w:rFonts w:ascii="Cambria Math" w:hAnsi="Cambria Math" w:cs="Calibri Light"/>
                  <w:color w:val="auto"/>
                  <w:sz w:val="20"/>
                  <w:szCs w:val="20"/>
                </w:rPr>
              </m:ctrlPr>
            </m:dPr>
            <m:e>
              <m:f>
                <m:fPr>
                  <m:ctrlPr>
                    <w:rPr>
                      <w:rFonts w:ascii="Cambria Math" w:hAnsi="Cambria Math" w:cs="Calibri Light"/>
                      <w:color w:val="auto"/>
                      <w:sz w:val="20"/>
                      <w:szCs w:val="20"/>
                    </w:rPr>
                  </m:ctrlPr>
                </m:fPr>
                <m:num>
                  <m:r>
                    <w:rPr>
                      <w:rFonts w:ascii="Cambria Math" w:hAnsi="Cambria Math" w:cs="Calibri Light"/>
                      <w:color w:val="auto"/>
                      <w:sz w:val="20"/>
                      <w:szCs w:val="20"/>
                    </w:rPr>
                    <m:t>1</m:t>
                  </m:r>
                </m:num>
                <m:den>
                  <m:sSub>
                    <m:sSubPr>
                      <m:ctrlPr>
                        <w:rPr>
                          <w:rFonts w:ascii="Cambria Math" w:hAnsi="Cambria Math" w:cs="Calibri Light"/>
                          <w:color w:val="auto"/>
                          <w:sz w:val="20"/>
                          <w:szCs w:val="20"/>
                        </w:rPr>
                      </m:ctrlPr>
                    </m:sSubPr>
                    <m:e>
                      <m:r>
                        <w:rPr>
                          <w:rFonts w:ascii="Cambria Math" w:hAnsi="Cambria Math" w:cs="Calibri Light"/>
                          <w:color w:val="auto"/>
                          <w:sz w:val="20"/>
                          <w:szCs w:val="20"/>
                        </w:rPr>
                        <m:t>FE</m:t>
                      </m:r>
                    </m:e>
                    <m:sub>
                      <m:r>
                        <w:rPr>
                          <w:rFonts w:ascii="Cambria Math" w:hAnsi="Cambria Math" w:cs="Calibri Light"/>
                          <w:color w:val="auto"/>
                          <w:sz w:val="20"/>
                          <w:szCs w:val="20"/>
                        </w:rPr>
                        <m:t>Baseline</m:t>
                      </m:r>
                    </m:sub>
                  </m:sSub>
                </m:den>
              </m:f>
              <m:r>
                <w:rPr>
                  <w:rFonts w:ascii="Cambria Math" w:hAnsi="Cambria Math" w:cs="Calibri Light"/>
                  <w:color w:val="auto"/>
                  <w:sz w:val="20"/>
                  <w:szCs w:val="20"/>
                </w:rPr>
                <m:t>-</m:t>
              </m:r>
              <m:f>
                <m:fPr>
                  <m:ctrlPr>
                    <w:rPr>
                      <w:rFonts w:ascii="Cambria Math" w:hAnsi="Cambria Math" w:cs="Calibri Light"/>
                      <w:color w:val="auto"/>
                      <w:sz w:val="20"/>
                      <w:szCs w:val="20"/>
                    </w:rPr>
                  </m:ctrlPr>
                </m:fPr>
                <m:num>
                  <m:r>
                    <w:rPr>
                      <w:rFonts w:ascii="Cambria Math" w:hAnsi="Cambria Math" w:cs="Calibri Light"/>
                      <w:color w:val="auto"/>
                      <w:sz w:val="20"/>
                      <w:szCs w:val="20"/>
                    </w:rPr>
                    <m:t>1</m:t>
                  </m:r>
                </m:num>
                <m:den>
                  <m:sSub>
                    <m:sSubPr>
                      <m:ctrlPr>
                        <w:rPr>
                          <w:rFonts w:ascii="Cambria Math" w:hAnsi="Cambria Math" w:cs="Calibri Light"/>
                          <w:color w:val="auto"/>
                          <w:sz w:val="20"/>
                          <w:szCs w:val="20"/>
                        </w:rPr>
                      </m:ctrlPr>
                    </m:sSubPr>
                    <m:e>
                      <m:r>
                        <w:rPr>
                          <w:rFonts w:ascii="Cambria Math" w:hAnsi="Cambria Math" w:cs="Calibri Light"/>
                          <w:color w:val="auto"/>
                          <w:sz w:val="20"/>
                          <w:szCs w:val="20"/>
                        </w:rPr>
                        <m:t>FE</m:t>
                      </m:r>
                    </m:e>
                    <m:sub>
                      <m:r>
                        <w:rPr>
                          <w:rFonts w:ascii="Cambria Math" w:hAnsi="Cambria Math" w:cs="Calibri Light"/>
                          <w:color w:val="auto"/>
                          <w:sz w:val="20"/>
                          <w:szCs w:val="20"/>
                        </w:rPr>
                        <m:t>Measure</m:t>
                      </m:r>
                    </m:sub>
                  </m:sSub>
                </m:den>
              </m:f>
            </m:e>
          </m:d>
          <m:r>
            <w:rPr>
              <w:rFonts w:ascii="Cambria Math" w:hAnsi="Cambria Math" w:cs="Calibri Light"/>
              <w:color w:val="auto"/>
              <w:sz w:val="20"/>
              <w:szCs w:val="20"/>
            </w:rPr>
            <m:t>x</m:t>
          </m:r>
          <m:f>
            <m:fPr>
              <m:ctrlPr>
                <w:rPr>
                  <w:rFonts w:ascii="Cambria Math" w:hAnsi="Cambria Math" w:cs="Calibri Light"/>
                  <w:color w:val="auto"/>
                  <w:sz w:val="20"/>
                  <w:szCs w:val="20"/>
                </w:rPr>
              </m:ctrlPr>
            </m:fPr>
            <m:num>
              <m:r>
                <w:rPr>
                  <w:rFonts w:ascii="Cambria Math" w:hAnsi="Cambria Math" w:cs="Calibri Light"/>
                  <w:color w:val="auto"/>
                  <w:sz w:val="20"/>
                  <w:szCs w:val="20"/>
                </w:rPr>
                <m:t>1 Therm</m:t>
              </m:r>
            </m:num>
            <m:den>
              <m:r>
                <w:rPr>
                  <w:rFonts w:ascii="Cambria Math" w:hAnsi="Cambria Math" w:cs="Calibri Light"/>
                  <w:color w:val="auto"/>
                  <w:sz w:val="20"/>
                  <w:szCs w:val="20"/>
                </w:rPr>
                <m:t>100,000 Btu</m:t>
              </m:r>
            </m:den>
          </m:f>
        </m:oMath>
      </m:oMathPara>
    </w:p>
    <w:p w14:paraId="66171B0B" w14:textId="77777777" w:rsidR="00954569" w:rsidRPr="00A841EC" w:rsidRDefault="00954569" w:rsidP="00954569">
      <w:pPr>
        <w:pStyle w:val="Reminders"/>
        <w:rPr>
          <w:rFonts w:ascii="Calibri Light" w:hAnsi="Calibri Light" w:cs="Calibri Light"/>
          <w:i w:val="0"/>
          <w:color w:val="auto"/>
          <w:sz w:val="22"/>
          <w:szCs w:val="22"/>
        </w:rPr>
      </w:pPr>
    </w:p>
    <w:p w14:paraId="1F756697" w14:textId="629338BC" w:rsidR="00954569" w:rsidRPr="00A841EC" w:rsidRDefault="00F837E5" w:rsidP="004545D6">
      <w:pPr>
        <w:pStyle w:val="Reminders"/>
        <w:tabs>
          <w:tab w:val="left" w:pos="2880"/>
        </w:tabs>
        <w:ind w:left="1440"/>
        <w:rPr>
          <w:rFonts w:ascii="Cambria Math" w:hAnsi="Cambria Math" w:cs="Calibri Light"/>
          <w:iCs/>
          <w:color w:val="auto"/>
          <w:sz w:val="18"/>
          <w:szCs w:val="18"/>
        </w:rPr>
      </w:pPr>
      <m:oMath>
        <m:sSub>
          <m:sSubPr>
            <m:ctrlPr>
              <w:rPr>
                <w:rFonts w:ascii="Cambria Math" w:hAnsi="Cambria Math" w:cs="Calibri Light"/>
                <w:iCs/>
                <w:sz w:val="18"/>
                <w:szCs w:val="18"/>
              </w:rPr>
            </m:ctrlPr>
          </m:sSubPr>
          <m:e>
            <m:r>
              <w:rPr>
                <w:rFonts w:ascii="Cambria Math" w:hAnsi="Cambria Math" w:cs="Calibri Light"/>
                <w:color w:val="auto"/>
                <w:sz w:val="18"/>
                <w:szCs w:val="18"/>
              </w:rPr>
              <m:t>UES</m:t>
            </m:r>
          </m:e>
          <m:sub>
            <m:r>
              <w:rPr>
                <w:rFonts w:ascii="Cambria Math" w:hAnsi="Cambria Math" w:cs="Calibri Light"/>
                <w:color w:val="auto"/>
                <w:sz w:val="18"/>
                <w:szCs w:val="18"/>
              </w:rPr>
              <m:t>FE</m:t>
            </m:r>
          </m:sub>
        </m:sSub>
      </m:oMath>
      <w:r w:rsidR="00954569" w:rsidRPr="00A841EC">
        <w:rPr>
          <w:rFonts w:ascii="Cambria Math" w:hAnsi="Cambria Math" w:cs="Calibri Light"/>
          <w:iCs/>
          <w:color w:val="auto"/>
          <w:sz w:val="18"/>
          <w:szCs w:val="18"/>
        </w:rPr>
        <w:t xml:space="preserve"> = </w:t>
      </w:r>
      <w:r w:rsidR="004545D6" w:rsidRPr="00A841EC">
        <w:rPr>
          <w:rFonts w:ascii="Cambria Math" w:hAnsi="Cambria Math" w:cs="Calibri Light"/>
          <w:iCs/>
          <w:color w:val="auto"/>
          <w:sz w:val="18"/>
          <w:szCs w:val="18"/>
        </w:rPr>
        <w:tab/>
      </w:r>
      <w:r w:rsidR="00954569" w:rsidRPr="00A841EC">
        <w:rPr>
          <w:rFonts w:ascii="Cambria Math" w:hAnsi="Cambria Math" w:cs="Calibri Light"/>
          <w:iCs/>
          <w:color w:val="auto"/>
          <w:sz w:val="18"/>
          <w:szCs w:val="18"/>
        </w:rPr>
        <w:t xml:space="preserve">Energy savings from an increase in </w:t>
      </w:r>
      <w:r w:rsidR="00B65A0C" w:rsidRPr="00A841EC">
        <w:rPr>
          <w:rFonts w:ascii="Cambria Math" w:hAnsi="Cambria Math" w:cs="Calibri Light"/>
          <w:iCs/>
          <w:color w:val="auto"/>
          <w:sz w:val="18"/>
          <w:szCs w:val="18"/>
        </w:rPr>
        <w:t xml:space="preserve">fireplace </w:t>
      </w:r>
      <w:r w:rsidR="00954569" w:rsidRPr="00A841EC">
        <w:rPr>
          <w:rFonts w:ascii="Cambria Math" w:hAnsi="Cambria Math" w:cs="Calibri Light"/>
          <w:iCs/>
          <w:color w:val="auto"/>
          <w:sz w:val="18"/>
          <w:szCs w:val="18"/>
        </w:rPr>
        <w:t>efficiency (Therms).</w:t>
      </w:r>
    </w:p>
    <w:p w14:paraId="75ED706A" w14:textId="319CD76D" w:rsidR="00954569" w:rsidRPr="00A841EC" w:rsidRDefault="00F837E5" w:rsidP="004545D6">
      <w:pPr>
        <w:pStyle w:val="Reminders"/>
        <w:tabs>
          <w:tab w:val="left" w:pos="2880"/>
        </w:tabs>
        <w:ind w:left="1440"/>
        <w:rPr>
          <w:rFonts w:ascii="Cambria Math" w:hAnsi="Cambria Math" w:cs="Calibri Light"/>
          <w:iCs/>
          <w:color w:val="auto"/>
          <w:sz w:val="18"/>
          <w:szCs w:val="18"/>
        </w:rPr>
      </w:pPr>
      <m:oMath>
        <m:sSub>
          <m:sSubPr>
            <m:ctrlPr>
              <w:rPr>
                <w:rFonts w:ascii="Cambria Math" w:hAnsi="Cambria Math" w:cs="Calibri Light"/>
                <w:iCs/>
                <w:color w:val="auto"/>
                <w:sz w:val="18"/>
                <w:szCs w:val="18"/>
              </w:rPr>
            </m:ctrlPr>
          </m:sSubPr>
          <m:e>
            <m:r>
              <w:rPr>
                <w:rFonts w:ascii="Cambria Math" w:hAnsi="Cambria Math" w:cs="Calibri Light"/>
                <w:color w:val="auto"/>
                <w:sz w:val="18"/>
                <w:szCs w:val="18"/>
              </w:rPr>
              <m:t>t</m:t>
            </m:r>
          </m:e>
          <m:sub>
            <m:r>
              <w:rPr>
                <w:rFonts w:ascii="Cambria Math" w:hAnsi="Cambria Math" w:cs="Calibri Light"/>
                <w:color w:val="auto"/>
                <w:sz w:val="18"/>
                <w:szCs w:val="18"/>
              </w:rPr>
              <m:t>Burner ON</m:t>
            </m:r>
          </m:sub>
        </m:sSub>
      </m:oMath>
      <w:r w:rsidR="00954569" w:rsidRPr="00A841EC">
        <w:rPr>
          <w:rFonts w:ascii="Cambria Math" w:hAnsi="Cambria Math" w:cs="Calibri Light"/>
          <w:iCs/>
          <w:color w:val="auto"/>
          <w:sz w:val="18"/>
          <w:szCs w:val="18"/>
        </w:rPr>
        <w:t xml:space="preserve"> = </w:t>
      </w:r>
      <w:r w:rsidR="004545D6" w:rsidRPr="00A841EC">
        <w:rPr>
          <w:rFonts w:ascii="Cambria Math" w:hAnsi="Cambria Math" w:cs="Calibri Light"/>
          <w:iCs/>
          <w:color w:val="auto"/>
          <w:sz w:val="18"/>
          <w:szCs w:val="18"/>
        </w:rPr>
        <w:tab/>
      </w:r>
      <w:r w:rsidR="00B65A0C" w:rsidRPr="00A841EC">
        <w:rPr>
          <w:rFonts w:ascii="Cambria Math" w:hAnsi="Cambria Math" w:cs="Calibri Light"/>
          <w:iCs/>
          <w:color w:val="auto"/>
          <w:sz w:val="18"/>
          <w:szCs w:val="18"/>
        </w:rPr>
        <w:t>T</w:t>
      </w:r>
      <w:r w:rsidR="00B65A0C" w:rsidRPr="00A841EC">
        <w:rPr>
          <w:rFonts w:ascii="Cambria Math" w:hAnsi="Cambria Math" w:cs="Calibri Light"/>
          <w:color w:val="auto"/>
          <w:sz w:val="18"/>
          <w:szCs w:val="16"/>
        </w:rPr>
        <w:t>otal hours per year the burner is ON</w:t>
      </w:r>
    </w:p>
    <w:p w14:paraId="30FE903D" w14:textId="60E884EE" w:rsidR="00954569" w:rsidRPr="00A841EC" w:rsidRDefault="00F837E5" w:rsidP="004545D6">
      <w:pPr>
        <w:pStyle w:val="Reminders"/>
        <w:tabs>
          <w:tab w:val="left" w:pos="2880"/>
        </w:tabs>
        <w:ind w:left="1440"/>
        <w:rPr>
          <w:rFonts w:ascii="Cambria Math" w:hAnsi="Cambria Math" w:cs="Calibri Light"/>
          <w:iCs/>
          <w:color w:val="auto"/>
          <w:sz w:val="18"/>
          <w:szCs w:val="18"/>
        </w:rPr>
      </w:pPr>
      <m:oMath>
        <m:sSub>
          <m:sSubPr>
            <m:ctrlPr>
              <w:rPr>
                <w:rFonts w:ascii="Cambria Math" w:hAnsi="Cambria Math" w:cs="Calibri Light"/>
                <w:iCs/>
                <w:sz w:val="18"/>
                <w:szCs w:val="18"/>
              </w:rPr>
            </m:ctrlPr>
          </m:sSubPr>
          <m:e>
            <m:r>
              <w:rPr>
                <w:rFonts w:ascii="Cambria Math" w:hAnsi="Cambria Math" w:cs="Calibri Light"/>
                <w:color w:val="auto"/>
                <w:sz w:val="18"/>
                <w:szCs w:val="18"/>
              </w:rPr>
              <m:t>I</m:t>
            </m:r>
          </m:e>
          <m:sub>
            <m:r>
              <w:rPr>
                <w:rFonts w:ascii="Cambria Math" w:hAnsi="Cambria Math" w:cs="Calibri Light"/>
                <w:color w:val="auto"/>
                <w:sz w:val="18"/>
                <w:szCs w:val="18"/>
              </w:rPr>
              <m:t>Burner</m:t>
            </m:r>
          </m:sub>
        </m:sSub>
      </m:oMath>
      <w:r w:rsidR="00954569" w:rsidRPr="00A841EC">
        <w:rPr>
          <w:rFonts w:ascii="Cambria Math" w:hAnsi="Cambria Math" w:cs="Calibri Light"/>
          <w:iCs/>
          <w:color w:val="auto"/>
          <w:sz w:val="18"/>
          <w:szCs w:val="18"/>
        </w:rPr>
        <w:t xml:space="preserve"> = </w:t>
      </w:r>
      <w:r w:rsidR="004545D6" w:rsidRPr="00A841EC">
        <w:rPr>
          <w:rFonts w:ascii="Cambria Math" w:hAnsi="Cambria Math" w:cs="Calibri Light"/>
          <w:iCs/>
          <w:color w:val="auto"/>
          <w:sz w:val="18"/>
          <w:szCs w:val="18"/>
        </w:rPr>
        <w:tab/>
        <w:t>I</w:t>
      </w:r>
      <w:r w:rsidR="00954569" w:rsidRPr="00A841EC">
        <w:rPr>
          <w:rFonts w:ascii="Cambria Math" w:hAnsi="Cambria Math" w:cs="Calibri Light"/>
          <w:iCs/>
          <w:color w:val="auto"/>
          <w:sz w:val="18"/>
          <w:szCs w:val="18"/>
        </w:rPr>
        <w:t xml:space="preserve">nput rate of a fireplace </w:t>
      </w:r>
    </w:p>
    <w:p w14:paraId="30F04635" w14:textId="2E0D89BE" w:rsidR="00954569" w:rsidRPr="00A841EC" w:rsidRDefault="00F837E5" w:rsidP="004545D6">
      <w:pPr>
        <w:pStyle w:val="Reminders"/>
        <w:tabs>
          <w:tab w:val="left" w:pos="2880"/>
        </w:tabs>
        <w:ind w:left="1440"/>
        <w:rPr>
          <w:rFonts w:ascii="Cambria Math" w:hAnsi="Cambria Math" w:cs="Calibri Light"/>
          <w:iCs/>
          <w:color w:val="auto"/>
          <w:sz w:val="18"/>
          <w:szCs w:val="18"/>
        </w:rPr>
      </w:pPr>
      <m:oMath>
        <m:sSub>
          <m:sSubPr>
            <m:ctrlPr>
              <w:rPr>
                <w:rFonts w:ascii="Cambria Math" w:hAnsi="Cambria Math" w:cs="Calibri Light"/>
                <w:iCs/>
                <w:sz w:val="18"/>
                <w:szCs w:val="18"/>
              </w:rPr>
            </m:ctrlPr>
          </m:sSubPr>
          <m:e>
            <m:r>
              <w:rPr>
                <w:rFonts w:ascii="Cambria Math" w:hAnsi="Cambria Math" w:cs="Calibri Light"/>
                <w:color w:val="auto"/>
                <w:sz w:val="18"/>
                <w:szCs w:val="18"/>
              </w:rPr>
              <m:t>FE</m:t>
            </m:r>
          </m:e>
          <m:sub>
            <m:r>
              <w:rPr>
                <w:rFonts w:ascii="Cambria Math" w:hAnsi="Cambria Math" w:cs="Calibri Light"/>
                <w:color w:val="auto"/>
                <w:sz w:val="18"/>
                <w:szCs w:val="18"/>
              </w:rPr>
              <m:t>Baseline</m:t>
            </m:r>
          </m:sub>
        </m:sSub>
      </m:oMath>
      <w:r w:rsidR="00954569" w:rsidRPr="00A841EC">
        <w:rPr>
          <w:rFonts w:ascii="Cambria Math" w:hAnsi="Cambria Math" w:cs="Calibri Light"/>
          <w:iCs/>
          <w:color w:val="auto"/>
          <w:sz w:val="18"/>
          <w:szCs w:val="18"/>
        </w:rPr>
        <w:t xml:space="preserve"> = </w:t>
      </w:r>
      <w:r w:rsidR="004545D6" w:rsidRPr="00A841EC">
        <w:rPr>
          <w:rFonts w:ascii="Cambria Math" w:hAnsi="Cambria Math" w:cs="Calibri Light"/>
          <w:iCs/>
          <w:color w:val="auto"/>
          <w:sz w:val="18"/>
          <w:szCs w:val="18"/>
        </w:rPr>
        <w:tab/>
      </w:r>
      <w:r w:rsidR="00954569" w:rsidRPr="00A841EC">
        <w:rPr>
          <w:rFonts w:ascii="Cambria Math" w:hAnsi="Cambria Math" w:cs="Calibri Light"/>
          <w:iCs/>
          <w:color w:val="auto"/>
          <w:sz w:val="18"/>
          <w:szCs w:val="18"/>
        </w:rPr>
        <w:t>Fireplace efficiency of fireplace at the baseline (%)</w:t>
      </w:r>
    </w:p>
    <w:p w14:paraId="0CC23520" w14:textId="16F53CA6" w:rsidR="00954569" w:rsidRPr="00A841EC" w:rsidRDefault="00F837E5" w:rsidP="004545D6">
      <w:pPr>
        <w:pStyle w:val="Reminders"/>
        <w:tabs>
          <w:tab w:val="left" w:pos="2880"/>
        </w:tabs>
        <w:ind w:left="1440"/>
        <w:rPr>
          <w:rFonts w:ascii="Cambria Math" w:hAnsi="Cambria Math" w:cs="Calibri Light"/>
          <w:iCs/>
          <w:color w:val="auto"/>
          <w:sz w:val="18"/>
          <w:szCs w:val="18"/>
        </w:rPr>
      </w:pPr>
      <m:oMath>
        <m:sSub>
          <m:sSubPr>
            <m:ctrlPr>
              <w:rPr>
                <w:rFonts w:ascii="Cambria Math" w:hAnsi="Cambria Math" w:cs="Calibri Light"/>
                <w:iCs/>
                <w:sz w:val="18"/>
                <w:szCs w:val="18"/>
              </w:rPr>
            </m:ctrlPr>
          </m:sSubPr>
          <m:e>
            <m:r>
              <w:rPr>
                <w:rFonts w:ascii="Cambria Math" w:hAnsi="Cambria Math" w:cs="Calibri Light"/>
                <w:color w:val="auto"/>
                <w:sz w:val="18"/>
                <w:szCs w:val="18"/>
              </w:rPr>
              <m:t>FE</m:t>
            </m:r>
          </m:e>
          <m:sub>
            <m:r>
              <w:rPr>
                <w:rFonts w:ascii="Cambria Math" w:hAnsi="Cambria Math" w:cs="Calibri Light"/>
                <w:color w:val="auto"/>
                <w:sz w:val="18"/>
                <w:szCs w:val="18"/>
              </w:rPr>
              <m:t>Measure</m:t>
            </m:r>
          </m:sub>
        </m:sSub>
      </m:oMath>
      <w:r w:rsidR="00954569" w:rsidRPr="00A841EC">
        <w:rPr>
          <w:rFonts w:ascii="Cambria Math" w:hAnsi="Cambria Math" w:cs="Calibri Light"/>
          <w:iCs/>
          <w:color w:val="auto"/>
          <w:sz w:val="18"/>
          <w:szCs w:val="18"/>
        </w:rPr>
        <w:t xml:space="preserve"> = </w:t>
      </w:r>
      <w:r w:rsidR="004545D6" w:rsidRPr="00A841EC">
        <w:rPr>
          <w:rFonts w:ascii="Cambria Math" w:hAnsi="Cambria Math" w:cs="Calibri Light"/>
          <w:iCs/>
          <w:color w:val="auto"/>
          <w:sz w:val="18"/>
          <w:szCs w:val="18"/>
        </w:rPr>
        <w:tab/>
      </w:r>
      <w:r w:rsidR="00954569" w:rsidRPr="00A841EC">
        <w:rPr>
          <w:rFonts w:ascii="Cambria Math" w:hAnsi="Cambria Math" w:cs="Calibri Light"/>
          <w:iCs/>
          <w:color w:val="auto"/>
          <w:sz w:val="18"/>
          <w:szCs w:val="18"/>
        </w:rPr>
        <w:t>Fireplace efficiency of fireplace of the measure (%)</w:t>
      </w:r>
    </w:p>
    <w:p w14:paraId="117CC63F" w14:textId="7FAE2704" w:rsidR="00954569" w:rsidRPr="00A841EC" w:rsidRDefault="00954569" w:rsidP="00954569">
      <w:pPr>
        <w:pStyle w:val="Reminders"/>
        <w:rPr>
          <w:rFonts w:ascii="Calibri Light" w:hAnsi="Calibri Light" w:cs="Calibri Light"/>
          <w:i w:val="0"/>
          <w:color w:val="auto"/>
          <w:sz w:val="22"/>
          <w:szCs w:val="22"/>
        </w:rPr>
      </w:pPr>
    </w:p>
    <w:p w14:paraId="6509E81D" w14:textId="44E702CD" w:rsidR="004545D6" w:rsidRPr="00A841EC" w:rsidRDefault="00D10403" w:rsidP="004545D6">
      <w:pPr>
        <w:pStyle w:val="eTRMHeading4"/>
        <w:rPr>
          <w:rFonts w:cs="Calibri Light"/>
          <w:sz w:val="22"/>
        </w:rPr>
      </w:pPr>
      <w:r w:rsidRPr="00A841EC">
        <w:rPr>
          <w:rFonts w:cs="Calibri Light"/>
          <w:sz w:val="22"/>
        </w:rPr>
        <w:t xml:space="preserve">Operation </w:t>
      </w:r>
      <w:r w:rsidR="004545D6" w:rsidRPr="00A841EC">
        <w:rPr>
          <w:rFonts w:cs="Calibri Light"/>
          <w:sz w:val="22"/>
        </w:rPr>
        <w:t>Assumptions</w:t>
      </w:r>
    </w:p>
    <w:p w14:paraId="6BD6FDFC" w14:textId="77777777" w:rsidR="004545D6" w:rsidRPr="00A841EC" w:rsidRDefault="004545D6" w:rsidP="004545D6">
      <w:r w:rsidRPr="00A841EC">
        <w:t>The fireplaces included in this measure are assumed to be thermostatically operated. The baseline technology options for fireplaces in the U.S. Department of Energy (DOE) April 2010 Rulemaking include a burner control thermostat. The DOE baseline technology options are carried through to more efficient fireplaces and were assumed to be present in all fireplaces examined for the April 2010 Rulemaking.</w:t>
      </w:r>
      <w:r w:rsidRPr="00A841EC">
        <w:rPr>
          <w:rStyle w:val="FootnoteReference"/>
          <w:rFonts w:cs="Calibri Light"/>
          <w:i/>
          <w:szCs w:val="22"/>
        </w:rPr>
        <w:footnoteReference w:id="11"/>
      </w:r>
      <w:r w:rsidRPr="00A841EC">
        <w:t xml:space="preserve"> Thermostatically operated fireplaces will only use as much heating is necessary to maintain a specified temperature setpoint.</w:t>
      </w:r>
    </w:p>
    <w:p w14:paraId="2B44E8F7" w14:textId="37DF445F" w:rsidR="004545D6" w:rsidRPr="00A841EC" w:rsidRDefault="004545D6" w:rsidP="004545D6">
      <w:r w:rsidRPr="00A841EC">
        <w:t xml:space="preserve">If a fireplace is operated manually, without the thermostat, under or overheating from the setpoint temperature can occur. This typically occurs when the fireplace is being used for purely aesthetic reasons. During manual operation of the fireplace, the time the burner is ON is independent of the room temperature. Because the burner input rate and ON time for baseline and efficient fireplaces are the same, the energy use is same. For a manually-operated fireplace to save energy, it must have shorter runtime than its less efficient counterpart, such as, if it is shut </w:t>
      </w:r>
      <w:r w:rsidR="00D10403" w:rsidRPr="00A841EC">
        <w:t>OFF</w:t>
      </w:r>
      <w:r w:rsidRPr="00A841EC">
        <w:t xml:space="preserve"> sooner because it heats the room faster. The manually operated state is not in the scope of this measure. </w:t>
      </w:r>
    </w:p>
    <w:p w14:paraId="4C195A44" w14:textId="4D50E629" w:rsidR="004545D6" w:rsidRPr="00A841EC" w:rsidRDefault="004545D6" w:rsidP="002800A3">
      <w:r w:rsidRPr="00A841EC">
        <w:t xml:space="preserve">This measure analysis </w:t>
      </w:r>
      <w:r w:rsidR="00D10403" w:rsidRPr="00A841EC">
        <w:t xml:space="preserve">also </w:t>
      </w:r>
      <w:r w:rsidRPr="00A841EC">
        <w:t>assumes that the fireplace is the only non-centralized heat source within the room.</w:t>
      </w:r>
      <w:r w:rsidR="00D10403" w:rsidRPr="00A841EC">
        <w:t xml:space="preserve"> The assumptions for this measure analysis are parallel to those of the intermittent pilot light for a gravity wall furnace (SWHC002); in general a fireplace provides a similar utility to that of gravity wall furnaces, that is, they both typically heat individual rooms as opposed to a centralized heating system for an entire residence.</w:t>
      </w:r>
    </w:p>
    <w:p w14:paraId="5549B247" w14:textId="77777777" w:rsidR="00D10403" w:rsidRPr="00A841EC" w:rsidRDefault="00D10403" w:rsidP="00954569">
      <w:pPr>
        <w:pStyle w:val="Reminders"/>
        <w:rPr>
          <w:rFonts w:ascii="Calibri Light" w:hAnsi="Calibri Light" w:cs="Calibri Light"/>
          <w:i w:val="0"/>
          <w:color w:val="auto"/>
          <w:sz w:val="22"/>
          <w:szCs w:val="22"/>
        </w:rPr>
      </w:pPr>
    </w:p>
    <w:p w14:paraId="43F9919E" w14:textId="6D634E2F" w:rsidR="004545D6" w:rsidRPr="00A841EC" w:rsidRDefault="00D10403" w:rsidP="004545D6">
      <w:pPr>
        <w:pStyle w:val="eTRMHeading4"/>
        <w:rPr>
          <w:rFonts w:cs="Calibri Light"/>
          <w:sz w:val="22"/>
        </w:rPr>
      </w:pPr>
      <w:r w:rsidRPr="00A841EC">
        <w:rPr>
          <w:rFonts w:cs="Calibri Light"/>
          <w:sz w:val="22"/>
        </w:rPr>
        <w:t>Calculation</w:t>
      </w:r>
      <w:r w:rsidR="004545D6" w:rsidRPr="00A841EC">
        <w:rPr>
          <w:rFonts w:cs="Calibri Light"/>
          <w:sz w:val="22"/>
        </w:rPr>
        <w:t xml:space="preserve"> Inputs</w:t>
      </w:r>
    </w:p>
    <w:p w14:paraId="6EBCB752" w14:textId="58A531AF" w:rsidR="004545D6" w:rsidRPr="00A841EC" w:rsidRDefault="00036AAD" w:rsidP="00036AAD">
      <w:pPr>
        <w:rPr>
          <w:rFonts w:cs="Calibri Light"/>
          <w:i/>
          <w:szCs w:val="22"/>
        </w:rPr>
      </w:pPr>
      <w:r w:rsidRPr="00A841EC">
        <w:rPr>
          <w:rFonts w:cs="Calibri Light"/>
          <w:iCs/>
          <w:szCs w:val="22"/>
        </w:rPr>
        <w:t xml:space="preserve">The inputs for the calculation of savings from </w:t>
      </w:r>
      <w:r w:rsidRPr="00A841EC">
        <w:rPr>
          <w:iCs/>
        </w:rPr>
        <w:t xml:space="preserve">the removal of a </w:t>
      </w:r>
      <w:r w:rsidR="00994A1A" w:rsidRPr="00A841EC">
        <w:rPr>
          <w:iCs/>
        </w:rPr>
        <w:t xml:space="preserve">continuously operating pilot light </w:t>
      </w:r>
      <w:r w:rsidRPr="00A841EC">
        <w:rPr>
          <w:iCs/>
        </w:rPr>
        <w:t>and the gas energy</w:t>
      </w:r>
      <w:r w:rsidRPr="00A841EC">
        <w:t xml:space="preserve"> savings due to the increase in fireplace efficiency (FE) are provided and explained below. Note that many assumptions are adopted from the intermittent pilot light measure (SWHC002)</w:t>
      </w:r>
      <w:r w:rsidR="00437206" w:rsidRPr="00A841EC">
        <w:t xml:space="preserve"> and </w:t>
      </w:r>
      <w:r w:rsidR="00F666B0" w:rsidRPr="00A841EC">
        <w:t>wall furnace measure (SWHC001)</w:t>
      </w:r>
      <w:r w:rsidRPr="00A841EC">
        <w:t xml:space="preserve">, insofar as many inputs apply to gas fireplace inserts. </w:t>
      </w:r>
    </w:p>
    <w:p w14:paraId="729B2932" w14:textId="042C2942" w:rsidR="007147C9" w:rsidRPr="00A841EC" w:rsidRDefault="007147C9" w:rsidP="00954569">
      <w:pPr>
        <w:pStyle w:val="Reminders"/>
        <w:rPr>
          <w:rFonts w:ascii="Calibri Light" w:hAnsi="Calibri Light" w:cs="Calibri Light"/>
          <w:i w:val="0"/>
          <w:color w:val="auto"/>
          <w:sz w:val="22"/>
          <w:szCs w:val="22"/>
        </w:rPr>
      </w:pPr>
    </w:p>
    <w:tbl>
      <w:tblPr>
        <w:tblW w:w="9644"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312"/>
        <w:gridCol w:w="1263"/>
        <w:gridCol w:w="4069"/>
      </w:tblGrid>
      <w:tr w:rsidR="007147C9" w:rsidRPr="00A841EC" w14:paraId="078E2EF6" w14:textId="77777777" w:rsidTr="00C5689E">
        <w:trPr>
          <w:trHeight w:val="260"/>
          <w:tblHeader/>
        </w:trPr>
        <w:tc>
          <w:tcPr>
            <w:tcW w:w="4312" w:type="dxa"/>
            <w:shd w:val="clear" w:color="auto" w:fill="F2F2F2" w:themeFill="background1" w:themeFillShade="F2"/>
            <w:noWrap/>
            <w:vAlign w:val="bottom"/>
          </w:tcPr>
          <w:p w14:paraId="2BF6EC6E" w14:textId="77777777" w:rsidR="007147C9" w:rsidRPr="00A841EC" w:rsidRDefault="007147C9" w:rsidP="00036AAD">
            <w:pPr>
              <w:spacing w:before="0" w:after="0" w:line="240" w:lineRule="auto"/>
              <w:rPr>
                <w:rFonts w:eastAsia="Times New Roman" w:cs="Calibri Light"/>
                <w:b/>
                <w:color w:val="000000"/>
                <w:sz w:val="20"/>
                <w:szCs w:val="20"/>
              </w:rPr>
            </w:pPr>
            <w:r w:rsidRPr="00A841EC">
              <w:rPr>
                <w:rFonts w:eastAsia="Times New Roman" w:cs="Calibri Light"/>
                <w:b/>
                <w:color w:val="000000"/>
                <w:sz w:val="20"/>
                <w:szCs w:val="20"/>
              </w:rPr>
              <w:t>Input</w:t>
            </w:r>
          </w:p>
        </w:tc>
        <w:tc>
          <w:tcPr>
            <w:tcW w:w="1263" w:type="dxa"/>
            <w:shd w:val="clear" w:color="auto" w:fill="F2F2F2" w:themeFill="background1" w:themeFillShade="F2"/>
            <w:noWrap/>
            <w:vAlign w:val="bottom"/>
          </w:tcPr>
          <w:p w14:paraId="3AD91266" w14:textId="77777777" w:rsidR="007147C9" w:rsidRPr="00A841EC" w:rsidRDefault="007147C9" w:rsidP="00036AAD">
            <w:pPr>
              <w:spacing w:before="0" w:after="0" w:line="240" w:lineRule="auto"/>
              <w:jc w:val="center"/>
              <w:rPr>
                <w:rFonts w:eastAsia="Times New Roman" w:cs="Calibri Light"/>
                <w:b/>
                <w:color w:val="000000"/>
                <w:sz w:val="20"/>
                <w:szCs w:val="20"/>
              </w:rPr>
            </w:pPr>
            <w:r w:rsidRPr="00A841EC">
              <w:rPr>
                <w:rFonts w:eastAsia="Times New Roman" w:cs="Calibri Light"/>
                <w:b/>
                <w:color w:val="000000"/>
                <w:sz w:val="20"/>
                <w:szCs w:val="20"/>
              </w:rPr>
              <w:t>Value</w:t>
            </w:r>
          </w:p>
        </w:tc>
        <w:tc>
          <w:tcPr>
            <w:tcW w:w="4069" w:type="dxa"/>
            <w:shd w:val="clear" w:color="auto" w:fill="F2F2F2" w:themeFill="background1" w:themeFillShade="F2"/>
          </w:tcPr>
          <w:p w14:paraId="34A3B61C" w14:textId="77777777" w:rsidR="007147C9" w:rsidRPr="00A841EC" w:rsidRDefault="007147C9" w:rsidP="00036AAD">
            <w:pPr>
              <w:spacing w:before="0" w:after="0" w:line="240" w:lineRule="auto"/>
              <w:jc w:val="center"/>
              <w:rPr>
                <w:rFonts w:eastAsia="Times New Roman" w:cs="Calibri Light"/>
                <w:b/>
                <w:color w:val="000000"/>
                <w:sz w:val="20"/>
                <w:szCs w:val="20"/>
              </w:rPr>
            </w:pPr>
            <w:r w:rsidRPr="00A841EC">
              <w:rPr>
                <w:rFonts w:eastAsia="Times New Roman" w:cs="Calibri Light"/>
                <w:b/>
                <w:color w:val="000000"/>
                <w:sz w:val="20"/>
                <w:szCs w:val="20"/>
              </w:rPr>
              <w:t>Source</w:t>
            </w:r>
          </w:p>
        </w:tc>
      </w:tr>
      <w:tr w:rsidR="007147C9" w:rsidRPr="00A841EC" w14:paraId="09A075C5" w14:textId="77777777" w:rsidTr="00C5689E">
        <w:trPr>
          <w:trHeight w:val="260"/>
        </w:trPr>
        <w:tc>
          <w:tcPr>
            <w:tcW w:w="4312" w:type="dxa"/>
            <w:shd w:val="clear" w:color="000000" w:fill="FFFFFF"/>
            <w:noWrap/>
            <w:vAlign w:val="center"/>
          </w:tcPr>
          <w:p w14:paraId="26B1B772" w14:textId="3BC233F6" w:rsidR="007147C9" w:rsidRPr="00A841EC" w:rsidRDefault="007147C9" w:rsidP="00036AAD">
            <w:pPr>
              <w:spacing w:before="0" w:after="0" w:line="240" w:lineRule="auto"/>
              <w:rPr>
                <w:rFonts w:eastAsia="Times New Roman" w:cs="Calibri Light"/>
                <w:color w:val="000000"/>
                <w:sz w:val="20"/>
                <w:szCs w:val="20"/>
              </w:rPr>
            </w:pPr>
            <w:r w:rsidRPr="00A841EC">
              <w:rPr>
                <w:rFonts w:eastAsia="Times New Roman" w:cs="Calibri Light"/>
                <w:color w:val="000000"/>
                <w:sz w:val="20"/>
                <w:szCs w:val="20"/>
              </w:rPr>
              <w:t xml:space="preserve">Pilot light </w:t>
            </w:r>
            <w:r w:rsidR="00742BD5" w:rsidRPr="00A841EC">
              <w:rPr>
                <w:rFonts w:eastAsia="Times New Roman" w:cs="Calibri Light"/>
                <w:color w:val="000000"/>
                <w:sz w:val="20"/>
                <w:szCs w:val="20"/>
              </w:rPr>
              <w:t>heat loss</w:t>
            </w:r>
            <w:r w:rsidRPr="00A841EC">
              <w:rPr>
                <w:rFonts w:eastAsia="Times New Roman" w:cs="Calibri Light"/>
                <w:color w:val="000000"/>
                <w:sz w:val="20"/>
                <w:szCs w:val="20"/>
              </w:rPr>
              <w:t xml:space="preserve"> (%)</w:t>
            </w:r>
          </w:p>
        </w:tc>
        <w:tc>
          <w:tcPr>
            <w:tcW w:w="1263" w:type="dxa"/>
            <w:shd w:val="clear" w:color="auto" w:fill="auto"/>
            <w:noWrap/>
            <w:vAlign w:val="center"/>
          </w:tcPr>
          <w:p w14:paraId="0AD76430" w14:textId="53D3709F" w:rsidR="007147C9" w:rsidRPr="00A841EC" w:rsidRDefault="004F1F51" w:rsidP="00C5689E">
            <w:pPr>
              <w:spacing w:before="0" w:after="0" w:line="240" w:lineRule="auto"/>
              <w:jc w:val="right"/>
              <w:rPr>
                <w:rFonts w:eastAsia="Times New Roman" w:cs="Calibri Light"/>
                <w:iCs/>
                <w:color w:val="000000"/>
                <w:sz w:val="20"/>
                <w:szCs w:val="22"/>
              </w:rPr>
            </w:pPr>
            <w:r w:rsidRPr="00A841EC">
              <w:rPr>
                <w:rFonts w:eastAsia="Times New Roman" w:cs="Calibri Light"/>
                <w:iCs/>
                <w:color w:val="000000"/>
                <w:sz w:val="20"/>
                <w:szCs w:val="22"/>
              </w:rPr>
              <w:t>67</w:t>
            </w:r>
            <w:r w:rsidR="007147C9" w:rsidRPr="00A841EC">
              <w:rPr>
                <w:rFonts w:eastAsia="Times New Roman" w:cs="Calibri Light"/>
                <w:iCs/>
                <w:color w:val="000000"/>
                <w:sz w:val="20"/>
                <w:szCs w:val="22"/>
              </w:rPr>
              <w:t>%</w:t>
            </w:r>
          </w:p>
        </w:tc>
        <w:tc>
          <w:tcPr>
            <w:tcW w:w="4069" w:type="dxa"/>
            <w:shd w:val="clear" w:color="auto" w:fill="auto"/>
          </w:tcPr>
          <w:p w14:paraId="042B3BC4" w14:textId="3713BD7E" w:rsidR="007147C9" w:rsidRPr="00A841EC" w:rsidRDefault="007147C9" w:rsidP="00036AAD">
            <w:pPr>
              <w:spacing w:before="0" w:after="0" w:line="240" w:lineRule="auto"/>
              <w:rPr>
                <w:sz w:val="18"/>
                <w:szCs w:val="20"/>
              </w:rPr>
            </w:pPr>
            <w:r w:rsidRPr="00A841EC">
              <w:rPr>
                <w:sz w:val="18"/>
                <w:szCs w:val="20"/>
              </w:rPr>
              <w:t>California Public Utilities Commission (CPUC), Energy Division. 2017. "DEER-WaterHeater-Calculator-v2.1.xlsm." Updated July 10, 2017.</w:t>
            </w:r>
          </w:p>
        </w:tc>
      </w:tr>
      <w:tr w:rsidR="00683957" w:rsidRPr="00A841EC" w14:paraId="4B45D02D" w14:textId="77777777" w:rsidTr="00C5689E">
        <w:trPr>
          <w:trHeight w:val="260"/>
        </w:trPr>
        <w:tc>
          <w:tcPr>
            <w:tcW w:w="4312" w:type="dxa"/>
            <w:shd w:val="clear" w:color="000000" w:fill="FFFFFF"/>
            <w:noWrap/>
            <w:vAlign w:val="center"/>
          </w:tcPr>
          <w:p w14:paraId="13A13E10" w14:textId="2F2F5F1B" w:rsidR="00683957" w:rsidRPr="00A841EC" w:rsidRDefault="00683957" w:rsidP="00036AAD">
            <w:pPr>
              <w:spacing w:before="0" w:after="0" w:line="240" w:lineRule="auto"/>
              <w:rPr>
                <w:rFonts w:eastAsia="Times New Roman" w:cs="Calibri Light"/>
                <w:color w:val="000000"/>
                <w:sz w:val="20"/>
                <w:szCs w:val="20"/>
              </w:rPr>
            </w:pPr>
            <w:r w:rsidRPr="00A841EC">
              <w:rPr>
                <w:rFonts w:eastAsia="Times New Roman" w:cs="Calibri Light"/>
                <w:color w:val="000000"/>
                <w:sz w:val="20"/>
                <w:szCs w:val="20"/>
              </w:rPr>
              <w:t>Pilot light input rate (Btu/hr)</w:t>
            </w:r>
          </w:p>
        </w:tc>
        <w:tc>
          <w:tcPr>
            <w:tcW w:w="1263" w:type="dxa"/>
            <w:shd w:val="clear" w:color="auto" w:fill="auto"/>
            <w:noWrap/>
            <w:vAlign w:val="center"/>
          </w:tcPr>
          <w:p w14:paraId="2BD6BA90" w14:textId="78992C15" w:rsidR="00683957" w:rsidRPr="00A841EC" w:rsidRDefault="00683957" w:rsidP="007147C9">
            <w:pPr>
              <w:spacing w:before="0" w:after="0" w:line="240" w:lineRule="auto"/>
              <w:jc w:val="right"/>
              <w:rPr>
                <w:rFonts w:eastAsia="Times New Roman" w:cs="Calibri Light"/>
                <w:iCs/>
                <w:color w:val="000000"/>
                <w:sz w:val="20"/>
                <w:szCs w:val="22"/>
              </w:rPr>
            </w:pPr>
            <w:r w:rsidRPr="00A841EC">
              <w:rPr>
                <w:rFonts w:eastAsia="Times New Roman" w:cs="Calibri Light"/>
                <w:iCs/>
                <w:color w:val="000000"/>
                <w:sz w:val="20"/>
                <w:szCs w:val="22"/>
              </w:rPr>
              <w:t>501.4</w:t>
            </w:r>
          </w:p>
        </w:tc>
        <w:tc>
          <w:tcPr>
            <w:tcW w:w="4069" w:type="dxa"/>
            <w:shd w:val="clear" w:color="auto" w:fill="auto"/>
          </w:tcPr>
          <w:p w14:paraId="67BFFC7A" w14:textId="12F78FF7" w:rsidR="00683957" w:rsidRPr="00A841EC" w:rsidRDefault="00683957" w:rsidP="00036AAD">
            <w:pPr>
              <w:spacing w:before="0" w:after="0" w:line="240" w:lineRule="auto"/>
              <w:rPr>
                <w:sz w:val="18"/>
                <w:szCs w:val="20"/>
              </w:rPr>
            </w:pPr>
            <w:r w:rsidRPr="00A841EC">
              <w:rPr>
                <w:sz w:val="18"/>
                <w:szCs w:val="20"/>
              </w:rPr>
              <w:t>Attachment C</w:t>
            </w:r>
            <w:r w:rsidR="007C29E9" w:rsidRPr="00A841EC">
              <w:rPr>
                <w:sz w:val="18"/>
                <w:szCs w:val="20"/>
              </w:rPr>
              <w:t xml:space="preserve"> </w:t>
            </w:r>
          </w:p>
        </w:tc>
      </w:tr>
      <w:tr w:rsidR="00683957" w:rsidRPr="00A841EC" w14:paraId="55AF62E9" w14:textId="77777777" w:rsidTr="00C5689E">
        <w:trPr>
          <w:trHeight w:val="260"/>
        </w:trPr>
        <w:tc>
          <w:tcPr>
            <w:tcW w:w="4312" w:type="dxa"/>
            <w:shd w:val="clear" w:color="000000" w:fill="FFFFFF"/>
            <w:noWrap/>
            <w:vAlign w:val="center"/>
          </w:tcPr>
          <w:p w14:paraId="63D17C53" w14:textId="60250D98" w:rsidR="00683957" w:rsidRPr="00A841EC" w:rsidRDefault="00683957" w:rsidP="00036AAD">
            <w:pPr>
              <w:spacing w:before="0" w:after="0" w:line="240" w:lineRule="auto"/>
              <w:rPr>
                <w:rFonts w:eastAsia="Times New Roman" w:cs="Calibri Light"/>
                <w:color w:val="000000"/>
                <w:sz w:val="20"/>
                <w:szCs w:val="20"/>
              </w:rPr>
            </w:pPr>
            <w:r w:rsidRPr="00A841EC">
              <w:rPr>
                <w:rFonts w:eastAsia="Times New Roman" w:cs="Calibri Light"/>
                <w:color w:val="000000"/>
                <w:sz w:val="20"/>
                <w:szCs w:val="20"/>
              </w:rPr>
              <w:lastRenderedPageBreak/>
              <w:t>Fireplace burner input rate (Btu/hr)</w:t>
            </w:r>
          </w:p>
        </w:tc>
        <w:tc>
          <w:tcPr>
            <w:tcW w:w="1263" w:type="dxa"/>
            <w:shd w:val="clear" w:color="auto" w:fill="auto"/>
            <w:noWrap/>
            <w:vAlign w:val="center"/>
          </w:tcPr>
          <w:p w14:paraId="769B75D5" w14:textId="38E1BBEB" w:rsidR="00683957" w:rsidRPr="00A841EC" w:rsidRDefault="00683957" w:rsidP="007147C9">
            <w:pPr>
              <w:spacing w:before="0" w:after="0" w:line="240" w:lineRule="auto"/>
              <w:jc w:val="right"/>
              <w:rPr>
                <w:rFonts w:eastAsia="Times New Roman" w:cs="Calibri Light"/>
                <w:iCs/>
                <w:color w:val="000000"/>
                <w:sz w:val="20"/>
                <w:szCs w:val="22"/>
              </w:rPr>
            </w:pPr>
            <w:r w:rsidRPr="00A841EC">
              <w:rPr>
                <w:rFonts w:eastAsia="Times New Roman" w:cs="Calibri Light"/>
                <w:iCs/>
                <w:color w:val="000000"/>
                <w:sz w:val="20"/>
                <w:szCs w:val="22"/>
              </w:rPr>
              <w:t>40,980</w:t>
            </w:r>
          </w:p>
        </w:tc>
        <w:tc>
          <w:tcPr>
            <w:tcW w:w="4069" w:type="dxa"/>
            <w:shd w:val="clear" w:color="auto" w:fill="auto"/>
          </w:tcPr>
          <w:p w14:paraId="45046BFB" w14:textId="2C9B2194" w:rsidR="00683957" w:rsidRPr="00A841EC" w:rsidRDefault="00407003" w:rsidP="00036AAD">
            <w:pPr>
              <w:spacing w:before="0" w:after="0" w:line="240" w:lineRule="auto"/>
              <w:rPr>
                <w:sz w:val="18"/>
                <w:szCs w:val="18"/>
              </w:rPr>
            </w:pPr>
            <w:r w:rsidRPr="00A841EC">
              <w:rPr>
                <w:sz w:val="18"/>
                <w:szCs w:val="18"/>
              </w:rPr>
              <w:t>WPSCGREHC181220A_Rev00_Att. A-Fireplace Analysis.xlsx</w:t>
            </w:r>
          </w:p>
        </w:tc>
      </w:tr>
      <w:tr w:rsidR="007147C9" w:rsidRPr="00A841EC" w14:paraId="2C80B780" w14:textId="77777777" w:rsidTr="00C5689E">
        <w:trPr>
          <w:trHeight w:val="260"/>
        </w:trPr>
        <w:tc>
          <w:tcPr>
            <w:tcW w:w="4312" w:type="dxa"/>
            <w:shd w:val="clear" w:color="000000" w:fill="FFFFFF"/>
            <w:noWrap/>
            <w:vAlign w:val="center"/>
          </w:tcPr>
          <w:p w14:paraId="74AC3E39" w14:textId="77777777" w:rsidR="007147C9" w:rsidRPr="00A841EC" w:rsidRDefault="007147C9" w:rsidP="00036AAD">
            <w:pPr>
              <w:spacing w:before="0" w:after="0" w:line="240" w:lineRule="auto"/>
              <w:rPr>
                <w:rFonts w:eastAsia="Times New Roman" w:cs="Calibri Light"/>
                <w:color w:val="000000"/>
                <w:sz w:val="20"/>
                <w:szCs w:val="20"/>
              </w:rPr>
            </w:pPr>
            <w:r w:rsidRPr="00A841EC">
              <w:rPr>
                <w:rFonts w:eastAsia="Times New Roman" w:cs="Calibri Light"/>
                <w:color w:val="000000"/>
                <w:sz w:val="20"/>
                <w:szCs w:val="20"/>
              </w:rPr>
              <w:t>Heating degree days, HDD (base of 65 °F)</w:t>
            </w:r>
          </w:p>
        </w:tc>
        <w:tc>
          <w:tcPr>
            <w:tcW w:w="1263" w:type="dxa"/>
            <w:shd w:val="clear" w:color="auto" w:fill="auto"/>
            <w:noWrap/>
            <w:vAlign w:val="center"/>
          </w:tcPr>
          <w:p w14:paraId="0EDC0D04" w14:textId="77777777" w:rsidR="007147C9" w:rsidRPr="00A841EC" w:rsidRDefault="007147C9" w:rsidP="00C5689E">
            <w:pPr>
              <w:spacing w:before="0" w:after="0" w:line="240" w:lineRule="auto"/>
              <w:jc w:val="right"/>
              <w:rPr>
                <w:rFonts w:eastAsia="Times New Roman" w:cs="Calibri Light"/>
                <w:i/>
                <w:color w:val="000000"/>
                <w:sz w:val="18"/>
                <w:szCs w:val="20"/>
              </w:rPr>
            </w:pPr>
            <w:r w:rsidRPr="00A841EC">
              <w:rPr>
                <w:rFonts w:eastAsia="Times New Roman" w:cs="Calibri Light"/>
                <w:i/>
                <w:color w:val="000000"/>
                <w:sz w:val="18"/>
                <w:szCs w:val="20"/>
              </w:rPr>
              <w:t>Varies by climate zone</w:t>
            </w:r>
          </w:p>
        </w:tc>
        <w:tc>
          <w:tcPr>
            <w:tcW w:w="4069" w:type="dxa"/>
            <w:shd w:val="clear" w:color="auto" w:fill="auto"/>
          </w:tcPr>
          <w:p w14:paraId="2AEC131E" w14:textId="77777777" w:rsidR="007147C9" w:rsidRPr="00A841EC" w:rsidRDefault="007147C9" w:rsidP="00036AAD">
            <w:pPr>
              <w:spacing w:before="0" w:after="0" w:line="240" w:lineRule="auto"/>
              <w:rPr>
                <w:rFonts w:cs="Calibri Light"/>
                <w:sz w:val="18"/>
                <w:szCs w:val="18"/>
              </w:rPr>
            </w:pPr>
            <w:r w:rsidRPr="00A841EC">
              <w:rPr>
                <w:sz w:val="18"/>
                <w:szCs w:val="18"/>
              </w:rPr>
              <w:t xml:space="preserve">Southern California Gas Company (SCG). 2018. “IPL Energy Savings Analysis 2018 .xlsx” </w:t>
            </w:r>
            <w:r w:rsidRPr="00A841EC">
              <w:rPr>
                <w:rFonts w:cs="Calibri Light"/>
                <w:sz w:val="18"/>
                <w:szCs w:val="18"/>
              </w:rPr>
              <w:t>See “IPL_REA Savings” tab.</w:t>
            </w:r>
          </w:p>
          <w:p w14:paraId="3DA6365F" w14:textId="77777777" w:rsidR="007147C9" w:rsidRPr="00A841EC" w:rsidRDefault="007147C9" w:rsidP="00036AAD">
            <w:pPr>
              <w:spacing w:before="0" w:after="0" w:line="240" w:lineRule="auto"/>
              <w:rPr>
                <w:rFonts w:eastAsia="Times New Roman" w:cs="Calibri Light"/>
                <w:color w:val="000000"/>
                <w:sz w:val="18"/>
                <w:szCs w:val="18"/>
              </w:rPr>
            </w:pPr>
            <w:r w:rsidRPr="00A841EC">
              <w:rPr>
                <w:rFonts w:cs="Calibri Light"/>
                <w:sz w:val="18"/>
                <w:szCs w:val="18"/>
              </w:rPr>
              <w:t>Southern California Gas Company (SCG). 2013. “</w:t>
            </w:r>
            <w:r w:rsidRPr="00A841EC">
              <w:rPr>
                <w:rStyle w:val="Hyperlink"/>
                <w:rFonts w:cs="Calibri Light"/>
                <w:color w:val="auto"/>
                <w:sz w:val="18"/>
                <w:szCs w:val="18"/>
                <w:u w:val="none"/>
              </w:rPr>
              <w:t>WPSCGREHC180723A-Rev00_Intermittent Pilot Light_Att C_CompareWeatherData-v4.xlsm.” July 3.</w:t>
            </w:r>
          </w:p>
        </w:tc>
      </w:tr>
      <w:tr w:rsidR="007147C9" w:rsidRPr="00A841EC" w14:paraId="7C9B17AB" w14:textId="77777777" w:rsidTr="00C5689E">
        <w:trPr>
          <w:trHeight w:val="260"/>
        </w:trPr>
        <w:tc>
          <w:tcPr>
            <w:tcW w:w="4312" w:type="dxa"/>
            <w:shd w:val="clear" w:color="000000" w:fill="FFFFFF"/>
            <w:noWrap/>
            <w:vAlign w:val="center"/>
          </w:tcPr>
          <w:p w14:paraId="610C6CEF" w14:textId="77777777" w:rsidR="007147C9" w:rsidRPr="00A841EC" w:rsidRDefault="007147C9" w:rsidP="00036AAD">
            <w:pPr>
              <w:spacing w:before="0" w:after="0" w:line="240" w:lineRule="auto"/>
              <w:rPr>
                <w:rFonts w:eastAsia="Times New Roman" w:cs="Calibri Light"/>
                <w:color w:val="000000"/>
                <w:sz w:val="20"/>
                <w:szCs w:val="20"/>
              </w:rPr>
            </w:pPr>
            <w:r w:rsidRPr="00A841EC">
              <w:rPr>
                <w:rFonts w:eastAsia="Times New Roman" w:cs="Calibri Light"/>
                <w:color w:val="000000"/>
                <w:sz w:val="20"/>
                <w:szCs w:val="20"/>
              </w:rPr>
              <w:t>Regression coefficient (Therm/HDD*Home)</w:t>
            </w:r>
          </w:p>
        </w:tc>
        <w:tc>
          <w:tcPr>
            <w:tcW w:w="1263" w:type="dxa"/>
            <w:shd w:val="clear" w:color="auto" w:fill="auto"/>
            <w:noWrap/>
            <w:vAlign w:val="center"/>
          </w:tcPr>
          <w:p w14:paraId="34BBF8F2" w14:textId="77777777" w:rsidR="007147C9" w:rsidRPr="00A841EC" w:rsidRDefault="007147C9" w:rsidP="00C5689E">
            <w:pPr>
              <w:spacing w:before="0" w:after="0" w:line="240" w:lineRule="auto"/>
              <w:jc w:val="right"/>
              <w:rPr>
                <w:rFonts w:eastAsia="Times New Roman" w:cs="Calibri Light"/>
                <w:iCs/>
                <w:color w:val="000000"/>
                <w:sz w:val="18"/>
                <w:szCs w:val="20"/>
              </w:rPr>
            </w:pPr>
            <w:r w:rsidRPr="00A841EC">
              <w:rPr>
                <w:rFonts w:eastAsia="Times New Roman" w:cs="Calibri Light"/>
                <w:iCs/>
                <w:color w:val="000000"/>
                <w:sz w:val="20"/>
                <w:szCs w:val="22"/>
              </w:rPr>
              <w:t>0.1310</w:t>
            </w:r>
          </w:p>
        </w:tc>
        <w:tc>
          <w:tcPr>
            <w:tcW w:w="4069" w:type="dxa"/>
            <w:shd w:val="clear" w:color="auto" w:fill="auto"/>
          </w:tcPr>
          <w:p w14:paraId="2A4A39E0" w14:textId="77777777" w:rsidR="007147C9" w:rsidRPr="00A841EC" w:rsidRDefault="007147C9" w:rsidP="00036AAD">
            <w:pPr>
              <w:spacing w:before="0" w:after="0" w:line="240" w:lineRule="auto"/>
              <w:rPr>
                <w:sz w:val="18"/>
                <w:szCs w:val="20"/>
              </w:rPr>
            </w:pPr>
            <w:r w:rsidRPr="00A841EC">
              <w:rPr>
                <w:sz w:val="18"/>
                <w:szCs w:val="20"/>
              </w:rPr>
              <w:t>Southern California Gas Company (SCG). 2013. "WPSCGREHV110603A_2013_Wall_Furnace_Results-Rev2.xlsx."</w:t>
            </w:r>
          </w:p>
        </w:tc>
      </w:tr>
      <w:tr w:rsidR="007147C9" w:rsidRPr="00A841EC" w14:paraId="1BAFD48A" w14:textId="77777777" w:rsidTr="00C5689E">
        <w:trPr>
          <w:trHeight w:val="260"/>
        </w:trPr>
        <w:tc>
          <w:tcPr>
            <w:tcW w:w="4312" w:type="dxa"/>
            <w:shd w:val="clear" w:color="000000" w:fill="FFFFFF"/>
            <w:noWrap/>
            <w:vAlign w:val="center"/>
            <w:hideMark/>
          </w:tcPr>
          <w:p w14:paraId="64E7FE65" w14:textId="77777777" w:rsidR="007147C9" w:rsidRPr="00A841EC" w:rsidRDefault="007147C9" w:rsidP="00036AAD">
            <w:pPr>
              <w:spacing w:before="0" w:after="0" w:line="240" w:lineRule="auto"/>
              <w:rPr>
                <w:rFonts w:eastAsia="Times New Roman" w:cs="Calibri Light"/>
                <w:color w:val="000000"/>
                <w:sz w:val="20"/>
                <w:szCs w:val="20"/>
              </w:rPr>
            </w:pPr>
            <w:r w:rsidRPr="00A841EC">
              <w:rPr>
                <w:rFonts w:eastAsia="Times New Roman" w:cs="Calibri Light"/>
                <w:color w:val="000000"/>
                <w:sz w:val="20"/>
                <w:szCs w:val="20"/>
              </w:rPr>
              <w:t>Home area – single family (ft</w:t>
            </w:r>
            <w:r w:rsidRPr="00A841EC">
              <w:rPr>
                <w:rFonts w:eastAsia="Times New Roman" w:cs="Calibri Light"/>
                <w:color w:val="000000"/>
                <w:sz w:val="20"/>
                <w:szCs w:val="20"/>
                <w:vertAlign w:val="superscript"/>
              </w:rPr>
              <w:t>2</w:t>
            </w:r>
            <w:r w:rsidRPr="00A841EC">
              <w:rPr>
                <w:rFonts w:eastAsia="Times New Roman" w:cs="Calibri Light"/>
                <w:color w:val="000000"/>
                <w:sz w:val="20"/>
                <w:szCs w:val="20"/>
              </w:rPr>
              <w:t>)</w:t>
            </w:r>
          </w:p>
        </w:tc>
        <w:tc>
          <w:tcPr>
            <w:tcW w:w="1263" w:type="dxa"/>
            <w:shd w:val="clear" w:color="auto" w:fill="auto"/>
            <w:noWrap/>
            <w:vAlign w:val="center"/>
            <w:hideMark/>
          </w:tcPr>
          <w:p w14:paraId="33174B86" w14:textId="77777777" w:rsidR="007147C9" w:rsidRPr="00A841EC" w:rsidRDefault="007147C9" w:rsidP="007147C9">
            <w:pPr>
              <w:spacing w:before="0" w:after="0" w:line="240" w:lineRule="auto"/>
              <w:jc w:val="right"/>
              <w:rPr>
                <w:rFonts w:eastAsia="Times New Roman" w:cs="Calibri Light"/>
                <w:color w:val="000000"/>
                <w:sz w:val="20"/>
                <w:szCs w:val="20"/>
              </w:rPr>
            </w:pPr>
            <w:r w:rsidRPr="00A841EC">
              <w:rPr>
                <w:rFonts w:eastAsia="Times New Roman" w:cs="Calibri Light"/>
                <w:color w:val="000000"/>
                <w:sz w:val="20"/>
                <w:szCs w:val="20"/>
              </w:rPr>
              <w:t xml:space="preserve">1,366 </w:t>
            </w:r>
          </w:p>
        </w:tc>
        <w:tc>
          <w:tcPr>
            <w:tcW w:w="4069" w:type="dxa"/>
            <w:shd w:val="clear" w:color="auto" w:fill="auto"/>
          </w:tcPr>
          <w:p w14:paraId="1FB91D90" w14:textId="77777777" w:rsidR="007147C9" w:rsidRPr="00A841EC" w:rsidRDefault="007147C9" w:rsidP="00036AAD">
            <w:pPr>
              <w:spacing w:before="0" w:after="0" w:line="240" w:lineRule="auto"/>
              <w:rPr>
                <w:rFonts w:eastAsia="Times New Roman" w:cs="Calibri Light"/>
                <w:color w:val="000000"/>
                <w:sz w:val="18"/>
                <w:szCs w:val="20"/>
              </w:rPr>
            </w:pPr>
            <w:r w:rsidRPr="00A841EC">
              <w:rPr>
                <w:sz w:val="18"/>
              </w:rPr>
              <w:t>Southern California Gas Company (SCG). 2014. “WPSCGREHC110603A.2 2013 Analysis 012014.xlsx.” January 20. See “Raw+Swft” tab.</w:t>
            </w:r>
          </w:p>
        </w:tc>
      </w:tr>
      <w:tr w:rsidR="007147C9" w:rsidRPr="00A841EC" w14:paraId="0172B590" w14:textId="77777777" w:rsidTr="00C5689E">
        <w:trPr>
          <w:trHeight w:val="260"/>
        </w:trPr>
        <w:tc>
          <w:tcPr>
            <w:tcW w:w="4312" w:type="dxa"/>
            <w:shd w:val="clear" w:color="000000" w:fill="FFFFFF"/>
            <w:noWrap/>
            <w:vAlign w:val="center"/>
          </w:tcPr>
          <w:p w14:paraId="73B9A968" w14:textId="77777777" w:rsidR="007147C9" w:rsidRPr="00A841EC" w:rsidRDefault="007147C9" w:rsidP="00036AAD">
            <w:pPr>
              <w:spacing w:before="0" w:after="0" w:line="240" w:lineRule="auto"/>
              <w:rPr>
                <w:rFonts w:eastAsia="Times New Roman" w:cs="Calibri Light"/>
                <w:color w:val="000000"/>
                <w:sz w:val="20"/>
                <w:szCs w:val="20"/>
              </w:rPr>
            </w:pPr>
            <w:r w:rsidRPr="00A841EC">
              <w:rPr>
                <w:rFonts w:eastAsia="Times New Roman" w:cs="Calibri Light"/>
                <w:color w:val="000000"/>
                <w:sz w:val="20"/>
                <w:szCs w:val="20"/>
              </w:rPr>
              <w:t>Assumed area heated by fireplace (ft</w:t>
            </w:r>
            <w:r w:rsidRPr="00A841EC">
              <w:rPr>
                <w:rFonts w:eastAsia="Times New Roman" w:cs="Calibri Light"/>
                <w:color w:val="000000"/>
                <w:sz w:val="20"/>
                <w:szCs w:val="20"/>
                <w:vertAlign w:val="superscript"/>
              </w:rPr>
              <w:t>2</w:t>
            </w:r>
            <w:r w:rsidRPr="00A841EC">
              <w:rPr>
                <w:rFonts w:eastAsia="Times New Roman" w:cs="Calibri Light"/>
                <w:color w:val="000000"/>
                <w:sz w:val="20"/>
                <w:szCs w:val="20"/>
              </w:rPr>
              <w:t>)</w:t>
            </w:r>
          </w:p>
        </w:tc>
        <w:tc>
          <w:tcPr>
            <w:tcW w:w="1263" w:type="dxa"/>
            <w:shd w:val="clear" w:color="auto" w:fill="auto"/>
            <w:noWrap/>
            <w:vAlign w:val="center"/>
          </w:tcPr>
          <w:p w14:paraId="34A4F391" w14:textId="77777777" w:rsidR="007147C9" w:rsidRPr="00A841EC" w:rsidRDefault="007147C9" w:rsidP="007147C9">
            <w:pPr>
              <w:spacing w:before="0" w:after="0" w:line="240" w:lineRule="auto"/>
              <w:jc w:val="right"/>
              <w:rPr>
                <w:rFonts w:eastAsia="Times New Roman" w:cs="Calibri Light"/>
                <w:color w:val="000000"/>
                <w:sz w:val="20"/>
                <w:szCs w:val="20"/>
              </w:rPr>
            </w:pPr>
            <w:r w:rsidRPr="00A841EC">
              <w:rPr>
                <w:rFonts w:eastAsia="Times New Roman" w:cs="Calibri Light"/>
                <w:color w:val="000000"/>
                <w:sz w:val="20"/>
                <w:szCs w:val="20"/>
              </w:rPr>
              <w:t>400</w:t>
            </w:r>
          </w:p>
        </w:tc>
        <w:tc>
          <w:tcPr>
            <w:tcW w:w="4069" w:type="dxa"/>
            <w:shd w:val="clear" w:color="auto" w:fill="auto"/>
          </w:tcPr>
          <w:p w14:paraId="3720D406" w14:textId="77777777" w:rsidR="007147C9" w:rsidRPr="00A841EC" w:rsidRDefault="007147C9" w:rsidP="00036AAD">
            <w:pPr>
              <w:spacing w:before="0" w:after="0" w:line="240" w:lineRule="auto"/>
              <w:rPr>
                <w:rFonts w:eastAsia="Times New Roman" w:cs="Calibri Light"/>
                <w:color w:val="000000"/>
                <w:sz w:val="20"/>
                <w:szCs w:val="20"/>
              </w:rPr>
            </w:pPr>
            <w:r w:rsidRPr="00A841EC">
              <w:rPr>
                <w:rFonts w:eastAsia="Times New Roman" w:cs="Calibri Light"/>
                <w:color w:val="000000"/>
                <w:sz w:val="20"/>
                <w:szCs w:val="20"/>
              </w:rPr>
              <w:t>Professional judgement.</w:t>
            </w:r>
          </w:p>
        </w:tc>
      </w:tr>
      <w:tr w:rsidR="003D1AAC" w:rsidRPr="00A841EC" w14:paraId="3EDA8273" w14:textId="77777777" w:rsidTr="00C5689E">
        <w:trPr>
          <w:trHeight w:val="260"/>
        </w:trPr>
        <w:tc>
          <w:tcPr>
            <w:tcW w:w="4312" w:type="dxa"/>
            <w:shd w:val="clear" w:color="000000" w:fill="FFFFFF"/>
            <w:noWrap/>
            <w:vAlign w:val="center"/>
          </w:tcPr>
          <w:p w14:paraId="6D351108" w14:textId="3FAE0EEA" w:rsidR="003D1AAC" w:rsidRPr="00A841EC" w:rsidRDefault="003D1AAC" w:rsidP="00036AAD">
            <w:pPr>
              <w:spacing w:before="0" w:after="0" w:line="240" w:lineRule="auto"/>
              <w:rPr>
                <w:rFonts w:eastAsia="Times New Roman" w:cs="Calibri Light"/>
                <w:color w:val="000000"/>
                <w:sz w:val="20"/>
                <w:szCs w:val="20"/>
              </w:rPr>
            </w:pPr>
            <w:r w:rsidRPr="00A841EC">
              <w:rPr>
                <w:rFonts w:eastAsia="Times New Roman" w:cs="Calibri Light"/>
                <w:color w:val="000000"/>
                <w:sz w:val="20"/>
                <w:szCs w:val="20"/>
              </w:rPr>
              <w:t>Total hours fireplace can heat</w:t>
            </w:r>
          </w:p>
        </w:tc>
        <w:tc>
          <w:tcPr>
            <w:tcW w:w="1263" w:type="dxa"/>
            <w:shd w:val="clear" w:color="auto" w:fill="auto"/>
            <w:noWrap/>
            <w:vAlign w:val="center"/>
          </w:tcPr>
          <w:p w14:paraId="27DB4BA8" w14:textId="3CD94612" w:rsidR="003D1AAC" w:rsidRPr="00A841EC" w:rsidRDefault="003D1AAC" w:rsidP="007147C9">
            <w:pPr>
              <w:spacing w:before="0" w:after="0" w:line="240" w:lineRule="auto"/>
              <w:jc w:val="right"/>
              <w:rPr>
                <w:rFonts w:eastAsia="Times New Roman" w:cs="Calibri Light"/>
                <w:color w:val="000000"/>
                <w:sz w:val="20"/>
                <w:szCs w:val="20"/>
              </w:rPr>
            </w:pPr>
            <w:r w:rsidRPr="00A841EC">
              <w:rPr>
                <w:rFonts w:eastAsia="Times New Roman" w:cs="Calibri Light"/>
                <w:color w:val="000000"/>
                <w:sz w:val="20"/>
                <w:szCs w:val="20"/>
              </w:rPr>
              <w:t>5,088</w:t>
            </w:r>
          </w:p>
        </w:tc>
        <w:tc>
          <w:tcPr>
            <w:tcW w:w="4069" w:type="dxa"/>
            <w:shd w:val="clear" w:color="auto" w:fill="auto"/>
          </w:tcPr>
          <w:p w14:paraId="22F2274D" w14:textId="163A45CC" w:rsidR="003D1AAC" w:rsidRPr="00A841EC" w:rsidRDefault="002D2C78" w:rsidP="00036AAD">
            <w:pPr>
              <w:spacing w:before="0" w:after="0" w:line="240" w:lineRule="auto"/>
              <w:rPr>
                <w:rFonts w:eastAsia="Times New Roman" w:cs="Calibri Light"/>
                <w:color w:val="000000"/>
                <w:sz w:val="18"/>
                <w:szCs w:val="18"/>
              </w:rPr>
            </w:pPr>
            <w:r w:rsidRPr="00A841EC">
              <w:rPr>
                <w:rFonts w:cs="Calibri Light"/>
                <w:sz w:val="18"/>
                <w:szCs w:val="18"/>
              </w:rPr>
              <w:t xml:space="preserve"> Southern California Gas Company (SCG). 2013. “</w:t>
            </w:r>
            <w:r w:rsidRPr="00A841EC">
              <w:rPr>
                <w:rStyle w:val="Hyperlink"/>
                <w:rFonts w:cs="Calibri Light"/>
                <w:color w:val="auto"/>
                <w:sz w:val="18"/>
                <w:szCs w:val="18"/>
                <w:u w:val="none"/>
              </w:rPr>
              <w:t>WPSCGREHC180723A-Rev00_Intermittent Pilot Light_Att C_CompareWeatherData-v4.xlsm.” July 3</w:t>
            </w:r>
          </w:p>
        </w:tc>
      </w:tr>
    </w:tbl>
    <w:p w14:paraId="28ABFE73" w14:textId="196BC146" w:rsidR="007147C9" w:rsidRPr="00A841EC" w:rsidRDefault="007147C9" w:rsidP="007147C9">
      <w:pPr>
        <w:pStyle w:val="Reminders"/>
        <w:rPr>
          <w:rFonts w:ascii="Calibri Light" w:hAnsi="Calibri Light" w:cs="Calibri Light"/>
          <w:i w:val="0"/>
          <w:color w:val="auto"/>
          <w:sz w:val="22"/>
          <w:szCs w:val="22"/>
        </w:rPr>
      </w:pPr>
    </w:p>
    <w:p w14:paraId="55E25972" w14:textId="1295E17E" w:rsidR="007147C9" w:rsidRPr="00A841EC" w:rsidRDefault="007147C9" w:rsidP="003F7CD4">
      <w:pPr>
        <w:pStyle w:val="eTRMHeading5"/>
      </w:pPr>
      <w:r w:rsidRPr="00A841EC">
        <w:t xml:space="preserve">Pilot Light </w:t>
      </w:r>
      <w:r w:rsidR="00742BD5" w:rsidRPr="00A841EC">
        <w:t>Heat Loss</w:t>
      </w:r>
    </w:p>
    <w:p w14:paraId="2D3785E5" w14:textId="2FB8E7DC" w:rsidR="007147C9" w:rsidRPr="00A841EC" w:rsidRDefault="007147C9" w:rsidP="00954569">
      <w:pPr>
        <w:pStyle w:val="Reminders"/>
        <w:rPr>
          <w:rFonts w:ascii="Calibri Light" w:hAnsi="Calibri Light" w:cs="Calibri Light"/>
          <w:i w:val="0"/>
          <w:color w:val="auto"/>
          <w:sz w:val="22"/>
          <w:szCs w:val="22"/>
        </w:rPr>
      </w:pPr>
      <w:r w:rsidRPr="00A841EC">
        <w:rPr>
          <w:rFonts w:ascii="Calibri Light" w:hAnsi="Calibri Light" w:cs="Calibri Light"/>
          <w:i w:val="0"/>
          <w:color w:val="auto"/>
          <w:sz w:val="22"/>
          <w:szCs w:val="22"/>
        </w:rPr>
        <w:t>Currently there are no studies that have quantified pilot light efficiency</w:t>
      </w:r>
      <w:r w:rsidR="00742BD5" w:rsidRPr="00A841EC">
        <w:rPr>
          <w:rFonts w:ascii="Calibri Light" w:hAnsi="Calibri Light" w:cs="Calibri Light"/>
          <w:i w:val="0"/>
          <w:color w:val="auto"/>
          <w:sz w:val="22"/>
          <w:szCs w:val="22"/>
        </w:rPr>
        <w:t>. T</w:t>
      </w:r>
      <w:r w:rsidRPr="00A841EC">
        <w:rPr>
          <w:rFonts w:ascii="Calibri Light" w:hAnsi="Calibri Light" w:cs="Calibri Light"/>
          <w:i w:val="0"/>
          <w:color w:val="auto"/>
          <w:sz w:val="22"/>
          <w:szCs w:val="22"/>
        </w:rPr>
        <w:t>he DEER water heater calculator</w:t>
      </w:r>
      <w:r w:rsidR="00742BD5" w:rsidRPr="00A841EC">
        <w:rPr>
          <w:rFonts w:ascii="Calibri Light" w:hAnsi="Calibri Light" w:cs="Calibri Light"/>
          <w:i w:val="0"/>
          <w:color w:val="auto"/>
          <w:sz w:val="22"/>
          <w:szCs w:val="22"/>
        </w:rPr>
        <w:t xml:space="preserve"> assumes</w:t>
      </w:r>
      <w:r w:rsidRPr="00A841EC">
        <w:rPr>
          <w:rFonts w:ascii="Calibri Light" w:hAnsi="Calibri Light" w:cs="Calibri Light"/>
          <w:i w:val="0"/>
          <w:color w:val="auto"/>
          <w:sz w:val="22"/>
          <w:szCs w:val="22"/>
        </w:rPr>
        <w:t xml:space="preserve"> </w:t>
      </w:r>
      <w:r w:rsidR="00742BD5" w:rsidRPr="00A841EC">
        <w:rPr>
          <w:rFonts w:ascii="Calibri Light" w:hAnsi="Calibri Light" w:cs="Calibri Light"/>
          <w:i w:val="0"/>
          <w:color w:val="auto"/>
          <w:sz w:val="22"/>
          <w:szCs w:val="22"/>
        </w:rPr>
        <w:t xml:space="preserve">that </w:t>
      </w:r>
      <w:r w:rsidR="004F1F51" w:rsidRPr="00A841EC">
        <w:rPr>
          <w:rFonts w:ascii="Calibri Light" w:hAnsi="Calibri Light" w:cs="Calibri Light"/>
          <w:i w:val="0"/>
          <w:color w:val="auto"/>
          <w:sz w:val="22"/>
          <w:szCs w:val="22"/>
        </w:rPr>
        <w:t>67</w:t>
      </w:r>
      <w:r w:rsidRPr="00A841EC">
        <w:rPr>
          <w:rFonts w:ascii="Calibri Light" w:hAnsi="Calibri Light" w:cs="Calibri Light"/>
          <w:i w:val="0"/>
          <w:color w:val="auto"/>
          <w:sz w:val="22"/>
          <w:szCs w:val="22"/>
        </w:rPr>
        <w:t>%</w:t>
      </w:r>
      <w:r w:rsidR="00742BD5" w:rsidRPr="00A841EC">
        <w:rPr>
          <w:rFonts w:ascii="Calibri Light" w:hAnsi="Calibri Light" w:cs="Calibri Light"/>
          <w:i w:val="0"/>
          <w:color w:val="auto"/>
          <w:sz w:val="22"/>
          <w:szCs w:val="22"/>
        </w:rPr>
        <w:t xml:space="preserve"> pilot light heat is transferred in conditioned space</w:t>
      </w:r>
      <w:r w:rsidRPr="00A841EC">
        <w:rPr>
          <w:rFonts w:ascii="Calibri Light" w:hAnsi="Calibri Light" w:cs="Calibri Light"/>
          <w:i w:val="0"/>
          <w:color w:val="auto"/>
          <w:sz w:val="22"/>
          <w:szCs w:val="22"/>
        </w:rPr>
        <w:t>,</w:t>
      </w:r>
      <w:r w:rsidRPr="00A841EC">
        <w:rPr>
          <w:rStyle w:val="FootnoteReference"/>
          <w:rFonts w:ascii="Calibri Light" w:hAnsi="Calibri Light" w:cs="Calibri Light"/>
          <w:i w:val="0"/>
          <w:color w:val="auto"/>
          <w:sz w:val="22"/>
          <w:szCs w:val="22"/>
        </w:rPr>
        <w:footnoteReference w:id="12"/>
      </w:r>
      <w:r w:rsidRPr="00A841EC">
        <w:rPr>
          <w:rFonts w:ascii="Calibri Light" w:hAnsi="Calibri Light" w:cs="Calibri Light"/>
          <w:i w:val="0"/>
          <w:color w:val="auto"/>
          <w:sz w:val="22"/>
          <w:szCs w:val="22"/>
        </w:rPr>
        <w:t xml:space="preserve"> which is adopted for this measure. In other words, during these periods, this measure will only claim 33% of the pilot light energy as savings</w:t>
      </w:r>
      <w:r w:rsidR="00742BD5" w:rsidRPr="00A841EC">
        <w:rPr>
          <w:rFonts w:ascii="Calibri Light" w:hAnsi="Calibri Light" w:cs="Calibri Light"/>
          <w:i w:val="0"/>
          <w:color w:val="auto"/>
          <w:sz w:val="22"/>
          <w:szCs w:val="22"/>
        </w:rPr>
        <w:t>.</w:t>
      </w:r>
      <w:r w:rsidRPr="00A841EC">
        <w:rPr>
          <w:rFonts w:ascii="Calibri Light" w:hAnsi="Calibri Light" w:cs="Calibri Light"/>
          <w:i w:val="0"/>
          <w:color w:val="auto"/>
          <w:sz w:val="22"/>
          <w:szCs w:val="22"/>
        </w:rPr>
        <w:t xml:space="preserve"> </w:t>
      </w:r>
    </w:p>
    <w:p w14:paraId="743489CA" w14:textId="625F29A0" w:rsidR="00C5689E" w:rsidRPr="00A841EC" w:rsidRDefault="00C5689E" w:rsidP="003F7CD4">
      <w:pPr>
        <w:pStyle w:val="eTRMHeading5"/>
      </w:pPr>
      <w:r w:rsidRPr="00A841EC">
        <w:t>Pilot Light Input Rate</w:t>
      </w:r>
    </w:p>
    <w:p w14:paraId="74E23467" w14:textId="427B971C" w:rsidR="00701534" w:rsidRPr="00A841EC" w:rsidRDefault="00701534" w:rsidP="00701534">
      <w:pPr>
        <w:pStyle w:val="eTRMHeading5"/>
        <w:rPr>
          <w:i w:val="0"/>
          <w:color w:val="auto"/>
        </w:rPr>
      </w:pPr>
      <w:r w:rsidRPr="00A841EC">
        <w:rPr>
          <w:i w:val="0"/>
          <w:color w:val="auto"/>
        </w:rPr>
        <w:t>The pilot light hourly heat rate was drawn from an Emerging Technologies study that tested the functionality of battery-driven</w:t>
      </w:r>
      <w:r w:rsidR="005F764C" w:rsidRPr="00A841EC">
        <w:rPr>
          <w:i w:val="0"/>
          <w:color w:val="auto"/>
        </w:rPr>
        <w:t xml:space="preserve"> </w:t>
      </w:r>
      <w:r w:rsidRPr="00A841EC">
        <w:rPr>
          <w:i w:val="0"/>
          <w:color w:val="auto"/>
        </w:rPr>
        <w:t>IPL</w:t>
      </w:r>
      <w:r w:rsidR="005F764C" w:rsidRPr="00A841EC">
        <w:rPr>
          <w:i w:val="0"/>
          <w:color w:val="auto"/>
        </w:rPr>
        <w:t xml:space="preserve"> </w:t>
      </w:r>
      <w:r w:rsidRPr="00A841EC">
        <w:rPr>
          <w:i w:val="0"/>
          <w:color w:val="auto"/>
        </w:rPr>
        <w:t>controls</w:t>
      </w:r>
      <w:r w:rsidR="009042B2" w:rsidRPr="00A841EC">
        <w:rPr>
          <w:rStyle w:val="FootnoteReference"/>
          <w:i w:val="0"/>
          <w:color w:val="auto"/>
        </w:rPr>
        <w:footnoteReference w:id="13"/>
      </w:r>
      <w:r w:rsidRPr="00A841EC">
        <w:rPr>
          <w:i w:val="0"/>
          <w:color w:val="auto"/>
        </w:rPr>
        <w:t xml:space="preserve"> </w:t>
      </w:r>
    </w:p>
    <w:p w14:paraId="588AB7B8" w14:textId="10E37B12" w:rsidR="004545D6" w:rsidRPr="00A841EC" w:rsidRDefault="004545D6" w:rsidP="004545D6">
      <w:pPr>
        <w:pStyle w:val="eTRMHeading5"/>
      </w:pPr>
      <w:r w:rsidRPr="00A841EC">
        <w:t>Fireplace Burner</w:t>
      </w:r>
      <w:r w:rsidR="00C5689E" w:rsidRPr="00A841EC">
        <w:t xml:space="preserve"> Input Rate </w:t>
      </w:r>
    </w:p>
    <w:p w14:paraId="58FF504C" w14:textId="77777777" w:rsidR="00D10403" w:rsidRPr="00A841EC" w:rsidRDefault="00D10403" w:rsidP="00D10403">
      <w:r w:rsidRPr="00A841EC">
        <w:t>A representative burner input rate is used for both the baseline and measure case fireplace measure offerings. A constant input rate is also used in the DOE April 2010 Rulemaking</w:t>
      </w:r>
      <w:r w:rsidRPr="00A841EC">
        <w:rPr>
          <w:rStyle w:val="FootnoteReference"/>
          <w:rFonts w:cs="Calibri Light"/>
          <w:i/>
          <w:szCs w:val="22"/>
        </w:rPr>
        <w:footnoteReference w:id="14"/>
      </w:r>
      <w:r w:rsidRPr="00A841EC">
        <w:t xml:space="preserve"> across all efficiency options. A representative input rate effectively means that a replacement fireplace will be sized the same as the fireplace it is replacing.</w:t>
      </w:r>
    </w:p>
    <w:p w14:paraId="63747D0A" w14:textId="77777777" w:rsidR="003D1AAC" w:rsidRPr="00A841EC" w:rsidRDefault="003D1AAC" w:rsidP="003D1AAC">
      <w:r w:rsidRPr="00A841EC">
        <w:t xml:space="preserve">The input rates commonly used by wall furnaces are similar to those used by fireplaces. For example, in the April 2010 DOE Final Rule, the representative input rate for gravity wall furnaces and fireplaces were 32,000 Btu/hr and 35,000 Btu/hr, respectively. </w:t>
      </w:r>
    </w:p>
    <w:p w14:paraId="7ACE2C82" w14:textId="419A684C" w:rsidR="00954569" w:rsidRPr="00A841EC" w:rsidRDefault="00954569" w:rsidP="00954569">
      <w:r w:rsidRPr="00A841EC">
        <w:t xml:space="preserve">The input rate of the burner </w:t>
      </w:r>
      <w:r w:rsidR="008B6A6D" w:rsidRPr="00A841EC">
        <w:t>adopted for this analysis</w:t>
      </w:r>
      <w:r w:rsidRPr="00A841EC">
        <w:t xml:space="preserve"> is the average input rate of a gas wall furnace sized for a single-family home, using California climate zone outdoor air temperatures. </w:t>
      </w:r>
      <w:r w:rsidR="008B6A6D" w:rsidRPr="00A841EC">
        <w:t xml:space="preserve">This assumption is </w:t>
      </w:r>
      <w:r w:rsidR="008B6A6D" w:rsidRPr="00A841EC">
        <w:lastRenderedPageBreak/>
        <w:t xml:space="preserve">reasonable, given </w:t>
      </w:r>
      <w:r w:rsidRPr="00A841EC">
        <w:t>the consumer utility and burner input rates of gas wall furnaces and fireplaces are similar.</w:t>
      </w:r>
    </w:p>
    <w:p w14:paraId="02D0B170" w14:textId="70738359" w:rsidR="00555D0C" w:rsidRPr="00A841EC" w:rsidRDefault="00555D0C" w:rsidP="003F7CD4">
      <w:pPr>
        <w:pStyle w:val="eTRMHeading5"/>
      </w:pPr>
      <w:r w:rsidRPr="00A841EC">
        <w:t xml:space="preserve">Total Hours per year the </w:t>
      </w:r>
      <w:r w:rsidR="00994A1A" w:rsidRPr="00A841EC">
        <w:t xml:space="preserve">Continuously operating pilot light </w:t>
      </w:r>
      <w:r w:rsidRPr="00A841EC">
        <w:t>is ON</w:t>
      </w:r>
    </w:p>
    <w:p w14:paraId="1B33C412" w14:textId="69BDEED5" w:rsidR="00555D0C" w:rsidRPr="00A841EC" w:rsidRDefault="008732A4">
      <w:r w:rsidRPr="00A841EC">
        <w:t>Total hours per year the pilot light is ON was determined from Southern California Gas Company (SCG) data of customer calls for gravity wall furnace pilot ignition and to turn the pilot turn OFF</w:t>
      </w:r>
      <w:r w:rsidR="00555D0C" w:rsidRPr="00A841EC">
        <w:t xml:space="preserve"> </w:t>
      </w:r>
      <w:r w:rsidR="000D636D" w:rsidRPr="00A841EC">
        <w:t>(e.g.,</w:t>
      </w:r>
      <w:r w:rsidR="00555D0C" w:rsidRPr="00A841EC">
        <w:t xml:space="preserve"> the hours per year the fireplace pilot light is ON and the unit can provide heat</w:t>
      </w:r>
      <w:r w:rsidR="000D636D" w:rsidRPr="00A841EC">
        <w:t>)</w:t>
      </w:r>
      <w:r w:rsidR="00555D0C" w:rsidRPr="00A841EC">
        <w:t xml:space="preserve">. Gravity wall furnace calls for pilot light ON and OFF inquiries are a reasonable </w:t>
      </w:r>
      <w:r w:rsidR="008B6A6D" w:rsidRPr="00A841EC">
        <w:t xml:space="preserve">proxy </w:t>
      </w:r>
      <w:r w:rsidR="00555D0C" w:rsidRPr="00A841EC">
        <w:t xml:space="preserve">for annual pilot light ON hours for gas fireplaces because the heating season characterization is all that is of interest here and that should not differ between products. </w:t>
      </w:r>
    </w:p>
    <w:p w14:paraId="5E8A25FA" w14:textId="164C6D38" w:rsidR="00516339" w:rsidRPr="00A841EC" w:rsidRDefault="00516339" w:rsidP="00CB5BF8">
      <w:r w:rsidRPr="00A841EC">
        <w:t>The data reveal that c</w:t>
      </w:r>
      <w:r w:rsidRPr="00A841EC">
        <w:rPr>
          <w:color w:val="191919" w:themeColor="text1"/>
        </w:rPr>
        <w:t xml:space="preserve">ustomers called SCG to turn </w:t>
      </w:r>
      <w:r w:rsidRPr="00A841EC">
        <w:rPr>
          <w:rFonts w:cstheme="minorHAnsi"/>
          <w:szCs w:val="22"/>
        </w:rPr>
        <w:t xml:space="preserve">OFF </w:t>
      </w:r>
      <w:r w:rsidRPr="00A841EC">
        <w:rPr>
          <w:color w:val="191919" w:themeColor="text1"/>
        </w:rPr>
        <w:t xml:space="preserve">pilot lights throughout the year, however the intensity of calls is highest from April to July, with the maximum number of calls received in July. Due to July experiencing the highest call volume, July is considered to be the month when pilot lights are turned </w:t>
      </w:r>
      <w:r w:rsidRPr="00A841EC">
        <w:t>ON</w:t>
      </w:r>
      <w:r w:rsidRPr="00A841EC">
        <w:rPr>
          <w:color w:val="191919" w:themeColor="text1"/>
        </w:rPr>
        <w:t>.</w:t>
      </w:r>
    </w:p>
    <w:p w14:paraId="24D14283" w14:textId="77777777" w:rsidR="00516339" w:rsidRPr="00A841EC" w:rsidRDefault="00516339" w:rsidP="00516339">
      <w:pPr>
        <w:rPr>
          <w:color w:val="191919" w:themeColor="text1"/>
        </w:rPr>
      </w:pPr>
      <w:r w:rsidRPr="00A841EC">
        <w:rPr>
          <w:color w:val="191919" w:themeColor="text1"/>
        </w:rPr>
        <w:t xml:space="preserve">The same process was followed to determine the month when pilot lights are turned </w:t>
      </w:r>
      <w:r w:rsidRPr="00A841EC">
        <w:t>ON</w:t>
      </w:r>
      <w:r w:rsidRPr="00A841EC">
        <w:rPr>
          <w:color w:val="191919" w:themeColor="text1"/>
        </w:rPr>
        <w:t xml:space="preserve">; the months with the highest intensity were from October through January, with the maximum number of calls received in December. December is considered to the month when pilot lights are turned </w:t>
      </w:r>
      <w:r w:rsidRPr="00A841EC">
        <w:t>ON</w:t>
      </w:r>
      <w:r w:rsidRPr="00A841EC">
        <w:rPr>
          <w:color w:val="191919" w:themeColor="text1"/>
        </w:rPr>
        <w:t xml:space="preserve">. </w:t>
      </w:r>
    </w:p>
    <w:p w14:paraId="6BF39A87" w14:textId="54A283C9" w:rsidR="00516339" w:rsidRPr="00A841EC" w:rsidRDefault="00516339" w:rsidP="00516339">
      <w:pPr>
        <w:rPr>
          <w:color w:val="191919" w:themeColor="text1"/>
        </w:rPr>
      </w:pPr>
      <w:r w:rsidRPr="00A841EC">
        <w:rPr>
          <w:color w:val="191919" w:themeColor="text1"/>
        </w:rPr>
        <w:t xml:space="preserve">Since pilot lights are turned </w:t>
      </w:r>
      <w:r w:rsidRPr="00A841EC">
        <w:t xml:space="preserve">ON </w:t>
      </w:r>
      <w:r w:rsidRPr="00A841EC">
        <w:rPr>
          <w:color w:val="191919" w:themeColor="text1"/>
        </w:rPr>
        <w:t xml:space="preserve">in December and turned off in July, the pilot lights are </w:t>
      </w:r>
      <w:r w:rsidRPr="00A841EC">
        <w:t xml:space="preserve">ON </w:t>
      </w:r>
      <w:r w:rsidRPr="00A841EC">
        <w:rPr>
          <w:color w:val="191919" w:themeColor="text1"/>
        </w:rPr>
        <w:t>for seven months and of</w:t>
      </w:r>
      <w:r w:rsidRPr="00A841EC">
        <w:rPr>
          <w:rFonts w:cstheme="minorHAnsi"/>
          <w:szCs w:val="22"/>
        </w:rPr>
        <w:t xml:space="preserve"> OFF</w:t>
      </w:r>
      <w:r w:rsidRPr="00A841EC">
        <w:rPr>
          <w:color w:val="191919" w:themeColor="text1"/>
        </w:rPr>
        <w:t xml:space="preserve"> for five. </w:t>
      </w:r>
    </w:p>
    <w:p w14:paraId="046F4A7C" w14:textId="77777777" w:rsidR="00516339" w:rsidRPr="00A841EC" w:rsidRDefault="00516339" w:rsidP="00516339">
      <w:pPr>
        <w:rPr>
          <w:color w:val="191919" w:themeColor="text1"/>
        </w:rPr>
      </w:pPr>
      <w:r w:rsidRPr="00A841EC">
        <w:rPr>
          <w:color w:val="191919" w:themeColor="text1"/>
        </w:rPr>
        <w:t>Using weather data approved by the California Public Utilities Commission (CPUC),</w:t>
      </w:r>
      <w:r w:rsidRPr="00A841EC">
        <w:rPr>
          <w:rStyle w:val="FootnoteReference"/>
          <w:color w:val="191919" w:themeColor="text1"/>
        </w:rPr>
        <w:footnoteReference w:id="15"/>
      </w:r>
      <w:r w:rsidRPr="00A841EC">
        <w:rPr>
          <w:color w:val="191919" w:themeColor="text1"/>
        </w:rPr>
        <w:t xml:space="preserve"> the annual ON and OFF hours are identified from the 8760 annual hours available. The ON hours are found to be from hours #1-4344 and hours #8017-8760; hours #4345-8016 are determined to be OFF hours. </w:t>
      </w:r>
    </w:p>
    <w:p w14:paraId="0AA3774B" w14:textId="779416B7" w:rsidR="00555D0C" w:rsidRPr="00A841EC" w:rsidRDefault="00555D0C">
      <w:r w:rsidRPr="00A841EC">
        <w:t xml:space="preserve">Therefore, </w:t>
      </w:r>
      <w:r w:rsidR="00516339" w:rsidRPr="00A841EC">
        <w:t xml:space="preserve">out of </w:t>
      </w:r>
      <w:r w:rsidRPr="00A841EC">
        <w:t>the 8</w:t>
      </w:r>
      <w:r w:rsidR="00516339" w:rsidRPr="00A841EC">
        <w:t>,</w:t>
      </w:r>
      <w:r w:rsidRPr="00A841EC">
        <w:t>760 hours in a year</w:t>
      </w:r>
      <w:r w:rsidR="00516339" w:rsidRPr="00A841EC">
        <w:t>,</w:t>
      </w:r>
      <w:r w:rsidRPr="00A841EC">
        <w:t xml:space="preserve"> the total pilot light ON hours are 5</w:t>
      </w:r>
      <w:r w:rsidR="00516339" w:rsidRPr="00A841EC">
        <w:t>,</w:t>
      </w:r>
      <w:r w:rsidRPr="00A841EC">
        <w:t>088 and the total pilot light OFF hours are 3</w:t>
      </w:r>
      <w:r w:rsidR="00516339" w:rsidRPr="00A841EC">
        <w:t>,</w:t>
      </w:r>
      <w:r w:rsidRPr="00A841EC">
        <w:t>672.</w:t>
      </w:r>
    </w:p>
    <w:p w14:paraId="3C2423EE" w14:textId="7685FB29" w:rsidR="00555D0C" w:rsidRPr="00A841EC" w:rsidRDefault="003D1AAC" w:rsidP="003F7CD4">
      <w:pPr>
        <w:pStyle w:val="eTRMHeading5"/>
      </w:pPr>
      <w:r w:rsidRPr="00A841EC">
        <w:t xml:space="preserve">Total </w:t>
      </w:r>
      <w:r w:rsidR="00555D0C" w:rsidRPr="00A841EC">
        <w:t>Hours Per Year the Burner is ON</w:t>
      </w:r>
    </w:p>
    <w:p w14:paraId="51833754" w14:textId="0D013F45" w:rsidR="00555D0C" w:rsidRPr="00A841EC" w:rsidRDefault="00555D0C" w:rsidP="00555D0C">
      <w:pPr>
        <w:pStyle w:val="Reminders"/>
        <w:rPr>
          <w:rFonts w:ascii="Calibri Light" w:hAnsi="Calibri Light" w:cs="Calibri Light"/>
          <w:i w:val="0"/>
          <w:color w:val="auto"/>
          <w:sz w:val="22"/>
          <w:szCs w:val="22"/>
        </w:rPr>
      </w:pPr>
      <w:r w:rsidRPr="00A841EC">
        <w:rPr>
          <w:rFonts w:ascii="Calibri Light" w:hAnsi="Calibri Light" w:cs="Calibri Light"/>
          <w:i w:val="0"/>
          <w:color w:val="auto"/>
          <w:sz w:val="22"/>
          <w:szCs w:val="22"/>
        </w:rPr>
        <w:t xml:space="preserve">The total hours per year the burner is ON </w:t>
      </w:r>
      <w:r w:rsidR="003D1AAC" w:rsidRPr="00A841EC">
        <w:rPr>
          <w:rFonts w:ascii="Calibri Light" w:hAnsi="Calibri Light" w:cs="Calibri Light"/>
          <w:i w:val="0"/>
          <w:color w:val="auto"/>
          <w:sz w:val="22"/>
          <w:szCs w:val="22"/>
        </w:rPr>
        <w:t>was</w:t>
      </w:r>
      <w:r w:rsidRPr="00A841EC">
        <w:rPr>
          <w:rFonts w:ascii="Calibri Light" w:hAnsi="Calibri Light" w:cs="Calibri Light"/>
          <w:i w:val="0"/>
          <w:color w:val="auto"/>
          <w:sz w:val="22"/>
          <w:szCs w:val="22"/>
        </w:rPr>
        <w:t xml:space="preserve"> calculated using the following equation:</w:t>
      </w:r>
    </w:p>
    <w:p w14:paraId="31EE7180" w14:textId="77777777" w:rsidR="00555D0C" w:rsidRPr="00A841EC" w:rsidRDefault="00555D0C" w:rsidP="00555D0C">
      <w:pPr>
        <w:pStyle w:val="Reminders"/>
        <w:rPr>
          <w:rFonts w:ascii="Calibri Light" w:hAnsi="Calibri Light" w:cs="Calibri Light"/>
          <w:i w:val="0"/>
          <w:color w:val="auto"/>
          <w:sz w:val="22"/>
          <w:szCs w:val="22"/>
        </w:rPr>
      </w:pPr>
    </w:p>
    <w:p w14:paraId="23850921" w14:textId="76E9B99B" w:rsidR="00555D0C" w:rsidRPr="00A841EC" w:rsidRDefault="00F837E5" w:rsidP="00221961">
      <w:pPr>
        <w:ind w:left="720"/>
        <w:jc w:val="center"/>
        <w:rPr>
          <w:rStyle w:val="Hyperlink"/>
          <w:rFonts w:cs="Calibri Light"/>
          <w:color w:val="auto"/>
          <w:sz w:val="20"/>
          <w:szCs w:val="20"/>
        </w:rPr>
      </w:pPr>
      <m:oMathPara>
        <m:oMathParaPr>
          <m:jc m:val="left"/>
        </m:oMathParaPr>
        <m:oMath>
          <m:sSub>
            <m:sSubPr>
              <m:ctrlPr>
                <w:rPr>
                  <w:rFonts w:ascii="Cambria Math" w:eastAsia="Times New Roman" w:hAnsi="Cambria Math" w:cs="Calibri Light"/>
                  <w:i/>
                  <w:sz w:val="20"/>
                  <w:szCs w:val="20"/>
                </w:rPr>
              </m:ctrlPr>
            </m:sSubPr>
            <m:e>
              <m:r>
                <w:rPr>
                  <w:rStyle w:val="Hyperlink"/>
                  <w:rFonts w:ascii="Cambria Math" w:hAnsi="Cambria Math" w:cs="Calibri Light"/>
                  <w:color w:val="auto"/>
                  <w:sz w:val="20"/>
                  <w:szCs w:val="20"/>
                </w:rPr>
                <m:t>t</m:t>
              </m:r>
            </m:e>
            <m:sub>
              <m:r>
                <w:rPr>
                  <w:rStyle w:val="Hyperlink"/>
                  <w:rFonts w:ascii="Cambria Math" w:hAnsi="Cambria Math" w:cs="Calibri Light"/>
                  <w:color w:val="auto"/>
                  <w:sz w:val="20"/>
                  <w:szCs w:val="20"/>
                </w:rPr>
                <m:t>Burner ON</m:t>
              </m:r>
            </m:sub>
          </m:sSub>
          <m:r>
            <w:rPr>
              <w:rStyle w:val="Hyperlink"/>
              <w:rFonts w:ascii="Cambria Math" w:hAnsi="Cambria Math" w:cs="Calibri Light"/>
              <w:color w:val="auto"/>
              <w:sz w:val="20"/>
              <w:szCs w:val="20"/>
            </w:rPr>
            <m:t>=S*</m:t>
          </m:r>
          <m:nary>
            <m:naryPr>
              <m:chr m:val="∑"/>
              <m:limLoc m:val="undOvr"/>
              <m:ctrlPr>
                <w:rPr>
                  <w:rFonts w:ascii="Cambria Math" w:eastAsia="Times New Roman" w:hAnsi="Cambria Math" w:cs="Calibri Light"/>
                  <w:i/>
                  <w:sz w:val="20"/>
                  <w:szCs w:val="20"/>
                </w:rPr>
              </m:ctrlPr>
            </m:naryPr>
            <m:sub>
              <m:r>
                <w:rPr>
                  <w:rStyle w:val="Hyperlink"/>
                  <w:rFonts w:ascii="Cambria Math" w:hAnsi="Cambria Math" w:cs="Calibri Light"/>
                  <w:color w:val="auto"/>
                  <w:sz w:val="20"/>
                  <w:szCs w:val="20"/>
                </w:rPr>
                <m:t>i=1</m:t>
              </m:r>
            </m:sub>
            <m:sup>
              <m:r>
                <w:rPr>
                  <w:rStyle w:val="Hyperlink"/>
                  <w:rFonts w:ascii="Cambria Math" w:hAnsi="Cambria Math" w:cs="Calibri Light"/>
                  <w:color w:val="auto"/>
                  <w:sz w:val="20"/>
                  <w:szCs w:val="20"/>
                </w:rPr>
                <m:t>8760</m:t>
              </m:r>
            </m:sup>
            <m:e>
              <m:f>
                <m:fPr>
                  <m:ctrlPr>
                    <w:rPr>
                      <w:rFonts w:ascii="Cambria Math" w:eastAsia="Times New Roman" w:hAnsi="Cambria Math" w:cs="Calibri Light"/>
                      <w:i/>
                      <w:sz w:val="20"/>
                      <w:szCs w:val="20"/>
                    </w:rPr>
                  </m:ctrlPr>
                </m:fPr>
                <m:num>
                  <m:d>
                    <m:dPr>
                      <m:ctrlPr>
                        <w:rPr>
                          <w:rFonts w:ascii="Cambria Math" w:eastAsia="Times New Roman" w:hAnsi="Cambria Math" w:cs="Calibri Light"/>
                          <w:i/>
                          <w:sz w:val="20"/>
                          <w:szCs w:val="20"/>
                        </w:rPr>
                      </m:ctrlPr>
                    </m:dPr>
                    <m:e>
                      <m:f>
                        <m:fPr>
                          <m:ctrlPr>
                            <w:rPr>
                              <w:rFonts w:ascii="Cambria Math" w:eastAsia="Times New Roman" w:hAnsi="Cambria Math" w:cs="Calibri Light"/>
                              <w:i/>
                              <w:sz w:val="20"/>
                              <w:szCs w:val="20"/>
                            </w:rPr>
                          </m:ctrlPr>
                        </m:fPr>
                        <m:num>
                          <m:sSub>
                            <m:sSubPr>
                              <m:ctrlPr>
                                <w:rPr>
                                  <w:rFonts w:ascii="Cambria Math" w:eastAsia="Times New Roman" w:hAnsi="Cambria Math" w:cs="Calibri Light"/>
                                  <w:i/>
                                  <w:sz w:val="20"/>
                                  <w:szCs w:val="20"/>
                                  <w:u w:val="single"/>
                                </w:rPr>
                              </m:ctrlPr>
                            </m:sSubPr>
                            <m:e>
                              <m:r>
                                <w:rPr>
                                  <w:rStyle w:val="Hyperlink"/>
                                  <w:rFonts w:ascii="Cambria Math" w:hAnsi="Cambria Math" w:cs="Calibri Light"/>
                                  <w:color w:val="auto"/>
                                  <w:sz w:val="20"/>
                                  <w:szCs w:val="20"/>
                                </w:rPr>
                                <m:t>HDD</m:t>
                              </m:r>
                            </m:e>
                            <m:sub>
                              <m:r>
                                <w:rPr>
                                  <w:rStyle w:val="Hyperlink"/>
                                  <w:rFonts w:ascii="Cambria Math" w:hAnsi="Cambria Math" w:cs="Calibri Light"/>
                                  <w:color w:val="auto"/>
                                  <w:sz w:val="20"/>
                                  <w:szCs w:val="20"/>
                                </w:rPr>
                                <m:t>i</m:t>
                              </m:r>
                            </m:sub>
                          </m:sSub>
                          <m:r>
                            <w:rPr>
                              <w:rStyle w:val="Hyperlink"/>
                              <w:rFonts w:ascii="Cambria Math" w:hAnsi="Cambria Math" w:cs="Calibri Light"/>
                              <w:color w:val="auto"/>
                              <w:sz w:val="20"/>
                              <w:szCs w:val="20"/>
                            </w:rPr>
                            <m:t>*P</m:t>
                          </m:r>
                        </m:num>
                        <m:den>
                          <m:r>
                            <w:rPr>
                              <w:rStyle w:val="Hyperlink"/>
                              <w:rFonts w:ascii="Cambria Math" w:hAnsi="Cambria Math" w:cs="Calibri Light"/>
                              <w:color w:val="auto"/>
                              <w:sz w:val="20"/>
                              <w:szCs w:val="20"/>
                            </w:rPr>
                            <m:t>Area* C</m:t>
                          </m:r>
                        </m:den>
                      </m:f>
                      <m:r>
                        <w:rPr>
                          <w:rStyle w:val="Hyperlink"/>
                          <w:rFonts w:ascii="Cambria Math" w:hAnsi="Cambria Math" w:cs="Calibri Light"/>
                          <w:color w:val="auto"/>
                          <w:sz w:val="20"/>
                          <w:szCs w:val="20"/>
                        </w:rPr>
                        <m:t>*A</m:t>
                      </m:r>
                    </m:e>
                  </m:d>
                  <m:r>
                    <w:rPr>
                      <w:rStyle w:val="Hyperlink"/>
                      <w:rFonts w:ascii="Cambria Math" w:hAnsi="Cambria Math" w:cs="Calibri Light"/>
                      <w:color w:val="auto"/>
                      <w:sz w:val="20"/>
                      <w:szCs w:val="20"/>
                    </w:rPr>
                    <m:t xml:space="preserve">* </m:t>
                  </m:r>
                  <m:f>
                    <m:fPr>
                      <m:ctrlPr>
                        <w:rPr>
                          <w:rFonts w:ascii="Cambria Math" w:eastAsia="Times New Roman" w:hAnsi="Cambria Math" w:cs="Calibri Light"/>
                          <w:i/>
                          <w:sz w:val="20"/>
                          <w:szCs w:val="20"/>
                        </w:rPr>
                      </m:ctrlPr>
                    </m:fPr>
                    <m:num>
                      <m:r>
                        <w:rPr>
                          <w:rStyle w:val="Hyperlink"/>
                          <w:rFonts w:ascii="Cambria Math" w:hAnsi="Cambria Math" w:cs="Calibri Light"/>
                          <w:color w:val="auto"/>
                          <w:sz w:val="20"/>
                          <w:szCs w:val="20"/>
                        </w:rPr>
                        <m:t>100,000 Btu</m:t>
                      </m:r>
                    </m:num>
                    <m:den>
                      <m:r>
                        <w:rPr>
                          <w:rStyle w:val="Hyperlink"/>
                          <w:rFonts w:ascii="Cambria Math" w:hAnsi="Cambria Math" w:cs="Calibri Light"/>
                          <w:color w:val="auto"/>
                          <w:sz w:val="20"/>
                          <w:szCs w:val="20"/>
                        </w:rPr>
                        <m:t>1 Therm</m:t>
                      </m:r>
                    </m:den>
                  </m:f>
                </m:num>
                <m:den>
                  <m:r>
                    <w:rPr>
                      <w:rStyle w:val="Hyperlink"/>
                      <w:rFonts w:ascii="Cambria Math" w:hAnsi="Cambria Math" w:cs="Calibri Light"/>
                      <w:color w:val="auto"/>
                      <w:sz w:val="20"/>
                      <w:szCs w:val="20"/>
                    </w:rPr>
                    <m:t>A</m:t>
                  </m:r>
                </m:den>
              </m:f>
            </m:e>
          </m:nary>
        </m:oMath>
      </m:oMathPara>
    </w:p>
    <w:p w14:paraId="41BBF15C" w14:textId="77777777" w:rsidR="00555D0C" w:rsidRPr="00A841EC" w:rsidRDefault="00555D0C" w:rsidP="00555D0C">
      <w:pPr>
        <w:pStyle w:val="Reminders"/>
        <w:rPr>
          <w:rFonts w:ascii="Calibri Light" w:eastAsiaTheme="majorEastAsia" w:hAnsi="Calibri Light" w:cs="Calibri Light"/>
          <w:i w:val="0"/>
          <w:color w:val="auto"/>
          <w:sz w:val="22"/>
          <w:szCs w:val="22"/>
        </w:rPr>
      </w:pPr>
    </w:p>
    <w:p w14:paraId="71879A93" w14:textId="29CE91D3" w:rsidR="00555D0C" w:rsidRPr="00A841EC" w:rsidRDefault="00F837E5" w:rsidP="00221961">
      <w:pPr>
        <w:spacing w:before="20" w:after="20" w:line="240" w:lineRule="atLeast"/>
        <w:ind w:left="2700" w:hanging="1260"/>
        <w:rPr>
          <w:rStyle w:val="Hyperlink"/>
          <w:rFonts w:ascii="Cambria Math" w:hAnsi="Cambria Math" w:cs="Calibri Light"/>
          <w:i/>
          <w:color w:val="auto"/>
          <w:sz w:val="18"/>
          <w:szCs w:val="18"/>
          <w:u w:val="none"/>
        </w:rPr>
      </w:pPr>
      <m:oMath>
        <m:sSub>
          <m:sSubPr>
            <m:ctrlPr>
              <w:rPr>
                <w:rFonts w:ascii="Cambria Math" w:eastAsia="Times New Roman" w:hAnsi="Cambria Math" w:cs="Calibri Light"/>
                <w:i/>
                <w:sz w:val="18"/>
                <w:szCs w:val="18"/>
              </w:rPr>
            </m:ctrlPr>
          </m:sSubPr>
          <m:e>
            <m:r>
              <w:rPr>
                <w:rStyle w:val="Hyperlink"/>
                <w:rFonts w:ascii="Cambria Math" w:hAnsi="Cambria Math" w:cs="Calibri Light"/>
                <w:color w:val="auto"/>
                <w:sz w:val="18"/>
                <w:szCs w:val="18"/>
              </w:rPr>
              <m:t>t</m:t>
            </m:r>
          </m:e>
          <m:sub>
            <m:r>
              <w:rPr>
                <w:rStyle w:val="Hyperlink"/>
                <w:rFonts w:ascii="Cambria Math" w:hAnsi="Cambria Math" w:cs="Calibri Light"/>
                <w:color w:val="auto"/>
                <w:sz w:val="18"/>
                <w:szCs w:val="18"/>
              </w:rPr>
              <m:t>Burner ON</m:t>
            </m:r>
          </m:sub>
        </m:sSub>
      </m:oMath>
      <w:r w:rsidR="00555D0C" w:rsidRPr="00A841EC">
        <w:rPr>
          <w:rStyle w:val="Hyperlink"/>
          <w:rFonts w:ascii="Cambria Math" w:hAnsi="Cambria Math" w:cs="Calibri Light"/>
          <w:i/>
          <w:color w:val="auto"/>
          <w:sz w:val="18"/>
          <w:szCs w:val="18"/>
          <w:u w:val="none"/>
        </w:rPr>
        <w:t xml:space="preserve"> = </w:t>
      </w:r>
      <w:r w:rsidR="0084093C" w:rsidRPr="00A841EC">
        <w:rPr>
          <w:rStyle w:val="Hyperlink"/>
          <w:rFonts w:ascii="Cambria Math" w:hAnsi="Cambria Math" w:cs="Calibri Light"/>
          <w:i/>
          <w:color w:val="auto"/>
          <w:sz w:val="18"/>
          <w:szCs w:val="18"/>
          <w:u w:val="none"/>
        </w:rPr>
        <w:tab/>
      </w:r>
      <w:r w:rsidR="00555D0C" w:rsidRPr="00A841EC">
        <w:rPr>
          <w:rStyle w:val="Hyperlink"/>
          <w:rFonts w:ascii="Cambria Math" w:hAnsi="Cambria Math" w:cs="Calibri Light"/>
          <w:i/>
          <w:color w:val="auto"/>
          <w:sz w:val="18"/>
          <w:szCs w:val="18"/>
          <w:u w:val="none"/>
        </w:rPr>
        <w:t>Total hours per year the furnace burner is ON.</w:t>
      </w:r>
    </w:p>
    <w:p w14:paraId="7A4200CB" w14:textId="4288F4C6" w:rsidR="00555D0C" w:rsidRPr="00A841EC" w:rsidRDefault="00555D0C" w:rsidP="00221961">
      <w:pPr>
        <w:spacing w:before="20" w:after="20" w:line="240" w:lineRule="atLeast"/>
        <w:ind w:left="2700" w:hanging="1260"/>
        <w:rPr>
          <w:rStyle w:val="Hyperlink"/>
          <w:rFonts w:ascii="Cambria Math" w:hAnsi="Cambria Math" w:cs="Calibri Light"/>
          <w:i/>
          <w:color w:val="auto"/>
          <w:sz w:val="18"/>
          <w:szCs w:val="18"/>
          <w:u w:val="none"/>
        </w:rPr>
      </w:pPr>
      <w:r w:rsidRPr="00A841EC">
        <w:rPr>
          <w:rStyle w:val="Hyperlink"/>
          <w:rFonts w:ascii="Cambria Math" w:hAnsi="Cambria Math" w:cs="Calibri Light"/>
          <w:i/>
          <w:color w:val="auto"/>
          <w:sz w:val="18"/>
          <w:szCs w:val="18"/>
          <w:u w:val="none"/>
        </w:rPr>
        <w:t>S =</w:t>
      </w:r>
      <w:r w:rsidR="00AA0741" w:rsidRPr="00A841EC">
        <w:rPr>
          <w:rStyle w:val="Hyperlink"/>
          <w:rFonts w:ascii="Cambria Math" w:hAnsi="Cambria Math" w:cs="Calibri Light"/>
          <w:i/>
          <w:color w:val="auto"/>
          <w:sz w:val="18"/>
          <w:szCs w:val="18"/>
          <w:u w:val="none"/>
        </w:rPr>
        <w:t xml:space="preserve"> </w:t>
      </w:r>
      <w:r w:rsidR="0084093C" w:rsidRPr="00A841EC">
        <w:rPr>
          <w:rStyle w:val="Hyperlink"/>
          <w:rFonts w:ascii="Cambria Math" w:hAnsi="Cambria Math" w:cs="Calibri Light"/>
          <w:i/>
          <w:color w:val="auto"/>
          <w:sz w:val="18"/>
          <w:szCs w:val="18"/>
          <w:u w:val="none"/>
        </w:rPr>
        <w:tab/>
      </w:r>
      <w:r w:rsidRPr="00A841EC">
        <w:rPr>
          <w:rStyle w:val="Hyperlink"/>
          <w:rFonts w:ascii="Cambria Math" w:hAnsi="Cambria Math" w:cs="Calibri Light"/>
          <w:i/>
          <w:color w:val="auto"/>
          <w:sz w:val="18"/>
          <w:szCs w:val="18"/>
          <w:u w:val="none"/>
        </w:rPr>
        <w:t xml:space="preserve">Scaler to adjust the equations output to reflect the impact of heating only a portion of the home </w:t>
      </w:r>
      <w:r w:rsidR="0079054C" w:rsidRPr="00A841EC">
        <w:rPr>
          <w:rStyle w:val="Hyperlink"/>
          <w:rFonts w:ascii="Cambria Math" w:hAnsi="Cambria Math" w:cs="Calibri Light"/>
          <w:i/>
          <w:color w:val="auto"/>
          <w:sz w:val="18"/>
          <w:szCs w:val="18"/>
          <w:u w:val="none"/>
        </w:rPr>
        <w:t xml:space="preserve">instead of </w:t>
      </w:r>
      <w:r w:rsidRPr="00A841EC">
        <w:rPr>
          <w:rStyle w:val="Hyperlink"/>
          <w:rFonts w:ascii="Cambria Math" w:hAnsi="Cambria Math" w:cs="Calibri Light"/>
          <w:i/>
          <w:color w:val="auto"/>
          <w:sz w:val="18"/>
          <w:szCs w:val="18"/>
          <w:u w:val="none"/>
        </w:rPr>
        <w:t xml:space="preserve">the </w:t>
      </w:r>
      <w:r w:rsidR="0079054C" w:rsidRPr="00A841EC">
        <w:rPr>
          <w:rStyle w:val="Hyperlink"/>
          <w:rFonts w:ascii="Cambria Math" w:hAnsi="Cambria Math" w:cs="Calibri Light"/>
          <w:i/>
          <w:color w:val="auto"/>
          <w:sz w:val="18"/>
          <w:szCs w:val="18"/>
          <w:u w:val="none"/>
        </w:rPr>
        <w:t xml:space="preserve">entire </w:t>
      </w:r>
      <w:r w:rsidRPr="00A841EC">
        <w:rPr>
          <w:rStyle w:val="Hyperlink"/>
          <w:rFonts w:ascii="Cambria Math" w:hAnsi="Cambria Math" w:cs="Calibri Light"/>
          <w:i/>
          <w:color w:val="auto"/>
          <w:sz w:val="18"/>
          <w:szCs w:val="18"/>
          <w:u w:val="none"/>
        </w:rPr>
        <w:t>home</w:t>
      </w:r>
    </w:p>
    <w:p w14:paraId="512574A4" w14:textId="11F36D80" w:rsidR="00555D0C" w:rsidRPr="00A841EC" w:rsidRDefault="00555D0C" w:rsidP="00221961">
      <w:pPr>
        <w:spacing w:before="20" w:after="20" w:line="240" w:lineRule="atLeast"/>
        <w:ind w:left="2700" w:hanging="1260"/>
        <w:rPr>
          <w:rStyle w:val="Hyperlink"/>
          <w:rFonts w:ascii="Cambria Math" w:hAnsi="Cambria Math" w:cs="Calibri Light"/>
          <w:i/>
          <w:color w:val="auto"/>
          <w:sz w:val="18"/>
          <w:szCs w:val="18"/>
          <w:u w:val="none"/>
        </w:rPr>
      </w:pPr>
      <w:r w:rsidRPr="00A841EC">
        <w:rPr>
          <w:rStyle w:val="Hyperlink"/>
          <w:rFonts w:ascii="Cambria Math" w:hAnsi="Cambria Math" w:cs="Calibri Light"/>
          <w:i/>
          <w:color w:val="auto"/>
          <w:sz w:val="18"/>
          <w:szCs w:val="18"/>
          <w:u w:val="none"/>
        </w:rPr>
        <w:t xml:space="preserve">i = </w:t>
      </w:r>
      <w:r w:rsidR="0084093C" w:rsidRPr="00A841EC">
        <w:rPr>
          <w:rStyle w:val="Hyperlink"/>
          <w:rFonts w:ascii="Cambria Math" w:hAnsi="Cambria Math" w:cs="Calibri Light"/>
          <w:i/>
          <w:color w:val="auto"/>
          <w:sz w:val="18"/>
          <w:szCs w:val="18"/>
          <w:u w:val="none"/>
        </w:rPr>
        <w:tab/>
      </w:r>
      <w:r w:rsidRPr="00A841EC">
        <w:rPr>
          <w:rStyle w:val="Hyperlink"/>
          <w:rFonts w:ascii="Cambria Math" w:hAnsi="Cambria Math" w:cs="Calibri Light"/>
          <w:i/>
          <w:color w:val="auto"/>
          <w:sz w:val="18"/>
          <w:szCs w:val="18"/>
          <w:u w:val="none"/>
        </w:rPr>
        <w:t xml:space="preserve">each hour in a year. </w:t>
      </w:r>
    </w:p>
    <w:p w14:paraId="24F88C06" w14:textId="7D5D14D0" w:rsidR="00555D0C" w:rsidRPr="00A841EC" w:rsidRDefault="00F837E5" w:rsidP="00221961">
      <w:pPr>
        <w:pStyle w:val="Reminders"/>
        <w:spacing w:before="20" w:after="20" w:line="240" w:lineRule="atLeast"/>
        <w:ind w:left="2700" w:hanging="1260"/>
        <w:rPr>
          <w:rFonts w:ascii="Cambria Math" w:eastAsiaTheme="majorEastAsia" w:hAnsi="Cambria Math" w:cs="Calibri Light"/>
          <w:color w:val="auto"/>
          <w:sz w:val="18"/>
          <w:szCs w:val="18"/>
        </w:rPr>
      </w:pPr>
      <m:oMath>
        <m:sSub>
          <m:sSubPr>
            <m:ctrlPr>
              <w:rPr>
                <w:rFonts w:ascii="Cambria Math" w:hAnsi="Cambria Math" w:cs="Calibri Light"/>
                <w:sz w:val="18"/>
                <w:szCs w:val="18"/>
              </w:rPr>
            </m:ctrlPr>
          </m:sSubPr>
          <m:e>
            <m:r>
              <w:rPr>
                <w:rFonts w:ascii="Cambria Math" w:hAnsi="Cambria Math" w:cs="Calibri Light"/>
                <w:color w:val="auto"/>
                <w:sz w:val="18"/>
                <w:szCs w:val="18"/>
              </w:rPr>
              <m:t>HDD</m:t>
            </m:r>
          </m:e>
          <m:sub>
            <m:r>
              <w:rPr>
                <w:rFonts w:ascii="Cambria Math" w:hAnsi="Cambria Math" w:cs="Calibri Light"/>
                <w:color w:val="auto"/>
                <w:sz w:val="18"/>
                <w:szCs w:val="18"/>
              </w:rPr>
              <m:t>i</m:t>
            </m:r>
          </m:sub>
        </m:sSub>
      </m:oMath>
      <w:r w:rsidR="00555D0C" w:rsidRPr="00A841EC">
        <w:rPr>
          <w:rFonts w:ascii="Cambria Math" w:hAnsi="Cambria Math" w:cs="Calibri Light"/>
          <w:color w:val="auto"/>
          <w:sz w:val="18"/>
          <w:szCs w:val="18"/>
        </w:rPr>
        <w:t xml:space="preserve"> = </w:t>
      </w:r>
      <w:r w:rsidR="0084093C" w:rsidRPr="00A841EC">
        <w:rPr>
          <w:rFonts w:ascii="Cambria Math" w:hAnsi="Cambria Math" w:cs="Calibri Light"/>
          <w:color w:val="auto"/>
          <w:sz w:val="18"/>
          <w:szCs w:val="18"/>
        </w:rPr>
        <w:tab/>
      </w:r>
      <w:r w:rsidR="00555D0C" w:rsidRPr="00A841EC">
        <w:rPr>
          <w:rFonts w:ascii="Cambria Math" w:hAnsi="Cambria Math" w:cs="Calibri Light"/>
          <w:color w:val="auto"/>
          <w:sz w:val="18"/>
          <w:szCs w:val="18"/>
        </w:rPr>
        <w:t xml:space="preserve">Heating </w:t>
      </w:r>
      <w:r w:rsidR="00DF4B35" w:rsidRPr="00A841EC">
        <w:rPr>
          <w:rFonts w:ascii="Cambria Math" w:hAnsi="Cambria Math" w:cs="Calibri Light"/>
          <w:color w:val="auto"/>
          <w:sz w:val="18"/>
          <w:szCs w:val="18"/>
        </w:rPr>
        <w:t>d</w:t>
      </w:r>
      <w:r w:rsidR="00555D0C" w:rsidRPr="00A841EC">
        <w:rPr>
          <w:rFonts w:ascii="Cambria Math" w:hAnsi="Cambria Math" w:cs="Calibri Light"/>
          <w:color w:val="auto"/>
          <w:sz w:val="18"/>
          <w:szCs w:val="18"/>
        </w:rPr>
        <w:t xml:space="preserve">egree </w:t>
      </w:r>
      <w:r w:rsidR="00DF4B35" w:rsidRPr="00A841EC">
        <w:rPr>
          <w:rFonts w:ascii="Cambria Math" w:hAnsi="Cambria Math" w:cs="Calibri Light"/>
          <w:color w:val="auto"/>
          <w:sz w:val="18"/>
          <w:szCs w:val="18"/>
        </w:rPr>
        <w:t>d</w:t>
      </w:r>
      <w:r w:rsidR="00555D0C" w:rsidRPr="00A841EC">
        <w:rPr>
          <w:rFonts w:ascii="Cambria Math" w:hAnsi="Cambria Math" w:cs="Calibri Light"/>
          <w:color w:val="auto"/>
          <w:sz w:val="18"/>
          <w:szCs w:val="18"/>
        </w:rPr>
        <w:t>ays at each hour in a year</w:t>
      </w:r>
    </w:p>
    <w:p w14:paraId="6E2090DA" w14:textId="6A6A48F4" w:rsidR="00555D0C" w:rsidRPr="00A841EC" w:rsidRDefault="00555D0C" w:rsidP="00221961">
      <w:pPr>
        <w:pStyle w:val="Reminders"/>
        <w:spacing w:before="20" w:after="20" w:line="240" w:lineRule="atLeast"/>
        <w:ind w:left="2700" w:hanging="1260"/>
        <w:rPr>
          <w:rFonts w:ascii="Cambria Math" w:hAnsi="Cambria Math" w:cs="Calibri Light"/>
          <w:color w:val="auto"/>
          <w:sz w:val="18"/>
          <w:szCs w:val="18"/>
        </w:rPr>
      </w:pPr>
      <w:r w:rsidRPr="00A841EC">
        <w:rPr>
          <w:rFonts w:ascii="Cambria Math" w:hAnsi="Cambria Math" w:cs="Calibri Light"/>
          <w:color w:val="auto"/>
          <w:sz w:val="18"/>
          <w:szCs w:val="18"/>
        </w:rPr>
        <w:t xml:space="preserve">P = </w:t>
      </w:r>
      <w:r w:rsidR="0084093C" w:rsidRPr="00A841EC">
        <w:rPr>
          <w:rFonts w:ascii="Cambria Math" w:hAnsi="Cambria Math" w:cs="Calibri Light"/>
          <w:color w:val="auto"/>
          <w:sz w:val="18"/>
          <w:szCs w:val="18"/>
        </w:rPr>
        <w:tab/>
      </w:r>
      <w:r w:rsidRPr="00A841EC">
        <w:rPr>
          <w:rFonts w:ascii="Cambria Math" w:hAnsi="Cambria Math" w:cs="Calibri Light"/>
          <w:color w:val="auto"/>
          <w:sz w:val="18"/>
          <w:szCs w:val="18"/>
        </w:rPr>
        <w:t xml:space="preserve">Regression coefficient </w:t>
      </w:r>
      <w:r w:rsidR="0079054C" w:rsidRPr="00A841EC">
        <w:rPr>
          <w:rStyle w:val="Hyperlink"/>
          <w:rFonts w:ascii="Cambria Math" w:hAnsi="Cambria Math"/>
          <w:color w:val="auto"/>
          <w:sz w:val="18"/>
          <w:u w:val="none"/>
        </w:rPr>
        <w:t xml:space="preserve">(Therm/HDD*home) </w:t>
      </w:r>
    </w:p>
    <w:p w14:paraId="7261F0C1" w14:textId="7F37654C" w:rsidR="00555D0C" w:rsidRPr="00A841EC" w:rsidRDefault="00555D0C" w:rsidP="00221961">
      <w:pPr>
        <w:pStyle w:val="Reminders"/>
        <w:spacing w:before="20" w:after="20" w:line="240" w:lineRule="atLeast"/>
        <w:ind w:left="2700" w:hanging="1260"/>
        <w:rPr>
          <w:rFonts w:ascii="Cambria Math" w:hAnsi="Cambria Math" w:cs="Calibri Light"/>
          <w:color w:val="auto"/>
          <w:sz w:val="18"/>
          <w:szCs w:val="18"/>
        </w:rPr>
      </w:pPr>
      <w:r w:rsidRPr="00A841EC">
        <w:rPr>
          <w:rFonts w:ascii="Cambria Math" w:hAnsi="Cambria Math" w:cs="Calibri Light"/>
          <w:color w:val="auto"/>
          <w:sz w:val="18"/>
          <w:szCs w:val="18"/>
        </w:rPr>
        <w:t xml:space="preserve">Area = </w:t>
      </w:r>
      <w:r w:rsidR="0084093C" w:rsidRPr="00A841EC">
        <w:rPr>
          <w:rFonts w:ascii="Cambria Math" w:hAnsi="Cambria Math" w:cs="Calibri Light"/>
          <w:color w:val="auto"/>
          <w:sz w:val="18"/>
          <w:szCs w:val="18"/>
        </w:rPr>
        <w:tab/>
      </w:r>
      <w:r w:rsidRPr="00A841EC">
        <w:rPr>
          <w:rFonts w:ascii="Cambria Math" w:hAnsi="Cambria Math" w:cs="Calibri Light"/>
          <w:color w:val="auto"/>
          <w:sz w:val="18"/>
          <w:szCs w:val="18"/>
        </w:rPr>
        <w:t xml:space="preserve">Single-family home area </w:t>
      </w:r>
    </w:p>
    <w:p w14:paraId="325E1C2B" w14:textId="4BB2E78A" w:rsidR="00555D0C" w:rsidRPr="00A841EC" w:rsidRDefault="00555D0C" w:rsidP="00221961">
      <w:pPr>
        <w:pStyle w:val="Reminders"/>
        <w:spacing w:before="20" w:after="20" w:line="240" w:lineRule="atLeast"/>
        <w:ind w:left="2700" w:hanging="1260"/>
        <w:rPr>
          <w:rFonts w:ascii="Cambria Math" w:hAnsi="Cambria Math" w:cs="Calibri Light"/>
          <w:color w:val="auto"/>
          <w:sz w:val="18"/>
          <w:szCs w:val="18"/>
        </w:rPr>
      </w:pPr>
      <w:r w:rsidRPr="00A841EC">
        <w:rPr>
          <w:rFonts w:ascii="Cambria Math" w:hAnsi="Cambria Math" w:cs="Calibri Light"/>
          <w:color w:val="auto"/>
          <w:sz w:val="18"/>
          <w:szCs w:val="18"/>
        </w:rPr>
        <w:lastRenderedPageBreak/>
        <w:t xml:space="preserve">C = </w:t>
      </w:r>
      <w:r w:rsidR="0084093C" w:rsidRPr="00A841EC">
        <w:rPr>
          <w:rFonts w:ascii="Cambria Math" w:hAnsi="Cambria Math" w:cs="Calibri Light"/>
          <w:color w:val="auto"/>
          <w:sz w:val="18"/>
          <w:szCs w:val="18"/>
        </w:rPr>
        <w:tab/>
      </w:r>
      <w:r w:rsidRPr="00A841EC">
        <w:rPr>
          <w:rFonts w:ascii="Cambria Math" w:hAnsi="Cambria Math" w:cs="Calibri Light"/>
          <w:color w:val="auto"/>
          <w:sz w:val="18"/>
          <w:szCs w:val="18"/>
        </w:rPr>
        <w:t xml:space="preserve">Fireplace input </w:t>
      </w:r>
      <w:r w:rsidR="0079054C" w:rsidRPr="00A841EC">
        <w:rPr>
          <w:rFonts w:ascii="Cambria Math" w:hAnsi="Cambria Math" w:cs="Calibri Light"/>
          <w:color w:val="auto"/>
          <w:sz w:val="18"/>
          <w:szCs w:val="18"/>
        </w:rPr>
        <w:t xml:space="preserve">rate </w:t>
      </w:r>
      <w:r w:rsidR="005649A9" w:rsidRPr="00A841EC">
        <w:rPr>
          <w:rFonts w:ascii="Cambria Math" w:hAnsi="Cambria Math" w:cs="Calibri Light"/>
          <w:color w:val="000000"/>
          <w:sz w:val="18"/>
          <w:szCs w:val="18"/>
        </w:rPr>
        <w:t>(Btu/hr/ft</w:t>
      </w:r>
      <w:r w:rsidR="005649A9" w:rsidRPr="00A841EC">
        <w:rPr>
          <w:rFonts w:ascii="Cambria Math" w:hAnsi="Cambria Math" w:cs="Calibri Light"/>
          <w:color w:val="000000"/>
          <w:sz w:val="18"/>
          <w:szCs w:val="18"/>
          <w:vertAlign w:val="superscript"/>
        </w:rPr>
        <w:t>2</w:t>
      </w:r>
      <w:r w:rsidR="005649A9" w:rsidRPr="00A841EC">
        <w:rPr>
          <w:rFonts w:ascii="Cambria Math" w:hAnsi="Cambria Math" w:cs="Calibri Light"/>
          <w:color w:val="000000"/>
          <w:sz w:val="18"/>
          <w:szCs w:val="18"/>
        </w:rPr>
        <w:t>)</w:t>
      </w:r>
    </w:p>
    <w:p w14:paraId="5F6B616E" w14:textId="435A89B0" w:rsidR="00555D0C" w:rsidRPr="00A841EC" w:rsidRDefault="00555D0C" w:rsidP="00221961">
      <w:pPr>
        <w:pStyle w:val="Reminders"/>
        <w:spacing w:before="20" w:after="20" w:line="240" w:lineRule="atLeast"/>
        <w:ind w:left="2700" w:hanging="1260"/>
        <w:rPr>
          <w:rFonts w:ascii="Cambria Math" w:hAnsi="Cambria Math" w:cs="Calibri Light"/>
          <w:color w:val="auto"/>
          <w:sz w:val="18"/>
          <w:szCs w:val="18"/>
        </w:rPr>
      </w:pPr>
      <w:r w:rsidRPr="00A841EC">
        <w:rPr>
          <w:rFonts w:ascii="Cambria Math" w:hAnsi="Cambria Math" w:cs="Calibri Light"/>
          <w:color w:val="auto"/>
          <w:sz w:val="18"/>
          <w:szCs w:val="18"/>
        </w:rPr>
        <w:t xml:space="preserve">A = </w:t>
      </w:r>
      <w:r w:rsidR="0084093C" w:rsidRPr="00A841EC">
        <w:rPr>
          <w:rFonts w:ascii="Cambria Math" w:hAnsi="Cambria Math" w:cs="Calibri Light"/>
          <w:color w:val="auto"/>
          <w:sz w:val="18"/>
          <w:szCs w:val="18"/>
        </w:rPr>
        <w:tab/>
      </w:r>
      <w:r w:rsidRPr="00A841EC">
        <w:rPr>
          <w:rFonts w:ascii="Cambria Math" w:hAnsi="Cambria Math" w:cs="Calibri Light"/>
          <w:color w:val="auto"/>
          <w:sz w:val="18"/>
          <w:szCs w:val="18"/>
        </w:rPr>
        <w:t xml:space="preserve">Fireplace </w:t>
      </w:r>
      <w:r w:rsidR="008B6A6D" w:rsidRPr="00A841EC">
        <w:rPr>
          <w:rFonts w:ascii="Cambria Math" w:hAnsi="Cambria Math" w:cs="Calibri Light"/>
          <w:color w:val="auto"/>
          <w:sz w:val="18"/>
          <w:szCs w:val="18"/>
        </w:rPr>
        <w:t>o</w:t>
      </w:r>
      <w:r w:rsidRPr="00A841EC">
        <w:rPr>
          <w:rFonts w:ascii="Cambria Math" w:hAnsi="Cambria Math" w:cs="Calibri Light"/>
          <w:color w:val="auto"/>
          <w:sz w:val="18"/>
          <w:szCs w:val="18"/>
        </w:rPr>
        <w:t>utput capacity, (Btu/hr)</w:t>
      </w:r>
    </w:p>
    <w:p w14:paraId="3585A190" w14:textId="69721931" w:rsidR="00555D0C" w:rsidRPr="00A841EC" w:rsidRDefault="00555D0C" w:rsidP="00555D0C">
      <w:pPr>
        <w:pStyle w:val="Reminders"/>
        <w:rPr>
          <w:rFonts w:ascii="Calibri Light" w:hAnsi="Calibri Light" w:cs="Calibri Light"/>
          <w:i w:val="0"/>
          <w:color w:val="auto"/>
          <w:sz w:val="22"/>
          <w:szCs w:val="22"/>
        </w:rPr>
      </w:pPr>
    </w:p>
    <w:p w14:paraId="3213E723" w14:textId="4DC45DAD" w:rsidR="0084093C" w:rsidRPr="00A841EC" w:rsidRDefault="0084093C">
      <w:r w:rsidRPr="00A841EC">
        <w:t xml:space="preserve">The </w:t>
      </w:r>
      <w:r w:rsidR="00555D0C" w:rsidRPr="00A841EC">
        <w:rPr>
          <w:b/>
          <w:bCs/>
        </w:rPr>
        <w:t>regression coefficient</w:t>
      </w:r>
      <w:r w:rsidR="00555D0C" w:rsidRPr="00A841EC">
        <w:t xml:space="preserve"> relates HDD and furnace size per home </w:t>
      </w:r>
      <w:r w:rsidR="00991C23" w:rsidRPr="00A841EC">
        <w:t xml:space="preserve">and </w:t>
      </w:r>
      <w:r w:rsidRPr="00A841EC">
        <w:t xml:space="preserve">was determined </w:t>
      </w:r>
      <w:r w:rsidR="00555D0C" w:rsidRPr="00A841EC">
        <w:t xml:space="preserve">using all data from all </w:t>
      </w:r>
      <w:r w:rsidR="0079054C" w:rsidRPr="00A841EC">
        <w:t xml:space="preserve">climate zones </w:t>
      </w:r>
      <w:r w:rsidR="00555D0C" w:rsidRPr="00A841EC">
        <w:t xml:space="preserve">and does not </w:t>
      </w:r>
      <w:r w:rsidR="0079054C" w:rsidRPr="00A841EC">
        <w:t>vary by climate zone</w:t>
      </w:r>
      <w:r w:rsidR="00555D0C" w:rsidRPr="00A841EC">
        <w:t xml:space="preserve">. </w:t>
      </w:r>
    </w:p>
    <w:p w14:paraId="1AC93A86" w14:textId="45635C34" w:rsidR="0084093C" w:rsidRPr="00A841EC" w:rsidRDefault="0084093C">
      <w:r w:rsidRPr="00A841EC">
        <w:t>T</w:t>
      </w:r>
      <w:r w:rsidR="00555D0C" w:rsidRPr="00A841EC">
        <w:t xml:space="preserve">he </w:t>
      </w:r>
      <w:r w:rsidR="00555D0C" w:rsidRPr="00A841EC">
        <w:rPr>
          <w:b/>
          <w:bCs/>
        </w:rPr>
        <w:t>average furnace input rate</w:t>
      </w:r>
      <w:r w:rsidR="00555D0C" w:rsidRPr="00A841EC">
        <w:t xml:space="preserve"> per square foot over all </w:t>
      </w:r>
      <w:r w:rsidRPr="00A841EC">
        <w:t xml:space="preserve">climate zones was </w:t>
      </w:r>
      <w:r w:rsidR="00555D0C" w:rsidRPr="00A841EC">
        <w:t xml:space="preserve">from </w:t>
      </w:r>
      <w:r w:rsidR="00555D0C" w:rsidRPr="00A841EC">
        <w:rPr>
          <w:b/>
        </w:rPr>
        <w:t>Attachment F</w:t>
      </w:r>
      <w:r w:rsidR="007008D3" w:rsidRPr="00A841EC">
        <w:rPr>
          <w:rStyle w:val="FootnoteReference"/>
          <w:b/>
        </w:rPr>
        <w:footnoteReference w:id="16"/>
      </w:r>
      <w:r w:rsidR="00555D0C" w:rsidRPr="00A841EC">
        <w:t xml:space="preserve">. This </w:t>
      </w:r>
      <w:r w:rsidRPr="00A841EC">
        <w:t xml:space="preserve">analysis </w:t>
      </w:r>
      <w:r w:rsidR="00555D0C" w:rsidRPr="00A841EC">
        <w:t xml:space="preserve">assumes that manufacturers will not manufacture a unique fireplace for each </w:t>
      </w:r>
      <w:r w:rsidRPr="00A841EC">
        <w:t>climate zone</w:t>
      </w:r>
      <w:r w:rsidR="00555D0C" w:rsidRPr="00A841EC">
        <w:t xml:space="preserve">. </w:t>
      </w:r>
    </w:p>
    <w:p w14:paraId="6293DAAA" w14:textId="0676E8AF" w:rsidR="00555D0C" w:rsidRPr="00A841EC" w:rsidRDefault="00555D0C" w:rsidP="003F7CD4">
      <w:r w:rsidRPr="00A841EC">
        <w:t xml:space="preserve">The </w:t>
      </w:r>
      <w:r w:rsidRPr="00A841EC">
        <w:rPr>
          <w:b/>
          <w:bCs/>
        </w:rPr>
        <w:t>fireplace output capacity</w:t>
      </w:r>
      <w:r w:rsidRPr="00A841EC">
        <w:t>, A, cancels out in this equation.</w:t>
      </w:r>
    </w:p>
    <w:p w14:paraId="5EAFDE1C" w14:textId="51A6EE11" w:rsidR="00AE691B" w:rsidRPr="00A841EC" w:rsidRDefault="0079054C" w:rsidP="00221961">
      <w:r w:rsidRPr="00A841EC">
        <w:rPr>
          <w:b/>
          <w:bCs/>
        </w:rPr>
        <w:t>Scaling Factor to Adjust Portion of Home Heated.</w:t>
      </w:r>
      <w:r w:rsidRPr="00A841EC">
        <w:t xml:space="preserve"> </w:t>
      </w:r>
      <w:r w:rsidR="00555D0C" w:rsidRPr="00A841EC">
        <w:t xml:space="preserve">Because fireplaces would only be expected to heat a room (plus some adjacent hall or neighboring room space) in a residence, the time the burner is </w:t>
      </w:r>
      <w:r w:rsidR="0084093C" w:rsidRPr="00A841EC">
        <w:t xml:space="preserve">ON </w:t>
      </w:r>
      <w:r w:rsidR="00555D0C" w:rsidRPr="00A841EC">
        <w:t>is scaled down to account for not needing to heat the whole house. Typical room dimensions of a living or family room range from 70 ft</w:t>
      </w:r>
      <w:r w:rsidR="00555D0C" w:rsidRPr="00A841EC">
        <w:rPr>
          <w:vertAlign w:val="superscript"/>
        </w:rPr>
        <w:t>2</w:t>
      </w:r>
      <w:r w:rsidR="00555D0C" w:rsidRPr="00A841EC">
        <w:t xml:space="preserve"> to 616 ft</w:t>
      </w:r>
      <w:r w:rsidR="00555D0C" w:rsidRPr="00A841EC">
        <w:rPr>
          <w:vertAlign w:val="superscript"/>
        </w:rPr>
        <w:t>2</w:t>
      </w:r>
      <w:r w:rsidR="00555D0C" w:rsidRPr="00A841EC">
        <w:t xml:space="preserve"> (7 ft </w:t>
      </w:r>
      <w:r w:rsidR="00991C23" w:rsidRPr="00A841EC">
        <w:t xml:space="preserve">x </w:t>
      </w:r>
      <w:r w:rsidR="00555D0C" w:rsidRPr="00A841EC">
        <w:t xml:space="preserve">10 ft to 22 ft </w:t>
      </w:r>
      <w:r w:rsidR="00991C23" w:rsidRPr="00A841EC">
        <w:t xml:space="preserve">x </w:t>
      </w:r>
      <w:r w:rsidR="00555D0C" w:rsidRPr="00A841EC">
        <w:t>28 ft) depending on the size of the home.</w:t>
      </w:r>
      <w:r w:rsidR="00555D0C" w:rsidRPr="00A841EC">
        <w:rPr>
          <w:rStyle w:val="FootnoteReference"/>
          <w:rFonts w:cs="Calibri Light"/>
          <w:i/>
          <w:szCs w:val="22"/>
        </w:rPr>
        <w:footnoteReference w:id="17"/>
      </w:r>
      <w:r w:rsidR="00555D0C" w:rsidRPr="00A841EC">
        <w:t xml:space="preserve"> </w:t>
      </w:r>
      <w:r w:rsidR="000D636D" w:rsidRPr="00A841EC">
        <w:t xml:space="preserve">This measure analysis assumes the </w:t>
      </w:r>
      <w:r w:rsidR="00555D0C" w:rsidRPr="00A841EC">
        <w:t>fireplace heat</w:t>
      </w:r>
      <w:r w:rsidR="000D636D" w:rsidRPr="00A841EC">
        <w:t>s</w:t>
      </w:r>
      <w:r w:rsidR="00555D0C" w:rsidRPr="00A841EC">
        <w:t xml:space="preserve"> a floor space of 20 ft </w:t>
      </w:r>
      <w:r w:rsidR="00991C23" w:rsidRPr="00A841EC">
        <w:t xml:space="preserve">x </w:t>
      </w:r>
      <w:r w:rsidR="00555D0C" w:rsidRPr="00A841EC">
        <w:t>20 ft (400 ft</w:t>
      </w:r>
      <w:r w:rsidR="00555D0C" w:rsidRPr="00A841EC">
        <w:rPr>
          <w:vertAlign w:val="superscript"/>
        </w:rPr>
        <w:t>2</w:t>
      </w:r>
      <w:r w:rsidR="00555D0C" w:rsidRPr="00A841EC">
        <w:t>). This 400 ft</w:t>
      </w:r>
      <w:r w:rsidR="00555D0C" w:rsidRPr="00A841EC">
        <w:rPr>
          <w:vertAlign w:val="superscript"/>
        </w:rPr>
        <w:t>2</w:t>
      </w:r>
      <w:r w:rsidR="00555D0C" w:rsidRPr="00A841EC">
        <w:t xml:space="preserve"> floor space is </w:t>
      </w:r>
      <w:r w:rsidR="000D636D" w:rsidRPr="00A841EC">
        <w:t xml:space="preserve">greater than </w:t>
      </w:r>
      <w:r w:rsidR="00555D0C" w:rsidRPr="00A841EC">
        <w:t>the middle of the ranges found. It is larger than some living spaces where a hearth would typically be found but a fireplace will typically heat more floor space than just the room</w:t>
      </w:r>
      <w:r w:rsidR="000D636D" w:rsidRPr="00A841EC">
        <w:t xml:space="preserve"> in which</w:t>
      </w:r>
      <w:r w:rsidR="00555D0C" w:rsidRPr="00A841EC">
        <w:t xml:space="preserve"> it is installed. Also, as stated in the LBNL Hearth Study, hearth ownership increases with income.</w:t>
      </w:r>
      <w:r w:rsidR="000D636D" w:rsidRPr="00A841EC">
        <w:rPr>
          <w:rStyle w:val="FootnoteReference"/>
        </w:rPr>
        <w:footnoteReference w:id="18"/>
      </w:r>
      <w:r w:rsidR="00555D0C" w:rsidRPr="00A841EC">
        <w:t xml:space="preserve"> </w:t>
      </w:r>
      <w:r w:rsidR="000D636D" w:rsidRPr="00A841EC">
        <w:t>It is also assumed</w:t>
      </w:r>
      <w:r w:rsidR="00555D0C" w:rsidRPr="00A841EC">
        <w:t xml:space="preserve"> that home size increases with income so a slightly larger than average floor space is appropriate. </w:t>
      </w:r>
    </w:p>
    <w:p w14:paraId="65F4C6BA" w14:textId="6D6D73E7" w:rsidR="000D636D" w:rsidRPr="00A841EC" w:rsidRDefault="00555D0C">
      <w:r w:rsidRPr="00A841EC">
        <w:t xml:space="preserve">Therefore, the burner ON time is decreased by </w:t>
      </w:r>
      <w:r w:rsidR="0079054C" w:rsidRPr="00A841EC">
        <w:t>the ratio of the area heated by the fireplace to the area of a single-family residence (</w:t>
      </w:r>
      <w:r w:rsidRPr="00A841EC">
        <w:t>400/1</w:t>
      </w:r>
      <w:r w:rsidR="000D636D" w:rsidRPr="00A841EC">
        <w:t>,</w:t>
      </w:r>
      <w:r w:rsidRPr="00A841EC">
        <w:t>366</w:t>
      </w:r>
      <w:r w:rsidR="0079054C" w:rsidRPr="00A841EC">
        <w:t>)</w:t>
      </w:r>
      <w:r w:rsidRPr="00A841EC">
        <w:t>, or 29%. This results in burner ON hours from 85</w:t>
      </w:r>
      <w:r w:rsidR="000D636D" w:rsidRPr="00A841EC">
        <w:t xml:space="preserve"> to </w:t>
      </w:r>
      <w:r w:rsidRPr="00A841EC">
        <w:t>404 hours (3</w:t>
      </w:r>
      <w:r w:rsidR="000D636D" w:rsidRPr="00A841EC">
        <w:t xml:space="preserve"> to </w:t>
      </w:r>
      <w:r w:rsidRPr="00A841EC">
        <w:t>13 hours</w:t>
      </w:r>
      <w:r w:rsidR="000D636D" w:rsidRPr="00A841EC">
        <w:t xml:space="preserve"> per week</w:t>
      </w:r>
      <w:r w:rsidRPr="00A841EC">
        <w:t xml:space="preserve"> </w:t>
      </w:r>
      <w:r w:rsidR="007413DF" w:rsidRPr="00A841EC">
        <w:t xml:space="preserve">during </w:t>
      </w:r>
      <w:r w:rsidRPr="00A841EC">
        <w:t xml:space="preserve">a 30-week heating season) depending on the climate zone. This is </w:t>
      </w:r>
      <w:r w:rsidR="000D636D" w:rsidRPr="00A841EC">
        <w:t>consistent</w:t>
      </w:r>
      <w:r w:rsidRPr="00A841EC">
        <w:t xml:space="preserve"> with expectations from the 15 </w:t>
      </w:r>
      <w:r w:rsidR="000D636D" w:rsidRPr="00A841EC">
        <w:t>hours per week</w:t>
      </w:r>
      <w:r w:rsidRPr="00A841EC">
        <w:t xml:space="preserve"> burner ON hours published in the Northwest Natural’s 2015 Energy Efficiency Plan (600 hours across a 40-week heating season)</w:t>
      </w:r>
      <w:r w:rsidR="007413DF" w:rsidRPr="00A841EC">
        <w:rPr>
          <w:rStyle w:val="FootnoteReference"/>
        </w:rPr>
        <w:footnoteReference w:id="19"/>
      </w:r>
      <w:r w:rsidRPr="00A841EC">
        <w:t xml:space="preserve"> and the 234 burner ON hours per year from </w:t>
      </w:r>
      <w:r w:rsidR="0084093C" w:rsidRPr="00A841EC">
        <w:t xml:space="preserve">the </w:t>
      </w:r>
      <w:r w:rsidRPr="00A841EC">
        <w:t>LBNL Hearth Study.</w:t>
      </w:r>
      <w:r w:rsidR="00991C23" w:rsidRPr="00A841EC">
        <w:rPr>
          <w:rStyle w:val="FootnoteReference"/>
        </w:rPr>
        <w:footnoteReference w:id="20"/>
      </w:r>
      <w:r w:rsidRPr="00A841EC">
        <w:t xml:space="preserve"> </w:t>
      </w:r>
      <w:r w:rsidR="008732A4" w:rsidRPr="00A841EC">
        <w:t>In the Southern California Gas Company’s (</w:t>
      </w:r>
      <w:r w:rsidRPr="00A841EC">
        <w:t>SCG’s</w:t>
      </w:r>
      <w:r w:rsidR="008732A4" w:rsidRPr="00A841EC">
        <w:t>)</w:t>
      </w:r>
      <w:r w:rsidRPr="00A841EC">
        <w:t xml:space="preserve"> most populous climate zones, 8 and 9, </w:t>
      </w:r>
      <w:r w:rsidR="008732A4" w:rsidRPr="00A841EC">
        <w:t xml:space="preserve">there is an average of </w:t>
      </w:r>
      <w:r w:rsidRPr="00A841EC">
        <w:t xml:space="preserve">4.2 and 4.9 </w:t>
      </w:r>
      <w:r w:rsidR="0084093C" w:rsidRPr="00A841EC">
        <w:t>hours per week</w:t>
      </w:r>
      <w:r w:rsidRPr="00A841EC">
        <w:t xml:space="preserve"> of operation, respectively, which is reasonable given the more temperate climate in these </w:t>
      </w:r>
      <w:r w:rsidR="008732A4" w:rsidRPr="00A841EC">
        <w:t xml:space="preserve">climate zones </w:t>
      </w:r>
      <w:r w:rsidRPr="00A841EC">
        <w:t>(respectively 127 and 148 hours per 30-week heating season).</w:t>
      </w:r>
    </w:p>
    <w:p w14:paraId="6129F98C" w14:textId="2CA1BFCA" w:rsidR="00555D0C" w:rsidRPr="00A841EC" w:rsidRDefault="000D636D" w:rsidP="003F7CD4">
      <w:r w:rsidRPr="00A841EC">
        <w:t xml:space="preserve">The table below provides </w:t>
      </w:r>
      <w:r w:rsidR="00555D0C" w:rsidRPr="00A841EC">
        <w:t xml:space="preserve">the burner operating hours </w:t>
      </w:r>
      <w:r w:rsidRPr="00A841EC">
        <w:t>calculated with the above</w:t>
      </w:r>
      <w:r w:rsidR="00555D0C" w:rsidRPr="00A841EC">
        <w:t xml:space="preserve"> equation. </w:t>
      </w:r>
    </w:p>
    <w:p w14:paraId="22575EC1" w14:textId="40A89744" w:rsidR="00555D0C" w:rsidRPr="00A841EC" w:rsidRDefault="00555D0C" w:rsidP="00A04BF1">
      <w:pPr>
        <w:pStyle w:val="Caption"/>
      </w:pPr>
      <w:r w:rsidRPr="00A841EC">
        <w:t>Burner Operating Hours by Climate Zone</w:t>
      </w:r>
    </w:p>
    <w:tbl>
      <w:tblPr>
        <w:tblW w:w="3669"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58" w:type="dxa"/>
          <w:right w:w="58" w:type="dxa"/>
        </w:tblCellMar>
        <w:tblLook w:val="04A0" w:firstRow="1" w:lastRow="0" w:firstColumn="1" w:lastColumn="0" w:noHBand="0" w:noVBand="1"/>
      </w:tblPr>
      <w:tblGrid>
        <w:gridCol w:w="864"/>
        <w:gridCol w:w="1152"/>
        <w:gridCol w:w="1653"/>
      </w:tblGrid>
      <w:tr w:rsidR="00555D0C" w:rsidRPr="00A841EC" w14:paraId="66AAE585" w14:textId="77777777" w:rsidTr="008732A4">
        <w:trPr>
          <w:trHeight w:val="20"/>
          <w:tblHeader/>
        </w:trPr>
        <w:tc>
          <w:tcPr>
            <w:tcW w:w="864" w:type="dxa"/>
            <w:shd w:val="clear" w:color="auto" w:fill="F2F2F2" w:themeFill="background1" w:themeFillShade="F2"/>
            <w:vAlign w:val="bottom"/>
            <w:hideMark/>
          </w:tcPr>
          <w:p w14:paraId="0CDAE55D" w14:textId="77777777" w:rsidR="00555D0C" w:rsidRPr="00A841EC" w:rsidRDefault="00555D0C" w:rsidP="007413DF">
            <w:pPr>
              <w:spacing w:before="0" w:after="0" w:line="240" w:lineRule="auto"/>
              <w:jc w:val="center"/>
              <w:rPr>
                <w:rFonts w:cs="Calibri Light"/>
                <w:b/>
                <w:bCs/>
                <w:color w:val="000000"/>
                <w:sz w:val="20"/>
                <w:szCs w:val="20"/>
              </w:rPr>
            </w:pPr>
            <w:r w:rsidRPr="00A841EC">
              <w:rPr>
                <w:rFonts w:cs="Calibri Light"/>
                <w:b/>
                <w:bCs/>
                <w:color w:val="000000"/>
                <w:sz w:val="20"/>
                <w:szCs w:val="20"/>
              </w:rPr>
              <w:t>Climate Zone</w:t>
            </w:r>
          </w:p>
        </w:tc>
        <w:tc>
          <w:tcPr>
            <w:tcW w:w="1152" w:type="dxa"/>
            <w:shd w:val="clear" w:color="auto" w:fill="F2F2F2" w:themeFill="background1" w:themeFillShade="F2"/>
            <w:vAlign w:val="bottom"/>
            <w:hideMark/>
          </w:tcPr>
          <w:p w14:paraId="449DCCB1" w14:textId="77777777" w:rsidR="00555D0C" w:rsidRPr="00A841EC" w:rsidRDefault="00555D0C" w:rsidP="007413DF">
            <w:pPr>
              <w:spacing w:before="0" w:after="0" w:line="240" w:lineRule="auto"/>
              <w:jc w:val="center"/>
              <w:rPr>
                <w:rFonts w:cs="Calibri Light"/>
                <w:b/>
                <w:bCs/>
                <w:color w:val="000000"/>
                <w:sz w:val="20"/>
                <w:szCs w:val="20"/>
              </w:rPr>
            </w:pPr>
            <w:r w:rsidRPr="00A841EC">
              <w:rPr>
                <w:rFonts w:cs="Calibri Light"/>
                <w:b/>
                <w:bCs/>
                <w:color w:val="000000"/>
                <w:sz w:val="20"/>
                <w:szCs w:val="20"/>
              </w:rPr>
              <w:t>HDD</w:t>
            </w:r>
          </w:p>
        </w:tc>
        <w:tc>
          <w:tcPr>
            <w:tcW w:w="1653" w:type="dxa"/>
            <w:shd w:val="clear" w:color="auto" w:fill="F2F2F2" w:themeFill="background1" w:themeFillShade="F2"/>
            <w:vAlign w:val="bottom"/>
            <w:hideMark/>
          </w:tcPr>
          <w:p w14:paraId="74C28D12" w14:textId="7BE88CAF" w:rsidR="00555D0C" w:rsidRPr="00A841EC" w:rsidRDefault="00555D0C" w:rsidP="007413DF">
            <w:pPr>
              <w:spacing w:before="0" w:after="0" w:line="240" w:lineRule="auto"/>
              <w:jc w:val="center"/>
              <w:rPr>
                <w:rFonts w:cs="Calibri Light"/>
                <w:b/>
                <w:bCs/>
                <w:color w:val="000000"/>
                <w:sz w:val="20"/>
                <w:szCs w:val="20"/>
              </w:rPr>
            </w:pPr>
            <w:r w:rsidRPr="00A841EC">
              <w:rPr>
                <w:rFonts w:cs="Calibri Light"/>
                <w:b/>
                <w:bCs/>
                <w:color w:val="000000"/>
                <w:sz w:val="20"/>
                <w:szCs w:val="20"/>
              </w:rPr>
              <w:t xml:space="preserve">Burner </w:t>
            </w:r>
            <w:r w:rsidR="0084093C" w:rsidRPr="00A841EC">
              <w:rPr>
                <w:rFonts w:cs="Calibri Light"/>
                <w:b/>
                <w:bCs/>
                <w:color w:val="000000"/>
                <w:sz w:val="20"/>
                <w:szCs w:val="20"/>
              </w:rPr>
              <w:br/>
            </w:r>
            <w:r w:rsidRPr="00A841EC">
              <w:rPr>
                <w:rFonts w:cs="Calibri Light"/>
                <w:b/>
                <w:bCs/>
                <w:color w:val="000000"/>
                <w:sz w:val="20"/>
                <w:szCs w:val="20"/>
              </w:rPr>
              <w:t xml:space="preserve">Operating Hours </w:t>
            </w:r>
            <w:r w:rsidR="0084093C" w:rsidRPr="00A841EC">
              <w:rPr>
                <w:rFonts w:cs="Calibri Light"/>
                <w:b/>
                <w:bCs/>
                <w:color w:val="000000"/>
                <w:sz w:val="20"/>
                <w:szCs w:val="20"/>
              </w:rPr>
              <w:br/>
            </w:r>
            <w:r w:rsidRPr="00A841EC">
              <w:rPr>
                <w:rFonts w:cs="Calibri Light"/>
                <w:b/>
                <w:bCs/>
                <w:color w:val="000000"/>
                <w:sz w:val="20"/>
                <w:szCs w:val="20"/>
              </w:rPr>
              <w:t>(hrs/wk</w:t>
            </w:r>
            <w:r w:rsidR="000D636D" w:rsidRPr="00A841EC">
              <w:rPr>
                <w:rFonts w:cs="Calibri Light"/>
                <w:b/>
                <w:bCs/>
                <w:color w:val="000000"/>
                <w:sz w:val="20"/>
                <w:szCs w:val="20"/>
              </w:rPr>
              <w:t>)</w:t>
            </w:r>
          </w:p>
        </w:tc>
      </w:tr>
      <w:tr w:rsidR="00555D0C" w:rsidRPr="00A841EC" w14:paraId="37526344" w14:textId="77777777" w:rsidTr="008732A4">
        <w:trPr>
          <w:trHeight w:val="20"/>
        </w:trPr>
        <w:tc>
          <w:tcPr>
            <w:tcW w:w="864" w:type="dxa"/>
            <w:noWrap/>
            <w:vAlign w:val="center"/>
            <w:hideMark/>
          </w:tcPr>
          <w:p w14:paraId="4534146E"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1</w:t>
            </w:r>
          </w:p>
        </w:tc>
        <w:tc>
          <w:tcPr>
            <w:tcW w:w="1152" w:type="dxa"/>
            <w:noWrap/>
            <w:vAlign w:val="center"/>
            <w:hideMark/>
          </w:tcPr>
          <w:p w14:paraId="7A009620"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5,094</w:t>
            </w:r>
          </w:p>
        </w:tc>
        <w:tc>
          <w:tcPr>
            <w:tcW w:w="1653" w:type="dxa"/>
            <w:vAlign w:val="center"/>
            <w:hideMark/>
          </w:tcPr>
          <w:p w14:paraId="038C457C"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10.3</w:t>
            </w:r>
          </w:p>
        </w:tc>
      </w:tr>
      <w:tr w:rsidR="00555D0C" w:rsidRPr="00A841EC" w14:paraId="4E048D03" w14:textId="77777777" w:rsidTr="008732A4">
        <w:trPr>
          <w:trHeight w:val="20"/>
        </w:trPr>
        <w:tc>
          <w:tcPr>
            <w:tcW w:w="864" w:type="dxa"/>
            <w:noWrap/>
            <w:vAlign w:val="center"/>
            <w:hideMark/>
          </w:tcPr>
          <w:p w14:paraId="6EB6EA89"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lastRenderedPageBreak/>
              <w:t>2</w:t>
            </w:r>
          </w:p>
        </w:tc>
        <w:tc>
          <w:tcPr>
            <w:tcW w:w="1152" w:type="dxa"/>
            <w:noWrap/>
            <w:vAlign w:val="center"/>
            <w:hideMark/>
          </w:tcPr>
          <w:p w14:paraId="7A508ADE"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3,835</w:t>
            </w:r>
          </w:p>
        </w:tc>
        <w:tc>
          <w:tcPr>
            <w:tcW w:w="1653" w:type="dxa"/>
            <w:vAlign w:val="center"/>
            <w:hideMark/>
          </w:tcPr>
          <w:p w14:paraId="7EEC65A6"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8.2</w:t>
            </w:r>
          </w:p>
        </w:tc>
      </w:tr>
      <w:tr w:rsidR="00555D0C" w:rsidRPr="00A841EC" w14:paraId="3F743DE5" w14:textId="77777777" w:rsidTr="008732A4">
        <w:trPr>
          <w:trHeight w:val="20"/>
        </w:trPr>
        <w:tc>
          <w:tcPr>
            <w:tcW w:w="864" w:type="dxa"/>
            <w:noWrap/>
            <w:vAlign w:val="center"/>
            <w:hideMark/>
          </w:tcPr>
          <w:p w14:paraId="1FA281BC"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3</w:t>
            </w:r>
          </w:p>
        </w:tc>
        <w:tc>
          <w:tcPr>
            <w:tcW w:w="1152" w:type="dxa"/>
            <w:noWrap/>
            <w:vAlign w:val="center"/>
            <w:hideMark/>
          </w:tcPr>
          <w:p w14:paraId="3857D460"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3,257</w:t>
            </w:r>
          </w:p>
        </w:tc>
        <w:tc>
          <w:tcPr>
            <w:tcW w:w="1653" w:type="dxa"/>
            <w:vAlign w:val="bottom"/>
            <w:hideMark/>
          </w:tcPr>
          <w:p w14:paraId="1C7B40DE"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7.3</w:t>
            </w:r>
          </w:p>
        </w:tc>
      </w:tr>
      <w:tr w:rsidR="00555D0C" w:rsidRPr="00A841EC" w14:paraId="432BC83C" w14:textId="77777777" w:rsidTr="008732A4">
        <w:trPr>
          <w:trHeight w:val="20"/>
        </w:trPr>
        <w:tc>
          <w:tcPr>
            <w:tcW w:w="864" w:type="dxa"/>
            <w:noWrap/>
            <w:vAlign w:val="center"/>
            <w:hideMark/>
          </w:tcPr>
          <w:p w14:paraId="69774B56"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4</w:t>
            </w:r>
          </w:p>
        </w:tc>
        <w:tc>
          <w:tcPr>
            <w:tcW w:w="1152" w:type="dxa"/>
            <w:noWrap/>
            <w:vAlign w:val="center"/>
            <w:hideMark/>
          </w:tcPr>
          <w:p w14:paraId="20921795"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3,050</w:t>
            </w:r>
          </w:p>
        </w:tc>
        <w:tc>
          <w:tcPr>
            <w:tcW w:w="1653" w:type="dxa"/>
            <w:vAlign w:val="bottom"/>
            <w:hideMark/>
          </w:tcPr>
          <w:p w14:paraId="1F9F73D7"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7.0</w:t>
            </w:r>
          </w:p>
        </w:tc>
      </w:tr>
      <w:tr w:rsidR="00555D0C" w:rsidRPr="00A841EC" w14:paraId="1C8E45FD" w14:textId="77777777" w:rsidTr="008732A4">
        <w:trPr>
          <w:trHeight w:val="20"/>
        </w:trPr>
        <w:tc>
          <w:tcPr>
            <w:tcW w:w="864" w:type="dxa"/>
            <w:noWrap/>
            <w:vAlign w:val="center"/>
            <w:hideMark/>
          </w:tcPr>
          <w:p w14:paraId="01AD8A6E"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5</w:t>
            </w:r>
          </w:p>
        </w:tc>
        <w:tc>
          <w:tcPr>
            <w:tcW w:w="1152" w:type="dxa"/>
            <w:noWrap/>
            <w:vAlign w:val="center"/>
            <w:hideMark/>
          </w:tcPr>
          <w:p w14:paraId="79A44F43"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3,715</w:t>
            </w:r>
          </w:p>
        </w:tc>
        <w:tc>
          <w:tcPr>
            <w:tcW w:w="1653" w:type="dxa"/>
            <w:vAlign w:val="bottom"/>
            <w:hideMark/>
          </w:tcPr>
          <w:p w14:paraId="2F81AB1D"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7.9</w:t>
            </w:r>
          </w:p>
        </w:tc>
      </w:tr>
      <w:tr w:rsidR="00555D0C" w:rsidRPr="00A841EC" w14:paraId="1FC27DFD" w14:textId="77777777" w:rsidTr="008732A4">
        <w:trPr>
          <w:trHeight w:val="20"/>
        </w:trPr>
        <w:tc>
          <w:tcPr>
            <w:tcW w:w="864" w:type="dxa"/>
            <w:noWrap/>
            <w:vAlign w:val="center"/>
            <w:hideMark/>
          </w:tcPr>
          <w:p w14:paraId="191FB535"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6</w:t>
            </w:r>
          </w:p>
        </w:tc>
        <w:tc>
          <w:tcPr>
            <w:tcW w:w="1152" w:type="dxa"/>
            <w:noWrap/>
            <w:vAlign w:val="center"/>
            <w:hideMark/>
          </w:tcPr>
          <w:p w14:paraId="707771DE"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2,013</w:t>
            </w:r>
          </w:p>
        </w:tc>
        <w:tc>
          <w:tcPr>
            <w:tcW w:w="1653" w:type="dxa"/>
            <w:vAlign w:val="bottom"/>
            <w:hideMark/>
          </w:tcPr>
          <w:p w14:paraId="315833A8"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4.9</w:t>
            </w:r>
          </w:p>
        </w:tc>
      </w:tr>
      <w:tr w:rsidR="00555D0C" w:rsidRPr="00A841EC" w14:paraId="6B6C8087" w14:textId="77777777" w:rsidTr="008732A4">
        <w:trPr>
          <w:trHeight w:val="20"/>
        </w:trPr>
        <w:tc>
          <w:tcPr>
            <w:tcW w:w="864" w:type="dxa"/>
            <w:noWrap/>
            <w:vAlign w:val="center"/>
            <w:hideMark/>
          </w:tcPr>
          <w:p w14:paraId="0368111B"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7</w:t>
            </w:r>
          </w:p>
        </w:tc>
        <w:tc>
          <w:tcPr>
            <w:tcW w:w="1152" w:type="dxa"/>
            <w:noWrap/>
            <w:vAlign w:val="center"/>
            <w:hideMark/>
          </w:tcPr>
          <w:p w14:paraId="4A64E325"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1,478</w:t>
            </w:r>
          </w:p>
        </w:tc>
        <w:tc>
          <w:tcPr>
            <w:tcW w:w="1653" w:type="dxa"/>
            <w:vAlign w:val="bottom"/>
            <w:hideMark/>
          </w:tcPr>
          <w:p w14:paraId="1B6ACDF9"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3.9</w:t>
            </w:r>
          </w:p>
        </w:tc>
      </w:tr>
      <w:tr w:rsidR="00555D0C" w:rsidRPr="00A841EC" w14:paraId="123FAC51" w14:textId="77777777" w:rsidTr="008732A4">
        <w:trPr>
          <w:trHeight w:val="20"/>
        </w:trPr>
        <w:tc>
          <w:tcPr>
            <w:tcW w:w="864" w:type="dxa"/>
            <w:noWrap/>
            <w:vAlign w:val="center"/>
            <w:hideMark/>
          </w:tcPr>
          <w:p w14:paraId="3C8BA84A"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8</w:t>
            </w:r>
          </w:p>
        </w:tc>
        <w:tc>
          <w:tcPr>
            <w:tcW w:w="1152" w:type="dxa"/>
            <w:noWrap/>
            <w:vAlign w:val="center"/>
            <w:hideMark/>
          </w:tcPr>
          <w:p w14:paraId="54C3F26D"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1,702</w:t>
            </w:r>
          </w:p>
        </w:tc>
        <w:tc>
          <w:tcPr>
            <w:tcW w:w="1653" w:type="dxa"/>
            <w:vAlign w:val="bottom"/>
            <w:hideMark/>
          </w:tcPr>
          <w:p w14:paraId="7C382DBD"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4.2</w:t>
            </w:r>
          </w:p>
        </w:tc>
      </w:tr>
      <w:tr w:rsidR="00555D0C" w:rsidRPr="00A841EC" w14:paraId="71A6E58A" w14:textId="77777777" w:rsidTr="008732A4">
        <w:trPr>
          <w:trHeight w:val="20"/>
        </w:trPr>
        <w:tc>
          <w:tcPr>
            <w:tcW w:w="864" w:type="dxa"/>
            <w:noWrap/>
            <w:vAlign w:val="center"/>
            <w:hideMark/>
          </w:tcPr>
          <w:p w14:paraId="2FC24E42"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9</w:t>
            </w:r>
          </w:p>
        </w:tc>
        <w:tc>
          <w:tcPr>
            <w:tcW w:w="1152" w:type="dxa"/>
            <w:noWrap/>
            <w:vAlign w:val="center"/>
            <w:hideMark/>
          </w:tcPr>
          <w:p w14:paraId="4C41019C"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2,000</w:t>
            </w:r>
          </w:p>
        </w:tc>
        <w:tc>
          <w:tcPr>
            <w:tcW w:w="1653" w:type="dxa"/>
            <w:vAlign w:val="bottom"/>
            <w:hideMark/>
          </w:tcPr>
          <w:p w14:paraId="74E78A05"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4.9</w:t>
            </w:r>
          </w:p>
        </w:tc>
      </w:tr>
      <w:tr w:rsidR="00555D0C" w:rsidRPr="00A841EC" w14:paraId="76096C6A" w14:textId="77777777" w:rsidTr="008732A4">
        <w:trPr>
          <w:trHeight w:val="20"/>
        </w:trPr>
        <w:tc>
          <w:tcPr>
            <w:tcW w:w="864" w:type="dxa"/>
            <w:noWrap/>
            <w:vAlign w:val="center"/>
            <w:hideMark/>
          </w:tcPr>
          <w:p w14:paraId="2AC0C590"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10</w:t>
            </w:r>
          </w:p>
        </w:tc>
        <w:tc>
          <w:tcPr>
            <w:tcW w:w="1152" w:type="dxa"/>
            <w:noWrap/>
            <w:vAlign w:val="center"/>
            <w:hideMark/>
          </w:tcPr>
          <w:p w14:paraId="4067E47A"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2,240</w:t>
            </w:r>
          </w:p>
        </w:tc>
        <w:tc>
          <w:tcPr>
            <w:tcW w:w="1653" w:type="dxa"/>
            <w:vAlign w:val="bottom"/>
            <w:hideMark/>
          </w:tcPr>
          <w:p w14:paraId="6CB4FAE1"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5.4</w:t>
            </w:r>
          </w:p>
        </w:tc>
      </w:tr>
      <w:tr w:rsidR="00555D0C" w:rsidRPr="00A841EC" w14:paraId="61452629" w14:textId="77777777" w:rsidTr="008732A4">
        <w:trPr>
          <w:trHeight w:val="20"/>
        </w:trPr>
        <w:tc>
          <w:tcPr>
            <w:tcW w:w="864" w:type="dxa"/>
            <w:noWrap/>
            <w:vAlign w:val="center"/>
            <w:hideMark/>
          </w:tcPr>
          <w:p w14:paraId="62912740"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11</w:t>
            </w:r>
          </w:p>
        </w:tc>
        <w:tc>
          <w:tcPr>
            <w:tcW w:w="1152" w:type="dxa"/>
            <w:noWrap/>
            <w:vAlign w:val="center"/>
            <w:hideMark/>
          </w:tcPr>
          <w:p w14:paraId="759BAF1E"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3,027</w:t>
            </w:r>
          </w:p>
        </w:tc>
        <w:tc>
          <w:tcPr>
            <w:tcW w:w="1653" w:type="dxa"/>
            <w:vAlign w:val="bottom"/>
            <w:hideMark/>
          </w:tcPr>
          <w:p w14:paraId="709A0F2D"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7.5</w:t>
            </w:r>
          </w:p>
        </w:tc>
      </w:tr>
      <w:tr w:rsidR="00555D0C" w:rsidRPr="00A841EC" w14:paraId="24ADEDEE" w14:textId="77777777" w:rsidTr="008732A4">
        <w:trPr>
          <w:trHeight w:val="20"/>
        </w:trPr>
        <w:tc>
          <w:tcPr>
            <w:tcW w:w="864" w:type="dxa"/>
            <w:noWrap/>
            <w:vAlign w:val="center"/>
            <w:hideMark/>
          </w:tcPr>
          <w:p w14:paraId="34D5D3A1"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12</w:t>
            </w:r>
          </w:p>
        </w:tc>
        <w:tc>
          <w:tcPr>
            <w:tcW w:w="1152" w:type="dxa"/>
            <w:noWrap/>
            <w:vAlign w:val="center"/>
            <w:hideMark/>
          </w:tcPr>
          <w:p w14:paraId="0A248E13"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3,122</w:t>
            </w:r>
          </w:p>
        </w:tc>
        <w:tc>
          <w:tcPr>
            <w:tcW w:w="1653" w:type="dxa"/>
            <w:vAlign w:val="bottom"/>
            <w:hideMark/>
          </w:tcPr>
          <w:p w14:paraId="376B266D"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7.4</w:t>
            </w:r>
          </w:p>
        </w:tc>
      </w:tr>
      <w:tr w:rsidR="00555D0C" w:rsidRPr="00A841EC" w14:paraId="1D4A21C1" w14:textId="77777777" w:rsidTr="008732A4">
        <w:trPr>
          <w:trHeight w:val="20"/>
        </w:trPr>
        <w:tc>
          <w:tcPr>
            <w:tcW w:w="864" w:type="dxa"/>
            <w:noWrap/>
            <w:vAlign w:val="center"/>
            <w:hideMark/>
          </w:tcPr>
          <w:p w14:paraId="3F8D7E21"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13</w:t>
            </w:r>
          </w:p>
        </w:tc>
        <w:tc>
          <w:tcPr>
            <w:tcW w:w="1152" w:type="dxa"/>
            <w:noWrap/>
            <w:vAlign w:val="center"/>
            <w:hideMark/>
          </w:tcPr>
          <w:p w14:paraId="322C9A72"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2,794</w:t>
            </w:r>
          </w:p>
        </w:tc>
        <w:tc>
          <w:tcPr>
            <w:tcW w:w="1653" w:type="dxa"/>
            <w:vAlign w:val="bottom"/>
            <w:hideMark/>
          </w:tcPr>
          <w:p w14:paraId="742DD4D0"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6.9</w:t>
            </w:r>
          </w:p>
        </w:tc>
      </w:tr>
      <w:tr w:rsidR="00555D0C" w:rsidRPr="00A841EC" w14:paraId="461FD7B6" w14:textId="77777777" w:rsidTr="008732A4">
        <w:trPr>
          <w:trHeight w:val="20"/>
        </w:trPr>
        <w:tc>
          <w:tcPr>
            <w:tcW w:w="864" w:type="dxa"/>
            <w:noWrap/>
            <w:vAlign w:val="center"/>
            <w:hideMark/>
          </w:tcPr>
          <w:p w14:paraId="3FFDBC0F"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14</w:t>
            </w:r>
          </w:p>
        </w:tc>
        <w:tc>
          <w:tcPr>
            <w:tcW w:w="1152" w:type="dxa"/>
            <w:noWrap/>
            <w:vAlign w:val="center"/>
            <w:hideMark/>
          </w:tcPr>
          <w:p w14:paraId="04246837"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3,322</w:t>
            </w:r>
          </w:p>
        </w:tc>
        <w:tc>
          <w:tcPr>
            <w:tcW w:w="1653" w:type="dxa"/>
            <w:vAlign w:val="bottom"/>
            <w:hideMark/>
          </w:tcPr>
          <w:p w14:paraId="03BEB484"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8.0</w:t>
            </w:r>
          </w:p>
        </w:tc>
      </w:tr>
      <w:tr w:rsidR="00555D0C" w:rsidRPr="00A841EC" w14:paraId="7D48527E" w14:textId="77777777" w:rsidTr="008732A4">
        <w:trPr>
          <w:trHeight w:val="20"/>
        </w:trPr>
        <w:tc>
          <w:tcPr>
            <w:tcW w:w="864" w:type="dxa"/>
            <w:noWrap/>
            <w:vAlign w:val="center"/>
            <w:hideMark/>
          </w:tcPr>
          <w:p w14:paraId="4EA33DF4"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15</w:t>
            </w:r>
          </w:p>
        </w:tc>
        <w:tc>
          <w:tcPr>
            <w:tcW w:w="1152" w:type="dxa"/>
            <w:noWrap/>
            <w:vAlign w:val="center"/>
            <w:hideMark/>
          </w:tcPr>
          <w:p w14:paraId="678C9580"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1,102</w:t>
            </w:r>
          </w:p>
        </w:tc>
        <w:tc>
          <w:tcPr>
            <w:tcW w:w="1653" w:type="dxa"/>
            <w:vAlign w:val="bottom"/>
            <w:hideMark/>
          </w:tcPr>
          <w:p w14:paraId="175043DE"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2.8</w:t>
            </w:r>
          </w:p>
        </w:tc>
      </w:tr>
      <w:tr w:rsidR="00555D0C" w:rsidRPr="00A841EC" w14:paraId="0CBF0D52" w14:textId="77777777" w:rsidTr="008732A4">
        <w:trPr>
          <w:trHeight w:val="20"/>
        </w:trPr>
        <w:tc>
          <w:tcPr>
            <w:tcW w:w="864" w:type="dxa"/>
            <w:noWrap/>
            <w:vAlign w:val="center"/>
            <w:hideMark/>
          </w:tcPr>
          <w:p w14:paraId="5A91AA7A"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16</w:t>
            </w:r>
          </w:p>
        </w:tc>
        <w:tc>
          <w:tcPr>
            <w:tcW w:w="1152" w:type="dxa"/>
            <w:noWrap/>
            <w:vAlign w:val="center"/>
            <w:hideMark/>
          </w:tcPr>
          <w:p w14:paraId="2145EA28"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5,578</w:t>
            </w:r>
          </w:p>
        </w:tc>
        <w:tc>
          <w:tcPr>
            <w:tcW w:w="1653" w:type="dxa"/>
            <w:vAlign w:val="bottom"/>
            <w:hideMark/>
          </w:tcPr>
          <w:p w14:paraId="1234C039" w14:textId="77777777" w:rsidR="00555D0C" w:rsidRPr="00A841EC" w:rsidRDefault="00555D0C" w:rsidP="000D636D">
            <w:pPr>
              <w:spacing w:before="0" w:after="0" w:line="240" w:lineRule="auto"/>
              <w:jc w:val="center"/>
              <w:rPr>
                <w:rFonts w:cs="Calibri Light"/>
                <w:color w:val="000000"/>
                <w:sz w:val="20"/>
                <w:szCs w:val="20"/>
              </w:rPr>
            </w:pPr>
            <w:r w:rsidRPr="00A841EC">
              <w:rPr>
                <w:rFonts w:cs="Calibri Light"/>
                <w:color w:val="000000"/>
                <w:sz w:val="20"/>
                <w:szCs w:val="20"/>
              </w:rPr>
              <w:t>13.3</w:t>
            </w:r>
          </w:p>
        </w:tc>
      </w:tr>
    </w:tbl>
    <w:p w14:paraId="186EC8A0" w14:textId="77777777" w:rsidR="00555D0C" w:rsidRPr="00A841EC" w:rsidRDefault="00555D0C" w:rsidP="00555D0C">
      <w:pPr>
        <w:pStyle w:val="Reminders"/>
        <w:rPr>
          <w:rFonts w:ascii="Calibri Light" w:hAnsi="Calibri Light" w:cs="Calibri Light"/>
          <w:i w:val="0"/>
          <w:color w:val="auto"/>
          <w:sz w:val="22"/>
          <w:szCs w:val="22"/>
        </w:rPr>
      </w:pPr>
    </w:p>
    <w:p w14:paraId="1B71337B" w14:textId="1A82E5F8" w:rsidR="00555D0C" w:rsidRPr="00A841EC" w:rsidRDefault="003D1AAC" w:rsidP="003F7CD4">
      <w:pPr>
        <w:pStyle w:val="eTRMHeading5"/>
      </w:pPr>
      <w:r w:rsidRPr="00A841EC">
        <w:t xml:space="preserve">Total </w:t>
      </w:r>
      <w:r w:rsidR="00555D0C" w:rsidRPr="00A841EC">
        <w:t xml:space="preserve">Hours Per Year the </w:t>
      </w:r>
      <w:r w:rsidR="00994A1A" w:rsidRPr="00A841EC">
        <w:t xml:space="preserve">Continuously operating pilot light </w:t>
      </w:r>
      <w:r w:rsidR="00555D0C" w:rsidRPr="00A841EC">
        <w:t>is ON</w:t>
      </w:r>
    </w:p>
    <w:p w14:paraId="60D0ACC1" w14:textId="4F2A11CE" w:rsidR="00555D0C" w:rsidRPr="00A841EC" w:rsidRDefault="00555D0C" w:rsidP="00555D0C">
      <w:pPr>
        <w:pStyle w:val="Reminders"/>
        <w:rPr>
          <w:rFonts w:ascii="Calibri Light" w:hAnsi="Calibri Light" w:cs="Calibri Light"/>
          <w:i w:val="0"/>
          <w:color w:val="auto"/>
          <w:sz w:val="22"/>
          <w:szCs w:val="22"/>
        </w:rPr>
      </w:pPr>
      <w:r w:rsidRPr="00A841EC">
        <w:rPr>
          <w:rFonts w:ascii="Calibri Light" w:hAnsi="Calibri Light" w:cs="Calibri Light"/>
          <w:i w:val="0"/>
          <w:color w:val="auto"/>
          <w:sz w:val="22"/>
          <w:szCs w:val="22"/>
        </w:rPr>
        <w:t xml:space="preserve">Within the heating season (when the pilot is lit) there are three different operating states that must be considered for calculating pilot light ON hours, these instances depend on the HDD for each hour and are as follows: </w:t>
      </w:r>
    </w:p>
    <w:p w14:paraId="4080555C" w14:textId="77777777" w:rsidR="00555D0C" w:rsidRPr="00A841EC" w:rsidRDefault="00555D0C" w:rsidP="00CB5BF8">
      <w:pPr>
        <w:pStyle w:val="Reminders"/>
        <w:ind w:left="360"/>
        <w:rPr>
          <w:rFonts w:ascii="Calibri Light" w:hAnsi="Calibri Light" w:cs="Calibri Light"/>
          <w:i w:val="0"/>
          <w:color w:val="auto"/>
          <w:sz w:val="22"/>
          <w:szCs w:val="22"/>
        </w:rPr>
      </w:pPr>
      <w:r w:rsidRPr="00A841EC">
        <w:rPr>
          <w:rFonts w:ascii="Calibri Light" w:hAnsi="Calibri Light" w:cs="Calibri Light"/>
          <w:b/>
          <w:i w:val="0"/>
          <w:color w:val="auto"/>
          <w:sz w:val="22"/>
          <w:szCs w:val="22"/>
        </w:rPr>
        <w:t>Pilot-only on-time (no heat call)</w:t>
      </w:r>
      <w:r w:rsidRPr="00A841EC">
        <w:rPr>
          <w:rFonts w:ascii="Calibri Light" w:hAnsi="Calibri Light" w:cs="Calibri Light"/>
          <w:i w:val="0"/>
          <w:color w:val="auto"/>
          <w:sz w:val="22"/>
          <w:szCs w:val="22"/>
        </w:rPr>
        <w:t xml:space="preserve"> – If the HDD is equal to zero, then no heating is required, and the entire hour is counted towards pilot ON time.</w:t>
      </w:r>
    </w:p>
    <w:p w14:paraId="16577DD2" w14:textId="6963E26F" w:rsidR="00555D0C" w:rsidRPr="00A841EC" w:rsidRDefault="00555D0C" w:rsidP="00CB5BF8">
      <w:pPr>
        <w:pStyle w:val="Reminders"/>
        <w:ind w:left="360"/>
        <w:rPr>
          <w:rFonts w:ascii="Calibri Light" w:hAnsi="Calibri Light" w:cs="Calibri Light"/>
          <w:i w:val="0"/>
          <w:color w:val="auto"/>
          <w:sz w:val="22"/>
          <w:szCs w:val="22"/>
        </w:rPr>
      </w:pPr>
      <w:r w:rsidRPr="00A841EC">
        <w:rPr>
          <w:rFonts w:ascii="Calibri Light" w:hAnsi="Calibri Light" w:cs="Calibri Light"/>
          <w:b/>
          <w:i w:val="0"/>
          <w:color w:val="auto"/>
          <w:sz w:val="22"/>
          <w:szCs w:val="22"/>
        </w:rPr>
        <w:t>Pilot plus Burner on-time</w:t>
      </w:r>
      <w:r w:rsidRPr="00A841EC">
        <w:rPr>
          <w:rFonts w:ascii="Calibri Light" w:hAnsi="Calibri Light" w:cs="Calibri Light"/>
          <w:i w:val="0"/>
          <w:color w:val="auto"/>
          <w:sz w:val="22"/>
          <w:szCs w:val="22"/>
        </w:rPr>
        <w:t xml:space="preserve"> – If the HDD is not zero, then heating is required for a part of the hour. The </w:t>
      </w:r>
      <w:r w:rsidR="00994A1A" w:rsidRPr="00A841EC">
        <w:rPr>
          <w:rFonts w:ascii="Calibri Light" w:hAnsi="Calibri Light" w:cs="Calibri Light"/>
          <w:i w:val="0"/>
          <w:color w:val="auto"/>
          <w:sz w:val="22"/>
          <w:szCs w:val="22"/>
        </w:rPr>
        <w:t xml:space="preserve">continuously operating pilot light </w:t>
      </w:r>
      <w:r w:rsidRPr="00A841EC">
        <w:rPr>
          <w:rFonts w:ascii="Calibri Light" w:hAnsi="Calibri Light" w:cs="Calibri Light"/>
          <w:i w:val="0"/>
          <w:color w:val="auto"/>
          <w:sz w:val="22"/>
          <w:szCs w:val="22"/>
        </w:rPr>
        <w:t xml:space="preserve"> will be ON at the same time as the burner.</w:t>
      </w:r>
    </w:p>
    <w:p w14:paraId="35829B22" w14:textId="74855AA0" w:rsidR="00555D0C" w:rsidRPr="00A841EC" w:rsidRDefault="00555D0C" w:rsidP="00CB5BF8">
      <w:pPr>
        <w:pStyle w:val="Reminders"/>
        <w:ind w:left="360"/>
        <w:rPr>
          <w:rFonts w:ascii="Calibri Light" w:hAnsi="Calibri Light" w:cs="Calibri Light"/>
          <w:i w:val="0"/>
          <w:color w:val="auto"/>
          <w:sz w:val="22"/>
          <w:szCs w:val="22"/>
        </w:rPr>
      </w:pPr>
      <w:r w:rsidRPr="00A841EC">
        <w:rPr>
          <w:rFonts w:ascii="Calibri Light" w:hAnsi="Calibri Light" w:cs="Calibri Light"/>
          <w:b/>
          <w:i w:val="0"/>
          <w:color w:val="auto"/>
          <w:sz w:val="22"/>
          <w:szCs w:val="22"/>
        </w:rPr>
        <w:t xml:space="preserve">Pilot-only on-time (heat call) </w:t>
      </w:r>
      <w:r w:rsidRPr="00A841EC">
        <w:rPr>
          <w:rFonts w:ascii="Calibri Light" w:hAnsi="Calibri Light" w:cs="Calibri Light"/>
          <w:i w:val="0"/>
          <w:color w:val="auto"/>
          <w:sz w:val="22"/>
          <w:szCs w:val="22"/>
        </w:rPr>
        <w:t xml:space="preserve">– If the HDD is not zero, then heating is required for a part of the hour. The </w:t>
      </w:r>
      <w:r w:rsidR="00994A1A" w:rsidRPr="00A841EC">
        <w:rPr>
          <w:rFonts w:ascii="Calibri Light" w:hAnsi="Calibri Light" w:cs="Calibri Light"/>
          <w:i w:val="0"/>
          <w:color w:val="auto"/>
          <w:sz w:val="22"/>
          <w:szCs w:val="22"/>
        </w:rPr>
        <w:t xml:space="preserve">continuously operating pilot light </w:t>
      </w:r>
      <w:r w:rsidRPr="00A841EC">
        <w:rPr>
          <w:rFonts w:ascii="Calibri Light" w:hAnsi="Calibri Light" w:cs="Calibri Light"/>
          <w:i w:val="0"/>
          <w:color w:val="auto"/>
          <w:sz w:val="22"/>
          <w:szCs w:val="22"/>
        </w:rPr>
        <w:t xml:space="preserve"> will be ON for the remainder of the hour while the burner is OFF.</w:t>
      </w:r>
    </w:p>
    <w:p w14:paraId="6E8649E1" w14:textId="2F8692A9" w:rsidR="00555D0C" w:rsidRPr="00A841EC" w:rsidRDefault="00555D0C" w:rsidP="00555D0C">
      <w:pPr>
        <w:pStyle w:val="Reminders"/>
        <w:rPr>
          <w:rFonts w:ascii="Calibri Light" w:hAnsi="Calibri Light" w:cs="Calibri Light"/>
          <w:i w:val="0"/>
          <w:color w:val="auto"/>
          <w:sz w:val="22"/>
          <w:szCs w:val="22"/>
        </w:rPr>
      </w:pPr>
    </w:p>
    <w:p w14:paraId="58B53C1A" w14:textId="77777777" w:rsidR="000F7397" w:rsidRPr="00A841EC" w:rsidRDefault="000F7397" w:rsidP="00555D0C">
      <w:pPr>
        <w:pStyle w:val="Reminders"/>
        <w:rPr>
          <w:rFonts w:ascii="Calibri Light" w:hAnsi="Calibri Light" w:cs="Calibri Light"/>
          <w:i w:val="0"/>
          <w:color w:val="auto"/>
          <w:sz w:val="22"/>
          <w:szCs w:val="22"/>
        </w:rPr>
      </w:pPr>
    </w:p>
    <w:p w14:paraId="30CD3779" w14:textId="1A6B8BE1" w:rsidR="00555D0C" w:rsidRPr="00A841EC" w:rsidRDefault="00555D0C" w:rsidP="00555D0C">
      <w:pPr>
        <w:pStyle w:val="Reminders"/>
        <w:rPr>
          <w:rFonts w:ascii="Calibri Light" w:hAnsi="Calibri Light" w:cs="Calibri Light"/>
          <w:i w:val="0"/>
          <w:color w:val="auto"/>
          <w:sz w:val="22"/>
          <w:szCs w:val="22"/>
        </w:rPr>
      </w:pPr>
      <w:r w:rsidRPr="00A841EC">
        <w:rPr>
          <w:rFonts w:ascii="Calibri Light" w:hAnsi="Calibri Light" w:cs="Calibri Light"/>
          <w:i w:val="0"/>
          <w:color w:val="auto"/>
          <w:sz w:val="22"/>
          <w:szCs w:val="22"/>
        </w:rPr>
        <w:t xml:space="preserve">The hours per year for </w:t>
      </w:r>
      <w:r w:rsidRPr="00A841EC">
        <w:rPr>
          <w:rFonts w:ascii="Calibri" w:hAnsi="Calibri" w:cs="Calibri"/>
          <w:i w:val="0"/>
          <w:color w:val="auto"/>
          <w:sz w:val="22"/>
          <w:szCs w:val="22"/>
        </w:rPr>
        <w:t xml:space="preserve">each of the three </w:t>
      </w:r>
      <w:r w:rsidR="00186919" w:rsidRPr="00A841EC">
        <w:rPr>
          <w:rFonts w:ascii="Calibri" w:hAnsi="Calibri" w:cs="Calibri"/>
          <w:i w:val="0"/>
          <w:color w:val="auto"/>
          <w:sz w:val="22"/>
          <w:szCs w:val="22"/>
        </w:rPr>
        <w:t xml:space="preserve">continuously operating pilot </w:t>
      </w:r>
      <w:r w:rsidRPr="00A841EC">
        <w:rPr>
          <w:rFonts w:ascii="Calibri" w:hAnsi="Calibri" w:cs="Calibri"/>
          <w:i w:val="0"/>
          <w:color w:val="auto"/>
          <w:sz w:val="22"/>
          <w:szCs w:val="22"/>
        </w:rPr>
        <w:t xml:space="preserve">operating states </w:t>
      </w:r>
      <w:r w:rsidR="003D1AAC" w:rsidRPr="00A841EC">
        <w:rPr>
          <w:rFonts w:ascii="Calibri" w:hAnsi="Calibri" w:cs="Calibri"/>
          <w:i w:val="0"/>
          <w:color w:val="auto"/>
          <w:sz w:val="22"/>
          <w:szCs w:val="22"/>
        </w:rPr>
        <w:t>was</w:t>
      </w:r>
      <w:r w:rsidRPr="00A841EC">
        <w:rPr>
          <w:rFonts w:ascii="Calibri" w:hAnsi="Calibri" w:cs="Calibri"/>
          <w:i w:val="0"/>
          <w:color w:val="auto"/>
          <w:sz w:val="22"/>
          <w:szCs w:val="22"/>
        </w:rPr>
        <w:t xml:space="preserve"> calculated with the following equations:</w:t>
      </w:r>
    </w:p>
    <w:p w14:paraId="4BD5E4D0" w14:textId="2EA85958" w:rsidR="00555D0C" w:rsidRPr="00A841EC" w:rsidRDefault="00F837E5" w:rsidP="00CB0319">
      <w:pPr>
        <w:pStyle w:val="Reminders"/>
        <w:ind w:left="720"/>
        <w:jc w:val="both"/>
        <w:rPr>
          <w:rFonts w:ascii="Calibri Light" w:hAnsi="Calibri Light" w:cs="Calibri Light"/>
          <w:i w:val="0"/>
          <w:color w:val="auto"/>
          <w:sz w:val="20"/>
          <w:szCs w:val="20"/>
        </w:rPr>
      </w:pPr>
      <m:oMathPara>
        <m:oMathParaPr>
          <m:jc m:val="left"/>
        </m:oMathParaPr>
        <m:oMath>
          <m:sSub>
            <m:sSubPr>
              <m:ctrlPr>
                <w:rPr>
                  <w:rFonts w:ascii="Cambria Math" w:hAnsi="Cambria Math" w:cs="Calibri Light"/>
                  <w:sz w:val="20"/>
                  <w:szCs w:val="20"/>
                </w:rPr>
              </m:ctrlPr>
            </m:sSubPr>
            <m:e>
              <m:r>
                <w:rPr>
                  <w:rFonts w:ascii="Cambria Math" w:hAnsi="Cambria Math" w:cs="Calibri Light"/>
                  <w:color w:val="auto"/>
                  <w:sz w:val="20"/>
                  <w:szCs w:val="20"/>
                </w:rPr>
                <m:t>t</m:t>
              </m:r>
            </m:e>
            <m:sub>
              <m:r>
                <w:rPr>
                  <w:rFonts w:ascii="Cambria Math" w:hAnsi="Cambria Math" w:cs="Calibri Light"/>
                  <w:color w:val="auto"/>
                  <w:sz w:val="20"/>
                  <w:szCs w:val="20"/>
                </w:rPr>
                <m:t>1</m:t>
              </m:r>
            </m:sub>
          </m:sSub>
          <m:r>
            <w:rPr>
              <w:rFonts w:ascii="Cambria Math" w:hAnsi="Cambria Math" w:cs="Calibri Light"/>
              <w:color w:val="auto"/>
              <w:sz w:val="20"/>
              <w:szCs w:val="20"/>
            </w:rPr>
            <m:t>=</m:t>
          </m:r>
          <m:nary>
            <m:naryPr>
              <m:chr m:val="∑"/>
              <m:limLoc m:val="undOvr"/>
              <m:ctrlPr>
                <w:rPr>
                  <w:rFonts w:ascii="Cambria Math" w:hAnsi="Cambria Math" w:cs="Calibri Light"/>
                  <w:color w:val="auto"/>
                  <w:sz w:val="20"/>
                  <w:szCs w:val="20"/>
                </w:rPr>
              </m:ctrlPr>
            </m:naryPr>
            <m:sub>
              <m:r>
                <w:rPr>
                  <w:rFonts w:ascii="Cambria Math" w:hAnsi="Cambria Math" w:cs="Calibri Light"/>
                  <w:color w:val="auto"/>
                  <w:sz w:val="20"/>
                  <w:szCs w:val="20"/>
                </w:rPr>
                <m:t>i=1</m:t>
              </m:r>
            </m:sub>
            <m:sup>
              <m:r>
                <w:rPr>
                  <w:rFonts w:ascii="Cambria Math" w:hAnsi="Cambria Math" w:cs="Calibri Light"/>
                  <w:color w:val="auto"/>
                  <w:sz w:val="20"/>
                  <w:szCs w:val="20"/>
                </w:rPr>
                <m:t>8760</m:t>
              </m:r>
            </m:sup>
            <m:e>
              <m:d>
                <m:dPr>
                  <m:begChr m:val="{"/>
                  <m:endChr m:val=""/>
                  <m:ctrlPr>
                    <w:rPr>
                      <w:rFonts w:ascii="Cambria Math" w:hAnsi="Cambria Math" w:cs="Calibri Light"/>
                      <w:color w:val="auto"/>
                      <w:sz w:val="20"/>
                      <w:szCs w:val="20"/>
                    </w:rPr>
                  </m:ctrlPr>
                </m:dPr>
                <m:e>
                  <m:eqArr>
                    <m:eqArrPr>
                      <m:ctrlPr>
                        <w:rPr>
                          <w:rFonts w:ascii="Cambria Math" w:hAnsi="Cambria Math" w:cs="Calibri Light"/>
                          <w:color w:val="auto"/>
                          <w:sz w:val="20"/>
                          <w:szCs w:val="20"/>
                        </w:rPr>
                      </m:ctrlPr>
                    </m:eqArrPr>
                    <m:e>
                      <m:r>
                        <w:rPr>
                          <w:rFonts w:ascii="Cambria Math" w:hAnsi="Cambria Math" w:cs="Calibri Light"/>
                          <w:color w:val="auto"/>
                          <w:sz w:val="20"/>
                          <w:szCs w:val="20"/>
                        </w:rPr>
                        <m:t xml:space="preserve">1,    </m:t>
                      </m:r>
                      <m:sSub>
                        <m:sSubPr>
                          <m:ctrlPr>
                            <w:rPr>
                              <w:rFonts w:ascii="Cambria Math" w:hAnsi="Cambria Math" w:cs="Calibri Light"/>
                              <w:color w:val="auto"/>
                              <w:sz w:val="20"/>
                              <w:szCs w:val="20"/>
                            </w:rPr>
                          </m:ctrlPr>
                        </m:sSubPr>
                        <m:e>
                          <m:r>
                            <w:rPr>
                              <w:rFonts w:ascii="Cambria Math" w:hAnsi="Cambria Math" w:cs="Calibri Light"/>
                              <w:color w:val="auto"/>
                              <w:sz w:val="20"/>
                              <w:szCs w:val="20"/>
                            </w:rPr>
                            <m:t>HDD</m:t>
                          </m:r>
                        </m:e>
                        <m:sub>
                          <m:r>
                            <w:rPr>
                              <w:rFonts w:ascii="Cambria Math" w:hAnsi="Cambria Math" w:cs="Calibri Light"/>
                              <w:color w:val="auto"/>
                              <w:sz w:val="20"/>
                              <w:szCs w:val="20"/>
                            </w:rPr>
                            <m:t>i</m:t>
                          </m:r>
                        </m:sub>
                      </m:sSub>
                      <m:r>
                        <w:rPr>
                          <w:rFonts w:ascii="Cambria Math" w:hAnsi="Cambria Math" w:cs="Calibri Light"/>
                          <w:color w:val="auto"/>
                          <w:sz w:val="20"/>
                          <w:szCs w:val="20"/>
                        </w:rPr>
                        <m:t>=0</m:t>
                      </m:r>
                    </m:e>
                    <m:e>
                      <m:r>
                        <w:rPr>
                          <w:rFonts w:ascii="Cambria Math" w:hAnsi="Cambria Math" w:cs="Calibri Light"/>
                          <w:color w:val="auto"/>
                          <w:sz w:val="20"/>
                          <w:szCs w:val="20"/>
                        </w:rPr>
                        <m:t xml:space="preserve">0,    </m:t>
                      </m:r>
                      <m:sSub>
                        <m:sSubPr>
                          <m:ctrlPr>
                            <w:rPr>
                              <w:rFonts w:ascii="Cambria Math" w:hAnsi="Cambria Math" w:cs="Calibri Light"/>
                              <w:color w:val="auto"/>
                              <w:sz w:val="20"/>
                              <w:szCs w:val="20"/>
                            </w:rPr>
                          </m:ctrlPr>
                        </m:sSubPr>
                        <m:e>
                          <m:r>
                            <w:rPr>
                              <w:rFonts w:ascii="Cambria Math" w:hAnsi="Cambria Math" w:cs="Calibri Light"/>
                              <w:color w:val="auto"/>
                              <w:sz w:val="20"/>
                              <w:szCs w:val="20"/>
                            </w:rPr>
                            <m:t>HDD</m:t>
                          </m:r>
                        </m:e>
                        <m:sub>
                          <m:r>
                            <w:rPr>
                              <w:rFonts w:ascii="Cambria Math" w:hAnsi="Cambria Math" w:cs="Calibri Light"/>
                              <w:color w:val="auto"/>
                              <w:sz w:val="20"/>
                              <w:szCs w:val="20"/>
                            </w:rPr>
                            <m:t>i</m:t>
                          </m:r>
                        </m:sub>
                      </m:sSub>
                      <m:r>
                        <w:rPr>
                          <w:rFonts w:ascii="Cambria Math" w:hAnsi="Cambria Math" w:cs="Calibri Light"/>
                          <w:color w:val="auto"/>
                          <w:sz w:val="20"/>
                          <w:szCs w:val="20"/>
                        </w:rPr>
                        <m:t>≠0</m:t>
                      </m:r>
                    </m:e>
                  </m:eqArr>
                </m:e>
              </m:d>
            </m:e>
          </m:nary>
        </m:oMath>
      </m:oMathPara>
    </w:p>
    <w:p w14:paraId="67B7E0D1" w14:textId="77777777" w:rsidR="00555D0C" w:rsidRPr="00A841EC" w:rsidRDefault="00555D0C" w:rsidP="00CB0319">
      <w:pPr>
        <w:pStyle w:val="Reminders"/>
        <w:ind w:left="720"/>
        <w:jc w:val="both"/>
        <w:rPr>
          <w:rFonts w:ascii="Calibri Light" w:hAnsi="Calibri Light" w:cs="Calibri Light"/>
          <w:i w:val="0"/>
          <w:color w:val="auto"/>
          <w:sz w:val="20"/>
          <w:szCs w:val="20"/>
        </w:rPr>
      </w:pPr>
    </w:p>
    <w:p w14:paraId="1438A94A" w14:textId="440A8029" w:rsidR="00555D0C" w:rsidRPr="00A841EC" w:rsidRDefault="00F837E5" w:rsidP="00CB0319">
      <w:pPr>
        <w:pStyle w:val="Reminders"/>
        <w:ind w:left="720"/>
        <w:jc w:val="both"/>
        <w:rPr>
          <w:rFonts w:ascii="Calibri Light" w:hAnsi="Calibri Light" w:cs="Calibri Light"/>
          <w:i w:val="0"/>
          <w:color w:val="auto"/>
          <w:sz w:val="20"/>
          <w:szCs w:val="20"/>
        </w:rPr>
      </w:pPr>
      <m:oMathPara>
        <m:oMathParaPr>
          <m:jc m:val="left"/>
        </m:oMathParaPr>
        <m:oMath>
          <m:sSub>
            <m:sSubPr>
              <m:ctrlPr>
                <w:rPr>
                  <w:rFonts w:ascii="Cambria Math" w:hAnsi="Cambria Math" w:cs="Calibri Light"/>
                  <w:sz w:val="20"/>
                  <w:szCs w:val="20"/>
                </w:rPr>
              </m:ctrlPr>
            </m:sSubPr>
            <m:e>
              <m:r>
                <w:rPr>
                  <w:rFonts w:ascii="Cambria Math" w:hAnsi="Cambria Math" w:cs="Calibri Light"/>
                  <w:color w:val="auto"/>
                  <w:sz w:val="20"/>
                  <w:szCs w:val="20"/>
                </w:rPr>
                <m:t>t</m:t>
              </m:r>
            </m:e>
            <m:sub>
              <m:r>
                <w:rPr>
                  <w:rFonts w:ascii="Cambria Math" w:hAnsi="Cambria Math" w:cs="Calibri Light"/>
                  <w:color w:val="auto"/>
                  <w:sz w:val="20"/>
                  <w:szCs w:val="20"/>
                </w:rPr>
                <m:t>2</m:t>
              </m:r>
            </m:sub>
          </m:sSub>
          <m:r>
            <w:rPr>
              <w:rFonts w:ascii="Cambria Math" w:hAnsi="Cambria Math" w:cs="Calibri Light"/>
              <w:color w:val="auto"/>
              <w:sz w:val="20"/>
              <w:szCs w:val="20"/>
            </w:rPr>
            <m:t>=</m:t>
          </m:r>
          <m:sSub>
            <m:sSubPr>
              <m:ctrlPr>
                <w:rPr>
                  <w:rFonts w:ascii="Cambria Math" w:hAnsi="Cambria Math" w:cs="Calibri Light"/>
                  <w:sz w:val="20"/>
                  <w:szCs w:val="20"/>
                </w:rPr>
              </m:ctrlPr>
            </m:sSubPr>
            <m:e>
              <m:r>
                <w:rPr>
                  <w:rFonts w:ascii="Cambria Math" w:hAnsi="Cambria Math" w:cs="Calibri Light"/>
                  <w:color w:val="auto"/>
                  <w:sz w:val="20"/>
                  <w:szCs w:val="20"/>
                </w:rPr>
                <m:t>t</m:t>
              </m:r>
            </m:e>
            <m:sub>
              <m:r>
                <w:rPr>
                  <w:rFonts w:ascii="Cambria Math" w:hAnsi="Cambria Math" w:cs="Calibri Light"/>
                  <w:color w:val="auto"/>
                  <w:sz w:val="20"/>
                  <w:szCs w:val="20"/>
                </w:rPr>
                <m:t>Burner ON</m:t>
              </m:r>
            </m:sub>
          </m:sSub>
        </m:oMath>
      </m:oMathPara>
    </w:p>
    <w:p w14:paraId="5CC33CEB" w14:textId="77777777" w:rsidR="00555D0C" w:rsidRPr="00A841EC" w:rsidRDefault="00555D0C" w:rsidP="00CB0319">
      <w:pPr>
        <w:pStyle w:val="Reminders"/>
        <w:ind w:left="720"/>
        <w:jc w:val="both"/>
        <w:rPr>
          <w:rFonts w:ascii="Calibri Light" w:hAnsi="Calibri Light" w:cs="Calibri Light"/>
          <w:i w:val="0"/>
          <w:color w:val="auto"/>
          <w:sz w:val="20"/>
          <w:szCs w:val="20"/>
        </w:rPr>
      </w:pPr>
    </w:p>
    <w:p w14:paraId="4904F6AF" w14:textId="199FBC43" w:rsidR="00555D0C" w:rsidRPr="00A841EC" w:rsidRDefault="00F837E5" w:rsidP="00CB0319">
      <w:pPr>
        <w:pStyle w:val="Reminders"/>
        <w:ind w:left="720"/>
        <w:jc w:val="both"/>
        <w:rPr>
          <w:rFonts w:ascii="Calibri Light" w:hAnsi="Calibri Light" w:cs="Calibri Light"/>
          <w:i w:val="0"/>
          <w:color w:val="auto"/>
          <w:sz w:val="20"/>
          <w:szCs w:val="20"/>
        </w:rPr>
      </w:pPr>
      <m:oMathPara>
        <m:oMathParaPr>
          <m:jc m:val="left"/>
        </m:oMathParaPr>
        <m:oMath>
          <m:sSub>
            <m:sSubPr>
              <m:ctrlPr>
                <w:rPr>
                  <w:rFonts w:ascii="Cambria Math" w:hAnsi="Cambria Math" w:cs="Calibri Light"/>
                  <w:sz w:val="20"/>
                  <w:szCs w:val="20"/>
                </w:rPr>
              </m:ctrlPr>
            </m:sSubPr>
            <m:e>
              <m:r>
                <w:rPr>
                  <w:rFonts w:ascii="Cambria Math" w:hAnsi="Cambria Math" w:cs="Calibri Light"/>
                  <w:color w:val="auto"/>
                  <w:sz w:val="20"/>
                  <w:szCs w:val="20"/>
                </w:rPr>
                <m:t>t</m:t>
              </m:r>
            </m:e>
            <m:sub>
              <m:r>
                <w:rPr>
                  <w:rFonts w:ascii="Cambria Math" w:hAnsi="Cambria Math" w:cs="Calibri Light"/>
                  <w:color w:val="auto"/>
                  <w:sz w:val="20"/>
                  <w:szCs w:val="20"/>
                </w:rPr>
                <m:t>3</m:t>
              </m:r>
            </m:sub>
          </m:sSub>
          <m:r>
            <w:rPr>
              <w:rFonts w:ascii="Cambria Math" w:hAnsi="Cambria Math" w:cs="Calibri Light"/>
              <w:color w:val="auto"/>
              <w:sz w:val="20"/>
              <w:szCs w:val="20"/>
            </w:rPr>
            <m:t>=</m:t>
          </m:r>
          <m:sSub>
            <m:sSubPr>
              <m:ctrlPr>
                <w:rPr>
                  <w:rFonts w:ascii="Cambria Math" w:hAnsi="Cambria Math" w:cs="Calibri Light"/>
                  <w:sz w:val="20"/>
                  <w:szCs w:val="20"/>
                </w:rPr>
              </m:ctrlPr>
            </m:sSubPr>
            <m:e>
              <m:r>
                <w:rPr>
                  <w:rFonts w:ascii="Cambria Math" w:hAnsi="Cambria Math" w:cs="Calibri Light"/>
                  <w:color w:val="auto"/>
                  <w:sz w:val="20"/>
                  <w:szCs w:val="20"/>
                </w:rPr>
                <m:t>t</m:t>
              </m:r>
            </m:e>
            <m:sub>
              <m:r>
                <w:rPr>
                  <w:rFonts w:ascii="Cambria Math" w:hAnsi="Cambria Math" w:cs="Calibri Light"/>
                  <w:color w:val="auto"/>
                  <w:sz w:val="20"/>
                  <w:szCs w:val="20"/>
                </w:rPr>
                <m:t>Fireplace ON</m:t>
              </m:r>
            </m:sub>
          </m:sSub>
          <m:r>
            <w:rPr>
              <w:rFonts w:ascii="Cambria Math" w:hAnsi="Cambria Math" w:cs="Calibri Light"/>
              <w:color w:val="auto"/>
              <w:sz w:val="20"/>
              <w:szCs w:val="20"/>
            </w:rPr>
            <m:t>-</m:t>
          </m:r>
          <m:sSub>
            <m:sSubPr>
              <m:ctrlPr>
                <w:rPr>
                  <w:rFonts w:ascii="Cambria Math" w:hAnsi="Cambria Math" w:cs="Calibri Light"/>
                  <w:sz w:val="20"/>
                  <w:szCs w:val="20"/>
                </w:rPr>
              </m:ctrlPr>
            </m:sSubPr>
            <m:e>
              <m:r>
                <w:rPr>
                  <w:rFonts w:ascii="Cambria Math" w:hAnsi="Cambria Math" w:cs="Calibri Light"/>
                  <w:color w:val="auto"/>
                  <w:sz w:val="20"/>
                  <w:szCs w:val="20"/>
                </w:rPr>
                <m:t>t</m:t>
              </m:r>
            </m:e>
            <m:sub>
              <m:r>
                <w:rPr>
                  <w:rFonts w:ascii="Cambria Math" w:hAnsi="Cambria Math" w:cs="Calibri Light"/>
                  <w:color w:val="auto"/>
                  <w:sz w:val="20"/>
                  <w:szCs w:val="20"/>
                </w:rPr>
                <m:t>2</m:t>
              </m:r>
            </m:sub>
          </m:sSub>
          <m:r>
            <w:rPr>
              <w:rFonts w:ascii="Cambria Math" w:hAnsi="Cambria Math" w:cs="Calibri Light"/>
              <w:color w:val="auto"/>
              <w:sz w:val="20"/>
              <w:szCs w:val="20"/>
            </w:rPr>
            <m:t>-</m:t>
          </m:r>
          <m:sSub>
            <m:sSubPr>
              <m:ctrlPr>
                <w:rPr>
                  <w:rFonts w:ascii="Cambria Math" w:hAnsi="Cambria Math" w:cs="Calibri Light"/>
                  <w:sz w:val="20"/>
                  <w:szCs w:val="20"/>
                </w:rPr>
              </m:ctrlPr>
            </m:sSubPr>
            <m:e>
              <m:r>
                <w:rPr>
                  <w:rFonts w:ascii="Cambria Math" w:hAnsi="Cambria Math" w:cs="Calibri Light"/>
                  <w:color w:val="auto"/>
                  <w:sz w:val="20"/>
                  <w:szCs w:val="20"/>
                </w:rPr>
                <m:t>t</m:t>
              </m:r>
            </m:e>
            <m:sub>
              <m:r>
                <w:rPr>
                  <w:rFonts w:ascii="Cambria Math" w:hAnsi="Cambria Math" w:cs="Calibri Light"/>
                  <w:color w:val="auto"/>
                  <w:sz w:val="20"/>
                  <w:szCs w:val="20"/>
                </w:rPr>
                <m:t>1</m:t>
              </m:r>
            </m:sub>
          </m:sSub>
        </m:oMath>
      </m:oMathPara>
    </w:p>
    <w:p w14:paraId="5E788651" w14:textId="77777777" w:rsidR="00555D0C" w:rsidRPr="00A841EC" w:rsidRDefault="00555D0C" w:rsidP="00555D0C">
      <w:pPr>
        <w:pStyle w:val="Reminders"/>
        <w:rPr>
          <w:rFonts w:ascii="Calibri Light" w:hAnsi="Calibri Light" w:cs="Calibri Light"/>
          <w:i w:val="0"/>
          <w:color w:val="auto"/>
          <w:sz w:val="22"/>
          <w:szCs w:val="22"/>
        </w:rPr>
      </w:pPr>
    </w:p>
    <w:p w14:paraId="51ABAB3E" w14:textId="28C87D9C" w:rsidR="00555D0C" w:rsidRPr="00A841EC" w:rsidRDefault="00F837E5" w:rsidP="00221961">
      <w:pPr>
        <w:pStyle w:val="Reminders"/>
        <w:tabs>
          <w:tab w:val="left" w:pos="2610"/>
        </w:tabs>
        <w:ind w:left="2610" w:hanging="1170"/>
        <w:rPr>
          <w:rFonts w:ascii="Cambria Math" w:hAnsi="Cambria Math" w:cs="Calibri Light"/>
          <w:iCs/>
          <w:color w:val="auto"/>
          <w:sz w:val="18"/>
          <w:szCs w:val="18"/>
        </w:rPr>
      </w:pPr>
      <m:oMath>
        <m:sSub>
          <m:sSubPr>
            <m:ctrlPr>
              <w:rPr>
                <w:rFonts w:ascii="Cambria Math" w:hAnsi="Cambria Math" w:cs="Calibri Light"/>
                <w:iCs/>
                <w:sz w:val="18"/>
                <w:szCs w:val="18"/>
              </w:rPr>
            </m:ctrlPr>
          </m:sSubPr>
          <m:e>
            <m:r>
              <w:rPr>
                <w:rFonts w:ascii="Cambria Math" w:hAnsi="Cambria Math" w:cs="Calibri Light"/>
                <w:color w:val="auto"/>
                <w:sz w:val="18"/>
                <w:szCs w:val="18"/>
              </w:rPr>
              <m:t>t</m:t>
            </m:r>
          </m:e>
          <m:sub>
            <m:r>
              <w:rPr>
                <w:rFonts w:ascii="Cambria Math" w:hAnsi="Cambria Math" w:cs="Calibri Light"/>
                <w:color w:val="auto"/>
                <w:sz w:val="18"/>
                <w:szCs w:val="18"/>
              </w:rPr>
              <m:t>1</m:t>
            </m:r>
          </m:sub>
        </m:sSub>
      </m:oMath>
      <w:r w:rsidR="00555D0C" w:rsidRPr="00A841EC">
        <w:rPr>
          <w:rFonts w:ascii="Cambria Math" w:hAnsi="Cambria Math" w:cs="Calibri Light"/>
          <w:iCs/>
          <w:color w:val="auto"/>
          <w:sz w:val="18"/>
          <w:szCs w:val="18"/>
        </w:rPr>
        <w:t xml:space="preserve"> = </w:t>
      </w:r>
      <w:r w:rsidR="0084093C" w:rsidRPr="00A841EC">
        <w:rPr>
          <w:rFonts w:ascii="Cambria Math" w:hAnsi="Cambria Math" w:cs="Calibri Light"/>
          <w:iCs/>
          <w:color w:val="auto"/>
          <w:sz w:val="18"/>
          <w:szCs w:val="18"/>
        </w:rPr>
        <w:tab/>
      </w:r>
      <w:r w:rsidR="00555D0C" w:rsidRPr="00A841EC">
        <w:rPr>
          <w:rFonts w:ascii="Cambria Math" w:hAnsi="Cambria Math" w:cs="Calibri Light"/>
          <w:iCs/>
          <w:color w:val="auto"/>
          <w:sz w:val="18"/>
          <w:szCs w:val="18"/>
        </w:rPr>
        <w:t>Total hours the pilot light is ON for the entire hour and no heat was required during the hour</w:t>
      </w:r>
    </w:p>
    <w:p w14:paraId="41D54430" w14:textId="28FB8A77" w:rsidR="00555D0C" w:rsidRPr="00A841EC" w:rsidRDefault="00555D0C" w:rsidP="00221961">
      <w:pPr>
        <w:pStyle w:val="Reminders"/>
        <w:tabs>
          <w:tab w:val="left" w:pos="2610"/>
        </w:tabs>
        <w:ind w:left="2610" w:hanging="1170"/>
        <w:rPr>
          <w:rFonts w:ascii="Cambria Math" w:hAnsi="Cambria Math" w:cs="Calibri Light"/>
          <w:iCs/>
          <w:color w:val="auto"/>
          <w:sz w:val="18"/>
          <w:szCs w:val="18"/>
        </w:rPr>
      </w:pPr>
      <w:r w:rsidRPr="00A841EC">
        <w:rPr>
          <w:rFonts w:ascii="Cambria Math" w:hAnsi="Cambria Math" w:cs="Calibri Light"/>
          <w:iCs/>
          <w:color w:val="auto"/>
          <w:sz w:val="18"/>
          <w:szCs w:val="18"/>
        </w:rPr>
        <w:t xml:space="preserve">i = </w:t>
      </w:r>
      <w:r w:rsidR="0084093C" w:rsidRPr="00A841EC">
        <w:rPr>
          <w:rFonts w:ascii="Cambria Math" w:hAnsi="Cambria Math" w:cs="Calibri Light"/>
          <w:iCs/>
          <w:color w:val="auto"/>
          <w:sz w:val="18"/>
          <w:szCs w:val="18"/>
        </w:rPr>
        <w:tab/>
        <w:t>E</w:t>
      </w:r>
      <w:r w:rsidRPr="00A841EC">
        <w:rPr>
          <w:rFonts w:ascii="Cambria Math" w:hAnsi="Cambria Math" w:cs="Calibri Light"/>
          <w:iCs/>
          <w:color w:val="auto"/>
          <w:sz w:val="18"/>
          <w:szCs w:val="18"/>
        </w:rPr>
        <w:t>ach hour in the year</w:t>
      </w:r>
    </w:p>
    <w:p w14:paraId="2DA5B709" w14:textId="249F51E3" w:rsidR="00555D0C" w:rsidRPr="00A841EC" w:rsidRDefault="00F837E5" w:rsidP="00221961">
      <w:pPr>
        <w:pStyle w:val="Reminders"/>
        <w:tabs>
          <w:tab w:val="left" w:pos="2610"/>
        </w:tabs>
        <w:ind w:left="2610" w:hanging="1170"/>
        <w:rPr>
          <w:rFonts w:ascii="Cambria Math" w:hAnsi="Cambria Math" w:cs="Calibri Light"/>
          <w:iCs/>
          <w:color w:val="auto"/>
          <w:sz w:val="18"/>
          <w:szCs w:val="18"/>
        </w:rPr>
      </w:pPr>
      <m:oMath>
        <m:sSub>
          <m:sSubPr>
            <m:ctrlPr>
              <w:rPr>
                <w:rFonts w:ascii="Cambria Math" w:hAnsi="Cambria Math" w:cs="Calibri Light"/>
                <w:iCs/>
                <w:sz w:val="18"/>
                <w:szCs w:val="18"/>
              </w:rPr>
            </m:ctrlPr>
          </m:sSubPr>
          <m:e>
            <m:r>
              <w:rPr>
                <w:rFonts w:ascii="Cambria Math" w:hAnsi="Cambria Math" w:cs="Calibri Light"/>
                <w:color w:val="auto"/>
                <w:sz w:val="18"/>
                <w:szCs w:val="18"/>
              </w:rPr>
              <m:t>HDD</m:t>
            </m:r>
          </m:e>
          <m:sub>
            <m:r>
              <w:rPr>
                <w:rFonts w:ascii="Cambria Math" w:hAnsi="Cambria Math" w:cs="Calibri Light"/>
                <w:color w:val="auto"/>
                <w:sz w:val="18"/>
                <w:szCs w:val="18"/>
              </w:rPr>
              <m:t>i</m:t>
            </m:r>
          </m:sub>
        </m:sSub>
      </m:oMath>
      <w:r w:rsidR="00555D0C" w:rsidRPr="00A841EC">
        <w:rPr>
          <w:rFonts w:ascii="Cambria Math" w:hAnsi="Cambria Math" w:cs="Calibri Light"/>
          <w:iCs/>
          <w:color w:val="auto"/>
          <w:sz w:val="18"/>
          <w:szCs w:val="18"/>
        </w:rPr>
        <w:t xml:space="preserve"> = </w:t>
      </w:r>
      <w:r w:rsidR="0084093C" w:rsidRPr="00A841EC">
        <w:rPr>
          <w:rFonts w:ascii="Cambria Math" w:hAnsi="Cambria Math" w:cs="Calibri Light"/>
          <w:iCs/>
          <w:color w:val="auto"/>
          <w:sz w:val="18"/>
          <w:szCs w:val="18"/>
        </w:rPr>
        <w:tab/>
      </w:r>
      <w:r w:rsidR="00555D0C" w:rsidRPr="00A841EC">
        <w:rPr>
          <w:rFonts w:ascii="Cambria Math" w:hAnsi="Cambria Math" w:cs="Calibri Light"/>
          <w:iCs/>
          <w:color w:val="auto"/>
          <w:sz w:val="18"/>
          <w:szCs w:val="18"/>
        </w:rPr>
        <w:t xml:space="preserve">Heating </w:t>
      </w:r>
      <w:r w:rsidR="003D1AAC" w:rsidRPr="00A841EC">
        <w:rPr>
          <w:rFonts w:ascii="Cambria Math" w:hAnsi="Cambria Math" w:cs="Calibri Light"/>
          <w:iCs/>
          <w:color w:val="auto"/>
          <w:sz w:val="18"/>
          <w:szCs w:val="18"/>
        </w:rPr>
        <w:t>d</w:t>
      </w:r>
      <w:r w:rsidR="00555D0C" w:rsidRPr="00A841EC">
        <w:rPr>
          <w:rFonts w:ascii="Cambria Math" w:hAnsi="Cambria Math" w:cs="Calibri Light"/>
          <w:iCs/>
          <w:color w:val="auto"/>
          <w:sz w:val="18"/>
          <w:szCs w:val="18"/>
        </w:rPr>
        <w:t xml:space="preserve">egree </w:t>
      </w:r>
      <w:r w:rsidR="003D1AAC" w:rsidRPr="00A841EC">
        <w:rPr>
          <w:rFonts w:ascii="Cambria Math" w:hAnsi="Cambria Math" w:cs="Calibri Light"/>
          <w:iCs/>
          <w:color w:val="auto"/>
          <w:sz w:val="18"/>
          <w:szCs w:val="18"/>
        </w:rPr>
        <w:t>d</w:t>
      </w:r>
      <w:r w:rsidR="00555D0C" w:rsidRPr="00A841EC">
        <w:rPr>
          <w:rFonts w:ascii="Cambria Math" w:hAnsi="Cambria Math" w:cs="Calibri Light"/>
          <w:iCs/>
          <w:color w:val="auto"/>
          <w:sz w:val="18"/>
          <w:szCs w:val="18"/>
        </w:rPr>
        <w:t>ays at each hour in a year</w:t>
      </w:r>
    </w:p>
    <w:p w14:paraId="496BA6B1" w14:textId="2B949612" w:rsidR="00555D0C" w:rsidRPr="00A841EC" w:rsidRDefault="00F837E5" w:rsidP="00221961">
      <w:pPr>
        <w:pStyle w:val="Reminders"/>
        <w:tabs>
          <w:tab w:val="left" w:pos="2610"/>
        </w:tabs>
        <w:ind w:left="2610" w:hanging="1170"/>
        <w:rPr>
          <w:rFonts w:ascii="Cambria Math" w:hAnsi="Cambria Math" w:cs="Calibri Light"/>
          <w:iCs/>
          <w:color w:val="auto"/>
          <w:sz w:val="18"/>
          <w:szCs w:val="18"/>
        </w:rPr>
      </w:pPr>
      <m:oMath>
        <m:sSub>
          <m:sSubPr>
            <m:ctrlPr>
              <w:rPr>
                <w:rFonts w:ascii="Cambria Math" w:hAnsi="Cambria Math" w:cs="Calibri Light"/>
                <w:iCs/>
                <w:sz w:val="18"/>
                <w:szCs w:val="18"/>
              </w:rPr>
            </m:ctrlPr>
          </m:sSubPr>
          <m:e>
            <m:r>
              <w:rPr>
                <w:rFonts w:ascii="Cambria Math" w:hAnsi="Cambria Math" w:cs="Calibri Light"/>
                <w:color w:val="auto"/>
                <w:sz w:val="18"/>
                <w:szCs w:val="18"/>
              </w:rPr>
              <m:t>t</m:t>
            </m:r>
          </m:e>
          <m:sub>
            <m:r>
              <w:rPr>
                <w:rFonts w:ascii="Cambria Math" w:hAnsi="Cambria Math" w:cs="Calibri Light"/>
                <w:color w:val="auto"/>
                <w:sz w:val="18"/>
                <w:szCs w:val="18"/>
              </w:rPr>
              <m:t>2</m:t>
            </m:r>
          </m:sub>
        </m:sSub>
      </m:oMath>
      <w:r w:rsidR="00555D0C" w:rsidRPr="00A841EC">
        <w:rPr>
          <w:rFonts w:ascii="Cambria Math" w:hAnsi="Cambria Math" w:cs="Calibri Light"/>
          <w:iCs/>
          <w:color w:val="auto"/>
          <w:sz w:val="18"/>
          <w:szCs w:val="18"/>
        </w:rPr>
        <w:t xml:space="preserve"> = </w:t>
      </w:r>
      <w:r w:rsidR="0084093C" w:rsidRPr="00A841EC">
        <w:rPr>
          <w:rFonts w:ascii="Cambria Math" w:hAnsi="Cambria Math" w:cs="Calibri Light"/>
          <w:iCs/>
          <w:color w:val="auto"/>
          <w:sz w:val="18"/>
          <w:szCs w:val="18"/>
        </w:rPr>
        <w:tab/>
      </w:r>
      <w:r w:rsidR="00555D0C" w:rsidRPr="00A841EC">
        <w:rPr>
          <w:rFonts w:ascii="Cambria Math" w:hAnsi="Cambria Math" w:cs="Calibri Light"/>
          <w:iCs/>
          <w:color w:val="auto"/>
          <w:sz w:val="18"/>
          <w:szCs w:val="18"/>
        </w:rPr>
        <w:t>Total hours the pilot light is ON while the burner is also ON.</w:t>
      </w:r>
    </w:p>
    <w:p w14:paraId="41E6A6A6" w14:textId="3D6CF2BA" w:rsidR="00555D0C" w:rsidRPr="00A841EC" w:rsidRDefault="00F837E5" w:rsidP="00221961">
      <w:pPr>
        <w:pStyle w:val="Reminders"/>
        <w:tabs>
          <w:tab w:val="left" w:pos="2610"/>
        </w:tabs>
        <w:ind w:left="2610" w:hanging="1170"/>
        <w:rPr>
          <w:rFonts w:ascii="Cambria Math" w:hAnsi="Cambria Math" w:cs="Calibri Light"/>
          <w:iCs/>
          <w:color w:val="auto"/>
          <w:sz w:val="18"/>
          <w:szCs w:val="18"/>
        </w:rPr>
      </w:pPr>
      <m:oMath>
        <m:sSub>
          <m:sSubPr>
            <m:ctrlPr>
              <w:rPr>
                <w:rFonts w:ascii="Cambria Math" w:hAnsi="Cambria Math" w:cs="Calibri Light"/>
                <w:iCs/>
                <w:sz w:val="18"/>
                <w:szCs w:val="18"/>
              </w:rPr>
            </m:ctrlPr>
          </m:sSubPr>
          <m:e>
            <m:r>
              <w:rPr>
                <w:rFonts w:ascii="Cambria Math" w:hAnsi="Cambria Math" w:cs="Calibri Light"/>
                <w:color w:val="auto"/>
                <w:sz w:val="18"/>
                <w:szCs w:val="18"/>
              </w:rPr>
              <m:t>t</m:t>
            </m:r>
          </m:e>
          <m:sub>
            <m:r>
              <w:rPr>
                <w:rFonts w:ascii="Cambria Math" w:hAnsi="Cambria Math" w:cs="Calibri Light"/>
                <w:color w:val="auto"/>
                <w:sz w:val="18"/>
                <w:szCs w:val="18"/>
              </w:rPr>
              <m:t>Burner ON</m:t>
            </m:r>
          </m:sub>
        </m:sSub>
      </m:oMath>
      <w:r w:rsidR="00555D0C" w:rsidRPr="00A841EC">
        <w:rPr>
          <w:rFonts w:ascii="Cambria Math" w:hAnsi="Cambria Math" w:cs="Calibri Light"/>
          <w:iCs/>
          <w:color w:val="auto"/>
          <w:sz w:val="18"/>
          <w:szCs w:val="18"/>
        </w:rPr>
        <w:t xml:space="preserve"> = </w:t>
      </w:r>
      <w:r w:rsidR="0084093C" w:rsidRPr="00A841EC">
        <w:rPr>
          <w:rFonts w:ascii="Cambria Math" w:hAnsi="Cambria Math" w:cs="Calibri Light"/>
          <w:iCs/>
          <w:color w:val="auto"/>
          <w:sz w:val="18"/>
          <w:szCs w:val="18"/>
        </w:rPr>
        <w:tab/>
      </w:r>
      <w:r w:rsidR="007413DF" w:rsidRPr="00A841EC">
        <w:rPr>
          <w:rStyle w:val="Hyperlink"/>
          <w:rFonts w:ascii="Cambria Math" w:hAnsi="Cambria Math" w:cs="Calibri Light"/>
          <w:iCs/>
          <w:color w:val="auto"/>
          <w:sz w:val="18"/>
          <w:szCs w:val="18"/>
          <w:u w:val="none"/>
        </w:rPr>
        <w:t>Total hours per year the furnace burner is ON (see above)</w:t>
      </w:r>
    </w:p>
    <w:p w14:paraId="4893F9AF" w14:textId="113C1092" w:rsidR="00555D0C" w:rsidRPr="00A841EC" w:rsidRDefault="00F837E5" w:rsidP="00221961">
      <w:pPr>
        <w:pStyle w:val="Reminders"/>
        <w:tabs>
          <w:tab w:val="left" w:pos="2610"/>
        </w:tabs>
        <w:ind w:left="2610" w:hanging="1170"/>
        <w:rPr>
          <w:rFonts w:ascii="Cambria Math" w:hAnsi="Cambria Math" w:cs="Calibri Light"/>
          <w:iCs/>
          <w:color w:val="auto"/>
          <w:sz w:val="18"/>
          <w:szCs w:val="18"/>
        </w:rPr>
      </w:pPr>
      <m:oMath>
        <m:sSub>
          <m:sSubPr>
            <m:ctrlPr>
              <w:rPr>
                <w:rFonts w:ascii="Cambria Math" w:hAnsi="Cambria Math" w:cs="Calibri Light"/>
                <w:iCs/>
                <w:sz w:val="18"/>
                <w:szCs w:val="18"/>
              </w:rPr>
            </m:ctrlPr>
          </m:sSubPr>
          <m:e>
            <m:r>
              <w:rPr>
                <w:rFonts w:ascii="Cambria Math" w:hAnsi="Cambria Math" w:cs="Calibri Light"/>
                <w:color w:val="auto"/>
                <w:sz w:val="18"/>
                <w:szCs w:val="18"/>
              </w:rPr>
              <m:t>t</m:t>
            </m:r>
          </m:e>
          <m:sub>
            <m:r>
              <w:rPr>
                <w:rFonts w:ascii="Cambria Math" w:hAnsi="Cambria Math" w:cs="Calibri Light"/>
                <w:color w:val="auto"/>
                <w:sz w:val="18"/>
                <w:szCs w:val="18"/>
              </w:rPr>
              <m:t>3</m:t>
            </m:r>
          </m:sub>
        </m:sSub>
      </m:oMath>
      <w:r w:rsidR="00555D0C" w:rsidRPr="00A841EC">
        <w:rPr>
          <w:rFonts w:ascii="Cambria Math" w:hAnsi="Cambria Math" w:cs="Calibri Light"/>
          <w:iCs/>
          <w:color w:val="auto"/>
          <w:sz w:val="18"/>
          <w:szCs w:val="18"/>
        </w:rPr>
        <w:t xml:space="preserve"> = </w:t>
      </w:r>
      <w:r w:rsidR="0084093C" w:rsidRPr="00A841EC">
        <w:rPr>
          <w:rFonts w:ascii="Cambria Math" w:hAnsi="Cambria Math" w:cs="Calibri Light"/>
          <w:iCs/>
          <w:color w:val="auto"/>
          <w:sz w:val="18"/>
          <w:szCs w:val="18"/>
        </w:rPr>
        <w:tab/>
      </w:r>
      <w:r w:rsidR="00555D0C" w:rsidRPr="00A841EC">
        <w:rPr>
          <w:rFonts w:ascii="Cambria Math" w:hAnsi="Cambria Math" w:cs="Calibri Light"/>
          <w:iCs/>
          <w:color w:val="auto"/>
          <w:sz w:val="18"/>
          <w:szCs w:val="18"/>
        </w:rPr>
        <w:t>Total hours the pilot light is ON while the burner is OFF and heat was required during the hour</w:t>
      </w:r>
    </w:p>
    <w:p w14:paraId="6FDE7E12" w14:textId="56AFE9D3" w:rsidR="00555D0C" w:rsidRPr="00A841EC" w:rsidRDefault="00F837E5" w:rsidP="00221961">
      <w:pPr>
        <w:pStyle w:val="Reminders"/>
        <w:tabs>
          <w:tab w:val="left" w:pos="2610"/>
        </w:tabs>
        <w:ind w:left="2610" w:hanging="1170"/>
        <w:rPr>
          <w:rFonts w:ascii="Cambria Math" w:hAnsi="Cambria Math" w:cs="Calibri Light"/>
          <w:i w:val="0"/>
          <w:color w:val="auto"/>
          <w:sz w:val="22"/>
          <w:szCs w:val="22"/>
        </w:rPr>
      </w:pPr>
      <m:oMath>
        <m:sSub>
          <m:sSubPr>
            <m:ctrlPr>
              <w:rPr>
                <w:rFonts w:ascii="Cambria Math" w:hAnsi="Cambria Math" w:cs="Calibri Light"/>
                <w:iCs/>
                <w:sz w:val="18"/>
                <w:szCs w:val="18"/>
              </w:rPr>
            </m:ctrlPr>
          </m:sSubPr>
          <m:e>
            <m:r>
              <w:rPr>
                <w:rFonts w:ascii="Cambria Math" w:hAnsi="Cambria Math" w:cs="Calibri Light"/>
                <w:color w:val="auto"/>
                <w:sz w:val="18"/>
                <w:szCs w:val="18"/>
              </w:rPr>
              <m:t>t</m:t>
            </m:r>
          </m:e>
          <m:sub>
            <m:r>
              <w:rPr>
                <w:rFonts w:ascii="Cambria Math" w:hAnsi="Cambria Math" w:cs="Calibri Light"/>
                <w:color w:val="auto"/>
                <w:sz w:val="18"/>
                <w:szCs w:val="18"/>
              </w:rPr>
              <m:t>Fireplace ON</m:t>
            </m:r>
          </m:sub>
        </m:sSub>
      </m:oMath>
      <w:r w:rsidR="00555D0C" w:rsidRPr="00A841EC">
        <w:rPr>
          <w:rFonts w:ascii="Cambria Math" w:hAnsi="Cambria Math" w:cs="Calibri Light"/>
          <w:iCs/>
          <w:color w:val="auto"/>
          <w:sz w:val="18"/>
          <w:szCs w:val="18"/>
        </w:rPr>
        <w:t xml:space="preserve"> = </w:t>
      </w:r>
      <w:r w:rsidR="0084093C" w:rsidRPr="00A841EC">
        <w:rPr>
          <w:rFonts w:ascii="Cambria Math" w:hAnsi="Cambria Math" w:cs="Calibri Light"/>
          <w:iCs/>
          <w:color w:val="auto"/>
          <w:sz w:val="18"/>
          <w:szCs w:val="18"/>
        </w:rPr>
        <w:tab/>
      </w:r>
      <w:r w:rsidR="00555D0C" w:rsidRPr="00A841EC">
        <w:rPr>
          <w:rFonts w:ascii="Cambria Math" w:hAnsi="Cambria Math" w:cs="Calibri Light"/>
          <w:iCs/>
          <w:color w:val="auto"/>
          <w:sz w:val="18"/>
          <w:szCs w:val="18"/>
        </w:rPr>
        <w:t xml:space="preserve">Total hours the fireplace is capable of heating </w:t>
      </w:r>
    </w:p>
    <w:p w14:paraId="49F3D7EA" w14:textId="6EE6C564" w:rsidR="007147C9" w:rsidRPr="00A841EC" w:rsidRDefault="007147C9" w:rsidP="00147B29"/>
    <w:p w14:paraId="186D856D" w14:textId="6F8BA136" w:rsidR="005C7B6B" w:rsidRPr="00A841EC" w:rsidRDefault="005C7B6B" w:rsidP="005C7B6B">
      <w:pPr>
        <w:pStyle w:val="eTRMHeading4"/>
        <w:rPr>
          <w:rFonts w:cs="Calibri Light"/>
          <w:sz w:val="22"/>
        </w:rPr>
      </w:pPr>
      <w:r w:rsidRPr="00A841EC">
        <w:rPr>
          <w:rFonts w:cs="Calibri Light"/>
          <w:sz w:val="22"/>
        </w:rPr>
        <w:t>Sample Calculation</w:t>
      </w:r>
    </w:p>
    <w:p w14:paraId="27B508B6" w14:textId="002B2234" w:rsidR="00555D0C" w:rsidRPr="00A841EC" w:rsidRDefault="007413DF" w:rsidP="00555D0C">
      <w:pPr>
        <w:pStyle w:val="Reminders"/>
        <w:rPr>
          <w:rFonts w:ascii="Calibri Light" w:hAnsi="Calibri Light" w:cs="Calibri Light"/>
          <w:i w:val="0"/>
          <w:color w:val="auto"/>
          <w:sz w:val="22"/>
          <w:szCs w:val="22"/>
        </w:rPr>
      </w:pPr>
      <w:r w:rsidRPr="00A841EC">
        <w:rPr>
          <w:rFonts w:ascii="Calibri Light" w:hAnsi="Calibri Light" w:cs="Calibri Light"/>
          <w:i w:val="0"/>
          <w:color w:val="auto"/>
          <w:sz w:val="22"/>
          <w:szCs w:val="22"/>
        </w:rPr>
        <w:t>A sample calculation of</w:t>
      </w:r>
      <w:r w:rsidR="00555D0C" w:rsidRPr="00A841EC">
        <w:rPr>
          <w:rFonts w:ascii="Calibri Light" w:hAnsi="Calibri Light" w:cs="Calibri Light"/>
          <w:i w:val="0"/>
          <w:color w:val="auto"/>
          <w:sz w:val="22"/>
          <w:szCs w:val="22"/>
        </w:rPr>
        <w:t xml:space="preserve"> the energy savings for an AR</w:t>
      </w:r>
      <w:r w:rsidRPr="00A841EC">
        <w:rPr>
          <w:rFonts w:ascii="Calibri Light" w:hAnsi="Calibri Light" w:cs="Calibri Light"/>
          <w:i w:val="0"/>
          <w:color w:val="auto"/>
          <w:sz w:val="22"/>
          <w:szCs w:val="22"/>
        </w:rPr>
        <w:t xml:space="preserve"> installation of a</w:t>
      </w:r>
      <w:r w:rsidR="00555D0C" w:rsidRPr="00A841EC">
        <w:rPr>
          <w:rFonts w:ascii="Calibri Light" w:hAnsi="Calibri Light" w:cs="Calibri Light"/>
          <w:i w:val="0"/>
          <w:color w:val="auto"/>
          <w:sz w:val="22"/>
          <w:szCs w:val="22"/>
        </w:rPr>
        <w:t xml:space="preserve"> Tier 1</w:t>
      </w:r>
      <w:r w:rsidRPr="00A841EC">
        <w:rPr>
          <w:rFonts w:ascii="Calibri Light" w:hAnsi="Calibri Light" w:cs="Calibri Light"/>
          <w:i w:val="0"/>
          <w:color w:val="auto"/>
          <w:sz w:val="22"/>
          <w:szCs w:val="22"/>
        </w:rPr>
        <w:t xml:space="preserve"> fireplace</w:t>
      </w:r>
      <w:r w:rsidR="00555D0C" w:rsidRPr="00A841EC">
        <w:rPr>
          <w:rFonts w:ascii="Calibri Light" w:hAnsi="Calibri Light" w:cs="Calibri Light"/>
          <w:i w:val="0"/>
          <w:color w:val="auto"/>
          <w:sz w:val="22"/>
          <w:szCs w:val="22"/>
        </w:rPr>
        <w:t xml:space="preserve"> </w:t>
      </w:r>
      <w:r w:rsidR="000D636D" w:rsidRPr="00A841EC">
        <w:rPr>
          <w:rFonts w:ascii="Calibri Light" w:hAnsi="Calibri Light" w:cs="Calibri Light"/>
          <w:i w:val="0"/>
          <w:color w:val="auto"/>
          <w:sz w:val="22"/>
          <w:szCs w:val="22"/>
        </w:rPr>
        <w:t xml:space="preserve">in climate zone </w:t>
      </w:r>
      <w:r w:rsidR="00555D0C" w:rsidRPr="00A841EC">
        <w:rPr>
          <w:rFonts w:ascii="Calibri Light" w:hAnsi="Calibri Light" w:cs="Calibri Light"/>
          <w:i w:val="0"/>
          <w:color w:val="auto"/>
          <w:sz w:val="22"/>
          <w:szCs w:val="22"/>
        </w:rPr>
        <w:t>1</w:t>
      </w:r>
      <w:r w:rsidRPr="00A841EC">
        <w:rPr>
          <w:rFonts w:ascii="Calibri Light" w:hAnsi="Calibri Light" w:cs="Calibri Light"/>
          <w:i w:val="0"/>
          <w:color w:val="auto"/>
          <w:sz w:val="22"/>
          <w:szCs w:val="22"/>
        </w:rPr>
        <w:t xml:space="preserve"> is as follows:</w:t>
      </w:r>
    </w:p>
    <w:p w14:paraId="20B71D36" w14:textId="77777777" w:rsidR="00DF7ECA" w:rsidRPr="00A841EC" w:rsidRDefault="00F837E5" w:rsidP="00DF7ECA">
      <w:pPr>
        <w:pStyle w:val="Reminders"/>
        <w:ind w:left="1440"/>
        <w:rPr>
          <w:rFonts w:ascii="Cambria Math" w:hAnsi="Cambria Math" w:cs="Calibri Light"/>
          <w:iCs/>
          <w:color w:val="auto"/>
          <w:sz w:val="18"/>
          <w:szCs w:val="18"/>
        </w:rPr>
      </w:pPr>
      <m:oMath>
        <m:sSub>
          <m:sSubPr>
            <m:ctrlPr>
              <w:rPr>
                <w:rFonts w:ascii="Cambria Math" w:hAnsi="Cambria Math" w:cs="Calibri Light"/>
                <w:iCs/>
                <w:sz w:val="18"/>
                <w:szCs w:val="18"/>
              </w:rPr>
            </m:ctrlPr>
          </m:sSubPr>
          <m:e>
            <m:r>
              <w:rPr>
                <w:rFonts w:ascii="Cambria Math" w:hAnsi="Cambria Math" w:cs="Calibri Light"/>
                <w:color w:val="auto"/>
                <w:sz w:val="18"/>
                <w:szCs w:val="18"/>
              </w:rPr>
              <m:t>UES</m:t>
            </m:r>
          </m:e>
          <m:sub>
            <m:r>
              <w:rPr>
                <w:rFonts w:ascii="Cambria Math" w:hAnsi="Cambria Math" w:cs="Calibri Light"/>
                <w:color w:val="auto"/>
                <w:sz w:val="18"/>
                <w:szCs w:val="18"/>
              </w:rPr>
              <m:t>AR</m:t>
            </m:r>
          </m:sub>
        </m:sSub>
      </m:oMath>
      <w:r w:rsidR="00DF7ECA" w:rsidRPr="00A841EC">
        <w:rPr>
          <w:rFonts w:ascii="Cambria Math" w:hAnsi="Cambria Math" w:cs="Calibri Light"/>
          <w:iCs/>
          <w:color w:val="auto"/>
          <w:sz w:val="18"/>
          <w:szCs w:val="18"/>
        </w:rPr>
        <w:t xml:space="preserve"> = Energy savings for the AR Measure (Therms).</w:t>
      </w:r>
    </w:p>
    <w:p w14:paraId="2BE86434" w14:textId="77777777" w:rsidR="00DF7ECA" w:rsidRPr="00A841EC" w:rsidRDefault="00DF7ECA" w:rsidP="00DF7ECA">
      <w:pPr>
        <w:pStyle w:val="Reminders"/>
        <w:ind w:left="1440"/>
        <w:rPr>
          <w:rFonts w:ascii="Cambria Math" w:hAnsi="Cambria Math" w:cs="Calibri Light"/>
          <w:iCs/>
          <w:color w:val="auto"/>
          <w:sz w:val="18"/>
          <w:szCs w:val="18"/>
        </w:rPr>
      </w:pPr>
      <m:oMath>
        <m:r>
          <w:rPr>
            <w:rFonts w:ascii="Cambria Math" w:hAnsi="Cambria Math" w:cs="Calibri Light"/>
            <w:color w:val="auto"/>
            <w:sz w:val="18"/>
            <w:szCs w:val="18"/>
          </w:rPr>
          <m:t>U</m:t>
        </m:r>
        <m:sSub>
          <m:sSubPr>
            <m:ctrlPr>
              <w:rPr>
                <w:rFonts w:ascii="Cambria Math" w:hAnsi="Cambria Math" w:cs="Calibri Light"/>
                <w:iCs/>
                <w:color w:val="auto"/>
                <w:sz w:val="18"/>
                <w:szCs w:val="18"/>
              </w:rPr>
            </m:ctrlPr>
          </m:sSubPr>
          <m:e>
            <m:r>
              <w:rPr>
                <w:rFonts w:ascii="Cambria Math" w:hAnsi="Cambria Math" w:cs="Calibri Light"/>
                <w:color w:val="auto"/>
                <w:sz w:val="18"/>
                <w:szCs w:val="18"/>
              </w:rPr>
              <m:t>ES</m:t>
            </m:r>
          </m:e>
          <m:sub>
            <m:r>
              <w:rPr>
                <w:rFonts w:ascii="Cambria Math" w:hAnsi="Cambria Math" w:cs="Calibri Light"/>
                <w:color w:val="auto"/>
                <w:sz w:val="18"/>
                <w:szCs w:val="18"/>
              </w:rPr>
              <m:t>P</m:t>
            </m:r>
          </m:sub>
        </m:sSub>
      </m:oMath>
      <w:r w:rsidRPr="00A841EC">
        <w:rPr>
          <w:rFonts w:ascii="Cambria Math" w:hAnsi="Cambria Math" w:cs="Calibri Light"/>
          <w:iCs/>
          <w:color w:val="auto"/>
          <w:sz w:val="18"/>
          <w:szCs w:val="18"/>
        </w:rPr>
        <w:t xml:space="preserve"> = Total energy savings for the removal of the pilot light (Therms) </w:t>
      </w:r>
    </w:p>
    <w:p w14:paraId="0D58F297" w14:textId="77777777" w:rsidR="00DF7ECA" w:rsidRPr="00A841EC" w:rsidRDefault="00F837E5" w:rsidP="00DF7ECA">
      <w:pPr>
        <w:pStyle w:val="Reminders"/>
        <w:ind w:left="1440"/>
        <w:rPr>
          <w:rFonts w:ascii="Calibri Light" w:hAnsi="Calibri Light" w:cs="Calibri Light"/>
          <w:i w:val="0"/>
          <w:color w:val="auto"/>
          <w:sz w:val="22"/>
          <w:szCs w:val="22"/>
        </w:rPr>
      </w:pPr>
      <m:oMath>
        <m:sSub>
          <m:sSubPr>
            <m:ctrlPr>
              <w:rPr>
                <w:rFonts w:ascii="Cambria Math" w:hAnsi="Cambria Math" w:cs="Calibri Light"/>
                <w:iCs/>
                <w:sz w:val="18"/>
                <w:szCs w:val="18"/>
              </w:rPr>
            </m:ctrlPr>
          </m:sSubPr>
          <m:e>
            <m:r>
              <w:rPr>
                <w:rFonts w:ascii="Cambria Math" w:hAnsi="Cambria Math" w:cs="Calibri Light"/>
                <w:color w:val="auto"/>
                <w:sz w:val="18"/>
                <w:szCs w:val="18"/>
              </w:rPr>
              <m:t>EUES</m:t>
            </m:r>
          </m:e>
          <m:sub>
            <m:r>
              <w:rPr>
                <w:rFonts w:ascii="Cambria Math" w:hAnsi="Cambria Math" w:cs="Calibri Light"/>
                <w:color w:val="auto"/>
                <w:sz w:val="18"/>
                <w:szCs w:val="18"/>
              </w:rPr>
              <m:t>FE</m:t>
            </m:r>
          </m:sub>
        </m:sSub>
      </m:oMath>
      <w:r w:rsidR="00DF7ECA" w:rsidRPr="00A841EC">
        <w:rPr>
          <w:rFonts w:ascii="Cambria Math" w:hAnsi="Cambria Math" w:cs="Calibri Light"/>
          <w:iCs/>
          <w:color w:val="auto"/>
          <w:sz w:val="18"/>
          <w:szCs w:val="18"/>
        </w:rPr>
        <w:t xml:space="preserve"> = Energy savings for an increase in FE (Therms) </w:t>
      </w:r>
    </w:p>
    <w:p w14:paraId="671BF6CC" w14:textId="77777777" w:rsidR="00555D0C" w:rsidRPr="00A841EC" w:rsidRDefault="00555D0C" w:rsidP="00555D0C">
      <w:pPr>
        <w:pStyle w:val="Reminders"/>
        <w:rPr>
          <w:rFonts w:ascii="Calibri Light" w:hAnsi="Calibri Light" w:cs="Calibri Light"/>
          <w:i w:val="0"/>
          <w:color w:val="auto"/>
          <w:sz w:val="22"/>
          <w:szCs w:val="22"/>
        </w:rPr>
      </w:pPr>
    </w:p>
    <w:p w14:paraId="36D7D14B" w14:textId="20401A18" w:rsidR="00555D0C" w:rsidRPr="00A841EC" w:rsidRDefault="00F837E5" w:rsidP="00221961">
      <w:pPr>
        <w:pStyle w:val="Reminders"/>
        <w:ind w:left="720"/>
        <w:rPr>
          <w:rFonts w:ascii="Calibri Light" w:hAnsi="Calibri Light" w:cs="Calibri Light"/>
          <w:i w:val="0"/>
          <w:color w:val="auto"/>
          <w:sz w:val="22"/>
          <w:szCs w:val="22"/>
        </w:rPr>
      </w:pPr>
      <m:oMathPara>
        <m:oMathParaPr>
          <m:jc m:val="left"/>
        </m:oMathParaPr>
        <m:oMath>
          <m:sSub>
            <m:sSubPr>
              <m:ctrlPr>
                <w:rPr>
                  <w:rFonts w:ascii="Cambria Math" w:hAnsi="Cambria Math" w:cs="Calibri Light"/>
                  <w:sz w:val="20"/>
                  <w:szCs w:val="20"/>
                </w:rPr>
              </m:ctrlPr>
            </m:sSubPr>
            <m:e>
              <m:r>
                <w:rPr>
                  <w:rFonts w:ascii="Cambria Math" w:hAnsi="Cambria Math" w:cs="Calibri Light"/>
                  <w:color w:val="auto"/>
                  <w:sz w:val="20"/>
                  <w:szCs w:val="20"/>
                </w:rPr>
                <m:t>UES</m:t>
              </m:r>
            </m:e>
            <m:sub>
              <m:r>
                <w:rPr>
                  <w:rFonts w:ascii="Cambria Math" w:hAnsi="Cambria Math" w:cs="Calibri Light"/>
                  <w:color w:val="auto"/>
                  <w:sz w:val="20"/>
                  <w:szCs w:val="20"/>
                </w:rPr>
                <m:t>AR</m:t>
              </m:r>
            </m:sub>
          </m:sSub>
          <m:r>
            <w:rPr>
              <w:rFonts w:ascii="Cambria Math" w:hAnsi="Cambria Math" w:cs="Calibri Light"/>
              <w:color w:val="auto"/>
              <w:sz w:val="20"/>
              <w:szCs w:val="20"/>
            </w:rPr>
            <m:t>(tier 1 CZ 1)=</m:t>
          </m:r>
          <m:sSub>
            <m:sSubPr>
              <m:ctrlPr>
                <w:rPr>
                  <w:rFonts w:ascii="Cambria Math" w:hAnsi="Cambria Math" w:cs="Calibri Light"/>
                  <w:sz w:val="20"/>
                  <w:szCs w:val="20"/>
                </w:rPr>
              </m:ctrlPr>
            </m:sSubPr>
            <m:e>
              <m:r>
                <w:rPr>
                  <w:rFonts w:ascii="Cambria Math" w:hAnsi="Cambria Math" w:cs="Calibri Light"/>
                  <w:color w:val="auto"/>
                  <w:sz w:val="20"/>
                  <w:szCs w:val="20"/>
                </w:rPr>
                <m:t>UES</m:t>
              </m:r>
            </m:e>
            <m:sub>
              <m:r>
                <w:rPr>
                  <w:rFonts w:ascii="Cambria Math" w:hAnsi="Cambria Math" w:cs="Calibri Light"/>
                  <w:color w:val="auto"/>
                  <w:sz w:val="20"/>
                  <w:szCs w:val="20"/>
                </w:rPr>
                <m:t>P</m:t>
              </m:r>
            </m:sub>
          </m:sSub>
          <m:r>
            <w:rPr>
              <w:rFonts w:ascii="Cambria Math" w:hAnsi="Cambria Math" w:cs="Calibri Light"/>
              <w:color w:val="auto"/>
              <w:sz w:val="20"/>
              <w:szCs w:val="20"/>
            </w:rPr>
            <m:t>+</m:t>
          </m:r>
          <m:sSub>
            <m:sSubPr>
              <m:ctrlPr>
                <w:rPr>
                  <w:rFonts w:ascii="Cambria Math" w:hAnsi="Cambria Math" w:cs="Calibri Light"/>
                  <w:sz w:val="20"/>
                  <w:szCs w:val="20"/>
                </w:rPr>
              </m:ctrlPr>
            </m:sSubPr>
            <m:e>
              <m:r>
                <w:rPr>
                  <w:rFonts w:ascii="Cambria Math" w:hAnsi="Cambria Math" w:cs="Calibri Light"/>
                  <w:color w:val="auto"/>
                  <w:sz w:val="20"/>
                  <w:szCs w:val="20"/>
                </w:rPr>
                <m:t>EUES</m:t>
              </m:r>
            </m:e>
            <m:sub>
              <m:r>
                <w:rPr>
                  <w:rFonts w:ascii="Cambria Math" w:hAnsi="Cambria Math" w:cs="Calibri Light"/>
                  <w:color w:val="auto"/>
                  <w:sz w:val="20"/>
                  <w:szCs w:val="20"/>
                </w:rPr>
                <m:t>FE</m:t>
              </m:r>
            </m:sub>
          </m:sSub>
        </m:oMath>
      </m:oMathPara>
    </w:p>
    <w:p w14:paraId="46DC5887" w14:textId="0E3D0A43" w:rsidR="00DE0B0D" w:rsidRPr="00A841EC" w:rsidRDefault="00DE0B0D" w:rsidP="00555D0C">
      <w:pPr>
        <w:pStyle w:val="Reminders"/>
        <w:rPr>
          <w:rFonts w:ascii="Calibri Light" w:hAnsi="Calibri Light" w:cs="Calibri Light"/>
          <w:i w:val="0"/>
          <w:color w:val="auto"/>
          <w:sz w:val="18"/>
          <w:szCs w:val="18"/>
        </w:rPr>
      </w:pPr>
    </w:p>
    <w:p w14:paraId="09440A26" w14:textId="2473E3F3" w:rsidR="00DE0B0D" w:rsidRPr="00A841EC" w:rsidRDefault="00F837E5" w:rsidP="00DE0B0D">
      <w:pPr>
        <w:pStyle w:val="Reminders"/>
        <w:ind w:left="720"/>
        <w:rPr>
          <w:rFonts w:ascii="Calibri Light" w:hAnsi="Calibri Light" w:cs="Calibri Light"/>
          <w:i w:val="0"/>
          <w:color w:val="auto"/>
          <w:sz w:val="18"/>
          <w:szCs w:val="18"/>
        </w:rPr>
      </w:pPr>
      <m:oMathPara>
        <m:oMathParaPr>
          <m:jc m:val="left"/>
        </m:oMathParaPr>
        <m:oMath>
          <m:sSub>
            <m:sSubPr>
              <m:ctrlPr>
                <w:rPr>
                  <w:rFonts w:ascii="Cambria Math" w:hAnsi="Cambria Math" w:cs="Calibri Light"/>
                  <w:sz w:val="20"/>
                  <w:szCs w:val="20"/>
                </w:rPr>
              </m:ctrlPr>
            </m:sSubPr>
            <m:e>
              <m:r>
                <w:rPr>
                  <w:rFonts w:ascii="Cambria Math" w:hAnsi="Cambria Math" w:cs="Calibri Light"/>
                  <w:color w:val="auto"/>
                  <w:sz w:val="20"/>
                  <w:szCs w:val="20"/>
                </w:rPr>
                <m:t>UES</m:t>
              </m:r>
            </m:e>
            <m:sub>
              <m:r>
                <w:rPr>
                  <w:rFonts w:ascii="Cambria Math" w:hAnsi="Cambria Math" w:cs="Calibri Light"/>
                  <w:color w:val="auto"/>
                  <w:sz w:val="20"/>
                  <w:szCs w:val="20"/>
                </w:rPr>
                <m:t>P</m:t>
              </m:r>
            </m:sub>
          </m:sSub>
          <m:r>
            <w:rPr>
              <w:rFonts w:ascii="Cambria Math" w:hAnsi="Cambria Math" w:cs="Calibri Light"/>
              <w:color w:val="auto"/>
              <w:sz w:val="18"/>
              <w:szCs w:val="18"/>
            </w:rPr>
            <m:t>=</m:t>
          </m:r>
          <m:sSub>
            <m:sSubPr>
              <m:ctrlPr>
                <w:rPr>
                  <w:rFonts w:ascii="Cambria Math" w:hAnsi="Cambria Math" w:cs="Calibri Light"/>
                  <w:sz w:val="18"/>
                  <w:szCs w:val="18"/>
                </w:rPr>
              </m:ctrlPr>
            </m:sSubPr>
            <m:e>
              <m:r>
                <w:rPr>
                  <w:rFonts w:ascii="Cambria Math" w:hAnsi="Cambria Math" w:cs="Calibri Light"/>
                  <w:color w:val="auto"/>
                  <w:sz w:val="18"/>
                  <w:szCs w:val="18"/>
                </w:rPr>
                <m:t>t</m:t>
              </m:r>
            </m:e>
            <m:sub>
              <m:r>
                <w:rPr>
                  <w:rFonts w:ascii="Cambria Math" w:hAnsi="Cambria Math" w:cs="Calibri Light"/>
                  <w:color w:val="auto"/>
                  <w:sz w:val="18"/>
                  <w:szCs w:val="18"/>
                </w:rPr>
                <m:t>1</m:t>
              </m:r>
            </m:sub>
          </m:sSub>
          <m:r>
            <w:rPr>
              <w:rFonts w:ascii="Cambria Math" w:hAnsi="Cambria Math" w:cs="Calibri Light"/>
              <w:color w:val="auto"/>
              <w:sz w:val="18"/>
              <w:szCs w:val="18"/>
            </w:rPr>
            <m:t xml:space="preserve"> x </m:t>
          </m:r>
          <m:sSub>
            <m:sSubPr>
              <m:ctrlPr>
                <w:rPr>
                  <w:rFonts w:ascii="Cambria Math" w:hAnsi="Cambria Math" w:cs="Calibri Light"/>
                  <w:color w:val="auto"/>
                  <w:sz w:val="18"/>
                  <w:szCs w:val="18"/>
                </w:rPr>
              </m:ctrlPr>
            </m:sSubPr>
            <m:e>
              <m:r>
                <w:rPr>
                  <w:rFonts w:ascii="Cambria Math" w:hAnsi="Cambria Math" w:cs="Calibri Light"/>
                  <w:color w:val="auto"/>
                  <w:sz w:val="18"/>
                  <w:szCs w:val="18"/>
                </w:rPr>
                <m:t>I</m:t>
              </m:r>
            </m:e>
            <m:sub>
              <m:r>
                <w:rPr>
                  <w:rFonts w:ascii="Cambria Math" w:hAnsi="Cambria Math" w:cs="Calibri Light"/>
                  <w:color w:val="auto"/>
                  <w:sz w:val="18"/>
                  <w:szCs w:val="18"/>
                </w:rPr>
                <m:t>P</m:t>
              </m:r>
            </m:sub>
          </m:sSub>
          <m:r>
            <w:rPr>
              <w:rFonts w:ascii="Cambria Math" w:hAnsi="Cambria Math" w:cs="Calibri Light"/>
              <w:color w:val="auto"/>
              <w:sz w:val="18"/>
              <w:szCs w:val="18"/>
            </w:rPr>
            <m:t xml:space="preserve"> +</m:t>
          </m:r>
          <m:sSub>
            <m:sSubPr>
              <m:ctrlPr>
                <w:rPr>
                  <w:rFonts w:ascii="Cambria Math" w:hAnsi="Cambria Math" w:cs="Calibri Light"/>
                  <w:sz w:val="18"/>
                  <w:szCs w:val="18"/>
                </w:rPr>
              </m:ctrlPr>
            </m:sSubPr>
            <m:e>
              <m:r>
                <w:rPr>
                  <w:rFonts w:ascii="Cambria Math" w:hAnsi="Cambria Math" w:cs="Calibri Light"/>
                  <w:color w:val="auto"/>
                  <w:sz w:val="18"/>
                  <w:szCs w:val="18"/>
                </w:rPr>
                <m:t>t</m:t>
              </m:r>
            </m:e>
            <m:sub>
              <m:r>
                <w:rPr>
                  <w:rFonts w:ascii="Cambria Math" w:hAnsi="Cambria Math" w:cs="Calibri Light"/>
                  <w:color w:val="auto"/>
                  <w:sz w:val="18"/>
                  <w:szCs w:val="18"/>
                </w:rPr>
                <m:t>3</m:t>
              </m:r>
            </m:sub>
          </m:sSub>
          <m:r>
            <w:rPr>
              <w:rFonts w:ascii="Cambria Math" w:hAnsi="Cambria Math" w:cs="Calibri Light"/>
              <w:color w:val="auto"/>
              <w:sz w:val="18"/>
              <w:szCs w:val="18"/>
            </w:rPr>
            <m:t xml:space="preserve"> x </m:t>
          </m:r>
          <m:sSub>
            <m:sSubPr>
              <m:ctrlPr>
                <w:rPr>
                  <w:rFonts w:ascii="Cambria Math" w:hAnsi="Cambria Math" w:cs="Calibri Light"/>
                  <w:sz w:val="18"/>
                  <w:szCs w:val="18"/>
                </w:rPr>
              </m:ctrlPr>
            </m:sSubPr>
            <m:e>
              <m:r>
                <w:rPr>
                  <w:rFonts w:ascii="Cambria Math" w:hAnsi="Cambria Math" w:cs="Calibri Light"/>
                  <w:color w:val="auto"/>
                  <w:sz w:val="18"/>
                  <w:szCs w:val="18"/>
                </w:rPr>
                <m:t>I</m:t>
              </m:r>
            </m:e>
            <m:sub>
              <m:r>
                <w:rPr>
                  <w:rFonts w:ascii="Cambria Math" w:hAnsi="Cambria Math" w:cs="Calibri Light"/>
                  <w:color w:val="auto"/>
                  <w:sz w:val="18"/>
                  <w:szCs w:val="18"/>
                </w:rPr>
                <m:t>P</m:t>
              </m:r>
            </m:sub>
          </m:sSub>
          <m:r>
            <w:rPr>
              <w:rFonts w:ascii="Cambria Math" w:hAnsi="Cambria Math" w:cs="Calibri Light"/>
              <w:color w:val="auto"/>
              <w:sz w:val="18"/>
              <w:szCs w:val="18"/>
            </w:rPr>
            <m:t xml:space="preserve"> x </m:t>
          </m:r>
          <m:d>
            <m:dPr>
              <m:ctrlPr>
                <w:rPr>
                  <w:rFonts w:ascii="Cambria Math" w:hAnsi="Cambria Math" w:cs="Calibri Light"/>
                  <w:color w:val="auto"/>
                  <w:sz w:val="18"/>
                  <w:szCs w:val="18"/>
                </w:rPr>
              </m:ctrlPr>
            </m:dPr>
            <m:e>
              <m:r>
                <w:rPr>
                  <w:rFonts w:ascii="Cambria Math" w:hAnsi="Cambria Math" w:cs="Calibri Light"/>
                  <w:color w:val="auto"/>
                  <w:sz w:val="18"/>
                  <w:szCs w:val="18"/>
                </w:rPr>
                <m:t>1-η</m:t>
              </m:r>
            </m:e>
          </m:d>
          <m:r>
            <w:rPr>
              <w:rFonts w:ascii="Cambria Math" w:hAnsi="Cambria Math" w:cs="Calibri Light"/>
              <w:color w:val="auto"/>
              <w:sz w:val="18"/>
              <w:szCs w:val="18"/>
            </w:rPr>
            <m:t xml:space="preserve"> x </m:t>
          </m:r>
          <m:f>
            <m:fPr>
              <m:ctrlPr>
                <w:rPr>
                  <w:rFonts w:ascii="Cambria Math" w:hAnsi="Cambria Math" w:cs="Calibri Light"/>
                  <w:color w:val="auto"/>
                  <w:sz w:val="18"/>
                  <w:szCs w:val="18"/>
                </w:rPr>
              </m:ctrlPr>
            </m:fPr>
            <m:num>
              <m:r>
                <w:rPr>
                  <w:rFonts w:ascii="Cambria Math" w:hAnsi="Cambria Math" w:cs="Calibri Light"/>
                  <w:color w:val="auto"/>
                  <w:sz w:val="18"/>
                  <w:szCs w:val="18"/>
                </w:rPr>
                <m:t>1 Therm</m:t>
              </m:r>
            </m:num>
            <m:den>
              <m:r>
                <w:rPr>
                  <w:rFonts w:ascii="Cambria Math" w:hAnsi="Cambria Math" w:cs="Calibri Light"/>
                  <w:color w:val="auto"/>
                  <w:sz w:val="18"/>
                  <w:szCs w:val="18"/>
                </w:rPr>
                <m:t>100,000 Btu</m:t>
              </m:r>
            </m:den>
          </m:f>
        </m:oMath>
      </m:oMathPara>
    </w:p>
    <w:p w14:paraId="28A23391" w14:textId="37C39657" w:rsidR="00DF7ECA" w:rsidRPr="00A841EC" w:rsidRDefault="00F837E5" w:rsidP="00DF7ECA">
      <w:pPr>
        <w:pStyle w:val="Reminders"/>
        <w:ind w:left="720"/>
        <w:rPr>
          <w:rFonts w:ascii="Calibri Light" w:hAnsi="Calibri Light" w:cs="Calibri Light"/>
          <w:i w:val="0"/>
          <w:color w:val="auto"/>
          <w:sz w:val="18"/>
          <w:szCs w:val="18"/>
        </w:rPr>
      </w:pPr>
      <m:oMathPara>
        <m:oMathParaPr>
          <m:jc m:val="left"/>
        </m:oMathParaPr>
        <m:oMath>
          <m:sSub>
            <m:sSubPr>
              <m:ctrlPr>
                <w:rPr>
                  <w:rFonts w:ascii="Cambria Math" w:hAnsi="Cambria Math" w:cs="Calibri Light"/>
                  <w:sz w:val="20"/>
                  <w:szCs w:val="20"/>
                </w:rPr>
              </m:ctrlPr>
            </m:sSubPr>
            <m:e>
              <m:r>
                <w:rPr>
                  <w:rFonts w:ascii="Cambria Math" w:hAnsi="Cambria Math" w:cs="Calibri Light"/>
                  <w:color w:val="auto"/>
                  <w:sz w:val="20"/>
                  <w:szCs w:val="20"/>
                </w:rPr>
                <m:t>UES</m:t>
              </m:r>
            </m:e>
            <m:sub>
              <m:r>
                <w:rPr>
                  <w:rFonts w:ascii="Cambria Math" w:hAnsi="Cambria Math" w:cs="Calibri Light"/>
                  <w:color w:val="auto"/>
                  <w:sz w:val="20"/>
                  <w:szCs w:val="20"/>
                </w:rPr>
                <m:t>P</m:t>
              </m:r>
            </m:sub>
          </m:sSub>
          <m:r>
            <w:rPr>
              <w:rFonts w:ascii="Cambria Math" w:hAnsi="Cambria Math" w:cs="Calibri Light"/>
              <w:color w:val="auto"/>
              <w:sz w:val="18"/>
              <w:szCs w:val="18"/>
            </w:rPr>
            <m:t xml:space="preserve">=15 x 501.42+4,761 x 501.42 x </m:t>
          </m:r>
          <m:d>
            <m:dPr>
              <m:ctrlPr>
                <w:rPr>
                  <w:rFonts w:ascii="Cambria Math" w:hAnsi="Cambria Math" w:cs="Calibri Light"/>
                  <w:color w:val="auto"/>
                  <w:sz w:val="18"/>
                  <w:szCs w:val="18"/>
                </w:rPr>
              </m:ctrlPr>
            </m:dPr>
            <m:e>
              <m:r>
                <w:rPr>
                  <w:rFonts w:ascii="Cambria Math" w:hAnsi="Cambria Math" w:cs="Calibri Light"/>
                  <w:color w:val="auto"/>
                  <w:sz w:val="18"/>
                  <w:szCs w:val="18"/>
                </w:rPr>
                <m:t>1-.67</m:t>
              </m:r>
            </m:e>
          </m:d>
          <m:r>
            <w:rPr>
              <w:rFonts w:ascii="Cambria Math" w:hAnsi="Cambria Math" w:cs="Calibri Light"/>
              <w:color w:val="auto"/>
              <w:sz w:val="18"/>
              <w:szCs w:val="18"/>
            </w:rPr>
            <m:t xml:space="preserve"> x </m:t>
          </m:r>
          <m:f>
            <m:fPr>
              <m:ctrlPr>
                <w:rPr>
                  <w:rFonts w:ascii="Cambria Math" w:hAnsi="Cambria Math" w:cs="Calibri Light"/>
                  <w:color w:val="auto"/>
                  <w:sz w:val="18"/>
                  <w:szCs w:val="18"/>
                </w:rPr>
              </m:ctrlPr>
            </m:fPr>
            <m:num>
              <m:r>
                <w:rPr>
                  <w:rFonts w:ascii="Cambria Math" w:hAnsi="Cambria Math" w:cs="Calibri Light"/>
                  <w:color w:val="auto"/>
                  <w:sz w:val="18"/>
                  <w:szCs w:val="18"/>
                </w:rPr>
                <m:t>1 Therm</m:t>
              </m:r>
            </m:num>
            <m:den>
              <m:r>
                <w:rPr>
                  <w:rFonts w:ascii="Cambria Math" w:hAnsi="Cambria Math" w:cs="Calibri Light"/>
                  <w:color w:val="auto"/>
                  <w:sz w:val="18"/>
                  <w:szCs w:val="18"/>
                </w:rPr>
                <m:t>100,000 Btu</m:t>
              </m:r>
            </m:den>
          </m:f>
        </m:oMath>
      </m:oMathPara>
    </w:p>
    <w:p w14:paraId="0CFC9787" w14:textId="77777777" w:rsidR="00DF7ECA" w:rsidRPr="00A841EC" w:rsidRDefault="00DF7ECA" w:rsidP="004D6BCD">
      <w:pPr>
        <w:pStyle w:val="Reminders"/>
        <w:rPr>
          <w:rFonts w:ascii="Calibri Light" w:hAnsi="Calibri Light" w:cs="Calibri Light"/>
          <w:i w:val="0"/>
          <w:color w:val="auto"/>
          <w:sz w:val="18"/>
          <w:szCs w:val="18"/>
        </w:rPr>
      </w:pPr>
    </w:p>
    <w:p w14:paraId="57FB4EC6" w14:textId="656B55D4" w:rsidR="004D6BCD" w:rsidRPr="00A841EC" w:rsidRDefault="00F837E5" w:rsidP="004D6BCD">
      <w:pPr>
        <w:pStyle w:val="Reminders"/>
        <w:ind w:left="720"/>
        <w:rPr>
          <w:rFonts w:ascii="Calibri Light" w:hAnsi="Calibri Light" w:cs="Calibri Light"/>
          <w:i w:val="0"/>
          <w:color w:val="auto"/>
          <w:sz w:val="18"/>
          <w:szCs w:val="18"/>
        </w:rPr>
      </w:pPr>
      <m:oMathPara>
        <m:oMathParaPr>
          <m:jc m:val="left"/>
        </m:oMathParaPr>
        <m:oMath>
          <m:sSub>
            <m:sSubPr>
              <m:ctrlPr>
                <w:rPr>
                  <w:rFonts w:ascii="Cambria Math" w:hAnsi="Cambria Math" w:cs="Calibri Light"/>
                  <w:sz w:val="20"/>
                  <w:szCs w:val="20"/>
                </w:rPr>
              </m:ctrlPr>
            </m:sSubPr>
            <m:e>
              <m:r>
                <w:rPr>
                  <w:rFonts w:ascii="Cambria Math" w:hAnsi="Cambria Math" w:cs="Calibri Light"/>
                  <w:color w:val="auto"/>
                  <w:sz w:val="20"/>
                  <w:szCs w:val="20"/>
                </w:rPr>
                <m:t>UES</m:t>
              </m:r>
            </m:e>
            <m:sub>
              <m:r>
                <w:rPr>
                  <w:rFonts w:ascii="Cambria Math" w:hAnsi="Cambria Math" w:cs="Calibri Light"/>
                  <w:color w:val="auto"/>
                  <w:sz w:val="20"/>
                  <w:szCs w:val="20"/>
                </w:rPr>
                <m:t>P</m:t>
              </m:r>
            </m:sub>
          </m:sSub>
          <m:r>
            <w:rPr>
              <w:rFonts w:ascii="Cambria Math" w:hAnsi="Cambria Math" w:cs="Calibri Light"/>
              <w:color w:val="auto"/>
              <w:sz w:val="18"/>
              <w:szCs w:val="18"/>
            </w:rPr>
            <m:t>=8 therm</m:t>
          </m:r>
        </m:oMath>
      </m:oMathPara>
    </w:p>
    <w:p w14:paraId="3DB3820B" w14:textId="2A90A562" w:rsidR="00C9533D" w:rsidRPr="00A841EC" w:rsidRDefault="00C9533D" w:rsidP="00DE0B0D">
      <w:pPr>
        <w:pStyle w:val="Reminders"/>
        <w:ind w:left="720"/>
        <w:rPr>
          <w:rFonts w:ascii="Calibri Light" w:hAnsi="Calibri Light" w:cs="Calibri Light"/>
          <w:i w:val="0"/>
          <w:color w:val="auto"/>
          <w:sz w:val="20"/>
          <w:szCs w:val="20"/>
        </w:rPr>
      </w:pPr>
    </w:p>
    <w:p w14:paraId="563C87BF" w14:textId="77777777" w:rsidR="00C9533D" w:rsidRPr="00A841EC" w:rsidRDefault="00F837E5" w:rsidP="00C9533D">
      <w:pPr>
        <w:pStyle w:val="Reminders"/>
        <w:ind w:left="720"/>
        <w:rPr>
          <w:rFonts w:ascii="Calibri Light" w:hAnsi="Calibri Light" w:cs="Calibri Light"/>
          <w:i w:val="0"/>
          <w:color w:val="auto"/>
          <w:sz w:val="22"/>
          <w:szCs w:val="22"/>
        </w:rPr>
      </w:pPr>
      <m:oMathPara>
        <m:oMathParaPr>
          <m:jc m:val="left"/>
        </m:oMathParaPr>
        <m:oMath>
          <m:sSub>
            <m:sSubPr>
              <m:ctrlPr>
                <w:rPr>
                  <w:rFonts w:ascii="Cambria Math" w:hAnsi="Cambria Math" w:cs="Calibri Light"/>
                  <w:sz w:val="20"/>
                  <w:szCs w:val="20"/>
                </w:rPr>
              </m:ctrlPr>
            </m:sSubPr>
            <m:e>
              <m:r>
                <w:rPr>
                  <w:rFonts w:ascii="Cambria Math" w:hAnsi="Cambria Math" w:cs="Calibri Light"/>
                  <w:color w:val="auto"/>
                  <w:sz w:val="20"/>
                  <w:szCs w:val="20"/>
                </w:rPr>
                <m:t>UES</m:t>
              </m:r>
            </m:e>
            <m:sub>
              <m:r>
                <w:rPr>
                  <w:rFonts w:ascii="Cambria Math" w:hAnsi="Cambria Math" w:cs="Calibri Light"/>
                  <w:color w:val="auto"/>
                  <w:sz w:val="20"/>
                  <w:szCs w:val="20"/>
                </w:rPr>
                <m:t>FE</m:t>
              </m:r>
            </m:sub>
          </m:sSub>
          <m:r>
            <w:rPr>
              <w:rFonts w:ascii="Cambria Math" w:hAnsi="Cambria Math" w:cs="Calibri Light"/>
              <w:color w:val="auto"/>
              <w:sz w:val="20"/>
              <w:szCs w:val="20"/>
            </w:rPr>
            <m:t>=</m:t>
          </m:r>
          <m:sSub>
            <m:sSubPr>
              <m:ctrlPr>
                <w:rPr>
                  <w:rFonts w:ascii="Cambria Math" w:hAnsi="Cambria Math" w:cs="Calibri Light"/>
                  <w:sz w:val="20"/>
                  <w:szCs w:val="20"/>
                </w:rPr>
              </m:ctrlPr>
            </m:sSubPr>
            <m:e>
              <m:r>
                <w:rPr>
                  <w:rFonts w:ascii="Cambria Math" w:hAnsi="Cambria Math" w:cs="Calibri Light"/>
                  <w:color w:val="auto"/>
                  <w:sz w:val="20"/>
                  <w:szCs w:val="20"/>
                </w:rPr>
                <m:t>t</m:t>
              </m:r>
            </m:e>
            <m:sub>
              <m:r>
                <w:rPr>
                  <w:rFonts w:ascii="Cambria Math" w:hAnsi="Cambria Math" w:cs="Calibri Light"/>
                  <w:color w:val="auto"/>
                  <w:sz w:val="20"/>
                  <w:szCs w:val="20"/>
                </w:rPr>
                <m:t>Burner ON</m:t>
              </m:r>
            </m:sub>
          </m:sSub>
          <m:r>
            <w:rPr>
              <w:rFonts w:ascii="Cambria Math" w:hAnsi="Cambria Math" w:cs="Calibri Light"/>
              <w:color w:val="auto"/>
              <w:sz w:val="20"/>
              <w:szCs w:val="20"/>
            </w:rPr>
            <m:t xml:space="preserve"> x </m:t>
          </m:r>
          <m:sSub>
            <m:sSubPr>
              <m:ctrlPr>
                <w:rPr>
                  <w:rFonts w:ascii="Cambria Math" w:hAnsi="Cambria Math" w:cs="Calibri Light"/>
                  <w:sz w:val="20"/>
                  <w:szCs w:val="20"/>
                </w:rPr>
              </m:ctrlPr>
            </m:sSubPr>
            <m:e>
              <m:r>
                <w:rPr>
                  <w:rFonts w:ascii="Cambria Math" w:hAnsi="Cambria Math" w:cs="Calibri Light"/>
                  <w:color w:val="auto"/>
                  <w:sz w:val="20"/>
                  <w:szCs w:val="20"/>
                </w:rPr>
                <m:t>I</m:t>
              </m:r>
            </m:e>
            <m:sub>
              <m:r>
                <w:rPr>
                  <w:rFonts w:ascii="Cambria Math" w:hAnsi="Cambria Math" w:cs="Calibri Light"/>
                  <w:color w:val="auto"/>
                  <w:sz w:val="20"/>
                  <w:szCs w:val="20"/>
                </w:rPr>
                <m:t>Burner</m:t>
              </m:r>
            </m:sub>
          </m:sSub>
          <m:r>
            <w:rPr>
              <w:rFonts w:ascii="Cambria Math" w:hAnsi="Cambria Math" w:cs="Calibri Light"/>
              <w:color w:val="auto"/>
              <w:sz w:val="20"/>
              <w:szCs w:val="20"/>
            </w:rPr>
            <m:t xml:space="preserve"> x </m:t>
          </m:r>
          <m:d>
            <m:dPr>
              <m:ctrlPr>
                <w:rPr>
                  <w:rFonts w:ascii="Cambria Math" w:hAnsi="Cambria Math" w:cs="Calibri Light"/>
                  <w:color w:val="auto"/>
                  <w:sz w:val="20"/>
                  <w:szCs w:val="20"/>
                </w:rPr>
              </m:ctrlPr>
            </m:dPr>
            <m:e>
              <m:f>
                <m:fPr>
                  <m:ctrlPr>
                    <w:rPr>
                      <w:rFonts w:ascii="Cambria Math" w:hAnsi="Cambria Math" w:cs="Calibri Light"/>
                      <w:color w:val="auto"/>
                      <w:sz w:val="20"/>
                      <w:szCs w:val="20"/>
                    </w:rPr>
                  </m:ctrlPr>
                </m:fPr>
                <m:num>
                  <m:r>
                    <w:rPr>
                      <w:rFonts w:ascii="Cambria Math" w:hAnsi="Cambria Math" w:cs="Calibri Light"/>
                      <w:color w:val="auto"/>
                      <w:sz w:val="20"/>
                      <w:szCs w:val="20"/>
                    </w:rPr>
                    <m:t>1</m:t>
                  </m:r>
                </m:num>
                <m:den>
                  <m:sSub>
                    <m:sSubPr>
                      <m:ctrlPr>
                        <w:rPr>
                          <w:rFonts w:ascii="Cambria Math" w:hAnsi="Cambria Math" w:cs="Calibri Light"/>
                          <w:color w:val="auto"/>
                          <w:sz w:val="20"/>
                          <w:szCs w:val="20"/>
                        </w:rPr>
                      </m:ctrlPr>
                    </m:sSubPr>
                    <m:e>
                      <m:r>
                        <w:rPr>
                          <w:rFonts w:ascii="Cambria Math" w:hAnsi="Cambria Math" w:cs="Calibri Light"/>
                          <w:color w:val="auto"/>
                          <w:sz w:val="20"/>
                          <w:szCs w:val="20"/>
                        </w:rPr>
                        <m:t>FE</m:t>
                      </m:r>
                    </m:e>
                    <m:sub>
                      <m:r>
                        <w:rPr>
                          <w:rFonts w:ascii="Cambria Math" w:hAnsi="Cambria Math" w:cs="Calibri Light"/>
                          <w:color w:val="auto"/>
                          <w:sz w:val="20"/>
                          <w:szCs w:val="20"/>
                        </w:rPr>
                        <m:t>Baseline</m:t>
                      </m:r>
                    </m:sub>
                  </m:sSub>
                </m:den>
              </m:f>
              <m:r>
                <w:rPr>
                  <w:rFonts w:ascii="Cambria Math" w:hAnsi="Cambria Math" w:cs="Calibri Light"/>
                  <w:color w:val="auto"/>
                  <w:sz w:val="20"/>
                  <w:szCs w:val="20"/>
                </w:rPr>
                <m:t>-</m:t>
              </m:r>
              <m:f>
                <m:fPr>
                  <m:ctrlPr>
                    <w:rPr>
                      <w:rFonts w:ascii="Cambria Math" w:hAnsi="Cambria Math" w:cs="Calibri Light"/>
                      <w:color w:val="auto"/>
                      <w:sz w:val="20"/>
                      <w:szCs w:val="20"/>
                    </w:rPr>
                  </m:ctrlPr>
                </m:fPr>
                <m:num>
                  <m:r>
                    <w:rPr>
                      <w:rFonts w:ascii="Cambria Math" w:hAnsi="Cambria Math" w:cs="Calibri Light"/>
                      <w:color w:val="auto"/>
                      <w:sz w:val="20"/>
                      <w:szCs w:val="20"/>
                    </w:rPr>
                    <m:t>1</m:t>
                  </m:r>
                </m:num>
                <m:den>
                  <m:sSub>
                    <m:sSubPr>
                      <m:ctrlPr>
                        <w:rPr>
                          <w:rFonts w:ascii="Cambria Math" w:hAnsi="Cambria Math" w:cs="Calibri Light"/>
                          <w:color w:val="auto"/>
                          <w:sz w:val="20"/>
                          <w:szCs w:val="20"/>
                        </w:rPr>
                      </m:ctrlPr>
                    </m:sSubPr>
                    <m:e>
                      <m:r>
                        <w:rPr>
                          <w:rFonts w:ascii="Cambria Math" w:hAnsi="Cambria Math" w:cs="Calibri Light"/>
                          <w:color w:val="auto"/>
                          <w:sz w:val="20"/>
                          <w:szCs w:val="20"/>
                        </w:rPr>
                        <m:t>FE</m:t>
                      </m:r>
                    </m:e>
                    <m:sub>
                      <m:r>
                        <w:rPr>
                          <w:rFonts w:ascii="Cambria Math" w:hAnsi="Cambria Math" w:cs="Calibri Light"/>
                          <w:color w:val="auto"/>
                          <w:sz w:val="20"/>
                          <w:szCs w:val="20"/>
                        </w:rPr>
                        <m:t>Measure</m:t>
                      </m:r>
                    </m:sub>
                  </m:sSub>
                </m:den>
              </m:f>
            </m:e>
          </m:d>
          <m:r>
            <w:rPr>
              <w:rFonts w:ascii="Cambria Math" w:hAnsi="Cambria Math" w:cs="Calibri Light"/>
              <w:color w:val="auto"/>
              <w:sz w:val="20"/>
              <w:szCs w:val="20"/>
            </w:rPr>
            <m:t>x</m:t>
          </m:r>
          <m:f>
            <m:fPr>
              <m:ctrlPr>
                <w:rPr>
                  <w:rFonts w:ascii="Cambria Math" w:hAnsi="Cambria Math" w:cs="Calibri Light"/>
                  <w:color w:val="auto"/>
                  <w:sz w:val="20"/>
                  <w:szCs w:val="20"/>
                </w:rPr>
              </m:ctrlPr>
            </m:fPr>
            <m:num>
              <m:r>
                <w:rPr>
                  <w:rFonts w:ascii="Cambria Math" w:hAnsi="Cambria Math" w:cs="Calibri Light"/>
                  <w:color w:val="auto"/>
                  <w:sz w:val="20"/>
                  <w:szCs w:val="20"/>
                </w:rPr>
                <m:t>1 Therm</m:t>
              </m:r>
            </m:num>
            <m:den>
              <m:r>
                <w:rPr>
                  <w:rFonts w:ascii="Cambria Math" w:hAnsi="Cambria Math" w:cs="Calibri Light"/>
                  <w:color w:val="auto"/>
                  <w:sz w:val="20"/>
                  <w:szCs w:val="20"/>
                </w:rPr>
                <m:t>100,000 Btu</m:t>
              </m:r>
            </m:den>
          </m:f>
        </m:oMath>
      </m:oMathPara>
    </w:p>
    <w:p w14:paraId="1EEB0DE3" w14:textId="5EFF0DC0" w:rsidR="004D6BCD" w:rsidRPr="00A841EC" w:rsidRDefault="00F837E5" w:rsidP="004D6BCD">
      <w:pPr>
        <w:pStyle w:val="Reminders"/>
        <w:ind w:left="720"/>
        <w:rPr>
          <w:rFonts w:ascii="Calibri Light" w:hAnsi="Calibri Light" w:cs="Calibri Light"/>
          <w:i w:val="0"/>
          <w:color w:val="auto"/>
          <w:sz w:val="22"/>
          <w:szCs w:val="22"/>
        </w:rPr>
      </w:pPr>
      <m:oMathPara>
        <m:oMathParaPr>
          <m:jc m:val="left"/>
        </m:oMathParaPr>
        <m:oMath>
          <m:sSub>
            <m:sSubPr>
              <m:ctrlPr>
                <w:rPr>
                  <w:rFonts w:ascii="Cambria Math" w:hAnsi="Cambria Math" w:cs="Calibri Light"/>
                  <w:sz w:val="20"/>
                  <w:szCs w:val="20"/>
                </w:rPr>
              </m:ctrlPr>
            </m:sSubPr>
            <m:e>
              <m:r>
                <w:rPr>
                  <w:rFonts w:ascii="Cambria Math" w:hAnsi="Cambria Math" w:cs="Calibri Light"/>
                  <w:color w:val="auto"/>
                  <w:sz w:val="20"/>
                  <w:szCs w:val="20"/>
                </w:rPr>
                <m:t>UES</m:t>
              </m:r>
            </m:e>
            <m:sub>
              <m:r>
                <w:rPr>
                  <w:rFonts w:ascii="Cambria Math" w:hAnsi="Cambria Math" w:cs="Calibri Light"/>
                  <w:color w:val="auto"/>
                  <w:sz w:val="20"/>
                  <w:szCs w:val="20"/>
                </w:rPr>
                <m:t>FE</m:t>
              </m:r>
            </m:sub>
          </m:sSub>
          <m:r>
            <w:rPr>
              <w:rFonts w:ascii="Cambria Math" w:hAnsi="Cambria Math" w:cs="Calibri Light"/>
              <w:color w:val="auto"/>
              <w:sz w:val="20"/>
              <w:szCs w:val="20"/>
            </w:rPr>
            <m:t xml:space="preserve">=312 x 40,980 x </m:t>
          </m:r>
          <m:d>
            <m:dPr>
              <m:ctrlPr>
                <w:rPr>
                  <w:rFonts w:ascii="Cambria Math" w:hAnsi="Cambria Math" w:cs="Calibri Light"/>
                  <w:color w:val="auto"/>
                  <w:sz w:val="20"/>
                  <w:szCs w:val="20"/>
                </w:rPr>
              </m:ctrlPr>
            </m:dPr>
            <m:e>
              <m:r>
                <w:rPr>
                  <w:rFonts w:ascii="Cambria Math" w:hAnsi="Cambria Math" w:cs="Calibri Light"/>
                  <w:color w:val="auto"/>
                  <w:sz w:val="20"/>
                  <w:szCs w:val="20"/>
                </w:rPr>
                <m:t>1/.608-1/.721</m:t>
              </m:r>
            </m:e>
          </m:d>
          <m:r>
            <w:rPr>
              <w:rFonts w:ascii="Cambria Math" w:hAnsi="Cambria Math" w:cs="Calibri Light"/>
              <w:color w:val="auto"/>
              <w:sz w:val="20"/>
              <w:szCs w:val="20"/>
            </w:rPr>
            <m:t>x</m:t>
          </m:r>
          <m:f>
            <m:fPr>
              <m:ctrlPr>
                <w:rPr>
                  <w:rFonts w:ascii="Cambria Math" w:hAnsi="Cambria Math" w:cs="Calibri Light"/>
                  <w:color w:val="auto"/>
                  <w:sz w:val="20"/>
                  <w:szCs w:val="20"/>
                </w:rPr>
              </m:ctrlPr>
            </m:fPr>
            <m:num>
              <m:r>
                <w:rPr>
                  <w:rFonts w:ascii="Cambria Math" w:hAnsi="Cambria Math" w:cs="Calibri Light"/>
                  <w:color w:val="auto"/>
                  <w:sz w:val="20"/>
                  <w:szCs w:val="20"/>
                </w:rPr>
                <m:t>1 Therm</m:t>
              </m:r>
            </m:num>
            <m:den>
              <m:r>
                <w:rPr>
                  <w:rFonts w:ascii="Cambria Math" w:hAnsi="Cambria Math" w:cs="Calibri Light"/>
                  <w:color w:val="auto"/>
                  <w:sz w:val="20"/>
                  <w:szCs w:val="20"/>
                </w:rPr>
                <m:t>100,000 Btu</m:t>
              </m:r>
            </m:den>
          </m:f>
        </m:oMath>
      </m:oMathPara>
    </w:p>
    <w:p w14:paraId="0A255BB9" w14:textId="77777777" w:rsidR="00C9533D" w:rsidRPr="00A841EC" w:rsidRDefault="00C9533D" w:rsidP="00DE0B0D">
      <w:pPr>
        <w:pStyle w:val="Reminders"/>
        <w:ind w:left="720"/>
        <w:rPr>
          <w:rFonts w:ascii="Calibri Light" w:hAnsi="Calibri Light" w:cs="Calibri Light"/>
          <w:i w:val="0"/>
          <w:color w:val="auto"/>
          <w:sz w:val="20"/>
          <w:szCs w:val="20"/>
        </w:rPr>
      </w:pPr>
    </w:p>
    <w:p w14:paraId="2E39334D" w14:textId="211EC19D" w:rsidR="00EE3E66" w:rsidRPr="00A841EC" w:rsidRDefault="00F837E5" w:rsidP="00EE3E66">
      <w:pPr>
        <w:pStyle w:val="Reminders"/>
        <w:ind w:left="720"/>
        <w:rPr>
          <w:rFonts w:ascii="Calibri Light" w:hAnsi="Calibri Light" w:cs="Calibri Light"/>
          <w:i w:val="0"/>
          <w:color w:val="auto"/>
          <w:sz w:val="22"/>
          <w:szCs w:val="22"/>
        </w:rPr>
      </w:pPr>
      <m:oMathPara>
        <m:oMathParaPr>
          <m:jc m:val="left"/>
        </m:oMathParaPr>
        <m:oMath>
          <m:sSub>
            <m:sSubPr>
              <m:ctrlPr>
                <w:rPr>
                  <w:rFonts w:ascii="Cambria Math" w:hAnsi="Cambria Math" w:cs="Calibri Light"/>
                  <w:sz w:val="20"/>
                  <w:szCs w:val="20"/>
                </w:rPr>
              </m:ctrlPr>
            </m:sSubPr>
            <m:e>
              <m:r>
                <w:rPr>
                  <w:rFonts w:ascii="Cambria Math" w:hAnsi="Cambria Math" w:cs="Calibri Light"/>
                  <w:color w:val="auto"/>
                  <w:sz w:val="20"/>
                  <w:szCs w:val="20"/>
                </w:rPr>
                <m:t>UES</m:t>
              </m:r>
            </m:e>
            <m:sub>
              <m:r>
                <w:rPr>
                  <w:rFonts w:ascii="Cambria Math" w:hAnsi="Cambria Math" w:cs="Calibri Light"/>
                  <w:color w:val="auto"/>
                  <w:sz w:val="20"/>
                  <w:szCs w:val="20"/>
                </w:rPr>
                <m:t>FE</m:t>
              </m:r>
            </m:sub>
          </m:sSub>
          <m:r>
            <w:rPr>
              <w:rFonts w:ascii="Cambria Math" w:hAnsi="Cambria Math" w:cs="Calibri Light"/>
              <w:color w:val="auto"/>
              <w:sz w:val="20"/>
              <w:szCs w:val="20"/>
            </w:rPr>
            <m:t>=33 therm</m:t>
          </m:r>
        </m:oMath>
      </m:oMathPara>
    </w:p>
    <w:p w14:paraId="28297597" w14:textId="77777777" w:rsidR="00F70DDE" w:rsidRPr="00A841EC" w:rsidRDefault="00F70DDE" w:rsidP="00555D0C">
      <w:pPr>
        <w:pStyle w:val="Reminders"/>
        <w:rPr>
          <w:rFonts w:ascii="Calibri Light" w:hAnsi="Calibri Light" w:cs="Calibri Light"/>
          <w:i w:val="0"/>
          <w:color w:val="auto"/>
          <w:sz w:val="22"/>
          <w:szCs w:val="22"/>
        </w:rPr>
      </w:pPr>
    </w:p>
    <w:p w14:paraId="6F28E6F3" w14:textId="5B4FE213" w:rsidR="00EE3E66" w:rsidRPr="00A841EC" w:rsidRDefault="00F837E5" w:rsidP="00EE3E66">
      <w:pPr>
        <w:pStyle w:val="Reminders"/>
        <w:ind w:left="720"/>
        <w:rPr>
          <w:rFonts w:ascii="Calibri Light" w:hAnsi="Calibri Light" w:cs="Calibri Light"/>
          <w:i w:val="0"/>
          <w:color w:val="auto"/>
          <w:sz w:val="20"/>
          <w:szCs w:val="20"/>
        </w:rPr>
      </w:pPr>
      <m:oMathPara>
        <m:oMathParaPr>
          <m:jc m:val="left"/>
        </m:oMathParaPr>
        <m:oMath>
          <m:sSub>
            <m:sSubPr>
              <m:ctrlPr>
                <w:rPr>
                  <w:rFonts w:ascii="Cambria Math" w:hAnsi="Cambria Math" w:cs="Calibri Light"/>
                  <w:sz w:val="20"/>
                  <w:szCs w:val="20"/>
                </w:rPr>
              </m:ctrlPr>
            </m:sSubPr>
            <m:e>
              <m:r>
                <w:rPr>
                  <w:rFonts w:ascii="Cambria Math" w:hAnsi="Cambria Math" w:cs="Calibri Light"/>
                  <w:color w:val="auto"/>
                  <w:sz w:val="20"/>
                  <w:szCs w:val="20"/>
                </w:rPr>
                <m:t>UES</m:t>
              </m:r>
            </m:e>
            <m:sub>
              <m:r>
                <w:rPr>
                  <w:rFonts w:ascii="Cambria Math" w:hAnsi="Cambria Math" w:cs="Calibri Light"/>
                  <w:color w:val="auto"/>
                  <w:sz w:val="20"/>
                  <w:szCs w:val="20"/>
                </w:rPr>
                <m:t>AR</m:t>
              </m:r>
            </m:sub>
          </m:sSub>
          <m:d>
            <m:dPr>
              <m:ctrlPr>
                <w:rPr>
                  <w:rFonts w:ascii="Cambria Math" w:hAnsi="Cambria Math" w:cs="Calibri Light"/>
                  <w:color w:val="auto"/>
                  <w:sz w:val="20"/>
                  <w:szCs w:val="20"/>
                </w:rPr>
              </m:ctrlPr>
            </m:dPr>
            <m:e>
              <m:r>
                <w:rPr>
                  <w:rFonts w:ascii="Cambria Math" w:hAnsi="Cambria Math" w:cs="Calibri Light"/>
                  <w:color w:val="auto"/>
                  <w:sz w:val="20"/>
                  <w:szCs w:val="20"/>
                </w:rPr>
                <m:t>tier 1 CZ 1</m:t>
              </m:r>
            </m:e>
          </m:d>
          <m:r>
            <w:rPr>
              <w:rFonts w:ascii="Cambria Math" w:hAnsi="Cambria Math" w:cs="Calibri Light"/>
              <w:color w:val="auto"/>
              <w:sz w:val="20"/>
              <w:szCs w:val="20"/>
            </w:rPr>
            <m:t xml:space="preserve">=8+33 </m:t>
          </m:r>
        </m:oMath>
      </m:oMathPara>
    </w:p>
    <w:p w14:paraId="22A0EA0A" w14:textId="77777777" w:rsidR="00EE3E66" w:rsidRPr="00A841EC" w:rsidRDefault="00EE3E66" w:rsidP="00EE3E66">
      <w:pPr>
        <w:pStyle w:val="Reminders"/>
        <w:ind w:left="720"/>
        <w:rPr>
          <w:rFonts w:ascii="Calibri Light" w:hAnsi="Calibri Light" w:cs="Calibri Light"/>
          <w:i w:val="0"/>
          <w:color w:val="auto"/>
          <w:sz w:val="22"/>
          <w:szCs w:val="22"/>
        </w:rPr>
      </w:pPr>
    </w:p>
    <w:p w14:paraId="4F5594DD" w14:textId="03DC716A" w:rsidR="00EE3E66" w:rsidRPr="00A841EC" w:rsidRDefault="00F837E5" w:rsidP="00EE3E66">
      <w:pPr>
        <w:pStyle w:val="Reminders"/>
        <w:ind w:left="720"/>
        <w:rPr>
          <w:rFonts w:ascii="Calibri Light" w:hAnsi="Calibri Light" w:cs="Calibri Light"/>
          <w:i w:val="0"/>
          <w:color w:val="auto"/>
          <w:sz w:val="22"/>
          <w:szCs w:val="22"/>
        </w:rPr>
      </w:pPr>
      <m:oMathPara>
        <m:oMathParaPr>
          <m:jc m:val="left"/>
        </m:oMathParaPr>
        <m:oMath>
          <m:sSub>
            <m:sSubPr>
              <m:ctrlPr>
                <w:rPr>
                  <w:rFonts w:ascii="Cambria Math" w:hAnsi="Cambria Math" w:cs="Calibri Light"/>
                  <w:sz w:val="20"/>
                  <w:szCs w:val="20"/>
                </w:rPr>
              </m:ctrlPr>
            </m:sSubPr>
            <m:e>
              <m:r>
                <w:rPr>
                  <w:rFonts w:ascii="Cambria Math" w:hAnsi="Cambria Math" w:cs="Calibri Light"/>
                  <w:color w:val="auto"/>
                  <w:sz w:val="20"/>
                  <w:szCs w:val="20"/>
                </w:rPr>
                <m:t>UES</m:t>
              </m:r>
            </m:e>
            <m:sub>
              <m:r>
                <w:rPr>
                  <w:rFonts w:ascii="Cambria Math" w:hAnsi="Cambria Math" w:cs="Calibri Light"/>
                  <w:color w:val="auto"/>
                  <w:sz w:val="20"/>
                  <w:szCs w:val="20"/>
                </w:rPr>
                <m:t>AR</m:t>
              </m:r>
            </m:sub>
          </m:sSub>
          <m:d>
            <m:dPr>
              <m:ctrlPr>
                <w:rPr>
                  <w:rFonts w:ascii="Cambria Math" w:hAnsi="Cambria Math" w:cs="Calibri Light"/>
                  <w:color w:val="auto"/>
                  <w:sz w:val="20"/>
                  <w:szCs w:val="20"/>
                </w:rPr>
              </m:ctrlPr>
            </m:dPr>
            <m:e>
              <m:r>
                <w:rPr>
                  <w:rFonts w:ascii="Cambria Math" w:hAnsi="Cambria Math" w:cs="Calibri Light"/>
                  <w:color w:val="auto"/>
                  <w:sz w:val="20"/>
                  <w:szCs w:val="20"/>
                </w:rPr>
                <m:t>tier 1 CZ 1</m:t>
              </m:r>
            </m:e>
          </m:d>
          <m:r>
            <w:rPr>
              <w:rFonts w:ascii="Cambria Math" w:hAnsi="Cambria Math" w:cs="Calibri Light"/>
              <w:color w:val="auto"/>
              <w:sz w:val="20"/>
              <w:szCs w:val="20"/>
            </w:rPr>
            <m:t xml:space="preserve">=41 therm </m:t>
          </m:r>
        </m:oMath>
      </m:oMathPara>
    </w:p>
    <w:p w14:paraId="4EC6DB1B" w14:textId="77777777" w:rsidR="00555D0C" w:rsidRPr="00A841EC" w:rsidRDefault="00555D0C" w:rsidP="00555D0C">
      <w:pPr>
        <w:pStyle w:val="Reminders"/>
        <w:rPr>
          <w:rFonts w:ascii="Calibri Light" w:hAnsi="Calibri Light" w:cs="Calibri Light"/>
          <w:i w:val="0"/>
          <w:color w:val="auto"/>
          <w:sz w:val="22"/>
          <w:szCs w:val="22"/>
        </w:rPr>
      </w:pPr>
    </w:p>
    <w:p w14:paraId="4DDCD51F" w14:textId="4D76F01B" w:rsidR="007D230B" w:rsidRPr="00A841EC" w:rsidRDefault="00245AFF" w:rsidP="007E3A1D">
      <w:pPr>
        <w:pStyle w:val="eTRMHeading3"/>
      </w:pPr>
      <w:bookmarkStart w:id="47" w:name="_Toc23836604"/>
      <w:bookmarkStart w:id="48" w:name="_Toc486490859"/>
      <w:bookmarkStart w:id="49" w:name="_Toc486580930"/>
      <w:r w:rsidRPr="00A841EC">
        <w:t>Life Cycle</w:t>
      </w:r>
      <w:bookmarkEnd w:id="47"/>
      <w:r w:rsidR="007D230B" w:rsidRPr="00A841EC">
        <w:t xml:space="preserve"> </w:t>
      </w:r>
      <w:bookmarkEnd w:id="48"/>
      <w:bookmarkEnd w:id="49"/>
    </w:p>
    <w:p w14:paraId="3F3672C2" w14:textId="26DD5F4F" w:rsidR="00A053BF" w:rsidRPr="00A841EC" w:rsidRDefault="007F669E" w:rsidP="004142EF">
      <w:r w:rsidRPr="00A841EC">
        <w:t xml:space="preserve">Effective useful life (EUL) is an estimate of the median number of years that a measure installed through a program is still in place and operable. Remaining useful life (RUL) is an estimate of the median number of years that a technology or piece of equipment replaced or altered by an energy efficiency program would have remained in service and operational had the program intervention not caused the replacement or alteration. </w:t>
      </w:r>
    </w:p>
    <w:p w14:paraId="5CEF1DFC" w14:textId="77777777" w:rsidR="00137773" w:rsidRPr="00A841EC" w:rsidRDefault="00BC5A43" w:rsidP="00BC5A43">
      <w:r w:rsidRPr="00A841EC">
        <w:t xml:space="preserve">The methodology to calculate the RUL conforms with Version 5 of the Energy Efficiency Policy Manual, which recommends “one-third of the effective useful life in DEER as the remaining useful life until further </w:t>
      </w:r>
      <w:r w:rsidRPr="00A841EC">
        <w:lastRenderedPageBreak/>
        <w:t>study results are available to establish more accurate values.”</w:t>
      </w:r>
      <w:r w:rsidRPr="00A841EC">
        <w:rPr>
          <w:vertAlign w:val="superscript"/>
        </w:rPr>
        <w:footnoteReference w:id="21"/>
      </w:r>
      <w:r w:rsidRPr="00A841EC">
        <w:t xml:space="preserve"> This approach provides a reasonable RUL estimate without the requiring any a priori knowledge about the age of the equipment being replaced.</w:t>
      </w:r>
      <w:r w:rsidRPr="00A841EC">
        <w:rPr>
          <w:vertAlign w:val="superscript"/>
        </w:rPr>
        <w:footnoteReference w:id="22"/>
      </w:r>
      <w:r w:rsidRPr="00A841EC">
        <w:t xml:space="preserve"> Further, as per Resolution E-4807, the California Public Utilities Commission (CPUC) revised add-on measures so that the EUL of the measure is equal to the lower of the RUL of the modified system or equipment or the EUL of the add-on component.” </w:t>
      </w:r>
      <w:r w:rsidRPr="00A841EC">
        <w:rPr>
          <w:vertAlign w:val="superscript"/>
        </w:rPr>
        <w:footnoteReference w:id="23"/>
      </w:r>
      <w:r w:rsidR="00AE691B" w:rsidRPr="00A841EC">
        <w:t xml:space="preserve"> </w:t>
      </w:r>
    </w:p>
    <w:p w14:paraId="78F9DCE7" w14:textId="554EA764" w:rsidR="00B71280" w:rsidRPr="00A841EC" w:rsidRDefault="007F669E" w:rsidP="00B71280">
      <w:r w:rsidRPr="00A841EC">
        <w:t xml:space="preserve">The EUL and RUL </w:t>
      </w:r>
      <w:r w:rsidR="00C53F70" w:rsidRPr="00A841EC">
        <w:t>for Gas Fireplaces are specified below</w:t>
      </w:r>
      <w:r w:rsidR="00B71280" w:rsidRPr="00A841EC">
        <w:t xml:space="preserve">. </w:t>
      </w:r>
      <w:r w:rsidR="00BB107E" w:rsidRPr="00A841EC">
        <w:t xml:space="preserve">Because an EUL has not been established for a fireplace, this measure adopts the EUL of a high efficiency gas furnace. The high efficiency furnace EUL was updated in 2008 and assumed the maximum EUL, as stipulated in the </w:t>
      </w:r>
      <w:r w:rsidR="00BB107E" w:rsidRPr="00A841EC">
        <w:rPr>
          <w:i/>
        </w:rPr>
        <w:t xml:space="preserve">Energy Efficiency Policy Manual, </w:t>
      </w:r>
      <w:r w:rsidR="00BB107E" w:rsidRPr="00A841EC">
        <w:t>which</w:t>
      </w:r>
      <w:r w:rsidR="00BB107E" w:rsidRPr="00A841EC">
        <w:rPr>
          <w:i/>
        </w:rPr>
        <w:t xml:space="preserve"> states, “[i]n order to minimize uncertainty, EULs will be limited to a maximum of 20 years, even if particular devices may be expected to survive longer.”</w:t>
      </w:r>
    </w:p>
    <w:p w14:paraId="5C6D4C8D" w14:textId="51F9D8AA" w:rsidR="00BC5A43" w:rsidRPr="00A841EC" w:rsidRDefault="00BC5A43" w:rsidP="00BC5A43"/>
    <w:p w14:paraId="7D542FEF" w14:textId="55C7ECFE" w:rsidR="00FD2C54" w:rsidRPr="00A841EC" w:rsidRDefault="00FD2C54" w:rsidP="00A04BF1">
      <w:pPr>
        <w:pStyle w:val="Caption"/>
      </w:pPr>
      <w:r w:rsidRPr="00A841EC">
        <w:t>Effective Useful Life</w:t>
      </w:r>
      <w:r w:rsidR="00BB4F22" w:rsidRPr="00A841EC">
        <w:t xml:space="preserve"> and Remaining Useful Life</w:t>
      </w:r>
    </w:p>
    <w:tbl>
      <w:tblPr>
        <w:tblW w:w="953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1615"/>
        <w:gridCol w:w="1170"/>
        <w:gridCol w:w="6750"/>
      </w:tblGrid>
      <w:tr w:rsidR="00485834" w:rsidRPr="00A841EC" w14:paraId="1FE81044" w14:textId="0C091959" w:rsidTr="0026110B">
        <w:trPr>
          <w:cantSplit/>
          <w:trHeight w:val="20"/>
        </w:trPr>
        <w:tc>
          <w:tcPr>
            <w:tcW w:w="1615" w:type="dxa"/>
            <w:shd w:val="clear" w:color="auto" w:fill="F2F2F2" w:themeFill="background1" w:themeFillShade="F2"/>
            <w:vAlign w:val="bottom"/>
          </w:tcPr>
          <w:p w14:paraId="1666F440" w14:textId="31AB2C31" w:rsidR="00485834" w:rsidRPr="00A841EC" w:rsidRDefault="00485834" w:rsidP="009C31A4">
            <w:pPr>
              <w:keepNext/>
              <w:keepLines/>
              <w:spacing w:before="20" w:after="20"/>
              <w:jc w:val="center"/>
              <w:rPr>
                <w:rFonts w:cstheme="minorHAnsi"/>
                <w:b/>
                <w:sz w:val="20"/>
                <w:szCs w:val="20"/>
              </w:rPr>
            </w:pPr>
            <w:r w:rsidRPr="00A841EC">
              <w:rPr>
                <w:rFonts w:cstheme="minorHAnsi"/>
                <w:b/>
                <w:sz w:val="20"/>
                <w:szCs w:val="20"/>
              </w:rPr>
              <w:t>Parameter</w:t>
            </w:r>
          </w:p>
        </w:tc>
        <w:tc>
          <w:tcPr>
            <w:tcW w:w="1170" w:type="dxa"/>
            <w:shd w:val="clear" w:color="auto" w:fill="F2F2F2" w:themeFill="background1" w:themeFillShade="F2"/>
          </w:tcPr>
          <w:p w14:paraId="18E57BF8" w14:textId="7074E315" w:rsidR="00485834" w:rsidRPr="00A841EC" w:rsidRDefault="00485834" w:rsidP="009C31A4">
            <w:pPr>
              <w:keepNext/>
              <w:keepLines/>
              <w:spacing w:before="20" w:after="20"/>
              <w:jc w:val="center"/>
              <w:rPr>
                <w:rFonts w:cstheme="minorHAnsi"/>
                <w:b/>
                <w:sz w:val="20"/>
                <w:szCs w:val="20"/>
              </w:rPr>
            </w:pPr>
            <w:r w:rsidRPr="00A841EC">
              <w:rPr>
                <w:rFonts w:cstheme="minorHAnsi"/>
                <w:b/>
                <w:sz w:val="20"/>
                <w:szCs w:val="20"/>
              </w:rPr>
              <w:t>Value</w:t>
            </w:r>
          </w:p>
        </w:tc>
        <w:tc>
          <w:tcPr>
            <w:tcW w:w="6750" w:type="dxa"/>
            <w:shd w:val="clear" w:color="auto" w:fill="F2F2F2" w:themeFill="background1" w:themeFillShade="F2"/>
          </w:tcPr>
          <w:p w14:paraId="541E1750" w14:textId="139E5C00" w:rsidR="00485834" w:rsidRPr="00A841EC" w:rsidRDefault="00485834" w:rsidP="009C31A4">
            <w:pPr>
              <w:keepNext/>
              <w:keepLines/>
              <w:spacing w:before="20" w:after="20"/>
              <w:jc w:val="center"/>
              <w:rPr>
                <w:rFonts w:cstheme="minorHAnsi"/>
                <w:b/>
                <w:sz w:val="20"/>
                <w:szCs w:val="20"/>
              </w:rPr>
            </w:pPr>
            <w:r w:rsidRPr="00A841EC">
              <w:rPr>
                <w:rFonts w:cstheme="minorHAnsi"/>
                <w:b/>
                <w:sz w:val="20"/>
                <w:szCs w:val="20"/>
              </w:rPr>
              <w:t>Source</w:t>
            </w:r>
          </w:p>
        </w:tc>
      </w:tr>
      <w:tr w:rsidR="00BB107E" w:rsidRPr="00A841EC" w14:paraId="7B636A73" w14:textId="217149CE" w:rsidTr="00DF51E1">
        <w:trPr>
          <w:cantSplit/>
          <w:trHeight w:val="20"/>
        </w:trPr>
        <w:tc>
          <w:tcPr>
            <w:tcW w:w="1615" w:type="dxa"/>
            <w:vAlign w:val="center"/>
          </w:tcPr>
          <w:p w14:paraId="64E6D65F" w14:textId="59A0BBEA" w:rsidR="00BB107E" w:rsidRPr="00A841EC" w:rsidRDefault="00BB107E" w:rsidP="00BB107E">
            <w:pPr>
              <w:keepNext/>
              <w:keepLines/>
              <w:spacing w:before="20" w:after="20"/>
              <w:jc w:val="center"/>
              <w:rPr>
                <w:sz w:val="20"/>
                <w:szCs w:val="20"/>
              </w:rPr>
            </w:pPr>
            <w:r w:rsidRPr="00A841EC">
              <w:rPr>
                <w:rFonts w:cstheme="minorHAnsi"/>
                <w:sz w:val="20"/>
                <w:szCs w:val="20"/>
              </w:rPr>
              <w:t xml:space="preserve">EUL (yrs) </w:t>
            </w:r>
          </w:p>
        </w:tc>
        <w:tc>
          <w:tcPr>
            <w:tcW w:w="1170" w:type="dxa"/>
            <w:vAlign w:val="center"/>
          </w:tcPr>
          <w:p w14:paraId="636160CC" w14:textId="55AB7FFB" w:rsidR="00BB107E" w:rsidRPr="00A841EC" w:rsidRDefault="00BB107E" w:rsidP="00BB107E">
            <w:pPr>
              <w:keepNext/>
              <w:keepLines/>
              <w:spacing w:before="20" w:after="20"/>
              <w:jc w:val="center"/>
              <w:rPr>
                <w:sz w:val="20"/>
                <w:szCs w:val="20"/>
              </w:rPr>
            </w:pPr>
            <w:r w:rsidRPr="00A841EC">
              <w:rPr>
                <w:sz w:val="20"/>
                <w:szCs w:val="20"/>
              </w:rPr>
              <w:t>20</w:t>
            </w:r>
          </w:p>
        </w:tc>
        <w:tc>
          <w:tcPr>
            <w:tcW w:w="6750" w:type="dxa"/>
          </w:tcPr>
          <w:p w14:paraId="360EAFB2" w14:textId="77777777" w:rsidR="00BB107E" w:rsidRPr="00A841EC" w:rsidRDefault="00BB107E" w:rsidP="00BB107E">
            <w:pPr>
              <w:keepNext/>
              <w:keepLines/>
              <w:spacing w:before="20" w:after="20"/>
              <w:rPr>
                <w:sz w:val="18"/>
                <w:szCs w:val="18"/>
              </w:rPr>
            </w:pPr>
            <w:r w:rsidRPr="00A841EC">
              <w:rPr>
                <w:sz w:val="18"/>
                <w:szCs w:val="18"/>
              </w:rPr>
              <w:t>California Public Utilities Commission (CPUC). 2014. “DEER2014-EUL-table-update_2014-02-05.xlsx.”</w:t>
            </w:r>
          </w:p>
          <w:p w14:paraId="6C770BDD" w14:textId="77777777" w:rsidR="00BB107E" w:rsidRPr="00A841EC" w:rsidRDefault="00BB107E" w:rsidP="00BB107E">
            <w:pPr>
              <w:keepNext/>
              <w:keepLines/>
              <w:spacing w:before="20" w:after="20"/>
              <w:rPr>
                <w:sz w:val="18"/>
                <w:szCs w:val="18"/>
              </w:rPr>
            </w:pPr>
            <w:r w:rsidRPr="00A841EC">
              <w:rPr>
                <w:sz w:val="18"/>
                <w:szCs w:val="18"/>
              </w:rPr>
              <w:t>California Public Utilities Commission (CPUC), Energy Division. 2008. “EUL_Summary_10-1-08.xls.”</w:t>
            </w:r>
          </w:p>
          <w:p w14:paraId="12293357" w14:textId="2E0F1313" w:rsidR="00BB107E" w:rsidRPr="00A841EC" w:rsidRDefault="00BB107E" w:rsidP="00BB107E">
            <w:pPr>
              <w:pStyle w:val="CommentText"/>
              <w:rPr>
                <w:sz w:val="20"/>
                <w:szCs w:val="20"/>
              </w:rPr>
            </w:pPr>
            <w:r w:rsidRPr="00A841EC">
              <w:rPr>
                <w:sz w:val="18"/>
                <w:szCs w:val="18"/>
              </w:rPr>
              <w:t xml:space="preserve">California Public Utilities Commission (CPUC), Energy Division.  2003. </w:t>
            </w:r>
            <w:r w:rsidRPr="00A841EC">
              <w:rPr>
                <w:rStyle w:val="Emphasis"/>
                <w:sz w:val="18"/>
                <w:szCs w:val="18"/>
              </w:rPr>
              <w:t>Energy Efficiency Policy Manual v 2.0. Page 16.</w:t>
            </w:r>
          </w:p>
        </w:tc>
      </w:tr>
      <w:tr w:rsidR="00BB107E" w:rsidRPr="00A841EC" w14:paraId="71871DE1" w14:textId="51A3395E" w:rsidTr="00EC314A">
        <w:trPr>
          <w:cantSplit/>
          <w:trHeight w:val="20"/>
        </w:trPr>
        <w:tc>
          <w:tcPr>
            <w:tcW w:w="1615" w:type="dxa"/>
            <w:vAlign w:val="center"/>
          </w:tcPr>
          <w:p w14:paraId="4BA48D82" w14:textId="5EFD77B9" w:rsidR="00BB107E" w:rsidRPr="00A841EC" w:rsidRDefault="00BB107E" w:rsidP="00BB107E">
            <w:pPr>
              <w:keepNext/>
              <w:keepLines/>
              <w:spacing w:before="20" w:after="20"/>
              <w:jc w:val="center"/>
              <w:rPr>
                <w:sz w:val="20"/>
                <w:szCs w:val="20"/>
              </w:rPr>
            </w:pPr>
            <w:r w:rsidRPr="00A841EC">
              <w:rPr>
                <w:rFonts w:cstheme="minorHAnsi"/>
                <w:sz w:val="20"/>
                <w:szCs w:val="20"/>
              </w:rPr>
              <w:t>RUL (yrs)</w:t>
            </w:r>
          </w:p>
        </w:tc>
        <w:tc>
          <w:tcPr>
            <w:tcW w:w="1170" w:type="dxa"/>
            <w:vAlign w:val="center"/>
          </w:tcPr>
          <w:p w14:paraId="012CC38D" w14:textId="5087B868" w:rsidR="00BB107E" w:rsidRPr="00A841EC" w:rsidRDefault="00BB107E" w:rsidP="00BB107E">
            <w:pPr>
              <w:keepNext/>
              <w:keepLines/>
              <w:spacing w:before="20" w:after="20"/>
              <w:jc w:val="center"/>
              <w:rPr>
                <w:sz w:val="20"/>
                <w:szCs w:val="20"/>
              </w:rPr>
            </w:pPr>
            <w:r w:rsidRPr="00A841EC">
              <w:rPr>
                <w:sz w:val="20"/>
                <w:szCs w:val="20"/>
              </w:rPr>
              <w:t>6.7</w:t>
            </w:r>
          </w:p>
        </w:tc>
        <w:tc>
          <w:tcPr>
            <w:tcW w:w="6750" w:type="dxa"/>
            <w:vAlign w:val="center"/>
          </w:tcPr>
          <w:p w14:paraId="7DDC9DCA" w14:textId="7F30516F" w:rsidR="00BB107E" w:rsidRPr="00A841EC" w:rsidRDefault="00BB107E" w:rsidP="00BB107E">
            <w:pPr>
              <w:keepNext/>
              <w:keepLines/>
              <w:spacing w:before="20" w:after="20"/>
              <w:jc w:val="center"/>
              <w:rPr>
                <w:sz w:val="20"/>
                <w:szCs w:val="20"/>
              </w:rPr>
            </w:pPr>
            <w:r w:rsidRPr="00A841EC">
              <w:rPr>
                <w:sz w:val="20"/>
                <w:szCs w:val="20"/>
              </w:rPr>
              <w:t>-</w:t>
            </w:r>
          </w:p>
        </w:tc>
      </w:tr>
    </w:tbl>
    <w:p w14:paraId="21BBC22B" w14:textId="77777777" w:rsidR="007D230B" w:rsidRPr="00A841EC" w:rsidRDefault="007D230B" w:rsidP="004142EF"/>
    <w:p w14:paraId="3B14B593" w14:textId="77777777" w:rsidR="007D230B" w:rsidRPr="00A841EC" w:rsidRDefault="007D230B" w:rsidP="007E3A1D">
      <w:pPr>
        <w:pStyle w:val="eTRMHeading3"/>
      </w:pPr>
      <w:bookmarkStart w:id="50" w:name="_Toc486490860"/>
      <w:bookmarkStart w:id="51" w:name="_Toc486580931"/>
      <w:bookmarkStart w:id="52" w:name="_Toc23836605"/>
      <w:r w:rsidRPr="00A841EC">
        <w:t>Base Case Material Cost ($/unit)</w:t>
      </w:r>
      <w:bookmarkEnd w:id="50"/>
      <w:bookmarkEnd w:id="51"/>
      <w:bookmarkEnd w:id="52"/>
    </w:p>
    <w:p w14:paraId="26A6A3D0" w14:textId="084C80C7" w:rsidR="00036AAD" w:rsidRPr="00A841EC" w:rsidRDefault="00036AAD" w:rsidP="001F57FE">
      <w:r w:rsidRPr="00A841EC">
        <w:t xml:space="preserve">Base case material costs for this measure were estimated from a regression analysis of retail costs </w:t>
      </w:r>
      <w:r w:rsidR="00573DCC" w:rsidRPr="00A841EC">
        <w:t xml:space="preserve">obtained from web-scraping in </w:t>
      </w:r>
      <w:r w:rsidR="00BD5916" w:rsidRPr="00A841EC">
        <w:t>2017</w:t>
      </w:r>
      <w:r w:rsidR="00573DCC" w:rsidRPr="00A841EC">
        <w:t xml:space="preserve"> </w:t>
      </w:r>
      <w:r w:rsidRPr="00A841EC">
        <w:t>and a comparison with costs developed for the Energy Trust of Oregon (ETO).</w:t>
      </w:r>
      <w:r w:rsidR="00A04BF1" w:rsidRPr="00A841EC">
        <w:rPr>
          <w:rStyle w:val="FootnoteReference"/>
        </w:rPr>
        <w:footnoteReference w:id="24"/>
      </w:r>
      <w:r w:rsidRPr="00A841EC">
        <w:t xml:space="preserve"> </w:t>
      </w:r>
      <w:r w:rsidR="001F57FE" w:rsidRPr="00A841EC">
        <w:t xml:space="preserve">The base case for the </w:t>
      </w:r>
      <w:r w:rsidRPr="00A841EC">
        <w:t>normal replacement (NR) and new construction (NC)</w:t>
      </w:r>
      <w:r w:rsidR="001F57FE" w:rsidRPr="00A841EC">
        <w:t xml:space="preserve"> </w:t>
      </w:r>
      <w:r w:rsidRPr="00A841EC">
        <w:t xml:space="preserve">offerings </w:t>
      </w:r>
      <w:r w:rsidR="001F57FE" w:rsidRPr="00A841EC">
        <w:t xml:space="preserve">assumes </w:t>
      </w:r>
      <w:r w:rsidRPr="00A841EC">
        <w:t>intermittent pilot light (</w:t>
      </w:r>
      <w:r w:rsidR="001F57FE" w:rsidRPr="00A841EC">
        <w:t>IPL</w:t>
      </w:r>
      <w:r w:rsidRPr="00A841EC">
        <w:t>)</w:t>
      </w:r>
      <w:r w:rsidR="001F57FE" w:rsidRPr="00A841EC">
        <w:t xml:space="preserve"> technology. The retail cost regression</w:t>
      </w:r>
      <w:r w:rsidR="00573DCC" w:rsidRPr="00A841EC">
        <w:t xml:space="preserve"> results</w:t>
      </w:r>
      <w:r w:rsidR="001F57FE" w:rsidRPr="00A841EC">
        <w:t xml:space="preserve"> for IPL ignition systems </w:t>
      </w:r>
      <w:r w:rsidR="00573DCC" w:rsidRPr="00A841EC">
        <w:t xml:space="preserve">are </w:t>
      </w:r>
      <w:r w:rsidRPr="00A841EC">
        <w:t>consistent</w:t>
      </w:r>
      <w:r w:rsidR="001F57FE" w:rsidRPr="00A841EC">
        <w:t xml:space="preserve"> with both the average cost of IPL fireplaces and the </w:t>
      </w:r>
      <w:r w:rsidRPr="00A841EC">
        <w:t xml:space="preserve">fireplace efficiency (FE) </w:t>
      </w:r>
      <w:r w:rsidR="001F57FE" w:rsidRPr="00A841EC">
        <w:t>based retail cost values</w:t>
      </w:r>
      <w:r w:rsidRPr="00A841EC">
        <w:t xml:space="preserve"> developed for the ETO</w:t>
      </w:r>
      <w:r w:rsidR="001F57FE" w:rsidRPr="00A841EC">
        <w:t>.</w:t>
      </w:r>
      <w:r w:rsidR="005A370B" w:rsidRPr="00A841EC">
        <w:rPr>
          <w:rStyle w:val="FootnoteReference"/>
        </w:rPr>
        <w:footnoteReference w:id="25"/>
      </w:r>
      <w:r w:rsidR="001F57FE" w:rsidRPr="00A841EC">
        <w:t xml:space="preserve"> Because the </w:t>
      </w:r>
      <w:r w:rsidRPr="00A841EC">
        <w:t xml:space="preserve">IPL </w:t>
      </w:r>
      <w:r w:rsidR="001F57FE" w:rsidRPr="00A841EC">
        <w:t xml:space="preserve">retail cost regression is in line with previously published ETO data, the </w:t>
      </w:r>
      <w:r w:rsidRPr="00A841EC">
        <w:t xml:space="preserve">cost </w:t>
      </w:r>
      <w:r w:rsidR="001F57FE" w:rsidRPr="00A841EC">
        <w:t xml:space="preserve">regression is used to determine the </w:t>
      </w:r>
      <w:r w:rsidRPr="00A841EC">
        <w:t xml:space="preserve">base </w:t>
      </w:r>
      <w:r w:rsidR="001F57FE" w:rsidRPr="00A841EC">
        <w:t xml:space="preserve">case </w:t>
      </w:r>
      <w:r w:rsidRPr="00A841EC">
        <w:t xml:space="preserve">material </w:t>
      </w:r>
      <w:r w:rsidR="001F57FE" w:rsidRPr="00A841EC">
        <w:t>costs</w:t>
      </w:r>
      <w:r w:rsidRPr="00A841EC">
        <w:t xml:space="preserve"> for NR and NC installations</w:t>
      </w:r>
      <w:r w:rsidR="001F57FE" w:rsidRPr="00A841EC">
        <w:t>.</w:t>
      </w:r>
      <w:r w:rsidR="00AE691B" w:rsidRPr="00A841EC">
        <w:t xml:space="preserve"> </w:t>
      </w:r>
    </w:p>
    <w:p w14:paraId="46E76298" w14:textId="4D1E596B" w:rsidR="001F57FE" w:rsidRPr="00A841EC" w:rsidRDefault="001F57FE" w:rsidP="001F57FE">
      <w:r w:rsidRPr="00A841EC">
        <w:t xml:space="preserve">The base case for the </w:t>
      </w:r>
      <w:r w:rsidR="00036AAD" w:rsidRPr="00A841EC">
        <w:t>accelerated replacement (</w:t>
      </w:r>
      <w:r w:rsidRPr="00A841EC">
        <w:t>AR</w:t>
      </w:r>
      <w:r w:rsidR="00036AAD" w:rsidRPr="00A841EC">
        <w:t>)</w:t>
      </w:r>
      <w:r w:rsidRPr="00A841EC">
        <w:t xml:space="preserve"> </w:t>
      </w:r>
      <w:r w:rsidR="00036AAD" w:rsidRPr="00A841EC">
        <w:t xml:space="preserve">offerings </w:t>
      </w:r>
      <w:r w:rsidRPr="00A841EC">
        <w:t xml:space="preserve">assumes </w:t>
      </w:r>
      <w:r w:rsidR="00036AAD" w:rsidRPr="00A841EC">
        <w:t>continuously operating pilot light (</w:t>
      </w:r>
      <w:r w:rsidRPr="00A841EC">
        <w:t>CPL</w:t>
      </w:r>
      <w:r w:rsidR="00036AAD" w:rsidRPr="00A841EC">
        <w:t>)</w:t>
      </w:r>
      <w:r w:rsidRPr="00A841EC">
        <w:t xml:space="preserve"> technology. The retail cost regression is lower than both the ETO average cost of CPL fireplaces and </w:t>
      </w:r>
      <w:r w:rsidRPr="00A841EC">
        <w:lastRenderedPageBreak/>
        <w:t>the FE</w:t>
      </w:r>
      <w:r w:rsidR="00036AAD" w:rsidRPr="00A841EC">
        <w:t>-</w:t>
      </w:r>
      <w:r w:rsidRPr="00A841EC">
        <w:t xml:space="preserve">based retail cost values. </w:t>
      </w:r>
      <w:r w:rsidR="00036AAD" w:rsidRPr="00A841EC">
        <w:t xml:space="preserve">The </w:t>
      </w:r>
      <w:r w:rsidRPr="00A841EC">
        <w:t>ETO costs based on FE were used to determine the base case cost for the AR measure. The ETO costs are more conservative and previously established.</w:t>
      </w:r>
    </w:p>
    <w:p w14:paraId="473728B3" w14:textId="28BBBC84" w:rsidR="001F57FE" w:rsidRPr="00A841EC" w:rsidRDefault="001F57FE" w:rsidP="005A370B">
      <w:pPr>
        <w:pStyle w:val="Caption"/>
      </w:pPr>
      <w:r w:rsidRPr="00A841EC">
        <w:t>Base Case Retail Costs</w:t>
      </w:r>
    </w:p>
    <w:tbl>
      <w:tblPr>
        <w:tblW w:w="6930"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15" w:type="dxa"/>
          <w:right w:w="115" w:type="dxa"/>
        </w:tblCellMar>
        <w:tblLook w:val="04A0" w:firstRow="1" w:lastRow="0" w:firstColumn="1" w:lastColumn="0" w:noHBand="0" w:noVBand="1"/>
      </w:tblPr>
      <w:tblGrid>
        <w:gridCol w:w="2310"/>
        <w:gridCol w:w="2432"/>
        <w:gridCol w:w="2188"/>
      </w:tblGrid>
      <w:tr w:rsidR="001F57FE" w:rsidRPr="00A841EC" w14:paraId="13118524" w14:textId="77777777" w:rsidTr="005A370B">
        <w:trPr>
          <w:trHeight w:val="20"/>
        </w:trPr>
        <w:tc>
          <w:tcPr>
            <w:tcW w:w="2310" w:type="dxa"/>
            <w:shd w:val="clear" w:color="auto" w:fill="F2F2F2" w:themeFill="background1" w:themeFillShade="F2"/>
            <w:noWrap/>
            <w:vAlign w:val="center"/>
            <w:hideMark/>
          </w:tcPr>
          <w:p w14:paraId="2A213A30" w14:textId="453BD404" w:rsidR="001F57FE" w:rsidRPr="00A841EC" w:rsidRDefault="00A04BF1" w:rsidP="005A370B">
            <w:pPr>
              <w:spacing w:before="0" w:after="0" w:line="240" w:lineRule="auto"/>
              <w:jc w:val="center"/>
              <w:rPr>
                <w:b/>
                <w:sz w:val="20"/>
                <w:szCs w:val="22"/>
              </w:rPr>
            </w:pPr>
            <w:r w:rsidRPr="00A841EC">
              <w:rPr>
                <w:b/>
                <w:sz w:val="20"/>
                <w:szCs w:val="22"/>
              </w:rPr>
              <w:t xml:space="preserve">Measure </w:t>
            </w:r>
            <w:r w:rsidRPr="00A841EC">
              <w:rPr>
                <w:b/>
                <w:sz w:val="20"/>
                <w:szCs w:val="22"/>
              </w:rPr>
              <w:br/>
              <w:t>Application Type</w:t>
            </w:r>
          </w:p>
        </w:tc>
        <w:tc>
          <w:tcPr>
            <w:tcW w:w="2432" w:type="dxa"/>
            <w:shd w:val="clear" w:color="auto" w:fill="F2F2F2" w:themeFill="background1" w:themeFillShade="F2"/>
            <w:noWrap/>
            <w:vAlign w:val="center"/>
            <w:hideMark/>
          </w:tcPr>
          <w:p w14:paraId="57C21123" w14:textId="234182E8" w:rsidR="001F57FE" w:rsidRPr="00A841EC" w:rsidRDefault="001F57FE" w:rsidP="005A370B">
            <w:pPr>
              <w:spacing w:before="0" w:after="0" w:line="240" w:lineRule="auto"/>
              <w:jc w:val="center"/>
              <w:rPr>
                <w:b/>
                <w:sz w:val="20"/>
                <w:szCs w:val="22"/>
              </w:rPr>
            </w:pPr>
            <w:r w:rsidRPr="00A841EC">
              <w:rPr>
                <w:b/>
                <w:sz w:val="20"/>
                <w:szCs w:val="22"/>
              </w:rPr>
              <w:t xml:space="preserve">Assumed </w:t>
            </w:r>
            <w:r w:rsidR="00A04BF1" w:rsidRPr="00A841EC">
              <w:rPr>
                <w:b/>
                <w:sz w:val="20"/>
                <w:szCs w:val="22"/>
              </w:rPr>
              <w:br/>
            </w:r>
            <w:r w:rsidRPr="00A841EC">
              <w:rPr>
                <w:b/>
                <w:sz w:val="20"/>
                <w:szCs w:val="22"/>
              </w:rPr>
              <w:t>Baseline F</w:t>
            </w:r>
            <w:r w:rsidR="00A04BF1" w:rsidRPr="00A841EC">
              <w:rPr>
                <w:b/>
                <w:sz w:val="20"/>
                <w:szCs w:val="22"/>
              </w:rPr>
              <w:t>E (</w:t>
            </w:r>
            <w:r w:rsidRPr="00A841EC">
              <w:rPr>
                <w:b/>
                <w:sz w:val="20"/>
                <w:szCs w:val="22"/>
              </w:rPr>
              <w:t>%</w:t>
            </w:r>
            <w:r w:rsidR="00A04BF1" w:rsidRPr="00A841EC">
              <w:rPr>
                <w:b/>
                <w:sz w:val="20"/>
                <w:szCs w:val="22"/>
              </w:rPr>
              <w:t>)</w:t>
            </w:r>
          </w:p>
        </w:tc>
        <w:tc>
          <w:tcPr>
            <w:tcW w:w="2188" w:type="dxa"/>
            <w:shd w:val="clear" w:color="auto" w:fill="F2F2F2" w:themeFill="background1" w:themeFillShade="F2"/>
            <w:vAlign w:val="center"/>
            <w:hideMark/>
          </w:tcPr>
          <w:p w14:paraId="4B18536A" w14:textId="2347D5E0" w:rsidR="001F57FE" w:rsidRPr="00A841EC" w:rsidRDefault="001F57FE" w:rsidP="005A370B">
            <w:pPr>
              <w:spacing w:before="0" w:after="0" w:line="240" w:lineRule="auto"/>
              <w:jc w:val="center"/>
              <w:rPr>
                <w:b/>
                <w:sz w:val="20"/>
                <w:szCs w:val="22"/>
              </w:rPr>
            </w:pPr>
            <w:r w:rsidRPr="00A841EC">
              <w:rPr>
                <w:b/>
                <w:sz w:val="20"/>
                <w:szCs w:val="22"/>
              </w:rPr>
              <w:t>Retail Cost</w:t>
            </w:r>
            <w:r w:rsidR="00A04BF1" w:rsidRPr="00A841EC">
              <w:rPr>
                <w:b/>
                <w:sz w:val="20"/>
                <w:szCs w:val="22"/>
              </w:rPr>
              <w:t xml:space="preserve"> </w:t>
            </w:r>
            <w:r w:rsidR="00A04BF1" w:rsidRPr="00A841EC">
              <w:rPr>
                <w:b/>
                <w:sz w:val="20"/>
                <w:szCs w:val="22"/>
              </w:rPr>
              <w:br/>
              <w:t>(</w:t>
            </w:r>
            <w:r w:rsidRPr="00A841EC">
              <w:rPr>
                <w:b/>
                <w:sz w:val="20"/>
                <w:szCs w:val="22"/>
              </w:rPr>
              <w:t>2017</w:t>
            </w:r>
            <w:r w:rsidR="00A04BF1" w:rsidRPr="00A841EC">
              <w:rPr>
                <w:b/>
                <w:sz w:val="20"/>
                <w:szCs w:val="22"/>
              </w:rPr>
              <w:t xml:space="preserve"> </w:t>
            </w:r>
            <w:r w:rsidRPr="00A841EC">
              <w:rPr>
                <w:b/>
                <w:sz w:val="20"/>
                <w:szCs w:val="22"/>
              </w:rPr>
              <w:t>$</w:t>
            </w:r>
            <w:r w:rsidR="00A04BF1" w:rsidRPr="00A841EC">
              <w:rPr>
                <w:b/>
                <w:sz w:val="20"/>
                <w:szCs w:val="22"/>
              </w:rPr>
              <w:t>)</w:t>
            </w:r>
          </w:p>
        </w:tc>
      </w:tr>
      <w:tr w:rsidR="001F57FE" w:rsidRPr="00A841EC" w14:paraId="50FA5991" w14:textId="77777777" w:rsidTr="005A370B">
        <w:trPr>
          <w:trHeight w:val="70"/>
        </w:trPr>
        <w:tc>
          <w:tcPr>
            <w:tcW w:w="2310" w:type="dxa"/>
            <w:noWrap/>
            <w:vAlign w:val="bottom"/>
            <w:hideMark/>
          </w:tcPr>
          <w:p w14:paraId="222D7D0A" w14:textId="15E4B2D1" w:rsidR="001F57FE" w:rsidRPr="00A841EC" w:rsidRDefault="001F57FE" w:rsidP="005A370B">
            <w:pPr>
              <w:spacing w:before="0" w:after="0" w:line="240" w:lineRule="auto"/>
              <w:rPr>
                <w:sz w:val="20"/>
                <w:szCs w:val="22"/>
              </w:rPr>
            </w:pPr>
            <w:r w:rsidRPr="00A841EC">
              <w:rPr>
                <w:sz w:val="20"/>
                <w:szCs w:val="22"/>
              </w:rPr>
              <w:t>NR</w:t>
            </w:r>
            <w:r w:rsidR="00A04BF1" w:rsidRPr="00A841EC">
              <w:rPr>
                <w:sz w:val="20"/>
                <w:szCs w:val="22"/>
              </w:rPr>
              <w:t xml:space="preserve"> and </w:t>
            </w:r>
            <w:r w:rsidRPr="00A841EC">
              <w:rPr>
                <w:sz w:val="20"/>
                <w:szCs w:val="22"/>
              </w:rPr>
              <w:t xml:space="preserve">NC </w:t>
            </w:r>
          </w:p>
        </w:tc>
        <w:tc>
          <w:tcPr>
            <w:tcW w:w="2432" w:type="dxa"/>
            <w:noWrap/>
            <w:vAlign w:val="center"/>
            <w:hideMark/>
          </w:tcPr>
          <w:p w14:paraId="46229CA2" w14:textId="77777777" w:rsidR="001F57FE" w:rsidRPr="00A841EC" w:rsidRDefault="001F57FE" w:rsidP="005A370B">
            <w:pPr>
              <w:spacing w:before="0" w:after="0" w:line="240" w:lineRule="auto"/>
              <w:jc w:val="center"/>
              <w:rPr>
                <w:sz w:val="20"/>
                <w:szCs w:val="22"/>
              </w:rPr>
            </w:pPr>
            <w:r w:rsidRPr="00A841EC">
              <w:rPr>
                <w:sz w:val="20"/>
                <w:szCs w:val="22"/>
              </w:rPr>
              <w:t>64.6</w:t>
            </w:r>
          </w:p>
        </w:tc>
        <w:tc>
          <w:tcPr>
            <w:tcW w:w="2188" w:type="dxa"/>
            <w:vAlign w:val="center"/>
            <w:hideMark/>
          </w:tcPr>
          <w:p w14:paraId="38DFCEF0" w14:textId="01ACB77F" w:rsidR="001F57FE" w:rsidRPr="00A841EC" w:rsidRDefault="001F57FE" w:rsidP="005A370B">
            <w:pPr>
              <w:spacing w:before="0" w:after="0" w:line="240" w:lineRule="auto"/>
              <w:jc w:val="center"/>
              <w:rPr>
                <w:sz w:val="20"/>
                <w:szCs w:val="22"/>
              </w:rPr>
            </w:pPr>
            <w:r w:rsidRPr="00A841EC">
              <w:rPr>
                <w:sz w:val="20"/>
                <w:szCs w:val="22"/>
              </w:rPr>
              <w:t>$2,815</w:t>
            </w:r>
          </w:p>
        </w:tc>
      </w:tr>
      <w:tr w:rsidR="001F57FE" w:rsidRPr="00A841EC" w14:paraId="186DB1FD" w14:textId="77777777" w:rsidTr="005A370B">
        <w:trPr>
          <w:trHeight w:val="70"/>
        </w:trPr>
        <w:tc>
          <w:tcPr>
            <w:tcW w:w="2310" w:type="dxa"/>
            <w:noWrap/>
            <w:vAlign w:val="bottom"/>
            <w:hideMark/>
          </w:tcPr>
          <w:p w14:paraId="2F4AE937" w14:textId="77777777" w:rsidR="001F57FE" w:rsidRPr="00A841EC" w:rsidRDefault="001F57FE" w:rsidP="005A370B">
            <w:pPr>
              <w:spacing w:before="0" w:after="0" w:line="240" w:lineRule="auto"/>
              <w:rPr>
                <w:sz w:val="20"/>
                <w:szCs w:val="22"/>
              </w:rPr>
            </w:pPr>
            <w:r w:rsidRPr="00A841EC">
              <w:rPr>
                <w:sz w:val="20"/>
                <w:szCs w:val="22"/>
              </w:rPr>
              <w:t>AR</w:t>
            </w:r>
          </w:p>
        </w:tc>
        <w:tc>
          <w:tcPr>
            <w:tcW w:w="2432" w:type="dxa"/>
            <w:noWrap/>
            <w:vAlign w:val="center"/>
            <w:hideMark/>
          </w:tcPr>
          <w:p w14:paraId="67E1BF24" w14:textId="77777777" w:rsidR="001F57FE" w:rsidRPr="00A841EC" w:rsidRDefault="001F57FE" w:rsidP="005A370B">
            <w:pPr>
              <w:spacing w:before="0" w:after="0" w:line="240" w:lineRule="auto"/>
              <w:jc w:val="center"/>
              <w:rPr>
                <w:sz w:val="20"/>
                <w:szCs w:val="22"/>
              </w:rPr>
            </w:pPr>
            <w:r w:rsidRPr="00A841EC">
              <w:rPr>
                <w:sz w:val="20"/>
                <w:szCs w:val="22"/>
              </w:rPr>
              <w:t>60.8</w:t>
            </w:r>
          </w:p>
        </w:tc>
        <w:tc>
          <w:tcPr>
            <w:tcW w:w="2188" w:type="dxa"/>
            <w:vAlign w:val="center"/>
            <w:hideMark/>
          </w:tcPr>
          <w:p w14:paraId="5A6EB1F3" w14:textId="5A08461F" w:rsidR="001F57FE" w:rsidRPr="00A841EC" w:rsidRDefault="001F57FE" w:rsidP="005A370B">
            <w:pPr>
              <w:spacing w:before="0" w:after="0" w:line="240" w:lineRule="auto"/>
              <w:jc w:val="center"/>
              <w:rPr>
                <w:sz w:val="20"/>
                <w:szCs w:val="22"/>
              </w:rPr>
            </w:pPr>
            <w:r w:rsidRPr="00A841EC">
              <w:rPr>
                <w:sz w:val="20"/>
                <w:szCs w:val="22"/>
              </w:rPr>
              <w:t>$2,382</w:t>
            </w:r>
          </w:p>
        </w:tc>
      </w:tr>
    </w:tbl>
    <w:p w14:paraId="30AC7EB6" w14:textId="77777777" w:rsidR="000B16E2" w:rsidRPr="00A841EC" w:rsidRDefault="000B16E2" w:rsidP="00090AC6">
      <w:bookmarkStart w:id="53" w:name="_Toc486490861"/>
      <w:bookmarkStart w:id="54" w:name="_Toc486580932"/>
    </w:p>
    <w:p w14:paraId="44E8DBEB" w14:textId="406D002C" w:rsidR="007D230B" w:rsidRPr="00A841EC" w:rsidRDefault="007D230B" w:rsidP="007E3A1D">
      <w:pPr>
        <w:pStyle w:val="eTRMHeading3"/>
      </w:pPr>
      <w:bookmarkStart w:id="55" w:name="_Toc23836606"/>
      <w:r w:rsidRPr="00A841EC">
        <w:t>Measure Case Material Cost ($/unit)</w:t>
      </w:r>
      <w:bookmarkEnd w:id="53"/>
      <w:bookmarkEnd w:id="54"/>
      <w:bookmarkEnd w:id="55"/>
    </w:p>
    <w:p w14:paraId="13C13CF3" w14:textId="1371BAFF" w:rsidR="00A053BF" w:rsidRPr="00A841EC" w:rsidRDefault="00573DCC" w:rsidP="00A053BF">
      <w:pPr>
        <w:rPr>
          <w:szCs w:val="22"/>
        </w:rPr>
      </w:pPr>
      <w:r w:rsidRPr="00A841EC">
        <w:t xml:space="preserve">Measure case material costs were estimated from a regression analysis of retail costs obtained from web-scraping in </w:t>
      </w:r>
      <w:r w:rsidR="008209B6" w:rsidRPr="00A841EC">
        <w:t>2017</w:t>
      </w:r>
      <w:r w:rsidRPr="00A841EC">
        <w:t>.</w:t>
      </w:r>
      <w:r w:rsidR="005A370B" w:rsidRPr="00A841EC">
        <w:rPr>
          <w:rStyle w:val="FootnoteReference"/>
        </w:rPr>
        <w:t xml:space="preserve"> </w:t>
      </w:r>
      <w:r w:rsidR="005A370B" w:rsidRPr="00A841EC">
        <w:rPr>
          <w:rStyle w:val="FootnoteReference"/>
        </w:rPr>
        <w:footnoteReference w:id="26"/>
      </w:r>
      <w:r w:rsidRPr="00A841EC">
        <w:t xml:space="preserve"> </w:t>
      </w:r>
      <w:r w:rsidR="00A053BF" w:rsidRPr="00A841EC">
        <w:rPr>
          <w:szCs w:val="22"/>
        </w:rPr>
        <w:t>The retail cost regression</w:t>
      </w:r>
      <w:r w:rsidR="00097413" w:rsidRPr="00A841EC">
        <w:rPr>
          <w:szCs w:val="22"/>
        </w:rPr>
        <w:t xml:space="preserve"> results</w:t>
      </w:r>
      <w:r w:rsidR="00A053BF" w:rsidRPr="00A841EC">
        <w:rPr>
          <w:szCs w:val="22"/>
        </w:rPr>
        <w:t xml:space="preserve"> for IPL ignition systems </w:t>
      </w:r>
      <w:r w:rsidRPr="00A841EC">
        <w:rPr>
          <w:szCs w:val="22"/>
        </w:rPr>
        <w:t>is consistent</w:t>
      </w:r>
      <w:r w:rsidR="00A053BF" w:rsidRPr="00A841EC">
        <w:rPr>
          <w:szCs w:val="22"/>
        </w:rPr>
        <w:t xml:space="preserve"> with the </w:t>
      </w:r>
      <w:r w:rsidRPr="00A841EC">
        <w:rPr>
          <w:szCs w:val="22"/>
        </w:rPr>
        <w:t xml:space="preserve">IPL </w:t>
      </w:r>
      <w:r w:rsidR="00A053BF" w:rsidRPr="00A841EC">
        <w:rPr>
          <w:szCs w:val="22"/>
        </w:rPr>
        <w:t xml:space="preserve">retail costs </w:t>
      </w:r>
      <w:r w:rsidR="00097413" w:rsidRPr="00A841EC">
        <w:rPr>
          <w:szCs w:val="22"/>
        </w:rPr>
        <w:t xml:space="preserve">of units with </w:t>
      </w:r>
      <w:r w:rsidR="00A053BF" w:rsidRPr="00A841EC">
        <w:rPr>
          <w:szCs w:val="22"/>
        </w:rPr>
        <w:t xml:space="preserve">FE values </w:t>
      </w:r>
      <w:r w:rsidR="00097413" w:rsidRPr="00A841EC">
        <w:rPr>
          <w:szCs w:val="22"/>
        </w:rPr>
        <w:t xml:space="preserve">higher than </w:t>
      </w:r>
      <w:r w:rsidR="00A053BF" w:rsidRPr="00A841EC">
        <w:rPr>
          <w:szCs w:val="22"/>
        </w:rPr>
        <w:t xml:space="preserve">60%. The web scraped retail cost data shows most models </w:t>
      </w:r>
      <w:r w:rsidR="00097413" w:rsidRPr="00A841EC">
        <w:rPr>
          <w:szCs w:val="22"/>
        </w:rPr>
        <w:t>with an</w:t>
      </w:r>
      <w:r w:rsidR="00A053BF" w:rsidRPr="00A841EC">
        <w:rPr>
          <w:szCs w:val="22"/>
        </w:rPr>
        <w:t xml:space="preserve"> FE </w:t>
      </w:r>
      <w:r w:rsidR="00097413" w:rsidRPr="00A841EC">
        <w:rPr>
          <w:szCs w:val="22"/>
        </w:rPr>
        <w:t xml:space="preserve">greater than </w:t>
      </w:r>
      <w:r w:rsidR="00A053BF" w:rsidRPr="00A841EC">
        <w:rPr>
          <w:szCs w:val="22"/>
        </w:rPr>
        <w:t xml:space="preserve">60% use IPL ignition technology. Because the retail cost regression is in line with previously published ETO </w:t>
      </w:r>
      <w:r w:rsidR="005A370B" w:rsidRPr="00A841EC">
        <w:rPr>
          <w:szCs w:val="22"/>
        </w:rPr>
        <w:t xml:space="preserve">cost </w:t>
      </w:r>
      <w:r w:rsidR="00A053BF" w:rsidRPr="00A841EC">
        <w:rPr>
          <w:szCs w:val="22"/>
        </w:rPr>
        <w:t>data</w:t>
      </w:r>
      <w:r w:rsidR="005A370B" w:rsidRPr="00A841EC">
        <w:rPr>
          <w:szCs w:val="22"/>
        </w:rPr>
        <w:t>,</w:t>
      </w:r>
      <w:r w:rsidR="005A370B" w:rsidRPr="00A841EC">
        <w:rPr>
          <w:rStyle w:val="FootnoteReference"/>
        </w:rPr>
        <w:footnoteReference w:id="27"/>
      </w:r>
      <w:r w:rsidR="00A053BF" w:rsidRPr="00A841EC">
        <w:rPr>
          <w:szCs w:val="22"/>
        </w:rPr>
        <w:t xml:space="preserve"> the regression </w:t>
      </w:r>
      <w:r w:rsidR="00097413" w:rsidRPr="00A841EC">
        <w:rPr>
          <w:szCs w:val="22"/>
        </w:rPr>
        <w:t xml:space="preserve">was </w:t>
      </w:r>
      <w:r w:rsidR="00A053BF" w:rsidRPr="00A841EC">
        <w:rPr>
          <w:szCs w:val="22"/>
        </w:rPr>
        <w:t>used to determine the measure case costs.</w:t>
      </w:r>
      <w:r w:rsidR="00097413" w:rsidRPr="00A841EC">
        <w:rPr>
          <w:szCs w:val="22"/>
        </w:rPr>
        <w:t xml:space="preserve"> </w:t>
      </w:r>
    </w:p>
    <w:p w14:paraId="3A193755" w14:textId="44628FA5" w:rsidR="00A053BF" w:rsidRPr="00A841EC" w:rsidRDefault="00A053BF" w:rsidP="00090AC6">
      <w:pPr>
        <w:ind w:left="720"/>
        <w:rPr>
          <w:szCs w:val="22"/>
        </w:rPr>
      </w:pPr>
      <m:oMathPara>
        <m:oMathParaPr>
          <m:jc m:val="left"/>
        </m:oMathParaPr>
        <m:oMath>
          <m:r>
            <w:rPr>
              <w:rFonts w:ascii="Cambria Math" w:hAnsi="Cambria Math"/>
              <w:sz w:val="18"/>
              <w:szCs w:val="18"/>
            </w:rPr>
            <m:t>Retail Cost=2109.6+10.914 x FE</m:t>
          </m:r>
        </m:oMath>
      </m:oMathPara>
    </w:p>
    <w:p w14:paraId="746C8DD2" w14:textId="77777777" w:rsidR="00A053BF" w:rsidRPr="00A841EC" w:rsidRDefault="00A053BF" w:rsidP="00A053BF">
      <w:pPr>
        <w:rPr>
          <w:szCs w:val="22"/>
        </w:rPr>
      </w:pPr>
    </w:p>
    <w:p w14:paraId="0389983F" w14:textId="36FCD897" w:rsidR="00A053BF" w:rsidRPr="00A841EC" w:rsidRDefault="00A053BF" w:rsidP="005A370B">
      <w:pPr>
        <w:pStyle w:val="Caption"/>
      </w:pPr>
      <w:r w:rsidRPr="00A841EC">
        <w:t>Measure Case Retail Costs</w:t>
      </w:r>
    </w:p>
    <w:tbl>
      <w:tblPr>
        <w:tblW w:w="0" w:type="auto"/>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CellMar>
          <w:left w:w="115" w:type="dxa"/>
          <w:right w:w="115" w:type="dxa"/>
        </w:tblCellMar>
        <w:tblLook w:val="04A0" w:firstRow="1" w:lastRow="0" w:firstColumn="1" w:lastColumn="0" w:noHBand="0" w:noVBand="1"/>
      </w:tblPr>
      <w:tblGrid>
        <w:gridCol w:w="2524"/>
        <w:gridCol w:w="1624"/>
        <w:gridCol w:w="1292"/>
        <w:gridCol w:w="1310"/>
      </w:tblGrid>
      <w:tr w:rsidR="00A053BF" w:rsidRPr="00A841EC" w14:paraId="7BB3B933" w14:textId="77777777" w:rsidTr="005A370B">
        <w:trPr>
          <w:cantSplit/>
          <w:trHeight w:val="20"/>
        </w:trPr>
        <w:tc>
          <w:tcPr>
            <w:tcW w:w="2524" w:type="dxa"/>
            <w:shd w:val="clear" w:color="auto" w:fill="F2F2F2" w:themeFill="background1" w:themeFillShade="F2"/>
            <w:noWrap/>
            <w:vAlign w:val="bottom"/>
            <w:hideMark/>
          </w:tcPr>
          <w:p w14:paraId="50A24C2D" w14:textId="2F088F90" w:rsidR="00A053BF" w:rsidRPr="00A841EC" w:rsidRDefault="00A053BF" w:rsidP="005A370B">
            <w:pPr>
              <w:spacing w:before="0" w:after="0" w:line="240" w:lineRule="auto"/>
              <w:jc w:val="center"/>
              <w:rPr>
                <w:b/>
                <w:sz w:val="20"/>
                <w:szCs w:val="20"/>
              </w:rPr>
            </w:pPr>
            <w:r w:rsidRPr="00A841EC">
              <w:rPr>
                <w:b/>
                <w:sz w:val="20"/>
                <w:szCs w:val="20"/>
              </w:rPr>
              <w:t>Measure</w:t>
            </w:r>
            <w:r w:rsidR="00A04BF1" w:rsidRPr="00A841EC">
              <w:rPr>
                <w:b/>
                <w:sz w:val="20"/>
                <w:szCs w:val="20"/>
              </w:rPr>
              <w:t xml:space="preserve"> </w:t>
            </w:r>
            <w:r w:rsidR="00A04BF1" w:rsidRPr="00A841EC">
              <w:rPr>
                <w:b/>
                <w:sz w:val="20"/>
                <w:szCs w:val="20"/>
              </w:rPr>
              <w:br/>
              <w:t>Application Type</w:t>
            </w:r>
          </w:p>
        </w:tc>
        <w:tc>
          <w:tcPr>
            <w:tcW w:w="1624" w:type="dxa"/>
            <w:shd w:val="clear" w:color="auto" w:fill="F2F2F2" w:themeFill="background1" w:themeFillShade="F2"/>
            <w:noWrap/>
            <w:vAlign w:val="bottom"/>
            <w:hideMark/>
          </w:tcPr>
          <w:p w14:paraId="7D514963" w14:textId="77777777" w:rsidR="00A053BF" w:rsidRPr="00A841EC" w:rsidRDefault="00A053BF" w:rsidP="005A370B">
            <w:pPr>
              <w:spacing w:before="0" w:after="0" w:line="240" w:lineRule="auto"/>
              <w:jc w:val="center"/>
              <w:rPr>
                <w:b/>
                <w:sz w:val="20"/>
                <w:szCs w:val="20"/>
              </w:rPr>
            </w:pPr>
            <w:r w:rsidRPr="00A841EC">
              <w:rPr>
                <w:b/>
                <w:sz w:val="20"/>
                <w:szCs w:val="20"/>
              </w:rPr>
              <w:t>FE Range</w:t>
            </w:r>
          </w:p>
        </w:tc>
        <w:tc>
          <w:tcPr>
            <w:tcW w:w="1292" w:type="dxa"/>
            <w:shd w:val="clear" w:color="auto" w:fill="F2F2F2" w:themeFill="background1" w:themeFillShade="F2"/>
            <w:noWrap/>
            <w:vAlign w:val="bottom"/>
            <w:hideMark/>
          </w:tcPr>
          <w:p w14:paraId="32796283" w14:textId="279F8117" w:rsidR="00A053BF" w:rsidRPr="00A841EC" w:rsidRDefault="00A053BF" w:rsidP="005A370B">
            <w:pPr>
              <w:spacing w:before="0" w:after="0" w:line="240" w:lineRule="auto"/>
              <w:jc w:val="center"/>
              <w:rPr>
                <w:b/>
                <w:sz w:val="20"/>
                <w:szCs w:val="20"/>
              </w:rPr>
            </w:pPr>
            <w:r w:rsidRPr="00A841EC">
              <w:rPr>
                <w:b/>
                <w:sz w:val="20"/>
                <w:szCs w:val="20"/>
              </w:rPr>
              <w:t xml:space="preserve">FE Used in </w:t>
            </w:r>
            <w:r w:rsidR="00A04BF1" w:rsidRPr="00A841EC">
              <w:rPr>
                <w:b/>
                <w:sz w:val="20"/>
                <w:szCs w:val="20"/>
              </w:rPr>
              <w:br/>
            </w:r>
            <w:r w:rsidRPr="00A841EC">
              <w:rPr>
                <w:b/>
                <w:sz w:val="20"/>
                <w:szCs w:val="20"/>
              </w:rPr>
              <w:t>Calculations</w:t>
            </w:r>
          </w:p>
        </w:tc>
        <w:tc>
          <w:tcPr>
            <w:tcW w:w="1310" w:type="dxa"/>
            <w:shd w:val="clear" w:color="auto" w:fill="F2F2F2" w:themeFill="background1" w:themeFillShade="F2"/>
            <w:noWrap/>
            <w:vAlign w:val="bottom"/>
            <w:hideMark/>
          </w:tcPr>
          <w:p w14:paraId="75C505B1" w14:textId="142D8582" w:rsidR="00A053BF" w:rsidRPr="00A841EC" w:rsidRDefault="00A04BF1" w:rsidP="005A370B">
            <w:pPr>
              <w:spacing w:before="0" w:after="0" w:line="240" w:lineRule="auto"/>
              <w:jc w:val="center"/>
              <w:rPr>
                <w:b/>
                <w:sz w:val="20"/>
                <w:szCs w:val="20"/>
              </w:rPr>
            </w:pPr>
            <w:r w:rsidRPr="00A841EC">
              <w:rPr>
                <w:b/>
                <w:sz w:val="20"/>
                <w:szCs w:val="22"/>
              </w:rPr>
              <w:t xml:space="preserve">Retail Cost </w:t>
            </w:r>
            <w:r w:rsidRPr="00A841EC">
              <w:rPr>
                <w:b/>
                <w:sz w:val="20"/>
                <w:szCs w:val="22"/>
              </w:rPr>
              <w:br/>
              <w:t>(2017 $)</w:t>
            </w:r>
          </w:p>
        </w:tc>
      </w:tr>
      <w:tr w:rsidR="00A04BF1" w:rsidRPr="00A841EC" w14:paraId="1F5D3BCD" w14:textId="77777777" w:rsidTr="005A370B">
        <w:trPr>
          <w:trHeight w:val="300"/>
        </w:trPr>
        <w:tc>
          <w:tcPr>
            <w:tcW w:w="2524" w:type="dxa"/>
            <w:vMerge w:val="restart"/>
            <w:noWrap/>
            <w:vAlign w:val="center"/>
            <w:hideMark/>
          </w:tcPr>
          <w:p w14:paraId="38D4CC2B" w14:textId="31679A87" w:rsidR="00A04BF1" w:rsidRPr="00A841EC" w:rsidRDefault="00A04BF1" w:rsidP="005A370B">
            <w:pPr>
              <w:spacing w:before="0" w:after="0" w:line="240" w:lineRule="auto"/>
              <w:rPr>
                <w:sz w:val="20"/>
                <w:szCs w:val="20"/>
              </w:rPr>
            </w:pPr>
            <w:r w:rsidRPr="00A841EC">
              <w:rPr>
                <w:sz w:val="20"/>
                <w:szCs w:val="22"/>
              </w:rPr>
              <w:t xml:space="preserve">NR and NC </w:t>
            </w:r>
          </w:p>
        </w:tc>
        <w:tc>
          <w:tcPr>
            <w:tcW w:w="1624" w:type="dxa"/>
            <w:noWrap/>
            <w:hideMark/>
          </w:tcPr>
          <w:p w14:paraId="56A9642A" w14:textId="77777777" w:rsidR="00A04BF1" w:rsidRPr="00A841EC" w:rsidRDefault="00A04BF1" w:rsidP="005A370B">
            <w:pPr>
              <w:spacing w:before="0" w:after="0" w:line="240" w:lineRule="auto"/>
              <w:jc w:val="center"/>
              <w:rPr>
                <w:sz w:val="20"/>
                <w:szCs w:val="20"/>
              </w:rPr>
            </w:pPr>
            <w:r w:rsidRPr="00A841EC">
              <w:rPr>
                <w:sz w:val="20"/>
                <w:szCs w:val="20"/>
              </w:rPr>
              <w:t>≥70% and &lt;75%</w:t>
            </w:r>
          </w:p>
        </w:tc>
        <w:tc>
          <w:tcPr>
            <w:tcW w:w="1292" w:type="dxa"/>
            <w:noWrap/>
            <w:vAlign w:val="center"/>
            <w:hideMark/>
          </w:tcPr>
          <w:p w14:paraId="3B74713B" w14:textId="77777777" w:rsidR="00A04BF1" w:rsidRPr="00A841EC" w:rsidRDefault="00A04BF1" w:rsidP="005A370B">
            <w:pPr>
              <w:spacing w:before="0" w:after="0" w:line="240" w:lineRule="auto"/>
              <w:jc w:val="center"/>
              <w:rPr>
                <w:sz w:val="20"/>
                <w:szCs w:val="20"/>
              </w:rPr>
            </w:pPr>
            <w:r w:rsidRPr="00A841EC">
              <w:rPr>
                <w:sz w:val="20"/>
                <w:szCs w:val="20"/>
              </w:rPr>
              <w:t>72.1%</w:t>
            </w:r>
          </w:p>
        </w:tc>
        <w:tc>
          <w:tcPr>
            <w:tcW w:w="1310" w:type="dxa"/>
            <w:vAlign w:val="center"/>
            <w:hideMark/>
          </w:tcPr>
          <w:p w14:paraId="7D28B354" w14:textId="77777777" w:rsidR="00A04BF1" w:rsidRPr="00A841EC" w:rsidRDefault="00A04BF1" w:rsidP="005A370B">
            <w:pPr>
              <w:spacing w:before="0" w:after="0" w:line="240" w:lineRule="auto"/>
              <w:jc w:val="center"/>
              <w:rPr>
                <w:sz w:val="20"/>
                <w:szCs w:val="20"/>
              </w:rPr>
            </w:pPr>
            <w:r w:rsidRPr="00A841EC">
              <w:rPr>
                <w:sz w:val="20"/>
                <w:szCs w:val="20"/>
              </w:rPr>
              <w:t>$    2,897</w:t>
            </w:r>
          </w:p>
        </w:tc>
      </w:tr>
      <w:tr w:rsidR="00A04BF1" w:rsidRPr="00A841EC" w14:paraId="40934FE9" w14:textId="77777777" w:rsidTr="005A370B">
        <w:trPr>
          <w:trHeight w:val="300"/>
        </w:trPr>
        <w:tc>
          <w:tcPr>
            <w:tcW w:w="2524" w:type="dxa"/>
            <w:vMerge/>
            <w:vAlign w:val="center"/>
            <w:hideMark/>
          </w:tcPr>
          <w:p w14:paraId="56CBE55D" w14:textId="77777777" w:rsidR="00A04BF1" w:rsidRPr="00A841EC" w:rsidRDefault="00A04BF1" w:rsidP="003F7CD4">
            <w:pPr>
              <w:spacing w:before="0" w:after="0" w:line="240" w:lineRule="auto"/>
              <w:rPr>
                <w:sz w:val="20"/>
                <w:szCs w:val="20"/>
              </w:rPr>
            </w:pPr>
          </w:p>
        </w:tc>
        <w:tc>
          <w:tcPr>
            <w:tcW w:w="1624" w:type="dxa"/>
            <w:noWrap/>
            <w:hideMark/>
          </w:tcPr>
          <w:p w14:paraId="672AFBF9" w14:textId="77777777" w:rsidR="00A04BF1" w:rsidRPr="00A841EC" w:rsidRDefault="00A04BF1" w:rsidP="005A370B">
            <w:pPr>
              <w:spacing w:before="0" w:after="0" w:line="240" w:lineRule="auto"/>
              <w:jc w:val="center"/>
              <w:rPr>
                <w:sz w:val="20"/>
                <w:szCs w:val="20"/>
              </w:rPr>
            </w:pPr>
            <w:r w:rsidRPr="00A841EC">
              <w:rPr>
                <w:sz w:val="20"/>
                <w:szCs w:val="20"/>
              </w:rPr>
              <w:t>≥75%</w:t>
            </w:r>
          </w:p>
        </w:tc>
        <w:tc>
          <w:tcPr>
            <w:tcW w:w="1292" w:type="dxa"/>
            <w:noWrap/>
            <w:vAlign w:val="center"/>
            <w:hideMark/>
          </w:tcPr>
          <w:p w14:paraId="77115B77" w14:textId="77777777" w:rsidR="00A04BF1" w:rsidRPr="00A841EC" w:rsidRDefault="00A04BF1" w:rsidP="005A370B">
            <w:pPr>
              <w:spacing w:before="0" w:after="0" w:line="240" w:lineRule="auto"/>
              <w:jc w:val="center"/>
              <w:rPr>
                <w:sz w:val="20"/>
                <w:szCs w:val="20"/>
              </w:rPr>
            </w:pPr>
            <w:r w:rsidRPr="00A841EC">
              <w:rPr>
                <w:sz w:val="20"/>
                <w:szCs w:val="20"/>
              </w:rPr>
              <w:t>79.1%</w:t>
            </w:r>
          </w:p>
        </w:tc>
        <w:tc>
          <w:tcPr>
            <w:tcW w:w="1310" w:type="dxa"/>
            <w:vAlign w:val="center"/>
            <w:hideMark/>
          </w:tcPr>
          <w:p w14:paraId="6FEEE687" w14:textId="77777777" w:rsidR="00A04BF1" w:rsidRPr="00A841EC" w:rsidRDefault="00A04BF1" w:rsidP="005A370B">
            <w:pPr>
              <w:spacing w:before="0" w:after="0" w:line="240" w:lineRule="auto"/>
              <w:jc w:val="center"/>
              <w:rPr>
                <w:sz w:val="20"/>
                <w:szCs w:val="20"/>
              </w:rPr>
            </w:pPr>
            <w:r w:rsidRPr="00A841EC">
              <w:rPr>
                <w:sz w:val="20"/>
                <w:szCs w:val="20"/>
              </w:rPr>
              <w:t>$    2,973</w:t>
            </w:r>
          </w:p>
        </w:tc>
      </w:tr>
      <w:tr w:rsidR="00A04BF1" w:rsidRPr="00A841EC" w14:paraId="217D5FBF" w14:textId="77777777" w:rsidTr="005A370B">
        <w:trPr>
          <w:trHeight w:val="300"/>
        </w:trPr>
        <w:tc>
          <w:tcPr>
            <w:tcW w:w="2524" w:type="dxa"/>
            <w:vMerge w:val="restart"/>
            <w:noWrap/>
            <w:vAlign w:val="center"/>
            <w:hideMark/>
          </w:tcPr>
          <w:p w14:paraId="6E6D7934" w14:textId="6E9FFFC3" w:rsidR="00A04BF1" w:rsidRPr="00A841EC" w:rsidRDefault="002B521B" w:rsidP="005A370B">
            <w:pPr>
              <w:spacing w:before="0" w:after="0" w:line="240" w:lineRule="auto"/>
              <w:rPr>
                <w:sz w:val="20"/>
                <w:szCs w:val="20"/>
              </w:rPr>
            </w:pPr>
            <w:r w:rsidRPr="00A841EC">
              <w:rPr>
                <w:sz w:val="20"/>
                <w:szCs w:val="22"/>
              </w:rPr>
              <w:t>AR</w:t>
            </w:r>
          </w:p>
        </w:tc>
        <w:tc>
          <w:tcPr>
            <w:tcW w:w="1624" w:type="dxa"/>
            <w:noWrap/>
            <w:hideMark/>
          </w:tcPr>
          <w:p w14:paraId="78CFBEBE" w14:textId="77777777" w:rsidR="00A04BF1" w:rsidRPr="00A841EC" w:rsidRDefault="00A04BF1" w:rsidP="005A370B">
            <w:pPr>
              <w:spacing w:before="0" w:after="0" w:line="240" w:lineRule="auto"/>
              <w:jc w:val="center"/>
              <w:rPr>
                <w:sz w:val="20"/>
                <w:szCs w:val="20"/>
              </w:rPr>
            </w:pPr>
            <w:r w:rsidRPr="00A841EC">
              <w:rPr>
                <w:sz w:val="20"/>
                <w:szCs w:val="20"/>
              </w:rPr>
              <w:t>≥70% and &lt;75%</w:t>
            </w:r>
          </w:p>
        </w:tc>
        <w:tc>
          <w:tcPr>
            <w:tcW w:w="1292" w:type="dxa"/>
            <w:noWrap/>
            <w:vAlign w:val="center"/>
            <w:hideMark/>
          </w:tcPr>
          <w:p w14:paraId="54D56CCB" w14:textId="77777777" w:rsidR="00A04BF1" w:rsidRPr="00A841EC" w:rsidRDefault="00A04BF1" w:rsidP="005A370B">
            <w:pPr>
              <w:spacing w:before="0" w:after="0" w:line="240" w:lineRule="auto"/>
              <w:jc w:val="center"/>
              <w:rPr>
                <w:sz w:val="20"/>
                <w:szCs w:val="20"/>
              </w:rPr>
            </w:pPr>
            <w:r w:rsidRPr="00A841EC">
              <w:rPr>
                <w:sz w:val="20"/>
                <w:szCs w:val="20"/>
              </w:rPr>
              <w:t>72.1%</w:t>
            </w:r>
          </w:p>
        </w:tc>
        <w:tc>
          <w:tcPr>
            <w:tcW w:w="1310" w:type="dxa"/>
            <w:vAlign w:val="center"/>
            <w:hideMark/>
          </w:tcPr>
          <w:p w14:paraId="1ABB85A2" w14:textId="77777777" w:rsidR="00A04BF1" w:rsidRPr="00A841EC" w:rsidRDefault="00A04BF1" w:rsidP="005A370B">
            <w:pPr>
              <w:spacing w:before="0" w:after="0" w:line="240" w:lineRule="auto"/>
              <w:jc w:val="center"/>
              <w:rPr>
                <w:sz w:val="20"/>
                <w:szCs w:val="20"/>
              </w:rPr>
            </w:pPr>
            <w:r w:rsidRPr="00A841EC">
              <w:rPr>
                <w:sz w:val="20"/>
                <w:szCs w:val="20"/>
              </w:rPr>
              <w:t>$    2,897</w:t>
            </w:r>
          </w:p>
        </w:tc>
      </w:tr>
      <w:tr w:rsidR="00A053BF" w:rsidRPr="00A841EC" w14:paraId="4E0C4CFE" w14:textId="77777777" w:rsidTr="005A370B">
        <w:trPr>
          <w:trHeight w:val="300"/>
        </w:trPr>
        <w:tc>
          <w:tcPr>
            <w:tcW w:w="2524" w:type="dxa"/>
            <w:vMerge/>
            <w:vAlign w:val="center"/>
            <w:hideMark/>
          </w:tcPr>
          <w:p w14:paraId="61CEDE7A" w14:textId="77777777" w:rsidR="00A053BF" w:rsidRPr="00A841EC" w:rsidRDefault="00A053BF" w:rsidP="003F7CD4">
            <w:pPr>
              <w:spacing w:before="0" w:after="0" w:line="240" w:lineRule="auto"/>
              <w:jc w:val="center"/>
              <w:rPr>
                <w:sz w:val="20"/>
                <w:szCs w:val="20"/>
              </w:rPr>
            </w:pPr>
          </w:p>
        </w:tc>
        <w:tc>
          <w:tcPr>
            <w:tcW w:w="1624" w:type="dxa"/>
            <w:noWrap/>
            <w:hideMark/>
          </w:tcPr>
          <w:p w14:paraId="5839E215" w14:textId="77777777" w:rsidR="00A053BF" w:rsidRPr="00A841EC" w:rsidRDefault="00A053BF" w:rsidP="003F7CD4">
            <w:pPr>
              <w:spacing w:before="0" w:after="0" w:line="240" w:lineRule="auto"/>
              <w:jc w:val="center"/>
              <w:rPr>
                <w:sz w:val="20"/>
                <w:szCs w:val="20"/>
              </w:rPr>
            </w:pPr>
            <w:r w:rsidRPr="00A841EC">
              <w:rPr>
                <w:sz w:val="20"/>
                <w:szCs w:val="20"/>
              </w:rPr>
              <w:t>≥75%</w:t>
            </w:r>
          </w:p>
        </w:tc>
        <w:tc>
          <w:tcPr>
            <w:tcW w:w="1292" w:type="dxa"/>
            <w:noWrap/>
            <w:vAlign w:val="center"/>
            <w:hideMark/>
          </w:tcPr>
          <w:p w14:paraId="3FA331D2" w14:textId="77777777" w:rsidR="00A053BF" w:rsidRPr="00A841EC" w:rsidRDefault="00A053BF" w:rsidP="003F7CD4">
            <w:pPr>
              <w:spacing w:before="0" w:after="0" w:line="240" w:lineRule="auto"/>
              <w:jc w:val="center"/>
              <w:rPr>
                <w:sz w:val="20"/>
                <w:szCs w:val="20"/>
              </w:rPr>
            </w:pPr>
            <w:r w:rsidRPr="00A841EC">
              <w:rPr>
                <w:sz w:val="20"/>
                <w:szCs w:val="20"/>
              </w:rPr>
              <w:t>79.1%</w:t>
            </w:r>
          </w:p>
        </w:tc>
        <w:tc>
          <w:tcPr>
            <w:tcW w:w="1310" w:type="dxa"/>
            <w:vAlign w:val="center"/>
            <w:hideMark/>
          </w:tcPr>
          <w:p w14:paraId="72BB183B" w14:textId="77777777" w:rsidR="00A053BF" w:rsidRPr="00A841EC" w:rsidRDefault="00A053BF" w:rsidP="003F7CD4">
            <w:pPr>
              <w:spacing w:before="0" w:after="0" w:line="240" w:lineRule="auto"/>
              <w:jc w:val="center"/>
              <w:rPr>
                <w:sz w:val="20"/>
                <w:szCs w:val="20"/>
              </w:rPr>
            </w:pPr>
            <w:r w:rsidRPr="00A841EC">
              <w:rPr>
                <w:sz w:val="20"/>
                <w:szCs w:val="20"/>
              </w:rPr>
              <w:t>$    2,973</w:t>
            </w:r>
          </w:p>
        </w:tc>
      </w:tr>
    </w:tbl>
    <w:p w14:paraId="05EB3C8C" w14:textId="77777777" w:rsidR="00425FAA" w:rsidRPr="00A841EC" w:rsidRDefault="00425FAA" w:rsidP="004142EF"/>
    <w:p w14:paraId="02691007" w14:textId="3C007D4F" w:rsidR="007D230B" w:rsidRPr="00A841EC" w:rsidRDefault="002E5874" w:rsidP="007E3A1D">
      <w:pPr>
        <w:pStyle w:val="eTRMHeading3"/>
      </w:pPr>
      <w:bookmarkStart w:id="56" w:name="_Toc486490862"/>
      <w:bookmarkStart w:id="57" w:name="_Toc486580933"/>
      <w:bookmarkStart w:id="58" w:name="_Toc23836607"/>
      <w:r w:rsidRPr="00A841EC">
        <w:t xml:space="preserve">Base Case </w:t>
      </w:r>
      <w:r w:rsidR="007D230B" w:rsidRPr="00A841EC">
        <w:t>Labor Cost ($/unit)</w:t>
      </w:r>
      <w:bookmarkEnd w:id="56"/>
      <w:bookmarkEnd w:id="57"/>
      <w:bookmarkEnd w:id="58"/>
    </w:p>
    <w:p w14:paraId="34B31707" w14:textId="0B23CA10" w:rsidR="001F57FE" w:rsidRPr="00A841EC" w:rsidRDefault="002B521B" w:rsidP="001F57FE">
      <w:pPr>
        <w:rPr>
          <w:szCs w:val="22"/>
        </w:rPr>
      </w:pPr>
      <w:r w:rsidRPr="00A841EC">
        <w:rPr>
          <w:szCs w:val="22"/>
        </w:rPr>
        <w:t>The U.S. Department of Energy (</w:t>
      </w:r>
      <w:r w:rsidR="001F57FE" w:rsidRPr="00A841EC">
        <w:rPr>
          <w:szCs w:val="22"/>
        </w:rPr>
        <w:t>DOE</w:t>
      </w:r>
      <w:r w:rsidRPr="00A841EC">
        <w:rPr>
          <w:szCs w:val="22"/>
        </w:rPr>
        <w:t>)</w:t>
      </w:r>
      <w:r w:rsidR="001F57FE" w:rsidRPr="00A841EC">
        <w:rPr>
          <w:szCs w:val="22"/>
        </w:rPr>
        <w:t xml:space="preserve"> and </w:t>
      </w:r>
      <w:r w:rsidRPr="00A841EC">
        <w:rPr>
          <w:szCs w:val="22"/>
        </w:rPr>
        <w:t>the Energy Trust of Oregon (</w:t>
      </w:r>
      <w:r w:rsidR="001F57FE" w:rsidRPr="00A841EC">
        <w:rPr>
          <w:szCs w:val="22"/>
        </w:rPr>
        <w:t>ETO</w:t>
      </w:r>
      <w:r w:rsidRPr="00A841EC">
        <w:rPr>
          <w:szCs w:val="22"/>
        </w:rPr>
        <w:t>)</w:t>
      </w:r>
      <w:r w:rsidR="001F57FE" w:rsidRPr="00A841EC">
        <w:rPr>
          <w:szCs w:val="22"/>
        </w:rPr>
        <w:t xml:space="preserve"> publish </w:t>
      </w:r>
      <w:r w:rsidRPr="00A841EC">
        <w:rPr>
          <w:szCs w:val="22"/>
        </w:rPr>
        <w:t xml:space="preserve">labor </w:t>
      </w:r>
      <w:r w:rsidR="001F57FE" w:rsidRPr="00A841EC">
        <w:rPr>
          <w:szCs w:val="22"/>
        </w:rPr>
        <w:t>installation cost data.</w:t>
      </w:r>
      <w:r w:rsidR="005A370B" w:rsidRPr="00A841EC">
        <w:rPr>
          <w:rStyle w:val="FootnoteReference"/>
        </w:rPr>
        <w:t xml:space="preserve"> </w:t>
      </w:r>
      <w:r w:rsidR="005A370B" w:rsidRPr="00A841EC">
        <w:rPr>
          <w:rStyle w:val="FootnoteReference"/>
        </w:rPr>
        <w:footnoteReference w:id="28"/>
      </w:r>
      <w:r w:rsidR="005A370B" w:rsidRPr="00A841EC">
        <w:t xml:space="preserve"> </w:t>
      </w:r>
      <w:r w:rsidR="001F57FE" w:rsidRPr="00A841EC">
        <w:rPr>
          <w:szCs w:val="22"/>
        </w:rPr>
        <w:t xml:space="preserve"> DOE states that the installation of fireplaces using CPL and IPL technology will cost $622 and $790, respectively. ETO states that the average installation cost for fireplaces is $920. This workpaper uses the ETO values because it is more representative of the western US (DOE uses national average values in its calculations</w:t>
      </w:r>
      <w:r w:rsidR="008D4D5B" w:rsidRPr="00A841EC">
        <w:rPr>
          <w:szCs w:val="22"/>
        </w:rPr>
        <w:t>),</w:t>
      </w:r>
      <w:r w:rsidR="001F57FE" w:rsidRPr="00A841EC">
        <w:rPr>
          <w:szCs w:val="22"/>
        </w:rPr>
        <w:t xml:space="preserve"> and it is more recently published.</w:t>
      </w:r>
    </w:p>
    <w:p w14:paraId="69908D4D" w14:textId="49955931" w:rsidR="001F57FE" w:rsidRPr="00A841EC" w:rsidRDefault="001F57FE" w:rsidP="005A370B">
      <w:pPr>
        <w:pStyle w:val="Caption"/>
      </w:pPr>
      <w:r w:rsidRPr="00A841EC">
        <w:t>Base Case Installation Costs</w:t>
      </w:r>
    </w:p>
    <w:tbl>
      <w:tblPr>
        <w:tblW w:w="7052"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2310"/>
        <w:gridCol w:w="2432"/>
        <w:gridCol w:w="2310"/>
      </w:tblGrid>
      <w:tr w:rsidR="001F57FE" w:rsidRPr="00A841EC" w14:paraId="26F75EBD" w14:textId="77777777" w:rsidTr="005A370B">
        <w:trPr>
          <w:trHeight w:val="20"/>
        </w:trPr>
        <w:tc>
          <w:tcPr>
            <w:tcW w:w="2310" w:type="dxa"/>
            <w:shd w:val="clear" w:color="auto" w:fill="F2F2F2" w:themeFill="background1" w:themeFillShade="F2"/>
            <w:noWrap/>
            <w:vAlign w:val="center"/>
            <w:hideMark/>
          </w:tcPr>
          <w:p w14:paraId="6989ACB2" w14:textId="77777777" w:rsidR="001F57FE" w:rsidRPr="00A841EC" w:rsidRDefault="001F57FE" w:rsidP="005A370B">
            <w:pPr>
              <w:spacing w:before="0" w:after="0" w:line="240" w:lineRule="auto"/>
              <w:jc w:val="center"/>
              <w:rPr>
                <w:b/>
                <w:sz w:val="20"/>
                <w:szCs w:val="20"/>
              </w:rPr>
            </w:pPr>
            <w:r w:rsidRPr="00A841EC">
              <w:rPr>
                <w:b/>
                <w:sz w:val="20"/>
                <w:szCs w:val="20"/>
              </w:rPr>
              <w:t>Measure</w:t>
            </w:r>
          </w:p>
        </w:tc>
        <w:tc>
          <w:tcPr>
            <w:tcW w:w="2432" w:type="dxa"/>
            <w:shd w:val="clear" w:color="auto" w:fill="F2F2F2" w:themeFill="background1" w:themeFillShade="F2"/>
            <w:noWrap/>
            <w:vAlign w:val="center"/>
            <w:hideMark/>
          </w:tcPr>
          <w:p w14:paraId="61B30DD1" w14:textId="018B8811" w:rsidR="001F57FE" w:rsidRPr="00A841EC" w:rsidRDefault="001F57FE" w:rsidP="005A370B">
            <w:pPr>
              <w:spacing w:before="0" w:after="0" w:line="240" w:lineRule="auto"/>
              <w:jc w:val="center"/>
              <w:rPr>
                <w:b/>
                <w:sz w:val="20"/>
                <w:szCs w:val="20"/>
              </w:rPr>
            </w:pPr>
            <w:r w:rsidRPr="00A841EC">
              <w:rPr>
                <w:b/>
                <w:sz w:val="20"/>
                <w:szCs w:val="20"/>
              </w:rPr>
              <w:t xml:space="preserve">Assumed </w:t>
            </w:r>
            <w:r w:rsidR="002B521B" w:rsidRPr="00A841EC">
              <w:rPr>
                <w:b/>
                <w:sz w:val="20"/>
                <w:szCs w:val="20"/>
              </w:rPr>
              <w:br/>
            </w:r>
            <w:r w:rsidRPr="00A841EC">
              <w:rPr>
                <w:b/>
                <w:sz w:val="20"/>
                <w:szCs w:val="20"/>
              </w:rPr>
              <w:t>Baseline FE</w:t>
            </w:r>
            <w:r w:rsidR="002B521B" w:rsidRPr="00A841EC">
              <w:rPr>
                <w:b/>
                <w:sz w:val="20"/>
                <w:szCs w:val="20"/>
              </w:rPr>
              <w:t xml:space="preserve"> (</w:t>
            </w:r>
            <w:r w:rsidRPr="00A841EC">
              <w:rPr>
                <w:b/>
                <w:sz w:val="20"/>
                <w:szCs w:val="20"/>
              </w:rPr>
              <w:t>%</w:t>
            </w:r>
            <w:r w:rsidR="002B521B" w:rsidRPr="00A841EC">
              <w:rPr>
                <w:b/>
                <w:sz w:val="20"/>
                <w:szCs w:val="20"/>
              </w:rPr>
              <w:t>)</w:t>
            </w:r>
          </w:p>
        </w:tc>
        <w:tc>
          <w:tcPr>
            <w:tcW w:w="2310" w:type="dxa"/>
            <w:shd w:val="clear" w:color="auto" w:fill="F2F2F2" w:themeFill="background1" w:themeFillShade="F2"/>
            <w:vAlign w:val="center"/>
            <w:hideMark/>
          </w:tcPr>
          <w:p w14:paraId="230236A7" w14:textId="60EFB0CB" w:rsidR="001F57FE" w:rsidRPr="00A841EC" w:rsidRDefault="001F57FE" w:rsidP="005A370B">
            <w:pPr>
              <w:spacing w:before="0" w:after="0" w:line="240" w:lineRule="auto"/>
              <w:jc w:val="center"/>
              <w:rPr>
                <w:b/>
                <w:sz w:val="20"/>
                <w:szCs w:val="20"/>
              </w:rPr>
            </w:pPr>
            <w:r w:rsidRPr="00A841EC">
              <w:rPr>
                <w:b/>
                <w:sz w:val="20"/>
                <w:szCs w:val="20"/>
              </w:rPr>
              <w:t xml:space="preserve">Installation </w:t>
            </w:r>
            <w:r w:rsidR="002B521B" w:rsidRPr="00A841EC">
              <w:rPr>
                <w:b/>
                <w:sz w:val="20"/>
                <w:szCs w:val="20"/>
              </w:rPr>
              <w:br/>
            </w:r>
            <w:r w:rsidRPr="00A841EC">
              <w:rPr>
                <w:b/>
                <w:sz w:val="20"/>
                <w:szCs w:val="20"/>
              </w:rPr>
              <w:t>Cost</w:t>
            </w:r>
            <w:r w:rsidR="002B521B" w:rsidRPr="00A841EC">
              <w:rPr>
                <w:b/>
                <w:sz w:val="20"/>
                <w:szCs w:val="20"/>
              </w:rPr>
              <w:t xml:space="preserve"> (</w:t>
            </w:r>
            <w:r w:rsidRPr="00A841EC">
              <w:rPr>
                <w:b/>
                <w:sz w:val="20"/>
                <w:szCs w:val="20"/>
              </w:rPr>
              <w:t>2017</w:t>
            </w:r>
            <w:r w:rsidR="002B521B" w:rsidRPr="00A841EC">
              <w:rPr>
                <w:b/>
                <w:sz w:val="20"/>
                <w:szCs w:val="20"/>
              </w:rPr>
              <w:t xml:space="preserve"> </w:t>
            </w:r>
            <w:r w:rsidRPr="00A841EC">
              <w:rPr>
                <w:b/>
                <w:sz w:val="20"/>
                <w:szCs w:val="20"/>
              </w:rPr>
              <w:t>$</w:t>
            </w:r>
            <w:r w:rsidR="002B521B" w:rsidRPr="00A841EC">
              <w:rPr>
                <w:b/>
                <w:sz w:val="20"/>
                <w:szCs w:val="20"/>
              </w:rPr>
              <w:t>)</w:t>
            </w:r>
          </w:p>
        </w:tc>
      </w:tr>
      <w:tr w:rsidR="002B521B" w:rsidRPr="00A841EC" w14:paraId="34AA04CA" w14:textId="77777777" w:rsidTr="005A370B">
        <w:trPr>
          <w:trHeight w:val="20"/>
        </w:trPr>
        <w:tc>
          <w:tcPr>
            <w:tcW w:w="2310" w:type="dxa"/>
            <w:noWrap/>
            <w:vAlign w:val="center"/>
            <w:hideMark/>
          </w:tcPr>
          <w:p w14:paraId="7AFA49BB" w14:textId="665E3390" w:rsidR="002B521B" w:rsidRPr="00A841EC" w:rsidRDefault="002B521B" w:rsidP="005A370B">
            <w:pPr>
              <w:spacing w:before="0" w:after="0" w:line="240" w:lineRule="auto"/>
              <w:rPr>
                <w:sz w:val="20"/>
                <w:szCs w:val="20"/>
              </w:rPr>
            </w:pPr>
            <w:r w:rsidRPr="00A841EC">
              <w:rPr>
                <w:sz w:val="20"/>
                <w:szCs w:val="20"/>
              </w:rPr>
              <w:lastRenderedPageBreak/>
              <w:t xml:space="preserve">NR and NC </w:t>
            </w:r>
          </w:p>
        </w:tc>
        <w:tc>
          <w:tcPr>
            <w:tcW w:w="2432" w:type="dxa"/>
            <w:noWrap/>
            <w:vAlign w:val="center"/>
            <w:hideMark/>
          </w:tcPr>
          <w:p w14:paraId="6EEB794D" w14:textId="77777777" w:rsidR="002B521B" w:rsidRPr="00A841EC" w:rsidRDefault="002B521B" w:rsidP="005A370B">
            <w:pPr>
              <w:spacing w:before="0" w:after="0" w:line="240" w:lineRule="auto"/>
              <w:jc w:val="center"/>
              <w:rPr>
                <w:sz w:val="20"/>
                <w:szCs w:val="20"/>
              </w:rPr>
            </w:pPr>
            <w:r w:rsidRPr="00A841EC">
              <w:rPr>
                <w:sz w:val="20"/>
                <w:szCs w:val="20"/>
              </w:rPr>
              <w:t>64.6</w:t>
            </w:r>
          </w:p>
        </w:tc>
        <w:tc>
          <w:tcPr>
            <w:tcW w:w="2310" w:type="dxa"/>
            <w:vAlign w:val="center"/>
            <w:hideMark/>
          </w:tcPr>
          <w:p w14:paraId="4B271052" w14:textId="77777777" w:rsidR="002B521B" w:rsidRPr="00A841EC" w:rsidRDefault="002B521B" w:rsidP="005A370B">
            <w:pPr>
              <w:spacing w:before="0" w:after="0" w:line="240" w:lineRule="auto"/>
              <w:jc w:val="center"/>
              <w:rPr>
                <w:sz w:val="20"/>
                <w:szCs w:val="20"/>
              </w:rPr>
            </w:pPr>
            <w:r w:rsidRPr="00A841EC">
              <w:rPr>
                <w:sz w:val="20"/>
                <w:szCs w:val="20"/>
              </w:rPr>
              <w:t>$        976</w:t>
            </w:r>
          </w:p>
        </w:tc>
      </w:tr>
      <w:tr w:rsidR="002B521B" w:rsidRPr="00A841EC" w14:paraId="06116A91" w14:textId="77777777" w:rsidTr="005A370B">
        <w:trPr>
          <w:trHeight w:val="20"/>
        </w:trPr>
        <w:tc>
          <w:tcPr>
            <w:tcW w:w="2310" w:type="dxa"/>
            <w:noWrap/>
            <w:vAlign w:val="center"/>
            <w:hideMark/>
          </w:tcPr>
          <w:p w14:paraId="79867B8B" w14:textId="77777777" w:rsidR="002B521B" w:rsidRPr="00A841EC" w:rsidRDefault="002B521B" w:rsidP="005A370B">
            <w:pPr>
              <w:spacing w:before="0" w:after="0" w:line="240" w:lineRule="auto"/>
              <w:rPr>
                <w:sz w:val="20"/>
                <w:szCs w:val="20"/>
              </w:rPr>
            </w:pPr>
            <w:r w:rsidRPr="00A841EC">
              <w:rPr>
                <w:sz w:val="20"/>
                <w:szCs w:val="20"/>
              </w:rPr>
              <w:t>AR</w:t>
            </w:r>
          </w:p>
        </w:tc>
        <w:tc>
          <w:tcPr>
            <w:tcW w:w="2432" w:type="dxa"/>
            <w:noWrap/>
            <w:vAlign w:val="center"/>
            <w:hideMark/>
          </w:tcPr>
          <w:p w14:paraId="373E6C3F" w14:textId="77777777" w:rsidR="002B521B" w:rsidRPr="00A841EC" w:rsidRDefault="002B521B" w:rsidP="005A370B">
            <w:pPr>
              <w:spacing w:before="0" w:after="0" w:line="240" w:lineRule="auto"/>
              <w:jc w:val="center"/>
              <w:rPr>
                <w:sz w:val="20"/>
                <w:szCs w:val="20"/>
              </w:rPr>
            </w:pPr>
            <w:r w:rsidRPr="00A841EC">
              <w:rPr>
                <w:sz w:val="20"/>
                <w:szCs w:val="20"/>
              </w:rPr>
              <w:t>60.8</w:t>
            </w:r>
          </w:p>
        </w:tc>
        <w:tc>
          <w:tcPr>
            <w:tcW w:w="2310" w:type="dxa"/>
            <w:vAlign w:val="center"/>
            <w:hideMark/>
          </w:tcPr>
          <w:p w14:paraId="4AA06361" w14:textId="77777777" w:rsidR="002B521B" w:rsidRPr="00A841EC" w:rsidRDefault="002B521B" w:rsidP="005A370B">
            <w:pPr>
              <w:spacing w:before="0" w:after="0" w:line="240" w:lineRule="auto"/>
              <w:jc w:val="center"/>
              <w:rPr>
                <w:sz w:val="20"/>
                <w:szCs w:val="20"/>
              </w:rPr>
            </w:pPr>
            <w:r w:rsidRPr="00A841EC">
              <w:rPr>
                <w:sz w:val="20"/>
                <w:szCs w:val="20"/>
              </w:rPr>
              <w:t>$        976</w:t>
            </w:r>
          </w:p>
        </w:tc>
      </w:tr>
    </w:tbl>
    <w:p w14:paraId="0CB762B3" w14:textId="77777777" w:rsidR="002E5874" w:rsidRPr="00A841EC" w:rsidRDefault="002E5874" w:rsidP="002E5874"/>
    <w:p w14:paraId="5E89BC5E" w14:textId="22B628A3" w:rsidR="002E5874" w:rsidRPr="00A841EC" w:rsidRDefault="002E5874" w:rsidP="007E3A1D">
      <w:pPr>
        <w:pStyle w:val="eTRMHeading3"/>
      </w:pPr>
      <w:bookmarkStart w:id="59" w:name="_Toc23836608"/>
      <w:r w:rsidRPr="00A841EC">
        <w:t>Measure Case Labor Cost ($/unit)</w:t>
      </w:r>
      <w:bookmarkEnd w:id="59"/>
    </w:p>
    <w:p w14:paraId="11A0A590" w14:textId="0C90FED1" w:rsidR="00A053BF" w:rsidRPr="00A841EC" w:rsidRDefault="00A053BF" w:rsidP="00A053BF">
      <w:pPr>
        <w:spacing w:before="0" w:after="0" w:line="240" w:lineRule="auto"/>
        <w:rPr>
          <w:szCs w:val="22"/>
        </w:rPr>
      </w:pPr>
      <w:r w:rsidRPr="00A841EC">
        <w:rPr>
          <w:szCs w:val="22"/>
        </w:rPr>
        <w:t xml:space="preserve">Measure </w:t>
      </w:r>
      <w:r w:rsidR="006F20B0" w:rsidRPr="00A841EC">
        <w:rPr>
          <w:szCs w:val="22"/>
        </w:rPr>
        <w:t xml:space="preserve">case </w:t>
      </w:r>
      <w:r w:rsidRPr="00A841EC">
        <w:rPr>
          <w:szCs w:val="22"/>
        </w:rPr>
        <w:t xml:space="preserve">labor </w:t>
      </w:r>
      <w:r w:rsidR="006F20B0" w:rsidRPr="00A841EC">
        <w:rPr>
          <w:szCs w:val="22"/>
        </w:rPr>
        <w:t xml:space="preserve">installation </w:t>
      </w:r>
      <w:r w:rsidRPr="00A841EC">
        <w:rPr>
          <w:szCs w:val="22"/>
        </w:rPr>
        <w:t xml:space="preserve">costs are the costs to install </w:t>
      </w:r>
      <w:r w:rsidR="006F20B0" w:rsidRPr="00A841EC">
        <w:rPr>
          <w:szCs w:val="22"/>
        </w:rPr>
        <w:t>a gas fireplace</w:t>
      </w:r>
      <w:r w:rsidRPr="00A841EC">
        <w:rPr>
          <w:szCs w:val="22"/>
        </w:rPr>
        <w:t xml:space="preserve"> and are</w:t>
      </w:r>
      <w:r w:rsidR="006F20B0" w:rsidRPr="00A841EC">
        <w:rPr>
          <w:szCs w:val="22"/>
        </w:rPr>
        <w:t xml:space="preserve"> assumed to be</w:t>
      </w:r>
      <w:r w:rsidRPr="00A841EC">
        <w:rPr>
          <w:szCs w:val="22"/>
        </w:rPr>
        <w:t xml:space="preserve"> the same for both the baseline and the </w:t>
      </w:r>
      <w:r w:rsidR="006F20B0" w:rsidRPr="00A841EC">
        <w:rPr>
          <w:szCs w:val="22"/>
        </w:rPr>
        <w:t>measure case</w:t>
      </w:r>
      <w:r w:rsidRPr="00A841EC">
        <w:rPr>
          <w:szCs w:val="22"/>
        </w:rPr>
        <w:t xml:space="preserve"> gas fireplace. </w:t>
      </w:r>
      <w:r w:rsidR="006F20B0" w:rsidRPr="00A841EC">
        <w:rPr>
          <w:szCs w:val="22"/>
        </w:rPr>
        <w:t>See Base Case Labor Cost.</w:t>
      </w:r>
    </w:p>
    <w:p w14:paraId="1ED9D46E" w14:textId="73EF9EE9" w:rsidR="000B16E2" w:rsidRPr="00A841EC" w:rsidRDefault="006F20B0" w:rsidP="005A370B">
      <w:bookmarkStart w:id="60" w:name="_Toc486490863"/>
      <w:bookmarkStart w:id="61" w:name="_Toc486580934"/>
      <w:r w:rsidRPr="00A841EC">
        <w:t xml:space="preserve"> </w:t>
      </w:r>
    </w:p>
    <w:p w14:paraId="7A8ACC35" w14:textId="0AD6510F" w:rsidR="00AA06D1" w:rsidRPr="00A841EC" w:rsidRDefault="00AA06D1" w:rsidP="005A370B"/>
    <w:p w14:paraId="050D9183" w14:textId="2B6270B6" w:rsidR="007D230B" w:rsidRPr="00A841EC" w:rsidRDefault="004B06E3" w:rsidP="007E3A1D">
      <w:pPr>
        <w:pStyle w:val="eTRMHeading3"/>
      </w:pPr>
      <w:bookmarkStart w:id="62" w:name="_Toc23836610"/>
      <w:r w:rsidRPr="00A841EC">
        <w:t>Net-to-Gross</w:t>
      </w:r>
      <w:bookmarkEnd w:id="60"/>
      <w:bookmarkEnd w:id="61"/>
      <w:r w:rsidR="008D4652" w:rsidRPr="00A841EC">
        <w:t xml:space="preserve"> (NTG)</w:t>
      </w:r>
      <w:bookmarkEnd w:id="62"/>
    </w:p>
    <w:p w14:paraId="7F50A8AA" w14:textId="5AAD1F83" w:rsidR="00DF79F2" w:rsidRPr="00A841EC" w:rsidRDefault="00DF79F2" w:rsidP="00DF79F2">
      <w:r w:rsidRPr="00A841EC">
        <w:t>The net-to-gross (NTG) ratio represents the portion of gross impacts that are determined to be directly attributed to a specific program intervention. The NTG value adopted for this measure was established in the 2011 DEER Update Study conducted by Itron, Inc. and is applicable to all energy efficiency measures that have been offered through California programs for less than two years and for which impact evaluation results are not available.</w:t>
      </w:r>
    </w:p>
    <w:p w14:paraId="54638255" w14:textId="77777777" w:rsidR="00DF79F2" w:rsidRPr="00A841EC" w:rsidRDefault="00DF79F2" w:rsidP="00DF79F2">
      <w:pPr>
        <w:pStyle w:val="Caption"/>
      </w:pPr>
      <w:r w:rsidRPr="00A841EC">
        <w:t>Net-to-Gross Ratios</w:t>
      </w:r>
    </w:p>
    <w:tbl>
      <w:tblPr>
        <w:tblW w:w="9360" w:type="dxa"/>
        <w:tblInd w:w="11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0A0" w:firstRow="1" w:lastRow="0" w:firstColumn="1" w:lastColumn="0" w:noHBand="0" w:noVBand="0"/>
      </w:tblPr>
      <w:tblGrid>
        <w:gridCol w:w="2070"/>
        <w:gridCol w:w="1620"/>
        <w:gridCol w:w="5670"/>
      </w:tblGrid>
      <w:tr w:rsidR="00DF79F2" w:rsidRPr="00A841EC" w14:paraId="79BF9773" w14:textId="77777777" w:rsidTr="00331C44">
        <w:tc>
          <w:tcPr>
            <w:tcW w:w="2070" w:type="dxa"/>
            <w:shd w:val="clear" w:color="auto" w:fill="F2F2F2" w:themeFill="background1" w:themeFillShade="F2"/>
            <w:vAlign w:val="bottom"/>
          </w:tcPr>
          <w:p w14:paraId="088BEB65" w14:textId="77777777" w:rsidR="00DF79F2" w:rsidRPr="00A841EC" w:rsidRDefault="00DF79F2" w:rsidP="00331C44">
            <w:pPr>
              <w:keepNext/>
              <w:keepLines/>
              <w:spacing w:before="0" w:after="0" w:line="200" w:lineRule="atLeast"/>
              <w:jc w:val="center"/>
              <w:rPr>
                <w:b/>
                <w:sz w:val="20"/>
              </w:rPr>
            </w:pPr>
            <w:r w:rsidRPr="00A841EC">
              <w:rPr>
                <w:b/>
                <w:sz w:val="20"/>
              </w:rPr>
              <w:t>Parameter</w:t>
            </w:r>
          </w:p>
        </w:tc>
        <w:tc>
          <w:tcPr>
            <w:tcW w:w="1620" w:type="dxa"/>
            <w:shd w:val="clear" w:color="auto" w:fill="F2F2F2" w:themeFill="background1" w:themeFillShade="F2"/>
            <w:vAlign w:val="bottom"/>
          </w:tcPr>
          <w:p w14:paraId="7AD24679" w14:textId="77777777" w:rsidR="00DF79F2" w:rsidRPr="00A841EC" w:rsidRDefault="00DF79F2" w:rsidP="00331C44">
            <w:pPr>
              <w:keepNext/>
              <w:keepLines/>
              <w:spacing w:before="0" w:after="0" w:line="200" w:lineRule="atLeast"/>
              <w:jc w:val="center"/>
              <w:rPr>
                <w:b/>
                <w:sz w:val="20"/>
              </w:rPr>
            </w:pPr>
            <w:r w:rsidRPr="00A841EC">
              <w:rPr>
                <w:b/>
                <w:sz w:val="20"/>
              </w:rPr>
              <w:t>Value</w:t>
            </w:r>
          </w:p>
        </w:tc>
        <w:tc>
          <w:tcPr>
            <w:tcW w:w="5670" w:type="dxa"/>
            <w:shd w:val="clear" w:color="auto" w:fill="F2F2F2" w:themeFill="background1" w:themeFillShade="F2"/>
            <w:vAlign w:val="bottom"/>
          </w:tcPr>
          <w:p w14:paraId="6FE6866B" w14:textId="77777777" w:rsidR="00DF79F2" w:rsidRPr="00A841EC" w:rsidRDefault="00DF79F2" w:rsidP="00331C44">
            <w:pPr>
              <w:keepNext/>
              <w:keepLines/>
              <w:spacing w:before="0" w:after="0" w:line="200" w:lineRule="atLeast"/>
              <w:jc w:val="center"/>
              <w:rPr>
                <w:b/>
                <w:sz w:val="20"/>
              </w:rPr>
            </w:pPr>
            <w:r w:rsidRPr="00A841EC">
              <w:rPr>
                <w:b/>
                <w:sz w:val="20"/>
              </w:rPr>
              <w:t>Source</w:t>
            </w:r>
          </w:p>
        </w:tc>
      </w:tr>
      <w:tr w:rsidR="00DF79F2" w:rsidRPr="00A841EC" w14:paraId="60D11E96" w14:textId="77777777" w:rsidTr="00331C44">
        <w:trPr>
          <w:trHeight w:val="260"/>
        </w:trPr>
        <w:tc>
          <w:tcPr>
            <w:tcW w:w="2070" w:type="dxa"/>
            <w:vAlign w:val="center"/>
          </w:tcPr>
          <w:p w14:paraId="46221C39" w14:textId="03478F22" w:rsidR="00DF79F2" w:rsidRPr="00A841EC" w:rsidRDefault="00DF79F2" w:rsidP="00331C44">
            <w:pPr>
              <w:keepNext/>
              <w:keepLines/>
              <w:spacing w:before="0" w:after="0" w:line="200" w:lineRule="atLeast"/>
              <w:rPr>
                <w:sz w:val="20"/>
              </w:rPr>
            </w:pPr>
            <w:r w:rsidRPr="00A841EC">
              <w:t>All-Default&lt;=2yrs</w:t>
            </w:r>
          </w:p>
        </w:tc>
        <w:tc>
          <w:tcPr>
            <w:tcW w:w="1620" w:type="dxa"/>
            <w:vAlign w:val="center"/>
          </w:tcPr>
          <w:p w14:paraId="25A1A3E1" w14:textId="2D25E117" w:rsidR="00DF79F2" w:rsidRPr="00A841EC" w:rsidRDefault="00DF79F2" w:rsidP="00331C44">
            <w:pPr>
              <w:keepNext/>
              <w:keepLines/>
              <w:spacing w:before="0" w:after="0" w:line="200" w:lineRule="atLeast"/>
              <w:jc w:val="center"/>
              <w:rPr>
                <w:sz w:val="20"/>
              </w:rPr>
            </w:pPr>
            <w:r w:rsidRPr="00A841EC">
              <w:rPr>
                <w:sz w:val="20"/>
                <w:szCs w:val="20"/>
              </w:rPr>
              <w:t>0.70</w:t>
            </w:r>
          </w:p>
        </w:tc>
        <w:tc>
          <w:tcPr>
            <w:tcW w:w="5670" w:type="dxa"/>
            <w:vAlign w:val="center"/>
          </w:tcPr>
          <w:p w14:paraId="4518BB2A" w14:textId="77777777" w:rsidR="00DF79F2" w:rsidRPr="00A841EC" w:rsidRDefault="00DF79F2" w:rsidP="00331C44">
            <w:pPr>
              <w:keepNext/>
              <w:keepLines/>
              <w:spacing w:before="0" w:after="0" w:line="240" w:lineRule="auto"/>
              <w:rPr>
                <w:rFonts w:eastAsia="Times New Roman" w:cs="Times New Roman"/>
                <w:color w:val="000000"/>
                <w:sz w:val="18"/>
                <w:szCs w:val="18"/>
              </w:rPr>
            </w:pPr>
            <w:r w:rsidRPr="00A841EC">
              <w:rPr>
                <w:sz w:val="18"/>
              </w:rPr>
              <w:t xml:space="preserve">Itron, Inc. 2011. </w:t>
            </w:r>
            <w:r w:rsidRPr="00A841EC">
              <w:rPr>
                <w:i/>
                <w:sz w:val="18"/>
              </w:rPr>
              <w:t>DEER Database 2011 Update Documentation.</w:t>
            </w:r>
            <w:r w:rsidRPr="00A841EC">
              <w:rPr>
                <w:sz w:val="18"/>
              </w:rPr>
              <w:t xml:space="preserve"> Prepared for the California Public Utilities Commission. Page 15-4 Table 15-3.</w:t>
            </w:r>
          </w:p>
        </w:tc>
      </w:tr>
    </w:tbl>
    <w:p w14:paraId="46BD0BB0" w14:textId="5D7637BA" w:rsidR="0000521D" w:rsidRPr="00A841EC" w:rsidRDefault="0000521D" w:rsidP="004142EF"/>
    <w:p w14:paraId="323B5B02" w14:textId="4C4B13DC" w:rsidR="007D230B" w:rsidRPr="00A841EC" w:rsidRDefault="00D02C36" w:rsidP="007E3A1D">
      <w:pPr>
        <w:pStyle w:val="eTRMHeading3"/>
      </w:pPr>
      <w:bookmarkStart w:id="63" w:name="_Toc486490864"/>
      <w:bookmarkStart w:id="64" w:name="_Toc486580935"/>
      <w:bookmarkStart w:id="65" w:name="_Toc23836611"/>
      <w:r w:rsidRPr="00A841EC">
        <w:t>Gross Savings Installation Adjustment (</w:t>
      </w:r>
      <w:r w:rsidR="007D230B" w:rsidRPr="00A841EC">
        <w:t>GSIA</w:t>
      </w:r>
      <w:bookmarkEnd w:id="63"/>
      <w:bookmarkEnd w:id="64"/>
      <w:r w:rsidRPr="00A841EC">
        <w:t>)</w:t>
      </w:r>
      <w:bookmarkEnd w:id="65"/>
    </w:p>
    <w:p w14:paraId="2A1F1C17" w14:textId="229F04AB" w:rsidR="007D230B" w:rsidRPr="00A841EC" w:rsidRDefault="00AA3E2A" w:rsidP="004142EF">
      <w:pPr>
        <w:rPr>
          <w:rFonts w:cs="Arial"/>
        </w:rPr>
      </w:pPr>
      <w:r w:rsidRPr="00A841EC">
        <w:t xml:space="preserve">The gross savings installation adjustment (GSIA) rate represents the ratio of the number of verified installations of the measure to the number of claimed installations reported by the utility. This factor varies by end use, sector, technology, application, and delivery method. </w:t>
      </w:r>
      <w:bookmarkStart w:id="66" w:name="_Hlk505693433"/>
      <w:r w:rsidR="00485834" w:rsidRPr="00A841EC">
        <w:t>This GSIA rate is the current “default” rate specified for measures for which an alternative GSIA has not been estimated and approved.</w:t>
      </w:r>
      <w:bookmarkEnd w:id="66"/>
    </w:p>
    <w:p w14:paraId="022915CE" w14:textId="7749664A" w:rsidR="00DE1A0F" w:rsidRPr="00A841EC" w:rsidRDefault="00AA2841" w:rsidP="00A04BF1">
      <w:pPr>
        <w:pStyle w:val="Caption"/>
      </w:pPr>
      <w:r w:rsidRPr="00A841EC">
        <w:t>Gross Savings</w:t>
      </w:r>
      <w:r w:rsidR="00DE1A0F" w:rsidRPr="00A841EC">
        <w:t xml:space="preserve"> Installation </w:t>
      </w:r>
      <w:r w:rsidRPr="00A841EC">
        <w:t xml:space="preserve">Adjustment </w:t>
      </w:r>
    </w:p>
    <w:tbl>
      <w:tblPr>
        <w:tblW w:w="9355" w:type="dxa"/>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2066"/>
        <w:gridCol w:w="1618"/>
        <w:gridCol w:w="5671"/>
      </w:tblGrid>
      <w:tr w:rsidR="00AA3E2A" w:rsidRPr="00A841EC" w14:paraId="60BDA2BB" w14:textId="744FC0FC" w:rsidTr="00AA2841">
        <w:trPr>
          <w:cantSplit/>
          <w:trHeight w:val="20"/>
        </w:trPr>
        <w:tc>
          <w:tcPr>
            <w:tcW w:w="1104" w:type="pct"/>
            <w:shd w:val="clear" w:color="000000" w:fill="F2F2F2" w:themeFill="background1" w:themeFillShade="F2"/>
            <w:vAlign w:val="bottom"/>
          </w:tcPr>
          <w:p w14:paraId="7D363CC0" w14:textId="709302B7" w:rsidR="00AA3E2A" w:rsidRPr="00A841EC" w:rsidRDefault="00177EB6" w:rsidP="00F8464D">
            <w:pPr>
              <w:keepNext/>
              <w:keepLines/>
              <w:spacing w:before="0" w:after="0" w:line="200" w:lineRule="atLeast"/>
              <w:jc w:val="center"/>
              <w:rPr>
                <w:rFonts w:cs="Arial"/>
                <w:b/>
                <w:color w:val="000000"/>
                <w:sz w:val="20"/>
                <w:szCs w:val="20"/>
              </w:rPr>
            </w:pPr>
            <w:r w:rsidRPr="00A841EC">
              <w:rPr>
                <w:rFonts w:cs="Arial"/>
                <w:b/>
                <w:color w:val="000000"/>
                <w:sz w:val="20"/>
                <w:szCs w:val="20"/>
              </w:rPr>
              <w:t>Parameter</w:t>
            </w:r>
          </w:p>
        </w:tc>
        <w:tc>
          <w:tcPr>
            <w:tcW w:w="865" w:type="pct"/>
            <w:shd w:val="clear" w:color="000000" w:fill="F2F2F2" w:themeFill="background1" w:themeFillShade="F2"/>
            <w:vAlign w:val="center"/>
          </w:tcPr>
          <w:p w14:paraId="2A1AC9D4" w14:textId="3263DC2B" w:rsidR="00AA3E2A" w:rsidRPr="00A841EC" w:rsidRDefault="00AA3E2A" w:rsidP="00F8464D">
            <w:pPr>
              <w:keepNext/>
              <w:keepLines/>
              <w:spacing w:before="0" w:after="0" w:line="200" w:lineRule="atLeast"/>
              <w:jc w:val="center"/>
              <w:rPr>
                <w:rFonts w:cs="Arial"/>
                <w:b/>
                <w:color w:val="000000"/>
                <w:sz w:val="20"/>
                <w:szCs w:val="20"/>
              </w:rPr>
            </w:pPr>
            <w:r w:rsidRPr="00A841EC">
              <w:rPr>
                <w:rFonts w:cs="Arial"/>
                <w:b/>
                <w:sz w:val="20"/>
                <w:szCs w:val="20"/>
              </w:rPr>
              <w:t xml:space="preserve">GSIA </w:t>
            </w:r>
          </w:p>
        </w:tc>
        <w:tc>
          <w:tcPr>
            <w:tcW w:w="3030" w:type="pct"/>
            <w:shd w:val="clear" w:color="000000" w:fill="F2F2F2" w:themeFill="background1" w:themeFillShade="F2"/>
          </w:tcPr>
          <w:p w14:paraId="32AB7FEE" w14:textId="77936D4E" w:rsidR="00AA3E2A" w:rsidRPr="00A841EC" w:rsidRDefault="00AA3E2A" w:rsidP="00F8464D">
            <w:pPr>
              <w:keepNext/>
              <w:keepLines/>
              <w:spacing w:before="0" w:after="0" w:line="200" w:lineRule="atLeast"/>
              <w:jc w:val="center"/>
              <w:rPr>
                <w:rFonts w:cs="Arial"/>
                <w:b/>
                <w:sz w:val="20"/>
                <w:szCs w:val="20"/>
              </w:rPr>
            </w:pPr>
            <w:r w:rsidRPr="00A841EC">
              <w:rPr>
                <w:rFonts w:cs="Arial"/>
                <w:b/>
                <w:sz w:val="20"/>
                <w:szCs w:val="20"/>
              </w:rPr>
              <w:t>Source</w:t>
            </w:r>
          </w:p>
        </w:tc>
      </w:tr>
      <w:tr w:rsidR="00AA3E2A" w:rsidRPr="00A841EC" w14:paraId="2209CD52" w14:textId="78579504" w:rsidTr="00EC314A">
        <w:trPr>
          <w:cantSplit/>
          <w:trHeight w:val="20"/>
        </w:trPr>
        <w:tc>
          <w:tcPr>
            <w:tcW w:w="1104" w:type="pct"/>
            <w:vAlign w:val="center"/>
          </w:tcPr>
          <w:p w14:paraId="6618BC2B" w14:textId="5ADBCA04" w:rsidR="00AA3E2A" w:rsidRPr="00A841EC" w:rsidRDefault="00177EB6" w:rsidP="00EC314A">
            <w:pPr>
              <w:keepNext/>
              <w:keepLines/>
              <w:spacing w:before="0" w:after="0" w:line="200" w:lineRule="atLeast"/>
              <w:jc w:val="center"/>
              <w:rPr>
                <w:rFonts w:cstheme="minorHAnsi"/>
                <w:sz w:val="20"/>
                <w:szCs w:val="20"/>
              </w:rPr>
            </w:pPr>
            <w:r w:rsidRPr="00A841EC">
              <w:rPr>
                <w:rFonts w:cstheme="minorHAnsi"/>
                <w:sz w:val="20"/>
                <w:szCs w:val="20"/>
              </w:rPr>
              <w:t xml:space="preserve">GSIA - </w:t>
            </w:r>
            <w:r w:rsidR="00485834" w:rsidRPr="00A841EC">
              <w:rPr>
                <w:rFonts w:cstheme="minorHAnsi"/>
                <w:sz w:val="20"/>
                <w:szCs w:val="20"/>
              </w:rPr>
              <w:t>Default</w:t>
            </w:r>
          </w:p>
        </w:tc>
        <w:tc>
          <w:tcPr>
            <w:tcW w:w="865" w:type="pct"/>
            <w:vAlign w:val="center"/>
          </w:tcPr>
          <w:p w14:paraId="6D1D8F27" w14:textId="53124B47" w:rsidR="00AA3E2A" w:rsidRPr="00A841EC" w:rsidRDefault="00485834" w:rsidP="00F8464D">
            <w:pPr>
              <w:keepNext/>
              <w:keepLines/>
              <w:spacing w:before="0" w:after="0" w:line="200" w:lineRule="atLeast"/>
              <w:jc w:val="center"/>
              <w:rPr>
                <w:sz w:val="20"/>
                <w:szCs w:val="20"/>
              </w:rPr>
            </w:pPr>
            <w:r w:rsidRPr="00A841EC">
              <w:rPr>
                <w:sz w:val="20"/>
                <w:szCs w:val="20"/>
              </w:rPr>
              <w:t>1</w:t>
            </w:r>
            <w:r w:rsidR="00AA3E2A" w:rsidRPr="00A841EC">
              <w:rPr>
                <w:sz w:val="20"/>
                <w:szCs w:val="20"/>
              </w:rPr>
              <w:t>.</w:t>
            </w:r>
            <w:r w:rsidRPr="00A841EC">
              <w:rPr>
                <w:sz w:val="20"/>
                <w:szCs w:val="20"/>
              </w:rPr>
              <w:t>00</w:t>
            </w:r>
          </w:p>
        </w:tc>
        <w:tc>
          <w:tcPr>
            <w:tcW w:w="3030" w:type="pct"/>
          </w:tcPr>
          <w:p w14:paraId="52FCA633" w14:textId="43525B48" w:rsidR="00AA3E2A" w:rsidRPr="00A841EC" w:rsidRDefault="00485834" w:rsidP="00F8464D">
            <w:pPr>
              <w:keepNext/>
              <w:keepLines/>
              <w:spacing w:before="0" w:after="0" w:line="200" w:lineRule="atLeast"/>
              <w:rPr>
                <w:color w:val="FF0000"/>
                <w:sz w:val="20"/>
                <w:szCs w:val="20"/>
              </w:rPr>
            </w:pPr>
            <w:r w:rsidRPr="00A841EC">
              <w:rPr>
                <w:rFonts w:eastAsia="Times New Roman" w:cs="Times New Roman"/>
                <w:color w:val="000000"/>
                <w:sz w:val="18"/>
                <w:szCs w:val="18"/>
              </w:rPr>
              <w:t xml:space="preserve">California Public Utilities Commission (CPUC), Energy Division. 2013. </w:t>
            </w:r>
            <w:r w:rsidRPr="00A841EC">
              <w:rPr>
                <w:rFonts w:eastAsia="Times New Roman" w:cs="Times New Roman"/>
                <w:i/>
                <w:color w:val="000000"/>
                <w:sz w:val="18"/>
                <w:szCs w:val="18"/>
              </w:rPr>
              <w:t>Energy Efficiency Policy Manual Version 5</w:t>
            </w:r>
            <w:r w:rsidRPr="00A841EC">
              <w:rPr>
                <w:rFonts w:eastAsia="Times New Roman" w:cs="Times New Roman"/>
                <w:color w:val="000000"/>
                <w:sz w:val="18"/>
                <w:szCs w:val="18"/>
              </w:rPr>
              <w:t>. Page 31.</w:t>
            </w:r>
          </w:p>
        </w:tc>
      </w:tr>
    </w:tbl>
    <w:p w14:paraId="08395124" w14:textId="77777777" w:rsidR="00DE1A0F" w:rsidRPr="00A841EC" w:rsidRDefault="00DE1A0F" w:rsidP="00DE1A0F">
      <w:pPr>
        <w:rPr>
          <w:rFonts w:cs="Arial"/>
          <w:sz w:val="20"/>
          <w:szCs w:val="20"/>
        </w:rPr>
      </w:pPr>
    </w:p>
    <w:p w14:paraId="498C05E5" w14:textId="232D8547" w:rsidR="002C67DF" w:rsidRPr="00A841EC" w:rsidRDefault="002C67DF" w:rsidP="007E3A1D">
      <w:pPr>
        <w:pStyle w:val="eTRMHeading3"/>
      </w:pPr>
      <w:bookmarkStart w:id="67" w:name="_Toc486490865"/>
      <w:bookmarkStart w:id="68" w:name="_Toc486580936"/>
      <w:bookmarkStart w:id="69" w:name="_Toc23836612"/>
      <w:r w:rsidRPr="00A841EC">
        <w:t xml:space="preserve">Non-Energy </w:t>
      </w:r>
      <w:bookmarkEnd w:id="67"/>
      <w:bookmarkEnd w:id="68"/>
      <w:r w:rsidR="00DA6B7E" w:rsidRPr="00A841EC">
        <w:t>Impacts</w:t>
      </w:r>
      <w:bookmarkEnd w:id="69"/>
    </w:p>
    <w:p w14:paraId="0D73FC70" w14:textId="27339D17" w:rsidR="00697A88" w:rsidRPr="00A841EC" w:rsidRDefault="00697A88" w:rsidP="004A2CEE">
      <w:r w:rsidRPr="00A841EC">
        <w:t xml:space="preserve">Non-energy benefits for this measure have not been </w:t>
      </w:r>
      <w:r w:rsidR="009D7F4D" w:rsidRPr="00A841EC">
        <w:t>quantified</w:t>
      </w:r>
      <w:r w:rsidRPr="00A841EC">
        <w:t>.</w:t>
      </w:r>
    </w:p>
    <w:p w14:paraId="0C37F289" w14:textId="77777777" w:rsidR="00697A88" w:rsidRPr="00A841EC" w:rsidRDefault="00697A88" w:rsidP="004142EF"/>
    <w:p w14:paraId="7D8551BB" w14:textId="760F7D39" w:rsidR="009C31A4" w:rsidRPr="00A841EC" w:rsidRDefault="009C31A4" w:rsidP="007E3A1D">
      <w:pPr>
        <w:pStyle w:val="eTRMHeading3"/>
      </w:pPr>
      <w:bookmarkStart w:id="70" w:name="_Toc23836613"/>
      <w:r w:rsidRPr="00A841EC">
        <w:t>DEER Differences Analysis</w:t>
      </w:r>
      <w:bookmarkEnd w:id="70"/>
    </w:p>
    <w:p w14:paraId="575E579E" w14:textId="3F2BF71B" w:rsidR="002C67DF" w:rsidRPr="00A841EC" w:rsidRDefault="003F21D2" w:rsidP="004142EF">
      <w:r w:rsidRPr="00A841EC">
        <w:t>This section provides a summary of inputs and methods</w:t>
      </w:r>
      <w:r w:rsidR="008A3163" w:rsidRPr="00A841EC">
        <w:t xml:space="preserve"> based upon the Database of Energy Efficient Resources (DEER)</w:t>
      </w:r>
      <w:r w:rsidRPr="00A841EC">
        <w:t>, and the rationale for inputs and methods that are not DEER-based.</w:t>
      </w:r>
    </w:p>
    <w:p w14:paraId="756C62FB" w14:textId="70A8FF6C" w:rsidR="00EA057C" w:rsidRPr="00A841EC" w:rsidRDefault="00EA057C" w:rsidP="00A04BF1">
      <w:pPr>
        <w:pStyle w:val="Caption"/>
      </w:pPr>
      <w:r w:rsidRPr="00A841EC">
        <w:lastRenderedPageBreak/>
        <w:t>DEER Difference Summary</w:t>
      </w:r>
    </w:p>
    <w:tbl>
      <w:tblPr>
        <w:tblW w:w="5099"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CellMar>
          <w:left w:w="115" w:type="dxa"/>
          <w:right w:w="115" w:type="dxa"/>
        </w:tblCellMar>
        <w:tblLook w:val="04A0" w:firstRow="1" w:lastRow="0" w:firstColumn="1" w:lastColumn="0" w:noHBand="0" w:noVBand="1"/>
      </w:tblPr>
      <w:tblGrid>
        <w:gridCol w:w="3234"/>
        <w:gridCol w:w="6301"/>
      </w:tblGrid>
      <w:tr w:rsidR="00EA057C" w:rsidRPr="00A841EC" w14:paraId="59D017C8" w14:textId="77777777" w:rsidTr="00B4215E">
        <w:trPr>
          <w:trHeight w:val="20"/>
          <w:tblHeader/>
        </w:trPr>
        <w:tc>
          <w:tcPr>
            <w:tcW w:w="1696" w:type="pct"/>
            <w:shd w:val="clear" w:color="auto" w:fill="F2F2F2" w:themeFill="background1" w:themeFillShade="F2"/>
          </w:tcPr>
          <w:p w14:paraId="5A1E2CE5" w14:textId="77777777" w:rsidR="00EA057C" w:rsidRPr="00A841EC" w:rsidRDefault="00EA057C" w:rsidP="005710BF">
            <w:pPr>
              <w:tabs>
                <w:tab w:val="right" w:pos="2957"/>
              </w:tabs>
              <w:spacing w:before="20" w:after="20"/>
              <w:rPr>
                <w:rFonts w:cs="Arial"/>
                <w:b/>
                <w:sz w:val="20"/>
                <w:szCs w:val="20"/>
              </w:rPr>
            </w:pPr>
            <w:r w:rsidRPr="00A841EC">
              <w:rPr>
                <w:rFonts w:cs="Arial"/>
                <w:b/>
                <w:sz w:val="20"/>
                <w:szCs w:val="20"/>
              </w:rPr>
              <w:t>DEER Item</w:t>
            </w:r>
          </w:p>
        </w:tc>
        <w:tc>
          <w:tcPr>
            <w:tcW w:w="3304" w:type="pct"/>
            <w:shd w:val="clear" w:color="auto" w:fill="F2F2F2" w:themeFill="background1" w:themeFillShade="F2"/>
          </w:tcPr>
          <w:p w14:paraId="52AD34D1" w14:textId="2633ACD5" w:rsidR="00EA057C" w:rsidRPr="00A841EC" w:rsidRDefault="00EA057C" w:rsidP="005710BF">
            <w:pPr>
              <w:spacing w:before="20" w:after="20"/>
              <w:rPr>
                <w:rFonts w:cs="Arial"/>
                <w:b/>
                <w:sz w:val="20"/>
                <w:szCs w:val="20"/>
              </w:rPr>
            </w:pPr>
            <w:r w:rsidRPr="00A841EC">
              <w:rPr>
                <w:rFonts w:cs="Arial"/>
                <w:b/>
                <w:sz w:val="20"/>
                <w:szCs w:val="20"/>
              </w:rPr>
              <w:t xml:space="preserve">Comment </w:t>
            </w:r>
          </w:p>
        </w:tc>
      </w:tr>
      <w:tr w:rsidR="002E714C" w:rsidRPr="00A841EC" w14:paraId="33003020" w14:textId="77777777" w:rsidTr="00B4215E">
        <w:trPr>
          <w:trHeight w:val="20"/>
        </w:trPr>
        <w:tc>
          <w:tcPr>
            <w:tcW w:w="1696" w:type="pct"/>
          </w:tcPr>
          <w:p w14:paraId="1F2D360A" w14:textId="77777777" w:rsidR="002E714C" w:rsidRPr="00A841EC" w:rsidRDefault="002E714C" w:rsidP="005710BF">
            <w:pPr>
              <w:spacing w:before="20" w:after="20"/>
              <w:rPr>
                <w:rFonts w:cs="Arial"/>
                <w:sz w:val="20"/>
                <w:szCs w:val="20"/>
              </w:rPr>
            </w:pPr>
            <w:r w:rsidRPr="00A841EC">
              <w:rPr>
                <w:rFonts w:cs="Arial"/>
                <w:sz w:val="20"/>
                <w:szCs w:val="20"/>
              </w:rPr>
              <w:t>Modified DEER methodology</w:t>
            </w:r>
          </w:p>
        </w:tc>
        <w:tc>
          <w:tcPr>
            <w:tcW w:w="3304" w:type="pct"/>
          </w:tcPr>
          <w:p w14:paraId="247EE411" w14:textId="73AB0506" w:rsidR="002E714C" w:rsidRPr="00A841EC" w:rsidRDefault="00B4215E" w:rsidP="005710BF">
            <w:pPr>
              <w:spacing w:before="20" w:after="20"/>
              <w:rPr>
                <w:rFonts w:cs="Arial"/>
                <w:sz w:val="20"/>
                <w:szCs w:val="20"/>
              </w:rPr>
            </w:pPr>
            <w:r w:rsidRPr="00A841EC">
              <w:rPr>
                <w:rFonts w:cs="Arial"/>
                <w:sz w:val="20"/>
                <w:szCs w:val="20"/>
              </w:rPr>
              <w:t>No</w:t>
            </w:r>
          </w:p>
        </w:tc>
      </w:tr>
      <w:tr w:rsidR="002E714C" w:rsidRPr="00A841EC" w14:paraId="507422EA" w14:textId="77777777" w:rsidTr="00B4215E">
        <w:trPr>
          <w:trHeight w:val="20"/>
        </w:trPr>
        <w:tc>
          <w:tcPr>
            <w:tcW w:w="1696" w:type="pct"/>
          </w:tcPr>
          <w:p w14:paraId="29430E33" w14:textId="77777777" w:rsidR="002E714C" w:rsidRPr="00A841EC" w:rsidRDefault="002E714C" w:rsidP="005710BF">
            <w:pPr>
              <w:spacing w:before="20" w:after="20"/>
              <w:rPr>
                <w:rFonts w:cs="Arial"/>
                <w:sz w:val="20"/>
                <w:szCs w:val="20"/>
              </w:rPr>
            </w:pPr>
            <w:r w:rsidRPr="00A841EC">
              <w:rPr>
                <w:rFonts w:cs="Arial"/>
                <w:sz w:val="20"/>
                <w:szCs w:val="20"/>
              </w:rPr>
              <w:t>Scaled DEER measure</w:t>
            </w:r>
          </w:p>
        </w:tc>
        <w:tc>
          <w:tcPr>
            <w:tcW w:w="3304" w:type="pct"/>
          </w:tcPr>
          <w:p w14:paraId="0C847473" w14:textId="4E49BC17" w:rsidR="002E714C" w:rsidRPr="00A841EC" w:rsidRDefault="00B4215E" w:rsidP="005710BF">
            <w:pPr>
              <w:spacing w:before="20" w:after="20"/>
              <w:rPr>
                <w:rFonts w:cs="Arial"/>
                <w:sz w:val="20"/>
                <w:szCs w:val="20"/>
              </w:rPr>
            </w:pPr>
            <w:r w:rsidRPr="00A841EC">
              <w:rPr>
                <w:rFonts w:cs="Arial"/>
                <w:sz w:val="20"/>
                <w:szCs w:val="20"/>
              </w:rPr>
              <w:t>No</w:t>
            </w:r>
          </w:p>
        </w:tc>
      </w:tr>
      <w:tr w:rsidR="002E714C" w:rsidRPr="00A841EC" w14:paraId="335CDE40" w14:textId="77777777" w:rsidTr="00B4215E">
        <w:trPr>
          <w:trHeight w:val="20"/>
        </w:trPr>
        <w:tc>
          <w:tcPr>
            <w:tcW w:w="1696" w:type="pct"/>
          </w:tcPr>
          <w:p w14:paraId="126C3B42" w14:textId="77777777" w:rsidR="002E714C" w:rsidRPr="00A841EC" w:rsidRDefault="002E714C" w:rsidP="005710BF">
            <w:pPr>
              <w:spacing w:before="20" w:after="20"/>
              <w:rPr>
                <w:rFonts w:cs="Arial"/>
                <w:sz w:val="20"/>
                <w:szCs w:val="20"/>
              </w:rPr>
            </w:pPr>
            <w:r w:rsidRPr="00A841EC">
              <w:rPr>
                <w:rFonts w:cs="Arial"/>
                <w:sz w:val="20"/>
                <w:szCs w:val="20"/>
              </w:rPr>
              <w:t>DEER Base Case</w:t>
            </w:r>
          </w:p>
        </w:tc>
        <w:tc>
          <w:tcPr>
            <w:tcW w:w="3304" w:type="pct"/>
          </w:tcPr>
          <w:p w14:paraId="5D2A1B0E" w14:textId="700F8381" w:rsidR="002E714C" w:rsidRPr="00A841EC" w:rsidRDefault="00B4215E" w:rsidP="005710BF">
            <w:pPr>
              <w:spacing w:before="20" w:after="20"/>
              <w:rPr>
                <w:rFonts w:cs="Arial"/>
                <w:sz w:val="20"/>
                <w:szCs w:val="20"/>
              </w:rPr>
            </w:pPr>
            <w:r w:rsidRPr="00A841EC">
              <w:rPr>
                <w:rFonts w:cs="Arial"/>
                <w:sz w:val="20"/>
                <w:szCs w:val="20"/>
              </w:rPr>
              <w:t>No</w:t>
            </w:r>
          </w:p>
        </w:tc>
      </w:tr>
      <w:tr w:rsidR="002E714C" w:rsidRPr="00A841EC" w14:paraId="1F8399E1" w14:textId="77777777" w:rsidTr="00B4215E">
        <w:trPr>
          <w:trHeight w:val="20"/>
        </w:trPr>
        <w:tc>
          <w:tcPr>
            <w:tcW w:w="1696" w:type="pct"/>
          </w:tcPr>
          <w:p w14:paraId="0CC701E3" w14:textId="77777777" w:rsidR="002E714C" w:rsidRPr="00A841EC" w:rsidRDefault="002E714C" w:rsidP="005710BF">
            <w:pPr>
              <w:spacing w:before="20" w:after="20"/>
              <w:rPr>
                <w:rFonts w:cs="Arial"/>
                <w:sz w:val="20"/>
                <w:szCs w:val="20"/>
              </w:rPr>
            </w:pPr>
            <w:r w:rsidRPr="00A841EC">
              <w:rPr>
                <w:rFonts w:cs="Arial"/>
                <w:sz w:val="20"/>
                <w:szCs w:val="20"/>
              </w:rPr>
              <w:t>DEER Measure Case</w:t>
            </w:r>
          </w:p>
        </w:tc>
        <w:tc>
          <w:tcPr>
            <w:tcW w:w="3304" w:type="pct"/>
          </w:tcPr>
          <w:p w14:paraId="49A023A0" w14:textId="11A17723" w:rsidR="002E714C" w:rsidRPr="00A841EC" w:rsidRDefault="00B4215E" w:rsidP="005710BF">
            <w:pPr>
              <w:spacing w:before="20" w:after="20"/>
              <w:rPr>
                <w:rFonts w:cs="Arial"/>
                <w:sz w:val="20"/>
                <w:szCs w:val="20"/>
              </w:rPr>
            </w:pPr>
            <w:r w:rsidRPr="00A841EC">
              <w:rPr>
                <w:rFonts w:cs="Arial"/>
                <w:sz w:val="20"/>
                <w:szCs w:val="20"/>
              </w:rPr>
              <w:t>No</w:t>
            </w:r>
          </w:p>
        </w:tc>
      </w:tr>
      <w:tr w:rsidR="002E714C" w:rsidRPr="00A841EC" w14:paraId="663742C6" w14:textId="77777777" w:rsidTr="00B4215E">
        <w:trPr>
          <w:trHeight w:val="20"/>
        </w:trPr>
        <w:tc>
          <w:tcPr>
            <w:tcW w:w="1696" w:type="pct"/>
          </w:tcPr>
          <w:p w14:paraId="16B2FDAB" w14:textId="77777777" w:rsidR="002E714C" w:rsidRPr="00A841EC" w:rsidRDefault="002E714C" w:rsidP="005710BF">
            <w:pPr>
              <w:spacing w:before="20" w:after="20"/>
              <w:rPr>
                <w:rFonts w:cs="Arial"/>
                <w:sz w:val="20"/>
                <w:szCs w:val="20"/>
              </w:rPr>
            </w:pPr>
            <w:r w:rsidRPr="00A841EC">
              <w:rPr>
                <w:rFonts w:cs="Arial"/>
                <w:sz w:val="20"/>
                <w:szCs w:val="20"/>
              </w:rPr>
              <w:t>DEER Building Types</w:t>
            </w:r>
          </w:p>
        </w:tc>
        <w:tc>
          <w:tcPr>
            <w:tcW w:w="3304" w:type="pct"/>
          </w:tcPr>
          <w:p w14:paraId="6BBA540C" w14:textId="6E76A3C0" w:rsidR="002E714C" w:rsidRPr="00A841EC" w:rsidRDefault="00B4215E" w:rsidP="005710BF">
            <w:pPr>
              <w:spacing w:before="20" w:after="20"/>
              <w:rPr>
                <w:rFonts w:cs="Arial"/>
                <w:sz w:val="20"/>
                <w:szCs w:val="20"/>
              </w:rPr>
            </w:pPr>
            <w:r w:rsidRPr="00A841EC">
              <w:rPr>
                <w:rFonts w:cs="Arial"/>
                <w:sz w:val="20"/>
                <w:szCs w:val="20"/>
              </w:rPr>
              <w:t>No</w:t>
            </w:r>
          </w:p>
        </w:tc>
      </w:tr>
      <w:tr w:rsidR="002E714C" w:rsidRPr="00A841EC" w14:paraId="424F1325" w14:textId="77777777" w:rsidTr="00B4215E">
        <w:trPr>
          <w:trHeight w:val="20"/>
        </w:trPr>
        <w:tc>
          <w:tcPr>
            <w:tcW w:w="1696" w:type="pct"/>
          </w:tcPr>
          <w:p w14:paraId="71098DDA" w14:textId="77777777" w:rsidR="002E714C" w:rsidRPr="00A841EC" w:rsidRDefault="002E714C" w:rsidP="005710BF">
            <w:pPr>
              <w:spacing w:before="20" w:after="20"/>
              <w:rPr>
                <w:rFonts w:cs="Arial"/>
                <w:sz w:val="20"/>
                <w:szCs w:val="20"/>
              </w:rPr>
            </w:pPr>
            <w:r w:rsidRPr="00A841EC">
              <w:rPr>
                <w:rFonts w:cs="Arial"/>
                <w:sz w:val="20"/>
                <w:szCs w:val="20"/>
              </w:rPr>
              <w:t>DEER Operating Hours</w:t>
            </w:r>
          </w:p>
        </w:tc>
        <w:tc>
          <w:tcPr>
            <w:tcW w:w="3304" w:type="pct"/>
          </w:tcPr>
          <w:p w14:paraId="1693E1EE" w14:textId="12D48601" w:rsidR="002E714C" w:rsidRPr="00A841EC" w:rsidRDefault="00EE3619" w:rsidP="005710BF">
            <w:pPr>
              <w:spacing w:before="20" w:after="20"/>
              <w:rPr>
                <w:rFonts w:cs="Arial"/>
                <w:sz w:val="20"/>
                <w:szCs w:val="20"/>
              </w:rPr>
            </w:pPr>
            <w:r w:rsidRPr="00A841EC">
              <w:rPr>
                <w:rFonts w:cs="Arial"/>
                <w:sz w:val="20"/>
                <w:szCs w:val="20"/>
              </w:rPr>
              <w:t>Yes</w:t>
            </w:r>
          </w:p>
        </w:tc>
      </w:tr>
      <w:tr w:rsidR="002E714C" w:rsidRPr="00A841EC" w14:paraId="0B93AD47" w14:textId="77777777" w:rsidTr="00B4215E">
        <w:trPr>
          <w:trHeight w:val="20"/>
        </w:trPr>
        <w:tc>
          <w:tcPr>
            <w:tcW w:w="1696" w:type="pct"/>
          </w:tcPr>
          <w:p w14:paraId="6E9E484F" w14:textId="77777777" w:rsidR="002E714C" w:rsidRPr="00A841EC" w:rsidRDefault="002E714C" w:rsidP="005710BF">
            <w:pPr>
              <w:spacing w:before="20" w:after="20"/>
              <w:rPr>
                <w:rFonts w:cs="Arial"/>
                <w:sz w:val="20"/>
                <w:szCs w:val="20"/>
              </w:rPr>
            </w:pPr>
            <w:r w:rsidRPr="00A841EC">
              <w:rPr>
                <w:rFonts w:cs="Arial"/>
                <w:sz w:val="20"/>
                <w:szCs w:val="20"/>
              </w:rPr>
              <w:t>DEER eQUEST Prototypes</w:t>
            </w:r>
          </w:p>
        </w:tc>
        <w:tc>
          <w:tcPr>
            <w:tcW w:w="3304" w:type="pct"/>
          </w:tcPr>
          <w:p w14:paraId="4948DEAF" w14:textId="5B16CB01" w:rsidR="002E714C" w:rsidRPr="00A841EC" w:rsidDel="00505CEC" w:rsidRDefault="00B4215E" w:rsidP="005710BF">
            <w:pPr>
              <w:spacing w:before="20" w:after="20"/>
              <w:rPr>
                <w:rFonts w:cs="Arial"/>
                <w:sz w:val="20"/>
                <w:szCs w:val="20"/>
              </w:rPr>
            </w:pPr>
            <w:r w:rsidRPr="00A841EC">
              <w:rPr>
                <w:rFonts w:cs="Arial"/>
                <w:sz w:val="20"/>
                <w:szCs w:val="20"/>
              </w:rPr>
              <w:t>No</w:t>
            </w:r>
          </w:p>
        </w:tc>
      </w:tr>
      <w:tr w:rsidR="00B4215E" w:rsidRPr="00A841EC" w14:paraId="2CFDE9D3" w14:textId="77777777" w:rsidTr="00B4215E">
        <w:trPr>
          <w:trHeight w:val="180"/>
        </w:trPr>
        <w:tc>
          <w:tcPr>
            <w:tcW w:w="1696" w:type="pct"/>
          </w:tcPr>
          <w:p w14:paraId="3B6B3E22" w14:textId="77777777" w:rsidR="00B4215E" w:rsidRPr="00A841EC" w:rsidRDefault="00B4215E" w:rsidP="00B4215E">
            <w:pPr>
              <w:spacing w:before="20" w:after="20"/>
              <w:rPr>
                <w:rFonts w:cs="Arial"/>
                <w:sz w:val="20"/>
                <w:szCs w:val="20"/>
              </w:rPr>
            </w:pPr>
            <w:r w:rsidRPr="00A841EC">
              <w:rPr>
                <w:rFonts w:cs="Arial"/>
                <w:sz w:val="20"/>
                <w:szCs w:val="20"/>
              </w:rPr>
              <w:t>DEER Version</w:t>
            </w:r>
          </w:p>
        </w:tc>
        <w:tc>
          <w:tcPr>
            <w:tcW w:w="3304" w:type="pct"/>
          </w:tcPr>
          <w:p w14:paraId="1C3B60D1" w14:textId="6395A51F" w:rsidR="00B4215E" w:rsidRPr="00A841EC" w:rsidRDefault="00B4215E" w:rsidP="00B4215E">
            <w:pPr>
              <w:spacing w:before="20" w:after="20"/>
              <w:rPr>
                <w:rFonts w:cs="Arial"/>
                <w:sz w:val="20"/>
                <w:szCs w:val="20"/>
              </w:rPr>
            </w:pPr>
            <w:r w:rsidRPr="00A841EC">
              <w:rPr>
                <w:rFonts w:cs="Arial"/>
                <w:sz w:val="20"/>
                <w:szCs w:val="20"/>
              </w:rPr>
              <w:t>DEER READI v2.5.1</w:t>
            </w:r>
            <w:r w:rsidR="008D4D5B" w:rsidRPr="00A841EC">
              <w:rPr>
                <w:rFonts w:cs="Arial"/>
                <w:sz w:val="20"/>
                <w:szCs w:val="20"/>
              </w:rPr>
              <w:t xml:space="preserve"> (26-Sep-2018)</w:t>
            </w:r>
          </w:p>
        </w:tc>
      </w:tr>
      <w:tr w:rsidR="00B4215E" w:rsidRPr="00A841EC" w14:paraId="3B7464D7" w14:textId="77777777" w:rsidTr="00B4215E">
        <w:trPr>
          <w:trHeight w:val="20"/>
        </w:trPr>
        <w:tc>
          <w:tcPr>
            <w:tcW w:w="1696" w:type="pct"/>
          </w:tcPr>
          <w:p w14:paraId="24000A76" w14:textId="77777777" w:rsidR="00B4215E" w:rsidRPr="00A841EC" w:rsidRDefault="00B4215E" w:rsidP="00B4215E">
            <w:pPr>
              <w:spacing w:before="20" w:after="20"/>
              <w:rPr>
                <w:rFonts w:cs="Arial"/>
                <w:sz w:val="20"/>
                <w:szCs w:val="20"/>
              </w:rPr>
            </w:pPr>
            <w:r w:rsidRPr="00A841EC">
              <w:rPr>
                <w:rFonts w:cs="Arial"/>
                <w:sz w:val="20"/>
                <w:szCs w:val="20"/>
              </w:rPr>
              <w:t>Reason for Deviation from DEER</w:t>
            </w:r>
          </w:p>
        </w:tc>
        <w:tc>
          <w:tcPr>
            <w:tcW w:w="3304" w:type="pct"/>
          </w:tcPr>
          <w:p w14:paraId="125AAB90" w14:textId="1C045AF0" w:rsidR="00B4215E" w:rsidRPr="00A841EC" w:rsidRDefault="00B4215E" w:rsidP="00B4215E">
            <w:pPr>
              <w:spacing w:before="20" w:after="20"/>
              <w:rPr>
                <w:rFonts w:cs="Arial"/>
                <w:sz w:val="20"/>
                <w:szCs w:val="20"/>
              </w:rPr>
            </w:pPr>
            <w:r w:rsidRPr="00A841EC">
              <w:rPr>
                <w:rFonts w:cs="Arial"/>
                <w:sz w:val="20"/>
                <w:szCs w:val="20"/>
              </w:rPr>
              <w:t>DEER does not contain Energy Efficient Gas Fireplaces.</w:t>
            </w:r>
          </w:p>
        </w:tc>
      </w:tr>
      <w:tr w:rsidR="00B4215E" w:rsidRPr="00A841EC" w14:paraId="4A7EE859" w14:textId="77777777" w:rsidTr="00B4215E">
        <w:trPr>
          <w:trHeight w:val="20"/>
        </w:trPr>
        <w:tc>
          <w:tcPr>
            <w:tcW w:w="1696" w:type="pct"/>
          </w:tcPr>
          <w:p w14:paraId="7B4D686A" w14:textId="77777777" w:rsidR="00B4215E" w:rsidRPr="00A841EC" w:rsidRDefault="00B4215E" w:rsidP="00B4215E">
            <w:pPr>
              <w:spacing w:before="20" w:after="20"/>
              <w:rPr>
                <w:rFonts w:cs="Arial"/>
                <w:sz w:val="20"/>
                <w:szCs w:val="20"/>
              </w:rPr>
            </w:pPr>
            <w:r w:rsidRPr="00A841EC">
              <w:rPr>
                <w:rFonts w:cs="Arial"/>
                <w:sz w:val="20"/>
                <w:szCs w:val="20"/>
              </w:rPr>
              <w:t>DEER Measure IDs Used</w:t>
            </w:r>
          </w:p>
        </w:tc>
        <w:tc>
          <w:tcPr>
            <w:tcW w:w="3304" w:type="pct"/>
          </w:tcPr>
          <w:p w14:paraId="63ABA251" w14:textId="21C9B5BA" w:rsidR="00B4215E" w:rsidRPr="00A841EC" w:rsidRDefault="00B4215E" w:rsidP="00B4215E">
            <w:pPr>
              <w:spacing w:before="20" w:after="20"/>
              <w:rPr>
                <w:rFonts w:cs="Arial"/>
                <w:sz w:val="20"/>
                <w:szCs w:val="20"/>
              </w:rPr>
            </w:pPr>
            <w:r w:rsidRPr="00A841EC">
              <w:rPr>
                <w:rFonts w:cs="Arial"/>
                <w:sz w:val="20"/>
                <w:szCs w:val="20"/>
              </w:rPr>
              <w:t>None</w:t>
            </w:r>
          </w:p>
        </w:tc>
      </w:tr>
      <w:tr w:rsidR="00B4215E" w:rsidRPr="00A841EC" w14:paraId="5A83EC74" w14:textId="77777777" w:rsidTr="00B4215E">
        <w:trPr>
          <w:trHeight w:val="20"/>
        </w:trPr>
        <w:tc>
          <w:tcPr>
            <w:tcW w:w="1696" w:type="pct"/>
          </w:tcPr>
          <w:p w14:paraId="2C82A9E0" w14:textId="121308D7" w:rsidR="00B4215E" w:rsidRPr="00A841EC" w:rsidRDefault="00B4215E" w:rsidP="00B4215E">
            <w:pPr>
              <w:spacing w:before="20" w:after="20"/>
              <w:rPr>
                <w:rFonts w:cs="Arial"/>
                <w:sz w:val="20"/>
                <w:szCs w:val="20"/>
              </w:rPr>
            </w:pPr>
            <w:r w:rsidRPr="00A841EC">
              <w:rPr>
                <w:rFonts w:cs="Arial"/>
                <w:sz w:val="20"/>
                <w:szCs w:val="20"/>
              </w:rPr>
              <w:t>NTG</w:t>
            </w:r>
          </w:p>
        </w:tc>
        <w:tc>
          <w:tcPr>
            <w:tcW w:w="3304" w:type="pct"/>
          </w:tcPr>
          <w:p w14:paraId="2BBBB10C" w14:textId="3462C55B" w:rsidR="00B4215E" w:rsidRPr="00A841EC" w:rsidRDefault="00B4215E" w:rsidP="00B4215E">
            <w:pPr>
              <w:spacing w:before="20" w:after="20"/>
              <w:rPr>
                <w:rFonts w:cs="Arial"/>
                <w:i/>
                <w:sz w:val="20"/>
                <w:szCs w:val="20"/>
              </w:rPr>
            </w:pPr>
            <w:r w:rsidRPr="00A841EC">
              <w:rPr>
                <w:rFonts w:cs="Arial"/>
                <w:sz w:val="20"/>
                <w:szCs w:val="20"/>
              </w:rPr>
              <w:t xml:space="preserve">Source: DEER. The NTG of 0.70 is associated with NTG ID: </w:t>
            </w:r>
            <w:r w:rsidRPr="00A841EC">
              <w:rPr>
                <w:rFonts w:cs="Arial"/>
                <w:i/>
                <w:sz w:val="20"/>
                <w:szCs w:val="20"/>
              </w:rPr>
              <w:t>All-Default&lt;=2yrs</w:t>
            </w:r>
          </w:p>
        </w:tc>
      </w:tr>
      <w:tr w:rsidR="00B4215E" w:rsidRPr="00A841EC" w14:paraId="131D1F9D" w14:textId="77777777" w:rsidTr="00B4215E">
        <w:trPr>
          <w:trHeight w:val="20"/>
        </w:trPr>
        <w:tc>
          <w:tcPr>
            <w:tcW w:w="1696" w:type="pct"/>
          </w:tcPr>
          <w:p w14:paraId="45FFA983" w14:textId="5F527A83" w:rsidR="00B4215E" w:rsidRPr="00A841EC" w:rsidRDefault="00B4215E" w:rsidP="00B4215E">
            <w:pPr>
              <w:spacing w:before="20" w:after="20"/>
              <w:rPr>
                <w:rFonts w:cs="Arial"/>
                <w:sz w:val="20"/>
                <w:szCs w:val="20"/>
              </w:rPr>
            </w:pPr>
            <w:r w:rsidRPr="00A841EC">
              <w:rPr>
                <w:rFonts w:cs="Arial"/>
                <w:sz w:val="20"/>
                <w:szCs w:val="20"/>
              </w:rPr>
              <w:t>GSIA</w:t>
            </w:r>
          </w:p>
        </w:tc>
        <w:tc>
          <w:tcPr>
            <w:tcW w:w="3304" w:type="pct"/>
          </w:tcPr>
          <w:p w14:paraId="7C16D603" w14:textId="41189B11" w:rsidR="00B4215E" w:rsidRPr="00A841EC" w:rsidRDefault="00B4215E" w:rsidP="00B4215E">
            <w:pPr>
              <w:spacing w:before="20" w:after="20"/>
              <w:rPr>
                <w:rFonts w:cs="Arial"/>
                <w:sz w:val="20"/>
                <w:szCs w:val="20"/>
              </w:rPr>
            </w:pPr>
            <w:r w:rsidRPr="00A841EC">
              <w:rPr>
                <w:rFonts w:cs="Arial"/>
                <w:sz w:val="20"/>
                <w:szCs w:val="20"/>
              </w:rPr>
              <w:t xml:space="preserve">The GSIA of 1.0 is associated with GSIA ID: </w:t>
            </w:r>
            <w:r w:rsidRPr="00A841EC">
              <w:rPr>
                <w:rFonts w:cs="Arial"/>
                <w:i/>
                <w:sz w:val="20"/>
                <w:szCs w:val="20"/>
              </w:rPr>
              <w:t>Def-GSIA</w:t>
            </w:r>
          </w:p>
        </w:tc>
      </w:tr>
      <w:tr w:rsidR="00B4215E" w:rsidRPr="00A841EC" w14:paraId="4D0F7E1B" w14:textId="77777777" w:rsidTr="00B4215E">
        <w:trPr>
          <w:trHeight w:val="20"/>
        </w:trPr>
        <w:tc>
          <w:tcPr>
            <w:tcW w:w="1696" w:type="pct"/>
          </w:tcPr>
          <w:p w14:paraId="103BA947" w14:textId="6665B2EA" w:rsidR="00B4215E" w:rsidRPr="00A841EC" w:rsidRDefault="00B4215E" w:rsidP="00B4215E">
            <w:pPr>
              <w:spacing w:before="20" w:after="20"/>
              <w:rPr>
                <w:rFonts w:cs="Arial"/>
                <w:sz w:val="20"/>
                <w:szCs w:val="20"/>
              </w:rPr>
            </w:pPr>
            <w:r w:rsidRPr="00A841EC">
              <w:rPr>
                <w:rFonts w:cs="Arial"/>
                <w:sz w:val="20"/>
                <w:szCs w:val="20"/>
              </w:rPr>
              <w:t>EUL/RUL</w:t>
            </w:r>
          </w:p>
        </w:tc>
        <w:tc>
          <w:tcPr>
            <w:tcW w:w="3304" w:type="pct"/>
          </w:tcPr>
          <w:p w14:paraId="5BD9C961" w14:textId="18C9F3EF" w:rsidR="00B4215E" w:rsidRPr="00A841EC" w:rsidRDefault="00B4215E" w:rsidP="00B4215E">
            <w:pPr>
              <w:spacing w:before="20" w:after="20"/>
              <w:rPr>
                <w:rFonts w:cs="Arial"/>
                <w:sz w:val="20"/>
                <w:szCs w:val="20"/>
              </w:rPr>
            </w:pPr>
            <w:r w:rsidRPr="00A841EC">
              <w:rPr>
                <w:rFonts w:cs="Arial"/>
                <w:sz w:val="20"/>
                <w:szCs w:val="20"/>
              </w:rPr>
              <w:t xml:space="preserve">Source: DEER. The value of 20 years is associated with EUL ID: </w:t>
            </w:r>
            <w:r w:rsidRPr="00A841EC">
              <w:rPr>
                <w:rFonts w:cs="Arial"/>
                <w:i/>
                <w:sz w:val="20"/>
                <w:szCs w:val="20"/>
              </w:rPr>
              <w:t>HV-EffFurn</w:t>
            </w:r>
          </w:p>
        </w:tc>
      </w:tr>
    </w:tbl>
    <w:p w14:paraId="3D440479" w14:textId="77777777" w:rsidR="00EA057C" w:rsidRPr="00A841EC" w:rsidRDefault="00EA057C" w:rsidP="004142EF">
      <w:bookmarkStart w:id="71" w:name="_Hlk516051142"/>
    </w:p>
    <w:p w14:paraId="59542C0D" w14:textId="77777777" w:rsidR="007D230B" w:rsidRPr="00A841EC" w:rsidRDefault="007D230B" w:rsidP="007E3A1D">
      <w:pPr>
        <w:pStyle w:val="eTRMHeading3"/>
      </w:pPr>
      <w:bookmarkStart w:id="72" w:name="_Toc486490866"/>
      <w:bookmarkStart w:id="73" w:name="_Toc486580937"/>
      <w:bookmarkStart w:id="74" w:name="_Toc23836614"/>
      <w:bookmarkStart w:id="75" w:name="_Hlk516047558"/>
      <w:r w:rsidRPr="00A841EC">
        <w:t>Revision History</w:t>
      </w:r>
      <w:bookmarkEnd w:id="72"/>
      <w:bookmarkEnd w:id="73"/>
      <w:bookmarkEnd w:id="74"/>
    </w:p>
    <w:p w14:paraId="3661732B" w14:textId="277A4005" w:rsidR="00CA1CB3" w:rsidRPr="00A841EC" w:rsidRDefault="00742F88" w:rsidP="00A04BF1">
      <w:pPr>
        <w:pStyle w:val="Caption"/>
      </w:pPr>
      <w:bookmarkStart w:id="76" w:name="_Hlk515959178"/>
      <w:r w:rsidRPr="00A841EC">
        <w:t>Measure Characterization Revision History</w:t>
      </w:r>
    </w:p>
    <w:tbl>
      <w:tblPr>
        <w:tblW w:w="5000" w:type="pct"/>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ayout w:type="fixed"/>
        <w:tblCellMar>
          <w:left w:w="115" w:type="dxa"/>
          <w:right w:w="115" w:type="dxa"/>
        </w:tblCellMar>
        <w:tblLook w:val="04A0" w:firstRow="1" w:lastRow="0" w:firstColumn="1" w:lastColumn="0" w:noHBand="0" w:noVBand="1"/>
      </w:tblPr>
      <w:tblGrid>
        <w:gridCol w:w="940"/>
        <w:gridCol w:w="1664"/>
        <w:gridCol w:w="1891"/>
        <w:gridCol w:w="4855"/>
      </w:tblGrid>
      <w:tr w:rsidR="00CA1CB3" w:rsidRPr="00A841EC" w14:paraId="1904D58C" w14:textId="6E96D877" w:rsidTr="00036EFF">
        <w:trPr>
          <w:trHeight w:val="20"/>
        </w:trPr>
        <w:tc>
          <w:tcPr>
            <w:tcW w:w="503" w:type="pct"/>
            <w:shd w:val="clear" w:color="auto" w:fill="F2F2F2" w:themeFill="background1" w:themeFillShade="F2"/>
            <w:vAlign w:val="bottom"/>
          </w:tcPr>
          <w:p w14:paraId="5365A71C" w14:textId="5EB86E00" w:rsidR="00CA1CB3" w:rsidRPr="00A841EC" w:rsidRDefault="00CA1CB3" w:rsidP="00871123">
            <w:pPr>
              <w:keepNext/>
              <w:keepLines/>
              <w:tabs>
                <w:tab w:val="right" w:pos="2957"/>
              </w:tabs>
              <w:spacing w:before="20" w:after="20"/>
              <w:rPr>
                <w:rFonts w:cs="Arial"/>
                <w:b/>
                <w:sz w:val="20"/>
                <w:szCs w:val="20"/>
              </w:rPr>
            </w:pPr>
            <w:r w:rsidRPr="00A841EC">
              <w:rPr>
                <w:rFonts w:cs="Arial"/>
                <w:b/>
                <w:sz w:val="20"/>
                <w:szCs w:val="20"/>
              </w:rPr>
              <w:t>Revision Number</w:t>
            </w:r>
          </w:p>
        </w:tc>
        <w:tc>
          <w:tcPr>
            <w:tcW w:w="890" w:type="pct"/>
            <w:shd w:val="clear" w:color="auto" w:fill="F2F2F2" w:themeFill="background1" w:themeFillShade="F2"/>
            <w:vAlign w:val="bottom"/>
          </w:tcPr>
          <w:p w14:paraId="7DC8BCED" w14:textId="014AA234" w:rsidR="00CA1CB3" w:rsidRPr="00A841EC" w:rsidRDefault="00036EFF" w:rsidP="00871123">
            <w:pPr>
              <w:keepNext/>
              <w:keepLines/>
              <w:spacing w:before="20" w:after="20"/>
              <w:rPr>
                <w:rFonts w:cs="Arial"/>
                <w:b/>
                <w:sz w:val="20"/>
                <w:szCs w:val="20"/>
              </w:rPr>
            </w:pPr>
            <w:r w:rsidRPr="00A841EC">
              <w:rPr>
                <w:rFonts w:cs="Arial"/>
                <w:b/>
                <w:sz w:val="20"/>
                <w:szCs w:val="20"/>
              </w:rPr>
              <w:t xml:space="preserve">Revision Complete </w:t>
            </w:r>
            <w:r w:rsidR="00CA1CB3" w:rsidRPr="00A841EC">
              <w:rPr>
                <w:rFonts w:cs="Arial"/>
                <w:b/>
                <w:sz w:val="20"/>
                <w:szCs w:val="20"/>
              </w:rPr>
              <w:t>Date</w:t>
            </w:r>
          </w:p>
        </w:tc>
        <w:tc>
          <w:tcPr>
            <w:tcW w:w="1011" w:type="pct"/>
            <w:shd w:val="clear" w:color="auto" w:fill="F2F2F2" w:themeFill="background1" w:themeFillShade="F2"/>
            <w:vAlign w:val="bottom"/>
          </w:tcPr>
          <w:p w14:paraId="10DC2402" w14:textId="63223EB6" w:rsidR="00CA1CB3" w:rsidRPr="00A841EC" w:rsidRDefault="00CA1CB3" w:rsidP="00871123">
            <w:pPr>
              <w:keepNext/>
              <w:keepLines/>
              <w:spacing w:before="20" w:after="20"/>
              <w:rPr>
                <w:rFonts w:cs="Arial"/>
                <w:b/>
                <w:sz w:val="20"/>
                <w:szCs w:val="20"/>
              </w:rPr>
            </w:pPr>
            <w:r w:rsidRPr="00A841EC">
              <w:rPr>
                <w:rFonts w:cs="Arial"/>
                <w:b/>
                <w:sz w:val="20"/>
                <w:szCs w:val="20"/>
              </w:rPr>
              <w:t>Primary Author, Title, Organization</w:t>
            </w:r>
          </w:p>
        </w:tc>
        <w:tc>
          <w:tcPr>
            <w:tcW w:w="2596" w:type="pct"/>
            <w:shd w:val="clear" w:color="auto" w:fill="F2F2F2" w:themeFill="background1" w:themeFillShade="F2"/>
            <w:vAlign w:val="bottom"/>
          </w:tcPr>
          <w:p w14:paraId="2BFB4352" w14:textId="7D444C41" w:rsidR="00CA1CB3" w:rsidRPr="00A841EC" w:rsidRDefault="00CA1CB3" w:rsidP="00871123">
            <w:pPr>
              <w:keepNext/>
              <w:keepLines/>
              <w:spacing w:before="20" w:after="20"/>
              <w:rPr>
                <w:rFonts w:cs="Arial"/>
                <w:b/>
                <w:sz w:val="20"/>
                <w:szCs w:val="20"/>
              </w:rPr>
            </w:pPr>
            <w:r w:rsidRPr="00A841EC">
              <w:rPr>
                <w:rFonts w:cs="Arial"/>
                <w:b/>
                <w:sz w:val="20"/>
                <w:szCs w:val="20"/>
              </w:rPr>
              <w:t>Revision Summary and Rationale for Revision</w:t>
            </w:r>
          </w:p>
        </w:tc>
      </w:tr>
      <w:tr w:rsidR="00E37C27" w:rsidRPr="00CA1CB3" w14:paraId="0A9DBD7D" w14:textId="04A29668" w:rsidTr="00B4215E">
        <w:trPr>
          <w:trHeight w:val="20"/>
        </w:trPr>
        <w:tc>
          <w:tcPr>
            <w:tcW w:w="503" w:type="pct"/>
            <w:vMerge w:val="restart"/>
            <w:vAlign w:val="center"/>
          </w:tcPr>
          <w:p w14:paraId="38788C98" w14:textId="73597B97" w:rsidR="00E37C27" w:rsidRPr="00A841EC" w:rsidRDefault="00E37C27" w:rsidP="00B4215E">
            <w:pPr>
              <w:keepNext/>
              <w:keepLines/>
              <w:spacing w:before="20" w:after="20"/>
              <w:jc w:val="center"/>
              <w:rPr>
                <w:rFonts w:cs="Arial"/>
                <w:sz w:val="20"/>
                <w:szCs w:val="20"/>
              </w:rPr>
            </w:pPr>
            <w:r w:rsidRPr="00A841EC">
              <w:rPr>
                <w:rFonts w:cs="Arial"/>
                <w:sz w:val="20"/>
                <w:szCs w:val="20"/>
              </w:rPr>
              <w:t>01</w:t>
            </w:r>
          </w:p>
        </w:tc>
        <w:tc>
          <w:tcPr>
            <w:tcW w:w="890" w:type="pct"/>
            <w:vAlign w:val="center"/>
          </w:tcPr>
          <w:p w14:paraId="38AA108D" w14:textId="6A585CEC" w:rsidR="00E37C27" w:rsidRDefault="00E37C27" w:rsidP="00B4215E">
            <w:pPr>
              <w:keepNext/>
              <w:keepLines/>
              <w:spacing w:before="20" w:after="20"/>
              <w:jc w:val="center"/>
              <w:rPr>
                <w:rFonts w:cs="Arial"/>
                <w:sz w:val="20"/>
                <w:szCs w:val="20"/>
              </w:rPr>
            </w:pPr>
            <w:r w:rsidRPr="00A841EC">
              <w:rPr>
                <w:rFonts w:cs="Arial"/>
                <w:sz w:val="20"/>
                <w:szCs w:val="20"/>
              </w:rPr>
              <w:t>10/31/2019</w:t>
            </w:r>
          </w:p>
          <w:p w14:paraId="5AF1B927" w14:textId="77777777" w:rsidR="00E37C27" w:rsidRDefault="00E37C27" w:rsidP="00B4215E">
            <w:pPr>
              <w:keepNext/>
              <w:keepLines/>
              <w:spacing w:before="20" w:after="20"/>
              <w:jc w:val="center"/>
              <w:rPr>
                <w:rFonts w:cs="Arial"/>
                <w:sz w:val="20"/>
                <w:szCs w:val="20"/>
              </w:rPr>
            </w:pPr>
          </w:p>
          <w:p w14:paraId="03B67B1D" w14:textId="0658EAD5" w:rsidR="00E37C27" w:rsidRPr="00A841EC" w:rsidRDefault="00E37C27" w:rsidP="00F1142D">
            <w:pPr>
              <w:keepNext/>
              <w:keepLines/>
              <w:spacing w:before="20" w:after="20"/>
              <w:jc w:val="center"/>
              <w:rPr>
                <w:rFonts w:cs="Arial"/>
                <w:sz w:val="20"/>
                <w:szCs w:val="20"/>
              </w:rPr>
            </w:pPr>
          </w:p>
        </w:tc>
        <w:tc>
          <w:tcPr>
            <w:tcW w:w="1011" w:type="pct"/>
            <w:vAlign w:val="center"/>
          </w:tcPr>
          <w:p w14:paraId="32D154D7" w14:textId="05903230" w:rsidR="00E37C27" w:rsidRPr="00A841EC" w:rsidRDefault="00E37C27" w:rsidP="00B4215E">
            <w:pPr>
              <w:keepNext/>
              <w:keepLines/>
              <w:spacing w:before="20" w:after="20"/>
              <w:jc w:val="center"/>
              <w:rPr>
                <w:rFonts w:cs="Arial"/>
                <w:sz w:val="20"/>
                <w:szCs w:val="20"/>
              </w:rPr>
            </w:pPr>
            <w:r w:rsidRPr="00A841EC">
              <w:rPr>
                <w:rFonts w:cs="Arial"/>
                <w:sz w:val="20"/>
                <w:szCs w:val="20"/>
              </w:rPr>
              <w:t>RMS Energy Consulting, LLC.</w:t>
            </w:r>
          </w:p>
        </w:tc>
        <w:tc>
          <w:tcPr>
            <w:tcW w:w="2596" w:type="pct"/>
            <w:vAlign w:val="center"/>
          </w:tcPr>
          <w:p w14:paraId="74FA339A" w14:textId="77777777" w:rsidR="00E37C27" w:rsidRPr="00A841EC" w:rsidRDefault="00E37C27" w:rsidP="00B4215E">
            <w:pPr>
              <w:keepNext/>
              <w:keepLines/>
              <w:spacing w:before="20" w:after="20"/>
              <w:rPr>
                <w:rFonts w:cs="Calibri Light"/>
                <w:sz w:val="20"/>
                <w:szCs w:val="20"/>
              </w:rPr>
            </w:pPr>
            <w:r w:rsidRPr="00A841EC">
              <w:rPr>
                <w:rFonts w:cs="Calibri Light"/>
                <w:sz w:val="20"/>
                <w:szCs w:val="20"/>
              </w:rPr>
              <w:t>Draft of consolidated text for this statewide measure is based upon:</w:t>
            </w:r>
          </w:p>
          <w:p w14:paraId="6C70C36F" w14:textId="0FE415FA" w:rsidR="00E37C27" w:rsidRPr="00B4215E" w:rsidRDefault="00E37C27" w:rsidP="00B4215E">
            <w:pPr>
              <w:keepNext/>
              <w:keepLines/>
              <w:spacing w:before="20" w:after="20"/>
              <w:rPr>
                <w:rFonts w:cs="Calibri Light"/>
                <w:sz w:val="20"/>
                <w:szCs w:val="20"/>
              </w:rPr>
            </w:pPr>
            <w:r w:rsidRPr="00A841EC">
              <w:rPr>
                <w:rFonts w:cs="Calibri Light"/>
                <w:sz w:val="20"/>
                <w:szCs w:val="20"/>
              </w:rPr>
              <w:t>WPSCGREHC181220A_R0</w:t>
            </w:r>
          </w:p>
        </w:tc>
      </w:tr>
      <w:tr w:rsidR="00E37C27" w:rsidRPr="00CA1CB3" w14:paraId="7AF47EEE" w14:textId="77777777" w:rsidTr="00B4215E">
        <w:trPr>
          <w:trHeight w:val="20"/>
        </w:trPr>
        <w:tc>
          <w:tcPr>
            <w:tcW w:w="503" w:type="pct"/>
            <w:vMerge/>
            <w:vAlign w:val="center"/>
          </w:tcPr>
          <w:p w14:paraId="21528700" w14:textId="77777777" w:rsidR="00E37C27" w:rsidRPr="00A841EC" w:rsidRDefault="00E37C27" w:rsidP="00B4215E">
            <w:pPr>
              <w:keepNext/>
              <w:keepLines/>
              <w:spacing w:before="20" w:after="20"/>
              <w:jc w:val="center"/>
              <w:rPr>
                <w:rFonts w:cs="Arial"/>
                <w:sz w:val="20"/>
                <w:szCs w:val="20"/>
              </w:rPr>
            </w:pPr>
          </w:p>
        </w:tc>
        <w:tc>
          <w:tcPr>
            <w:tcW w:w="890" w:type="pct"/>
            <w:vAlign w:val="center"/>
          </w:tcPr>
          <w:p w14:paraId="1E84A05A" w14:textId="77777777" w:rsidR="00E37C27" w:rsidRDefault="00E37C27" w:rsidP="00F1142D">
            <w:pPr>
              <w:keepNext/>
              <w:keepLines/>
              <w:spacing w:before="20" w:after="20"/>
              <w:jc w:val="center"/>
              <w:rPr>
                <w:rFonts w:cs="Arial"/>
                <w:sz w:val="20"/>
                <w:szCs w:val="20"/>
              </w:rPr>
            </w:pPr>
          </w:p>
          <w:p w14:paraId="072F1590" w14:textId="42BF0E4E" w:rsidR="00E37C27" w:rsidRDefault="00E37C27" w:rsidP="00F1142D">
            <w:pPr>
              <w:keepNext/>
              <w:keepLines/>
              <w:spacing w:before="20" w:after="20"/>
              <w:jc w:val="center"/>
              <w:rPr>
                <w:rFonts w:cs="Arial"/>
                <w:sz w:val="20"/>
                <w:szCs w:val="20"/>
              </w:rPr>
            </w:pPr>
            <w:r>
              <w:rPr>
                <w:rFonts w:cs="Arial"/>
                <w:sz w:val="20"/>
                <w:szCs w:val="20"/>
              </w:rPr>
              <w:t>05/27/2020</w:t>
            </w:r>
          </w:p>
          <w:p w14:paraId="7611D45A" w14:textId="77777777" w:rsidR="00E37C27" w:rsidRPr="00A841EC" w:rsidRDefault="00E37C27" w:rsidP="00B4215E">
            <w:pPr>
              <w:keepNext/>
              <w:keepLines/>
              <w:spacing w:before="20" w:after="20"/>
              <w:jc w:val="center"/>
              <w:rPr>
                <w:rFonts w:cs="Arial"/>
                <w:sz w:val="20"/>
                <w:szCs w:val="20"/>
              </w:rPr>
            </w:pPr>
          </w:p>
        </w:tc>
        <w:tc>
          <w:tcPr>
            <w:tcW w:w="1011" w:type="pct"/>
            <w:vAlign w:val="center"/>
          </w:tcPr>
          <w:p w14:paraId="250C7A3B" w14:textId="4ADD47D5" w:rsidR="00E37C27" w:rsidRPr="00A841EC" w:rsidRDefault="00E37C27" w:rsidP="00B4215E">
            <w:pPr>
              <w:keepNext/>
              <w:keepLines/>
              <w:spacing w:before="20" w:after="20"/>
              <w:jc w:val="center"/>
              <w:rPr>
                <w:rFonts w:cs="Arial"/>
                <w:sz w:val="20"/>
                <w:szCs w:val="20"/>
              </w:rPr>
            </w:pPr>
            <w:r>
              <w:rPr>
                <w:rFonts w:cs="Arial"/>
                <w:sz w:val="20"/>
                <w:szCs w:val="20"/>
              </w:rPr>
              <w:t>Eduardo Reynoso, SDG&amp;E</w:t>
            </w:r>
          </w:p>
        </w:tc>
        <w:tc>
          <w:tcPr>
            <w:tcW w:w="2596" w:type="pct"/>
            <w:vAlign w:val="center"/>
          </w:tcPr>
          <w:p w14:paraId="6AB9F4E2" w14:textId="21E3ABA6" w:rsidR="00E37C27" w:rsidRPr="00A841EC" w:rsidRDefault="00E37C27" w:rsidP="00B4215E">
            <w:pPr>
              <w:keepNext/>
              <w:keepLines/>
              <w:spacing w:before="20" w:after="20"/>
              <w:rPr>
                <w:rFonts w:cs="Calibri Light"/>
                <w:sz w:val="20"/>
                <w:szCs w:val="20"/>
              </w:rPr>
            </w:pPr>
            <w:r>
              <w:rPr>
                <w:rFonts w:cs="Calibri Light"/>
                <w:sz w:val="20"/>
                <w:szCs w:val="20"/>
              </w:rPr>
              <w:t>Workpaper measure adoption by SDG&amp;E, no changes to energy efficiency savings or cost. Updated Ex-ante Implementation data table. No other changes.</w:t>
            </w:r>
          </w:p>
        </w:tc>
      </w:tr>
      <w:tr w:rsidR="00E37C27" w:rsidRPr="00CA1CB3" w14:paraId="782BB58F" w14:textId="77777777" w:rsidTr="00B4215E">
        <w:trPr>
          <w:trHeight w:val="20"/>
        </w:trPr>
        <w:tc>
          <w:tcPr>
            <w:tcW w:w="503" w:type="pct"/>
            <w:vMerge/>
            <w:vAlign w:val="center"/>
          </w:tcPr>
          <w:p w14:paraId="272AF772" w14:textId="77777777" w:rsidR="00E37C27" w:rsidRPr="00A841EC" w:rsidRDefault="00E37C27" w:rsidP="00B4215E">
            <w:pPr>
              <w:keepNext/>
              <w:keepLines/>
              <w:spacing w:before="20" w:after="20"/>
              <w:jc w:val="center"/>
              <w:rPr>
                <w:rFonts w:cs="Arial"/>
                <w:sz w:val="20"/>
                <w:szCs w:val="20"/>
              </w:rPr>
            </w:pPr>
          </w:p>
        </w:tc>
        <w:tc>
          <w:tcPr>
            <w:tcW w:w="890" w:type="pct"/>
            <w:vAlign w:val="center"/>
          </w:tcPr>
          <w:p w14:paraId="36638C35" w14:textId="247131A7" w:rsidR="00E37C27" w:rsidRDefault="00E37C27" w:rsidP="00F1142D">
            <w:pPr>
              <w:keepNext/>
              <w:keepLines/>
              <w:spacing w:before="20" w:after="20"/>
              <w:jc w:val="center"/>
              <w:rPr>
                <w:rFonts w:cs="Arial"/>
                <w:sz w:val="20"/>
                <w:szCs w:val="20"/>
              </w:rPr>
            </w:pPr>
            <w:r>
              <w:rPr>
                <w:rFonts w:cs="Arial"/>
                <w:sz w:val="20"/>
                <w:szCs w:val="20"/>
              </w:rPr>
              <w:t>03/15/2021</w:t>
            </w:r>
          </w:p>
        </w:tc>
        <w:tc>
          <w:tcPr>
            <w:tcW w:w="1011" w:type="pct"/>
            <w:vAlign w:val="center"/>
          </w:tcPr>
          <w:p w14:paraId="01BB2B3C" w14:textId="77777777" w:rsidR="00E37C27" w:rsidRDefault="00E37C27" w:rsidP="00B4215E">
            <w:pPr>
              <w:keepNext/>
              <w:keepLines/>
              <w:spacing w:before="20" w:after="20"/>
              <w:jc w:val="center"/>
              <w:rPr>
                <w:rFonts w:cs="Arial"/>
                <w:sz w:val="20"/>
                <w:szCs w:val="20"/>
              </w:rPr>
            </w:pPr>
            <w:r>
              <w:rPr>
                <w:rFonts w:cs="Arial"/>
                <w:sz w:val="20"/>
                <w:szCs w:val="20"/>
              </w:rPr>
              <w:t>Adan Rosillo</w:t>
            </w:r>
          </w:p>
          <w:p w14:paraId="2406A526" w14:textId="2D5096D7" w:rsidR="00E37C27" w:rsidRDefault="00E37C27" w:rsidP="00B4215E">
            <w:pPr>
              <w:keepNext/>
              <w:keepLines/>
              <w:spacing w:before="20" w:after="20"/>
              <w:jc w:val="center"/>
              <w:rPr>
                <w:rFonts w:cs="Arial"/>
                <w:sz w:val="20"/>
                <w:szCs w:val="20"/>
              </w:rPr>
            </w:pPr>
            <w:r>
              <w:rPr>
                <w:rFonts w:cs="Arial"/>
                <w:sz w:val="20"/>
                <w:szCs w:val="20"/>
              </w:rPr>
              <w:t>PG&amp;E</w:t>
            </w:r>
          </w:p>
        </w:tc>
        <w:tc>
          <w:tcPr>
            <w:tcW w:w="2596" w:type="pct"/>
            <w:vAlign w:val="center"/>
          </w:tcPr>
          <w:p w14:paraId="2DFA58C1" w14:textId="50736B1C" w:rsidR="00E37C27" w:rsidRDefault="00E3620A" w:rsidP="00B4215E">
            <w:pPr>
              <w:keepNext/>
              <w:keepLines/>
              <w:spacing w:before="20" w:after="20"/>
              <w:rPr>
                <w:rFonts w:cs="Calibri Light"/>
                <w:sz w:val="20"/>
                <w:szCs w:val="20"/>
              </w:rPr>
            </w:pPr>
            <w:r>
              <w:rPr>
                <w:rFonts w:cs="Calibri Light"/>
                <w:sz w:val="20"/>
                <w:szCs w:val="20"/>
              </w:rPr>
              <w:t>Added PG&amp;E’s measure codes to adopt indicated measures.</w:t>
            </w:r>
          </w:p>
        </w:tc>
      </w:tr>
    </w:tbl>
    <w:p w14:paraId="5C9CAB2A" w14:textId="77777777" w:rsidR="00085726" w:rsidRDefault="00085726" w:rsidP="00387072">
      <w:bookmarkStart w:id="77" w:name="_GoBack"/>
      <w:bookmarkEnd w:id="71"/>
      <w:bookmarkEnd w:id="75"/>
      <w:bookmarkEnd w:id="76"/>
      <w:bookmarkEnd w:id="77"/>
    </w:p>
    <w:sectPr w:rsidR="00085726" w:rsidSect="005F505E">
      <w:headerReference w:type="default" r:id="rId21"/>
      <w:headerReference w:type="first" r:id="rId22"/>
      <w:endnotePr>
        <w:numFmt w:val="decimal"/>
      </w:end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2B3254" w14:textId="77777777" w:rsidR="00F837E5" w:rsidRDefault="00F837E5" w:rsidP="00A2690C">
      <w:r>
        <w:separator/>
      </w:r>
    </w:p>
    <w:p w14:paraId="4E3666E1" w14:textId="77777777" w:rsidR="00F837E5" w:rsidRDefault="00F837E5"/>
  </w:endnote>
  <w:endnote w:type="continuationSeparator" w:id="0">
    <w:p w14:paraId="1097D972" w14:textId="77777777" w:rsidR="00F837E5" w:rsidRDefault="00F837E5" w:rsidP="00A2690C">
      <w:r>
        <w:continuationSeparator/>
      </w:r>
    </w:p>
    <w:p w14:paraId="2C7D9460" w14:textId="77777777" w:rsidR="00F837E5" w:rsidRDefault="00F837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enir Next">
    <w:altName w:val="Corbel"/>
    <w:charset w:val="00"/>
    <w:family w:val="swiss"/>
    <w:pitch w:val="variable"/>
    <w:sig w:usb0="8000002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Proxima Nova Regular">
    <w:altName w:val="Times New Roman"/>
    <w:charset w:val="00"/>
    <w:family w:val="auto"/>
    <w:pitch w:val="variable"/>
    <w:sig w:usb0="00000001" w:usb1="5000E0FB" w:usb2="00000000" w:usb3="00000000" w:csb0="0000019B" w:csb1="00000000"/>
  </w:font>
  <w:font w:name="MS PMincho">
    <w:charset w:val="80"/>
    <w:family w:val="roman"/>
    <w:pitch w:val="variable"/>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 w:name="Proxima Nova Light">
    <w:altName w:val="Candara"/>
    <w:charset w:val="00"/>
    <w:family w:val="auto"/>
    <w:pitch w:val="variable"/>
    <w:sig w:usb0="00000001" w:usb1="5000E0FB" w:usb2="00000000" w:usb3="00000000" w:csb0="0000019B" w:csb1="00000000"/>
  </w:font>
  <w:font w:name="MS Gothic">
    <w:altName w:val="ＭＳ ゴシック"/>
    <w:panose1 w:val="020B0609070205080204"/>
    <w:charset w:val="80"/>
    <w:family w:val="modern"/>
    <w:pitch w:val="fixed"/>
    <w:sig w:usb0="E00002FF" w:usb1="6AC7FDFB" w:usb2="08000012" w:usb3="00000000" w:csb0="0002009F" w:csb1="00000000"/>
  </w:font>
  <w:font w:name="Proxima Nova Semibold">
    <w:altName w:val="Candara"/>
    <w:charset w:val="00"/>
    <w:family w:val="auto"/>
    <w:pitch w:val="variable"/>
    <w:sig w:usb0="00000001" w:usb1="5000E0FB" w:usb2="00000000" w:usb3="00000000" w:csb0="0000019B" w:csb1="00000000"/>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458D06" w14:textId="77777777" w:rsidR="005A370B" w:rsidRDefault="005A370B" w:rsidP="000220A0">
    <w:pPr>
      <w:pStyle w:val="Footer"/>
      <w:pBdr>
        <w:top w:val="none" w:sz="0" w:space="0" w:color="auto"/>
      </w:pBdr>
      <w:tabs>
        <w:tab w:val="right" w:pos="9360"/>
      </w:tabs>
      <w:spacing w:before="0"/>
      <w:jc w:val="center"/>
      <w:rPr>
        <w:rStyle w:val="PageNumber"/>
        <w:sz w:val="14"/>
        <w:szCs w:val="14"/>
      </w:rPr>
    </w:pPr>
    <w:r>
      <w:rPr>
        <w:noProof/>
      </w:rPr>
      <w:drawing>
        <wp:inline distT="0" distB="0" distL="0" distR="0" wp14:anchorId="41916C2F" wp14:editId="02F01AEC">
          <wp:extent cx="2223135" cy="160885"/>
          <wp:effectExtent l="0" t="0" r="0" b="0"/>
          <wp:docPr id="1" name="Picture 1" descr="CalTF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alTF_Logo.png"/>
                  <pic:cNvPicPr/>
                </pic:nvPicPr>
                <pic:blipFill rotWithShape="1">
                  <a:blip r:embed="rId1"/>
                  <a:srcRect t="47768" b="41315"/>
                  <a:stretch/>
                </pic:blipFill>
                <pic:spPr bwMode="auto">
                  <a:xfrm>
                    <a:off x="0" y="0"/>
                    <a:ext cx="2349780" cy="170050"/>
                  </a:xfrm>
                  <a:prstGeom prst="rect">
                    <a:avLst/>
                  </a:prstGeom>
                  <a:ln>
                    <a:noFill/>
                  </a:ln>
                  <a:extLst>
                    <a:ext uri="{53640926-AAD7-44D8-BBD7-CCE9431645EC}">
                      <a14:shadowObscured xmlns:a14="http://schemas.microsoft.com/office/drawing/2010/main"/>
                    </a:ext>
                  </a:extLst>
                </pic:spPr>
              </pic:pic>
            </a:graphicData>
          </a:graphic>
        </wp:inline>
      </w:drawing>
    </w:r>
  </w:p>
  <w:p w14:paraId="5C62A141" w14:textId="17400F5A" w:rsidR="005A370B" w:rsidRPr="00B837C1" w:rsidRDefault="005A370B" w:rsidP="000220A0">
    <w:pPr>
      <w:pStyle w:val="Footer"/>
      <w:pBdr>
        <w:top w:val="none" w:sz="0" w:space="0" w:color="auto"/>
      </w:pBdr>
      <w:tabs>
        <w:tab w:val="right" w:pos="9360"/>
      </w:tabs>
      <w:spacing w:before="0"/>
      <w:jc w:val="center"/>
      <w:rPr>
        <w:rStyle w:val="PageNumber"/>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2</w:t>
    </w:r>
    <w:r w:rsidRPr="00B837C1">
      <w:rPr>
        <w:rStyle w:val="PageNumber"/>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9F114B" w14:textId="77777777" w:rsidR="005A370B" w:rsidRDefault="005A370B" w:rsidP="000220A0">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58240" behindDoc="0" locked="0" layoutInCell="1" allowOverlap="1" wp14:anchorId="399E855D" wp14:editId="24F5A954">
          <wp:simplePos x="0" y="0"/>
          <wp:positionH relativeFrom="column">
            <wp:posOffset>2863850</wp:posOffset>
          </wp:positionH>
          <wp:positionV relativeFrom="paragraph">
            <wp:posOffset>-138781</wp:posOffset>
          </wp:positionV>
          <wp:extent cx="210820" cy="579335"/>
          <wp:effectExtent l="0" t="6350" r="11430" b="11430"/>
          <wp:wrapNone/>
          <wp:docPr id="2" name="Picture 2"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46AE5071" w14:textId="63673553" w:rsidR="005A370B" w:rsidRPr="00B837C1" w:rsidRDefault="005A370B" w:rsidP="000220A0">
    <w:pPr>
      <w:pStyle w:val="Footer"/>
      <w:pBdr>
        <w:top w:val="none" w:sz="0" w:space="0" w:color="auto"/>
      </w:pBdr>
      <w:tabs>
        <w:tab w:val="left" w:pos="900"/>
        <w:tab w:val="right" w:pos="9360"/>
      </w:tabs>
      <w:spacing w:before="0"/>
      <w:jc w:val="center"/>
      <w:rPr>
        <w:rFonts w:ascii="Avenir Next" w:hAnsi="Avenir Next"/>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4</w:t>
    </w:r>
    <w:r w:rsidRPr="00B837C1">
      <w:rPr>
        <w:rStyle w:val="PageNumber"/>
        <w:sz w:val="14"/>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F79099" w14:textId="77777777" w:rsidR="005A370B" w:rsidRDefault="005A370B" w:rsidP="005F505E">
    <w:pPr>
      <w:pStyle w:val="Footer"/>
      <w:pBdr>
        <w:top w:val="none" w:sz="0" w:space="0" w:color="auto"/>
      </w:pBdr>
      <w:tabs>
        <w:tab w:val="left" w:pos="900"/>
        <w:tab w:val="right" w:pos="9360"/>
      </w:tabs>
      <w:spacing w:before="0"/>
      <w:jc w:val="center"/>
      <w:rPr>
        <w:rStyle w:val="PageNumber"/>
        <w:sz w:val="14"/>
        <w:szCs w:val="14"/>
      </w:rPr>
    </w:pPr>
    <w:r>
      <w:rPr>
        <w:noProof/>
      </w:rPr>
      <w:drawing>
        <wp:anchor distT="0" distB="0" distL="114300" distR="114300" simplePos="0" relativeHeight="251660288" behindDoc="0" locked="0" layoutInCell="1" allowOverlap="1" wp14:anchorId="6B48D61A" wp14:editId="644A89DF">
          <wp:simplePos x="0" y="0"/>
          <wp:positionH relativeFrom="column">
            <wp:posOffset>2863850</wp:posOffset>
          </wp:positionH>
          <wp:positionV relativeFrom="paragraph">
            <wp:posOffset>-138781</wp:posOffset>
          </wp:positionV>
          <wp:extent cx="210820" cy="579335"/>
          <wp:effectExtent l="0" t="6350" r="11430" b="11430"/>
          <wp:wrapNone/>
          <wp:docPr id="4" name="Picture 4"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jenniferholmes/Documents/___FutEE /CalTF and eTRM/Style Guide Logos Colors Templates/eTRM_Logo.pdf"/>
                  <pic:cNvPicPr>
                    <a:picLocks noChangeAspect="1" noChangeArrowheads="1"/>
                  </pic:cNvPicPr>
                </pic:nvPicPr>
                <pic:blipFill rotWithShape="1">
                  <a:blip r:embed="rId1">
                    <a:extLst>
                      <a:ext uri="{28A0092B-C50C-407E-A947-70E740481C1C}">
                        <a14:useLocalDpi xmlns:a14="http://schemas.microsoft.com/office/drawing/2010/main" val="0"/>
                      </a:ext>
                    </a:extLst>
                  </a:blip>
                  <a:srcRect r="72384" b="53234"/>
                  <a:stretch/>
                </pic:blipFill>
                <pic:spPr bwMode="auto">
                  <a:xfrm rot="5400000">
                    <a:off x="0" y="0"/>
                    <a:ext cx="210820" cy="57933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D71D6C" w14:textId="4508C1FB" w:rsidR="005A370B" w:rsidRPr="005F505E" w:rsidRDefault="005A370B" w:rsidP="005F505E">
    <w:pPr>
      <w:pStyle w:val="Footer"/>
      <w:pBdr>
        <w:top w:val="none" w:sz="0" w:space="0" w:color="auto"/>
      </w:pBdr>
      <w:tabs>
        <w:tab w:val="left" w:pos="900"/>
        <w:tab w:val="right" w:pos="9360"/>
      </w:tabs>
      <w:spacing w:before="0"/>
      <w:jc w:val="center"/>
      <w:rPr>
        <w:rStyle w:val="PageNumber"/>
        <w:rFonts w:ascii="Avenir Next" w:hAnsi="Avenir Next"/>
        <w:color w:val="auto"/>
        <w:sz w:val="14"/>
        <w:szCs w:val="14"/>
      </w:rPr>
    </w:pPr>
    <w:r w:rsidRPr="00B837C1">
      <w:rPr>
        <w:rStyle w:val="PageNumber"/>
        <w:sz w:val="14"/>
        <w:szCs w:val="14"/>
      </w:rPr>
      <w:fldChar w:fldCharType="begin"/>
    </w:r>
    <w:r w:rsidRPr="00B837C1">
      <w:rPr>
        <w:rStyle w:val="PageNumber"/>
        <w:sz w:val="14"/>
        <w:szCs w:val="14"/>
      </w:rPr>
      <w:instrText xml:space="preserve"> PAGE </w:instrText>
    </w:r>
    <w:r w:rsidRPr="00B837C1">
      <w:rPr>
        <w:rStyle w:val="PageNumber"/>
        <w:sz w:val="14"/>
        <w:szCs w:val="14"/>
      </w:rPr>
      <w:fldChar w:fldCharType="separate"/>
    </w:r>
    <w:r>
      <w:rPr>
        <w:rStyle w:val="PageNumber"/>
        <w:noProof/>
        <w:sz w:val="14"/>
        <w:szCs w:val="14"/>
      </w:rPr>
      <w:t>1</w:t>
    </w:r>
    <w:r w:rsidRPr="00B837C1">
      <w:rPr>
        <w:rStyle w:val="PageNumber"/>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674FCC" w14:textId="77777777" w:rsidR="00F837E5" w:rsidRDefault="00F837E5" w:rsidP="00A2690C">
      <w:r>
        <w:separator/>
      </w:r>
    </w:p>
    <w:p w14:paraId="686D3161" w14:textId="77777777" w:rsidR="00F837E5" w:rsidRDefault="00F837E5"/>
  </w:footnote>
  <w:footnote w:type="continuationSeparator" w:id="0">
    <w:p w14:paraId="3154E1A4" w14:textId="77777777" w:rsidR="00F837E5" w:rsidRDefault="00F837E5" w:rsidP="00A2690C">
      <w:r>
        <w:continuationSeparator/>
      </w:r>
    </w:p>
    <w:p w14:paraId="20612A1F" w14:textId="77777777" w:rsidR="00F837E5" w:rsidRDefault="00F837E5"/>
  </w:footnote>
  <w:footnote w:id="1">
    <w:p w14:paraId="353957AB" w14:textId="3A955B4E" w:rsidR="005A370B" w:rsidRDefault="005A370B">
      <w:pPr>
        <w:pStyle w:val="FootnoteText"/>
      </w:pPr>
      <w:r>
        <w:rPr>
          <w:rStyle w:val="FootnoteReference"/>
        </w:rPr>
        <w:footnoteRef/>
      </w:r>
      <w:r>
        <w:t xml:space="preserve"> U.S. Department of Energy (DOE), Energy Conservation Program. 2010. “Energy Conservation Program: Energy Conservation Standards for Residential Water Heaters, Direct Heating Equipment, and Pool Heaters; Final Rule.” </w:t>
      </w:r>
      <w:r>
        <w:rPr>
          <w:rStyle w:val="Emphasis"/>
        </w:rPr>
        <w:t>Federal Register.</w:t>
      </w:r>
      <w:r>
        <w:t xml:space="preserve"> Vol. 75, No. 73. April 16. </w:t>
      </w:r>
    </w:p>
  </w:footnote>
  <w:footnote w:id="2">
    <w:p w14:paraId="29509854" w14:textId="0FAFCBA1" w:rsidR="005A370B" w:rsidRDefault="005A370B" w:rsidP="00492CE7">
      <w:pPr>
        <w:pStyle w:val="FootnoteText"/>
      </w:pPr>
      <w:r>
        <w:rPr>
          <w:rStyle w:val="FootnoteReference"/>
        </w:rPr>
        <w:footnoteRef/>
      </w:r>
      <w:r>
        <w:t xml:space="preserve"> Cadmus. 2013</w:t>
      </w:r>
      <w:r w:rsidRPr="00CB0319">
        <w:rPr>
          <w:i/>
          <w:iCs/>
        </w:rPr>
        <w:t xml:space="preserve">. Efficient Direct Vent Gas Fireplaces in Oregon. </w:t>
      </w:r>
      <w:r>
        <w:t xml:space="preserve">Prepared for the Energy Trust of Oregon, Inc. (ETO). December 5. </w:t>
      </w:r>
    </w:p>
  </w:footnote>
  <w:footnote w:id="3">
    <w:p w14:paraId="7006B6A0" w14:textId="6509BAD0" w:rsidR="005A370B" w:rsidRDefault="005A370B" w:rsidP="0008141A">
      <w:pPr>
        <w:pStyle w:val="FootnoteText"/>
      </w:pPr>
      <w:r>
        <w:rPr>
          <w:rStyle w:val="FootnoteReference"/>
        </w:rPr>
        <w:footnoteRef/>
      </w:r>
      <w:r>
        <w:t xml:space="preserve"> </w:t>
      </w:r>
      <w:r w:rsidRPr="00991C23">
        <w:t xml:space="preserve">Northwest Natural. 2014. </w:t>
      </w:r>
      <w:r w:rsidRPr="00991C23">
        <w:rPr>
          <w:i/>
          <w:iCs/>
        </w:rPr>
        <w:t xml:space="preserve">NW Natural’s 2015 Energy Efficiency Plan. </w:t>
      </w:r>
      <w:hyperlink r:id="rId1" w:history="1">
        <w:r w:rsidRPr="003F7CD4">
          <w:rPr>
            <w:rStyle w:val="Hyperlink"/>
            <w:color w:val="auto"/>
            <w:u w:val="none"/>
          </w:rPr>
          <w:t>November</w:t>
        </w:r>
      </w:hyperlink>
      <w:r w:rsidRPr="00991C23">
        <w:t xml:space="preserve"> 13. See Exhibit A.</w:t>
      </w:r>
    </w:p>
  </w:footnote>
  <w:footnote w:id="4">
    <w:p w14:paraId="67956043" w14:textId="4480512F" w:rsidR="005A370B" w:rsidRDefault="005A370B" w:rsidP="005C4A7F">
      <w:pPr>
        <w:pStyle w:val="FootnoteText"/>
      </w:pPr>
      <w:r>
        <w:rPr>
          <w:rStyle w:val="FootnoteReference"/>
        </w:rPr>
        <w:footnoteRef/>
      </w:r>
      <w:r>
        <w:t xml:space="preserve"> Siap, D., H. Willem, S. Price, H. Yang, and A. Lekov (Lawrence Berkeley National Laboratory, LBNL). 2017. </w:t>
      </w:r>
      <w:r w:rsidRPr="00CB0319">
        <w:rPr>
          <w:i/>
          <w:iCs/>
        </w:rPr>
        <w:t>Survey of Hearth Products in U.S. Homes.</w:t>
      </w:r>
      <w:r>
        <w:t xml:space="preserve"> June.</w:t>
      </w:r>
    </w:p>
  </w:footnote>
  <w:footnote w:id="5">
    <w:p w14:paraId="3ACD6678" w14:textId="404920E2" w:rsidR="005A370B" w:rsidRDefault="005A370B">
      <w:pPr>
        <w:pStyle w:val="FootnoteText"/>
      </w:pPr>
      <w:r>
        <w:rPr>
          <w:rStyle w:val="FootnoteReference"/>
        </w:rPr>
        <w:footnoteRef/>
      </w:r>
      <w:r>
        <w:t xml:space="preserve"> California Energy Commission (CEC). 2015. </w:t>
      </w:r>
      <w:r>
        <w:rPr>
          <w:rStyle w:val="Emphasis"/>
        </w:rPr>
        <w:t>2016 Building Energy Efficiency Standards for Residential and Nonresidential Buildings</w:t>
      </w:r>
      <w:r>
        <w:t>. CEC-400-2015-037-CMF.</w:t>
      </w:r>
    </w:p>
  </w:footnote>
  <w:footnote w:id="6">
    <w:p w14:paraId="052CBA9C" w14:textId="1DBFCFC1" w:rsidR="005A370B" w:rsidRDefault="005A370B">
      <w:pPr>
        <w:pStyle w:val="FootnoteText"/>
      </w:pPr>
      <w:r>
        <w:rPr>
          <w:rStyle w:val="FootnoteReference"/>
        </w:rPr>
        <w:footnoteRef/>
      </w:r>
      <w:r>
        <w:t xml:space="preserve"> U.S. Department of Energy (DOE), Energy Conservation Program. 2010. “Energy Conservation Program: Energy Conservation Standards for Residential Water Heaters, Direct Heating Equipment, and Pool Heaters; Final Rule.” </w:t>
      </w:r>
      <w:r>
        <w:rPr>
          <w:rStyle w:val="Emphasis"/>
        </w:rPr>
        <w:t>Federal Register.</w:t>
      </w:r>
      <w:r>
        <w:t xml:space="preserve"> Vol. 75, No. 73. April 16.</w:t>
      </w:r>
    </w:p>
  </w:footnote>
  <w:footnote w:id="7">
    <w:p w14:paraId="193C6C9F" w14:textId="313F9657" w:rsidR="005A370B" w:rsidRDefault="005A370B" w:rsidP="007E3A1D">
      <w:pPr>
        <w:pStyle w:val="FootnoteText"/>
      </w:pPr>
      <w:r>
        <w:rPr>
          <w:rStyle w:val="FootnoteReference"/>
        </w:rPr>
        <w:footnoteRef/>
      </w:r>
      <w:r>
        <w:t xml:space="preserve"> U.S. Department of Energy (DOE), Energy Conservation Program. 2010. “Energy Conservation Program: Energy Conservation Standards for Direct Heating Equipment; Final Rule.” </w:t>
      </w:r>
      <w:r>
        <w:rPr>
          <w:rStyle w:val="Emphasis"/>
        </w:rPr>
        <w:t>Federal Register.</w:t>
      </w:r>
      <w:r>
        <w:t xml:space="preserve"> Vol. 76, No. 223. November 18.</w:t>
      </w:r>
    </w:p>
  </w:footnote>
  <w:footnote w:id="8">
    <w:p w14:paraId="5FEFD58D" w14:textId="1B23CDA4" w:rsidR="005A370B" w:rsidRDefault="005A370B" w:rsidP="007E3A1D">
      <w:pPr>
        <w:pStyle w:val="FootnoteText"/>
      </w:pPr>
      <w:r>
        <w:rPr>
          <w:rStyle w:val="FootnoteReference"/>
        </w:rPr>
        <w:footnoteRef/>
      </w:r>
      <w:r>
        <w:t xml:space="preserve"> </w:t>
      </w:r>
      <w:hyperlink r:id="rId2" w:history="1">
        <w:r>
          <w:rPr>
            <w:rStyle w:val="eTRMFootnoteTextChar"/>
          </w:rPr>
          <w:t>706</w:t>
        </w:r>
        <w:r w:rsidRPr="00CB0319">
          <w:rPr>
            <w:rStyle w:val="eTRMFootnoteTextChar"/>
          </w:rPr>
          <w:t xml:space="preserve"> F.3d </w:t>
        </w:r>
        <w:r>
          <w:rPr>
            <w:rStyle w:val="eTRMFootnoteTextChar"/>
          </w:rPr>
          <w:t xml:space="preserve">499. 2013. </w:t>
        </w:r>
        <w:r w:rsidRPr="00CB0319">
          <w:rPr>
            <w:rStyle w:val="eTRMFootnoteTextChar"/>
            <w:i/>
            <w:iCs/>
          </w:rPr>
          <w:t xml:space="preserve">Hearth, Patio &amp; Barbecue Association, et al. v. U.S. Department of Energy. </w:t>
        </w:r>
        <w:r w:rsidRPr="00CB0319">
          <w:rPr>
            <w:rStyle w:val="eTRMFootnoteTextChar"/>
          </w:rPr>
          <w:t> United States Court of Appeals, District of Columbia Circuit.</w:t>
        </w:r>
      </w:hyperlink>
    </w:p>
  </w:footnote>
  <w:footnote w:id="9">
    <w:p w14:paraId="39869BA2" w14:textId="74AE8C8F" w:rsidR="005A370B" w:rsidRDefault="005A370B" w:rsidP="00216433">
      <w:pPr>
        <w:pStyle w:val="FootnoteText"/>
      </w:pPr>
      <w:r>
        <w:rPr>
          <w:rStyle w:val="FootnoteReference"/>
        </w:rPr>
        <w:footnoteRef/>
      </w:r>
      <w:r>
        <w:t xml:space="preserve"> U.S. Department of Energy (DOE), Energy Conservation Program. 2015. “Energy Conservation Program: Energy Conservation Standards for Hearth Products; Proposed Rule.” </w:t>
      </w:r>
      <w:r>
        <w:rPr>
          <w:rStyle w:val="Emphasis"/>
        </w:rPr>
        <w:t>Federal Register.</w:t>
      </w:r>
      <w:r>
        <w:t xml:space="preserve"> Vol. 80, No. 26. February 9.</w:t>
      </w:r>
    </w:p>
  </w:footnote>
  <w:footnote w:id="10">
    <w:p w14:paraId="2F480A09" w14:textId="77777777" w:rsidR="005A370B" w:rsidRDefault="005A370B" w:rsidP="00DF51E1">
      <w:pPr>
        <w:pStyle w:val="FootnoteText"/>
      </w:pPr>
      <w:r w:rsidRPr="7FB13BFA">
        <w:rPr>
          <w:rStyle w:val="FootnoteReference"/>
        </w:rPr>
        <w:footnoteRef/>
      </w:r>
      <w:r>
        <w:t xml:space="preserve"> </w:t>
      </w:r>
      <w:r w:rsidRPr="7FB13BFA">
        <w:t>Track 1 Working Group. 2016. Accelerated Replacement Using Preponderance of Evidence. Version 2.0. December 7.</w:t>
      </w:r>
      <w:r>
        <w:t xml:space="preserve"> </w:t>
      </w:r>
    </w:p>
  </w:footnote>
  <w:footnote w:id="11">
    <w:p w14:paraId="7E5D4065" w14:textId="77777777" w:rsidR="005A370B" w:rsidRDefault="005A370B" w:rsidP="004545D6">
      <w:pPr>
        <w:pStyle w:val="FootnoteText"/>
        <w:rPr>
          <w:rFonts w:asciiTheme="minorHAnsi" w:hAnsiTheme="minorHAnsi" w:cs="Times New Roman"/>
          <w:szCs w:val="20"/>
        </w:rPr>
      </w:pPr>
      <w:r>
        <w:rPr>
          <w:rStyle w:val="FootnoteReference"/>
        </w:rPr>
        <w:footnoteRef/>
      </w:r>
      <w:r>
        <w:t xml:space="preserve"> U.S. Department of Energy (DOE), Energy Conservation Program. 2010. “Energy Conservation Program: Energy Conservation Standards for Residential Water Heaters, Direct Heating Equipment, and Pool Heaters; Final Rule.” </w:t>
      </w:r>
      <w:r>
        <w:rPr>
          <w:rStyle w:val="Emphasis"/>
        </w:rPr>
        <w:t>Federal Register.</w:t>
      </w:r>
      <w:r>
        <w:t xml:space="preserve"> Vol. 75, No. 73. April 16. </w:t>
      </w:r>
      <w:r w:rsidRPr="00CB0319">
        <w:t>Section 3.3.1.2.</w:t>
      </w:r>
    </w:p>
  </w:footnote>
  <w:footnote w:id="12">
    <w:p w14:paraId="5501B666" w14:textId="77777777" w:rsidR="005A370B" w:rsidRDefault="005A370B" w:rsidP="007147C9">
      <w:pPr>
        <w:pStyle w:val="FootnoteText"/>
      </w:pPr>
      <w:r>
        <w:rPr>
          <w:rStyle w:val="FootnoteReference"/>
        </w:rPr>
        <w:footnoteRef/>
      </w:r>
      <w:r>
        <w:t xml:space="preserve"> California Public Utilities Commission (CPUC), Energy Division. 2017. "DEER-WaterHeater-Calculator-v2.1.xlsm." Updated July 10, 2017.</w:t>
      </w:r>
    </w:p>
  </w:footnote>
  <w:footnote w:id="13">
    <w:p w14:paraId="2B2D0C0C" w14:textId="3861EEE8" w:rsidR="009042B2" w:rsidRDefault="009042B2">
      <w:pPr>
        <w:pStyle w:val="FootnoteText"/>
      </w:pPr>
      <w:r>
        <w:rPr>
          <w:rStyle w:val="FootnoteReference"/>
        </w:rPr>
        <w:footnoteRef/>
      </w:r>
      <w:r>
        <w:t xml:space="preserve"> </w:t>
      </w:r>
    </w:p>
  </w:footnote>
  <w:footnote w:id="14">
    <w:p w14:paraId="55B852C4" w14:textId="25FAD7B9" w:rsidR="005A370B" w:rsidRDefault="005A370B" w:rsidP="00D10403">
      <w:pPr>
        <w:pStyle w:val="FootnoteText"/>
      </w:pPr>
      <w:r>
        <w:rPr>
          <w:rStyle w:val="FootnoteReference"/>
        </w:rPr>
        <w:footnoteRef/>
      </w:r>
      <w:r>
        <w:t xml:space="preserve"> U.S. Department of Energy (DOE). 2010. “</w:t>
      </w:r>
      <w:r w:rsidRPr="008B6A6D">
        <w:t>2010-03-24_Life_Cycle_Cost_DHE_Equipment.xlsx</w:t>
      </w:r>
      <w:r>
        <w:t>.”</w:t>
      </w:r>
    </w:p>
  </w:footnote>
  <w:footnote w:id="15">
    <w:p w14:paraId="3C891A0A" w14:textId="77777777" w:rsidR="005A370B" w:rsidRDefault="005A370B" w:rsidP="00516339">
      <w:pPr>
        <w:pStyle w:val="FootnoteText"/>
      </w:pPr>
      <w:r>
        <w:rPr>
          <w:rStyle w:val="FootnoteReference"/>
        </w:rPr>
        <w:footnoteRef/>
      </w:r>
      <w:r>
        <w:t xml:space="preserve"> </w:t>
      </w:r>
      <w:r w:rsidRPr="00DA0589">
        <w:rPr>
          <w:rFonts w:cs="Calibri Light"/>
        </w:rPr>
        <w:t xml:space="preserve">Southern California Gas Company (SCG). </w:t>
      </w:r>
      <w:r>
        <w:rPr>
          <w:rFonts w:cs="Calibri Light"/>
        </w:rPr>
        <w:t>2013. “</w:t>
      </w:r>
      <w:r w:rsidRPr="00DA0589">
        <w:rPr>
          <w:rStyle w:val="Hyperlink"/>
          <w:rFonts w:cs="Calibri Light"/>
          <w:color w:val="auto"/>
          <w:u w:val="none"/>
        </w:rPr>
        <w:t>WPSCGREHC180723A-Rev00_Intermittent Pilot Light_Att C_CompareWeatherData-v4.xlsm.</w:t>
      </w:r>
      <w:r>
        <w:rPr>
          <w:rStyle w:val="Hyperlink"/>
          <w:rFonts w:cs="Calibri Light"/>
          <w:color w:val="auto"/>
          <w:u w:val="none"/>
        </w:rPr>
        <w:t>” July 3.</w:t>
      </w:r>
    </w:p>
  </w:footnote>
  <w:footnote w:id="16">
    <w:p w14:paraId="0FD5062B" w14:textId="59348402" w:rsidR="007008D3" w:rsidRDefault="007008D3">
      <w:pPr>
        <w:pStyle w:val="FootnoteText"/>
      </w:pPr>
      <w:r>
        <w:rPr>
          <w:rStyle w:val="FootnoteReference"/>
        </w:rPr>
        <w:footnoteRef/>
      </w:r>
      <w:r>
        <w:t xml:space="preserve"> </w:t>
      </w:r>
      <w:r w:rsidR="00F57CFD" w:rsidRPr="00F57CFD">
        <w:t>WPSCGREHC181220A_Rev00_Att. F-Furnace Calculations</w:t>
      </w:r>
      <w:r w:rsidR="00F57CFD">
        <w:t>.xls</w:t>
      </w:r>
    </w:p>
  </w:footnote>
  <w:footnote w:id="17">
    <w:p w14:paraId="3C968854" w14:textId="77777777" w:rsidR="005A370B" w:rsidRDefault="005A370B" w:rsidP="00555D0C">
      <w:pPr>
        <w:pStyle w:val="FootnoteText"/>
      </w:pPr>
      <w:r>
        <w:rPr>
          <w:rStyle w:val="FootnoteReference"/>
        </w:rPr>
        <w:footnoteRef/>
      </w:r>
      <w:r>
        <w:t xml:space="preserve"> Living room sizes were estimated from an array of different online retail and home improvement websites. However, no specific study was identified to provide an average room size.</w:t>
      </w:r>
    </w:p>
  </w:footnote>
  <w:footnote w:id="18">
    <w:p w14:paraId="6EC3E4E0" w14:textId="485767EC" w:rsidR="005A370B" w:rsidRDefault="005A370B">
      <w:pPr>
        <w:pStyle w:val="FootnoteText"/>
      </w:pPr>
      <w:r>
        <w:rPr>
          <w:rStyle w:val="FootnoteReference"/>
        </w:rPr>
        <w:footnoteRef/>
      </w:r>
      <w:r>
        <w:t xml:space="preserve"> Siap, D., H. Willem, S. Price, H. Yang, and A. Lekov (Lawrence Berkeley National Laboratory, LBNL). 2017. </w:t>
      </w:r>
      <w:r w:rsidRPr="00CB0319">
        <w:rPr>
          <w:i/>
          <w:iCs/>
        </w:rPr>
        <w:t>Survey of Hearth Products in U.S. Homes.</w:t>
      </w:r>
      <w:r>
        <w:t xml:space="preserve"> June.</w:t>
      </w:r>
    </w:p>
  </w:footnote>
  <w:footnote w:id="19">
    <w:p w14:paraId="4877E3C1" w14:textId="40A54536" w:rsidR="005A370B" w:rsidRDefault="005A370B">
      <w:pPr>
        <w:pStyle w:val="FootnoteText"/>
      </w:pPr>
      <w:r>
        <w:rPr>
          <w:rStyle w:val="FootnoteReference"/>
        </w:rPr>
        <w:footnoteRef/>
      </w:r>
      <w:r>
        <w:t xml:space="preserve"> </w:t>
      </w:r>
      <w:r w:rsidRPr="00991C23">
        <w:t xml:space="preserve">Northwest Natural. 2014. </w:t>
      </w:r>
      <w:r w:rsidRPr="00991C23">
        <w:rPr>
          <w:i/>
          <w:iCs/>
        </w:rPr>
        <w:t xml:space="preserve">NW Natural’s 2015 Energy Efficiency Plan. </w:t>
      </w:r>
      <w:hyperlink r:id="rId3" w:history="1">
        <w:r w:rsidRPr="00C9491F">
          <w:rPr>
            <w:rStyle w:val="Hyperlink"/>
            <w:color w:val="auto"/>
            <w:u w:val="none"/>
          </w:rPr>
          <w:t>November</w:t>
        </w:r>
      </w:hyperlink>
      <w:r w:rsidRPr="00991C23">
        <w:t xml:space="preserve"> 13. See Exhibit A.</w:t>
      </w:r>
    </w:p>
  </w:footnote>
  <w:footnote w:id="20">
    <w:p w14:paraId="6FB58E76" w14:textId="1CE26FCE" w:rsidR="005A370B" w:rsidRDefault="005A370B">
      <w:pPr>
        <w:pStyle w:val="FootnoteText"/>
      </w:pPr>
      <w:r>
        <w:rPr>
          <w:rStyle w:val="FootnoteReference"/>
        </w:rPr>
        <w:footnoteRef/>
      </w:r>
      <w:r>
        <w:t xml:space="preserve"> Siap, D., H. Willem, S. Price, H. Yang, and A. Lekov (Lawrence Berkeley National Laboratory, LBNL). 2017. </w:t>
      </w:r>
      <w:r w:rsidRPr="00CB0319">
        <w:rPr>
          <w:i/>
          <w:iCs/>
        </w:rPr>
        <w:t>Survey of Hearth Products in U.S. Homes.</w:t>
      </w:r>
      <w:r>
        <w:t xml:space="preserve"> June.</w:t>
      </w:r>
    </w:p>
  </w:footnote>
  <w:footnote w:id="21">
    <w:p w14:paraId="5111F952" w14:textId="77777777" w:rsidR="005A370B" w:rsidRDefault="005A370B" w:rsidP="00BC5A43">
      <w:pPr>
        <w:pStyle w:val="FootnoteText"/>
      </w:pPr>
      <w:r>
        <w:rPr>
          <w:rStyle w:val="FootnoteReference"/>
        </w:rPr>
        <w:footnoteRef/>
      </w:r>
      <w:r>
        <w:t xml:space="preserve"> </w:t>
      </w:r>
      <w:r w:rsidRPr="00C554DF">
        <w:t xml:space="preserve">California Public Utilities Commission (CPUC), Energy Division. 2013. </w:t>
      </w:r>
      <w:r w:rsidRPr="00C554DF">
        <w:rPr>
          <w:i/>
        </w:rPr>
        <w:t>Energy Efficiency Policy Manual Version 5</w:t>
      </w:r>
      <w:r w:rsidRPr="00C554DF">
        <w:t>. Page 32.</w:t>
      </w:r>
    </w:p>
  </w:footnote>
  <w:footnote w:id="22">
    <w:p w14:paraId="39968C91" w14:textId="77777777" w:rsidR="005A370B" w:rsidRDefault="005A370B" w:rsidP="00BC5A43">
      <w:pPr>
        <w:pStyle w:val="FootnoteText"/>
      </w:pPr>
      <w:r>
        <w:rPr>
          <w:rStyle w:val="FootnoteReference"/>
        </w:rPr>
        <w:footnoteRef/>
      </w:r>
      <w:r>
        <w:t xml:space="preserve"> </w:t>
      </w:r>
      <w:r w:rsidRPr="00C554DF">
        <w:rPr>
          <w:rFonts w:eastAsia="Times New Roman" w:cs="Times New Roman"/>
          <w:color w:val="000000"/>
          <w:szCs w:val="18"/>
        </w:rPr>
        <w:t xml:space="preserve">KEMA, Inc. 2008. "Summary of EUL-RUL Analysis for the April 2008 Update to DEER." </w:t>
      </w:r>
      <w:r w:rsidRPr="00C554DF">
        <w:rPr>
          <w:rFonts w:eastAsia="Times New Roman" w:cs="Times New Roman"/>
          <w:szCs w:val="18"/>
        </w:rPr>
        <w:t>Memorandum submitted to Itron, Inc.</w:t>
      </w:r>
    </w:p>
  </w:footnote>
  <w:footnote w:id="23">
    <w:p w14:paraId="5F9B5EFB" w14:textId="77777777" w:rsidR="005A370B" w:rsidRDefault="005A370B" w:rsidP="00BC5A43">
      <w:pPr>
        <w:pStyle w:val="FootnoteText"/>
      </w:pPr>
      <w:r>
        <w:rPr>
          <w:rStyle w:val="FootnoteReference"/>
        </w:rPr>
        <w:footnoteRef/>
      </w:r>
      <w:r>
        <w:t xml:space="preserve"> </w:t>
      </w:r>
      <w:r w:rsidRPr="00EF5144">
        <w:t>California Public Utilities Commission</w:t>
      </w:r>
      <w:r>
        <w:t xml:space="preserve"> (CPUC)</w:t>
      </w:r>
      <w:r w:rsidRPr="00EF5144">
        <w:t xml:space="preserve">. </w:t>
      </w:r>
      <w:r>
        <w:t xml:space="preserve">2016. </w:t>
      </w:r>
      <w:r w:rsidRPr="00090AC6">
        <w:rPr>
          <w:i/>
          <w:iCs/>
        </w:rPr>
        <w:t>Resolution E-4807.</w:t>
      </w:r>
      <w:r w:rsidRPr="00EF5144">
        <w:t xml:space="preserve"> December </w:t>
      </w:r>
      <w:r>
        <w:t>16.</w:t>
      </w:r>
      <w:r w:rsidRPr="00F3041A">
        <w:t xml:space="preserve"> </w:t>
      </w:r>
      <w:r w:rsidRPr="0008447C">
        <w:rPr>
          <w:rStyle w:val="eTRMFootnoteTextChar"/>
        </w:rPr>
        <w:t>P</w:t>
      </w:r>
      <w:r>
        <w:rPr>
          <w:rStyle w:val="eTRMFootnoteTextChar"/>
        </w:rPr>
        <w:t xml:space="preserve">age </w:t>
      </w:r>
      <w:r w:rsidRPr="0008447C">
        <w:rPr>
          <w:rStyle w:val="eTRMFootnoteTextChar"/>
        </w:rPr>
        <w:t>13</w:t>
      </w:r>
      <w:r>
        <w:rPr>
          <w:rStyle w:val="eTRMFootnoteTextChar"/>
        </w:rPr>
        <w:t>.</w:t>
      </w:r>
      <w:r w:rsidRPr="0008447C">
        <w:rPr>
          <w:rStyle w:val="eTRMFootnoteTextChar"/>
        </w:rPr>
        <w:t xml:space="preserve">  </w:t>
      </w:r>
    </w:p>
  </w:footnote>
  <w:footnote w:id="24">
    <w:p w14:paraId="147C0BB3" w14:textId="75B82C8A" w:rsidR="005A370B" w:rsidRDefault="005A370B">
      <w:pPr>
        <w:pStyle w:val="FootnoteText"/>
      </w:pPr>
      <w:r>
        <w:rPr>
          <w:rStyle w:val="FootnoteReference"/>
        </w:rPr>
        <w:footnoteRef/>
      </w:r>
      <w:r>
        <w:t xml:space="preserve"> </w:t>
      </w:r>
      <w:r w:rsidR="00C81FAA" w:rsidRPr="00AA3640">
        <w:t>WPSCGREHC181220A_Rev00_Att. A-Fireplace Analysis</w:t>
      </w:r>
      <w:r w:rsidR="00C81FAA">
        <w:t>.xls “Cost” tab</w:t>
      </w:r>
    </w:p>
  </w:footnote>
  <w:footnote w:id="25">
    <w:p w14:paraId="35A2EF27" w14:textId="7A3124C8" w:rsidR="005A370B" w:rsidRDefault="005A370B">
      <w:pPr>
        <w:pStyle w:val="FootnoteText"/>
      </w:pPr>
      <w:r>
        <w:rPr>
          <w:rStyle w:val="FootnoteReference"/>
        </w:rPr>
        <w:footnoteRef/>
      </w:r>
      <w:r>
        <w:t xml:space="preserve"> </w:t>
      </w:r>
      <w:r w:rsidR="00183613" w:rsidRPr="00CB0319">
        <w:rPr>
          <w:i/>
          <w:iCs/>
        </w:rPr>
        <w:t xml:space="preserve">Efficient Direct Vent Gas Fireplaces in Oregon. </w:t>
      </w:r>
      <w:r w:rsidR="00183613">
        <w:t>Prepared for the Energy Trust of Oregon, Inc. (ETO). December 5</w:t>
      </w:r>
    </w:p>
  </w:footnote>
  <w:footnote w:id="26">
    <w:p w14:paraId="26A5AB90" w14:textId="56A289ED" w:rsidR="005A370B" w:rsidRDefault="005A370B" w:rsidP="005A370B">
      <w:pPr>
        <w:pStyle w:val="FootnoteText"/>
      </w:pPr>
      <w:r>
        <w:rPr>
          <w:rStyle w:val="FootnoteReference"/>
        </w:rPr>
        <w:footnoteRef/>
      </w:r>
      <w:r>
        <w:t xml:space="preserve"> </w:t>
      </w:r>
      <w:r w:rsidR="00AA3640" w:rsidRPr="00AA3640">
        <w:t>WPSCGREHC181220A_Rev00_Att. A-Fireplace Analysis</w:t>
      </w:r>
      <w:r w:rsidR="00AA3640">
        <w:t>.xls “Cost” tab</w:t>
      </w:r>
    </w:p>
  </w:footnote>
  <w:footnote w:id="27">
    <w:p w14:paraId="5662D86D" w14:textId="73CA3E91" w:rsidR="005A370B" w:rsidRDefault="005A370B" w:rsidP="005A370B">
      <w:pPr>
        <w:pStyle w:val="FootnoteText"/>
      </w:pPr>
      <w:r>
        <w:rPr>
          <w:rStyle w:val="FootnoteReference"/>
        </w:rPr>
        <w:footnoteRef/>
      </w:r>
      <w:r>
        <w:t xml:space="preserve"> </w:t>
      </w:r>
      <w:r w:rsidR="002E375A" w:rsidRPr="00CB0319">
        <w:rPr>
          <w:i/>
          <w:iCs/>
        </w:rPr>
        <w:t xml:space="preserve">Efficient Direct Vent Gas Fireplaces in Oregon. </w:t>
      </w:r>
      <w:r w:rsidR="002E375A">
        <w:t>Prepared for the Energy Trust of Oregon, Inc. (ETO). December 5</w:t>
      </w:r>
    </w:p>
  </w:footnote>
  <w:footnote w:id="28">
    <w:p w14:paraId="49177F05" w14:textId="599B7149" w:rsidR="005A370B" w:rsidRDefault="005A370B" w:rsidP="005A370B">
      <w:pPr>
        <w:pStyle w:val="FootnoteText"/>
      </w:pPr>
      <w:r>
        <w:rPr>
          <w:rStyle w:val="FootnoteReference"/>
        </w:rPr>
        <w:footnoteRef/>
      </w:r>
      <w:r>
        <w:t xml:space="preserve"> </w:t>
      </w:r>
      <w:hyperlink r:id="rId4" w:history="1">
        <w:r w:rsidR="00AC5C80">
          <w:rPr>
            <w:rStyle w:val="Hyperlink"/>
          </w:rPr>
          <w:t>https://ohpba.org/Resources/Documents/ETO%20_Gas_Fireplace_Survey_Results_12-5-13.pdf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014C8F" w14:textId="159C53FF" w:rsidR="005A370B" w:rsidRPr="000220A0" w:rsidRDefault="005A370B" w:rsidP="005B7418">
    <w:pPr>
      <w:pStyle w:val="Header"/>
      <w:rPr>
        <w:rFonts w:ascii="Calibri Light" w:hAnsi="Calibri Light"/>
      </w:rPr>
    </w:pPr>
    <w:r w:rsidRPr="000220A0">
      <w:rPr>
        <w:rFonts w:ascii="Calibri Light" w:hAnsi="Calibri Light"/>
      </w:rPr>
      <w:t xml:space="preserve">FOOD SERVICE | </w:t>
    </w:r>
    <w:r w:rsidRPr="000220A0">
      <w:rPr>
        <w:rFonts w:ascii="Calibri Light" w:hAnsi="Calibri Light"/>
        <w:b/>
      </w:rPr>
      <w:t>2.01 Commercial Convection Ovens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EF1ACE" w14:textId="28F384A1" w:rsidR="005A370B" w:rsidRDefault="005A370B">
    <w:pPr>
      <w:pStyle w:val="Header"/>
    </w:pPr>
    <w:r>
      <w:rPr>
        <w:rFonts w:ascii="Calibri Light" w:hAnsi="Calibri Light"/>
      </w:rPr>
      <w:t xml:space="preserve">MEASURE  END USE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rPr>
      <w:t xml:space="preserve"> </w:t>
    </w:r>
    <w:r>
      <w:rPr>
        <w:rFonts w:ascii="Calibri Light" w:hAnsi="Calibri Light"/>
        <w:b/>
      </w:rPr>
      <w:t>#.##</w:t>
    </w:r>
    <w:r w:rsidRPr="000220A0">
      <w:rPr>
        <w:rFonts w:ascii="Calibri Light" w:hAnsi="Calibri Light"/>
        <w:b/>
      </w:rPr>
      <w:t xml:space="preserve"> </w:t>
    </w:r>
    <w:r>
      <w:rPr>
        <w:rFonts w:ascii="Calibri Light" w:hAnsi="Calibri Light"/>
        <w:b/>
      </w:rPr>
      <w:t xml:space="preserve"> Measure Name</w:t>
    </w:r>
  </w:p>
  <w:p w14:paraId="0BBA2503" w14:textId="77777777" w:rsidR="005A370B" w:rsidRDefault="005A370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DAB8AA" w14:textId="77777777" w:rsidR="005A370B" w:rsidRDefault="005A370B" w:rsidP="00BD221D">
    <w:pPr>
      <w:jc w:val="center"/>
    </w:pPr>
  </w:p>
  <w:p w14:paraId="342310D5" w14:textId="5BACBCD8" w:rsidR="005A370B" w:rsidRDefault="005A370B" w:rsidP="00BD221D">
    <w:pPr>
      <w:jc w:val="center"/>
    </w:pPr>
    <w:r>
      <w:rPr>
        <w:noProof/>
      </w:rPr>
      <w:drawing>
        <wp:inline distT="0" distB="0" distL="0" distR="0" wp14:anchorId="4B2AF0A8" wp14:editId="7258E71E">
          <wp:extent cx="937307" cy="1405961"/>
          <wp:effectExtent l="0" t="0" r="2540" b="0"/>
          <wp:docPr id="3" name="Picture 3" descr="/Users/jenniferholmes/Documents/___FutEE /CalTF and eTRM/Style Guide Logos Colors Templates/eTRM_Logo.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ers/jenniferholmes/Documents/___FutEE /CalTF and eTRM/Style Guide Logos Colors Templates/eTRM_Logo.pd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5933" cy="14339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46D616" w14:textId="27534F5C" w:rsidR="005A370B" w:rsidRPr="00C503EE" w:rsidRDefault="005A370B" w:rsidP="001D7A57">
    <w:pPr>
      <w:pStyle w:val="Header"/>
    </w:pPr>
    <w:r>
      <w:rPr>
        <w:rFonts w:ascii="Calibri Light" w:hAnsi="Calibri Light"/>
      </w:rPr>
      <w:t xml:space="preserve">HVAC </w:t>
    </w:r>
    <w:r w:rsidRPr="000220A0">
      <w:rPr>
        <w:rFonts w:ascii="Calibri Light" w:hAnsi="Calibri Light"/>
      </w:rPr>
      <w:t xml:space="preserve"> </w:t>
    </w:r>
    <w:r w:rsidRPr="00181E01">
      <w:rPr>
        <w:rFonts w:ascii="Calibri Light" w:hAnsi="Calibri Light"/>
        <w:color w:val="8DC63F"/>
      </w:rPr>
      <w:sym w:font="Wingdings" w:char="F06E"/>
    </w:r>
    <w:r w:rsidRPr="000220A0">
      <w:rPr>
        <w:rFonts w:ascii="Calibri Light" w:hAnsi="Calibri Light"/>
      </w:rPr>
      <w:t xml:space="preserve">  </w:t>
    </w:r>
    <w:r>
      <w:rPr>
        <w:rFonts w:ascii="Calibri Light" w:hAnsi="Calibri Light" w:cs="Calibri Light"/>
        <w:b/>
      </w:rPr>
      <w:t xml:space="preserve">Gas Fireplace, Residential </w:t>
    </w:r>
  </w:p>
  <w:p w14:paraId="2AC97B25" w14:textId="77777777" w:rsidR="005A370B" w:rsidRDefault="005A370B">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03757E" w14:textId="68B81AAC" w:rsidR="005A370B" w:rsidRDefault="005A370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27809BA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2FA5F09"/>
    <w:multiLevelType w:val="hybridMultilevel"/>
    <w:tmpl w:val="37F86C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4932D6A"/>
    <w:multiLevelType w:val="hybridMultilevel"/>
    <w:tmpl w:val="B3EAC4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8892F03"/>
    <w:multiLevelType w:val="hybridMultilevel"/>
    <w:tmpl w:val="8CE80D7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09036C20"/>
    <w:multiLevelType w:val="hybridMultilevel"/>
    <w:tmpl w:val="226C0FD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5" w15:restartNumberingAfterBreak="0">
    <w:nsid w:val="0A8126AE"/>
    <w:multiLevelType w:val="hybridMultilevel"/>
    <w:tmpl w:val="35E6426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B10776"/>
    <w:multiLevelType w:val="hybridMultilevel"/>
    <w:tmpl w:val="F68E3BD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13E60EB7"/>
    <w:multiLevelType w:val="hybridMultilevel"/>
    <w:tmpl w:val="615A440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201EFA"/>
    <w:multiLevelType w:val="hybridMultilevel"/>
    <w:tmpl w:val="0B04E6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8051D33"/>
    <w:multiLevelType w:val="hybridMultilevel"/>
    <w:tmpl w:val="BA76DAC6"/>
    <w:lvl w:ilvl="0" w:tplc="4CE42830">
      <w:start w:val="1"/>
      <w:numFmt w:val="decimal"/>
      <w:lvlText w:val="%1."/>
      <w:lvlJc w:val="left"/>
      <w:pPr>
        <w:ind w:left="720" w:hanging="360"/>
      </w:pPr>
      <w:rPr>
        <w:rFonts w:ascii="Calibri" w:hAnsi="Calibri" w:hint="default"/>
        <w:b w:val="0"/>
        <w:i w:val="0"/>
        <w:color w:val="auto"/>
        <w:sz w:val="16"/>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8367BE0"/>
    <w:multiLevelType w:val="hybridMultilevel"/>
    <w:tmpl w:val="188ABB5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1B1D5F95"/>
    <w:multiLevelType w:val="hybridMultilevel"/>
    <w:tmpl w:val="C2AA6F1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0B862A7"/>
    <w:multiLevelType w:val="hybridMultilevel"/>
    <w:tmpl w:val="0E04262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3" w15:restartNumberingAfterBreak="0">
    <w:nsid w:val="21F161B9"/>
    <w:multiLevelType w:val="hybridMultilevel"/>
    <w:tmpl w:val="6856183C"/>
    <w:lvl w:ilvl="0" w:tplc="60B2E530">
      <w:start w:val="1"/>
      <w:numFmt w:val="bullet"/>
      <w:lvlText w:val=""/>
      <w:lvlJc w:val="left"/>
      <w:pPr>
        <w:ind w:left="720" w:hanging="360"/>
      </w:pPr>
      <w:rPr>
        <w:rFonts w:ascii="Symbol" w:hAnsi="Symbol" w:hint="default"/>
        <w:color w:val="404040" w:themeColor="accent3" w:themeShade="80"/>
        <w:sz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4BB52F2"/>
    <w:multiLevelType w:val="hybridMultilevel"/>
    <w:tmpl w:val="9892A69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288957A1"/>
    <w:multiLevelType w:val="hybridMultilevel"/>
    <w:tmpl w:val="4AD8BBE2"/>
    <w:lvl w:ilvl="0" w:tplc="60E6B210">
      <w:start w:val="1"/>
      <w:numFmt w:val="decimal"/>
      <w:pStyle w:val="eTRMNumberedList"/>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2B435AD9"/>
    <w:multiLevelType w:val="hybridMultilevel"/>
    <w:tmpl w:val="1D5243B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7" w15:restartNumberingAfterBreak="0">
    <w:nsid w:val="2E117814"/>
    <w:multiLevelType w:val="hybridMultilevel"/>
    <w:tmpl w:val="D1AC43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312940AF"/>
    <w:multiLevelType w:val="hybridMultilevel"/>
    <w:tmpl w:val="275EBEB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5801B01"/>
    <w:multiLevelType w:val="multilevel"/>
    <w:tmpl w:val="E1E82E7E"/>
    <w:name w:val="EMIBULLET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81072F4"/>
    <w:multiLevelType w:val="hybridMultilevel"/>
    <w:tmpl w:val="A3A2EC56"/>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9C33106"/>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22" w15:restartNumberingAfterBreak="0">
    <w:nsid w:val="3C60685E"/>
    <w:multiLevelType w:val="hybridMultilevel"/>
    <w:tmpl w:val="70D4EB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16D29A2"/>
    <w:multiLevelType w:val="hybridMultilevel"/>
    <w:tmpl w:val="CEBCA1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2C65A57"/>
    <w:multiLevelType w:val="hybridMultilevel"/>
    <w:tmpl w:val="14380C3C"/>
    <w:lvl w:ilvl="0" w:tplc="7C4280F0">
      <w:start w:val="1"/>
      <w:numFmt w:val="bullet"/>
      <w:lvlText w:val="-"/>
      <w:lvlJc w:val="left"/>
      <w:pPr>
        <w:ind w:left="1080" w:hanging="360"/>
      </w:pPr>
      <w:rPr>
        <w:rFonts w:ascii="Arial" w:eastAsia="Times New Roman" w:hAnsi="Arial" w:cs="Aria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E57611"/>
    <w:multiLevelType w:val="multilevel"/>
    <w:tmpl w:val="E1E82E7E"/>
    <w:name w:val="EMIBULLET32"/>
    <w:lvl w:ilvl="0">
      <w:start w:val="1"/>
      <w:numFmt w:val="bullet"/>
      <w:lvlText w:val=""/>
      <w:lvlJc w:val="left"/>
      <w:pPr>
        <w:tabs>
          <w:tab w:val="num" w:pos="792"/>
        </w:tabs>
        <w:ind w:left="792" w:hanging="288"/>
      </w:pPr>
      <w:rPr>
        <w:rFonts w:ascii="Symbol" w:hAnsi="Symbol" w:hint="default"/>
        <w:color w:val="696969" w:themeColor="text1" w:themeTint="A6"/>
      </w:rPr>
    </w:lvl>
    <w:lvl w:ilvl="1">
      <w:start w:val="1"/>
      <w:numFmt w:val="bullet"/>
      <w:lvlText w:val="o"/>
      <w:lvlJc w:val="left"/>
      <w:pPr>
        <w:tabs>
          <w:tab w:val="num" w:pos="1080"/>
        </w:tabs>
        <w:ind w:left="1440" w:hanging="360"/>
      </w:pPr>
      <w:rPr>
        <w:rFonts w:ascii="Courier New" w:hAnsi="Courier New"/>
        <w:position w:val="5"/>
        <w:sz w:val="14"/>
        <w:szCs w:val="14"/>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491565E5"/>
    <w:multiLevelType w:val="hybridMultilevel"/>
    <w:tmpl w:val="C214099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E3C0C74"/>
    <w:multiLevelType w:val="hybridMultilevel"/>
    <w:tmpl w:val="58042B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8D363B"/>
    <w:multiLevelType w:val="hybridMultilevel"/>
    <w:tmpl w:val="849241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537C0169"/>
    <w:multiLevelType w:val="hybridMultilevel"/>
    <w:tmpl w:val="0FC8C6F8"/>
    <w:lvl w:ilvl="0" w:tplc="04090011">
      <w:start w:val="1"/>
      <w:numFmt w:val="decimal"/>
      <w:lvlText w:val="%1)"/>
      <w:lvlJc w:val="left"/>
      <w:pPr>
        <w:ind w:left="720" w:hanging="360"/>
      </w:pPr>
    </w:lvl>
    <w:lvl w:ilvl="1" w:tplc="0409001B">
      <w:start w:val="1"/>
      <w:numFmt w:val="lowerRoman"/>
      <w:lvlText w:val="%2."/>
      <w:lvlJc w:val="righ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0" w15:restartNumberingAfterBreak="0">
    <w:nsid w:val="545D4A85"/>
    <w:multiLevelType w:val="hybridMultilevel"/>
    <w:tmpl w:val="3C2A98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B71406B"/>
    <w:multiLevelType w:val="hybridMultilevel"/>
    <w:tmpl w:val="24E82B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2" w15:restartNumberingAfterBreak="0">
    <w:nsid w:val="5C044B6C"/>
    <w:multiLevelType w:val="multilevel"/>
    <w:tmpl w:val="00C27506"/>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 w:ilvl="1">
      <w:start w:val="1"/>
      <w:numFmt w:val="decimal"/>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pStyle w:val="Heading9"/>
      <w:lvlText w:val="%1.%2.%3.%4.%5.%6.%7.%8.%9"/>
      <w:lvlJc w:val="left"/>
      <w:pPr>
        <w:ind w:left="2304" w:hanging="1584"/>
      </w:pPr>
      <w:rPr>
        <w:rFonts w:hint="default"/>
      </w:rPr>
    </w:lvl>
  </w:abstractNum>
  <w:abstractNum w:abstractNumId="33" w15:restartNumberingAfterBreak="0">
    <w:nsid w:val="5F656F05"/>
    <w:multiLevelType w:val="hybridMultilevel"/>
    <w:tmpl w:val="E24044F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4" w15:restartNumberingAfterBreak="0">
    <w:nsid w:val="610A1111"/>
    <w:multiLevelType w:val="hybridMultilevel"/>
    <w:tmpl w:val="1EC25A2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43D51D2"/>
    <w:multiLevelType w:val="hybridMultilevel"/>
    <w:tmpl w:val="493E20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85F4C5C"/>
    <w:multiLevelType w:val="hybridMultilevel"/>
    <w:tmpl w:val="F7F876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904163E"/>
    <w:multiLevelType w:val="hybridMultilevel"/>
    <w:tmpl w:val="0A5A9F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C717DDA"/>
    <w:multiLevelType w:val="hybridMultilevel"/>
    <w:tmpl w:val="23A020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FC07B80"/>
    <w:multiLevelType w:val="hybridMultilevel"/>
    <w:tmpl w:val="5844A504"/>
    <w:lvl w:ilvl="0" w:tplc="015EE38A">
      <w:start w:val="1"/>
      <w:numFmt w:val="bullet"/>
      <w:pStyle w:val="eTRMBulletedText"/>
      <w:lvlText w:val=""/>
      <w:lvlJc w:val="left"/>
      <w:pPr>
        <w:ind w:left="720" w:hanging="360"/>
      </w:pPr>
      <w:rPr>
        <w:rFonts w:ascii="Symbol" w:hAnsi="Symbol" w:hint="default"/>
        <w:color w:val="404040" w:themeColor="accent3" w:themeShade="80"/>
        <w:sz w:val="20"/>
      </w:rPr>
    </w:lvl>
    <w:lvl w:ilvl="1" w:tplc="797E59F6">
      <w:start w:val="1"/>
      <w:numFmt w:val="bullet"/>
      <w:pStyle w:val="eTRMSub-bulletedText"/>
      <w:lvlText w:val="-"/>
      <w:lvlJc w:val="left"/>
      <w:pPr>
        <w:ind w:left="1440" w:hanging="360"/>
      </w:pPr>
      <w:rPr>
        <w:rFonts w:ascii="Courier New" w:hAnsi="Courier New" w:hint="default"/>
        <w:color w:val="404040" w:themeColor="accent3" w:themeShade="80"/>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1E35D41"/>
    <w:multiLevelType w:val="multilevel"/>
    <w:tmpl w:val="00C27506"/>
    <w:lvl w:ilvl="0">
      <w:start w:val="1"/>
      <w:numFmt w:val="decimal"/>
      <w:lvlText w:val="%1"/>
      <w:lvlJc w:val="left"/>
      <w:pPr>
        <w:tabs>
          <w:tab w:val="num" w:pos="504"/>
        </w:tabs>
        <w:ind w:left="504" w:hanging="504"/>
      </w:pPr>
      <w:rPr>
        <w:rFonts w:ascii="Avenir Next" w:hAnsi="Avenir Next" w:hint="default"/>
        <w:b w:val="0"/>
        <w:i w:val="0"/>
        <w:color w:val="164B76"/>
        <w:sz w:val="72"/>
      </w:rPr>
    </w:lvl>
    <w:lvl w:ilvl="1">
      <w:start w:val="1"/>
      <w:numFmt w:val="decimal"/>
      <w:pStyle w:val="Heading2"/>
      <w:lvlText w:val="%1.%2"/>
      <w:lvlJc w:val="left"/>
      <w:pPr>
        <w:tabs>
          <w:tab w:val="num" w:pos="648"/>
        </w:tabs>
        <w:ind w:left="648" w:hanging="648"/>
      </w:pPr>
      <w:rPr>
        <w:rFonts w:hint="default"/>
      </w:rPr>
    </w:lvl>
    <w:lvl w:ilvl="2">
      <w:start w:val="1"/>
      <w:numFmt w:val="decimal"/>
      <w:lvlText w:val="%1.%2.%3"/>
      <w:lvlJc w:val="left"/>
      <w:pPr>
        <w:tabs>
          <w:tab w:val="num" w:pos="1008"/>
        </w:tabs>
        <w:ind w:left="1008" w:hanging="648"/>
      </w:pPr>
      <w:rPr>
        <w:rFonts w:hint="default"/>
      </w:rPr>
    </w:lvl>
    <w:lvl w:ilvl="3">
      <w:start w:val="1"/>
      <w:numFmt w:val="decimal"/>
      <w:lvlText w:val="%1.%2.%3.%4"/>
      <w:lvlJc w:val="left"/>
      <w:pPr>
        <w:ind w:left="1584" w:hanging="864"/>
      </w:pPr>
      <w:rPr>
        <w:rFonts w:hint="default"/>
      </w:rPr>
    </w:lvl>
    <w:lvl w:ilvl="4">
      <w:start w:val="1"/>
      <w:numFmt w:val="decimal"/>
      <w:lvlText w:val="%1.%2.%3.%4.%5"/>
      <w:lvlJc w:val="left"/>
      <w:pPr>
        <w:ind w:left="1728" w:hanging="1008"/>
      </w:pPr>
      <w:rPr>
        <w:rFonts w:hint="default"/>
      </w:rPr>
    </w:lvl>
    <w:lvl w:ilvl="5">
      <w:start w:val="1"/>
      <w:numFmt w:val="decimal"/>
      <w:lvlText w:val="%1.%2.%3.%4.%5.%6"/>
      <w:lvlJc w:val="left"/>
      <w:pPr>
        <w:ind w:left="1872" w:hanging="1152"/>
      </w:pPr>
      <w:rPr>
        <w:rFonts w:hint="default"/>
      </w:rPr>
    </w:lvl>
    <w:lvl w:ilvl="6">
      <w:start w:val="1"/>
      <w:numFmt w:val="decimal"/>
      <w:lvlText w:val="%1.%2.%3.%4.%5.%6.%7"/>
      <w:lvlJc w:val="left"/>
      <w:pPr>
        <w:ind w:left="2016" w:hanging="1296"/>
      </w:pPr>
      <w:rPr>
        <w:rFonts w:hint="default"/>
      </w:rPr>
    </w:lvl>
    <w:lvl w:ilvl="7">
      <w:start w:val="1"/>
      <w:numFmt w:val="decimal"/>
      <w:lvlText w:val="%1.%2.%3.%4.%5.%6.%7.%8"/>
      <w:lvlJc w:val="left"/>
      <w:pPr>
        <w:ind w:left="2160" w:hanging="1440"/>
      </w:pPr>
      <w:rPr>
        <w:rFonts w:hint="default"/>
      </w:rPr>
    </w:lvl>
    <w:lvl w:ilvl="8">
      <w:start w:val="1"/>
      <w:numFmt w:val="decimal"/>
      <w:lvlText w:val="%1.%2.%3.%4.%5.%6.%7.%8.%9"/>
      <w:lvlJc w:val="left"/>
      <w:pPr>
        <w:ind w:left="2304" w:hanging="1584"/>
      </w:pPr>
      <w:rPr>
        <w:rFonts w:hint="default"/>
      </w:rPr>
    </w:lvl>
  </w:abstractNum>
  <w:abstractNum w:abstractNumId="41" w15:restartNumberingAfterBreak="0">
    <w:nsid w:val="732B14C5"/>
    <w:multiLevelType w:val="hybridMultilevel"/>
    <w:tmpl w:val="F81041A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3747E3D"/>
    <w:multiLevelType w:val="hybridMultilevel"/>
    <w:tmpl w:val="7D28FC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3" w15:restartNumberingAfterBreak="0">
    <w:nsid w:val="7629650D"/>
    <w:multiLevelType w:val="multilevel"/>
    <w:tmpl w:val="25189148"/>
    <w:lvl w:ilvl="0">
      <w:start w:val="1"/>
      <w:numFmt w:val="upperLetter"/>
      <w:lvlText w:val="Appendix %1:"/>
      <w:lvlJc w:val="left"/>
      <w:pPr>
        <w:tabs>
          <w:tab w:val="num" w:pos="2707"/>
        </w:tabs>
        <w:ind w:left="2707" w:hanging="2707"/>
      </w:pPr>
      <w:rPr>
        <w:rFonts w:hint="default"/>
      </w:rPr>
    </w:lvl>
    <w:lvl w:ilvl="1">
      <w:start w:val="1"/>
      <w:numFmt w:val="decimal"/>
      <w:lvlText w:val="%1.%2"/>
      <w:lvlJc w:val="left"/>
      <w:pPr>
        <w:tabs>
          <w:tab w:val="num" w:pos="3600"/>
        </w:tabs>
        <w:ind w:left="3600" w:hanging="3600"/>
      </w:pPr>
      <w:rPr>
        <w:rFonts w:hint="default"/>
        <w:color w:val="207685" w:themeColor="accent6" w:themeShade="80"/>
      </w:rPr>
    </w:lvl>
    <w:lvl w:ilvl="2">
      <w:start w:val="1"/>
      <w:numFmt w:val="decimal"/>
      <w:lvlText w:val="%1.%2.%3 "/>
      <w:lvlJc w:val="left"/>
      <w:pPr>
        <w:tabs>
          <w:tab w:val="num" w:pos="3600"/>
        </w:tabs>
        <w:ind w:left="3600" w:hanging="3600"/>
      </w:pPr>
      <w:rPr>
        <w:rFonts w:hint="default"/>
      </w:rPr>
    </w:lvl>
    <w:lvl w:ilvl="3">
      <w:start w:val="1"/>
      <w:numFmt w:val="decimal"/>
      <w:lvlText w:val="%4."/>
      <w:lvlJc w:val="left"/>
      <w:pPr>
        <w:ind w:left="13500" w:hanging="360"/>
      </w:pPr>
      <w:rPr>
        <w:rFonts w:hint="default"/>
      </w:rPr>
    </w:lvl>
    <w:lvl w:ilvl="4">
      <w:start w:val="1"/>
      <w:numFmt w:val="lowerLetter"/>
      <w:lvlText w:val="%5."/>
      <w:lvlJc w:val="left"/>
      <w:pPr>
        <w:tabs>
          <w:tab w:val="num" w:pos="0"/>
        </w:tabs>
        <w:ind w:left="14220" w:hanging="360"/>
      </w:pPr>
      <w:rPr>
        <w:rFonts w:hint="default"/>
      </w:rPr>
    </w:lvl>
    <w:lvl w:ilvl="5">
      <w:start w:val="1"/>
      <w:numFmt w:val="upperLetter"/>
      <w:pStyle w:val="Heading6"/>
      <w:lvlText w:val="Appendix %6: "/>
      <w:lvlJc w:val="left"/>
      <w:pPr>
        <w:tabs>
          <w:tab w:val="num" w:pos="2707"/>
        </w:tabs>
        <w:ind w:left="2707" w:hanging="2707"/>
      </w:pPr>
      <w:rPr>
        <w:rFonts w:hint="default"/>
      </w:rPr>
    </w:lvl>
    <w:lvl w:ilvl="6">
      <w:start w:val="1"/>
      <w:numFmt w:val="decimal"/>
      <w:pStyle w:val="Heading7"/>
      <w:lvlText w:val="%6.%7 "/>
      <w:lvlJc w:val="left"/>
      <w:pPr>
        <w:tabs>
          <w:tab w:val="num" w:pos="720"/>
        </w:tabs>
        <w:ind w:left="720" w:hanging="720"/>
      </w:pPr>
      <w:rPr>
        <w:rFonts w:hint="default"/>
      </w:rPr>
    </w:lvl>
    <w:lvl w:ilvl="7">
      <w:start w:val="1"/>
      <w:numFmt w:val="decimal"/>
      <w:lvlText w:val="%6.%7.%8 "/>
      <w:lvlJc w:val="left"/>
      <w:pPr>
        <w:tabs>
          <w:tab w:val="num" w:pos="3600"/>
        </w:tabs>
        <w:ind w:left="3600" w:hanging="3600"/>
      </w:pPr>
      <w:rPr>
        <w:rFonts w:hint="default"/>
      </w:rPr>
    </w:lvl>
    <w:lvl w:ilvl="8">
      <w:start w:val="1"/>
      <w:numFmt w:val="lowerRoman"/>
      <w:lvlText w:val="%9."/>
      <w:lvlJc w:val="right"/>
      <w:pPr>
        <w:ind w:left="17100" w:hanging="180"/>
      </w:pPr>
      <w:rPr>
        <w:rFonts w:hint="default"/>
      </w:rPr>
    </w:lvl>
  </w:abstractNum>
  <w:abstractNum w:abstractNumId="44" w15:restartNumberingAfterBreak="0">
    <w:nsid w:val="78CD34BE"/>
    <w:multiLevelType w:val="hybridMultilevel"/>
    <w:tmpl w:val="4F0AAF7C"/>
    <w:lvl w:ilvl="0" w:tplc="04090001">
      <w:start w:val="1"/>
      <w:numFmt w:val="bullet"/>
      <w:lvlText w:val=""/>
      <w:lvlJc w:val="left"/>
      <w:pPr>
        <w:ind w:left="765" w:hanging="360"/>
      </w:pPr>
      <w:rPr>
        <w:rFonts w:ascii="Symbol" w:hAnsi="Symbol" w:hint="default"/>
      </w:rPr>
    </w:lvl>
    <w:lvl w:ilvl="1" w:tplc="04090003">
      <w:start w:val="1"/>
      <w:numFmt w:val="bullet"/>
      <w:lvlText w:val="o"/>
      <w:lvlJc w:val="left"/>
      <w:pPr>
        <w:ind w:left="1485" w:hanging="360"/>
      </w:pPr>
      <w:rPr>
        <w:rFonts w:ascii="Courier New" w:hAnsi="Courier New" w:cs="Courier New" w:hint="default"/>
      </w:rPr>
    </w:lvl>
    <w:lvl w:ilvl="2" w:tplc="04090005">
      <w:start w:val="1"/>
      <w:numFmt w:val="bullet"/>
      <w:lvlText w:val=""/>
      <w:lvlJc w:val="left"/>
      <w:pPr>
        <w:ind w:left="2205" w:hanging="360"/>
      </w:pPr>
      <w:rPr>
        <w:rFonts w:ascii="Wingdings" w:hAnsi="Wingdings" w:hint="default"/>
      </w:rPr>
    </w:lvl>
    <w:lvl w:ilvl="3" w:tplc="04090001">
      <w:start w:val="1"/>
      <w:numFmt w:val="bullet"/>
      <w:lvlText w:val=""/>
      <w:lvlJc w:val="left"/>
      <w:pPr>
        <w:ind w:left="2925" w:hanging="360"/>
      </w:pPr>
      <w:rPr>
        <w:rFonts w:ascii="Symbol" w:hAnsi="Symbol" w:hint="default"/>
      </w:rPr>
    </w:lvl>
    <w:lvl w:ilvl="4" w:tplc="04090003">
      <w:start w:val="1"/>
      <w:numFmt w:val="bullet"/>
      <w:lvlText w:val="o"/>
      <w:lvlJc w:val="left"/>
      <w:pPr>
        <w:ind w:left="3645" w:hanging="360"/>
      </w:pPr>
      <w:rPr>
        <w:rFonts w:ascii="Courier New" w:hAnsi="Courier New" w:cs="Courier New" w:hint="default"/>
      </w:rPr>
    </w:lvl>
    <w:lvl w:ilvl="5" w:tplc="04090005">
      <w:start w:val="1"/>
      <w:numFmt w:val="bullet"/>
      <w:lvlText w:val=""/>
      <w:lvlJc w:val="left"/>
      <w:pPr>
        <w:ind w:left="4365" w:hanging="360"/>
      </w:pPr>
      <w:rPr>
        <w:rFonts w:ascii="Wingdings" w:hAnsi="Wingdings" w:hint="default"/>
      </w:rPr>
    </w:lvl>
    <w:lvl w:ilvl="6" w:tplc="04090001">
      <w:start w:val="1"/>
      <w:numFmt w:val="bullet"/>
      <w:lvlText w:val=""/>
      <w:lvlJc w:val="left"/>
      <w:pPr>
        <w:ind w:left="5085" w:hanging="360"/>
      </w:pPr>
      <w:rPr>
        <w:rFonts w:ascii="Symbol" w:hAnsi="Symbol" w:hint="default"/>
      </w:rPr>
    </w:lvl>
    <w:lvl w:ilvl="7" w:tplc="04090003">
      <w:start w:val="1"/>
      <w:numFmt w:val="bullet"/>
      <w:lvlText w:val="o"/>
      <w:lvlJc w:val="left"/>
      <w:pPr>
        <w:ind w:left="5805" w:hanging="360"/>
      </w:pPr>
      <w:rPr>
        <w:rFonts w:ascii="Courier New" w:hAnsi="Courier New" w:cs="Courier New" w:hint="default"/>
      </w:rPr>
    </w:lvl>
    <w:lvl w:ilvl="8" w:tplc="04090005">
      <w:start w:val="1"/>
      <w:numFmt w:val="bullet"/>
      <w:lvlText w:val=""/>
      <w:lvlJc w:val="left"/>
      <w:pPr>
        <w:ind w:left="6525" w:hanging="360"/>
      </w:pPr>
      <w:rPr>
        <w:rFonts w:ascii="Wingdings" w:hAnsi="Wingdings" w:hint="default"/>
      </w:rPr>
    </w:lvl>
  </w:abstractNum>
  <w:abstractNum w:abstractNumId="45" w15:restartNumberingAfterBreak="0">
    <w:nsid w:val="79864DA1"/>
    <w:multiLevelType w:val="hybridMultilevel"/>
    <w:tmpl w:val="C4A0CE4C"/>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0F">
      <w:start w:val="1"/>
      <w:numFmt w:val="decimal"/>
      <w:lvlText w:val="%3."/>
      <w:lvlJc w:val="lef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1"/>
  </w:num>
  <w:num w:numId="2">
    <w:abstractNumId w:val="40"/>
  </w:num>
  <w:num w:numId="3">
    <w:abstractNumId w:val="43"/>
  </w:num>
  <w:num w:numId="4">
    <w:abstractNumId w:val="43"/>
  </w:num>
  <w:num w:numId="5">
    <w:abstractNumId w:val="32"/>
    <w:lvlOverride w:ilvl="0">
      <w:lvl w:ilvl="0">
        <w:start w:val="1"/>
        <w:numFmt w:val="decimal"/>
        <w:pStyle w:val="Heading1"/>
        <w:lvlText w:val="%1"/>
        <w:lvlJc w:val="left"/>
        <w:pPr>
          <w:tabs>
            <w:tab w:val="num" w:pos="504"/>
          </w:tabs>
          <w:ind w:left="504" w:hanging="504"/>
        </w:pPr>
        <w:rPr>
          <w:rFonts w:ascii="Avenir Next" w:hAnsi="Avenir Next" w:hint="default"/>
          <w:b w:val="0"/>
          <w:i w:val="0"/>
          <w:color w:val="164B76"/>
          <w:sz w:val="72"/>
        </w:rPr>
      </w:lvl>
    </w:lvlOverride>
  </w:num>
  <w:num w:numId="6">
    <w:abstractNumId w:val="1"/>
  </w:num>
  <w:num w:numId="7">
    <w:abstractNumId w:val="13"/>
  </w:num>
  <w:num w:numId="8">
    <w:abstractNumId w:val="39"/>
  </w:num>
  <w:num w:numId="9">
    <w:abstractNumId w:val="0"/>
  </w:num>
  <w:num w:numId="10">
    <w:abstractNumId w:val="41"/>
  </w:num>
  <w:num w:numId="11">
    <w:abstractNumId w:val="15"/>
  </w:num>
  <w:num w:numId="12">
    <w:abstractNumId w:val="7"/>
  </w:num>
  <w:num w:numId="13">
    <w:abstractNumId w:val="34"/>
  </w:num>
  <w:num w:numId="14">
    <w:abstractNumId w:val="27"/>
  </w:num>
  <w:num w:numId="15">
    <w:abstractNumId w:val="11"/>
  </w:num>
  <w:num w:numId="16">
    <w:abstractNumId w:val="24"/>
  </w:num>
  <w:num w:numId="17">
    <w:abstractNumId w:val="31"/>
  </w:num>
  <w:num w:numId="18">
    <w:abstractNumId w:val="22"/>
  </w:num>
  <w:num w:numId="19">
    <w:abstractNumId w:val="37"/>
  </w:num>
  <w:num w:numId="20">
    <w:abstractNumId w:val="42"/>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2"/>
  </w:num>
  <w:num w:numId="23">
    <w:abstractNumId w:val="14"/>
  </w:num>
  <w:num w:numId="24">
    <w:abstractNumId w:val="6"/>
  </w:num>
  <w:num w:numId="25">
    <w:abstractNumId w:val="23"/>
  </w:num>
  <w:num w:numId="26">
    <w:abstractNumId w:val="17"/>
  </w:num>
  <w:num w:numId="27">
    <w:abstractNumId w:val="26"/>
  </w:num>
  <w:num w:numId="28">
    <w:abstractNumId w:val="6"/>
  </w:num>
  <w:num w:numId="29">
    <w:abstractNumId w:val="29"/>
  </w:num>
  <w:num w:numId="30">
    <w:abstractNumId w:val="30"/>
  </w:num>
  <w:num w:numId="31">
    <w:abstractNumId w:val="16"/>
  </w:num>
  <w:num w:numId="32">
    <w:abstractNumId w:val="3"/>
  </w:num>
  <w:num w:numId="33">
    <w:abstractNumId w:val="45"/>
  </w:num>
  <w:num w:numId="34">
    <w:abstractNumId w:val="28"/>
  </w:num>
  <w:num w:numId="35">
    <w:abstractNumId w:val="2"/>
  </w:num>
  <w:num w:numId="36">
    <w:abstractNumId w:val="44"/>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5"/>
  </w:num>
  <w:num w:numId="41">
    <w:abstractNumId w:val="8"/>
  </w:num>
  <w:num w:numId="42">
    <w:abstractNumId w:val="20"/>
  </w:num>
  <w:num w:numId="43">
    <w:abstractNumId w:val="35"/>
  </w:num>
  <w:num w:numId="44">
    <w:abstractNumId w:val="9"/>
  </w:num>
  <w:num w:numId="45">
    <w:abstractNumId w:val="18"/>
  </w:num>
  <w:num w:numId="46">
    <w:abstractNumId w:val="38"/>
  </w:num>
  <w:num w:numId="47">
    <w:abstractNumId w:val="3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20"/>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numFmt w:val="decimal"/>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LUwMDU1MrYwsbC0tDBU0lEKTi0uzszPAykwrQUAL70pBywAAAA="/>
  </w:docVars>
  <w:rsids>
    <w:rsidRoot w:val="00C41A08"/>
    <w:rsid w:val="000026A9"/>
    <w:rsid w:val="000030C4"/>
    <w:rsid w:val="0000521D"/>
    <w:rsid w:val="00005B06"/>
    <w:rsid w:val="000063B0"/>
    <w:rsid w:val="00007195"/>
    <w:rsid w:val="0000754B"/>
    <w:rsid w:val="000110D9"/>
    <w:rsid w:val="000111AF"/>
    <w:rsid w:val="000139FB"/>
    <w:rsid w:val="00016928"/>
    <w:rsid w:val="000220A0"/>
    <w:rsid w:val="000229F1"/>
    <w:rsid w:val="000232D7"/>
    <w:rsid w:val="0002389A"/>
    <w:rsid w:val="00026D58"/>
    <w:rsid w:val="000302DF"/>
    <w:rsid w:val="00031184"/>
    <w:rsid w:val="0003544A"/>
    <w:rsid w:val="00036AAD"/>
    <w:rsid w:val="00036EFF"/>
    <w:rsid w:val="00037A06"/>
    <w:rsid w:val="00045893"/>
    <w:rsid w:val="00046BB0"/>
    <w:rsid w:val="00047E10"/>
    <w:rsid w:val="00051DBB"/>
    <w:rsid w:val="00052C95"/>
    <w:rsid w:val="000530E4"/>
    <w:rsid w:val="00053F39"/>
    <w:rsid w:val="000540D7"/>
    <w:rsid w:val="0005587A"/>
    <w:rsid w:val="0005662E"/>
    <w:rsid w:val="00061D34"/>
    <w:rsid w:val="000621A8"/>
    <w:rsid w:val="000624F7"/>
    <w:rsid w:val="00065E54"/>
    <w:rsid w:val="000660C4"/>
    <w:rsid w:val="000672E5"/>
    <w:rsid w:val="00070A50"/>
    <w:rsid w:val="00074E3E"/>
    <w:rsid w:val="000767E9"/>
    <w:rsid w:val="0008108C"/>
    <w:rsid w:val="000812FA"/>
    <w:rsid w:val="0008141A"/>
    <w:rsid w:val="00082C18"/>
    <w:rsid w:val="00083A78"/>
    <w:rsid w:val="000841AA"/>
    <w:rsid w:val="00084EDF"/>
    <w:rsid w:val="00085726"/>
    <w:rsid w:val="000864EE"/>
    <w:rsid w:val="00087FD4"/>
    <w:rsid w:val="00090AC6"/>
    <w:rsid w:val="00090B28"/>
    <w:rsid w:val="00090BBF"/>
    <w:rsid w:val="000910B7"/>
    <w:rsid w:val="000913A6"/>
    <w:rsid w:val="00091581"/>
    <w:rsid w:val="00092AA3"/>
    <w:rsid w:val="00094517"/>
    <w:rsid w:val="00094B2B"/>
    <w:rsid w:val="00096485"/>
    <w:rsid w:val="00097413"/>
    <w:rsid w:val="000978C8"/>
    <w:rsid w:val="000A2317"/>
    <w:rsid w:val="000A270E"/>
    <w:rsid w:val="000A4D3A"/>
    <w:rsid w:val="000A5AD2"/>
    <w:rsid w:val="000A62EF"/>
    <w:rsid w:val="000A66B7"/>
    <w:rsid w:val="000A7058"/>
    <w:rsid w:val="000B139B"/>
    <w:rsid w:val="000B16E2"/>
    <w:rsid w:val="000B6004"/>
    <w:rsid w:val="000B7F33"/>
    <w:rsid w:val="000C2BD8"/>
    <w:rsid w:val="000C2D4B"/>
    <w:rsid w:val="000C36B4"/>
    <w:rsid w:val="000C5BA6"/>
    <w:rsid w:val="000C72C1"/>
    <w:rsid w:val="000C7B77"/>
    <w:rsid w:val="000D636D"/>
    <w:rsid w:val="000E044A"/>
    <w:rsid w:val="000E30CF"/>
    <w:rsid w:val="000E4EB1"/>
    <w:rsid w:val="000F1833"/>
    <w:rsid w:val="000F277F"/>
    <w:rsid w:val="000F58ED"/>
    <w:rsid w:val="000F5D2C"/>
    <w:rsid w:val="000F6CD0"/>
    <w:rsid w:val="000F7397"/>
    <w:rsid w:val="00100FEC"/>
    <w:rsid w:val="00103399"/>
    <w:rsid w:val="0010471F"/>
    <w:rsid w:val="00104933"/>
    <w:rsid w:val="00111A53"/>
    <w:rsid w:val="0011498C"/>
    <w:rsid w:val="00117318"/>
    <w:rsid w:val="00120592"/>
    <w:rsid w:val="001217DF"/>
    <w:rsid w:val="0012187D"/>
    <w:rsid w:val="00124BFE"/>
    <w:rsid w:val="00125130"/>
    <w:rsid w:val="00126809"/>
    <w:rsid w:val="00126B25"/>
    <w:rsid w:val="00131C5A"/>
    <w:rsid w:val="00131FA0"/>
    <w:rsid w:val="00132E1A"/>
    <w:rsid w:val="00133347"/>
    <w:rsid w:val="00137773"/>
    <w:rsid w:val="00142D3C"/>
    <w:rsid w:val="001451AB"/>
    <w:rsid w:val="00147682"/>
    <w:rsid w:val="00147B29"/>
    <w:rsid w:val="00151553"/>
    <w:rsid w:val="00151B9F"/>
    <w:rsid w:val="00152749"/>
    <w:rsid w:val="00153BB7"/>
    <w:rsid w:val="00154391"/>
    <w:rsid w:val="001564FC"/>
    <w:rsid w:val="00157985"/>
    <w:rsid w:val="00161DF1"/>
    <w:rsid w:val="001648F6"/>
    <w:rsid w:val="00164D8D"/>
    <w:rsid w:val="00171BB8"/>
    <w:rsid w:val="00174707"/>
    <w:rsid w:val="001748BD"/>
    <w:rsid w:val="00177EB6"/>
    <w:rsid w:val="001807EF"/>
    <w:rsid w:val="00180DAD"/>
    <w:rsid w:val="00181672"/>
    <w:rsid w:val="00181E01"/>
    <w:rsid w:val="00183613"/>
    <w:rsid w:val="00184383"/>
    <w:rsid w:val="00186233"/>
    <w:rsid w:val="00186919"/>
    <w:rsid w:val="00190874"/>
    <w:rsid w:val="001944A0"/>
    <w:rsid w:val="001944B4"/>
    <w:rsid w:val="00195B03"/>
    <w:rsid w:val="00196649"/>
    <w:rsid w:val="001A11C7"/>
    <w:rsid w:val="001A4BE1"/>
    <w:rsid w:val="001A7A21"/>
    <w:rsid w:val="001B0D29"/>
    <w:rsid w:val="001B1D23"/>
    <w:rsid w:val="001B426F"/>
    <w:rsid w:val="001C2ACE"/>
    <w:rsid w:val="001C59F6"/>
    <w:rsid w:val="001C6C9B"/>
    <w:rsid w:val="001C7134"/>
    <w:rsid w:val="001D5580"/>
    <w:rsid w:val="001D656F"/>
    <w:rsid w:val="001D65A6"/>
    <w:rsid w:val="001D7A57"/>
    <w:rsid w:val="001E19A3"/>
    <w:rsid w:val="001E4C3F"/>
    <w:rsid w:val="001E6273"/>
    <w:rsid w:val="001F00E9"/>
    <w:rsid w:val="001F57FE"/>
    <w:rsid w:val="001F735E"/>
    <w:rsid w:val="002005A8"/>
    <w:rsid w:val="002006B6"/>
    <w:rsid w:val="00205BAF"/>
    <w:rsid w:val="00207F85"/>
    <w:rsid w:val="0021226A"/>
    <w:rsid w:val="0021230E"/>
    <w:rsid w:val="00216433"/>
    <w:rsid w:val="002212B4"/>
    <w:rsid w:val="00221961"/>
    <w:rsid w:val="00222DB5"/>
    <w:rsid w:val="00224A16"/>
    <w:rsid w:val="00225142"/>
    <w:rsid w:val="00226694"/>
    <w:rsid w:val="0022708A"/>
    <w:rsid w:val="00227BDD"/>
    <w:rsid w:val="002318A4"/>
    <w:rsid w:val="002335FF"/>
    <w:rsid w:val="00233D87"/>
    <w:rsid w:val="0023666C"/>
    <w:rsid w:val="00236692"/>
    <w:rsid w:val="00236E0A"/>
    <w:rsid w:val="00237964"/>
    <w:rsid w:val="002434DE"/>
    <w:rsid w:val="00245AFF"/>
    <w:rsid w:val="0024628D"/>
    <w:rsid w:val="0024690E"/>
    <w:rsid w:val="00251ABC"/>
    <w:rsid w:val="00252039"/>
    <w:rsid w:val="002524CF"/>
    <w:rsid w:val="00252CA7"/>
    <w:rsid w:val="00253125"/>
    <w:rsid w:val="00256400"/>
    <w:rsid w:val="00256639"/>
    <w:rsid w:val="0026110B"/>
    <w:rsid w:val="002652D2"/>
    <w:rsid w:val="00271B18"/>
    <w:rsid w:val="002732A8"/>
    <w:rsid w:val="00276F9B"/>
    <w:rsid w:val="002800A3"/>
    <w:rsid w:val="002831E7"/>
    <w:rsid w:val="00286927"/>
    <w:rsid w:val="002942B0"/>
    <w:rsid w:val="0029555D"/>
    <w:rsid w:val="0029757F"/>
    <w:rsid w:val="0029781E"/>
    <w:rsid w:val="002A1953"/>
    <w:rsid w:val="002A2471"/>
    <w:rsid w:val="002A2A94"/>
    <w:rsid w:val="002A5BD2"/>
    <w:rsid w:val="002B107C"/>
    <w:rsid w:val="002B2C97"/>
    <w:rsid w:val="002B3717"/>
    <w:rsid w:val="002B3BF4"/>
    <w:rsid w:val="002B521B"/>
    <w:rsid w:val="002B6DED"/>
    <w:rsid w:val="002B6F2A"/>
    <w:rsid w:val="002C06FC"/>
    <w:rsid w:val="002C1117"/>
    <w:rsid w:val="002C67DF"/>
    <w:rsid w:val="002D0036"/>
    <w:rsid w:val="002D17CE"/>
    <w:rsid w:val="002D29F8"/>
    <w:rsid w:val="002D2C78"/>
    <w:rsid w:val="002D40EE"/>
    <w:rsid w:val="002D4993"/>
    <w:rsid w:val="002D50E9"/>
    <w:rsid w:val="002D5CFA"/>
    <w:rsid w:val="002E375A"/>
    <w:rsid w:val="002E5874"/>
    <w:rsid w:val="002E714C"/>
    <w:rsid w:val="002F036B"/>
    <w:rsid w:val="00300A57"/>
    <w:rsid w:val="00301C01"/>
    <w:rsid w:val="00302A82"/>
    <w:rsid w:val="00304892"/>
    <w:rsid w:val="00306779"/>
    <w:rsid w:val="003103FB"/>
    <w:rsid w:val="00313E1D"/>
    <w:rsid w:val="00315810"/>
    <w:rsid w:val="003247FA"/>
    <w:rsid w:val="003309DA"/>
    <w:rsid w:val="003326EC"/>
    <w:rsid w:val="00333809"/>
    <w:rsid w:val="00336313"/>
    <w:rsid w:val="00337D1D"/>
    <w:rsid w:val="00337FA7"/>
    <w:rsid w:val="0034285E"/>
    <w:rsid w:val="0035060F"/>
    <w:rsid w:val="00352864"/>
    <w:rsid w:val="00355650"/>
    <w:rsid w:val="00360B35"/>
    <w:rsid w:val="003613C6"/>
    <w:rsid w:val="00362F9E"/>
    <w:rsid w:val="00363BE8"/>
    <w:rsid w:val="003642B5"/>
    <w:rsid w:val="003647DE"/>
    <w:rsid w:val="00367FF1"/>
    <w:rsid w:val="003704F4"/>
    <w:rsid w:val="00370B5D"/>
    <w:rsid w:val="00372689"/>
    <w:rsid w:val="00372F61"/>
    <w:rsid w:val="00385069"/>
    <w:rsid w:val="00386A29"/>
    <w:rsid w:val="00387072"/>
    <w:rsid w:val="00392097"/>
    <w:rsid w:val="00392684"/>
    <w:rsid w:val="003A444C"/>
    <w:rsid w:val="003A5E01"/>
    <w:rsid w:val="003A7D13"/>
    <w:rsid w:val="003B68BE"/>
    <w:rsid w:val="003B7610"/>
    <w:rsid w:val="003C0DA2"/>
    <w:rsid w:val="003C2CC3"/>
    <w:rsid w:val="003C3614"/>
    <w:rsid w:val="003C7721"/>
    <w:rsid w:val="003D1AAC"/>
    <w:rsid w:val="003D1FB8"/>
    <w:rsid w:val="003D386B"/>
    <w:rsid w:val="003D5BAD"/>
    <w:rsid w:val="003D7104"/>
    <w:rsid w:val="003E2013"/>
    <w:rsid w:val="003E50CF"/>
    <w:rsid w:val="003E5605"/>
    <w:rsid w:val="003E7BC6"/>
    <w:rsid w:val="003F0435"/>
    <w:rsid w:val="003F21D2"/>
    <w:rsid w:val="003F269E"/>
    <w:rsid w:val="003F4688"/>
    <w:rsid w:val="003F4964"/>
    <w:rsid w:val="003F65F3"/>
    <w:rsid w:val="003F7CD4"/>
    <w:rsid w:val="00401C43"/>
    <w:rsid w:val="004046FF"/>
    <w:rsid w:val="00407003"/>
    <w:rsid w:val="004073C5"/>
    <w:rsid w:val="00410790"/>
    <w:rsid w:val="00411EC7"/>
    <w:rsid w:val="00411EF4"/>
    <w:rsid w:val="004133BB"/>
    <w:rsid w:val="004142EF"/>
    <w:rsid w:val="004206DC"/>
    <w:rsid w:val="00420958"/>
    <w:rsid w:val="00420EF1"/>
    <w:rsid w:val="00421920"/>
    <w:rsid w:val="00423D33"/>
    <w:rsid w:val="004247D6"/>
    <w:rsid w:val="004249A0"/>
    <w:rsid w:val="00424F73"/>
    <w:rsid w:val="00425FAA"/>
    <w:rsid w:val="00430845"/>
    <w:rsid w:val="0043155E"/>
    <w:rsid w:val="0043171B"/>
    <w:rsid w:val="00432D49"/>
    <w:rsid w:val="004339EA"/>
    <w:rsid w:val="00433E8F"/>
    <w:rsid w:val="00434145"/>
    <w:rsid w:val="00435107"/>
    <w:rsid w:val="00436CBD"/>
    <w:rsid w:val="00437206"/>
    <w:rsid w:val="004429B9"/>
    <w:rsid w:val="0044577B"/>
    <w:rsid w:val="00451588"/>
    <w:rsid w:val="004517F1"/>
    <w:rsid w:val="00451FF6"/>
    <w:rsid w:val="00453433"/>
    <w:rsid w:val="004545D6"/>
    <w:rsid w:val="004556DF"/>
    <w:rsid w:val="00461AE3"/>
    <w:rsid w:val="00462BB6"/>
    <w:rsid w:val="00462F22"/>
    <w:rsid w:val="00464A63"/>
    <w:rsid w:val="004650D7"/>
    <w:rsid w:val="00466DD6"/>
    <w:rsid w:val="00470670"/>
    <w:rsid w:val="00472286"/>
    <w:rsid w:val="00475A47"/>
    <w:rsid w:val="00475D57"/>
    <w:rsid w:val="00475F03"/>
    <w:rsid w:val="004819C3"/>
    <w:rsid w:val="00484536"/>
    <w:rsid w:val="00485834"/>
    <w:rsid w:val="00486585"/>
    <w:rsid w:val="00492CE7"/>
    <w:rsid w:val="0049615E"/>
    <w:rsid w:val="0049638E"/>
    <w:rsid w:val="00497289"/>
    <w:rsid w:val="004A01C5"/>
    <w:rsid w:val="004A06AE"/>
    <w:rsid w:val="004A2A51"/>
    <w:rsid w:val="004A2CEE"/>
    <w:rsid w:val="004A510D"/>
    <w:rsid w:val="004A7FA1"/>
    <w:rsid w:val="004B06E3"/>
    <w:rsid w:val="004B35DC"/>
    <w:rsid w:val="004B4DDE"/>
    <w:rsid w:val="004B5888"/>
    <w:rsid w:val="004B6780"/>
    <w:rsid w:val="004B7067"/>
    <w:rsid w:val="004B7CAA"/>
    <w:rsid w:val="004B7E5B"/>
    <w:rsid w:val="004C1B1C"/>
    <w:rsid w:val="004C2A36"/>
    <w:rsid w:val="004C3663"/>
    <w:rsid w:val="004C57EC"/>
    <w:rsid w:val="004C69F2"/>
    <w:rsid w:val="004D0C20"/>
    <w:rsid w:val="004D1461"/>
    <w:rsid w:val="004D1997"/>
    <w:rsid w:val="004D3A71"/>
    <w:rsid w:val="004D3CE4"/>
    <w:rsid w:val="004D6BCD"/>
    <w:rsid w:val="004D7E51"/>
    <w:rsid w:val="004E04EE"/>
    <w:rsid w:val="004E1B37"/>
    <w:rsid w:val="004E2704"/>
    <w:rsid w:val="004E3F72"/>
    <w:rsid w:val="004E4D01"/>
    <w:rsid w:val="004F1F51"/>
    <w:rsid w:val="004F705B"/>
    <w:rsid w:val="00500964"/>
    <w:rsid w:val="00500C66"/>
    <w:rsid w:val="005044CA"/>
    <w:rsid w:val="0050513C"/>
    <w:rsid w:val="00505B94"/>
    <w:rsid w:val="005130EC"/>
    <w:rsid w:val="00513588"/>
    <w:rsid w:val="005146E6"/>
    <w:rsid w:val="00515479"/>
    <w:rsid w:val="00516339"/>
    <w:rsid w:val="00520182"/>
    <w:rsid w:val="00523F9B"/>
    <w:rsid w:val="005249BC"/>
    <w:rsid w:val="00526F7F"/>
    <w:rsid w:val="00531A44"/>
    <w:rsid w:val="00535A42"/>
    <w:rsid w:val="00536493"/>
    <w:rsid w:val="00536DD2"/>
    <w:rsid w:val="0053748E"/>
    <w:rsid w:val="005407A5"/>
    <w:rsid w:val="005449C6"/>
    <w:rsid w:val="00553DD0"/>
    <w:rsid w:val="00555D0C"/>
    <w:rsid w:val="00561400"/>
    <w:rsid w:val="0056177B"/>
    <w:rsid w:val="005624D9"/>
    <w:rsid w:val="005649A9"/>
    <w:rsid w:val="00565D08"/>
    <w:rsid w:val="00566B42"/>
    <w:rsid w:val="005710BF"/>
    <w:rsid w:val="005710D6"/>
    <w:rsid w:val="0057165C"/>
    <w:rsid w:val="00571D95"/>
    <w:rsid w:val="005722C6"/>
    <w:rsid w:val="00573DCC"/>
    <w:rsid w:val="00580FF8"/>
    <w:rsid w:val="00583A95"/>
    <w:rsid w:val="00585817"/>
    <w:rsid w:val="00585C8D"/>
    <w:rsid w:val="005862CC"/>
    <w:rsid w:val="005911FE"/>
    <w:rsid w:val="0059312F"/>
    <w:rsid w:val="00593220"/>
    <w:rsid w:val="0059380C"/>
    <w:rsid w:val="00594142"/>
    <w:rsid w:val="00595758"/>
    <w:rsid w:val="00596081"/>
    <w:rsid w:val="005A370B"/>
    <w:rsid w:val="005A3943"/>
    <w:rsid w:val="005A51E6"/>
    <w:rsid w:val="005A632E"/>
    <w:rsid w:val="005A74DC"/>
    <w:rsid w:val="005B329B"/>
    <w:rsid w:val="005B513E"/>
    <w:rsid w:val="005B7418"/>
    <w:rsid w:val="005B78A2"/>
    <w:rsid w:val="005C03A9"/>
    <w:rsid w:val="005C1D6E"/>
    <w:rsid w:val="005C2BFC"/>
    <w:rsid w:val="005C324B"/>
    <w:rsid w:val="005C36B6"/>
    <w:rsid w:val="005C43E2"/>
    <w:rsid w:val="005C454A"/>
    <w:rsid w:val="005C4A7F"/>
    <w:rsid w:val="005C74C9"/>
    <w:rsid w:val="005C7B6B"/>
    <w:rsid w:val="005D1B14"/>
    <w:rsid w:val="005D257B"/>
    <w:rsid w:val="005D2D7C"/>
    <w:rsid w:val="005E1D5C"/>
    <w:rsid w:val="005E25DC"/>
    <w:rsid w:val="005E52AE"/>
    <w:rsid w:val="005E5607"/>
    <w:rsid w:val="005E567C"/>
    <w:rsid w:val="005F505E"/>
    <w:rsid w:val="005F764C"/>
    <w:rsid w:val="006007C4"/>
    <w:rsid w:val="00601D5A"/>
    <w:rsid w:val="00602976"/>
    <w:rsid w:val="006037A1"/>
    <w:rsid w:val="0060388D"/>
    <w:rsid w:val="00604231"/>
    <w:rsid w:val="0060452E"/>
    <w:rsid w:val="00604DF8"/>
    <w:rsid w:val="006068F3"/>
    <w:rsid w:val="00610050"/>
    <w:rsid w:val="00610C2F"/>
    <w:rsid w:val="00610C76"/>
    <w:rsid w:val="006150BC"/>
    <w:rsid w:val="006161A6"/>
    <w:rsid w:val="0062187C"/>
    <w:rsid w:val="006239BC"/>
    <w:rsid w:val="00625805"/>
    <w:rsid w:val="00627AC4"/>
    <w:rsid w:val="0063253B"/>
    <w:rsid w:val="006363C8"/>
    <w:rsid w:val="00637AB8"/>
    <w:rsid w:val="00641CF0"/>
    <w:rsid w:val="0064370D"/>
    <w:rsid w:val="00643771"/>
    <w:rsid w:val="00643D8E"/>
    <w:rsid w:val="00644946"/>
    <w:rsid w:val="00646AB8"/>
    <w:rsid w:val="00647BD9"/>
    <w:rsid w:val="00652969"/>
    <w:rsid w:val="00654A3E"/>
    <w:rsid w:val="00657C37"/>
    <w:rsid w:val="006624A7"/>
    <w:rsid w:val="0066515F"/>
    <w:rsid w:val="006663E9"/>
    <w:rsid w:val="006668AF"/>
    <w:rsid w:val="00670A7E"/>
    <w:rsid w:val="0067278C"/>
    <w:rsid w:val="006730BC"/>
    <w:rsid w:val="00676DAA"/>
    <w:rsid w:val="00682FE3"/>
    <w:rsid w:val="00683957"/>
    <w:rsid w:val="006842D6"/>
    <w:rsid w:val="00686439"/>
    <w:rsid w:val="00697A88"/>
    <w:rsid w:val="00697CF1"/>
    <w:rsid w:val="006A15DA"/>
    <w:rsid w:val="006A2109"/>
    <w:rsid w:val="006A6051"/>
    <w:rsid w:val="006B31D9"/>
    <w:rsid w:val="006C0102"/>
    <w:rsid w:val="006C07D4"/>
    <w:rsid w:val="006C41AD"/>
    <w:rsid w:val="006D04BD"/>
    <w:rsid w:val="006D1E0D"/>
    <w:rsid w:val="006D43B3"/>
    <w:rsid w:val="006D47EF"/>
    <w:rsid w:val="006D5CFB"/>
    <w:rsid w:val="006D6644"/>
    <w:rsid w:val="006D7180"/>
    <w:rsid w:val="006E2200"/>
    <w:rsid w:val="006E433B"/>
    <w:rsid w:val="006E7899"/>
    <w:rsid w:val="006E7C78"/>
    <w:rsid w:val="006F20B0"/>
    <w:rsid w:val="006F27F4"/>
    <w:rsid w:val="006F2E23"/>
    <w:rsid w:val="006F4C30"/>
    <w:rsid w:val="006F6B5E"/>
    <w:rsid w:val="006F7024"/>
    <w:rsid w:val="007008D3"/>
    <w:rsid w:val="00701534"/>
    <w:rsid w:val="00703A7C"/>
    <w:rsid w:val="007076DA"/>
    <w:rsid w:val="00707860"/>
    <w:rsid w:val="00713549"/>
    <w:rsid w:val="007147C9"/>
    <w:rsid w:val="00715119"/>
    <w:rsid w:val="00717131"/>
    <w:rsid w:val="00717AA0"/>
    <w:rsid w:val="00720753"/>
    <w:rsid w:val="007207BF"/>
    <w:rsid w:val="007255D6"/>
    <w:rsid w:val="00725CB0"/>
    <w:rsid w:val="00726DBC"/>
    <w:rsid w:val="00732377"/>
    <w:rsid w:val="0073517D"/>
    <w:rsid w:val="0073685C"/>
    <w:rsid w:val="00737EA5"/>
    <w:rsid w:val="007400AE"/>
    <w:rsid w:val="007413DF"/>
    <w:rsid w:val="00741F3E"/>
    <w:rsid w:val="00742BD5"/>
    <w:rsid w:val="00742F88"/>
    <w:rsid w:val="00743AA8"/>
    <w:rsid w:val="00743BED"/>
    <w:rsid w:val="00750840"/>
    <w:rsid w:val="007572AC"/>
    <w:rsid w:val="00757617"/>
    <w:rsid w:val="007603C5"/>
    <w:rsid w:val="007614EB"/>
    <w:rsid w:val="0076370E"/>
    <w:rsid w:val="00763AD8"/>
    <w:rsid w:val="00765016"/>
    <w:rsid w:val="00767EDE"/>
    <w:rsid w:val="0077100C"/>
    <w:rsid w:val="00773BBA"/>
    <w:rsid w:val="00776C39"/>
    <w:rsid w:val="00781D00"/>
    <w:rsid w:val="0078341D"/>
    <w:rsid w:val="00783AEC"/>
    <w:rsid w:val="007900F3"/>
    <w:rsid w:val="0079054C"/>
    <w:rsid w:val="00791B69"/>
    <w:rsid w:val="0079498E"/>
    <w:rsid w:val="00796F10"/>
    <w:rsid w:val="007A0F9E"/>
    <w:rsid w:val="007A1D2D"/>
    <w:rsid w:val="007A3AFF"/>
    <w:rsid w:val="007A6AB5"/>
    <w:rsid w:val="007A6C67"/>
    <w:rsid w:val="007B14D9"/>
    <w:rsid w:val="007B2B46"/>
    <w:rsid w:val="007B30F2"/>
    <w:rsid w:val="007B377F"/>
    <w:rsid w:val="007B4274"/>
    <w:rsid w:val="007B443D"/>
    <w:rsid w:val="007B5117"/>
    <w:rsid w:val="007B599D"/>
    <w:rsid w:val="007B6650"/>
    <w:rsid w:val="007B6A74"/>
    <w:rsid w:val="007B768C"/>
    <w:rsid w:val="007C29E9"/>
    <w:rsid w:val="007C2DC8"/>
    <w:rsid w:val="007D097E"/>
    <w:rsid w:val="007D230B"/>
    <w:rsid w:val="007D2D80"/>
    <w:rsid w:val="007D3681"/>
    <w:rsid w:val="007D3824"/>
    <w:rsid w:val="007D49A1"/>
    <w:rsid w:val="007D584D"/>
    <w:rsid w:val="007D59DD"/>
    <w:rsid w:val="007E1F66"/>
    <w:rsid w:val="007E2CB5"/>
    <w:rsid w:val="007E3A1D"/>
    <w:rsid w:val="007E4C10"/>
    <w:rsid w:val="007E6501"/>
    <w:rsid w:val="007E6C25"/>
    <w:rsid w:val="007F32D7"/>
    <w:rsid w:val="007F4F97"/>
    <w:rsid w:val="007F669E"/>
    <w:rsid w:val="00801632"/>
    <w:rsid w:val="0080520B"/>
    <w:rsid w:val="00807B3E"/>
    <w:rsid w:val="00810D4A"/>
    <w:rsid w:val="00812870"/>
    <w:rsid w:val="00812F82"/>
    <w:rsid w:val="008146FD"/>
    <w:rsid w:val="008163CE"/>
    <w:rsid w:val="00816AAB"/>
    <w:rsid w:val="00820402"/>
    <w:rsid w:val="008209B6"/>
    <w:rsid w:val="008243B2"/>
    <w:rsid w:val="00824F08"/>
    <w:rsid w:val="008310DF"/>
    <w:rsid w:val="00831105"/>
    <w:rsid w:val="00835487"/>
    <w:rsid w:val="0084093C"/>
    <w:rsid w:val="00844A4B"/>
    <w:rsid w:val="00845DC3"/>
    <w:rsid w:val="0085441E"/>
    <w:rsid w:val="00854676"/>
    <w:rsid w:val="008616DC"/>
    <w:rsid w:val="00865296"/>
    <w:rsid w:val="008666E8"/>
    <w:rsid w:val="00867086"/>
    <w:rsid w:val="00871123"/>
    <w:rsid w:val="008732A4"/>
    <w:rsid w:val="00874443"/>
    <w:rsid w:val="00874663"/>
    <w:rsid w:val="00881B95"/>
    <w:rsid w:val="008831CA"/>
    <w:rsid w:val="00886CD2"/>
    <w:rsid w:val="00887FDA"/>
    <w:rsid w:val="0089272A"/>
    <w:rsid w:val="00893391"/>
    <w:rsid w:val="00894890"/>
    <w:rsid w:val="008952A0"/>
    <w:rsid w:val="00897247"/>
    <w:rsid w:val="008A3163"/>
    <w:rsid w:val="008A4B45"/>
    <w:rsid w:val="008B08F0"/>
    <w:rsid w:val="008B262C"/>
    <w:rsid w:val="008B2DAD"/>
    <w:rsid w:val="008B6A6D"/>
    <w:rsid w:val="008B6FC8"/>
    <w:rsid w:val="008C19E9"/>
    <w:rsid w:val="008C26E9"/>
    <w:rsid w:val="008C774E"/>
    <w:rsid w:val="008C7CE6"/>
    <w:rsid w:val="008D14CA"/>
    <w:rsid w:val="008D4652"/>
    <w:rsid w:val="008D4D5B"/>
    <w:rsid w:val="008D6D9D"/>
    <w:rsid w:val="008E0F89"/>
    <w:rsid w:val="008F01F4"/>
    <w:rsid w:val="008F1691"/>
    <w:rsid w:val="008F22E2"/>
    <w:rsid w:val="008F5698"/>
    <w:rsid w:val="008F639E"/>
    <w:rsid w:val="00901EF2"/>
    <w:rsid w:val="00903EB6"/>
    <w:rsid w:val="009042B2"/>
    <w:rsid w:val="00904906"/>
    <w:rsid w:val="0090702F"/>
    <w:rsid w:val="009079D0"/>
    <w:rsid w:val="00913D0A"/>
    <w:rsid w:val="009148A1"/>
    <w:rsid w:val="00914C43"/>
    <w:rsid w:val="00924972"/>
    <w:rsid w:val="009269CA"/>
    <w:rsid w:val="009309D7"/>
    <w:rsid w:val="009323F3"/>
    <w:rsid w:val="00932E1E"/>
    <w:rsid w:val="00934068"/>
    <w:rsid w:val="00935C1C"/>
    <w:rsid w:val="00936348"/>
    <w:rsid w:val="00937854"/>
    <w:rsid w:val="009400F4"/>
    <w:rsid w:val="0094045A"/>
    <w:rsid w:val="009469E0"/>
    <w:rsid w:val="009500F5"/>
    <w:rsid w:val="00951C4D"/>
    <w:rsid w:val="00952E03"/>
    <w:rsid w:val="0095396E"/>
    <w:rsid w:val="00954569"/>
    <w:rsid w:val="009547E2"/>
    <w:rsid w:val="00956488"/>
    <w:rsid w:val="00956F5F"/>
    <w:rsid w:val="009610DC"/>
    <w:rsid w:val="009669D2"/>
    <w:rsid w:val="0097154F"/>
    <w:rsid w:val="00973555"/>
    <w:rsid w:val="0097355A"/>
    <w:rsid w:val="009758DA"/>
    <w:rsid w:val="009804B5"/>
    <w:rsid w:val="0098457F"/>
    <w:rsid w:val="00985996"/>
    <w:rsid w:val="00986978"/>
    <w:rsid w:val="00991C23"/>
    <w:rsid w:val="00994A1A"/>
    <w:rsid w:val="00994F74"/>
    <w:rsid w:val="0099563A"/>
    <w:rsid w:val="009A03BF"/>
    <w:rsid w:val="009A13F4"/>
    <w:rsid w:val="009A44BE"/>
    <w:rsid w:val="009B029F"/>
    <w:rsid w:val="009B253E"/>
    <w:rsid w:val="009B27F8"/>
    <w:rsid w:val="009B4A8B"/>
    <w:rsid w:val="009B74FB"/>
    <w:rsid w:val="009C0660"/>
    <w:rsid w:val="009C12A7"/>
    <w:rsid w:val="009C2DE3"/>
    <w:rsid w:val="009C31A4"/>
    <w:rsid w:val="009C4845"/>
    <w:rsid w:val="009C7314"/>
    <w:rsid w:val="009D2442"/>
    <w:rsid w:val="009D4826"/>
    <w:rsid w:val="009D5D9F"/>
    <w:rsid w:val="009D70E5"/>
    <w:rsid w:val="009D7F4D"/>
    <w:rsid w:val="009E0FA2"/>
    <w:rsid w:val="009E2244"/>
    <w:rsid w:val="009E2D42"/>
    <w:rsid w:val="009E57DF"/>
    <w:rsid w:val="009E6140"/>
    <w:rsid w:val="009F57FD"/>
    <w:rsid w:val="009F7F9F"/>
    <w:rsid w:val="00A01E02"/>
    <w:rsid w:val="00A02E26"/>
    <w:rsid w:val="00A04BF1"/>
    <w:rsid w:val="00A053BF"/>
    <w:rsid w:val="00A05BA0"/>
    <w:rsid w:val="00A10C74"/>
    <w:rsid w:val="00A159C9"/>
    <w:rsid w:val="00A167FB"/>
    <w:rsid w:val="00A205C6"/>
    <w:rsid w:val="00A21B70"/>
    <w:rsid w:val="00A21D02"/>
    <w:rsid w:val="00A21DDB"/>
    <w:rsid w:val="00A23CF6"/>
    <w:rsid w:val="00A2690C"/>
    <w:rsid w:val="00A2792F"/>
    <w:rsid w:val="00A30970"/>
    <w:rsid w:val="00A315E4"/>
    <w:rsid w:val="00A31BDD"/>
    <w:rsid w:val="00A31D96"/>
    <w:rsid w:val="00A31DC7"/>
    <w:rsid w:val="00A31FEE"/>
    <w:rsid w:val="00A33722"/>
    <w:rsid w:val="00A33C55"/>
    <w:rsid w:val="00A34020"/>
    <w:rsid w:val="00A344D1"/>
    <w:rsid w:val="00A34BF6"/>
    <w:rsid w:val="00A406C3"/>
    <w:rsid w:val="00A42704"/>
    <w:rsid w:val="00A42875"/>
    <w:rsid w:val="00A44DC1"/>
    <w:rsid w:val="00A47168"/>
    <w:rsid w:val="00A47A98"/>
    <w:rsid w:val="00A47EE7"/>
    <w:rsid w:val="00A50B43"/>
    <w:rsid w:val="00A51C87"/>
    <w:rsid w:val="00A54197"/>
    <w:rsid w:val="00A55F57"/>
    <w:rsid w:val="00A56ABC"/>
    <w:rsid w:val="00A61821"/>
    <w:rsid w:val="00A61E3A"/>
    <w:rsid w:val="00A631BA"/>
    <w:rsid w:val="00A65C27"/>
    <w:rsid w:val="00A65C62"/>
    <w:rsid w:val="00A665DF"/>
    <w:rsid w:val="00A67322"/>
    <w:rsid w:val="00A67512"/>
    <w:rsid w:val="00A67CA5"/>
    <w:rsid w:val="00A75CCD"/>
    <w:rsid w:val="00A80506"/>
    <w:rsid w:val="00A806AE"/>
    <w:rsid w:val="00A8118F"/>
    <w:rsid w:val="00A8193C"/>
    <w:rsid w:val="00A83458"/>
    <w:rsid w:val="00A841EC"/>
    <w:rsid w:val="00A86884"/>
    <w:rsid w:val="00A86C41"/>
    <w:rsid w:val="00A90148"/>
    <w:rsid w:val="00A917F8"/>
    <w:rsid w:val="00A979B8"/>
    <w:rsid w:val="00AA06D1"/>
    <w:rsid w:val="00AA0741"/>
    <w:rsid w:val="00AA0D8C"/>
    <w:rsid w:val="00AA25BC"/>
    <w:rsid w:val="00AA2841"/>
    <w:rsid w:val="00AA3077"/>
    <w:rsid w:val="00AA3640"/>
    <w:rsid w:val="00AA3E2A"/>
    <w:rsid w:val="00AA46AF"/>
    <w:rsid w:val="00AA5AE7"/>
    <w:rsid w:val="00AA6CCE"/>
    <w:rsid w:val="00AB2477"/>
    <w:rsid w:val="00AB4E9E"/>
    <w:rsid w:val="00AB6C99"/>
    <w:rsid w:val="00AB71BC"/>
    <w:rsid w:val="00AC11D5"/>
    <w:rsid w:val="00AC1320"/>
    <w:rsid w:val="00AC15E5"/>
    <w:rsid w:val="00AC22BB"/>
    <w:rsid w:val="00AC4080"/>
    <w:rsid w:val="00AC5A6D"/>
    <w:rsid w:val="00AC5C80"/>
    <w:rsid w:val="00AC5D73"/>
    <w:rsid w:val="00AC73AD"/>
    <w:rsid w:val="00AC7BED"/>
    <w:rsid w:val="00AD067D"/>
    <w:rsid w:val="00AD5FFD"/>
    <w:rsid w:val="00AD705A"/>
    <w:rsid w:val="00AD78F9"/>
    <w:rsid w:val="00AE008D"/>
    <w:rsid w:val="00AE0C2E"/>
    <w:rsid w:val="00AE30E0"/>
    <w:rsid w:val="00AE346F"/>
    <w:rsid w:val="00AE3AD5"/>
    <w:rsid w:val="00AE4AF9"/>
    <w:rsid w:val="00AE691B"/>
    <w:rsid w:val="00AF13E2"/>
    <w:rsid w:val="00AF2329"/>
    <w:rsid w:val="00AF3660"/>
    <w:rsid w:val="00AF7A20"/>
    <w:rsid w:val="00B00433"/>
    <w:rsid w:val="00B01312"/>
    <w:rsid w:val="00B02C6C"/>
    <w:rsid w:val="00B02D98"/>
    <w:rsid w:val="00B06685"/>
    <w:rsid w:val="00B068EA"/>
    <w:rsid w:val="00B14312"/>
    <w:rsid w:val="00B15D02"/>
    <w:rsid w:val="00B15D2F"/>
    <w:rsid w:val="00B16399"/>
    <w:rsid w:val="00B165FC"/>
    <w:rsid w:val="00B1760F"/>
    <w:rsid w:val="00B2586D"/>
    <w:rsid w:val="00B25AE4"/>
    <w:rsid w:val="00B265C9"/>
    <w:rsid w:val="00B26909"/>
    <w:rsid w:val="00B27664"/>
    <w:rsid w:val="00B31169"/>
    <w:rsid w:val="00B31828"/>
    <w:rsid w:val="00B41E25"/>
    <w:rsid w:val="00B4215E"/>
    <w:rsid w:val="00B42BEE"/>
    <w:rsid w:val="00B452B7"/>
    <w:rsid w:val="00B458E3"/>
    <w:rsid w:val="00B46BCA"/>
    <w:rsid w:val="00B518FF"/>
    <w:rsid w:val="00B54F17"/>
    <w:rsid w:val="00B561EE"/>
    <w:rsid w:val="00B57D47"/>
    <w:rsid w:val="00B61584"/>
    <w:rsid w:val="00B6210E"/>
    <w:rsid w:val="00B632E3"/>
    <w:rsid w:val="00B64DC8"/>
    <w:rsid w:val="00B65A0C"/>
    <w:rsid w:val="00B70688"/>
    <w:rsid w:val="00B71280"/>
    <w:rsid w:val="00B7225F"/>
    <w:rsid w:val="00B75FD9"/>
    <w:rsid w:val="00B77091"/>
    <w:rsid w:val="00B837C1"/>
    <w:rsid w:val="00B841E0"/>
    <w:rsid w:val="00B860BA"/>
    <w:rsid w:val="00B865F5"/>
    <w:rsid w:val="00B870A0"/>
    <w:rsid w:val="00B91DFE"/>
    <w:rsid w:val="00B92858"/>
    <w:rsid w:val="00B966E9"/>
    <w:rsid w:val="00B96BC7"/>
    <w:rsid w:val="00B97229"/>
    <w:rsid w:val="00BA07B9"/>
    <w:rsid w:val="00BA08A3"/>
    <w:rsid w:val="00BA3D7D"/>
    <w:rsid w:val="00BA5AB3"/>
    <w:rsid w:val="00BB107E"/>
    <w:rsid w:val="00BB227E"/>
    <w:rsid w:val="00BB4F22"/>
    <w:rsid w:val="00BB7E3D"/>
    <w:rsid w:val="00BC3CD1"/>
    <w:rsid w:val="00BC4698"/>
    <w:rsid w:val="00BC5A43"/>
    <w:rsid w:val="00BC5EC6"/>
    <w:rsid w:val="00BC5F0E"/>
    <w:rsid w:val="00BD2211"/>
    <w:rsid w:val="00BD221D"/>
    <w:rsid w:val="00BD3E65"/>
    <w:rsid w:val="00BD5916"/>
    <w:rsid w:val="00BD5934"/>
    <w:rsid w:val="00BD7496"/>
    <w:rsid w:val="00BD7785"/>
    <w:rsid w:val="00BE0032"/>
    <w:rsid w:val="00BE3B2E"/>
    <w:rsid w:val="00BE7DE8"/>
    <w:rsid w:val="00BF0A45"/>
    <w:rsid w:val="00BF1CBD"/>
    <w:rsid w:val="00BF52C4"/>
    <w:rsid w:val="00BF62EC"/>
    <w:rsid w:val="00BF66D2"/>
    <w:rsid w:val="00C006BE"/>
    <w:rsid w:val="00C04A8B"/>
    <w:rsid w:val="00C05B8E"/>
    <w:rsid w:val="00C1063D"/>
    <w:rsid w:val="00C12A0A"/>
    <w:rsid w:val="00C147EF"/>
    <w:rsid w:val="00C15E0E"/>
    <w:rsid w:val="00C23FB5"/>
    <w:rsid w:val="00C24A1A"/>
    <w:rsid w:val="00C25988"/>
    <w:rsid w:val="00C25CCA"/>
    <w:rsid w:val="00C302A6"/>
    <w:rsid w:val="00C3294B"/>
    <w:rsid w:val="00C331BB"/>
    <w:rsid w:val="00C345D1"/>
    <w:rsid w:val="00C41A08"/>
    <w:rsid w:val="00C422B9"/>
    <w:rsid w:val="00C4240A"/>
    <w:rsid w:val="00C4241E"/>
    <w:rsid w:val="00C503EE"/>
    <w:rsid w:val="00C504EC"/>
    <w:rsid w:val="00C50EFE"/>
    <w:rsid w:val="00C5389E"/>
    <w:rsid w:val="00C53F70"/>
    <w:rsid w:val="00C5689E"/>
    <w:rsid w:val="00C615A3"/>
    <w:rsid w:val="00C6198D"/>
    <w:rsid w:val="00C635DA"/>
    <w:rsid w:val="00C639E7"/>
    <w:rsid w:val="00C648B8"/>
    <w:rsid w:val="00C659BE"/>
    <w:rsid w:val="00C71D78"/>
    <w:rsid w:val="00C739BE"/>
    <w:rsid w:val="00C74205"/>
    <w:rsid w:val="00C75D4B"/>
    <w:rsid w:val="00C76EB3"/>
    <w:rsid w:val="00C80300"/>
    <w:rsid w:val="00C813DE"/>
    <w:rsid w:val="00C81FAA"/>
    <w:rsid w:val="00C82307"/>
    <w:rsid w:val="00C8613B"/>
    <w:rsid w:val="00C900DE"/>
    <w:rsid w:val="00C92622"/>
    <w:rsid w:val="00C946B4"/>
    <w:rsid w:val="00C9533D"/>
    <w:rsid w:val="00C97228"/>
    <w:rsid w:val="00C9780D"/>
    <w:rsid w:val="00CA02DA"/>
    <w:rsid w:val="00CA04C0"/>
    <w:rsid w:val="00CA19D6"/>
    <w:rsid w:val="00CA1A54"/>
    <w:rsid w:val="00CA1CB3"/>
    <w:rsid w:val="00CA26B5"/>
    <w:rsid w:val="00CA3C6A"/>
    <w:rsid w:val="00CA655A"/>
    <w:rsid w:val="00CB0319"/>
    <w:rsid w:val="00CB4720"/>
    <w:rsid w:val="00CB48A5"/>
    <w:rsid w:val="00CB5BF8"/>
    <w:rsid w:val="00CC0229"/>
    <w:rsid w:val="00CC1338"/>
    <w:rsid w:val="00CC3B34"/>
    <w:rsid w:val="00CC46B2"/>
    <w:rsid w:val="00CC520D"/>
    <w:rsid w:val="00CC5718"/>
    <w:rsid w:val="00CC606F"/>
    <w:rsid w:val="00CD1352"/>
    <w:rsid w:val="00CD1CBE"/>
    <w:rsid w:val="00CD1E3E"/>
    <w:rsid w:val="00CD2EDC"/>
    <w:rsid w:val="00CD32E2"/>
    <w:rsid w:val="00CD4B0B"/>
    <w:rsid w:val="00CD6698"/>
    <w:rsid w:val="00CE16CB"/>
    <w:rsid w:val="00CE1E5B"/>
    <w:rsid w:val="00CE71C7"/>
    <w:rsid w:val="00CE7241"/>
    <w:rsid w:val="00CF1D92"/>
    <w:rsid w:val="00CF2D92"/>
    <w:rsid w:val="00CF5D91"/>
    <w:rsid w:val="00CF696D"/>
    <w:rsid w:val="00CF71AA"/>
    <w:rsid w:val="00D0025C"/>
    <w:rsid w:val="00D004FB"/>
    <w:rsid w:val="00D02BBC"/>
    <w:rsid w:val="00D02C36"/>
    <w:rsid w:val="00D05D2B"/>
    <w:rsid w:val="00D0761C"/>
    <w:rsid w:val="00D10403"/>
    <w:rsid w:val="00D12172"/>
    <w:rsid w:val="00D12B8C"/>
    <w:rsid w:val="00D14F84"/>
    <w:rsid w:val="00D16B89"/>
    <w:rsid w:val="00D200F6"/>
    <w:rsid w:val="00D21646"/>
    <w:rsid w:val="00D2171F"/>
    <w:rsid w:val="00D25EB4"/>
    <w:rsid w:val="00D36A3A"/>
    <w:rsid w:val="00D454F2"/>
    <w:rsid w:val="00D47CE9"/>
    <w:rsid w:val="00D52995"/>
    <w:rsid w:val="00D5623E"/>
    <w:rsid w:val="00D60425"/>
    <w:rsid w:val="00D60987"/>
    <w:rsid w:val="00D67B9C"/>
    <w:rsid w:val="00D72ADE"/>
    <w:rsid w:val="00D75233"/>
    <w:rsid w:val="00D76E52"/>
    <w:rsid w:val="00D7728F"/>
    <w:rsid w:val="00D77696"/>
    <w:rsid w:val="00D81CC4"/>
    <w:rsid w:val="00D84310"/>
    <w:rsid w:val="00D84DDE"/>
    <w:rsid w:val="00D87A2C"/>
    <w:rsid w:val="00D9747F"/>
    <w:rsid w:val="00D9765E"/>
    <w:rsid w:val="00DA1473"/>
    <w:rsid w:val="00DA4591"/>
    <w:rsid w:val="00DA6088"/>
    <w:rsid w:val="00DA6430"/>
    <w:rsid w:val="00DA681A"/>
    <w:rsid w:val="00DA6B7E"/>
    <w:rsid w:val="00DB63BE"/>
    <w:rsid w:val="00DB63DB"/>
    <w:rsid w:val="00DB7824"/>
    <w:rsid w:val="00DC308E"/>
    <w:rsid w:val="00DC3F8A"/>
    <w:rsid w:val="00DC5E0F"/>
    <w:rsid w:val="00DC6BAC"/>
    <w:rsid w:val="00DC6C76"/>
    <w:rsid w:val="00DC7F73"/>
    <w:rsid w:val="00DD1D9C"/>
    <w:rsid w:val="00DD57EE"/>
    <w:rsid w:val="00DD71C3"/>
    <w:rsid w:val="00DE0B0D"/>
    <w:rsid w:val="00DE191A"/>
    <w:rsid w:val="00DE1A0F"/>
    <w:rsid w:val="00DE3123"/>
    <w:rsid w:val="00DE339F"/>
    <w:rsid w:val="00DE52DA"/>
    <w:rsid w:val="00DE62ED"/>
    <w:rsid w:val="00DE65D3"/>
    <w:rsid w:val="00DF1535"/>
    <w:rsid w:val="00DF4B35"/>
    <w:rsid w:val="00DF51E1"/>
    <w:rsid w:val="00DF53F5"/>
    <w:rsid w:val="00DF61FD"/>
    <w:rsid w:val="00DF6226"/>
    <w:rsid w:val="00DF6D25"/>
    <w:rsid w:val="00DF79F2"/>
    <w:rsid w:val="00DF7ECA"/>
    <w:rsid w:val="00E00FE3"/>
    <w:rsid w:val="00E03C6D"/>
    <w:rsid w:val="00E11EE3"/>
    <w:rsid w:val="00E135F9"/>
    <w:rsid w:val="00E14349"/>
    <w:rsid w:val="00E20C28"/>
    <w:rsid w:val="00E223BE"/>
    <w:rsid w:val="00E22A77"/>
    <w:rsid w:val="00E22E84"/>
    <w:rsid w:val="00E24B18"/>
    <w:rsid w:val="00E251B3"/>
    <w:rsid w:val="00E27E0C"/>
    <w:rsid w:val="00E3016C"/>
    <w:rsid w:val="00E348BC"/>
    <w:rsid w:val="00E35B8D"/>
    <w:rsid w:val="00E3620A"/>
    <w:rsid w:val="00E37448"/>
    <w:rsid w:val="00E37C27"/>
    <w:rsid w:val="00E37F02"/>
    <w:rsid w:val="00E41FEB"/>
    <w:rsid w:val="00E4307D"/>
    <w:rsid w:val="00E4318F"/>
    <w:rsid w:val="00E4392E"/>
    <w:rsid w:val="00E45931"/>
    <w:rsid w:val="00E50B9E"/>
    <w:rsid w:val="00E50D57"/>
    <w:rsid w:val="00E54395"/>
    <w:rsid w:val="00E54741"/>
    <w:rsid w:val="00E568E5"/>
    <w:rsid w:val="00E57AAD"/>
    <w:rsid w:val="00E6453F"/>
    <w:rsid w:val="00E659EF"/>
    <w:rsid w:val="00E677A6"/>
    <w:rsid w:val="00E70CBD"/>
    <w:rsid w:val="00E717E8"/>
    <w:rsid w:val="00E718C7"/>
    <w:rsid w:val="00E72BAF"/>
    <w:rsid w:val="00E73D81"/>
    <w:rsid w:val="00E754F4"/>
    <w:rsid w:val="00E80023"/>
    <w:rsid w:val="00E82761"/>
    <w:rsid w:val="00E827BA"/>
    <w:rsid w:val="00E82964"/>
    <w:rsid w:val="00E865D1"/>
    <w:rsid w:val="00E86FE9"/>
    <w:rsid w:val="00E96F9D"/>
    <w:rsid w:val="00E9746E"/>
    <w:rsid w:val="00EA057C"/>
    <w:rsid w:val="00EA2D3D"/>
    <w:rsid w:val="00EA5B84"/>
    <w:rsid w:val="00EA6ADE"/>
    <w:rsid w:val="00EB20F9"/>
    <w:rsid w:val="00EB24EB"/>
    <w:rsid w:val="00EB34AF"/>
    <w:rsid w:val="00EB4719"/>
    <w:rsid w:val="00EC0C85"/>
    <w:rsid w:val="00EC314A"/>
    <w:rsid w:val="00EC4235"/>
    <w:rsid w:val="00EC43D5"/>
    <w:rsid w:val="00EC760A"/>
    <w:rsid w:val="00ED06CC"/>
    <w:rsid w:val="00ED2C8E"/>
    <w:rsid w:val="00ED32CC"/>
    <w:rsid w:val="00ED379E"/>
    <w:rsid w:val="00ED7680"/>
    <w:rsid w:val="00EE0424"/>
    <w:rsid w:val="00EE0D47"/>
    <w:rsid w:val="00EE3619"/>
    <w:rsid w:val="00EE3E66"/>
    <w:rsid w:val="00EE5358"/>
    <w:rsid w:val="00EF1B6A"/>
    <w:rsid w:val="00EF3C59"/>
    <w:rsid w:val="00EF3D7E"/>
    <w:rsid w:val="00EF54D8"/>
    <w:rsid w:val="00EF6D98"/>
    <w:rsid w:val="00EF71E9"/>
    <w:rsid w:val="00F006D2"/>
    <w:rsid w:val="00F00BD1"/>
    <w:rsid w:val="00F00DC7"/>
    <w:rsid w:val="00F017B0"/>
    <w:rsid w:val="00F01FD9"/>
    <w:rsid w:val="00F04B07"/>
    <w:rsid w:val="00F05BA8"/>
    <w:rsid w:val="00F074DD"/>
    <w:rsid w:val="00F07657"/>
    <w:rsid w:val="00F1142D"/>
    <w:rsid w:val="00F14FDC"/>
    <w:rsid w:val="00F16F13"/>
    <w:rsid w:val="00F20AEA"/>
    <w:rsid w:val="00F219C3"/>
    <w:rsid w:val="00F23E9A"/>
    <w:rsid w:val="00F242D9"/>
    <w:rsid w:val="00F259FE"/>
    <w:rsid w:val="00F3590C"/>
    <w:rsid w:val="00F3715D"/>
    <w:rsid w:val="00F44B62"/>
    <w:rsid w:val="00F5072C"/>
    <w:rsid w:val="00F517F5"/>
    <w:rsid w:val="00F51CBF"/>
    <w:rsid w:val="00F52590"/>
    <w:rsid w:val="00F526D5"/>
    <w:rsid w:val="00F5411D"/>
    <w:rsid w:val="00F56D2B"/>
    <w:rsid w:val="00F57CFD"/>
    <w:rsid w:val="00F57D2D"/>
    <w:rsid w:val="00F6000B"/>
    <w:rsid w:val="00F606D8"/>
    <w:rsid w:val="00F62A49"/>
    <w:rsid w:val="00F64F0D"/>
    <w:rsid w:val="00F65726"/>
    <w:rsid w:val="00F666B0"/>
    <w:rsid w:val="00F7026A"/>
    <w:rsid w:val="00F70DDE"/>
    <w:rsid w:val="00F71826"/>
    <w:rsid w:val="00F72649"/>
    <w:rsid w:val="00F72B45"/>
    <w:rsid w:val="00F73B00"/>
    <w:rsid w:val="00F7493F"/>
    <w:rsid w:val="00F764EE"/>
    <w:rsid w:val="00F779BA"/>
    <w:rsid w:val="00F837E5"/>
    <w:rsid w:val="00F8464D"/>
    <w:rsid w:val="00F84737"/>
    <w:rsid w:val="00F85099"/>
    <w:rsid w:val="00F860EE"/>
    <w:rsid w:val="00F87B69"/>
    <w:rsid w:val="00F90C95"/>
    <w:rsid w:val="00F9103E"/>
    <w:rsid w:val="00F95923"/>
    <w:rsid w:val="00F96A39"/>
    <w:rsid w:val="00F96DB3"/>
    <w:rsid w:val="00F97463"/>
    <w:rsid w:val="00F974AD"/>
    <w:rsid w:val="00FA0979"/>
    <w:rsid w:val="00FA1233"/>
    <w:rsid w:val="00FA1A84"/>
    <w:rsid w:val="00FA4B50"/>
    <w:rsid w:val="00FA4DC6"/>
    <w:rsid w:val="00FA5D99"/>
    <w:rsid w:val="00FB030E"/>
    <w:rsid w:val="00FB52E8"/>
    <w:rsid w:val="00FB571F"/>
    <w:rsid w:val="00FB6F0B"/>
    <w:rsid w:val="00FC42BA"/>
    <w:rsid w:val="00FC4CC7"/>
    <w:rsid w:val="00FC611F"/>
    <w:rsid w:val="00FC6166"/>
    <w:rsid w:val="00FC6D57"/>
    <w:rsid w:val="00FC77BB"/>
    <w:rsid w:val="00FD08C1"/>
    <w:rsid w:val="00FD2C54"/>
    <w:rsid w:val="00FD6877"/>
    <w:rsid w:val="00FD7A7A"/>
    <w:rsid w:val="00FE10C1"/>
    <w:rsid w:val="00FE190E"/>
    <w:rsid w:val="00FE20A9"/>
    <w:rsid w:val="00FE48A9"/>
    <w:rsid w:val="00FE6842"/>
    <w:rsid w:val="00FF08B7"/>
    <w:rsid w:val="00FF12B8"/>
    <w:rsid w:val="00FF52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DB1DDC8"/>
  <w14:defaultImageDpi w14:val="330"/>
  <w15:docId w15:val="{A1346385-2502-4995-B84A-B4C8CBE824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20592"/>
    <w:pPr>
      <w:spacing w:before="120" w:after="120" w:line="220" w:lineRule="atLeast"/>
    </w:pPr>
    <w:rPr>
      <w:rFonts w:ascii="Calibri Light" w:hAnsi="Calibri Light"/>
      <w:sz w:val="22"/>
    </w:rPr>
  </w:style>
  <w:style w:type="paragraph" w:styleId="Heading1">
    <w:name w:val="heading 1"/>
    <w:aliases w:val="H1"/>
    <w:next w:val="Normal"/>
    <w:link w:val="Heading1Char"/>
    <w:uiPriority w:val="9"/>
    <w:qFormat/>
    <w:rsid w:val="009C4845"/>
    <w:pPr>
      <w:keepNext/>
      <w:keepLines/>
      <w:pageBreakBefore/>
      <w:numPr>
        <w:numId w:val="5"/>
      </w:numPr>
      <w:spacing w:before="240" w:after="320"/>
      <w:outlineLvl w:val="0"/>
    </w:pPr>
    <w:rPr>
      <w:rFonts w:ascii="Proxima Nova Light" w:eastAsiaTheme="majorEastAsia" w:hAnsi="Proxima Nova Light" w:cstheme="majorBidi"/>
      <w:caps/>
      <w:color w:val="164B76"/>
      <w:sz w:val="44"/>
      <w:szCs w:val="40"/>
    </w:rPr>
  </w:style>
  <w:style w:type="paragraph" w:styleId="Heading2">
    <w:name w:val="heading 2"/>
    <w:aliases w:val="H2"/>
    <w:basedOn w:val="Normal"/>
    <w:next w:val="Normal"/>
    <w:link w:val="Heading2Char"/>
    <w:uiPriority w:val="9"/>
    <w:unhideWhenUsed/>
    <w:qFormat/>
    <w:rsid w:val="00952E03"/>
    <w:pPr>
      <w:keepNext/>
      <w:keepLines/>
      <w:numPr>
        <w:ilvl w:val="1"/>
        <w:numId w:val="2"/>
      </w:numPr>
      <w:spacing w:before="360" w:after="200"/>
      <w:outlineLvl w:val="1"/>
    </w:pPr>
    <w:rPr>
      <w:rFonts w:ascii="Proxima Nova Light" w:eastAsiaTheme="majorEastAsia" w:hAnsi="Proxima Nova Light" w:cstheme="majorBidi"/>
      <w:bCs/>
      <w:color w:val="164B76"/>
      <w:sz w:val="32"/>
      <w:szCs w:val="26"/>
    </w:rPr>
  </w:style>
  <w:style w:type="paragraph" w:styleId="Heading3">
    <w:name w:val="heading 3"/>
    <w:aliases w:val="H3"/>
    <w:next w:val="Normal"/>
    <w:link w:val="Heading3Char"/>
    <w:uiPriority w:val="9"/>
    <w:unhideWhenUsed/>
    <w:qFormat/>
    <w:rsid w:val="00952E03"/>
    <w:pPr>
      <w:keepNext/>
      <w:keepLines/>
      <w:spacing w:before="120" w:after="120"/>
      <w:outlineLvl w:val="2"/>
    </w:pPr>
    <w:rPr>
      <w:rFonts w:ascii="Proxima Nova Light" w:eastAsiaTheme="majorEastAsia" w:hAnsi="Proxima Nova Light" w:cstheme="majorBidi"/>
      <w:color w:val="164B76"/>
      <w:w w:val="102"/>
      <w:sz w:val="28"/>
      <w:szCs w:val="30"/>
    </w:rPr>
  </w:style>
  <w:style w:type="paragraph" w:styleId="Heading4">
    <w:name w:val="heading 4"/>
    <w:aliases w:val="H4"/>
    <w:next w:val="Normal"/>
    <w:link w:val="Heading4Char"/>
    <w:uiPriority w:val="9"/>
    <w:unhideWhenUsed/>
    <w:qFormat/>
    <w:rsid w:val="00F90C95"/>
    <w:pPr>
      <w:keepNext/>
      <w:keepLines/>
      <w:spacing w:before="280" w:after="160"/>
      <w:outlineLvl w:val="3"/>
    </w:pPr>
    <w:rPr>
      <w:rFonts w:ascii="Proxima Nova Light" w:eastAsiaTheme="majorEastAsia" w:hAnsi="Proxima Nova Light" w:cstheme="majorBidi"/>
      <w:bCs/>
      <w:color w:val="808080" w:themeColor="accent3"/>
      <w:sz w:val="26"/>
      <w:szCs w:val="22"/>
    </w:rPr>
  </w:style>
  <w:style w:type="paragraph" w:styleId="Heading5">
    <w:name w:val="heading 5"/>
    <w:aliases w:val="H5"/>
    <w:basedOn w:val="Normal"/>
    <w:next w:val="Normal"/>
    <w:link w:val="Heading5Char"/>
    <w:uiPriority w:val="9"/>
    <w:unhideWhenUsed/>
    <w:qFormat/>
    <w:rsid w:val="005E52AE"/>
    <w:pPr>
      <w:keepNext/>
      <w:keepLines/>
      <w:spacing w:before="200"/>
      <w:outlineLvl w:val="4"/>
    </w:pPr>
    <w:rPr>
      <w:rFonts w:ascii="Proxima Nova Light" w:eastAsiaTheme="majorEastAsia" w:hAnsi="Proxima Nova Light" w:cstheme="majorBidi"/>
      <w:color w:val="8B8B8B" w:themeColor="text1" w:themeTint="80"/>
    </w:rPr>
  </w:style>
  <w:style w:type="paragraph" w:styleId="Heading6">
    <w:name w:val="heading 6"/>
    <w:aliases w:val="Appendix Header 1"/>
    <w:next w:val="Normal"/>
    <w:link w:val="Heading6Char"/>
    <w:uiPriority w:val="9"/>
    <w:unhideWhenUsed/>
    <w:rsid w:val="005E52AE"/>
    <w:pPr>
      <w:keepNext/>
      <w:numPr>
        <w:ilvl w:val="5"/>
        <w:numId w:val="4"/>
      </w:numPr>
      <w:spacing w:before="360" w:after="240"/>
      <w:outlineLvl w:val="5"/>
    </w:pPr>
    <w:rPr>
      <w:rFonts w:ascii="Proxima Nova Light" w:hAnsi="Proxima Nova Light"/>
      <w:caps/>
      <w:color w:val="FF6D2E" w:themeColor="accent1"/>
      <w:sz w:val="44"/>
      <w:szCs w:val="40"/>
    </w:rPr>
  </w:style>
  <w:style w:type="paragraph" w:styleId="Heading7">
    <w:name w:val="heading 7"/>
    <w:aliases w:val="Appendix Header 7"/>
    <w:next w:val="Normal"/>
    <w:link w:val="Heading7Char"/>
    <w:uiPriority w:val="9"/>
    <w:unhideWhenUsed/>
    <w:rsid w:val="005E52AE"/>
    <w:pPr>
      <w:keepNext/>
      <w:numPr>
        <w:ilvl w:val="6"/>
        <w:numId w:val="4"/>
      </w:numPr>
      <w:spacing w:before="360" w:after="200"/>
      <w:outlineLvl w:val="6"/>
    </w:pPr>
    <w:rPr>
      <w:rFonts w:ascii="Proxima Nova Light" w:hAnsi="Proxima Nova Light"/>
      <w:color w:val="FF6D2E" w:themeColor="accent1"/>
      <w:sz w:val="32"/>
    </w:rPr>
  </w:style>
  <w:style w:type="paragraph" w:styleId="Heading8">
    <w:name w:val="heading 8"/>
    <w:aliases w:val="Appendix 8"/>
    <w:next w:val="Normal"/>
    <w:link w:val="Heading8Char"/>
    <w:uiPriority w:val="9"/>
    <w:unhideWhenUsed/>
    <w:rsid w:val="005E52AE"/>
    <w:pPr>
      <w:spacing w:before="360" w:after="180"/>
      <w:outlineLvl w:val="7"/>
    </w:pPr>
    <w:rPr>
      <w:rFonts w:ascii="Proxima Nova Light" w:hAnsi="Proxima Nova Light"/>
      <w:color w:val="FF6D2E" w:themeColor="accent1"/>
      <w:sz w:val="28"/>
    </w:rPr>
  </w:style>
  <w:style w:type="paragraph" w:styleId="Heading9">
    <w:name w:val="heading 9"/>
    <w:basedOn w:val="Normal"/>
    <w:next w:val="Normal"/>
    <w:link w:val="Heading9Char"/>
    <w:uiPriority w:val="9"/>
    <w:semiHidden/>
    <w:unhideWhenUsed/>
    <w:rsid w:val="009C4845"/>
    <w:pPr>
      <w:keepNext/>
      <w:keepLines/>
      <w:numPr>
        <w:ilvl w:val="8"/>
        <w:numId w:val="5"/>
      </w:numPr>
      <w:spacing w:before="200"/>
      <w:outlineLvl w:val="8"/>
    </w:pPr>
    <w:rPr>
      <w:rFonts w:asciiTheme="majorHAnsi" w:eastAsiaTheme="majorEastAsia" w:hAnsiTheme="majorHAnsi" w:cstheme="majorBidi"/>
      <w:i/>
      <w:iCs/>
      <w:color w:val="525252"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
    <w:rsid w:val="00952E03"/>
    <w:rPr>
      <w:rFonts w:ascii="Proxima Nova Light" w:eastAsiaTheme="majorEastAsia" w:hAnsi="Proxima Nova Light" w:cstheme="majorBidi"/>
      <w:caps/>
      <w:color w:val="164B76"/>
      <w:sz w:val="44"/>
      <w:szCs w:val="40"/>
    </w:rPr>
  </w:style>
  <w:style w:type="character" w:customStyle="1" w:styleId="Heading2Char">
    <w:name w:val="Heading 2 Char"/>
    <w:aliases w:val="H2 Char"/>
    <w:basedOn w:val="DefaultParagraphFont"/>
    <w:link w:val="Heading2"/>
    <w:uiPriority w:val="9"/>
    <w:rsid w:val="00952E03"/>
    <w:rPr>
      <w:rFonts w:ascii="Proxima Nova Light" w:eastAsiaTheme="majorEastAsia" w:hAnsi="Proxima Nova Light" w:cstheme="majorBidi"/>
      <w:bCs/>
      <w:color w:val="164B76"/>
      <w:sz w:val="32"/>
      <w:szCs w:val="26"/>
    </w:rPr>
  </w:style>
  <w:style w:type="character" w:customStyle="1" w:styleId="Heading3Char">
    <w:name w:val="Heading 3 Char"/>
    <w:aliases w:val="H3 Char"/>
    <w:basedOn w:val="DefaultParagraphFont"/>
    <w:link w:val="Heading3"/>
    <w:uiPriority w:val="9"/>
    <w:rsid w:val="00952E03"/>
    <w:rPr>
      <w:rFonts w:ascii="Proxima Nova Light" w:eastAsiaTheme="majorEastAsia" w:hAnsi="Proxima Nova Light" w:cstheme="majorBidi"/>
      <w:color w:val="164B76"/>
      <w:w w:val="102"/>
      <w:sz w:val="28"/>
      <w:szCs w:val="30"/>
    </w:rPr>
  </w:style>
  <w:style w:type="character" w:customStyle="1" w:styleId="Heading4Char">
    <w:name w:val="Heading 4 Char"/>
    <w:aliases w:val="H4 Char"/>
    <w:basedOn w:val="DefaultParagraphFont"/>
    <w:link w:val="Heading4"/>
    <w:uiPriority w:val="9"/>
    <w:rsid w:val="00F90C95"/>
    <w:rPr>
      <w:rFonts w:ascii="Proxima Nova Light" w:eastAsiaTheme="majorEastAsia" w:hAnsi="Proxima Nova Light" w:cstheme="majorBidi"/>
      <w:bCs/>
      <w:color w:val="808080" w:themeColor="accent3"/>
      <w:sz w:val="26"/>
      <w:szCs w:val="22"/>
    </w:rPr>
  </w:style>
  <w:style w:type="character" w:customStyle="1" w:styleId="Heading5Char">
    <w:name w:val="Heading 5 Char"/>
    <w:aliases w:val="H5 Char"/>
    <w:basedOn w:val="DefaultParagraphFont"/>
    <w:link w:val="Heading5"/>
    <w:uiPriority w:val="9"/>
    <w:rsid w:val="005E52AE"/>
    <w:rPr>
      <w:rFonts w:ascii="Proxima Nova Light" w:eastAsiaTheme="majorEastAsia" w:hAnsi="Proxima Nova Light" w:cstheme="majorBidi"/>
      <w:color w:val="8B8B8B" w:themeColor="text1" w:themeTint="80"/>
      <w:sz w:val="22"/>
    </w:rPr>
  </w:style>
  <w:style w:type="character" w:customStyle="1" w:styleId="Heading6Char">
    <w:name w:val="Heading 6 Char"/>
    <w:aliases w:val="Appendix Header 1 Char"/>
    <w:basedOn w:val="DefaultParagraphFont"/>
    <w:link w:val="Heading6"/>
    <w:uiPriority w:val="9"/>
    <w:rsid w:val="005E52AE"/>
    <w:rPr>
      <w:rFonts w:ascii="Proxima Nova Light" w:hAnsi="Proxima Nova Light"/>
      <w:caps/>
      <w:color w:val="FF6D2E" w:themeColor="accent1"/>
      <w:sz w:val="44"/>
      <w:szCs w:val="40"/>
    </w:rPr>
  </w:style>
  <w:style w:type="character" w:customStyle="1" w:styleId="Heading7Char">
    <w:name w:val="Heading 7 Char"/>
    <w:aliases w:val="Appendix Header 7 Char"/>
    <w:basedOn w:val="DefaultParagraphFont"/>
    <w:link w:val="Heading7"/>
    <w:uiPriority w:val="9"/>
    <w:rsid w:val="005E52AE"/>
    <w:rPr>
      <w:rFonts w:ascii="Proxima Nova Light" w:hAnsi="Proxima Nova Light"/>
      <w:color w:val="FF6D2E" w:themeColor="accent1"/>
      <w:sz w:val="32"/>
    </w:rPr>
  </w:style>
  <w:style w:type="character" w:customStyle="1" w:styleId="Heading8Char">
    <w:name w:val="Heading 8 Char"/>
    <w:aliases w:val="Appendix 8 Char"/>
    <w:basedOn w:val="DefaultParagraphFont"/>
    <w:link w:val="Heading8"/>
    <w:uiPriority w:val="9"/>
    <w:rsid w:val="005E52AE"/>
    <w:rPr>
      <w:rFonts w:ascii="Proxima Nova Light" w:hAnsi="Proxima Nova Light"/>
      <w:color w:val="FF6D2E" w:themeColor="accent1"/>
      <w:sz w:val="28"/>
    </w:rPr>
  </w:style>
  <w:style w:type="character" w:customStyle="1" w:styleId="Heading9Char">
    <w:name w:val="Heading 9 Char"/>
    <w:basedOn w:val="DefaultParagraphFont"/>
    <w:link w:val="Heading9"/>
    <w:uiPriority w:val="9"/>
    <w:semiHidden/>
    <w:rsid w:val="00F62A49"/>
    <w:rPr>
      <w:rFonts w:asciiTheme="majorHAnsi" w:eastAsiaTheme="majorEastAsia" w:hAnsiTheme="majorHAnsi" w:cstheme="majorBidi"/>
      <w:i/>
      <w:iCs/>
      <w:color w:val="525252" w:themeColor="text1" w:themeTint="BF"/>
      <w:sz w:val="20"/>
      <w:szCs w:val="20"/>
    </w:rPr>
  </w:style>
  <w:style w:type="table" w:styleId="PlainTable4">
    <w:name w:val="Plain Table 4"/>
    <w:basedOn w:val="TableNormal"/>
    <w:uiPriority w:val="44"/>
    <w:rsid w:val="00154391"/>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OCHeading">
    <w:name w:val="TOC Heading"/>
    <w:aliases w:val="TOC/ES Heading"/>
    <w:next w:val="Normal"/>
    <w:uiPriority w:val="39"/>
    <w:unhideWhenUsed/>
    <w:rsid w:val="002D40EE"/>
    <w:pPr>
      <w:spacing w:before="240" w:after="340"/>
      <w:jc w:val="center"/>
    </w:pPr>
    <w:rPr>
      <w:rFonts w:ascii="Proxima Nova Light" w:eastAsiaTheme="majorEastAsia" w:hAnsi="Proxima Nova Light" w:cstheme="majorBidi"/>
      <w:color w:val="FF7A42" w:themeColor="accent1" w:themeTint="E6"/>
      <w:sz w:val="48"/>
      <w:szCs w:val="48"/>
    </w:rPr>
  </w:style>
  <w:style w:type="paragraph" w:styleId="TOC1">
    <w:name w:val="toc 1"/>
    <w:next w:val="Normal"/>
    <w:autoRedefine/>
    <w:uiPriority w:val="39"/>
    <w:unhideWhenUsed/>
    <w:rsid w:val="007E1F66"/>
    <w:pPr>
      <w:tabs>
        <w:tab w:val="left" w:pos="395"/>
        <w:tab w:val="left" w:pos="426"/>
        <w:tab w:val="right" w:leader="dot" w:pos="9346"/>
      </w:tabs>
      <w:spacing w:before="120"/>
    </w:pPr>
    <w:rPr>
      <w:rFonts w:ascii="Calibri Light" w:hAnsi="Calibri Light"/>
      <w:b/>
      <w:szCs w:val="22"/>
    </w:rPr>
  </w:style>
  <w:style w:type="paragraph" w:styleId="TOC2">
    <w:name w:val="toc 2"/>
    <w:basedOn w:val="Normal"/>
    <w:next w:val="Normal"/>
    <w:autoRedefine/>
    <w:uiPriority w:val="39"/>
    <w:unhideWhenUsed/>
    <w:rsid w:val="00835487"/>
    <w:pPr>
      <w:tabs>
        <w:tab w:val="left" w:pos="925"/>
        <w:tab w:val="left" w:pos="997"/>
        <w:tab w:val="right" w:leader="dot" w:pos="9346"/>
      </w:tabs>
      <w:ind w:left="360" w:right="360"/>
      <w:contextualSpacing/>
    </w:pPr>
    <w:rPr>
      <w:b/>
    </w:rPr>
  </w:style>
  <w:style w:type="paragraph" w:styleId="TOC3">
    <w:name w:val="toc 3"/>
    <w:basedOn w:val="Normal"/>
    <w:next w:val="Normal"/>
    <w:autoRedefine/>
    <w:uiPriority w:val="39"/>
    <w:unhideWhenUsed/>
    <w:rsid w:val="00835487"/>
    <w:pPr>
      <w:tabs>
        <w:tab w:val="right" w:leader="dot" w:pos="9346"/>
      </w:tabs>
      <w:spacing w:before="20"/>
      <w:ind w:left="360" w:right="360"/>
      <w:contextualSpacing/>
    </w:pPr>
  </w:style>
  <w:style w:type="paragraph" w:styleId="TOC4">
    <w:name w:val="toc 4"/>
    <w:basedOn w:val="Normal"/>
    <w:next w:val="Normal"/>
    <w:autoRedefine/>
    <w:uiPriority w:val="39"/>
    <w:unhideWhenUsed/>
    <w:rsid w:val="0024628D"/>
    <w:pPr>
      <w:tabs>
        <w:tab w:val="right" w:leader="dot" w:pos="9346"/>
      </w:tabs>
      <w:ind w:left="1296"/>
    </w:pPr>
    <w:rPr>
      <w:i/>
      <w:sz w:val="20"/>
    </w:rPr>
  </w:style>
  <w:style w:type="paragraph" w:styleId="TOC5">
    <w:name w:val="toc 5"/>
    <w:basedOn w:val="Normal"/>
    <w:next w:val="Normal"/>
    <w:autoRedefine/>
    <w:uiPriority w:val="39"/>
    <w:unhideWhenUsed/>
    <w:rsid w:val="000C72C1"/>
    <w:pPr>
      <w:ind w:left="880"/>
    </w:pPr>
    <w:rPr>
      <w:rFonts w:asciiTheme="majorHAnsi" w:hAnsiTheme="majorHAnsi"/>
      <w:sz w:val="20"/>
    </w:rPr>
  </w:style>
  <w:style w:type="paragraph" w:styleId="TOC6">
    <w:name w:val="toc 6"/>
    <w:basedOn w:val="Normal"/>
    <w:next w:val="Normal"/>
    <w:autoRedefine/>
    <w:uiPriority w:val="39"/>
    <w:unhideWhenUsed/>
    <w:rsid w:val="000C72C1"/>
    <w:pPr>
      <w:ind w:left="1100"/>
    </w:pPr>
    <w:rPr>
      <w:rFonts w:asciiTheme="majorHAnsi" w:hAnsiTheme="majorHAnsi"/>
      <w:sz w:val="20"/>
    </w:rPr>
  </w:style>
  <w:style w:type="paragraph" w:styleId="TOC7">
    <w:name w:val="toc 7"/>
    <w:basedOn w:val="Normal"/>
    <w:next w:val="Normal"/>
    <w:autoRedefine/>
    <w:uiPriority w:val="39"/>
    <w:unhideWhenUsed/>
    <w:rsid w:val="000C72C1"/>
    <w:pPr>
      <w:ind w:left="1320"/>
    </w:pPr>
    <w:rPr>
      <w:rFonts w:asciiTheme="majorHAnsi" w:hAnsiTheme="majorHAnsi"/>
      <w:sz w:val="20"/>
    </w:rPr>
  </w:style>
  <w:style w:type="paragraph" w:styleId="TOC8">
    <w:name w:val="toc 8"/>
    <w:basedOn w:val="Normal"/>
    <w:next w:val="Normal"/>
    <w:autoRedefine/>
    <w:uiPriority w:val="39"/>
    <w:unhideWhenUsed/>
    <w:rsid w:val="000C72C1"/>
    <w:pPr>
      <w:ind w:left="1540"/>
    </w:pPr>
    <w:rPr>
      <w:rFonts w:asciiTheme="majorHAnsi" w:hAnsiTheme="majorHAnsi"/>
      <w:sz w:val="20"/>
    </w:rPr>
  </w:style>
  <w:style w:type="paragraph" w:styleId="TOC9">
    <w:name w:val="toc 9"/>
    <w:basedOn w:val="Normal"/>
    <w:next w:val="Normal"/>
    <w:autoRedefine/>
    <w:uiPriority w:val="39"/>
    <w:unhideWhenUsed/>
    <w:rsid w:val="000C72C1"/>
    <w:pPr>
      <w:ind w:left="1760"/>
    </w:pPr>
    <w:rPr>
      <w:rFonts w:asciiTheme="majorHAnsi" w:hAnsiTheme="majorHAnsi"/>
      <w:sz w:val="20"/>
    </w:rPr>
  </w:style>
  <w:style w:type="paragraph" w:customStyle="1" w:styleId="TableListHeader">
    <w:name w:val="Table List Header"/>
    <w:next w:val="Normal"/>
    <w:rsid w:val="00A80506"/>
    <w:pPr>
      <w:spacing w:after="280"/>
      <w:jc w:val="center"/>
    </w:pPr>
    <w:rPr>
      <w:rFonts w:ascii="Proxima Nova Light" w:hAnsi="Proxima Nova Light"/>
      <w:caps/>
      <w:color w:val="8B8B8B" w:themeColor="text1" w:themeTint="80"/>
      <w:szCs w:val="28"/>
    </w:rPr>
  </w:style>
  <w:style w:type="paragraph" w:styleId="ListParagraph">
    <w:name w:val="List Paragraph"/>
    <w:basedOn w:val="Normal"/>
    <w:uiPriority w:val="34"/>
    <w:qFormat/>
    <w:rsid w:val="0008108C"/>
    <w:pPr>
      <w:ind w:left="720"/>
      <w:contextualSpacing/>
    </w:pPr>
  </w:style>
  <w:style w:type="paragraph" w:styleId="Caption">
    <w:name w:val="caption"/>
    <w:aliases w:val="eTRM Caption,C. Caption"/>
    <w:basedOn w:val="Normal"/>
    <w:next w:val="Normal"/>
    <w:link w:val="CaptionChar"/>
    <w:autoRedefine/>
    <w:unhideWhenUsed/>
    <w:qFormat/>
    <w:rsid w:val="00A04BF1"/>
    <w:pPr>
      <w:keepNext/>
      <w:keepLines/>
      <w:spacing w:before="280" w:after="80"/>
    </w:pPr>
    <w:rPr>
      <w:rFonts w:cs="Arial"/>
      <w:b/>
      <w:color w:val="000000"/>
      <w:sz w:val="20"/>
      <w:szCs w:val="22"/>
      <w14:textFill>
        <w14:solidFill>
          <w14:srgbClr w14:val="000000">
            <w14:lumMod w14:val="50000"/>
          </w14:srgbClr>
        </w14:solidFill>
      </w14:textFill>
    </w:rPr>
  </w:style>
  <w:style w:type="character" w:customStyle="1" w:styleId="CaptionChar">
    <w:name w:val="Caption Char"/>
    <w:aliases w:val="eTRM Caption Char,C. Caption Char"/>
    <w:link w:val="Caption"/>
    <w:locked/>
    <w:rsid w:val="00A04BF1"/>
    <w:rPr>
      <w:rFonts w:ascii="Calibri Light" w:hAnsi="Calibri Light" w:cs="Arial"/>
      <w:b/>
      <w:color w:val="000000"/>
      <w:sz w:val="20"/>
      <w:szCs w:val="22"/>
      <w14:textFill>
        <w14:solidFill>
          <w14:srgbClr w14:val="000000">
            <w14:lumMod w14:val="50000"/>
          </w14:srgbClr>
        </w14:solidFill>
      </w14:textFill>
    </w:rPr>
  </w:style>
  <w:style w:type="table" w:styleId="PlainTable2">
    <w:name w:val="Plain Table 2"/>
    <w:basedOn w:val="TableNormal"/>
    <w:uiPriority w:val="42"/>
    <w:rsid w:val="00154391"/>
    <w:tblPr>
      <w:tblStyleRowBandSize w:val="1"/>
      <w:tblStyleColBandSize w:val="1"/>
      <w:tblBorders>
        <w:top w:val="single" w:sz="4" w:space="0" w:color="8B8B8B" w:themeColor="text1" w:themeTint="80"/>
        <w:bottom w:val="single" w:sz="4" w:space="0" w:color="8B8B8B" w:themeColor="text1" w:themeTint="80"/>
      </w:tblBorders>
    </w:tblPr>
    <w:tblStylePr w:type="firstRow">
      <w:rPr>
        <w:b/>
        <w:bCs/>
      </w:rPr>
      <w:tblPr/>
      <w:tcPr>
        <w:tcBorders>
          <w:bottom w:val="single" w:sz="4" w:space="0" w:color="8B8B8B" w:themeColor="text1" w:themeTint="80"/>
        </w:tcBorders>
      </w:tcPr>
    </w:tblStylePr>
    <w:tblStylePr w:type="lastRow">
      <w:rPr>
        <w:b/>
        <w:bCs/>
      </w:rPr>
      <w:tblPr/>
      <w:tcPr>
        <w:tcBorders>
          <w:top w:val="single" w:sz="4" w:space="0" w:color="8B8B8B" w:themeColor="text1" w:themeTint="80"/>
        </w:tcBorders>
      </w:tcPr>
    </w:tblStylePr>
    <w:tblStylePr w:type="firstCol">
      <w:rPr>
        <w:b/>
        <w:bCs/>
      </w:rPr>
    </w:tblStylePr>
    <w:tblStylePr w:type="lastCol">
      <w:rPr>
        <w:b/>
        <w:bCs/>
      </w:rPr>
    </w:tblStylePr>
    <w:tblStylePr w:type="band1Vert">
      <w:tblPr/>
      <w:tcPr>
        <w:tcBorders>
          <w:left w:val="single" w:sz="4" w:space="0" w:color="8B8B8B" w:themeColor="text1" w:themeTint="80"/>
          <w:right w:val="single" w:sz="4" w:space="0" w:color="8B8B8B" w:themeColor="text1" w:themeTint="80"/>
        </w:tcBorders>
      </w:tcPr>
    </w:tblStylePr>
    <w:tblStylePr w:type="band2Vert">
      <w:tblPr/>
      <w:tcPr>
        <w:tcBorders>
          <w:left w:val="single" w:sz="4" w:space="0" w:color="8B8B8B" w:themeColor="text1" w:themeTint="80"/>
          <w:right w:val="single" w:sz="4" w:space="0" w:color="8B8B8B" w:themeColor="text1" w:themeTint="80"/>
        </w:tcBorders>
      </w:tcPr>
    </w:tblStylePr>
    <w:tblStylePr w:type="band1Horz">
      <w:tblPr/>
      <w:tcPr>
        <w:tcBorders>
          <w:top w:val="single" w:sz="4" w:space="0" w:color="8B8B8B" w:themeColor="text1" w:themeTint="80"/>
          <w:bottom w:val="single" w:sz="4" w:space="0" w:color="8B8B8B" w:themeColor="text1" w:themeTint="80"/>
        </w:tcBorders>
      </w:tcPr>
    </w:tblStylePr>
  </w:style>
  <w:style w:type="paragraph" w:styleId="FootnoteText">
    <w:name w:val="footnote text"/>
    <w:aliases w:val="EMI Footnote Text"/>
    <w:basedOn w:val="Normal"/>
    <w:link w:val="FootnoteTextChar"/>
    <w:unhideWhenUsed/>
    <w:rsid w:val="005E25DC"/>
    <w:rPr>
      <w:sz w:val="18"/>
    </w:rPr>
  </w:style>
  <w:style w:type="character" w:customStyle="1" w:styleId="FootnoteTextChar">
    <w:name w:val="Footnote Text Char"/>
    <w:aliases w:val="EMI Footnote Text Char"/>
    <w:basedOn w:val="DefaultParagraphFont"/>
    <w:link w:val="FootnoteText"/>
    <w:rsid w:val="005E25DC"/>
    <w:rPr>
      <w:sz w:val="18"/>
    </w:rPr>
  </w:style>
  <w:style w:type="character" w:styleId="FootnoteReference">
    <w:name w:val="footnote reference"/>
    <w:basedOn w:val="DefaultParagraphFont"/>
    <w:unhideWhenUsed/>
    <w:rsid w:val="00A2690C"/>
    <w:rPr>
      <w:vertAlign w:val="superscript"/>
    </w:rPr>
  </w:style>
  <w:style w:type="paragraph" w:styleId="TableofFigures">
    <w:name w:val="table of figures"/>
    <w:basedOn w:val="Normal"/>
    <w:next w:val="Normal"/>
    <w:uiPriority w:val="99"/>
    <w:unhideWhenUsed/>
    <w:rsid w:val="00A80506"/>
  </w:style>
  <w:style w:type="paragraph" w:styleId="Header">
    <w:name w:val="header"/>
    <w:aliases w:val="eTRM Header Text"/>
    <w:basedOn w:val="Normal"/>
    <w:link w:val="HeaderChar"/>
    <w:uiPriority w:val="99"/>
    <w:unhideWhenUsed/>
    <w:rsid w:val="005B7418"/>
    <w:pPr>
      <w:tabs>
        <w:tab w:val="center" w:pos="4320"/>
        <w:tab w:val="right" w:pos="8640"/>
      </w:tabs>
      <w:jc w:val="center"/>
    </w:pPr>
    <w:rPr>
      <w:rFonts w:ascii="Avenir Next" w:hAnsi="Avenir Next"/>
      <w:color w:val="5F5F5F" w:themeColor="accent3" w:themeShade="BF"/>
      <w:sz w:val="16"/>
    </w:rPr>
  </w:style>
  <w:style w:type="character" w:customStyle="1" w:styleId="HeaderChar">
    <w:name w:val="Header Char"/>
    <w:aliases w:val="eTRM Header Text Char"/>
    <w:basedOn w:val="DefaultParagraphFont"/>
    <w:link w:val="Header"/>
    <w:uiPriority w:val="99"/>
    <w:rsid w:val="005B7418"/>
    <w:rPr>
      <w:rFonts w:ascii="Avenir Next" w:hAnsi="Avenir Next"/>
      <w:color w:val="5F5F5F" w:themeColor="accent3" w:themeShade="BF"/>
      <w:sz w:val="16"/>
    </w:rPr>
  </w:style>
  <w:style w:type="paragraph" w:styleId="Footer">
    <w:name w:val="footer"/>
    <w:basedOn w:val="Normal"/>
    <w:link w:val="FooterChar"/>
    <w:uiPriority w:val="99"/>
    <w:unhideWhenUsed/>
    <w:rsid w:val="005722C6"/>
    <w:pPr>
      <w:pBdr>
        <w:top w:val="single" w:sz="6" w:space="6" w:color="344D6D" w:themeColor="background2"/>
      </w:pBdr>
    </w:pPr>
  </w:style>
  <w:style w:type="character" w:customStyle="1" w:styleId="FooterChar">
    <w:name w:val="Footer Char"/>
    <w:basedOn w:val="DefaultParagraphFont"/>
    <w:link w:val="Footer"/>
    <w:uiPriority w:val="99"/>
    <w:rsid w:val="005722C6"/>
    <w:rPr>
      <w:sz w:val="22"/>
    </w:rPr>
  </w:style>
  <w:style w:type="character" w:styleId="PageNumber">
    <w:name w:val="page number"/>
    <w:basedOn w:val="DefaultParagraphFont"/>
    <w:uiPriority w:val="99"/>
    <w:unhideWhenUsed/>
    <w:rsid w:val="000220A0"/>
    <w:rPr>
      <w:rFonts w:ascii="Calibri" w:hAnsi="Calibri"/>
      <w:b w:val="0"/>
      <w:i w:val="0"/>
      <w:color w:val="808080" w:themeColor="accent3"/>
      <w:sz w:val="16"/>
      <w:bdr w:val="none" w:sz="0" w:space="0" w:color="auto"/>
    </w:rPr>
  </w:style>
  <w:style w:type="table" w:styleId="TableGrid">
    <w:name w:val="Table Grid"/>
    <w:basedOn w:val="TableNormal"/>
    <w:uiPriority w:val="59"/>
    <w:rsid w:val="004A510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TRMNumberedList">
    <w:name w:val="eTRM Numbered List"/>
    <w:basedOn w:val="ListParagraph"/>
    <w:autoRedefine/>
    <w:qFormat/>
    <w:rsid w:val="00120592"/>
    <w:pPr>
      <w:numPr>
        <w:numId w:val="11"/>
      </w:numPr>
      <w:contextualSpacing w:val="0"/>
    </w:pPr>
  </w:style>
  <w:style w:type="paragraph" w:customStyle="1" w:styleId="TableFootnote">
    <w:name w:val="Table Footnote"/>
    <w:basedOn w:val="Normal"/>
    <w:next w:val="Normal"/>
    <w:qFormat/>
    <w:rsid w:val="00703A7C"/>
    <w:pPr>
      <w:tabs>
        <w:tab w:val="left" w:pos="180"/>
        <w:tab w:val="left" w:pos="360"/>
      </w:tabs>
      <w:adjustRightInd w:val="0"/>
      <w:spacing w:before="20" w:after="0" w:line="180" w:lineRule="atLeast"/>
      <w:contextualSpacing/>
    </w:pPr>
    <w:rPr>
      <w:color w:val="808080" w:themeColor="background1" w:themeShade="80"/>
      <w:sz w:val="18"/>
      <w:szCs w:val="18"/>
    </w:rPr>
  </w:style>
  <w:style w:type="paragraph" w:styleId="TOAHeading">
    <w:name w:val="toa heading"/>
    <w:basedOn w:val="Normal"/>
    <w:next w:val="Normal"/>
    <w:uiPriority w:val="99"/>
    <w:unhideWhenUsed/>
    <w:rsid w:val="00B25AE4"/>
    <w:pPr>
      <w:spacing w:after="220"/>
      <w:jc w:val="center"/>
    </w:pPr>
    <w:rPr>
      <w:rFonts w:asciiTheme="majorHAnsi" w:eastAsiaTheme="majorEastAsia" w:hAnsiTheme="majorHAnsi" w:cstheme="majorBidi"/>
      <w:caps/>
      <w:spacing w:val="8"/>
      <w:sz w:val="24"/>
    </w:rPr>
  </w:style>
  <w:style w:type="paragraph" w:customStyle="1" w:styleId="eTRMTextBoxTitle">
    <w:name w:val="eTRM Text Box Title"/>
    <w:basedOn w:val="Normal"/>
    <w:autoRedefine/>
    <w:qFormat/>
    <w:rsid w:val="00763AD8"/>
    <w:pPr>
      <w:jc w:val="center"/>
    </w:pPr>
    <w:rPr>
      <w:b/>
      <w:sz w:val="18"/>
    </w:rPr>
  </w:style>
  <w:style w:type="paragraph" w:customStyle="1" w:styleId="eTRMTextBoxText">
    <w:name w:val="eTRM Text Box Text"/>
    <w:basedOn w:val="Normal"/>
    <w:autoRedefine/>
    <w:qFormat/>
    <w:rsid w:val="00763AD8"/>
    <w:pPr>
      <w:spacing w:line="180" w:lineRule="exact"/>
    </w:pPr>
    <w:rPr>
      <w:sz w:val="18"/>
    </w:rPr>
  </w:style>
  <w:style w:type="paragraph" w:customStyle="1" w:styleId="FigureCaption">
    <w:name w:val="Figure Caption"/>
    <w:basedOn w:val="Caption"/>
    <w:link w:val="FigureCaptionChar"/>
    <w:autoRedefine/>
    <w:qFormat/>
    <w:rsid w:val="00C92622"/>
  </w:style>
  <w:style w:type="character" w:customStyle="1" w:styleId="FigureCaptionChar">
    <w:name w:val="Figure Caption Char"/>
    <w:basedOn w:val="CaptionChar"/>
    <w:link w:val="FigureCaption"/>
    <w:rsid w:val="00C92622"/>
    <w:rPr>
      <w:rFonts w:ascii="Calibri Light" w:hAnsi="Calibri Light" w:cs="Arial"/>
      <w:b/>
      <w:color w:val="000000"/>
      <w:sz w:val="20"/>
      <w:szCs w:val="18"/>
      <w14:textFill>
        <w14:solidFill>
          <w14:srgbClr w14:val="000000">
            <w14:lumMod w14:val="50000"/>
          </w14:srgbClr>
        </w14:solidFill>
      </w14:textFill>
    </w:rPr>
  </w:style>
  <w:style w:type="character" w:customStyle="1" w:styleId="Regular">
    <w:name w:val="Regular"/>
    <w:basedOn w:val="DefaultParagraphFont"/>
    <w:uiPriority w:val="1"/>
    <w:rsid w:val="009B029F"/>
  </w:style>
  <w:style w:type="paragraph" w:styleId="BodyText">
    <w:name w:val="Body Text"/>
    <w:basedOn w:val="Normal"/>
    <w:link w:val="BodyTextChar"/>
    <w:autoRedefine/>
    <w:uiPriority w:val="99"/>
    <w:unhideWhenUsed/>
    <w:qFormat/>
    <w:rsid w:val="00120592"/>
  </w:style>
  <w:style w:type="character" w:customStyle="1" w:styleId="BodyTextChar">
    <w:name w:val="Body Text Char"/>
    <w:basedOn w:val="DefaultParagraphFont"/>
    <w:link w:val="BodyText"/>
    <w:uiPriority w:val="99"/>
    <w:rsid w:val="00120592"/>
    <w:rPr>
      <w:rFonts w:ascii="Calibri Light" w:hAnsi="Calibri Light"/>
      <w:sz w:val="22"/>
    </w:rPr>
  </w:style>
  <w:style w:type="paragraph" w:customStyle="1" w:styleId="eTRMBulletedText">
    <w:name w:val="eTRM Bulleted Text"/>
    <w:basedOn w:val="Normal"/>
    <w:autoRedefine/>
    <w:qFormat/>
    <w:rsid w:val="000A2317"/>
    <w:pPr>
      <w:numPr>
        <w:numId w:val="8"/>
      </w:numPr>
      <w:spacing w:after="20"/>
    </w:pPr>
  </w:style>
  <w:style w:type="paragraph" w:styleId="Revision">
    <w:name w:val="Revision"/>
    <w:hidden/>
    <w:uiPriority w:val="99"/>
    <w:semiHidden/>
    <w:rsid w:val="00AA46AF"/>
    <w:rPr>
      <w:rFonts w:ascii="Calibri Light" w:hAnsi="Calibri Light"/>
      <w:sz w:val="22"/>
    </w:rPr>
  </w:style>
  <w:style w:type="character" w:styleId="Hyperlink">
    <w:name w:val="Hyperlink"/>
    <w:uiPriority w:val="99"/>
    <w:rsid w:val="00901EF2"/>
    <w:rPr>
      <w:color w:val="0000FF"/>
      <w:u w:val="single"/>
    </w:rPr>
  </w:style>
  <w:style w:type="character" w:styleId="EndnoteReference">
    <w:name w:val="endnote reference"/>
    <w:semiHidden/>
    <w:rsid w:val="00901EF2"/>
    <w:rPr>
      <w:vertAlign w:val="superscript"/>
    </w:rPr>
  </w:style>
  <w:style w:type="paragraph" w:customStyle="1" w:styleId="Table">
    <w:name w:val="Table"/>
    <w:basedOn w:val="Header"/>
    <w:rsid w:val="002C67DF"/>
    <w:pPr>
      <w:spacing w:before="0" w:after="0" w:line="240" w:lineRule="auto"/>
      <w:jc w:val="left"/>
    </w:pPr>
    <w:rPr>
      <w:rFonts w:ascii="Arial" w:eastAsia="Times New Roman" w:hAnsi="Arial" w:cs="Arial"/>
      <w:b/>
      <w:bCs/>
      <w:color w:val="auto"/>
      <w:sz w:val="22"/>
      <w:lang w:val="x-none" w:eastAsia="x-none"/>
    </w:rPr>
  </w:style>
  <w:style w:type="paragraph" w:styleId="EndnoteText">
    <w:name w:val="endnote text"/>
    <w:basedOn w:val="Normal"/>
    <w:link w:val="EndnoteTextChar"/>
    <w:autoRedefine/>
    <w:semiHidden/>
    <w:qFormat/>
    <w:rsid w:val="00094517"/>
    <w:pPr>
      <w:keepNext/>
      <w:keepLines/>
      <w:adjustRightInd w:val="0"/>
      <w:spacing w:before="40" w:after="40" w:line="240" w:lineRule="auto"/>
    </w:pPr>
    <w:rPr>
      <w:rFonts w:eastAsia="Times New Roman" w:cs="Times New Roman"/>
      <w:sz w:val="20"/>
      <w:szCs w:val="20"/>
      <w:lang w:val="x-none" w:eastAsia="x-none"/>
    </w:rPr>
  </w:style>
  <w:style w:type="character" w:customStyle="1" w:styleId="EndnoteTextChar">
    <w:name w:val="Endnote Text Char"/>
    <w:basedOn w:val="DefaultParagraphFont"/>
    <w:link w:val="EndnoteText"/>
    <w:semiHidden/>
    <w:rsid w:val="00094517"/>
    <w:rPr>
      <w:rFonts w:ascii="Calibri Light" w:eastAsia="Times New Roman" w:hAnsi="Calibri Light" w:cs="Times New Roman"/>
      <w:sz w:val="20"/>
      <w:szCs w:val="20"/>
      <w:lang w:val="x-none" w:eastAsia="x-none"/>
    </w:rPr>
  </w:style>
  <w:style w:type="character" w:styleId="FollowedHyperlink">
    <w:name w:val="FollowedHyperlink"/>
    <w:basedOn w:val="DefaultParagraphFont"/>
    <w:uiPriority w:val="99"/>
    <w:semiHidden/>
    <w:unhideWhenUsed/>
    <w:rsid w:val="00195B03"/>
    <w:rPr>
      <w:color w:val="71903D" w:themeColor="followedHyperlink"/>
      <w:u w:val="single"/>
    </w:rPr>
  </w:style>
  <w:style w:type="table" w:styleId="TableContemporary">
    <w:name w:val="Table Contemporary"/>
    <w:basedOn w:val="TableNormal"/>
    <w:rsid w:val="00C82307"/>
    <w:rPr>
      <w:rFonts w:ascii="Times New Roman" w:eastAsia="Times New Roman" w:hAnsi="Times New Roman" w:cs="Times New Roman"/>
      <w:sz w:val="20"/>
      <w:szCs w:val="20"/>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GridTable1Light">
    <w:name w:val="Grid Table 1 Light"/>
    <w:basedOn w:val="TableNormal"/>
    <w:uiPriority w:val="46"/>
    <w:rsid w:val="005B7418"/>
    <w:tblPr>
      <w:tblStyleRowBandSize w:val="1"/>
      <w:tblStyleColBandSize w:val="1"/>
      <w:tblBorders>
        <w:top w:val="single" w:sz="4" w:space="0" w:color="A3A3A3" w:themeColor="text1" w:themeTint="66"/>
        <w:left w:val="single" w:sz="4" w:space="0" w:color="A3A3A3" w:themeColor="text1" w:themeTint="66"/>
        <w:bottom w:val="single" w:sz="4" w:space="0" w:color="A3A3A3" w:themeColor="text1" w:themeTint="66"/>
        <w:right w:val="single" w:sz="4" w:space="0" w:color="A3A3A3" w:themeColor="text1" w:themeTint="66"/>
        <w:insideH w:val="single" w:sz="4" w:space="0" w:color="A3A3A3" w:themeColor="text1" w:themeTint="66"/>
        <w:insideV w:val="single" w:sz="4" w:space="0" w:color="A3A3A3" w:themeColor="text1" w:themeTint="66"/>
      </w:tblBorders>
    </w:tblPr>
    <w:tblStylePr w:type="firstRow">
      <w:rPr>
        <w:b/>
        <w:bCs/>
      </w:rPr>
      <w:tblPr/>
      <w:tcPr>
        <w:tcBorders>
          <w:bottom w:val="single" w:sz="12" w:space="0" w:color="757575" w:themeColor="text1" w:themeTint="99"/>
        </w:tcBorders>
      </w:tcPr>
    </w:tblStylePr>
    <w:tblStylePr w:type="lastRow">
      <w:rPr>
        <w:b/>
        <w:bCs/>
      </w:rPr>
      <w:tblPr/>
      <w:tcPr>
        <w:tcBorders>
          <w:top w:val="double" w:sz="2" w:space="0" w:color="757575" w:themeColor="text1" w:themeTint="99"/>
        </w:tcBorders>
      </w:tcPr>
    </w:tblStylePr>
    <w:tblStylePr w:type="firstCol">
      <w:rPr>
        <w:b/>
        <w:bCs/>
      </w:rPr>
    </w:tblStylePr>
    <w:tblStylePr w:type="lastCol">
      <w:rPr>
        <w:b/>
        <w:bCs/>
      </w:rPr>
    </w:tblStylePr>
  </w:style>
  <w:style w:type="paragraph" w:customStyle="1" w:styleId="eTRMTextNote">
    <w:name w:val="eTRM Text Note"/>
    <w:basedOn w:val="TableFootnote"/>
    <w:next w:val="Normal"/>
    <w:qFormat/>
    <w:rsid w:val="00B1760F"/>
  </w:style>
  <w:style w:type="paragraph" w:customStyle="1" w:styleId="eTRMHeading1">
    <w:name w:val="eTRM Heading 1"/>
    <w:basedOn w:val="Normal"/>
    <w:link w:val="eTRMHeading1Char"/>
    <w:autoRedefine/>
    <w:qFormat/>
    <w:rsid w:val="00BD221D"/>
    <w:pPr>
      <w:keepNext/>
      <w:keepLines/>
      <w:spacing w:line="320" w:lineRule="exact"/>
      <w:contextualSpacing/>
      <w:outlineLvl w:val="0"/>
    </w:pPr>
    <w:rPr>
      <w:rFonts w:ascii="Calibri" w:eastAsiaTheme="majorEastAsia" w:hAnsi="Calibri" w:cstheme="majorBidi"/>
      <w:b/>
      <w:caps/>
      <w:color w:val="FFFFFF" w:themeColor="background1"/>
      <w:spacing w:val="60"/>
      <w:sz w:val="32"/>
      <w:szCs w:val="40"/>
    </w:rPr>
  </w:style>
  <w:style w:type="character" w:customStyle="1" w:styleId="eTRMHeading1Char">
    <w:name w:val="eTRM Heading 1 Char"/>
    <w:basedOn w:val="DefaultParagraphFont"/>
    <w:link w:val="eTRMHeading1"/>
    <w:rsid w:val="00BD221D"/>
    <w:rPr>
      <w:rFonts w:ascii="Calibri" w:eastAsiaTheme="majorEastAsia" w:hAnsi="Calibri" w:cstheme="majorBidi"/>
      <w:b/>
      <w:caps/>
      <w:color w:val="FFFFFF" w:themeColor="background1"/>
      <w:spacing w:val="60"/>
      <w:sz w:val="32"/>
      <w:szCs w:val="40"/>
    </w:rPr>
  </w:style>
  <w:style w:type="paragraph" w:customStyle="1" w:styleId="eTRMHeading2">
    <w:name w:val="eTRM Heading 2"/>
    <w:basedOn w:val="Normal"/>
    <w:link w:val="eTRMHeading2Char"/>
    <w:autoRedefine/>
    <w:qFormat/>
    <w:rsid w:val="000110D9"/>
    <w:pPr>
      <w:keepNext/>
      <w:keepLines/>
      <w:spacing w:line="360" w:lineRule="exact"/>
      <w:jc w:val="center"/>
      <w:outlineLvl w:val="1"/>
    </w:pPr>
    <w:rPr>
      <w:rFonts w:eastAsiaTheme="majorEastAsia" w:cstheme="majorBidi"/>
      <w:caps/>
      <w:spacing w:val="80"/>
      <w:sz w:val="36"/>
      <w:szCs w:val="26"/>
    </w:rPr>
  </w:style>
  <w:style w:type="character" w:customStyle="1" w:styleId="eTRMHeading2Char">
    <w:name w:val="eTRM Heading 2 Char"/>
    <w:basedOn w:val="DefaultParagraphFont"/>
    <w:link w:val="eTRMHeading2"/>
    <w:rsid w:val="000110D9"/>
    <w:rPr>
      <w:rFonts w:ascii="Calibri Light" w:eastAsiaTheme="majorEastAsia" w:hAnsi="Calibri Light" w:cstheme="majorBidi"/>
      <w:caps/>
      <w:spacing w:val="80"/>
      <w:sz w:val="36"/>
      <w:szCs w:val="26"/>
    </w:rPr>
  </w:style>
  <w:style w:type="paragraph" w:customStyle="1" w:styleId="eTRMHeading3">
    <w:name w:val="eTRM Heading 3"/>
    <w:basedOn w:val="Heading3"/>
    <w:link w:val="eTRMHeading3Char"/>
    <w:autoRedefine/>
    <w:qFormat/>
    <w:rsid w:val="007E3A1D"/>
    <w:pPr>
      <w:spacing w:line="300" w:lineRule="exact"/>
    </w:pPr>
    <w:rPr>
      <w:rFonts w:ascii="Calibri Light" w:hAnsi="Calibri Light"/>
      <w:caps/>
      <w:color w:val="CFAB7A"/>
      <w:sz w:val="24"/>
    </w:rPr>
  </w:style>
  <w:style w:type="character" w:customStyle="1" w:styleId="eTRMHeading3Char">
    <w:name w:val="eTRM Heading 3 Char"/>
    <w:basedOn w:val="DefaultParagraphFont"/>
    <w:link w:val="eTRMHeading3"/>
    <w:rsid w:val="007E3A1D"/>
    <w:rPr>
      <w:rFonts w:ascii="Calibri Light" w:eastAsiaTheme="majorEastAsia" w:hAnsi="Calibri Light" w:cstheme="majorBidi"/>
      <w:caps/>
      <w:color w:val="CFAB7A"/>
      <w:w w:val="102"/>
      <w:szCs w:val="30"/>
    </w:rPr>
  </w:style>
  <w:style w:type="paragraph" w:customStyle="1" w:styleId="eTRMHeading4">
    <w:name w:val="eTRM Heading 4"/>
    <w:basedOn w:val="Normal"/>
    <w:link w:val="eTRMHeading4Char"/>
    <w:qFormat/>
    <w:rsid w:val="000110D9"/>
    <w:pPr>
      <w:keepNext/>
      <w:keepLines/>
      <w:spacing w:before="60" w:after="0" w:line="300" w:lineRule="exact"/>
      <w:outlineLvl w:val="3"/>
    </w:pPr>
    <w:rPr>
      <w:rFonts w:eastAsiaTheme="majorEastAsia" w:cstheme="majorBidi"/>
      <w:color w:val="CFAB7A"/>
      <w:sz w:val="24"/>
      <w:szCs w:val="22"/>
    </w:rPr>
  </w:style>
  <w:style w:type="character" w:customStyle="1" w:styleId="eTRMHeading4Char">
    <w:name w:val="eTRM Heading 4 Char"/>
    <w:basedOn w:val="DefaultParagraphFont"/>
    <w:link w:val="eTRMHeading4"/>
    <w:rsid w:val="000110D9"/>
    <w:rPr>
      <w:rFonts w:ascii="Calibri Light" w:eastAsiaTheme="majorEastAsia" w:hAnsi="Calibri Light" w:cstheme="majorBidi"/>
      <w:color w:val="CFAB7A"/>
      <w:szCs w:val="22"/>
    </w:rPr>
  </w:style>
  <w:style w:type="paragraph" w:customStyle="1" w:styleId="eTRMHeading5">
    <w:name w:val="eTRM Heading 5"/>
    <w:basedOn w:val="Normal"/>
    <w:next w:val="Normal"/>
    <w:qFormat/>
    <w:rsid w:val="00BE3B2E"/>
    <w:rPr>
      <w:i/>
      <w:color w:val="5F5F5F"/>
    </w:rPr>
  </w:style>
  <w:style w:type="paragraph" w:customStyle="1" w:styleId="eTRMFootnoteText">
    <w:name w:val="eTRM Footnote Text"/>
    <w:basedOn w:val="FootnoteText"/>
    <w:next w:val="Normal"/>
    <w:link w:val="eTRMFootnoteTextChar"/>
    <w:autoRedefine/>
    <w:qFormat/>
    <w:rsid w:val="002A2471"/>
    <w:pPr>
      <w:spacing w:before="20" w:after="20"/>
      <w:ind w:left="1350"/>
    </w:pPr>
  </w:style>
  <w:style w:type="character" w:customStyle="1" w:styleId="eTRMFootnoteTextChar">
    <w:name w:val="eTRM Footnote Text Char"/>
    <w:basedOn w:val="FootnoteTextChar"/>
    <w:link w:val="eTRMFootnoteText"/>
    <w:rsid w:val="002A2471"/>
    <w:rPr>
      <w:rFonts w:ascii="Calibri Light" w:hAnsi="Calibri Light"/>
      <w:sz w:val="18"/>
    </w:rPr>
  </w:style>
  <w:style w:type="paragraph" w:customStyle="1" w:styleId="eTRMTableFootnote">
    <w:name w:val="eTRM Table Footnote"/>
    <w:basedOn w:val="TableFootnote"/>
    <w:qFormat/>
    <w:rsid w:val="00A83458"/>
    <w:rPr>
      <w:color w:val="auto"/>
      <w:sz w:val="16"/>
    </w:rPr>
  </w:style>
  <w:style w:type="paragraph" w:customStyle="1" w:styleId="eTRMSub-bulletedText">
    <w:name w:val="eTRM Sub-bulleted Text"/>
    <w:basedOn w:val="Normal"/>
    <w:autoRedefine/>
    <w:qFormat/>
    <w:rsid w:val="0008108C"/>
    <w:pPr>
      <w:numPr>
        <w:ilvl w:val="1"/>
        <w:numId w:val="8"/>
      </w:numPr>
      <w:spacing w:before="0" w:after="20"/>
    </w:pPr>
  </w:style>
  <w:style w:type="paragraph" w:styleId="DocumentMap">
    <w:name w:val="Document Map"/>
    <w:basedOn w:val="Normal"/>
    <w:link w:val="DocumentMapChar"/>
    <w:uiPriority w:val="99"/>
    <w:semiHidden/>
    <w:unhideWhenUsed/>
    <w:rsid w:val="0073517D"/>
    <w:pPr>
      <w:spacing w:before="0" w:after="0" w:line="240" w:lineRule="auto"/>
    </w:pPr>
    <w:rPr>
      <w:rFonts w:ascii="Times New Roman" w:hAnsi="Times New Roman" w:cs="Times New Roman"/>
      <w:sz w:val="24"/>
    </w:rPr>
  </w:style>
  <w:style w:type="character" w:customStyle="1" w:styleId="DocumentMapChar">
    <w:name w:val="Document Map Char"/>
    <w:basedOn w:val="DefaultParagraphFont"/>
    <w:link w:val="DocumentMap"/>
    <w:uiPriority w:val="99"/>
    <w:semiHidden/>
    <w:rsid w:val="0073517D"/>
    <w:rPr>
      <w:rFonts w:ascii="Times New Roman" w:hAnsi="Times New Roman" w:cs="Times New Roman"/>
    </w:rPr>
  </w:style>
  <w:style w:type="character" w:styleId="CommentReference">
    <w:name w:val="annotation reference"/>
    <w:basedOn w:val="DefaultParagraphFont"/>
    <w:uiPriority w:val="99"/>
    <w:semiHidden/>
    <w:unhideWhenUsed/>
    <w:rsid w:val="00FD2C54"/>
    <w:rPr>
      <w:sz w:val="18"/>
      <w:szCs w:val="18"/>
    </w:rPr>
  </w:style>
  <w:style w:type="paragraph" w:styleId="CommentText">
    <w:name w:val="annotation text"/>
    <w:basedOn w:val="Normal"/>
    <w:link w:val="CommentTextChar"/>
    <w:uiPriority w:val="99"/>
    <w:unhideWhenUsed/>
    <w:rsid w:val="00FD2C54"/>
    <w:pPr>
      <w:spacing w:after="60" w:line="240" w:lineRule="auto"/>
    </w:pPr>
    <w:rPr>
      <w:sz w:val="24"/>
    </w:rPr>
  </w:style>
  <w:style w:type="character" w:customStyle="1" w:styleId="CommentTextChar">
    <w:name w:val="Comment Text Char"/>
    <w:basedOn w:val="DefaultParagraphFont"/>
    <w:link w:val="CommentText"/>
    <w:uiPriority w:val="99"/>
    <w:rsid w:val="00FD2C54"/>
    <w:rPr>
      <w:rFonts w:ascii="Calibri Light" w:hAnsi="Calibri Light"/>
    </w:rPr>
  </w:style>
  <w:style w:type="paragraph" w:styleId="BalloonText">
    <w:name w:val="Balloon Text"/>
    <w:basedOn w:val="Normal"/>
    <w:link w:val="BalloonTextChar"/>
    <w:uiPriority w:val="99"/>
    <w:semiHidden/>
    <w:unhideWhenUsed/>
    <w:rsid w:val="00FD2C54"/>
    <w:pPr>
      <w:spacing w:before="0"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FD2C54"/>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FD2C54"/>
    <w:pPr>
      <w:spacing w:after="120"/>
    </w:pPr>
    <w:rPr>
      <w:b/>
      <w:bCs/>
      <w:sz w:val="20"/>
      <w:szCs w:val="20"/>
    </w:rPr>
  </w:style>
  <w:style w:type="character" w:customStyle="1" w:styleId="CommentSubjectChar">
    <w:name w:val="Comment Subject Char"/>
    <w:basedOn w:val="CommentTextChar"/>
    <w:link w:val="CommentSubject"/>
    <w:uiPriority w:val="99"/>
    <w:semiHidden/>
    <w:rsid w:val="00FD2C54"/>
    <w:rPr>
      <w:rFonts w:ascii="Calibri Light" w:hAnsi="Calibri Light"/>
      <w:b/>
      <w:bCs/>
      <w:sz w:val="20"/>
      <w:szCs w:val="20"/>
    </w:rPr>
  </w:style>
  <w:style w:type="character" w:styleId="PlaceholderText">
    <w:name w:val="Placeholder Text"/>
    <w:basedOn w:val="DefaultParagraphFont"/>
    <w:uiPriority w:val="99"/>
    <w:semiHidden/>
    <w:rsid w:val="00386A29"/>
    <w:rPr>
      <w:color w:val="808080"/>
    </w:rPr>
  </w:style>
  <w:style w:type="table" w:styleId="TableGridLight">
    <w:name w:val="Grid Table Light"/>
    <w:basedOn w:val="TableNormal"/>
    <w:uiPriority w:val="40"/>
    <w:rsid w:val="00425FA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Emphasis">
    <w:name w:val="Emphasis"/>
    <w:basedOn w:val="DefaultParagraphFont"/>
    <w:uiPriority w:val="20"/>
    <w:qFormat/>
    <w:rsid w:val="00610050"/>
    <w:rPr>
      <w:i/>
      <w:iCs/>
    </w:rPr>
  </w:style>
  <w:style w:type="paragraph" w:styleId="NormalWeb">
    <w:name w:val="Normal (Web)"/>
    <w:basedOn w:val="Normal"/>
    <w:uiPriority w:val="99"/>
    <w:semiHidden/>
    <w:unhideWhenUsed/>
    <w:rsid w:val="00523F9B"/>
    <w:pPr>
      <w:spacing w:before="100" w:beforeAutospacing="1" w:after="100" w:afterAutospacing="1" w:line="240" w:lineRule="auto"/>
    </w:pPr>
    <w:rPr>
      <w:rFonts w:ascii="Times New Roman" w:eastAsia="Times New Roman" w:hAnsi="Times New Roman" w:cs="Times New Roman"/>
      <w:sz w:val="24"/>
    </w:rPr>
  </w:style>
  <w:style w:type="character" w:styleId="Strong">
    <w:name w:val="Strong"/>
    <w:basedOn w:val="DefaultParagraphFont"/>
    <w:uiPriority w:val="22"/>
    <w:qFormat/>
    <w:rsid w:val="00515479"/>
    <w:rPr>
      <w:b/>
      <w:bCs/>
    </w:rPr>
  </w:style>
  <w:style w:type="table" w:customStyle="1" w:styleId="TableGrid1">
    <w:name w:val="Table Grid1"/>
    <w:basedOn w:val="TableNormal"/>
    <w:next w:val="TableGrid"/>
    <w:rsid w:val="00DC6BAC"/>
    <w:rPr>
      <w:rFonts w:eastAsia="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RemindersChar">
    <w:name w:val="Reminders Char"/>
    <w:basedOn w:val="DefaultParagraphFont"/>
    <w:link w:val="Reminders"/>
    <w:locked/>
    <w:rsid w:val="00743BED"/>
    <w:rPr>
      <w:rFonts w:ascii="Trebuchet MS" w:eastAsia="Times New Roman" w:hAnsi="Trebuchet MS" w:cs="Times New Roman"/>
      <w:i/>
      <w:color w:val="FF0000"/>
    </w:rPr>
  </w:style>
  <w:style w:type="paragraph" w:customStyle="1" w:styleId="Reminders">
    <w:name w:val="Reminders"/>
    <w:basedOn w:val="Normal"/>
    <w:link w:val="RemindersChar"/>
    <w:rsid w:val="00743BED"/>
    <w:pPr>
      <w:spacing w:before="40" w:after="40" w:line="240" w:lineRule="auto"/>
    </w:pPr>
    <w:rPr>
      <w:rFonts w:ascii="Trebuchet MS" w:eastAsia="Times New Roman" w:hAnsi="Trebuchet MS" w:cs="Times New Roman"/>
      <w:i/>
      <w:color w:val="FF0000"/>
      <w:sz w:val="24"/>
    </w:rPr>
  </w:style>
  <w:style w:type="table" w:customStyle="1" w:styleId="TableGrid11">
    <w:name w:val="Table Grid11"/>
    <w:basedOn w:val="TableNormal"/>
    <w:rsid w:val="00AA06D1"/>
    <w:rPr>
      <w:rFonts w:ascii="Calibri" w:eastAsia="Times New Roman" w:hAnsi="Calibri"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rsid w:val="000814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901337">
      <w:bodyDiv w:val="1"/>
      <w:marLeft w:val="0"/>
      <w:marRight w:val="0"/>
      <w:marTop w:val="0"/>
      <w:marBottom w:val="0"/>
      <w:divBdr>
        <w:top w:val="none" w:sz="0" w:space="0" w:color="auto"/>
        <w:left w:val="none" w:sz="0" w:space="0" w:color="auto"/>
        <w:bottom w:val="none" w:sz="0" w:space="0" w:color="auto"/>
        <w:right w:val="none" w:sz="0" w:space="0" w:color="auto"/>
      </w:divBdr>
    </w:div>
    <w:div w:id="84881617">
      <w:bodyDiv w:val="1"/>
      <w:marLeft w:val="0"/>
      <w:marRight w:val="0"/>
      <w:marTop w:val="0"/>
      <w:marBottom w:val="0"/>
      <w:divBdr>
        <w:top w:val="none" w:sz="0" w:space="0" w:color="auto"/>
        <w:left w:val="none" w:sz="0" w:space="0" w:color="auto"/>
        <w:bottom w:val="none" w:sz="0" w:space="0" w:color="auto"/>
        <w:right w:val="none" w:sz="0" w:space="0" w:color="auto"/>
      </w:divBdr>
      <w:divsChild>
        <w:div w:id="82878841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940327483">
              <w:marLeft w:val="0"/>
              <w:marRight w:val="0"/>
              <w:marTop w:val="0"/>
              <w:marBottom w:val="0"/>
              <w:divBdr>
                <w:top w:val="none" w:sz="0" w:space="0" w:color="auto"/>
                <w:left w:val="none" w:sz="0" w:space="0" w:color="auto"/>
                <w:bottom w:val="none" w:sz="0" w:space="0" w:color="auto"/>
                <w:right w:val="none" w:sz="0" w:space="0" w:color="auto"/>
              </w:divBdr>
              <w:divsChild>
                <w:div w:id="1501582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3207649">
      <w:bodyDiv w:val="1"/>
      <w:marLeft w:val="0"/>
      <w:marRight w:val="0"/>
      <w:marTop w:val="0"/>
      <w:marBottom w:val="0"/>
      <w:divBdr>
        <w:top w:val="none" w:sz="0" w:space="0" w:color="auto"/>
        <w:left w:val="none" w:sz="0" w:space="0" w:color="auto"/>
        <w:bottom w:val="none" w:sz="0" w:space="0" w:color="auto"/>
        <w:right w:val="none" w:sz="0" w:space="0" w:color="auto"/>
      </w:divBdr>
    </w:div>
    <w:div w:id="232590168">
      <w:bodyDiv w:val="1"/>
      <w:marLeft w:val="0"/>
      <w:marRight w:val="0"/>
      <w:marTop w:val="0"/>
      <w:marBottom w:val="0"/>
      <w:divBdr>
        <w:top w:val="none" w:sz="0" w:space="0" w:color="auto"/>
        <w:left w:val="none" w:sz="0" w:space="0" w:color="auto"/>
        <w:bottom w:val="none" w:sz="0" w:space="0" w:color="auto"/>
        <w:right w:val="none" w:sz="0" w:space="0" w:color="auto"/>
      </w:divBdr>
    </w:div>
    <w:div w:id="285239391">
      <w:bodyDiv w:val="1"/>
      <w:marLeft w:val="0"/>
      <w:marRight w:val="0"/>
      <w:marTop w:val="0"/>
      <w:marBottom w:val="0"/>
      <w:divBdr>
        <w:top w:val="none" w:sz="0" w:space="0" w:color="auto"/>
        <w:left w:val="none" w:sz="0" w:space="0" w:color="auto"/>
        <w:bottom w:val="none" w:sz="0" w:space="0" w:color="auto"/>
        <w:right w:val="none" w:sz="0" w:space="0" w:color="auto"/>
      </w:divBdr>
      <w:divsChild>
        <w:div w:id="1215585823">
          <w:marLeft w:val="0"/>
          <w:marRight w:val="0"/>
          <w:marTop w:val="0"/>
          <w:marBottom w:val="0"/>
          <w:divBdr>
            <w:top w:val="none" w:sz="0" w:space="0" w:color="auto"/>
            <w:left w:val="none" w:sz="0" w:space="0" w:color="auto"/>
            <w:bottom w:val="none" w:sz="0" w:space="0" w:color="auto"/>
            <w:right w:val="none" w:sz="0" w:space="0" w:color="auto"/>
          </w:divBdr>
          <w:divsChild>
            <w:div w:id="207527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8351120">
      <w:bodyDiv w:val="1"/>
      <w:marLeft w:val="0"/>
      <w:marRight w:val="0"/>
      <w:marTop w:val="0"/>
      <w:marBottom w:val="0"/>
      <w:divBdr>
        <w:top w:val="none" w:sz="0" w:space="0" w:color="auto"/>
        <w:left w:val="none" w:sz="0" w:space="0" w:color="auto"/>
        <w:bottom w:val="none" w:sz="0" w:space="0" w:color="auto"/>
        <w:right w:val="none" w:sz="0" w:space="0" w:color="auto"/>
      </w:divBdr>
    </w:div>
    <w:div w:id="560405721">
      <w:bodyDiv w:val="1"/>
      <w:marLeft w:val="0"/>
      <w:marRight w:val="0"/>
      <w:marTop w:val="0"/>
      <w:marBottom w:val="0"/>
      <w:divBdr>
        <w:top w:val="none" w:sz="0" w:space="0" w:color="auto"/>
        <w:left w:val="none" w:sz="0" w:space="0" w:color="auto"/>
        <w:bottom w:val="none" w:sz="0" w:space="0" w:color="auto"/>
        <w:right w:val="none" w:sz="0" w:space="0" w:color="auto"/>
      </w:divBdr>
    </w:div>
    <w:div w:id="982078086">
      <w:bodyDiv w:val="1"/>
      <w:marLeft w:val="0"/>
      <w:marRight w:val="0"/>
      <w:marTop w:val="0"/>
      <w:marBottom w:val="0"/>
      <w:divBdr>
        <w:top w:val="none" w:sz="0" w:space="0" w:color="auto"/>
        <w:left w:val="none" w:sz="0" w:space="0" w:color="auto"/>
        <w:bottom w:val="none" w:sz="0" w:space="0" w:color="auto"/>
        <w:right w:val="none" w:sz="0" w:space="0" w:color="auto"/>
      </w:divBdr>
    </w:div>
    <w:div w:id="1035887867">
      <w:bodyDiv w:val="1"/>
      <w:marLeft w:val="0"/>
      <w:marRight w:val="0"/>
      <w:marTop w:val="0"/>
      <w:marBottom w:val="0"/>
      <w:divBdr>
        <w:top w:val="none" w:sz="0" w:space="0" w:color="auto"/>
        <w:left w:val="none" w:sz="0" w:space="0" w:color="auto"/>
        <w:bottom w:val="none" w:sz="0" w:space="0" w:color="auto"/>
        <w:right w:val="none" w:sz="0" w:space="0" w:color="auto"/>
      </w:divBdr>
    </w:div>
    <w:div w:id="1048063925">
      <w:bodyDiv w:val="1"/>
      <w:marLeft w:val="0"/>
      <w:marRight w:val="0"/>
      <w:marTop w:val="0"/>
      <w:marBottom w:val="0"/>
      <w:divBdr>
        <w:top w:val="none" w:sz="0" w:space="0" w:color="auto"/>
        <w:left w:val="none" w:sz="0" w:space="0" w:color="auto"/>
        <w:bottom w:val="none" w:sz="0" w:space="0" w:color="auto"/>
        <w:right w:val="none" w:sz="0" w:space="0" w:color="auto"/>
      </w:divBdr>
    </w:div>
    <w:div w:id="1078752272">
      <w:bodyDiv w:val="1"/>
      <w:marLeft w:val="0"/>
      <w:marRight w:val="0"/>
      <w:marTop w:val="0"/>
      <w:marBottom w:val="0"/>
      <w:divBdr>
        <w:top w:val="none" w:sz="0" w:space="0" w:color="auto"/>
        <w:left w:val="none" w:sz="0" w:space="0" w:color="auto"/>
        <w:bottom w:val="none" w:sz="0" w:space="0" w:color="auto"/>
        <w:right w:val="none" w:sz="0" w:space="0" w:color="auto"/>
      </w:divBdr>
    </w:div>
    <w:div w:id="1084061212">
      <w:bodyDiv w:val="1"/>
      <w:marLeft w:val="0"/>
      <w:marRight w:val="0"/>
      <w:marTop w:val="0"/>
      <w:marBottom w:val="0"/>
      <w:divBdr>
        <w:top w:val="none" w:sz="0" w:space="0" w:color="auto"/>
        <w:left w:val="none" w:sz="0" w:space="0" w:color="auto"/>
        <w:bottom w:val="none" w:sz="0" w:space="0" w:color="auto"/>
        <w:right w:val="none" w:sz="0" w:space="0" w:color="auto"/>
      </w:divBdr>
    </w:div>
    <w:div w:id="1093479386">
      <w:bodyDiv w:val="1"/>
      <w:marLeft w:val="0"/>
      <w:marRight w:val="0"/>
      <w:marTop w:val="0"/>
      <w:marBottom w:val="0"/>
      <w:divBdr>
        <w:top w:val="none" w:sz="0" w:space="0" w:color="auto"/>
        <w:left w:val="none" w:sz="0" w:space="0" w:color="auto"/>
        <w:bottom w:val="none" w:sz="0" w:space="0" w:color="auto"/>
        <w:right w:val="none" w:sz="0" w:space="0" w:color="auto"/>
      </w:divBdr>
    </w:div>
    <w:div w:id="1133906862">
      <w:bodyDiv w:val="1"/>
      <w:marLeft w:val="0"/>
      <w:marRight w:val="0"/>
      <w:marTop w:val="0"/>
      <w:marBottom w:val="0"/>
      <w:divBdr>
        <w:top w:val="none" w:sz="0" w:space="0" w:color="auto"/>
        <w:left w:val="none" w:sz="0" w:space="0" w:color="auto"/>
        <w:bottom w:val="none" w:sz="0" w:space="0" w:color="auto"/>
        <w:right w:val="none" w:sz="0" w:space="0" w:color="auto"/>
      </w:divBdr>
      <w:divsChild>
        <w:div w:id="1595941999">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372993008">
              <w:marLeft w:val="0"/>
              <w:marRight w:val="0"/>
              <w:marTop w:val="0"/>
              <w:marBottom w:val="0"/>
              <w:divBdr>
                <w:top w:val="none" w:sz="0" w:space="0" w:color="auto"/>
                <w:left w:val="none" w:sz="0" w:space="0" w:color="auto"/>
                <w:bottom w:val="none" w:sz="0" w:space="0" w:color="auto"/>
                <w:right w:val="none" w:sz="0" w:space="0" w:color="auto"/>
              </w:divBdr>
              <w:divsChild>
                <w:div w:id="1628194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6454806">
      <w:bodyDiv w:val="1"/>
      <w:marLeft w:val="0"/>
      <w:marRight w:val="0"/>
      <w:marTop w:val="0"/>
      <w:marBottom w:val="0"/>
      <w:divBdr>
        <w:top w:val="none" w:sz="0" w:space="0" w:color="auto"/>
        <w:left w:val="none" w:sz="0" w:space="0" w:color="auto"/>
        <w:bottom w:val="none" w:sz="0" w:space="0" w:color="auto"/>
        <w:right w:val="none" w:sz="0" w:space="0" w:color="auto"/>
      </w:divBdr>
    </w:div>
    <w:div w:id="1201866423">
      <w:bodyDiv w:val="1"/>
      <w:marLeft w:val="0"/>
      <w:marRight w:val="0"/>
      <w:marTop w:val="0"/>
      <w:marBottom w:val="0"/>
      <w:divBdr>
        <w:top w:val="none" w:sz="0" w:space="0" w:color="auto"/>
        <w:left w:val="none" w:sz="0" w:space="0" w:color="auto"/>
        <w:bottom w:val="none" w:sz="0" w:space="0" w:color="auto"/>
        <w:right w:val="none" w:sz="0" w:space="0" w:color="auto"/>
      </w:divBdr>
    </w:div>
    <w:div w:id="1216313013">
      <w:bodyDiv w:val="1"/>
      <w:marLeft w:val="0"/>
      <w:marRight w:val="0"/>
      <w:marTop w:val="0"/>
      <w:marBottom w:val="0"/>
      <w:divBdr>
        <w:top w:val="none" w:sz="0" w:space="0" w:color="auto"/>
        <w:left w:val="none" w:sz="0" w:space="0" w:color="auto"/>
        <w:bottom w:val="none" w:sz="0" w:space="0" w:color="auto"/>
        <w:right w:val="none" w:sz="0" w:space="0" w:color="auto"/>
      </w:divBdr>
    </w:div>
    <w:div w:id="1227375333">
      <w:bodyDiv w:val="1"/>
      <w:marLeft w:val="0"/>
      <w:marRight w:val="0"/>
      <w:marTop w:val="0"/>
      <w:marBottom w:val="0"/>
      <w:divBdr>
        <w:top w:val="none" w:sz="0" w:space="0" w:color="auto"/>
        <w:left w:val="none" w:sz="0" w:space="0" w:color="auto"/>
        <w:bottom w:val="none" w:sz="0" w:space="0" w:color="auto"/>
        <w:right w:val="none" w:sz="0" w:space="0" w:color="auto"/>
      </w:divBdr>
    </w:div>
    <w:div w:id="1341006555">
      <w:bodyDiv w:val="1"/>
      <w:marLeft w:val="0"/>
      <w:marRight w:val="0"/>
      <w:marTop w:val="0"/>
      <w:marBottom w:val="0"/>
      <w:divBdr>
        <w:top w:val="none" w:sz="0" w:space="0" w:color="auto"/>
        <w:left w:val="none" w:sz="0" w:space="0" w:color="auto"/>
        <w:bottom w:val="none" w:sz="0" w:space="0" w:color="auto"/>
        <w:right w:val="none" w:sz="0" w:space="0" w:color="auto"/>
      </w:divBdr>
    </w:div>
    <w:div w:id="1383795938">
      <w:bodyDiv w:val="1"/>
      <w:marLeft w:val="0"/>
      <w:marRight w:val="0"/>
      <w:marTop w:val="0"/>
      <w:marBottom w:val="0"/>
      <w:divBdr>
        <w:top w:val="none" w:sz="0" w:space="0" w:color="auto"/>
        <w:left w:val="none" w:sz="0" w:space="0" w:color="auto"/>
        <w:bottom w:val="none" w:sz="0" w:space="0" w:color="auto"/>
        <w:right w:val="none" w:sz="0" w:space="0" w:color="auto"/>
      </w:divBdr>
    </w:div>
    <w:div w:id="1565603452">
      <w:bodyDiv w:val="1"/>
      <w:marLeft w:val="0"/>
      <w:marRight w:val="0"/>
      <w:marTop w:val="0"/>
      <w:marBottom w:val="0"/>
      <w:divBdr>
        <w:top w:val="none" w:sz="0" w:space="0" w:color="auto"/>
        <w:left w:val="none" w:sz="0" w:space="0" w:color="auto"/>
        <w:bottom w:val="none" w:sz="0" w:space="0" w:color="auto"/>
        <w:right w:val="none" w:sz="0" w:space="0" w:color="auto"/>
      </w:divBdr>
    </w:div>
    <w:div w:id="1663661600">
      <w:bodyDiv w:val="1"/>
      <w:marLeft w:val="0"/>
      <w:marRight w:val="0"/>
      <w:marTop w:val="0"/>
      <w:marBottom w:val="0"/>
      <w:divBdr>
        <w:top w:val="none" w:sz="0" w:space="0" w:color="auto"/>
        <w:left w:val="none" w:sz="0" w:space="0" w:color="auto"/>
        <w:bottom w:val="none" w:sz="0" w:space="0" w:color="auto"/>
        <w:right w:val="none" w:sz="0" w:space="0" w:color="auto"/>
      </w:divBdr>
    </w:div>
    <w:div w:id="1711105396">
      <w:bodyDiv w:val="1"/>
      <w:marLeft w:val="0"/>
      <w:marRight w:val="0"/>
      <w:marTop w:val="0"/>
      <w:marBottom w:val="0"/>
      <w:divBdr>
        <w:top w:val="none" w:sz="0" w:space="0" w:color="auto"/>
        <w:left w:val="none" w:sz="0" w:space="0" w:color="auto"/>
        <w:bottom w:val="none" w:sz="0" w:space="0" w:color="auto"/>
        <w:right w:val="none" w:sz="0" w:space="0" w:color="auto"/>
      </w:divBdr>
    </w:div>
    <w:div w:id="1820880959">
      <w:bodyDiv w:val="1"/>
      <w:marLeft w:val="0"/>
      <w:marRight w:val="0"/>
      <w:marTop w:val="0"/>
      <w:marBottom w:val="0"/>
      <w:divBdr>
        <w:top w:val="none" w:sz="0" w:space="0" w:color="auto"/>
        <w:left w:val="none" w:sz="0" w:space="0" w:color="auto"/>
        <w:bottom w:val="none" w:sz="0" w:space="0" w:color="auto"/>
        <w:right w:val="none" w:sz="0" w:space="0" w:color="auto"/>
      </w:divBdr>
    </w:div>
    <w:div w:id="200150147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4.png"/><Relationship Id="rId3" Type="http://schemas.openxmlformats.org/officeDocument/2006/relationships/customXml" Target="../customXml/item3.xml"/><Relationship Id="rId21" Type="http://schemas.openxmlformats.org/officeDocument/2006/relationships/header" Target="header4.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image" Target="media/image6.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eader" Target="header5.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s://sempra-my.sharepoint.com/personal/jlopez8_semprautilities_com/Documents/User%20Folders/Desktop/Work%20Paper%20Updates/Completed/Gas%20Fireplace/Final/November" TargetMode="External"/><Relationship Id="rId2" Type="http://schemas.openxmlformats.org/officeDocument/2006/relationships/hyperlink" Target="https://www.leagle.com/decision/1998777137f3d6401694" TargetMode="External"/><Relationship Id="rId1" Type="http://schemas.openxmlformats.org/officeDocument/2006/relationships/hyperlink" Target="https://sempra-my.sharepoint.com/personal/jlopez8_semprautilities_com/Documents/User%20Folders/Desktop/Work%20Paper%20Updates/Completed/Gas%20Fireplace/Final/November" TargetMode="External"/><Relationship Id="rId4" Type="http://schemas.openxmlformats.org/officeDocument/2006/relationships/hyperlink" Target="https://ohpba.org/Resources/Documents/ETO%20_Gas_Fireplace_Survey_Results_12-5-13.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yada\AppData\Local\Microsoft\Windows\INetCache\Content.Outlook\194L9PW2\2.01%20Comm%20Convection%20Oven%20Text%20Consolidation.dotx" TargetMode="External"/></Relationships>
</file>

<file path=word/theme/theme1.xml><?xml version="1.0" encoding="utf-8"?>
<a:theme xmlns:a="http://schemas.openxmlformats.org/drawingml/2006/main" name="EMI Theme 2.">
  <a:themeElements>
    <a:clrScheme name="EMI Colors">
      <a:dk1>
        <a:srgbClr val="191919"/>
      </a:dk1>
      <a:lt1>
        <a:sysClr val="window" lastClr="FFFFFF"/>
      </a:lt1>
      <a:dk2>
        <a:srgbClr val="ECECEF"/>
      </a:dk2>
      <a:lt2>
        <a:srgbClr val="344D6D"/>
      </a:lt2>
      <a:accent1>
        <a:srgbClr val="FF6D2E"/>
      </a:accent1>
      <a:accent2>
        <a:srgbClr val="4372B9"/>
      </a:accent2>
      <a:accent3>
        <a:srgbClr val="808080"/>
      </a:accent3>
      <a:accent4>
        <a:srgbClr val="5BA0D7"/>
      </a:accent4>
      <a:accent5>
        <a:srgbClr val="F19F2A"/>
      </a:accent5>
      <a:accent6>
        <a:srgbClr val="6FCCDC"/>
      </a:accent6>
      <a:hlink>
        <a:srgbClr val="F4CE25"/>
      </a:hlink>
      <a:folHlink>
        <a:srgbClr val="71903D"/>
      </a:folHlink>
    </a:clrScheme>
    <a:fontScheme name="Office 2">
      <a:majorFont>
        <a:latin typeface="Proxima Nova Semibold"/>
        <a:ea typeface=""/>
        <a:cs typeface=""/>
        <a:font script="Jpan" typeface="ＭＳ ゴシック"/>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majorFont>
      <a:minorFont>
        <a:latin typeface="Proxima Nova Regular"/>
        <a:ea typeface=""/>
        <a:cs typeface=""/>
        <a:font script="Jpan" typeface="ＭＳ Ｐ明朝"/>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4C4DA40E261794486441F166B9E235A" ma:contentTypeVersion="13" ma:contentTypeDescription="Create a new document." ma:contentTypeScope="" ma:versionID="9e63bc0354a5126518c99adc63c682e9">
  <xsd:schema xmlns:xsd="http://www.w3.org/2001/XMLSchema" xmlns:xs="http://www.w3.org/2001/XMLSchema" xmlns:p="http://schemas.microsoft.com/office/2006/metadata/properties" xmlns:ns3="2ca58cb1-a033-43ef-8c86-0668b269dda1" xmlns:ns4="1fc248c3-ff09-43ca-b0f5-2ab76585017c" targetNamespace="http://schemas.microsoft.com/office/2006/metadata/properties" ma:root="true" ma:fieldsID="236dc1f2577df1fb1f3c4cc7ba94c146" ns3:_="" ns4:_="">
    <xsd:import namespace="2ca58cb1-a033-43ef-8c86-0668b269dda1"/>
    <xsd:import namespace="1fc248c3-ff09-43ca-b0f5-2ab76585017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EventHashCode" minOccurs="0"/>
                <xsd:element ref="ns3:MediaServiceGenerationTime" minOccurs="0"/>
                <xsd:element ref="ns3:MediaServiceLocation" minOccurs="0"/>
                <xsd:element ref="ns4:SharedWithUsers" minOccurs="0"/>
                <xsd:element ref="ns4:SharedWithDetails" minOccurs="0"/>
                <xsd:element ref="ns4:SharingHintHash"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ca58cb1-a033-43ef-8c86-0668b269dda1"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c248c3-ff09-43ca-b0f5-2ab76585017c"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element name="SharingHintHash" ma:index="18"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DE9399-4237-4A0F-8131-79D260674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ca58cb1-a033-43ef-8c86-0668b269dda1"/>
    <ds:schemaRef ds:uri="1fc248c3-ff09-43ca-b0f5-2ab76585017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18DCF3C-69D5-43EF-991D-49479B5E680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5B6C293-6E5A-48C7-AED3-75B66F862E39}">
  <ds:schemaRefs>
    <ds:schemaRef ds:uri="http://schemas.microsoft.com/sharepoint/v3/contenttype/forms"/>
  </ds:schemaRefs>
</ds:datastoreItem>
</file>

<file path=customXml/itemProps4.xml><?xml version="1.0" encoding="utf-8"?>
<ds:datastoreItem xmlns:ds="http://schemas.openxmlformats.org/officeDocument/2006/customXml" ds:itemID="{28D35DC4-0950-4E80-972A-1C68BB8375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2.01 Comm Convection Oven Text Consolidation.dotx</Template>
  <TotalTime>2</TotalTime>
  <Pages>22</Pages>
  <Words>6489</Words>
  <Characters>36990</Characters>
  <Application>Microsoft Office Word</Application>
  <DocSecurity>0</DocSecurity>
  <Lines>308</Lines>
  <Paragraphs>86</Paragraphs>
  <ScaleCrop>false</ScaleCrop>
  <HeadingPairs>
    <vt:vector size="2" baseType="variant">
      <vt:variant>
        <vt:lpstr>Title</vt:lpstr>
      </vt:variant>
      <vt:variant>
        <vt:i4>1</vt:i4>
      </vt:variant>
    </vt:vector>
  </HeadingPairs>
  <TitlesOfParts>
    <vt:vector size="1" baseType="lpstr">
      <vt:lpstr>eTRM Measure Documentation</vt:lpstr>
    </vt:vector>
  </TitlesOfParts>
  <Manager/>
  <Company/>
  <LinksUpToDate>false</LinksUpToDate>
  <CharactersWithSpaces>43393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eTRM Measure Documentation</dc:title>
  <dc:subject/>
  <dc:creator>Jennifer Holmes</dc:creator>
  <cp:keywords/>
  <dc:description/>
  <cp:lastModifiedBy>Rosillo Sr., Adan</cp:lastModifiedBy>
  <cp:revision>3</cp:revision>
  <cp:lastPrinted>2021-03-15T15:34:00Z</cp:lastPrinted>
  <dcterms:created xsi:type="dcterms:W3CDTF">2021-03-15T15:32:00Z</dcterms:created>
  <dcterms:modified xsi:type="dcterms:W3CDTF">2021-03-15T15:34:00Z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0x01010014C4DA40E261794486441F166B9E235A</vt:lpwstr>
  </property>
</Properties>
</file>