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19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95"/>
      </w:tblGrid>
      <w:tr w:rsidR="000110D9" w:rsidRPr="000110D9" w14:paraId="67BD4DD1" w14:textId="77777777" w:rsidTr="00404535">
        <w:trPr>
          <w:cantSplit/>
          <w:trHeight w:hRule="exact" w:val="2250"/>
          <w:jc w:val="right"/>
        </w:trPr>
        <w:tc>
          <w:tcPr>
            <w:tcW w:w="9195" w:type="dxa"/>
            <w:shd w:val="clear" w:color="auto" w:fill="8DC63F"/>
            <w:vAlign w:val="center"/>
          </w:tcPr>
          <w:p w14:paraId="3EF67A49" w14:textId="042AFDCC" w:rsidR="00BD221D" w:rsidRPr="005044CA" w:rsidRDefault="0099406C" w:rsidP="00BD221D">
            <w:pPr>
              <w:pStyle w:val="eTRMHeading1"/>
              <w:jc w:val="center"/>
              <w:rPr>
                <w:sz w:val="28"/>
              </w:rPr>
            </w:pPr>
            <w:r>
              <w:rPr>
                <w:sz w:val="28"/>
              </w:rPr>
              <w:t>HVAC</w:t>
            </w:r>
          </w:p>
          <w:p w14:paraId="5CA4091D" w14:textId="18E4EAEA" w:rsidR="00BD221D" w:rsidRPr="005044CA" w:rsidRDefault="008E35C7" w:rsidP="001A19AA">
            <w:pPr>
              <w:pStyle w:val="eTRMHeading2"/>
            </w:pPr>
            <w:r>
              <w:t xml:space="preserve">Multiple capacity unitary air-cooled commercial air conditioners </w:t>
            </w:r>
            <w:r w:rsidR="00404535">
              <w:rPr>
                <w:rFonts w:cs="Calibri Light"/>
              </w:rPr>
              <w:t xml:space="preserve">Between </w:t>
            </w:r>
            <w:r>
              <w:t xml:space="preserve">65 </w:t>
            </w:r>
            <w:r w:rsidR="00404535">
              <w:t>and 240 kBtu/h</w:t>
            </w:r>
          </w:p>
          <w:p w14:paraId="10BE1877" w14:textId="6581846D" w:rsidR="005044CA" w:rsidRPr="001A19AA" w:rsidRDefault="009E6162" w:rsidP="001A19AA">
            <w:pPr>
              <w:pStyle w:val="eTRMHeading2"/>
            </w:pPr>
            <w:r w:rsidRPr="001A19AA">
              <w:t>SW</w:t>
            </w:r>
            <w:r w:rsidR="006F6A56">
              <w:t>HC043</w:t>
            </w:r>
            <w:r w:rsidRPr="001A19AA">
              <w:t>-0</w:t>
            </w:r>
            <w:r w:rsidR="00A37545">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32B1CA1" w14:textId="32D654A0" w:rsidR="005820CD"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5820CD">
        <w:rPr>
          <w:noProof/>
        </w:rPr>
        <w:t>Measure Name</w:t>
      </w:r>
      <w:r w:rsidR="005820CD">
        <w:rPr>
          <w:noProof/>
        </w:rPr>
        <w:tab/>
      </w:r>
      <w:r w:rsidR="005820CD">
        <w:rPr>
          <w:noProof/>
        </w:rPr>
        <w:fldChar w:fldCharType="begin"/>
      </w:r>
      <w:r w:rsidR="005820CD">
        <w:rPr>
          <w:noProof/>
        </w:rPr>
        <w:instrText xml:space="preserve"> PAGEREF _Toc10539875 \h </w:instrText>
      </w:r>
      <w:r w:rsidR="005820CD">
        <w:rPr>
          <w:noProof/>
        </w:rPr>
      </w:r>
      <w:r w:rsidR="005820CD">
        <w:rPr>
          <w:noProof/>
        </w:rPr>
        <w:fldChar w:fldCharType="separate"/>
      </w:r>
      <w:r w:rsidR="005820CD">
        <w:rPr>
          <w:noProof/>
        </w:rPr>
        <w:t>2</w:t>
      </w:r>
      <w:r w:rsidR="005820CD">
        <w:rPr>
          <w:noProof/>
        </w:rPr>
        <w:fldChar w:fldCharType="end"/>
      </w:r>
    </w:p>
    <w:p w14:paraId="17F628E1" w14:textId="3E091AA7" w:rsidR="005820CD" w:rsidRDefault="005820C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_Toc10539876 \h </w:instrText>
      </w:r>
      <w:r>
        <w:rPr>
          <w:noProof/>
        </w:rPr>
      </w:r>
      <w:r>
        <w:rPr>
          <w:noProof/>
        </w:rPr>
        <w:fldChar w:fldCharType="separate"/>
      </w:r>
      <w:r>
        <w:rPr>
          <w:noProof/>
        </w:rPr>
        <w:t>2</w:t>
      </w:r>
      <w:r>
        <w:rPr>
          <w:noProof/>
        </w:rPr>
        <w:fldChar w:fldCharType="end"/>
      </w:r>
    </w:p>
    <w:p w14:paraId="598AF1CA" w14:textId="29FEFB57" w:rsidR="005820CD" w:rsidRDefault="005820C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_Toc10539877 \h </w:instrText>
      </w:r>
      <w:r>
        <w:rPr>
          <w:noProof/>
        </w:rPr>
      </w:r>
      <w:r>
        <w:rPr>
          <w:noProof/>
        </w:rPr>
        <w:fldChar w:fldCharType="separate"/>
      </w:r>
      <w:r>
        <w:rPr>
          <w:noProof/>
        </w:rPr>
        <w:t>2</w:t>
      </w:r>
      <w:r>
        <w:rPr>
          <w:noProof/>
        </w:rPr>
        <w:fldChar w:fldCharType="end"/>
      </w:r>
    </w:p>
    <w:p w14:paraId="426AB91C" w14:textId="3A872A3E" w:rsidR="005820CD" w:rsidRDefault="005820C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_Toc10539878 \h </w:instrText>
      </w:r>
      <w:r>
        <w:rPr>
          <w:noProof/>
        </w:rPr>
      </w:r>
      <w:r>
        <w:rPr>
          <w:noProof/>
        </w:rPr>
        <w:fldChar w:fldCharType="separate"/>
      </w:r>
      <w:r>
        <w:rPr>
          <w:noProof/>
        </w:rPr>
        <w:t>2</w:t>
      </w:r>
      <w:r>
        <w:rPr>
          <w:noProof/>
        </w:rPr>
        <w:fldChar w:fldCharType="end"/>
      </w:r>
    </w:p>
    <w:p w14:paraId="134C4223" w14:textId="5EE34F48" w:rsidR="005820CD" w:rsidRDefault="005820C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_Toc10539879 \h </w:instrText>
      </w:r>
      <w:r>
        <w:rPr>
          <w:noProof/>
        </w:rPr>
      </w:r>
      <w:r>
        <w:rPr>
          <w:noProof/>
        </w:rPr>
        <w:fldChar w:fldCharType="separate"/>
      </w:r>
      <w:r>
        <w:rPr>
          <w:noProof/>
        </w:rPr>
        <w:t>3</w:t>
      </w:r>
      <w:r>
        <w:rPr>
          <w:noProof/>
        </w:rPr>
        <w:fldChar w:fldCharType="end"/>
      </w:r>
    </w:p>
    <w:p w14:paraId="6F91FFD2" w14:textId="09D2EBF7" w:rsidR="005820CD" w:rsidRDefault="005820C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_Toc10539880 \h </w:instrText>
      </w:r>
      <w:r>
        <w:rPr>
          <w:noProof/>
        </w:rPr>
      </w:r>
      <w:r>
        <w:rPr>
          <w:noProof/>
        </w:rPr>
        <w:fldChar w:fldCharType="separate"/>
      </w:r>
      <w:r>
        <w:rPr>
          <w:noProof/>
        </w:rPr>
        <w:t>3</w:t>
      </w:r>
      <w:r>
        <w:rPr>
          <w:noProof/>
        </w:rPr>
        <w:fldChar w:fldCharType="end"/>
      </w:r>
    </w:p>
    <w:p w14:paraId="4F100397" w14:textId="4EFCADE4" w:rsidR="005820CD" w:rsidRDefault="005820C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_Toc10539881 \h </w:instrText>
      </w:r>
      <w:r>
        <w:rPr>
          <w:noProof/>
        </w:rPr>
      </w:r>
      <w:r>
        <w:rPr>
          <w:noProof/>
        </w:rPr>
        <w:fldChar w:fldCharType="separate"/>
      </w:r>
      <w:r>
        <w:rPr>
          <w:noProof/>
        </w:rPr>
        <w:t>3</w:t>
      </w:r>
      <w:r>
        <w:rPr>
          <w:noProof/>
        </w:rPr>
        <w:fldChar w:fldCharType="end"/>
      </w:r>
    </w:p>
    <w:p w14:paraId="34668BB4" w14:textId="339AB301" w:rsidR="005820CD" w:rsidRDefault="005820C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_Toc10539882 \h </w:instrText>
      </w:r>
      <w:r>
        <w:rPr>
          <w:noProof/>
        </w:rPr>
      </w:r>
      <w:r>
        <w:rPr>
          <w:noProof/>
        </w:rPr>
        <w:fldChar w:fldCharType="separate"/>
      </w:r>
      <w:r>
        <w:rPr>
          <w:noProof/>
        </w:rPr>
        <w:t>3</w:t>
      </w:r>
      <w:r>
        <w:rPr>
          <w:noProof/>
        </w:rPr>
        <w:fldChar w:fldCharType="end"/>
      </w:r>
    </w:p>
    <w:p w14:paraId="5D0A35AE" w14:textId="224036F4" w:rsidR="005820CD" w:rsidRDefault="005820CD">
      <w:pPr>
        <w:pStyle w:val="TOC3"/>
        <w:rPr>
          <w:rFonts w:asciiTheme="minorHAnsi" w:hAnsiTheme="minorHAnsi"/>
          <w:noProof/>
          <w:szCs w:val="22"/>
        </w:rPr>
      </w:pPr>
      <w:r>
        <w:rPr>
          <w:noProof/>
        </w:rPr>
        <w:t xml:space="preserve">Program Exclusions </w:t>
      </w:r>
      <w:r>
        <w:rPr>
          <w:noProof/>
        </w:rPr>
        <w:tab/>
      </w:r>
      <w:r>
        <w:rPr>
          <w:noProof/>
        </w:rPr>
        <w:fldChar w:fldCharType="begin"/>
      </w:r>
      <w:r>
        <w:rPr>
          <w:noProof/>
        </w:rPr>
        <w:instrText xml:space="preserve"> PAGEREF _Toc10539883 \h </w:instrText>
      </w:r>
      <w:r>
        <w:rPr>
          <w:noProof/>
        </w:rPr>
      </w:r>
      <w:r>
        <w:rPr>
          <w:noProof/>
        </w:rPr>
        <w:fldChar w:fldCharType="separate"/>
      </w:r>
      <w:r>
        <w:rPr>
          <w:noProof/>
        </w:rPr>
        <w:t>6</w:t>
      </w:r>
      <w:r>
        <w:rPr>
          <w:noProof/>
        </w:rPr>
        <w:fldChar w:fldCharType="end"/>
      </w:r>
    </w:p>
    <w:p w14:paraId="6BBA4460" w14:textId="0CD2FEA7" w:rsidR="005820CD" w:rsidRDefault="005820C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_Toc10539884 \h </w:instrText>
      </w:r>
      <w:r>
        <w:rPr>
          <w:noProof/>
        </w:rPr>
      </w:r>
      <w:r>
        <w:rPr>
          <w:noProof/>
        </w:rPr>
        <w:fldChar w:fldCharType="separate"/>
      </w:r>
      <w:r>
        <w:rPr>
          <w:noProof/>
        </w:rPr>
        <w:t>6</w:t>
      </w:r>
      <w:r>
        <w:rPr>
          <w:noProof/>
        </w:rPr>
        <w:fldChar w:fldCharType="end"/>
      </w:r>
    </w:p>
    <w:p w14:paraId="63DE13DB" w14:textId="4B1788E4" w:rsidR="005820CD" w:rsidRDefault="005820C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_Toc10539885 \h </w:instrText>
      </w:r>
      <w:r>
        <w:rPr>
          <w:noProof/>
        </w:rPr>
      </w:r>
      <w:r>
        <w:rPr>
          <w:noProof/>
        </w:rPr>
        <w:fldChar w:fldCharType="separate"/>
      </w:r>
      <w:r>
        <w:rPr>
          <w:noProof/>
        </w:rPr>
        <w:t>6</w:t>
      </w:r>
      <w:r>
        <w:rPr>
          <w:noProof/>
        </w:rPr>
        <w:fldChar w:fldCharType="end"/>
      </w:r>
    </w:p>
    <w:p w14:paraId="59AC917F" w14:textId="2BEC8EF2" w:rsidR="005820CD" w:rsidRDefault="005820CD">
      <w:pPr>
        <w:pStyle w:val="TOC3"/>
        <w:rPr>
          <w:rFonts w:asciiTheme="minorHAnsi" w:hAnsiTheme="minorHAnsi"/>
          <w:noProof/>
          <w:szCs w:val="22"/>
        </w:rPr>
      </w:pPr>
      <w:r>
        <w:rPr>
          <w:noProof/>
        </w:rPr>
        <w:t>Electric Savings (</w:t>
      </w:r>
      <w:r w:rsidRPr="000915CA">
        <w:rPr>
          <w:noProof/>
        </w:rPr>
        <w:t>kWh</w:t>
      </w:r>
      <w:r>
        <w:rPr>
          <w:noProof/>
        </w:rPr>
        <w:t>)</w:t>
      </w:r>
      <w:r>
        <w:rPr>
          <w:noProof/>
        </w:rPr>
        <w:tab/>
      </w:r>
      <w:r>
        <w:rPr>
          <w:noProof/>
        </w:rPr>
        <w:fldChar w:fldCharType="begin"/>
      </w:r>
      <w:r>
        <w:rPr>
          <w:noProof/>
        </w:rPr>
        <w:instrText xml:space="preserve"> PAGEREF _Toc10539886 \h </w:instrText>
      </w:r>
      <w:r>
        <w:rPr>
          <w:noProof/>
        </w:rPr>
      </w:r>
      <w:r>
        <w:rPr>
          <w:noProof/>
        </w:rPr>
        <w:fldChar w:fldCharType="separate"/>
      </w:r>
      <w:r>
        <w:rPr>
          <w:noProof/>
        </w:rPr>
        <w:t>6</w:t>
      </w:r>
      <w:r>
        <w:rPr>
          <w:noProof/>
        </w:rPr>
        <w:fldChar w:fldCharType="end"/>
      </w:r>
    </w:p>
    <w:p w14:paraId="4C56A647" w14:textId="44FEEB55" w:rsidR="005820CD" w:rsidRDefault="005820CD">
      <w:pPr>
        <w:pStyle w:val="TOC3"/>
        <w:rPr>
          <w:rFonts w:asciiTheme="minorHAnsi" w:hAnsiTheme="minorHAnsi"/>
          <w:noProof/>
          <w:szCs w:val="22"/>
        </w:rPr>
      </w:pPr>
      <w:r>
        <w:rPr>
          <w:noProof/>
        </w:rPr>
        <w:t>Peak Electric Demand Reduction (</w:t>
      </w:r>
      <w:r w:rsidRPr="000915CA">
        <w:rPr>
          <w:noProof/>
        </w:rPr>
        <w:t>kW</w:t>
      </w:r>
      <w:r>
        <w:rPr>
          <w:noProof/>
        </w:rPr>
        <w:t>)</w:t>
      </w:r>
      <w:r>
        <w:rPr>
          <w:noProof/>
        </w:rPr>
        <w:tab/>
      </w:r>
      <w:r>
        <w:rPr>
          <w:noProof/>
        </w:rPr>
        <w:fldChar w:fldCharType="begin"/>
      </w:r>
      <w:r>
        <w:rPr>
          <w:noProof/>
        </w:rPr>
        <w:instrText xml:space="preserve"> PAGEREF _Toc10539887 \h </w:instrText>
      </w:r>
      <w:r>
        <w:rPr>
          <w:noProof/>
        </w:rPr>
      </w:r>
      <w:r>
        <w:rPr>
          <w:noProof/>
        </w:rPr>
        <w:fldChar w:fldCharType="separate"/>
      </w:r>
      <w:r>
        <w:rPr>
          <w:noProof/>
        </w:rPr>
        <w:t>10</w:t>
      </w:r>
      <w:r>
        <w:rPr>
          <w:noProof/>
        </w:rPr>
        <w:fldChar w:fldCharType="end"/>
      </w:r>
    </w:p>
    <w:p w14:paraId="3335D646" w14:textId="6B210FFD" w:rsidR="005820CD" w:rsidRDefault="005820CD">
      <w:pPr>
        <w:pStyle w:val="TOC3"/>
        <w:rPr>
          <w:rFonts w:asciiTheme="minorHAnsi" w:hAnsiTheme="minorHAnsi"/>
          <w:noProof/>
          <w:szCs w:val="22"/>
        </w:rPr>
      </w:pPr>
      <w:r>
        <w:rPr>
          <w:noProof/>
        </w:rPr>
        <w:t>Gas Savings (</w:t>
      </w:r>
      <w:r w:rsidRPr="000915CA">
        <w:rPr>
          <w:noProof/>
        </w:rPr>
        <w:t>Therms</w:t>
      </w:r>
      <w:r>
        <w:rPr>
          <w:noProof/>
        </w:rPr>
        <w:t>)</w:t>
      </w:r>
      <w:r>
        <w:rPr>
          <w:noProof/>
        </w:rPr>
        <w:tab/>
      </w:r>
      <w:r>
        <w:rPr>
          <w:noProof/>
        </w:rPr>
        <w:fldChar w:fldCharType="begin"/>
      </w:r>
      <w:r>
        <w:rPr>
          <w:noProof/>
        </w:rPr>
        <w:instrText xml:space="preserve"> PAGEREF _Toc10539888 \h </w:instrText>
      </w:r>
      <w:r>
        <w:rPr>
          <w:noProof/>
        </w:rPr>
      </w:r>
      <w:r>
        <w:rPr>
          <w:noProof/>
        </w:rPr>
        <w:fldChar w:fldCharType="separate"/>
      </w:r>
      <w:r>
        <w:rPr>
          <w:noProof/>
        </w:rPr>
        <w:t>11</w:t>
      </w:r>
      <w:r>
        <w:rPr>
          <w:noProof/>
        </w:rPr>
        <w:fldChar w:fldCharType="end"/>
      </w:r>
    </w:p>
    <w:p w14:paraId="336A0529" w14:textId="7C7E5F0B" w:rsidR="005820CD" w:rsidRDefault="005820C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_Toc10539889 \h </w:instrText>
      </w:r>
      <w:r>
        <w:rPr>
          <w:noProof/>
        </w:rPr>
      </w:r>
      <w:r>
        <w:rPr>
          <w:noProof/>
        </w:rPr>
        <w:fldChar w:fldCharType="separate"/>
      </w:r>
      <w:r>
        <w:rPr>
          <w:noProof/>
        </w:rPr>
        <w:t>12</w:t>
      </w:r>
      <w:r>
        <w:rPr>
          <w:noProof/>
        </w:rPr>
        <w:fldChar w:fldCharType="end"/>
      </w:r>
    </w:p>
    <w:p w14:paraId="0554C58C" w14:textId="093DA30F" w:rsidR="005820CD" w:rsidRDefault="005820C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_Toc10539890 \h </w:instrText>
      </w:r>
      <w:r>
        <w:rPr>
          <w:noProof/>
        </w:rPr>
      </w:r>
      <w:r>
        <w:rPr>
          <w:noProof/>
        </w:rPr>
        <w:fldChar w:fldCharType="separate"/>
      </w:r>
      <w:r>
        <w:rPr>
          <w:noProof/>
        </w:rPr>
        <w:t>12</w:t>
      </w:r>
      <w:r>
        <w:rPr>
          <w:noProof/>
        </w:rPr>
        <w:fldChar w:fldCharType="end"/>
      </w:r>
    </w:p>
    <w:p w14:paraId="202B428F" w14:textId="61D38A9A" w:rsidR="005820CD" w:rsidRDefault="005820C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_Toc10539891 \h </w:instrText>
      </w:r>
      <w:r>
        <w:rPr>
          <w:noProof/>
        </w:rPr>
      </w:r>
      <w:r>
        <w:rPr>
          <w:noProof/>
        </w:rPr>
        <w:fldChar w:fldCharType="separate"/>
      </w:r>
      <w:r>
        <w:rPr>
          <w:noProof/>
        </w:rPr>
        <w:t>13</w:t>
      </w:r>
      <w:r>
        <w:rPr>
          <w:noProof/>
        </w:rPr>
        <w:fldChar w:fldCharType="end"/>
      </w:r>
    </w:p>
    <w:p w14:paraId="36A5325B" w14:textId="5A0C11F0" w:rsidR="005820CD" w:rsidRDefault="005820C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_Toc10539892 \h </w:instrText>
      </w:r>
      <w:r>
        <w:rPr>
          <w:noProof/>
        </w:rPr>
      </w:r>
      <w:r>
        <w:rPr>
          <w:noProof/>
        </w:rPr>
        <w:fldChar w:fldCharType="separate"/>
      </w:r>
      <w:r>
        <w:rPr>
          <w:noProof/>
        </w:rPr>
        <w:t>13</w:t>
      </w:r>
      <w:r>
        <w:rPr>
          <w:noProof/>
        </w:rPr>
        <w:fldChar w:fldCharType="end"/>
      </w:r>
    </w:p>
    <w:p w14:paraId="7A898EB1" w14:textId="3BD55E81" w:rsidR="005820CD" w:rsidRDefault="005820C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_Toc10539893 \h </w:instrText>
      </w:r>
      <w:r>
        <w:rPr>
          <w:noProof/>
        </w:rPr>
      </w:r>
      <w:r>
        <w:rPr>
          <w:noProof/>
        </w:rPr>
        <w:fldChar w:fldCharType="separate"/>
      </w:r>
      <w:r>
        <w:rPr>
          <w:noProof/>
        </w:rPr>
        <w:t>13</w:t>
      </w:r>
      <w:r>
        <w:rPr>
          <w:noProof/>
        </w:rPr>
        <w:fldChar w:fldCharType="end"/>
      </w:r>
    </w:p>
    <w:p w14:paraId="0A342101" w14:textId="544344C9" w:rsidR="005820CD" w:rsidRDefault="005820C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_Toc10539894 \h </w:instrText>
      </w:r>
      <w:r>
        <w:rPr>
          <w:noProof/>
        </w:rPr>
      </w:r>
      <w:r>
        <w:rPr>
          <w:noProof/>
        </w:rPr>
        <w:fldChar w:fldCharType="separate"/>
      </w:r>
      <w:r>
        <w:rPr>
          <w:noProof/>
        </w:rPr>
        <w:t>13</w:t>
      </w:r>
      <w:r>
        <w:rPr>
          <w:noProof/>
        </w:rPr>
        <w:fldChar w:fldCharType="end"/>
      </w:r>
    </w:p>
    <w:p w14:paraId="0CE2CADB" w14:textId="79546973" w:rsidR="005820CD" w:rsidRDefault="005820C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_Toc10539895 \h </w:instrText>
      </w:r>
      <w:r>
        <w:rPr>
          <w:noProof/>
        </w:rPr>
      </w:r>
      <w:r>
        <w:rPr>
          <w:noProof/>
        </w:rPr>
        <w:fldChar w:fldCharType="separate"/>
      </w:r>
      <w:r>
        <w:rPr>
          <w:noProof/>
        </w:rPr>
        <w:t>14</w:t>
      </w:r>
      <w:r>
        <w:rPr>
          <w:noProof/>
        </w:rPr>
        <w:fldChar w:fldCharType="end"/>
      </w:r>
    </w:p>
    <w:p w14:paraId="738CDC77" w14:textId="09733ADE" w:rsidR="005820CD" w:rsidRDefault="005820CD">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_Toc10539896 \h </w:instrText>
      </w:r>
      <w:r>
        <w:rPr>
          <w:noProof/>
        </w:rPr>
      </w:r>
      <w:r>
        <w:rPr>
          <w:noProof/>
        </w:rPr>
        <w:fldChar w:fldCharType="separate"/>
      </w:r>
      <w:r>
        <w:rPr>
          <w:noProof/>
        </w:rPr>
        <w:t>14</w:t>
      </w:r>
      <w:r>
        <w:rPr>
          <w:noProof/>
        </w:rPr>
        <w:fldChar w:fldCharType="end"/>
      </w:r>
    </w:p>
    <w:p w14:paraId="7DF2C82C" w14:textId="1ACAE5D7" w:rsidR="005820CD" w:rsidRDefault="005820C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_Toc10539897 \h </w:instrText>
      </w:r>
      <w:r>
        <w:rPr>
          <w:noProof/>
        </w:rPr>
      </w:r>
      <w:r>
        <w:rPr>
          <w:noProof/>
        </w:rPr>
        <w:fldChar w:fldCharType="separate"/>
      </w:r>
      <w:r>
        <w:rPr>
          <w:noProof/>
        </w:rPr>
        <w:t>14</w:t>
      </w:r>
      <w:r>
        <w:rPr>
          <w:noProof/>
        </w:rPr>
        <w:fldChar w:fldCharType="end"/>
      </w:r>
    </w:p>
    <w:p w14:paraId="65F6456E" w14:textId="484F4F20" w:rsidR="005820CD" w:rsidRDefault="005820C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_Toc10539898 \h </w:instrText>
      </w:r>
      <w:r>
        <w:rPr>
          <w:noProof/>
        </w:rPr>
      </w:r>
      <w:r>
        <w:rPr>
          <w:noProof/>
        </w:rPr>
        <w:fldChar w:fldCharType="separate"/>
      </w:r>
      <w:r>
        <w:rPr>
          <w:noProof/>
        </w:rPr>
        <w:t>15</w:t>
      </w:r>
      <w:r>
        <w:rPr>
          <w:noProof/>
        </w:rPr>
        <w:fldChar w:fldCharType="end"/>
      </w:r>
    </w:p>
    <w:p w14:paraId="4C194BAF" w14:textId="0A95E2D1"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10539875"/>
      <w:r w:rsidRPr="007E1F66">
        <w:lastRenderedPageBreak/>
        <w:t>Measure Name</w:t>
      </w:r>
      <w:bookmarkEnd w:id="0"/>
      <w:bookmarkEnd w:id="1"/>
      <w:bookmarkEnd w:id="2"/>
    </w:p>
    <w:p w14:paraId="444DA14C" w14:textId="5A0B34C5" w:rsidR="00151553" w:rsidRDefault="008E35C7" w:rsidP="00151553">
      <w:r>
        <w:t xml:space="preserve">Multiple Capacity Unitary Air-Cooled Commercial Air Conditioners </w:t>
      </w:r>
      <w:r w:rsidR="00404535">
        <w:rPr>
          <w:rFonts w:cs="Calibri Light"/>
        </w:rPr>
        <w:t>between</w:t>
      </w:r>
      <w:r>
        <w:t xml:space="preserve"> 65</w:t>
      </w:r>
      <w:r w:rsidR="00404535">
        <w:t xml:space="preserve"> and 240</w:t>
      </w:r>
      <w:r>
        <w:t xml:space="preserve"> kBtu/h</w:t>
      </w:r>
    </w:p>
    <w:p w14:paraId="447CCF0F" w14:textId="4656A388" w:rsidR="00520182" w:rsidRDefault="00520182" w:rsidP="00151553"/>
    <w:p w14:paraId="32CEC67B" w14:textId="7D0548E2" w:rsidR="00F860EE" w:rsidRPr="007E1F66" w:rsidRDefault="00F860EE" w:rsidP="00F860EE">
      <w:pPr>
        <w:pStyle w:val="eTRMHeading3"/>
        <w:spacing w:before="20" w:after="20"/>
      </w:pPr>
      <w:bookmarkStart w:id="3" w:name="_Toc10539876"/>
      <w:r>
        <w:t>Statewide Measure ID</w:t>
      </w:r>
      <w:bookmarkEnd w:id="3"/>
    </w:p>
    <w:p w14:paraId="04CC75C5" w14:textId="183221B7" w:rsidR="00F860EE" w:rsidRDefault="009E6162" w:rsidP="00151553">
      <w:r w:rsidRPr="006F6A56">
        <w:t>SW</w:t>
      </w:r>
      <w:r w:rsidR="006F6A56" w:rsidRPr="006F6A56">
        <w:t>HC043</w:t>
      </w:r>
      <w:r w:rsidR="00CB5074" w:rsidRPr="006F6A56">
        <w:t>-0</w:t>
      </w:r>
      <w:r w:rsidR="00A37545">
        <w:t>2</w:t>
      </w:r>
    </w:p>
    <w:p w14:paraId="372FD25B" w14:textId="77777777" w:rsidR="00F860EE" w:rsidRPr="00401C43" w:rsidRDefault="00F860EE" w:rsidP="00151553"/>
    <w:p w14:paraId="0F7CA2E6" w14:textId="77777777" w:rsidR="00E70CBD" w:rsidRPr="00154391" w:rsidRDefault="00E70CBD" w:rsidP="00462BB6">
      <w:pPr>
        <w:pStyle w:val="eTRMHeading3"/>
      </w:pPr>
      <w:bookmarkStart w:id="4" w:name="_Toc486490847"/>
      <w:bookmarkStart w:id="5" w:name="_Toc486580918"/>
      <w:bookmarkStart w:id="6" w:name="_Toc10539877"/>
      <w:r w:rsidRPr="00154391">
        <w:t>Technology Summary</w:t>
      </w:r>
      <w:bookmarkEnd w:id="4"/>
      <w:bookmarkEnd w:id="5"/>
      <w:bookmarkEnd w:id="6"/>
      <w:r w:rsidRPr="00154391">
        <w:t xml:space="preserve"> </w:t>
      </w:r>
    </w:p>
    <w:p w14:paraId="39706248" w14:textId="52CA47BE" w:rsidR="00404535" w:rsidRPr="00CE1D00" w:rsidRDefault="00616AA4" w:rsidP="00616AA4">
      <w:pPr>
        <w:pStyle w:val="Reminders"/>
        <w:tabs>
          <w:tab w:val="num" w:pos="360"/>
        </w:tabs>
        <w:rPr>
          <w:rFonts w:ascii="Calibri Light" w:hAnsi="Calibri Light" w:cs="Calibri Light"/>
          <w:i w:val="0"/>
          <w:color w:val="auto"/>
          <w:szCs w:val="22"/>
        </w:rPr>
      </w:pPr>
      <w:r w:rsidRPr="00CE1D00">
        <w:rPr>
          <w:rFonts w:ascii="Calibri Light" w:hAnsi="Calibri Light" w:cs="Calibri Light"/>
          <w:i w:val="0"/>
          <w:color w:val="auto"/>
          <w:szCs w:val="22"/>
        </w:rPr>
        <w:t>Multiple capacity unitary air-cooled commercial air conditio</w:t>
      </w:r>
      <w:r w:rsidR="00404535" w:rsidRPr="00CE1D00">
        <w:rPr>
          <w:rFonts w:ascii="Calibri Light" w:hAnsi="Calibri Light" w:cs="Calibri Light"/>
          <w:i w:val="0"/>
          <w:color w:val="auto"/>
          <w:szCs w:val="22"/>
        </w:rPr>
        <w:t>ners</w:t>
      </w:r>
      <w:r w:rsidRPr="00CE1D00">
        <w:rPr>
          <w:rFonts w:ascii="Calibri Light" w:hAnsi="Calibri Light" w:cs="Calibri Light"/>
          <w:i w:val="0"/>
          <w:color w:val="auto"/>
          <w:szCs w:val="22"/>
        </w:rPr>
        <w:t xml:space="preserve"> </w:t>
      </w:r>
      <w:r w:rsidR="00404535" w:rsidRPr="00CE1D00">
        <w:rPr>
          <w:rFonts w:ascii="Calibri Light" w:hAnsi="Calibri Light" w:cs="Calibri Light"/>
          <w:i w:val="0"/>
          <w:color w:val="auto"/>
          <w:szCs w:val="22"/>
        </w:rPr>
        <w:t xml:space="preserve">(ACs) between 65 kBtu/h (5.4 tons) and 240 kBtu/h (20 tons) </w:t>
      </w:r>
      <w:r w:rsidRPr="00CE1D00">
        <w:rPr>
          <w:rFonts w:ascii="Calibri Light" w:hAnsi="Calibri Light" w:cs="Calibri Light"/>
          <w:i w:val="0"/>
          <w:color w:val="auto"/>
          <w:szCs w:val="22"/>
        </w:rPr>
        <w:t xml:space="preserve">are capable of varying cooling capacity delivered to conditioned space and therefore are capable of achieving very high IEER ratings. This equipment is not currently captured by DEER measures and therefore, this is a non-DEER measure. The DEER commercial unitary air conditioner measures are designed to reward equipment with more efficient full-load energy efficiency ratio (EER) ratings than currently required by Title-24. These measures, by contrast, target equipment with </w:t>
      </w:r>
      <w:r w:rsidR="00E71117">
        <w:rPr>
          <w:rFonts w:ascii="Calibri Light" w:hAnsi="Calibri Light" w:cs="Calibri Light"/>
          <w:i w:val="0"/>
          <w:color w:val="auto"/>
          <w:szCs w:val="22"/>
        </w:rPr>
        <w:t>both greater</w:t>
      </w:r>
      <w:r w:rsidR="00404535" w:rsidRPr="00CE1D00">
        <w:rPr>
          <w:rFonts w:ascii="Calibri Light" w:hAnsi="Calibri Light" w:cs="Calibri Light"/>
          <w:i w:val="0"/>
          <w:color w:val="auto"/>
          <w:szCs w:val="22"/>
        </w:rPr>
        <w:t xml:space="preserve"> EER ratings than code </w:t>
      </w:r>
      <w:r w:rsidR="00E71117">
        <w:rPr>
          <w:rFonts w:ascii="Calibri Light" w:hAnsi="Calibri Light" w:cs="Calibri Light"/>
          <w:i w:val="0"/>
          <w:color w:val="auto"/>
          <w:szCs w:val="22"/>
        </w:rPr>
        <w:t>and</w:t>
      </w:r>
      <w:r w:rsidR="00404535" w:rsidRPr="00CE1D00">
        <w:rPr>
          <w:rFonts w:ascii="Calibri Light" w:hAnsi="Calibri Light" w:cs="Calibri Light"/>
          <w:i w:val="0"/>
          <w:color w:val="auto"/>
          <w:szCs w:val="22"/>
        </w:rPr>
        <w:t xml:space="preserve"> with much greater IEER ratings than required by DOE/Title-24. These measures target equipment with </w:t>
      </w:r>
      <w:r w:rsidR="00825ABD" w:rsidRPr="00CE1D00">
        <w:rPr>
          <w:rFonts w:ascii="Calibri Light" w:hAnsi="Calibri Light" w:cs="Calibri Light"/>
          <w:i w:val="0"/>
          <w:color w:val="auto"/>
          <w:szCs w:val="22"/>
        </w:rPr>
        <w:t>“advanced</w:t>
      </w:r>
      <w:r w:rsidR="00404535" w:rsidRPr="00CE1D00">
        <w:rPr>
          <w:rFonts w:ascii="Calibri Light" w:hAnsi="Calibri Light" w:cs="Calibri Light"/>
          <w:i w:val="0"/>
          <w:color w:val="auto"/>
          <w:szCs w:val="22"/>
        </w:rPr>
        <w:t xml:space="preserve"> </w:t>
      </w:r>
      <w:r w:rsidR="00825ABD" w:rsidRPr="00CE1D00">
        <w:rPr>
          <w:rFonts w:ascii="Calibri Light" w:hAnsi="Calibri Light" w:cs="Calibri Light"/>
          <w:i w:val="0"/>
          <w:color w:val="auto"/>
          <w:szCs w:val="22"/>
        </w:rPr>
        <w:t>features”</w:t>
      </w:r>
      <w:r w:rsidR="00404535" w:rsidRPr="00CE1D00">
        <w:rPr>
          <w:rFonts w:ascii="Calibri Light" w:hAnsi="Calibri Light" w:cs="Calibri Light"/>
          <w:i w:val="0"/>
          <w:color w:val="auto"/>
          <w:szCs w:val="22"/>
        </w:rPr>
        <w:t>. The allowable methods to achieve “</w:t>
      </w:r>
      <w:r w:rsidR="00825ABD" w:rsidRPr="00CE1D00">
        <w:rPr>
          <w:rFonts w:ascii="Calibri Light" w:hAnsi="Calibri Light" w:cs="Calibri Light"/>
          <w:i w:val="0"/>
          <w:color w:val="auto"/>
          <w:szCs w:val="22"/>
        </w:rPr>
        <w:t>advanced features</w:t>
      </w:r>
      <w:r w:rsidR="00404535" w:rsidRPr="00CE1D00">
        <w:rPr>
          <w:rFonts w:ascii="Calibri Light" w:hAnsi="Calibri Light" w:cs="Calibri Light"/>
          <w:i w:val="0"/>
          <w:color w:val="auto"/>
          <w:szCs w:val="22"/>
        </w:rPr>
        <w:t xml:space="preserve">” include </w:t>
      </w:r>
      <w:r w:rsidR="00825ABD" w:rsidRPr="00CE1D00">
        <w:rPr>
          <w:rFonts w:ascii="Calibri Light" w:hAnsi="Calibri Light" w:cs="Calibri Light"/>
          <w:i w:val="0"/>
          <w:color w:val="auto"/>
          <w:szCs w:val="22"/>
        </w:rPr>
        <w:t xml:space="preserve">multiple speed indoor fans, and one of the following advanced compressor control strategies: (1) variable speed compressor(s), (2) multiple-step compressor(s), or (3) multiple compressors on a single refrigeration circuit (tandem compressors). </w:t>
      </w:r>
      <w:r w:rsidR="00404535" w:rsidRPr="00CE1D00">
        <w:rPr>
          <w:rFonts w:ascii="Calibri Light" w:hAnsi="Calibri Light" w:cs="Calibri Light"/>
          <w:i w:val="0"/>
          <w:color w:val="auto"/>
          <w:szCs w:val="22"/>
        </w:rPr>
        <w:t xml:space="preserve">In addition, units must meet </w:t>
      </w:r>
      <w:r w:rsidR="00825ABD" w:rsidRPr="00CE1D00">
        <w:rPr>
          <w:rFonts w:ascii="Calibri Light" w:hAnsi="Calibri Light" w:cs="Calibri Light"/>
          <w:i w:val="0"/>
          <w:color w:val="auto"/>
          <w:szCs w:val="22"/>
        </w:rPr>
        <w:t>specified</w:t>
      </w:r>
      <w:r w:rsidR="00404535" w:rsidRPr="00CE1D00">
        <w:rPr>
          <w:rFonts w:ascii="Calibri Light" w:hAnsi="Calibri Light" w:cs="Calibri Light"/>
          <w:i w:val="0"/>
          <w:color w:val="auto"/>
          <w:szCs w:val="22"/>
        </w:rPr>
        <w:t xml:space="preserve"> </w:t>
      </w:r>
      <w:r w:rsidR="00825ABD" w:rsidRPr="00CE1D00">
        <w:rPr>
          <w:rFonts w:ascii="Calibri Light" w:hAnsi="Calibri Light" w:cs="Calibri Light"/>
          <w:i w:val="0"/>
          <w:color w:val="auto"/>
          <w:szCs w:val="22"/>
        </w:rPr>
        <w:t xml:space="preserve">EER and </w:t>
      </w:r>
      <w:r w:rsidR="00404535" w:rsidRPr="00CE1D00">
        <w:rPr>
          <w:rFonts w:ascii="Calibri Light" w:hAnsi="Calibri Light" w:cs="Calibri Light"/>
          <w:i w:val="0"/>
          <w:color w:val="auto"/>
          <w:szCs w:val="22"/>
        </w:rPr>
        <w:t xml:space="preserve">IEER requirements </w:t>
      </w:r>
      <w:r w:rsidR="00825ABD" w:rsidRPr="00CE1D00">
        <w:rPr>
          <w:rFonts w:ascii="Calibri Light" w:hAnsi="Calibri Light" w:cs="Calibri Light"/>
          <w:i w:val="0"/>
          <w:color w:val="auto"/>
          <w:szCs w:val="22"/>
        </w:rPr>
        <w:t>by size category</w:t>
      </w:r>
      <w:r w:rsidR="00404535" w:rsidRPr="00CE1D00">
        <w:rPr>
          <w:rFonts w:ascii="Calibri Light" w:hAnsi="Calibri Light" w:cs="Calibri Light"/>
          <w:i w:val="0"/>
          <w:color w:val="auto"/>
          <w:szCs w:val="22"/>
        </w:rPr>
        <w:t xml:space="preserve">. </w:t>
      </w:r>
    </w:p>
    <w:p w14:paraId="251C2B1A" w14:textId="77777777" w:rsidR="00404535" w:rsidRPr="00CE1D00" w:rsidRDefault="00404535" w:rsidP="00616AA4">
      <w:pPr>
        <w:pStyle w:val="Reminders"/>
        <w:tabs>
          <w:tab w:val="num" w:pos="360"/>
        </w:tabs>
        <w:rPr>
          <w:rFonts w:ascii="Calibri Light" w:hAnsi="Calibri Light" w:cs="Calibri Light"/>
          <w:i w:val="0"/>
          <w:color w:val="auto"/>
          <w:szCs w:val="22"/>
        </w:rPr>
      </w:pPr>
    </w:p>
    <w:p w14:paraId="237A8241" w14:textId="3B3041D0" w:rsidR="00F8464D" w:rsidRPr="00CE1D00" w:rsidRDefault="00404535" w:rsidP="00825ABD">
      <w:pPr>
        <w:pStyle w:val="Reminders"/>
        <w:tabs>
          <w:tab w:val="num" w:pos="360"/>
        </w:tabs>
        <w:rPr>
          <w:rFonts w:ascii="Calibri Light" w:hAnsi="Calibri Light" w:cs="Calibri Light"/>
          <w:i w:val="0"/>
          <w:color w:val="auto"/>
          <w:szCs w:val="22"/>
        </w:rPr>
      </w:pPr>
      <w:r w:rsidRPr="00CE1D00">
        <w:rPr>
          <w:rFonts w:ascii="Calibri Light" w:hAnsi="Calibri Light" w:cs="Calibri Light"/>
          <w:i w:val="0"/>
          <w:color w:val="auto"/>
          <w:szCs w:val="22"/>
        </w:rPr>
        <w:t>This workpaper does not replace the DEER unitary air-cooled commercial air conditioner and heat pump workpapers (</w:t>
      </w:r>
      <w:r w:rsidR="00C87DA6">
        <w:rPr>
          <w:rFonts w:ascii="Calibri Light" w:hAnsi="Calibri Light" w:cs="Calibri Light"/>
          <w:i w:val="0"/>
          <w:color w:val="auto"/>
          <w:szCs w:val="22"/>
        </w:rPr>
        <w:t xml:space="preserve">PA-specific </w:t>
      </w:r>
      <w:r w:rsidRPr="00CE1D00">
        <w:rPr>
          <w:rFonts w:ascii="Calibri Light" w:hAnsi="Calibri Light" w:cs="Calibri Light"/>
          <w:i w:val="0"/>
          <w:color w:val="auto"/>
          <w:szCs w:val="22"/>
        </w:rPr>
        <w:t>PGECOHVC128 and SCE13HC035</w:t>
      </w:r>
      <w:r w:rsidR="00C87DA6">
        <w:rPr>
          <w:rFonts w:ascii="Calibri Light" w:hAnsi="Calibri Light" w:cs="Calibri Light"/>
          <w:i w:val="0"/>
          <w:color w:val="auto"/>
          <w:szCs w:val="22"/>
        </w:rPr>
        <w:t>, or statewide SWHC013</w:t>
      </w:r>
      <w:r w:rsidRPr="00CE1D00">
        <w:rPr>
          <w:rFonts w:ascii="Calibri Light" w:hAnsi="Calibri Light" w:cs="Calibri Light"/>
          <w:i w:val="0"/>
          <w:color w:val="auto"/>
          <w:szCs w:val="22"/>
        </w:rPr>
        <w:t xml:space="preserve">) but rather supplements them by targeting equipment that uses advanced capacity control strategies to achieve very high IEER ratings. </w:t>
      </w:r>
      <w:r w:rsidR="00825ABD" w:rsidRPr="00CE1D00">
        <w:rPr>
          <w:rFonts w:ascii="Calibri Light" w:hAnsi="Calibri Light" w:cs="Calibri Light"/>
          <w:i w:val="0"/>
          <w:color w:val="auto"/>
          <w:szCs w:val="22"/>
        </w:rPr>
        <w:t>Savings for these units were created using manufacture</w:t>
      </w:r>
      <w:r w:rsidR="00E71117">
        <w:rPr>
          <w:rFonts w:ascii="Calibri Light" w:hAnsi="Calibri Light" w:cs="Calibri Light"/>
          <w:i w:val="0"/>
          <w:color w:val="auto"/>
          <w:szCs w:val="22"/>
        </w:rPr>
        <w:t>r</w:t>
      </w:r>
      <w:r w:rsidR="00825ABD" w:rsidRPr="00CE1D00">
        <w:rPr>
          <w:rFonts w:ascii="Calibri Light" w:hAnsi="Calibri Light" w:cs="Calibri Light"/>
          <w:i w:val="0"/>
          <w:color w:val="auto"/>
          <w:szCs w:val="22"/>
        </w:rPr>
        <w:t xml:space="preserve"> performance curves</w:t>
      </w:r>
      <w:r w:rsidR="00E71117">
        <w:rPr>
          <w:rFonts w:ascii="Calibri Light" w:hAnsi="Calibri Light" w:cs="Calibri Light"/>
          <w:i w:val="0"/>
          <w:color w:val="auto"/>
          <w:szCs w:val="22"/>
        </w:rPr>
        <w:t xml:space="preserve"> and other modeling inputs</w:t>
      </w:r>
      <w:r w:rsidR="00825ABD" w:rsidRPr="00CE1D00">
        <w:rPr>
          <w:rFonts w:ascii="Calibri Light" w:hAnsi="Calibri Light" w:cs="Calibri Light"/>
          <w:i w:val="0"/>
          <w:color w:val="auto"/>
          <w:szCs w:val="22"/>
        </w:rPr>
        <w:t xml:space="preserve"> that reflect units sold in the market place, which was a recommendation to Finding #1 in the report “Impact Evaluation of 2013-14 Upstream HVAC Programs (HVAC1)”.</w:t>
      </w:r>
      <w:r w:rsidR="00825ABD" w:rsidRPr="00CE1D00">
        <w:rPr>
          <w:rStyle w:val="FootnoteReference"/>
          <w:rFonts w:ascii="Calibri Light" w:hAnsi="Calibri Light" w:cs="Calibri Light"/>
          <w:i w:val="0"/>
          <w:color w:val="auto"/>
          <w:szCs w:val="22"/>
        </w:rPr>
        <w:footnoteReference w:id="1"/>
      </w:r>
    </w:p>
    <w:p w14:paraId="1E7BF2C6" w14:textId="77777777" w:rsidR="00825ABD" w:rsidRPr="00CE1D00" w:rsidRDefault="00825ABD" w:rsidP="00825ABD">
      <w:pPr>
        <w:pStyle w:val="Reminders"/>
        <w:tabs>
          <w:tab w:val="num" w:pos="360"/>
        </w:tabs>
        <w:rPr>
          <w:rFonts w:ascii="Calibri Light" w:hAnsi="Calibri Light" w:cs="Calibri Light"/>
          <w:i w:val="0"/>
          <w:color w:val="auto"/>
          <w:szCs w:val="22"/>
        </w:rPr>
      </w:pPr>
    </w:p>
    <w:p w14:paraId="5AF18021" w14:textId="77777777" w:rsidR="007D230B" w:rsidRPr="004B06E3" w:rsidRDefault="007D230B" w:rsidP="00462BB6">
      <w:pPr>
        <w:pStyle w:val="eTRMHeading3"/>
      </w:pPr>
      <w:bookmarkStart w:id="7" w:name="_Toc486490848"/>
      <w:bookmarkStart w:id="8" w:name="_Toc486580919"/>
      <w:bookmarkStart w:id="9" w:name="_Toc10539878"/>
      <w:r w:rsidRPr="004B06E3">
        <w:t>Measure Case Description</w:t>
      </w:r>
      <w:bookmarkEnd w:id="7"/>
      <w:bookmarkEnd w:id="8"/>
      <w:bookmarkEnd w:id="9"/>
    </w:p>
    <w:p w14:paraId="6DFD1765" w14:textId="3F63DE9D" w:rsidR="00A67322" w:rsidRDefault="00523F9B" w:rsidP="00964461">
      <w:pPr>
        <w:rPr>
          <w:rFonts w:cs="Calibri Light"/>
        </w:rPr>
      </w:pPr>
      <w:r w:rsidRPr="00CE1D00">
        <w:rPr>
          <w:rFonts w:cs="Calibri Light"/>
        </w:rPr>
        <w:t xml:space="preserve">The measure case is defined as </w:t>
      </w:r>
      <w:r w:rsidR="00E32416" w:rsidRPr="00CE1D00">
        <w:rPr>
          <w:rFonts w:cs="Calibri Light"/>
        </w:rPr>
        <w:t>unitary air-cooled AC equipment that meets the EER and IEER requirements shown below, and additionally contains the “advanced features” described in the table below. The advanced features are intended to capture units capable of superior part-load control strategies relative to code-minimum equipment.</w:t>
      </w:r>
      <w:r w:rsidR="00964461">
        <w:rPr>
          <w:rFonts w:cs="Calibri Light"/>
        </w:rPr>
        <w:t xml:space="preserve"> The measure size categories are described as follows: 65-134 kBtu/h includes equipment greater than or equal to 65,000 Btu/h but less than 135,000 Btu/h, and 135-239 kBtu/h includes equipment greater than or equal to 135,000 Btu/h but less than 240,000 Btu/h. Unitary commercial heat pumps and unitary air conditioners with electric resistance heating are not in the scope of this measure. </w:t>
      </w:r>
      <w:r w:rsidR="00964461" w:rsidRPr="00964461">
        <w:rPr>
          <w:rFonts w:cs="Calibri Light"/>
        </w:rPr>
        <w:t>Central plant systems</w:t>
      </w:r>
      <w:r w:rsidR="00964461">
        <w:rPr>
          <w:rFonts w:cs="Calibri Light"/>
        </w:rPr>
        <w:t>,</w:t>
      </w:r>
      <w:r w:rsidR="00964461" w:rsidRPr="00964461">
        <w:rPr>
          <w:rFonts w:cs="Calibri Light"/>
        </w:rPr>
        <w:t xml:space="preserve"> DHW systems</w:t>
      </w:r>
      <w:r w:rsidR="00964461">
        <w:rPr>
          <w:rFonts w:cs="Calibri Light"/>
        </w:rPr>
        <w:t>, and p</w:t>
      </w:r>
      <w:r w:rsidR="00964461" w:rsidRPr="00964461">
        <w:rPr>
          <w:rFonts w:cs="Calibri Light"/>
        </w:rPr>
        <w:t>ackage terminal AC units</w:t>
      </w:r>
      <w:r w:rsidR="00964461">
        <w:rPr>
          <w:rFonts w:cs="Calibri Light"/>
        </w:rPr>
        <w:t xml:space="preserve"> </w:t>
      </w:r>
      <w:r w:rsidR="00964461">
        <w:rPr>
          <w:rFonts w:cs="Calibri Light"/>
        </w:rPr>
        <w:lastRenderedPageBreak/>
        <w:t>(</w:t>
      </w:r>
      <w:r w:rsidR="00964461" w:rsidRPr="00964461">
        <w:rPr>
          <w:rFonts w:cs="Calibri Light"/>
        </w:rPr>
        <w:t>units manufactured for installation through a wall or window and are usually less than or equal to 2 tons</w:t>
      </w:r>
      <w:r w:rsidR="00964461">
        <w:rPr>
          <w:rFonts w:cs="Calibri Light"/>
        </w:rPr>
        <w:t>)</w:t>
      </w:r>
      <w:r w:rsidR="00964461" w:rsidRPr="00964461">
        <w:rPr>
          <w:rFonts w:cs="Calibri Light"/>
        </w:rPr>
        <w:t>, are not eligible.</w:t>
      </w:r>
    </w:p>
    <w:p w14:paraId="5E5C8290" w14:textId="620A5A1A" w:rsidR="00124363" w:rsidRDefault="00124363" w:rsidP="00305AF3">
      <w:pPr>
        <w:pStyle w:val="Caption"/>
      </w:pPr>
      <w:r>
        <w:t>Description of Measure Names and Eligibility Requirements</w:t>
      </w: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4"/>
        <w:gridCol w:w="1051"/>
        <w:gridCol w:w="1101"/>
        <w:gridCol w:w="4119"/>
      </w:tblGrid>
      <w:tr w:rsidR="00825ABD" w:rsidRPr="00E15255" w14:paraId="73FE3E6B" w14:textId="77777777" w:rsidTr="00E15255">
        <w:trPr>
          <w:trHeight w:val="272"/>
          <w:jc w:val="center"/>
        </w:trPr>
        <w:tc>
          <w:tcPr>
            <w:tcW w:w="4164" w:type="dxa"/>
            <w:shd w:val="clear" w:color="auto" w:fill="F2F2F2" w:themeFill="background1" w:themeFillShade="F2"/>
          </w:tcPr>
          <w:p w14:paraId="605A6F97" w14:textId="77777777" w:rsidR="00825ABD" w:rsidRPr="00E15255" w:rsidRDefault="00825ABD" w:rsidP="00D116EA">
            <w:pPr>
              <w:spacing w:after="0" w:line="240" w:lineRule="auto"/>
              <w:rPr>
                <w:rFonts w:cs="Calibri Light"/>
                <w:b/>
                <w:sz w:val="20"/>
              </w:rPr>
            </w:pPr>
            <w:r w:rsidRPr="00E15255">
              <w:rPr>
                <w:rFonts w:cs="Calibri Light"/>
                <w:b/>
                <w:sz w:val="20"/>
              </w:rPr>
              <w:t>Measure Name</w:t>
            </w:r>
          </w:p>
        </w:tc>
        <w:tc>
          <w:tcPr>
            <w:tcW w:w="1051" w:type="dxa"/>
            <w:shd w:val="clear" w:color="auto" w:fill="F2F2F2" w:themeFill="background1" w:themeFillShade="F2"/>
            <w:hideMark/>
          </w:tcPr>
          <w:p w14:paraId="0877EA9F" w14:textId="77777777" w:rsidR="00825ABD" w:rsidRPr="00E15255" w:rsidRDefault="00825ABD" w:rsidP="00D116EA">
            <w:pPr>
              <w:spacing w:after="0" w:line="240" w:lineRule="auto"/>
              <w:jc w:val="center"/>
              <w:rPr>
                <w:rFonts w:cs="Calibri Light"/>
                <w:b/>
                <w:sz w:val="20"/>
              </w:rPr>
            </w:pPr>
            <w:r w:rsidRPr="00E15255">
              <w:rPr>
                <w:rFonts w:cs="Calibri Light"/>
                <w:b/>
                <w:sz w:val="20"/>
              </w:rPr>
              <w:t>Minimum EER</w:t>
            </w:r>
          </w:p>
        </w:tc>
        <w:tc>
          <w:tcPr>
            <w:tcW w:w="1101" w:type="dxa"/>
            <w:shd w:val="clear" w:color="auto" w:fill="F2F2F2" w:themeFill="background1" w:themeFillShade="F2"/>
            <w:hideMark/>
          </w:tcPr>
          <w:p w14:paraId="7B70856A" w14:textId="77777777" w:rsidR="00825ABD" w:rsidRPr="00E15255" w:rsidRDefault="00825ABD" w:rsidP="00D116EA">
            <w:pPr>
              <w:spacing w:after="0" w:line="240" w:lineRule="auto"/>
              <w:jc w:val="center"/>
              <w:rPr>
                <w:rFonts w:cs="Calibri Light"/>
                <w:b/>
                <w:sz w:val="20"/>
              </w:rPr>
            </w:pPr>
            <w:r w:rsidRPr="00E15255">
              <w:rPr>
                <w:rFonts w:cs="Calibri Light"/>
                <w:b/>
                <w:sz w:val="20"/>
              </w:rPr>
              <w:t>Minimum IEER</w:t>
            </w:r>
          </w:p>
        </w:tc>
        <w:tc>
          <w:tcPr>
            <w:tcW w:w="4119" w:type="dxa"/>
            <w:shd w:val="clear" w:color="auto" w:fill="F2F2F2" w:themeFill="background1" w:themeFillShade="F2"/>
          </w:tcPr>
          <w:p w14:paraId="26BB216E" w14:textId="77777777" w:rsidR="00825ABD" w:rsidRPr="00E15255" w:rsidRDefault="00825ABD" w:rsidP="00D116EA">
            <w:pPr>
              <w:spacing w:after="0" w:line="240" w:lineRule="auto"/>
              <w:jc w:val="center"/>
              <w:rPr>
                <w:rFonts w:cs="Calibri Light"/>
                <w:b/>
                <w:sz w:val="20"/>
              </w:rPr>
            </w:pPr>
            <w:r w:rsidRPr="00E15255">
              <w:rPr>
                <w:rFonts w:cs="Calibri Light"/>
                <w:b/>
                <w:sz w:val="20"/>
              </w:rPr>
              <w:t>Advanced Features</w:t>
            </w:r>
          </w:p>
        </w:tc>
      </w:tr>
      <w:tr w:rsidR="00825ABD" w:rsidRPr="00E15255" w14:paraId="612B1C88" w14:textId="77777777" w:rsidTr="00E15255">
        <w:trPr>
          <w:trHeight w:val="272"/>
          <w:jc w:val="center"/>
        </w:trPr>
        <w:tc>
          <w:tcPr>
            <w:tcW w:w="4164" w:type="dxa"/>
            <w:shd w:val="clear" w:color="auto" w:fill="auto"/>
            <w:hideMark/>
          </w:tcPr>
          <w:p w14:paraId="7BAD7751" w14:textId="535DE8BF" w:rsidR="00825ABD" w:rsidRPr="00E15255" w:rsidRDefault="00825ABD" w:rsidP="00D116EA">
            <w:pPr>
              <w:spacing w:after="0" w:line="240" w:lineRule="auto"/>
              <w:rPr>
                <w:rFonts w:cs="Calibri Light"/>
                <w:sz w:val="20"/>
              </w:rPr>
            </w:pPr>
            <w:r w:rsidRPr="00E15255">
              <w:rPr>
                <w:rFonts w:cs="Calibri Light"/>
                <w:sz w:val="20"/>
              </w:rPr>
              <w:t xml:space="preserve">65 – 134 KBTU/H. MIN EER = 12.0 and Min IEER 19.0, Air </w:t>
            </w:r>
            <w:r w:rsidR="00E32416" w:rsidRPr="00E15255">
              <w:rPr>
                <w:rFonts w:cs="Calibri Light"/>
                <w:sz w:val="20"/>
              </w:rPr>
              <w:t>Cooled</w:t>
            </w:r>
            <w:r w:rsidRPr="00E15255">
              <w:rPr>
                <w:rFonts w:cs="Calibri Light"/>
                <w:sz w:val="20"/>
              </w:rPr>
              <w:t xml:space="preserve"> Unitary Air Conditioner DX Equipment with Advanced Features</w:t>
            </w:r>
          </w:p>
        </w:tc>
        <w:tc>
          <w:tcPr>
            <w:tcW w:w="1051" w:type="dxa"/>
            <w:shd w:val="clear" w:color="auto" w:fill="auto"/>
            <w:hideMark/>
          </w:tcPr>
          <w:p w14:paraId="48C766B8" w14:textId="77777777" w:rsidR="00825ABD" w:rsidRPr="00E15255" w:rsidRDefault="00825ABD" w:rsidP="00D116EA">
            <w:pPr>
              <w:spacing w:after="0" w:line="240" w:lineRule="auto"/>
              <w:jc w:val="center"/>
              <w:rPr>
                <w:rFonts w:cs="Calibri Light"/>
                <w:sz w:val="20"/>
              </w:rPr>
            </w:pPr>
            <w:r w:rsidRPr="00E15255">
              <w:rPr>
                <w:rFonts w:cs="Calibri Light"/>
                <w:sz w:val="20"/>
              </w:rPr>
              <w:t>12.0</w:t>
            </w:r>
          </w:p>
        </w:tc>
        <w:tc>
          <w:tcPr>
            <w:tcW w:w="1101" w:type="dxa"/>
            <w:shd w:val="clear" w:color="auto" w:fill="auto"/>
            <w:hideMark/>
          </w:tcPr>
          <w:p w14:paraId="24BC8A45" w14:textId="77777777" w:rsidR="00825ABD" w:rsidRPr="00E15255" w:rsidRDefault="00825ABD" w:rsidP="00D116EA">
            <w:pPr>
              <w:spacing w:after="0" w:line="240" w:lineRule="auto"/>
              <w:jc w:val="center"/>
              <w:rPr>
                <w:rFonts w:cs="Calibri Light"/>
                <w:sz w:val="20"/>
              </w:rPr>
            </w:pPr>
            <w:r w:rsidRPr="00E15255">
              <w:rPr>
                <w:rFonts w:cs="Calibri Light"/>
                <w:sz w:val="20"/>
              </w:rPr>
              <w:t>19.0</w:t>
            </w:r>
          </w:p>
        </w:tc>
        <w:tc>
          <w:tcPr>
            <w:tcW w:w="4119" w:type="dxa"/>
            <w:vMerge w:val="restart"/>
          </w:tcPr>
          <w:p w14:paraId="70114258" w14:textId="05111206" w:rsidR="00825ABD" w:rsidRPr="00E15255" w:rsidRDefault="00E05AD1" w:rsidP="00D116EA">
            <w:pPr>
              <w:spacing w:after="0" w:line="240" w:lineRule="auto"/>
              <w:rPr>
                <w:rFonts w:cs="Calibri Light"/>
                <w:sz w:val="20"/>
              </w:rPr>
            </w:pPr>
            <w:r>
              <w:rPr>
                <w:rFonts w:cs="Calibri Light"/>
                <w:sz w:val="20"/>
              </w:rPr>
              <w:t>Multi</w:t>
            </w:r>
            <w:r w:rsidR="00825ABD" w:rsidRPr="00E15255">
              <w:rPr>
                <w:rFonts w:cs="Calibri Light"/>
                <w:sz w:val="20"/>
              </w:rPr>
              <w:t xml:space="preserve"> speed indoor fan and compressor must utilize one of: (1) variable speed compressor(s), (2) multiple-step compressor(s), or (3) multiple compressors operating on a single refrigeration circuit (tandem compressors).</w:t>
            </w:r>
          </w:p>
        </w:tc>
      </w:tr>
      <w:tr w:rsidR="00825ABD" w:rsidRPr="00E15255" w14:paraId="69227601" w14:textId="77777777" w:rsidTr="00E15255">
        <w:trPr>
          <w:trHeight w:val="272"/>
          <w:jc w:val="center"/>
        </w:trPr>
        <w:tc>
          <w:tcPr>
            <w:tcW w:w="4164" w:type="dxa"/>
            <w:shd w:val="clear" w:color="auto" w:fill="auto"/>
          </w:tcPr>
          <w:p w14:paraId="4DF28345" w14:textId="77777777" w:rsidR="00825ABD" w:rsidRPr="00E15255" w:rsidRDefault="00825ABD" w:rsidP="00D116EA">
            <w:pPr>
              <w:spacing w:after="0" w:line="240" w:lineRule="auto"/>
              <w:rPr>
                <w:rFonts w:cs="Calibri Light"/>
                <w:sz w:val="20"/>
              </w:rPr>
            </w:pPr>
            <w:r w:rsidRPr="00E15255">
              <w:rPr>
                <w:rFonts w:cs="Calibri Light"/>
                <w:sz w:val="20"/>
              </w:rPr>
              <w:t>135 – 239 KBTU/H. MIN EER = 12.0 and Min IEER 17.5, Air Source Unitary Air Conditioner DX Equipment with Advanced Features</w:t>
            </w:r>
          </w:p>
        </w:tc>
        <w:tc>
          <w:tcPr>
            <w:tcW w:w="1051" w:type="dxa"/>
            <w:shd w:val="clear" w:color="auto" w:fill="auto"/>
          </w:tcPr>
          <w:p w14:paraId="6BA2BD30" w14:textId="77777777" w:rsidR="00825ABD" w:rsidRPr="00E15255" w:rsidRDefault="00825ABD" w:rsidP="00D116EA">
            <w:pPr>
              <w:spacing w:after="0" w:line="240" w:lineRule="auto"/>
              <w:jc w:val="center"/>
              <w:rPr>
                <w:rFonts w:cs="Calibri Light"/>
                <w:sz w:val="20"/>
              </w:rPr>
            </w:pPr>
            <w:r w:rsidRPr="00E15255">
              <w:rPr>
                <w:rFonts w:cs="Calibri Light"/>
                <w:sz w:val="20"/>
              </w:rPr>
              <w:t>12.0</w:t>
            </w:r>
          </w:p>
        </w:tc>
        <w:tc>
          <w:tcPr>
            <w:tcW w:w="1101" w:type="dxa"/>
            <w:shd w:val="clear" w:color="auto" w:fill="auto"/>
          </w:tcPr>
          <w:p w14:paraId="5D40D372" w14:textId="77777777" w:rsidR="00825ABD" w:rsidRPr="00E15255" w:rsidRDefault="00825ABD" w:rsidP="00D116EA">
            <w:pPr>
              <w:spacing w:after="0" w:line="240" w:lineRule="auto"/>
              <w:jc w:val="center"/>
              <w:rPr>
                <w:rFonts w:cs="Calibri Light"/>
                <w:sz w:val="20"/>
              </w:rPr>
            </w:pPr>
            <w:r w:rsidRPr="00E15255">
              <w:rPr>
                <w:rFonts w:cs="Calibri Light"/>
                <w:sz w:val="20"/>
              </w:rPr>
              <w:t>17.5</w:t>
            </w:r>
          </w:p>
        </w:tc>
        <w:tc>
          <w:tcPr>
            <w:tcW w:w="4119" w:type="dxa"/>
            <w:vMerge/>
          </w:tcPr>
          <w:p w14:paraId="1AFCA3BE" w14:textId="77777777" w:rsidR="00825ABD" w:rsidRPr="00E15255" w:rsidRDefault="00825ABD" w:rsidP="00D116EA">
            <w:pPr>
              <w:spacing w:after="0" w:line="240" w:lineRule="auto"/>
              <w:jc w:val="center"/>
              <w:rPr>
                <w:rFonts w:cs="Calibri Light"/>
                <w:sz w:val="20"/>
              </w:rPr>
            </w:pPr>
          </w:p>
        </w:tc>
      </w:tr>
    </w:tbl>
    <w:p w14:paraId="428D3761" w14:textId="79D822AA" w:rsidR="00DA6088" w:rsidRDefault="00DA6088" w:rsidP="00DA6088">
      <w:pPr>
        <w:rPr>
          <w:szCs w:val="22"/>
        </w:rPr>
      </w:pPr>
    </w:p>
    <w:p w14:paraId="14B1E3AE" w14:textId="33641C11" w:rsidR="00E13181" w:rsidRDefault="00DA7073" w:rsidP="00DA6088">
      <w:pPr>
        <w:rPr>
          <w:szCs w:val="22"/>
        </w:rPr>
      </w:pPr>
      <w:r>
        <w:rPr>
          <w:szCs w:val="22"/>
        </w:rPr>
        <w:t xml:space="preserve">The “advanced features” component of the measure description was not present in the first version of this workpaper. They were added in response to the </w:t>
      </w:r>
      <w:r w:rsidR="005F7473">
        <w:rPr>
          <w:szCs w:val="22"/>
        </w:rPr>
        <w:t>March</w:t>
      </w:r>
      <w:r w:rsidR="004071C9">
        <w:rPr>
          <w:szCs w:val="22"/>
        </w:rPr>
        <w:t xml:space="preserve"> 2018 </w:t>
      </w:r>
      <w:r>
        <w:rPr>
          <w:szCs w:val="22"/>
        </w:rPr>
        <w:t>CPUC disposition.</w:t>
      </w:r>
      <w:r w:rsidR="005F7473">
        <w:rPr>
          <w:rStyle w:val="FootnoteReference"/>
          <w:szCs w:val="22"/>
        </w:rPr>
        <w:footnoteReference w:id="2"/>
      </w:r>
      <w:r>
        <w:rPr>
          <w:szCs w:val="22"/>
        </w:rPr>
        <w:t xml:space="preserve"> </w:t>
      </w:r>
      <w:r w:rsidR="00CA7680">
        <w:rPr>
          <w:szCs w:val="22"/>
        </w:rPr>
        <w:t xml:space="preserve">Additionally, the original version of the workpaper had tiers at roughly 14.0 IEER levels and 16.0 IEER levels. These tiers were eliminated to ensure no overlap with the current DEER unitary AC measures. </w:t>
      </w:r>
      <w:r w:rsidR="00E13181">
        <w:rPr>
          <w:szCs w:val="22"/>
        </w:rPr>
        <w:t xml:space="preserve">Additionally, the original workpaper had measures for equipment between 240 and 760 kBtu/h, including package VAV (PVAV) systems. Due to CPUC feedback in the disposition, this size category was eliminated in this edition of the workpaper since the measures weren’t sufficiently differentiated from DEER measures in that size range. </w:t>
      </w:r>
    </w:p>
    <w:p w14:paraId="5747D58B" w14:textId="77777777" w:rsidR="00DA7073" w:rsidRPr="000C5BA6" w:rsidRDefault="00DA7073" w:rsidP="00DA6088">
      <w:pPr>
        <w:rPr>
          <w:szCs w:val="22"/>
        </w:rPr>
      </w:pPr>
    </w:p>
    <w:p w14:paraId="54FD79D6" w14:textId="77777777" w:rsidR="00E70CBD" w:rsidRPr="00171BB8" w:rsidRDefault="00E70CBD" w:rsidP="00462BB6">
      <w:pPr>
        <w:pStyle w:val="eTRMHeading3"/>
      </w:pPr>
      <w:bookmarkStart w:id="10" w:name="_Toc486490849"/>
      <w:bookmarkStart w:id="11" w:name="_Toc486580920"/>
      <w:bookmarkStart w:id="12" w:name="_Toc10539879"/>
      <w:r w:rsidRPr="004B06E3">
        <w:t>Base Case Description</w:t>
      </w:r>
      <w:bookmarkEnd w:id="10"/>
      <w:bookmarkEnd w:id="11"/>
      <w:bookmarkEnd w:id="12"/>
      <w:r w:rsidRPr="00171BB8">
        <w:t xml:space="preserve"> </w:t>
      </w:r>
    </w:p>
    <w:p w14:paraId="7AC9D1D7" w14:textId="67D5552F" w:rsidR="00CE1D00" w:rsidRDefault="00F8464D" w:rsidP="00DA6088">
      <w:r>
        <w:t>The base case is defined as</w:t>
      </w:r>
      <w:r w:rsidR="00CE1D00">
        <w:t xml:space="preserve"> code/standard-</w:t>
      </w:r>
      <w:r w:rsidR="00E32416">
        <w:t>minim</w:t>
      </w:r>
      <w:r w:rsidR="00CE1D00">
        <w:t xml:space="preserve">um </w:t>
      </w:r>
      <w:r w:rsidR="00E32416">
        <w:t>efficient u</w:t>
      </w:r>
      <w:r w:rsidR="00CE1D00">
        <w:t xml:space="preserve">nitary air-cooled AC equipment. The code-minimum levels for the size categories contained in this workpaper are shown </w:t>
      </w:r>
      <w:r w:rsidR="00A47F0A">
        <w:t xml:space="preserve">in </w:t>
      </w:r>
      <w:r w:rsidR="00A47F0A">
        <w:fldChar w:fldCharType="begin"/>
      </w:r>
      <w:r w:rsidR="00A47F0A">
        <w:instrText xml:space="preserve"> REF _Ref17180388 \h </w:instrText>
      </w:r>
      <w:r w:rsidR="00A47F0A">
        <w:fldChar w:fldCharType="separate"/>
      </w:r>
      <w:r w:rsidR="00993D02">
        <w:t>the table below</w:t>
      </w:r>
      <w:r w:rsidR="00A47F0A">
        <w:fldChar w:fldCharType="end"/>
      </w:r>
      <w:r w:rsidR="00CE1D00">
        <w:t xml:space="preserve">. </w:t>
      </w:r>
    </w:p>
    <w:p w14:paraId="45469655" w14:textId="4E93A670" w:rsidR="00124363" w:rsidRDefault="00124363" w:rsidP="00305AF3">
      <w:pPr>
        <w:pStyle w:val="Caption"/>
      </w:pPr>
      <w:r>
        <w:t>Description of Base Case Efficiency by Measure Name</w:t>
      </w:r>
    </w:p>
    <w:tbl>
      <w:tblPr>
        <w:tblW w:w="7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5"/>
        <w:gridCol w:w="1350"/>
        <w:gridCol w:w="1440"/>
      </w:tblGrid>
      <w:tr w:rsidR="00CE1D00" w:rsidRPr="00E15255" w14:paraId="18B6F5E9" w14:textId="77777777" w:rsidTr="00E15255">
        <w:trPr>
          <w:trHeight w:val="272"/>
          <w:jc w:val="center"/>
        </w:trPr>
        <w:tc>
          <w:tcPr>
            <w:tcW w:w="4225" w:type="dxa"/>
            <w:shd w:val="clear" w:color="auto" w:fill="F2F2F2" w:themeFill="background1" w:themeFillShade="F2"/>
          </w:tcPr>
          <w:p w14:paraId="6A30539F" w14:textId="77777777" w:rsidR="00CE1D00" w:rsidRPr="00E15255" w:rsidRDefault="00CE1D00" w:rsidP="00D116EA">
            <w:pPr>
              <w:spacing w:after="0" w:line="240" w:lineRule="auto"/>
              <w:rPr>
                <w:rFonts w:cs="Calibri Light"/>
                <w:b/>
                <w:sz w:val="20"/>
              </w:rPr>
            </w:pPr>
            <w:r w:rsidRPr="00E15255">
              <w:rPr>
                <w:rFonts w:cs="Calibri Light"/>
                <w:b/>
                <w:sz w:val="20"/>
              </w:rPr>
              <w:t>Measure Name</w:t>
            </w:r>
          </w:p>
        </w:tc>
        <w:tc>
          <w:tcPr>
            <w:tcW w:w="1350" w:type="dxa"/>
            <w:shd w:val="clear" w:color="auto" w:fill="F2F2F2" w:themeFill="background1" w:themeFillShade="F2"/>
            <w:hideMark/>
          </w:tcPr>
          <w:p w14:paraId="5B04E78E" w14:textId="77777777" w:rsidR="00CE1D00" w:rsidRPr="00E15255" w:rsidRDefault="00CE1D00" w:rsidP="00D116EA">
            <w:pPr>
              <w:spacing w:after="0" w:line="240" w:lineRule="auto"/>
              <w:jc w:val="center"/>
              <w:rPr>
                <w:rFonts w:cs="Calibri Light"/>
                <w:b/>
                <w:sz w:val="20"/>
              </w:rPr>
            </w:pPr>
            <w:r w:rsidRPr="00E15255">
              <w:rPr>
                <w:rFonts w:cs="Calibri Light"/>
                <w:b/>
                <w:sz w:val="20"/>
              </w:rPr>
              <w:t>Minimum EER</w:t>
            </w:r>
          </w:p>
        </w:tc>
        <w:tc>
          <w:tcPr>
            <w:tcW w:w="1440" w:type="dxa"/>
            <w:shd w:val="clear" w:color="auto" w:fill="F2F2F2" w:themeFill="background1" w:themeFillShade="F2"/>
            <w:hideMark/>
          </w:tcPr>
          <w:p w14:paraId="663428E5" w14:textId="77777777" w:rsidR="00CE1D00" w:rsidRPr="00E15255" w:rsidRDefault="00CE1D00" w:rsidP="00D116EA">
            <w:pPr>
              <w:spacing w:after="0" w:line="240" w:lineRule="auto"/>
              <w:jc w:val="center"/>
              <w:rPr>
                <w:rFonts w:cs="Calibri Light"/>
                <w:b/>
                <w:sz w:val="20"/>
              </w:rPr>
            </w:pPr>
            <w:r w:rsidRPr="00E15255">
              <w:rPr>
                <w:rFonts w:cs="Calibri Light"/>
                <w:b/>
                <w:sz w:val="20"/>
              </w:rPr>
              <w:t>Minimum IEER</w:t>
            </w:r>
          </w:p>
        </w:tc>
      </w:tr>
      <w:tr w:rsidR="00CE1D00" w:rsidRPr="00E15255" w14:paraId="69705B7E" w14:textId="77777777" w:rsidTr="00E15255">
        <w:trPr>
          <w:trHeight w:val="272"/>
          <w:jc w:val="center"/>
        </w:trPr>
        <w:tc>
          <w:tcPr>
            <w:tcW w:w="4225" w:type="dxa"/>
            <w:shd w:val="clear" w:color="auto" w:fill="auto"/>
            <w:hideMark/>
          </w:tcPr>
          <w:p w14:paraId="3E04AEDB" w14:textId="5EAE5FA7" w:rsidR="00CE1D00" w:rsidRPr="00E15255" w:rsidRDefault="00CE1D00" w:rsidP="00D116EA">
            <w:pPr>
              <w:spacing w:after="0" w:line="240" w:lineRule="auto"/>
              <w:rPr>
                <w:rFonts w:cs="Calibri Light"/>
                <w:sz w:val="20"/>
              </w:rPr>
            </w:pPr>
            <w:r w:rsidRPr="00E15255">
              <w:rPr>
                <w:rFonts w:cs="Calibri Light"/>
                <w:sz w:val="20"/>
              </w:rPr>
              <w:t>65 – 134 KBTU/H. Heating section = gas</w:t>
            </w:r>
            <w:r w:rsidR="00D443C2" w:rsidRPr="00E15255">
              <w:rPr>
                <w:rFonts w:cs="Calibri Light"/>
                <w:sz w:val="20"/>
              </w:rPr>
              <w:t xml:space="preserve"> furnace</w:t>
            </w:r>
          </w:p>
        </w:tc>
        <w:tc>
          <w:tcPr>
            <w:tcW w:w="1350" w:type="dxa"/>
            <w:shd w:val="clear" w:color="auto" w:fill="auto"/>
            <w:hideMark/>
          </w:tcPr>
          <w:p w14:paraId="54B4DEC6" w14:textId="753C4EBC" w:rsidR="00CE1D00" w:rsidRPr="00E15255" w:rsidRDefault="00CE1D00" w:rsidP="00D116EA">
            <w:pPr>
              <w:spacing w:after="0" w:line="240" w:lineRule="auto"/>
              <w:jc w:val="center"/>
              <w:rPr>
                <w:rFonts w:cs="Calibri Light"/>
                <w:sz w:val="20"/>
              </w:rPr>
            </w:pPr>
            <w:r w:rsidRPr="00E15255">
              <w:rPr>
                <w:rFonts w:cs="Calibri Light"/>
                <w:sz w:val="20"/>
              </w:rPr>
              <w:t>11.0</w:t>
            </w:r>
          </w:p>
        </w:tc>
        <w:tc>
          <w:tcPr>
            <w:tcW w:w="1440" w:type="dxa"/>
            <w:shd w:val="clear" w:color="auto" w:fill="auto"/>
            <w:hideMark/>
          </w:tcPr>
          <w:p w14:paraId="39D33C41" w14:textId="056C73FB" w:rsidR="00CE1D00" w:rsidRPr="00E15255" w:rsidRDefault="00CE1D00" w:rsidP="00D116EA">
            <w:pPr>
              <w:spacing w:after="0" w:line="240" w:lineRule="auto"/>
              <w:jc w:val="center"/>
              <w:rPr>
                <w:rFonts w:cs="Calibri Light"/>
                <w:sz w:val="20"/>
              </w:rPr>
            </w:pPr>
            <w:r w:rsidRPr="00E15255">
              <w:rPr>
                <w:rFonts w:cs="Calibri Light"/>
                <w:sz w:val="20"/>
              </w:rPr>
              <w:t>12.7</w:t>
            </w:r>
          </w:p>
        </w:tc>
      </w:tr>
      <w:tr w:rsidR="00CE1D00" w:rsidRPr="00E15255" w14:paraId="3A5E0205" w14:textId="77777777" w:rsidTr="00E15255">
        <w:trPr>
          <w:trHeight w:val="272"/>
          <w:jc w:val="center"/>
        </w:trPr>
        <w:tc>
          <w:tcPr>
            <w:tcW w:w="4225" w:type="dxa"/>
            <w:shd w:val="clear" w:color="auto" w:fill="auto"/>
          </w:tcPr>
          <w:p w14:paraId="1672EB22" w14:textId="52A5C044" w:rsidR="00CE1D00" w:rsidRPr="00E15255" w:rsidRDefault="00CE1D00" w:rsidP="00D116EA">
            <w:pPr>
              <w:spacing w:after="0" w:line="240" w:lineRule="auto"/>
              <w:rPr>
                <w:rFonts w:cs="Calibri Light"/>
                <w:sz w:val="20"/>
              </w:rPr>
            </w:pPr>
            <w:r w:rsidRPr="00E15255">
              <w:rPr>
                <w:rFonts w:cs="Calibri Light"/>
                <w:sz w:val="20"/>
              </w:rPr>
              <w:t>135 – 239 KBTU/H. Heating section = gas</w:t>
            </w:r>
            <w:r w:rsidR="00D443C2" w:rsidRPr="00E15255">
              <w:rPr>
                <w:rFonts w:cs="Calibri Light"/>
                <w:sz w:val="20"/>
              </w:rPr>
              <w:t xml:space="preserve"> furnace</w:t>
            </w:r>
          </w:p>
        </w:tc>
        <w:tc>
          <w:tcPr>
            <w:tcW w:w="1350" w:type="dxa"/>
            <w:shd w:val="clear" w:color="auto" w:fill="auto"/>
          </w:tcPr>
          <w:p w14:paraId="51B34294" w14:textId="6F6345F1" w:rsidR="00CE1D00" w:rsidRPr="00E15255" w:rsidRDefault="00CE1D00" w:rsidP="00D116EA">
            <w:pPr>
              <w:spacing w:after="0" w:line="240" w:lineRule="auto"/>
              <w:jc w:val="center"/>
              <w:rPr>
                <w:rFonts w:cs="Calibri Light"/>
                <w:sz w:val="20"/>
              </w:rPr>
            </w:pPr>
            <w:r w:rsidRPr="00E15255">
              <w:rPr>
                <w:rFonts w:cs="Calibri Light"/>
                <w:sz w:val="20"/>
              </w:rPr>
              <w:t>10.8</w:t>
            </w:r>
          </w:p>
        </w:tc>
        <w:tc>
          <w:tcPr>
            <w:tcW w:w="1440" w:type="dxa"/>
            <w:shd w:val="clear" w:color="auto" w:fill="auto"/>
          </w:tcPr>
          <w:p w14:paraId="650E0FB0" w14:textId="707CD8AF" w:rsidR="00CE1D00" w:rsidRPr="00E15255" w:rsidRDefault="00CE1D00" w:rsidP="00D116EA">
            <w:pPr>
              <w:spacing w:after="0" w:line="240" w:lineRule="auto"/>
              <w:jc w:val="center"/>
              <w:rPr>
                <w:rFonts w:cs="Calibri Light"/>
                <w:sz w:val="20"/>
              </w:rPr>
            </w:pPr>
            <w:r w:rsidRPr="00E15255">
              <w:rPr>
                <w:rFonts w:cs="Calibri Light"/>
                <w:sz w:val="20"/>
              </w:rPr>
              <w:t>12.2</w:t>
            </w:r>
          </w:p>
        </w:tc>
      </w:tr>
    </w:tbl>
    <w:p w14:paraId="2A6B53FD" w14:textId="53C8DA67" w:rsidR="006007C4" w:rsidRDefault="00CA7680" w:rsidP="00DA6088">
      <w:r>
        <w:t xml:space="preserve">The first version of this workpaper modeled the base case with code-minimum eQuest input values and performance curves. In response to the CPUC disposition, the DEER base case is now being used in the energy models. </w:t>
      </w:r>
    </w:p>
    <w:p w14:paraId="11BF5650" w14:textId="77777777" w:rsidR="00CA7680" w:rsidRPr="00D60987" w:rsidRDefault="00CA7680" w:rsidP="00DA6088"/>
    <w:p w14:paraId="7D9DA4A6" w14:textId="77777777" w:rsidR="007D230B" w:rsidRPr="00171BB8" w:rsidRDefault="007D230B" w:rsidP="004F705B">
      <w:pPr>
        <w:pStyle w:val="eTRMHeading3"/>
      </w:pPr>
      <w:bookmarkStart w:id="13" w:name="_Toc486490850"/>
      <w:bookmarkStart w:id="14" w:name="_Toc486580921"/>
      <w:bookmarkStart w:id="15" w:name="_Toc10539880"/>
      <w:r w:rsidRPr="004B06E3">
        <w:lastRenderedPageBreak/>
        <w:t>Code Requirements</w:t>
      </w:r>
      <w:bookmarkEnd w:id="13"/>
      <w:bookmarkEnd w:id="14"/>
      <w:bookmarkEnd w:id="15"/>
    </w:p>
    <w:p w14:paraId="6E5CFD52" w14:textId="666363FE" w:rsidR="00D60987" w:rsidRDefault="00CE1D00" w:rsidP="00D0761C">
      <w:pPr>
        <w:rPr>
          <w:rFonts w:cs="Arial"/>
          <w:b/>
          <w:i/>
        </w:rPr>
      </w:pPr>
      <w:r>
        <w:t>Unitary air-cooled AC equipment is regulated under the U.S. Department of Energy appliance standards program as well as the California Energy Commission’s building energy efficiency codes.</w:t>
      </w:r>
    </w:p>
    <w:p w14:paraId="416D86B5" w14:textId="65D7F838" w:rsidR="00124363" w:rsidRDefault="00124363" w:rsidP="00305AF3">
      <w:pPr>
        <w:pStyle w:val="Caption"/>
      </w:pPr>
      <w:r>
        <w:t>Applicable State and Federal Codes and Standards</w:t>
      </w:r>
    </w:p>
    <w:tbl>
      <w:tblPr>
        <w:tblW w:w="953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15"/>
        <w:gridCol w:w="2790"/>
        <w:gridCol w:w="2430"/>
      </w:tblGrid>
      <w:tr w:rsidR="00FC77BB" w:rsidRPr="00154391" w14:paraId="4623D54B" w14:textId="689B6080" w:rsidTr="005820CD">
        <w:trPr>
          <w:cantSplit/>
          <w:trHeight w:val="20"/>
          <w:jc w:val="center"/>
        </w:trPr>
        <w:tc>
          <w:tcPr>
            <w:tcW w:w="4315" w:type="dxa"/>
            <w:shd w:val="clear" w:color="auto" w:fill="F2F2F2" w:themeFill="background1" w:themeFillShade="F2"/>
            <w:vAlign w:val="bottom"/>
          </w:tcPr>
          <w:p w14:paraId="5E8EE0C5" w14:textId="77777777" w:rsidR="00FC77BB" w:rsidRPr="00154391" w:rsidRDefault="00FC77BB" w:rsidP="00190874">
            <w:pPr>
              <w:keepNext/>
              <w:keepLines/>
              <w:spacing w:before="0" w:after="0" w:line="240" w:lineRule="auto"/>
              <w:rPr>
                <w:b/>
                <w:sz w:val="20"/>
                <w:szCs w:val="20"/>
              </w:rPr>
            </w:pPr>
            <w:r w:rsidRPr="0079498E">
              <w:rPr>
                <w:b/>
                <w:sz w:val="20"/>
              </w:rPr>
              <w:t>Code</w:t>
            </w:r>
          </w:p>
        </w:tc>
        <w:tc>
          <w:tcPr>
            <w:tcW w:w="2790" w:type="dxa"/>
            <w:shd w:val="clear" w:color="auto" w:fill="F2F2F2" w:themeFill="background1" w:themeFillShade="F2"/>
            <w:vAlign w:val="bottom"/>
          </w:tcPr>
          <w:p w14:paraId="2A51DAFB" w14:textId="77777777" w:rsidR="00FC77BB" w:rsidRPr="00154391" w:rsidRDefault="00FC77BB" w:rsidP="00190874">
            <w:pPr>
              <w:keepNext/>
              <w:keepLines/>
              <w:spacing w:before="0" w:after="0" w:line="240" w:lineRule="auto"/>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90874">
            <w:pPr>
              <w:keepNext/>
              <w:keepLines/>
              <w:spacing w:before="0" w:after="0" w:line="240" w:lineRule="auto"/>
              <w:jc w:val="center"/>
              <w:rPr>
                <w:b/>
                <w:sz w:val="20"/>
                <w:szCs w:val="20"/>
              </w:rPr>
            </w:pPr>
            <w:r w:rsidRPr="0079498E">
              <w:rPr>
                <w:b/>
                <w:sz w:val="20"/>
              </w:rPr>
              <w:t>Effective Date</w:t>
            </w:r>
          </w:p>
        </w:tc>
      </w:tr>
      <w:tr w:rsidR="003E0AD6" w:rsidRPr="00FB030E" w14:paraId="1238F946" w14:textId="64CC1E4E" w:rsidTr="005820CD">
        <w:trPr>
          <w:cantSplit/>
          <w:trHeight w:val="20"/>
          <w:jc w:val="center"/>
        </w:trPr>
        <w:tc>
          <w:tcPr>
            <w:tcW w:w="4315" w:type="dxa"/>
            <w:shd w:val="clear" w:color="auto" w:fill="auto"/>
          </w:tcPr>
          <w:p w14:paraId="4F444C61" w14:textId="53A97222" w:rsidR="003E0AD6" w:rsidRPr="00BD6838" w:rsidRDefault="003E0AD6" w:rsidP="003E0AD6">
            <w:pPr>
              <w:keepNext/>
              <w:keepLines/>
              <w:spacing w:before="0" w:after="0" w:line="240" w:lineRule="auto"/>
              <w:rPr>
                <w:sz w:val="20"/>
                <w:szCs w:val="20"/>
              </w:rPr>
            </w:pPr>
            <w:r w:rsidRPr="00BD6838">
              <w:rPr>
                <w:sz w:val="20"/>
              </w:rPr>
              <w:t>CA Appliance Efficiency Regulations – Title 20</w:t>
            </w:r>
            <w:r w:rsidRPr="003E0AD6">
              <w:rPr>
                <w:sz w:val="20"/>
                <w:vertAlign w:val="superscript"/>
              </w:rPr>
              <w:t>a</w:t>
            </w:r>
          </w:p>
        </w:tc>
        <w:tc>
          <w:tcPr>
            <w:tcW w:w="2790" w:type="dxa"/>
            <w:shd w:val="clear" w:color="auto" w:fill="auto"/>
          </w:tcPr>
          <w:p w14:paraId="0A330E5E" w14:textId="3FDBA0E2" w:rsidR="003E0AD6" w:rsidRPr="00FB030E" w:rsidRDefault="00FC6AB7" w:rsidP="003E0AD6">
            <w:pPr>
              <w:keepNext/>
              <w:keepLines/>
              <w:spacing w:before="0" w:after="0" w:line="240" w:lineRule="auto"/>
              <w:rPr>
                <w:sz w:val="20"/>
                <w:szCs w:val="20"/>
              </w:rPr>
            </w:pPr>
            <w:r>
              <w:rPr>
                <w:sz w:val="20"/>
                <w:szCs w:val="20"/>
              </w:rPr>
              <w:t xml:space="preserve">20 CCR </w:t>
            </w:r>
            <w:r>
              <w:rPr>
                <w:rFonts w:cs="Calibri Light"/>
                <w:sz w:val="20"/>
                <w:szCs w:val="20"/>
              </w:rPr>
              <w:t>§1605.1(c)(1), Table C-4</w:t>
            </w:r>
          </w:p>
        </w:tc>
        <w:tc>
          <w:tcPr>
            <w:tcW w:w="2430" w:type="dxa"/>
            <w:shd w:val="clear" w:color="auto" w:fill="auto"/>
          </w:tcPr>
          <w:p w14:paraId="63BAD98E" w14:textId="1BC229BD" w:rsidR="003E0AD6" w:rsidRPr="00FB030E" w:rsidRDefault="00FC6AB7" w:rsidP="003E0AD6">
            <w:pPr>
              <w:keepNext/>
              <w:keepLines/>
              <w:spacing w:before="0" w:after="0" w:line="240" w:lineRule="auto"/>
              <w:jc w:val="center"/>
              <w:rPr>
                <w:sz w:val="20"/>
                <w:szCs w:val="20"/>
              </w:rPr>
            </w:pPr>
            <w:r>
              <w:rPr>
                <w:sz w:val="20"/>
                <w:szCs w:val="20"/>
              </w:rPr>
              <w:t>1/1/2018</w:t>
            </w:r>
          </w:p>
        </w:tc>
      </w:tr>
      <w:tr w:rsidR="003E0AD6" w:rsidRPr="00FB030E" w14:paraId="2183996F" w14:textId="77777777" w:rsidTr="005820CD">
        <w:trPr>
          <w:cantSplit/>
          <w:trHeight w:val="20"/>
          <w:jc w:val="center"/>
        </w:trPr>
        <w:tc>
          <w:tcPr>
            <w:tcW w:w="4315" w:type="dxa"/>
            <w:shd w:val="clear" w:color="auto" w:fill="auto"/>
          </w:tcPr>
          <w:p w14:paraId="40933E48" w14:textId="5B18EE2E" w:rsidR="003E0AD6" w:rsidRPr="00BD6838" w:rsidRDefault="003E0AD6" w:rsidP="003E0AD6">
            <w:pPr>
              <w:keepNext/>
              <w:keepLines/>
              <w:spacing w:before="0" w:after="0" w:line="240" w:lineRule="auto"/>
              <w:rPr>
                <w:sz w:val="20"/>
              </w:rPr>
            </w:pPr>
            <w:r w:rsidRPr="00BD6838">
              <w:rPr>
                <w:sz w:val="20"/>
              </w:rPr>
              <w:t xml:space="preserve">CA Building Energy Efficiency Standards – Title 24 </w:t>
            </w:r>
          </w:p>
        </w:tc>
        <w:tc>
          <w:tcPr>
            <w:tcW w:w="2790" w:type="dxa"/>
            <w:shd w:val="clear" w:color="auto" w:fill="auto"/>
          </w:tcPr>
          <w:p w14:paraId="6BC930A9" w14:textId="587E64D5" w:rsidR="003E0AD6" w:rsidRDefault="00FC6AB7" w:rsidP="003E0AD6">
            <w:pPr>
              <w:keepNext/>
              <w:keepLines/>
              <w:spacing w:before="0" w:after="0" w:line="240" w:lineRule="auto"/>
              <w:rPr>
                <w:sz w:val="20"/>
                <w:szCs w:val="20"/>
              </w:rPr>
            </w:pPr>
            <w:r>
              <w:rPr>
                <w:sz w:val="20"/>
                <w:szCs w:val="20"/>
              </w:rPr>
              <w:t xml:space="preserve">24 CCR </w:t>
            </w:r>
            <w:r>
              <w:rPr>
                <w:rFonts w:cs="Calibri Light"/>
                <w:sz w:val="20"/>
                <w:szCs w:val="20"/>
              </w:rPr>
              <w:t>§</w:t>
            </w:r>
            <w:r w:rsidR="003E0AD6">
              <w:rPr>
                <w:sz w:val="20"/>
                <w:szCs w:val="20"/>
              </w:rPr>
              <w:t>110.2, Table 110.2-A</w:t>
            </w:r>
          </w:p>
        </w:tc>
        <w:tc>
          <w:tcPr>
            <w:tcW w:w="2430" w:type="dxa"/>
            <w:shd w:val="clear" w:color="auto" w:fill="auto"/>
          </w:tcPr>
          <w:p w14:paraId="205CC1CD" w14:textId="01CF5F20" w:rsidR="003E0AD6" w:rsidRDefault="003E0AD6" w:rsidP="003E0AD6">
            <w:pPr>
              <w:keepNext/>
              <w:keepLines/>
              <w:spacing w:before="0" w:after="0" w:line="240" w:lineRule="auto"/>
              <w:jc w:val="center"/>
              <w:rPr>
                <w:sz w:val="20"/>
                <w:szCs w:val="20"/>
              </w:rPr>
            </w:pPr>
            <w:r>
              <w:rPr>
                <w:sz w:val="20"/>
                <w:szCs w:val="20"/>
              </w:rPr>
              <w:t>1/1/20</w:t>
            </w:r>
            <w:r w:rsidR="00202223">
              <w:rPr>
                <w:sz w:val="20"/>
                <w:szCs w:val="20"/>
              </w:rPr>
              <w:t>20</w:t>
            </w:r>
          </w:p>
        </w:tc>
      </w:tr>
      <w:tr w:rsidR="003E0AD6" w:rsidRPr="00FB030E" w14:paraId="23FB50B6" w14:textId="5078B94B" w:rsidTr="005820CD">
        <w:trPr>
          <w:cantSplit/>
          <w:trHeight w:val="20"/>
          <w:jc w:val="center"/>
        </w:trPr>
        <w:tc>
          <w:tcPr>
            <w:tcW w:w="4315" w:type="dxa"/>
            <w:shd w:val="clear" w:color="auto" w:fill="auto"/>
          </w:tcPr>
          <w:p w14:paraId="2EBFC05B" w14:textId="77777777" w:rsidR="003E0AD6" w:rsidRPr="00BD6838" w:rsidRDefault="003E0AD6" w:rsidP="003E0AD6">
            <w:pPr>
              <w:keepNext/>
              <w:keepLines/>
              <w:spacing w:before="0" w:after="0" w:line="240" w:lineRule="auto"/>
              <w:rPr>
                <w:sz w:val="20"/>
                <w:szCs w:val="20"/>
              </w:rPr>
            </w:pPr>
            <w:r w:rsidRPr="00BD6838">
              <w:rPr>
                <w:sz w:val="20"/>
              </w:rPr>
              <w:t>Federal Standards</w:t>
            </w:r>
          </w:p>
        </w:tc>
        <w:tc>
          <w:tcPr>
            <w:tcW w:w="2790" w:type="dxa"/>
            <w:shd w:val="clear" w:color="auto" w:fill="auto"/>
          </w:tcPr>
          <w:p w14:paraId="0D43394E" w14:textId="729606DA" w:rsidR="003E0AD6" w:rsidRPr="00FB030E" w:rsidRDefault="003E0AD6" w:rsidP="003E0AD6">
            <w:pPr>
              <w:keepNext/>
              <w:keepLines/>
              <w:spacing w:before="0" w:after="0" w:line="240" w:lineRule="auto"/>
              <w:rPr>
                <w:sz w:val="20"/>
                <w:szCs w:val="20"/>
              </w:rPr>
            </w:pPr>
            <w:r>
              <w:rPr>
                <w:sz w:val="20"/>
                <w:szCs w:val="20"/>
              </w:rPr>
              <w:t xml:space="preserve">10 CFR </w:t>
            </w:r>
            <w:r>
              <w:rPr>
                <w:rFonts w:cs="Calibri Light"/>
                <w:sz w:val="20"/>
                <w:szCs w:val="20"/>
              </w:rPr>
              <w:t>§</w:t>
            </w:r>
            <w:r>
              <w:rPr>
                <w:sz w:val="20"/>
                <w:szCs w:val="20"/>
              </w:rPr>
              <w:t>431.97, Table 3</w:t>
            </w:r>
          </w:p>
        </w:tc>
        <w:tc>
          <w:tcPr>
            <w:tcW w:w="2430" w:type="dxa"/>
            <w:shd w:val="clear" w:color="auto" w:fill="auto"/>
          </w:tcPr>
          <w:p w14:paraId="66FA1B6F" w14:textId="3DCC0BBF" w:rsidR="003E0AD6" w:rsidRPr="00FB030E" w:rsidRDefault="003E0AD6" w:rsidP="003E0AD6">
            <w:pPr>
              <w:keepNext/>
              <w:keepLines/>
              <w:spacing w:before="0" w:after="0" w:line="240" w:lineRule="auto"/>
              <w:jc w:val="center"/>
              <w:rPr>
                <w:sz w:val="20"/>
                <w:szCs w:val="20"/>
              </w:rPr>
            </w:pPr>
            <w:r>
              <w:rPr>
                <w:sz w:val="20"/>
                <w:szCs w:val="20"/>
              </w:rPr>
              <w:t>1/1/2018</w:t>
            </w:r>
          </w:p>
        </w:tc>
      </w:tr>
    </w:tbl>
    <w:p w14:paraId="28A93655" w14:textId="2F5705EB" w:rsidR="00FD2C54" w:rsidRPr="0020432F" w:rsidRDefault="003E0AD6" w:rsidP="0011498C">
      <w:pPr>
        <w:rPr>
          <w:sz w:val="20"/>
        </w:rPr>
      </w:pPr>
      <w:r w:rsidRPr="0020432F">
        <w:rPr>
          <w:sz w:val="20"/>
          <w:vertAlign w:val="superscript"/>
        </w:rPr>
        <w:t>a</w:t>
      </w:r>
      <w:r w:rsidRPr="0020432F">
        <w:rPr>
          <w:sz w:val="20"/>
        </w:rPr>
        <w:t xml:space="preserve"> Commercial unitary air conditioners are federally pre-empted, </w:t>
      </w:r>
      <w:r w:rsidR="00FC6AB7" w:rsidRPr="0020432F">
        <w:rPr>
          <w:sz w:val="20"/>
        </w:rPr>
        <w:t xml:space="preserve">therefore </w:t>
      </w:r>
      <w:r w:rsidRPr="0020432F">
        <w:rPr>
          <w:sz w:val="20"/>
        </w:rPr>
        <w:t xml:space="preserve">Title 20 follows the federal appliance standards. </w:t>
      </w:r>
    </w:p>
    <w:p w14:paraId="1EE16D20" w14:textId="77777777" w:rsidR="007D230B" w:rsidRPr="00171BB8" w:rsidRDefault="007D230B" w:rsidP="00462BB6">
      <w:pPr>
        <w:pStyle w:val="eTRMHeading3"/>
      </w:pPr>
      <w:bookmarkStart w:id="16" w:name="_Toc486490851"/>
      <w:bookmarkStart w:id="17" w:name="_Toc486580922"/>
      <w:bookmarkStart w:id="18" w:name="_Toc10539881"/>
      <w:r w:rsidRPr="00A83458">
        <w:t>Normalizing</w:t>
      </w:r>
      <w:r w:rsidRPr="00171BB8">
        <w:t xml:space="preserve"> Unit</w:t>
      </w:r>
      <w:bookmarkEnd w:id="16"/>
      <w:bookmarkEnd w:id="17"/>
      <w:bookmarkEnd w:id="18"/>
    </w:p>
    <w:p w14:paraId="0115BB45" w14:textId="2BF1FBB0" w:rsidR="009C31A4" w:rsidRDefault="00DD0EDE" w:rsidP="00486585">
      <w:r>
        <w:t>Per cooling ton</w:t>
      </w:r>
      <w:r w:rsidR="003E0AD6" w:rsidRPr="003E0AD6">
        <w:t xml:space="preserve">. </w:t>
      </w:r>
    </w:p>
    <w:p w14:paraId="4610F087" w14:textId="77777777" w:rsidR="00AA2841" w:rsidRPr="007D230B" w:rsidRDefault="00AA2841" w:rsidP="00486585"/>
    <w:p w14:paraId="2F4904E6" w14:textId="77777777" w:rsidR="007D230B" w:rsidRPr="004B06E3" w:rsidRDefault="007D230B" w:rsidP="00462BB6">
      <w:pPr>
        <w:pStyle w:val="eTRMHeading3"/>
      </w:pPr>
      <w:bookmarkStart w:id="19" w:name="_Toc486490852"/>
      <w:bookmarkStart w:id="20" w:name="_Toc486580923"/>
      <w:bookmarkStart w:id="21" w:name="_Toc10539882"/>
      <w:bookmarkStart w:id="22" w:name="_Hlk515365299"/>
      <w:bookmarkStart w:id="23" w:name="_Hlk515878271"/>
      <w:r w:rsidRPr="004B06E3">
        <w:t>Program Requirements</w:t>
      </w:r>
      <w:bookmarkEnd w:id="19"/>
      <w:bookmarkEnd w:id="20"/>
      <w:bookmarkEnd w:id="21"/>
      <w:r w:rsidRPr="004B06E3">
        <w:t xml:space="preserve"> </w:t>
      </w:r>
    </w:p>
    <w:p w14:paraId="76F286D8" w14:textId="77777777" w:rsidR="00AA2841" w:rsidRDefault="00AA2841" w:rsidP="00AA2841">
      <w:pPr>
        <w:pStyle w:val="eTRMHeading5"/>
        <w:keepNext/>
        <w:keepLines/>
      </w:pPr>
      <w:bookmarkStart w:id="24" w:name="_Hlk516047641"/>
      <w:bookmarkEnd w:id="22"/>
      <w:r>
        <w:t>Measure Implementation Eligibility</w:t>
      </w:r>
    </w:p>
    <w:p w14:paraId="512C0D1F" w14:textId="5A4B8576" w:rsidR="00AA2841" w:rsidRDefault="00AA2841" w:rsidP="00AA2841">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w:t>
      </w:r>
      <w:r w:rsidR="009C7F9E">
        <w:t xml:space="preserve">in </w:t>
      </w:r>
      <w:r w:rsidR="009C7F9E">
        <w:fldChar w:fldCharType="begin"/>
      </w:r>
      <w:r w:rsidR="009C7F9E">
        <w:instrText xml:space="preserve"> REF _Ref17180509 \h </w:instrText>
      </w:r>
      <w:r w:rsidR="009C7F9E">
        <w:fldChar w:fldCharType="separate"/>
      </w:r>
      <w:r w:rsidR="00EB2057">
        <w:t>the table below</w:t>
      </w:r>
      <w:r w:rsidR="009C7F9E">
        <w:fldChar w:fldCharType="end"/>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22003375" w14:textId="77777777" w:rsidR="00AA2841" w:rsidRPr="00CC4643" w:rsidRDefault="00AA2841" w:rsidP="00AA2841">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F0715CD" w14:textId="5940AD4C" w:rsidR="00124363" w:rsidRDefault="00124363" w:rsidP="00305AF3">
      <w:pPr>
        <w:pStyle w:val="Caption"/>
      </w:pPr>
      <w:r>
        <w:t>Implementation Eligibility</w:t>
      </w:r>
    </w:p>
    <w:tbl>
      <w:tblPr>
        <w:tblW w:w="9072"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181"/>
        <w:gridCol w:w="2867"/>
      </w:tblGrid>
      <w:tr w:rsidR="001B426F" w:rsidRPr="00A47168" w14:paraId="40946250" w14:textId="77777777" w:rsidTr="00D37585">
        <w:trPr>
          <w:trHeight w:val="290"/>
          <w:jc w:val="center"/>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181"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2867"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D37585">
        <w:trPr>
          <w:trHeight w:val="290"/>
          <w:jc w:val="center"/>
        </w:trPr>
        <w:tc>
          <w:tcPr>
            <w:tcW w:w="3024" w:type="dxa"/>
            <w:noWrap/>
            <w:tcMar>
              <w:top w:w="0" w:type="dxa"/>
              <w:left w:w="108" w:type="dxa"/>
              <w:bottom w:w="0" w:type="dxa"/>
              <w:right w:w="108" w:type="dxa"/>
            </w:tcMar>
            <w:vAlign w:val="bottom"/>
          </w:tcPr>
          <w:p w14:paraId="178C5C26" w14:textId="19DD53A0" w:rsidR="001B426F" w:rsidRPr="00A47168" w:rsidRDefault="009A79CC" w:rsidP="001B426F">
            <w:pPr>
              <w:keepNext/>
              <w:spacing w:before="0" w:after="0"/>
              <w:rPr>
                <w:color w:val="000000"/>
                <w:sz w:val="20"/>
              </w:rPr>
            </w:pPr>
            <w:r>
              <w:rPr>
                <w:color w:val="000000"/>
                <w:sz w:val="20"/>
              </w:rPr>
              <w:t>NC (New Construction)</w:t>
            </w:r>
          </w:p>
        </w:tc>
        <w:tc>
          <w:tcPr>
            <w:tcW w:w="3181" w:type="dxa"/>
            <w:noWrap/>
            <w:tcMar>
              <w:top w:w="0" w:type="dxa"/>
              <w:left w:w="108" w:type="dxa"/>
              <w:bottom w:w="0" w:type="dxa"/>
              <w:right w:w="108" w:type="dxa"/>
            </w:tcMar>
            <w:vAlign w:val="bottom"/>
          </w:tcPr>
          <w:p w14:paraId="7EB7E369" w14:textId="51149548" w:rsidR="001B426F" w:rsidRPr="00A47168" w:rsidRDefault="009A79CC" w:rsidP="001B426F">
            <w:pPr>
              <w:keepNext/>
              <w:spacing w:before="0" w:after="0"/>
              <w:rPr>
                <w:color w:val="000000"/>
                <w:sz w:val="20"/>
              </w:rPr>
            </w:pPr>
            <w:proofErr w:type="spellStart"/>
            <w:r>
              <w:rPr>
                <w:color w:val="000000"/>
                <w:sz w:val="20"/>
              </w:rPr>
              <w:t>UpDeemed</w:t>
            </w:r>
            <w:proofErr w:type="spellEnd"/>
            <w:r>
              <w:rPr>
                <w:color w:val="000000"/>
                <w:sz w:val="20"/>
              </w:rPr>
              <w:t xml:space="preserve"> (Upstream Deemed)</w:t>
            </w:r>
          </w:p>
        </w:tc>
        <w:tc>
          <w:tcPr>
            <w:tcW w:w="2867" w:type="dxa"/>
            <w:noWrap/>
            <w:tcMar>
              <w:top w:w="0" w:type="dxa"/>
              <w:left w:w="108" w:type="dxa"/>
              <w:bottom w:w="0" w:type="dxa"/>
              <w:right w:w="108" w:type="dxa"/>
            </w:tcMar>
            <w:vAlign w:val="bottom"/>
          </w:tcPr>
          <w:p w14:paraId="6F9C2987" w14:textId="76E6F4B1" w:rsidR="001B426F" w:rsidRPr="00A47168" w:rsidRDefault="009A79CC" w:rsidP="001B426F">
            <w:pPr>
              <w:keepNext/>
              <w:spacing w:before="0" w:after="0"/>
              <w:rPr>
                <w:color w:val="000000"/>
                <w:sz w:val="20"/>
              </w:rPr>
            </w:pPr>
            <w:r>
              <w:rPr>
                <w:color w:val="000000"/>
                <w:sz w:val="20"/>
              </w:rPr>
              <w:t>Com (Commercial)</w:t>
            </w:r>
          </w:p>
        </w:tc>
      </w:tr>
      <w:tr w:rsidR="00DD0EDE" w:rsidRPr="00A47168" w14:paraId="153F91F9" w14:textId="77777777" w:rsidTr="00D37585">
        <w:trPr>
          <w:trHeight w:val="290"/>
          <w:jc w:val="center"/>
        </w:trPr>
        <w:tc>
          <w:tcPr>
            <w:tcW w:w="3024" w:type="dxa"/>
            <w:noWrap/>
            <w:tcMar>
              <w:top w:w="0" w:type="dxa"/>
              <w:left w:w="108" w:type="dxa"/>
              <w:bottom w:w="0" w:type="dxa"/>
              <w:right w:w="108" w:type="dxa"/>
            </w:tcMar>
            <w:vAlign w:val="bottom"/>
          </w:tcPr>
          <w:p w14:paraId="3E15F312" w14:textId="4F577748" w:rsidR="00DD0EDE" w:rsidRDefault="00DD0EDE" w:rsidP="00DD0EDE">
            <w:pPr>
              <w:keepNext/>
              <w:spacing w:before="0" w:after="0"/>
              <w:rPr>
                <w:color w:val="000000"/>
                <w:sz w:val="20"/>
              </w:rPr>
            </w:pPr>
            <w:r>
              <w:rPr>
                <w:color w:val="000000"/>
                <w:sz w:val="20"/>
              </w:rPr>
              <w:t>NR (Normal Replacement)</w:t>
            </w:r>
          </w:p>
        </w:tc>
        <w:tc>
          <w:tcPr>
            <w:tcW w:w="3181" w:type="dxa"/>
            <w:noWrap/>
            <w:tcMar>
              <w:top w:w="0" w:type="dxa"/>
              <w:left w:w="108" w:type="dxa"/>
              <w:bottom w:w="0" w:type="dxa"/>
              <w:right w:w="108" w:type="dxa"/>
            </w:tcMar>
            <w:vAlign w:val="bottom"/>
          </w:tcPr>
          <w:p w14:paraId="6B1AD6E6" w14:textId="2CA56C0C" w:rsidR="00DD0EDE" w:rsidRDefault="00DD0EDE" w:rsidP="00DD0EDE">
            <w:pPr>
              <w:keepNext/>
              <w:spacing w:before="0" w:after="0"/>
              <w:rPr>
                <w:color w:val="000000"/>
                <w:sz w:val="20"/>
              </w:rPr>
            </w:pPr>
            <w:proofErr w:type="spellStart"/>
            <w:r>
              <w:rPr>
                <w:color w:val="000000"/>
                <w:sz w:val="20"/>
              </w:rPr>
              <w:t>UpDeemed</w:t>
            </w:r>
            <w:proofErr w:type="spellEnd"/>
            <w:r>
              <w:rPr>
                <w:color w:val="000000"/>
                <w:sz w:val="20"/>
              </w:rPr>
              <w:t xml:space="preserve"> (Upstream Deemed)</w:t>
            </w:r>
          </w:p>
        </w:tc>
        <w:tc>
          <w:tcPr>
            <w:tcW w:w="2867" w:type="dxa"/>
            <w:noWrap/>
            <w:tcMar>
              <w:top w:w="0" w:type="dxa"/>
              <w:left w:w="108" w:type="dxa"/>
              <w:bottom w:w="0" w:type="dxa"/>
              <w:right w:w="108" w:type="dxa"/>
            </w:tcMar>
            <w:vAlign w:val="bottom"/>
          </w:tcPr>
          <w:p w14:paraId="7FB31BD4" w14:textId="612ED250" w:rsidR="00DD0EDE" w:rsidRDefault="00DD0EDE" w:rsidP="00DD0EDE">
            <w:pPr>
              <w:keepNext/>
              <w:spacing w:before="0" w:after="0"/>
              <w:rPr>
                <w:color w:val="000000"/>
                <w:sz w:val="20"/>
              </w:rPr>
            </w:pPr>
            <w:r>
              <w:rPr>
                <w:color w:val="000000"/>
                <w:sz w:val="20"/>
              </w:rPr>
              <w:t>Com (Commercial)</w:t>
            </w:r>
          </w:p>
        </w:tc>
      </w:tr>
      <w:bookmarkEnd w:id="23"/>
      <w:bookmarkEnd w:id="24"/>
    </w:tbl>
    <w:p w14:paraId="5E550622" w14:textId="77777777" w:rsidR="003E0AD6" w:rsidRDefault="003E0AD6" w:rsidP="0026110B">
      <w:pPr>
        <w:pStyle w:val="eTRMHeading5"/>
        <w:keepNext/>
        <w:keepLines/>
      </w:pPr>
    </w:p>
    <w:p w14:paraId="3CD6D164" w14:textId="378BB975" w:rsidR="00BF66D2" w:rsidRDefault="00196649" w:rsidP="006B2DA7">
      <w:pPr>
        <w:pStyle w:val="eTRMHeading5"/>
        <w:keepNext/>
        <w:keepLines/>
      </w:pPr>
      <w:r>
        <w:t>Eligible Products</w:t>
      </w:r>
    </w:p>
    <w:p w14:paraId="44DB6798" w14:textId="7C3B6501" w:rsidR="00C55CFD" w:rsidRDefault="00C55CFD" w:rsidP="002942B0">
      <w:r>
        <w:t xml:space="preserve">Products eligible for this measure include the following characteristics: </w:t>
      </w:r>
    </w:p>
    <w:p w14:paraId="0614DE98" w14:textId="610506E1" w:rsidR="00C55CFD" w:rsidRDefault="00C55CFD" w:rsidP="002942B0">
      <w:r>
        <w:t>For units from 65,000 Btu/h to less than 135,000 Btu/h rated capacity:</w:t>
      </w:r>
    </w:p>
    <w:p w14:paraId="07550A2A" w14:textId="159998A4" w:rsidR="00C55CFD" w:rsidRDefault="00C55CFD" w:rsidP="00C55CFD">
      <w:pPr>
        <w:pStyle w:val="ListParagraph"/>
        <w:numPr>
          <w:ilvl w:val="0"/>
          <w:numId w:val="19"/>
        </w:numPr>
      </w:pPr>
      <w:r>
        <w:rPr>
          <w:rFonts w:cs="Calibri Light"/>
        </w:rPr>
        <w:t>≥</w:t>
      </w:r>
      <w:r>
        <w:t>12.0 EER</w:t>
      </w:r>
    </w:p>
    <w:p w14:paraId="2CAA7326" w14:textId="4081930F" w:rsidR="00C55CFD" w:rsidRDefault="00C55CFD" w:rsidP="00C55CFD">
      <w:pPr>
        <w:pStyle w:val="ListParagraph"/>
        <w:numPr>
          <w:ilvl w:val="0"/>
          <w:numId w:val="19"/>
        </w:numPr>
      </w:pPr>
      <w:r>
        <w:rPr>
          <w:rFonts w:cs="Calibri Light"/>
        </w:rPr>
        <w:t>≥</w:t>
      </w:r>
      <w:r>
        <w:t>19.0 IEER</w:t>
      </w:r>
    </w:p>
    <w:p w14:paraId="7D3DC212" w14:textId="46507B2A" w:rsidR="00C55CFD" w:rsidRDefault="00C55CFD" w:rsidP="00C55CFD">
      <w:r>
        <w:t>For units from 135,000 Btu/h to less than 240,000 Btu/h rated capacity:</w:t>
      </w:r>
    </w:p>
    <w:p w14:paraId="4B849588" w14:textId="77777777" w:rsidR="00C55CFD" w:rsidRDefault="00C55CFD" w:rsidP="00C55CFD">
      <w:pPr>
        <w:pStyle w:val="ListParagraph"/>
        <w:numPr>
          <w:ilvl w:val="0"/>
          <w:numId w:val="20"/>
        </w:numPr>
      </w:pPr>
      <w:r>
        <w:rPr>
          <w:rFonts w:cs="Calibri Light"/>
        </w:rPr>
        <w:t>≥</w:t>
      </w:r>
      <w:r>
        <w:t>12.0 EER</w:t>
      </w:r>
    </w:p>
    <w:p w14:paraId="45F38B3A" w14:textId="46284700" w:rsidR="00C55CFD" w:rsidRDefault="00C55CFD" w:rsidP="00C55CFD">
      <w:pPr>
        <w:pStyle w:val="ListParagraph"/>
        <w:numPr>
          <w:ilvl w:val="0"/>
          <w:numId w:val="20"/>
        </w:numPr>
      </w:pPr>
      <w:r>
        <w:rPr>
          <w:rFonts w:cs="Calibri Light"/>
        </w:rPr>
        <w:t>≥</w:t>
      </w:r>
      <w:r>
        <w:t>17.5 IEER:</w:t>
      </w:r>
    </w:p>
    <w:p w14:paraId="788918DA" w14:textId="1891C8C9" w:rsidR="00C55CFD" w:rsidRDefault="00C55CFD" w:rsidP="00C55CFD">
      <w:r>
        <w:lastRenderedPageBreak/>
        <w:t>For both size categories:</w:t>
      </w:r>
    </w:p>
    <w:p w14:paraId="6BCCBF42" w14:textId="77777777" w:rsidR="00C55CFD" w:rsidRDefault="00C55CFD" w:rsidP="00C55CFD">
      <w:pPr>
        <w:pStyle w:val="ListParagraph"/>
        <w:numPr>
          <w:ilvl w:val="0"/>
          <w:numId w:val="21"/>
        </w:numPr>
      </w:pPr>
      <w:r>
        <w:t>Must contain advanced compressor capacity control (either a variable speed compressor, tandem compressors on a single refrigeration circuit, or multiple-step compressors)</w:t>
      </w:r>
    </w:p>
    <w:p w14:paraId="2A900382" w14:textId="61BB1F1A" w:rsidR="00C55CFD" w:rsidRDefault="00C55CFD" w:rsidP="00C55CFD">
      <w:pPr>
        <w:pStyle w:val="ListParagraph"/>
        <w:numPr>
          <w:ilvl w:val="0"/>
          <w:numId w:val="21"/>
        </w:numPr>
      </w:pPr>
      <w:r>
        <w:t xml:space="preserve">Must contain a </w:t>
      </w:r>
      <w:r w:rsidR="00E05AD1">
        <w:t>multi-speed</w:t>
      </w:r>
      <w:r>
        <w:t xml:space="preserve"> </w:t>
      </w:r>
      <w:r w:rsidR="004345C9">
        <w:t xml:space="preserve">(three steps or greater) </w:t>
      </w:r>
      <w:r>
        <w:t>indoor fan</w:t>
      </w:r>
    </w:p>
    <w:p w14:paraId="3C2D5D1E" w14:textId="77777777" w:rsidR="00C55CFD" w:rsidRDefault="00C55CFD" w:rsidP="00C55CFD">
      <w:pPr>
        <w:pStyle w:val="ListParagraph"/>
        <w:numPr>
          <w:ilvl w:val="0"/>
          <w:numId w:val="21"/>
        </w:numPr>
      </w:pPr>
      <w:r>
        <w:t>Gas-furnace heating section (no requirements on thermal efficiency)</w:t>
      </w:r>
    </w:p>
    <w:p w14:paraId="2BD08849" w14:textId="54FC7EB4" w:rsidR="00C55CFD" w:rsidRDefault="00C55CFD" w:rsidP="00C55CFD">
      <w:pPr>
        <w:pStyle w:val="ListParagraph"/>
        <w:numPr>
          <w:ilvl w:val="0"/>
          <w:numId w:val="21"/>
        </w:numPr>
      </w:pPr>
      <w:r>
        <w:t xml:space="preserve">Must be a commercial unitary air conditioner subject to 10 CFR </w:t>
      </w:r>
      <w:r>
        <w:rPr>
          <w:rFonts w:cs="Calibri Light"/>
        </w:rPr>
        <w:t>§</w:t>
      </w:r>
      <w:r>
        <w:t xml:space="preserve">431.97 </w:t>
      </w:r>
    </w:p>
    <w:p w14:paraId="7CE938DA" w14:textId="2434378C" w:rsidR="007B6A74" w:rsidRPr="00401C43" w:rsidRDefault="007B6A74" w:rsidP="00401C43">
      <w:pPr>
        <w:pStyle w:val="eTRMHeading5"/>
      </w:pPr>
      <w:r w:rsidRPr="00401C43">
        <w:t>Eligible Building Types</w:t>
      </w:r>
      <w:r w:rsidR="00E57AAD">
        <w:t xml:space="preserve"> and Vintages</w:t>
      </w:r>
    </w:p>
    <w:p w14:paraId="2A71C7F2" w14:textId="342A55C8" w:rsidR="00433596" w:rsidRDefault="001267B2" w:rsidP="009A79CC">
      <w:r>
        <w:t>PG&amp;E</w:t>
      </w:r>
      <w:r w:rsidR="00964461">
        <w:t xml:space="preserve"> </w:t>
      </w:r>
      <w:r w:rsidR="00AF03B6">
        <w:t>downloaded</w:t>
      </w:r>
      <w:r w:rsidR="00964461">
        <w:t xml:space="preserve"> all</w:t>
      </w:r>
      <w:r w:rsidR="00AF03B6">
        <w:t xml:space="preserve"> of the 22 available</w:t>
      </w:r>
      <w:r w:rsidR="00964461">
        <w:t xml:space="preserve"> building types from MasControl3 for the unitary commercial air-cooled air conditioning measures (</w:t>
      </w:r>
      <w:r w:rsidR="009A79CC">
        <w:t xml:space="preserve">NE-HVAC-airAC-SpltPkg-65to134kBtuh-12p0eer-wPreEcono, NE-HVAC-airAC-SpltPkg-135to239kBtuh-12p0eer). </w:t>
      </w:r>
    </w:p>
    <w:p w14:paraId="3058428D" w14:textId="759D57ED" w:rsidR="0024435D" w:rsidRDefault="00AE3E7A" w:rsidP="009A79CC">
      <w:r>
        <w:t xml:space="preserve">PG&amp;E’s goal was to have an </w:t>
      </w:r>
      <w:r w:rsidR="00433596">
        <w:t>“</w:t>
      </w:r>
      <w:r>
        <w:t>Ex</w:t>
      </w:r>
      <w:r w:rsidR="00433596">
        <w:t>”</w:t>
      </w:r>
      <w:r>
        <w:t xml:space="preserve"> (</w:t>
      </w:r>
      <w:r w:rsidR="00433596">
        <w:t>a DEER abbreviation for “existing</w:t>
      </w:r>
      <w:r w:rsidR="00D37585">
        <w:t xml:space="preserve"> median,</w:t>
      </w:r>
      <w:r w:rsidR="00433596">
        <w:t xml:space="preserve">” used </w:t>
      </w:r>
      <w:r>
        <w:t>for normal replacement</w:t>
      </w:r>
      <w:r w:rsidR="00433596">
        <w:t xml:space="preserve"> projects</w:t>
      </w:r>
      <w:r>
        <w:t xml:space="preserve">) and a New (for new construction) vintage. </w:t>
      </w:r>
      <w:r w:rsidR="001267B2">
        <w:t xml:space="preserve">PG&amp;E </w:t>
      </w:r>
      <w:r w:rsidR="003E0AD6">
        <w:t>used the DEER2020 commercial building stock data provided by the CPUC to generate both the Ex vintage and Com building types.</w:t>
      </w:r>
      <w:r w:rsidR="00AF03B6">
        <w:rPr>
          <w:rStyle w:val="FootnoteReference"/>
        </w:rPr>
        <w:footnoteReference w:id="3"/>
      </w:r>
      <w:r w:rsidR="003E0AD6">
        <w:t xml:space="preserve"> </w:t>
      </w:r>
      <w:r w:rsidR="00A2799A">
        <w:t xml:space="preserve">Building types and vintages are shown in </w:t>
      </w:r>
      <w:r w:rsidR="00EB2057">
        <w:t>the two tables below</w:t>
      </w:r>
      <w:r w:rsidR="0082584B">
        <w:t>.</w:t>
      </w:r>
      <w:r w:rsidR="00564E1A">
        <w:t xml:space="preserve"> </w:t>
      </w:r>
      <w:r w:rsidR="002A001D">
        <w:t xml:space="preserve">The table below </w:t>
      </w:r>
      <w:r w:rsidR="00564E1A">
        <w:t>shows the rolled up vintages in the workpaper.</w:t>
      </w:r>
      <w:r w:rsidR="0082584B">
        <w:t xml:space="preserve"> </w:t>
      </w:r>
      <w:r w:rsidR="00A04089">
        <w:t xml:space="preserve">Ex is a weighted average of four vintages: 2003, 2007, 2011, and 2015. </w:t>
      </w:r>
      <w:r>
        <w:t>MasControl3 only outputted the “sizing” INP files for the</w:t>
      </w:r>
      <w:r w:rsidR="00A04089">
        <w:t xml:space="preserve"> “New” vintage </w:t>
      </w:r>
      <w:r>
        <w:t xml:space="preserve">and therefore New </w:t>
      </w:r>
      <w:r w:rsidR="00A04089">
        <w:t xml:space="preserve">was unable to be modeled by </w:t>
      </w:r>
      <w:r w:rsidR="001267B2">
        <w:t>PG&amp;E</w:t>
      </w:r>
      <w:r w:rsidR="00A04089">
        <w:t xml:space="preserve">. Therefore, </w:t>
      </w:r>
      <w:r w:rsidR="001267B2">
        <w:t xml:space="preserve">PG&amp;E </w:t>
      </w:r>
      <w:r w:rsidR="00A04089">
        <w:t xml:space="preserve">used the 2020 vintage as a replacement for “New” to be used for New Construction projects. </w:t>
      </w:r>
    </w:p>
    <w:p w14:paraId="014F39BE" w14:textId="5F8627E6" w:rsidR="00124363" w:rsidRDefault="00124363" w:rsidP="00305AF3">
      <w:pPr>
        <w:pStyle w:val="Caption"/>
      </w:pPr>
      <w:r>
        <w:t>Building Types in Workpaper</w:t>
      </w:r>
    </w:p>
    <w:tbl>
      <w:tblPr>
        <w:tblW w:w="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900"/>
        <w:gridCol w:w="3420"/>
      </w:tblGrid>
      <w:tr w:rsidR="00E65539" w:rsidRPr="00E15255" w14:paraId="2355D208" w14:textId="4227E0E7" w:rsidTr="005820CD">
        <w:trPr>
          <w:trHeight w:val="300"/>
          <w:jc w:val="center"/>
        </w:trPr>
        <w:tc>
          <w:tcPr>
            <w:tcW w:w="890" w:type="dxa"/>
            <w:shd w:val="clear" w:color="auto" w:fill="F2F2F2" w:themeFill="background1" w:themeFillShade="F2"/>
          </w:tcPr>
          <w:p w14:paraId="29A94BB2" w14:textId="52800A53" w:rsidR="00E65539" w:rsidRPr="00E15255" w:rsidRDefault="00E65539" w:rsidP="00E65539">
            <w:pPr>
              <w:spacing w:after="0" w:line="240" w:lineRule="auto"/>
              <w:rPr>
                <w:rFonts w:ascii="Calibri" w:eastAsia="Times New Roman" w:hAnsi="Calibri" w:cs="Calibri"/>
                <w:b/>
                <w:color w:val="000000"/>
                <w:sz w:val="20"/>
                <w:szCs w:val="20"/>
              </w:rPr>
            </w:pPr>
            <w:r w:rsidRPr="00E15255">
              <w:rPr>
                <w:rFonts w:ascii="Calibri" w:eastAsia="Times New Roman" w:hAnsi="Calibri" w:cs="Calibri"/>
                <w:b/>
                <w:color w:val="000000"/>
                <w:sz w:val="20"/>
                <w:szCs w:val="20"/>
              </w:rPr>
              <w:t>No.</w:t>
            </w:r>
          </w:p>
        </w:tc>
        <w:tc>
          <w:tcPr>
            <w:tcW w:w="900" w:type="dxa"/>
            <w:shd w:val="clear" w:color="auto" w:fill="F2F2F2" w:themeFill="background1" w:themeFillShade="F2"/>
            <w:vAlign w:val="bottom"/>
          </w:tcPr>
          <w:p w14:paraId="2DF10FB4" w14:textId="1B7E8E79" w:rsidR="00E65539" w:rsidRPr="00E15255" w:rsidRDefault="00E65539" w:rsidP="00E65539">
            <w:pPr>
              <w:spacing w:after="0" w:line="240" w:lineRule="auto"/>
              <w:rPr>
                <w:rFonts w:ascii="Calibri" w:eastAsia="Times New Roman" w:hAnsi="Calibri" w:cs="Calibri"/>
                <w:b/>
                <w:color w:val="000000"/>
                <w:sz w:val="20"/>
                <w:szCs w:val="20"/>
              </w:rPr>
            </w:pPr>
            <w:r w:rsidRPr="00E15255">
              <w:rPr>
                <w:rFonts w:ascii="Calibri" w:eastAsia="Times New Roman" w:hAnsi="Calibri" w:cs="Calibri"/>
                <w:b/>
                <w:color w:val="000000"/>
                <w:sz w:val="20"/>
                <w:szCs w:val="20"/>
              </w:rPr>
              <w:t>Code</w:t>
            </w:r>
          </w:p>
        </w:tc>
        <w:tc>
          <w:tcPr>
            <w:tcW w:w="3420" w:type="dxa"/>
            <w:shd w:val="clear" w:color="auto" w:fill="F2F2F2" w:themeFill="background1" w:themeFillShade="F2"/>
            <w:vAlign w:val="bottom"/>
          </w:tcPr>
          <w:p w14:paraId="13F42ABC" w14:textId="612C868E" w:rsidR="00E65539" w:rsidRPr="00E15255" w:rsidRDefault="00E65539" w:rsidP="00E65539">
            <w:pPr>
              <w:spacing w:after="0" w:line="240" w:lineRule="auto"/>
              <w:rPr>
                <w:rFonts w:ascii="Calibri" w:eastAsia="Times New Roman" w:hAnsi="Calibri" w:cs="Calibri"/>
                <w:b/>
                <w:color w:val="000000"/>
                <w:sz w:val="20"/>
                <w:szCs w:val="20"/>
              </w:rPr>
            </w:pPr>
            <w:r w:rsidRPr="00E15255">
              <w:rPr>
                <w:rFonts w:ascii="Calibri" w:eastAsia="Times New Roman" w:hAnsi="Calibri" w:cs="Calibri"/>
                <w:b/>
                <w:color w:val="000000"/>
                <w:sz w:val="20"/>
                <w:szCs w:val="20"/>
              </w:rPr>
              <w:t>Description</w:t>
            </w:r>
          </w:p>
        </w:tc>
      </w:tr>
      <w:tr w:rsidR="00E65539" w:rsidRPr="00E15255" w14:paraId="3DAD8C18" w14:textId="0A05D08A" w:rsidTr="005820CD">
        <w:trPr>
          <w:trHeight w:val="300"/>
          <w:jc w:val="center"/>
        </w:trPr>
        <w:tc>
          <w:tcPr>
            <w:tcW w:w="890" w:type="dxa"/>
          </w:tcPr>
          <w:p w14:paraId="7DECD48F" w14:textId="1C45A70D"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w:t>
            </w:r>
          </w:p>
        </w:tc>
        <w:tc>
          <w:tcPr>
            <w:tcW w:w="900" w:type="dxa"/>
            <w:vAlign w:val="bottom"/>
          </w:tcPr>
          <w:p w14:paraId="4E8C7253" w14:textId="0432E42F" w:rsidR="00E65539" w:rsidRPr="00E15255" w:rsidRDefault="00E65539" w:rsidP="00E65539">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Asm</w:t>
            </w:r>
            <w:proofErr w:type="spellEnd"/>
          </w:p>
        </w:tc>
        <w:tc>
          <w:tcPr>
            <w:tcW w:w="3420" w:type="dxa"/>
            <w:vAlign w:val="bottom"/>
          </w:tcPr>
          <w:p w14:paraId="7D0AB855" w14:textId="2F689673"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Assembly</w:t>
            </w:r>
          </w:p>
        </w:tc>
      </w:tr>
      <w:tr w:rsidR="00E65539" w:rsidRPr="00E15255" w14:paraId="5933F92F" w14:textId="42ED694D" w:rsidTr="005820CD">
        <w:trPr>
          <w:trHeight w:val="300"/>
          <w:jc w:val="center"/>
        </w:trPr>
        <w:tc>
          <w:tcPr>
            <w:tcW w:w="890" w:type="dxa"/>
          </w:tcPr>
          <w:p w14:paraId="739913C8" w14:textId="37265EFC"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2</w:t>
            </w:r>
          </w:p>
        </w:tc>
        <w:tc>
          <w:tcPr>
            <w:tcW w:w="900" w:type="dxa"/>
            <w:vAlign w:val="bottom"/>
          </w:tcPr>
          <w:p w14:paraId="269462F7" w14:textId="37E72614"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Com</w:t>
            </w:r>
          </w:p>
        </w:tc>
        <w:tc>
          <w:tcPr>
            <w:tcW w:w="3420" w:type="dxa"/>
            <w:vAlign w:val="bottom"/>
          </w:tcPr>
          <w:p w14:paraId="25A55B53" w14:textId="41A238E5"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Commercial</w:t>
            </w:r>
          </w:p>
        </w:tc>
      </w:tr>
      <w:tr w:rsidR="00E65539" w:rsidRPr="00E15255" w14:paraId="58274B68" w14:textId="3D24B409" w:rsidTr="005820CD">
        <w:trPr>
          <w:trHeight w:val="300"/>
          <w:jc w:val="center"/>
        </w:trPr>
        <w:tc>
          <w:tcPr>
            <w:tcW w:w="890" w:type="dxa"/>
          </w:tcPr>
          <w:p w14:paraId="4B1097D1" w14:textId="5616CB67"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3</w:t>
            </w:r>
          </w:p>
        </w:tc>
        <w:tc>
          <w:tcPr>
            <w:tcW w:w="900" w:type="dxa"/>
            <w:vAlign w:val="bottom"/>
          </w:tcPr>
          <w:p w14:paraId="384247BA" w14:textId="076D8AE7"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ECC</w:t>
            </w:r>
          </w:p>
        </w:tc>
        <w:tc>
          <w:tcPr>
            <w:tcW w:w="3420" w:type="dxa"/>
            <w:vAlign w:val="bottom"/>
          </w:tcPr>
          <w:p w14:paraId="61C68502" w14:textId="10766E01"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Education - Community College</w:t>
            </w:r>
          </w:p>
        </w:tc>
      </w:tr>
      <w:tr w:rsidR="00E65539" w:rsidRPr="00E15255" w14:paraId="5B1AAB37" w14:textId="6FC912A1" w:rsidTr="005820CD">
        <w:trPr>
          <w:trHeight w:val="300"/>
          <w:jc w:val="center"/>
        </w:trPr>
        <w:tc>
          <w:tcPr>
            <w:tcW w:w="890" w:type="dxa"/>
          </w:tcPr>
          <w:p w14:paraId="62B46C61" w14:textId="438610CD"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4</w:t>
            </w:r>
          </w:p>
        </w:tc>
        <w:tc>
          <w:tcPr>
            <w:tcW w:w="900" w:type="dxa"/>
            <w:vAlign w:val="bottom"/>
          </w:tcPr>
          <w:p w14:paraId="73FE5770" w14:textId="2A66C4AD" w:rsidR="00E65539" w:rsidRPr="00E15255" w:rsidRDefault="00E65539" w:rsidP="00E65539">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EPr</w:t>
            </w:r>
            <w:proofErr w:type="spellEnd"/>
          </w:p>
        </w:tc>
        <w:tc>
          <w:tcPr>
            <w:tcW w:w="3420" w:type="dxa"/>
            <w:vAlign w:val="bottom"/>
          </w:tcPr>
          <w:p w14:paraId="7F6D5B45" w14:textId="4393F00C"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Education - Primary School</w:t>
            </w:r>
          </w:p>
        </w:tc>
      </w:tr>
      <w:tr w:rsidR="00E65539" w:rsidRPr="00E15255" w14:paraId="62BA7612" w14:textId="1C3D2020" w:rsidTr="005820CD">
        <w:trPr>
          <w:trHeight w:val="300"/>
          <w:jc w:val="center"/>
        </w:trPr>
        <w:tc>
          <w:tcPr>
            <w:tcW w:w="890" w:type="dxa"/>
          </w:tcPr>
          <w:p w14:paraId="4FB44A6C" w14:textId="093F4EE9"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5</w:t>
            </w:r>
          </w:p>
        </w:tc>
        <w:tc>
          <w:tcPr>
            <w:tcW w:w="900" w:type="dxa"/>
            <w:vAlign w:val="bottom"/>
          </w:tcPr>
          <w:p w14:paraId="16F1BD8A" w14:textId="1D6CD5FA"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ERC</w:t>
            </w:r>
          </w:p>
        </w:tc>
        <w:tc>
          <w:tcPr>
            <w:tcW w:w="3420" w:type="dxa"/>
            <w:vAlign w:val="bottom"/>
          </w:tcPr>
          <w:p w14:paraId="5301279B" w14:textId="73599496"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Education - Relocatable Classroom</w:t>
            </w:r>
          </w:p>
        </w:tc>
      </w:tr>
      <w:tr w:rsidR="00E65539" w:rsidRPr="00E15255" w14:paraId="62184354" w14:textId="39C96D3E" w:rsidTr="005820CD">
        <w:trPr>
          <w:trHeight w:val="300"/>
          <w:jc w:val="center"/>
        </w:trPr>
        <w:tc>
          <w:tcPr>
            <w:tcW w:w="890" w:type="dxa"/>
          </w:tcPr>
          <w:p w14:paraId="2C0A8815" w14:textId="5CC2EA3A"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6</w:t>
            </w:r>
          </w:p>
        </w:tc>
        <w:tc>
          <w:tcPr>
            <w:tcW w:w="900" w:type="dxa"/>
            <w:vAlign w:val="bottom"/>
          </w:tcPr>
          <w:p w14:paraId="7151210B" w14:textId="4EA6243F" w:rsidR="00E65539" w:rsidRPr="00E15255" w:rsidRDefault="00E65539" w:rsidP="00E65539">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ESe</w:t>
            </w:r>
            <w:proofErr w:type="spellEnd"/>
          </w:p>
        </w:tc>
        <w:tc>
          <w:tcPr>
            <w:tcW w:w="3420" w:type="dxa"/>
            <w:vAlign w:val="bottom"/>
          </w:tcPr>
          <w:p w14:paraId="506D8F1E" w14:textId="56C95223"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Education - Secondary School</w:t>
            </w:r>
          </w:p>
        </w:tc>
      </w:tr>
      <w:tr w:rsidR="00E65539" w:rsidRPr="00E15255" w14:paraId="110ADB46" w14:textId="2179BD57" w:rsidTr="005820CD">
        <w:trPr>
          <w:trHeight w:val="300"/>
          <w:jc w:val="center"/>
        </w:trPr>
        <w:tc>
          <w:tcPr>
            <w:tcW w:w="890" w:type="dxa"/>
          </w:tcPr>
          <w:p w14:paraId="1DA9CF7D" w14:textId="3CA0AC01" w:rsidR="00E65539" w:rsidRPr="00E15255" w:rsidRDefault="00E65539" w:rsidP="00E65539">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7</w:t>
            </w:r>
          </w:p>
        </w:tc>
        <w:tc>
          <w:tcPr>
            <w:tcW w:w="900" w:type="dxa"/>
            <w:vAlign w:val="bottom"/>
          </w:tcPr>
          <w:p w14:paraId="3DBF5C17" w14:textId="0460ECF9" w:rsidR="00E65539" w:rsidRPr="00E15255" w:rsidRDefault="00E65539" w:rsidP="00E65539">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EUn</w:t>
            </w:r>
            <w:proofErr w:type="spellEnd"/>
          </w:p>
        </w:tc>
        <w:tc>
          <w:tcPr>
            <w:tcW w:w="3420" w:type="dxa"/>
            <w:vAlign w:val="bottom"/>
          </w:tcPr>
          <w:p w14:paraId="713CB725" w14:textId="156FC149" w:rsidR="00E65539" w:rsidRPr="00E15255" w:rsidRDefault="00E65539" w:rsidP="00E65539">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Education - University</w:t>
            </w:r>
          </w:p>
        </w:tc>
      </w:tr>
      <w:tr w:rsidR="006E09FA" w:rsidRPr="00E15255" w14:paraId="7A9C0240" w14:textId="77777777" w:rsidTr="005820CD">
        <w:trPr>
          <w:trHeight w:val="300"/>
          <w:jc w:val="center"/>
        </w:trPr>
        <w:tc>
          <w:tcPr>
            <w:tcW w:w="890" w:type="dxa"/>
          </w:tcPr>
          <w:p w14:paraId="01E2361D" w14:textId="197F0810"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8</w:t>
            </w:r>
          </w:p>
        </w:tc>
        <w:tc>
          <w:tcPr>
            <w:tcW w:w="900" w:type="dxa"/>
            <w:vAlign w:val="bottom"/>
          </w:tcPr>
          <w:p w14:paraId="5E42B446" w14:textId="5CD28227" w:rsidR="006E09FA" w:rsidRPr="00E15255" w:rsidRDefault="006E09FA" w:rsidP="006E09FA">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Gro</w:t>
            </w:r>
          </w:p>
        </w:tc>
        <w:tc>
          <w:tcPr>
            <w:tcW w:w="3420" w:type="dxa"/>
            <w:vAlign w:val="bottom"/>
          </w:tcPr>
          <w:p w14:paraId="400AD50C" w14:textId="38458734" w:rsidR="006E09FA" w:rsidRPr="00E15255" w:rsidRDefault="006E09FA" w:rsidP="006E09FA">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Grocery</w:t>
            </w:r>
          </w:p>
        </w:tc>
      </w:tr>
      <w:tr w:rsidR="006E09FA" w:rsidRPr="00E15255" w14:paraId="32182F23" w14:textId="7572D8CF" w:rsidTr="005820CD">
        <w:trPr>
          <w:trHeight w:val="300"/>
          <w:jc w:val="center"/>
        </w:trPr>
        <w:tc>
          <w:tcPr>
            <w:tcW w:w="890" w:type="dxa"/>
          </w:tcPr>
          <w:p w14:paraId="3E023A5D" w14:textId="28DC555B"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9</w:t>
            </w:r>
          </w:p>
        </w:tc>
        <w:tc>
          <w:tcPr>
            <w:tcW w:w="900" w:type="dxa"/>
            <w:vAlign w:val="bottom"/>
          </w:tcPr>
          <w:p w14:paraId="71F24BA9" w14:textId="7B56C32A"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Hsp</w:t>
            </w:r>
            <w:proofErr w:type="spellEnd"/>
          </w:p>
        </w:tc>
        <w:tc>
          <w:tcPr>
            <w:tcW w:w="3420" w:type="dxa"/>
            <w:vAlign w:val="bottom"/>
          </w:tcPr>
          <w:p w14:paraId="774D81BC" w14:textId="4A8A248F"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Health/Medical - Hospital</w:t>
            </w:r>
          </w:p>
        </w:tc>
      </w:tr>
      <w:tr w:rsidR="006E09FA" w:rsidRPr="00E15255" w14:paraId="05574705" w14:textId="2BAF67D7" w:rsidTr="005820CD">
        <w:trPr>
          <w:trHeight w:val="300"/>
          <w:jc w:val="center"/>
        </w:trPr>
        <w:tc>
          <w:tcPr>
            <w:tcW w:w="890" w:type="dxa"/>
          </w:tcPr>
          <w:p w14:paraId="074D460D" w14:textId="27C35116"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10</w:t>
            </w:r>
          </w:p>
        </w:tc>
        <w:tc>
          <w:tcPr>
            <w:tcW w:w="900" w:type="dxa"/>
            <w:vAlign w:val="bottom"/>
          </w:tcPr>
          <w:p w14:paraId="38414A6C" w14:textId="30A956FE"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Htl</w:t>
            </w:r>
            <w:proofErr w:type="spellEnd"/>
          </w:p>
        </w:tc>
        <w:tc>
          <w:tcPr>
            <w:tcW w:w="3420" w:type="dxa"/>
            <w:vAlign w:val="bottom"/>
          </w:tcPr>
          <w:p w14:paraId="3BD0D6B2" w14:textId="6B7B2E54"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Lodging - Hotel</w:t>
            </w:r>
          </w:p>
        </w:tc>
      </w:tr>
      <w:tr w:rsidR="006E09FA" w:rsidRPr="00E15255" w14:paraId="6F3164BC" w14:textId="4B753427" w:rsidTr="005820CD">
        <w:trPr>
          <w:trHeight w:val="300"/>
          <w:jc w:val="center"/>
        </w:trPr>
        <w:tc>
          <w:tcPr>
            <w:tcW w:w="890" w:type="dxa"/>
          </w:tcPr>
          <w:p w14:paraId="205323F5" w14:textId="0B0A8858"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11</w:t>
            </w:r>
          </w:p>
        </w:tc>
        <w:tc>
          <w:tcPr>
            <w:tcW w:w="900" w:type="dxa"/>
            <w:vAlign w:val="bottom"/>
          </w:tcPr>
          <w:p w14:paraId="21C6A389" w14:textId="6FAD4778"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MBT</w:t>
            </w:r>
          </w:p>
        </w:tc>
        <w:tc>
          <w:tcPr>
            <w:tcW w:w="3420" w:type="dxa"/>
            <w:vAlign w:val="bottom"/>
          </w:tcPr>
          <w:p w14:paraId="5C7C73D1" w14:textId="659BC9A4"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Manufacturing Biotech</w:t>
            </w:r>
          </w:p>
        </w:tc>
      </w:tr>
      <w:tr w:rsidR="006E09FA" w:rsidRPr="00E15255" w14:paraId="2CF056EC" w14:textId="499F540C" w:rsidTr="005820CD">
        <w:trPr>
          <w:trHeight w:val="300"/>
          <w:jc w:val="center"/>
        </w:trPr>
        <w:tc>
          <w:tcPr>
            <w:tcW w:w="890" w:type="dxa"/>
          </w:tcPr>
          <w:p w14:paraId="33DD5B79" w14:textId="2E1D5928"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12</w:t>
            </w:r>
          </w:p>
        </w:tc>
        <w:tc>
          <w:tcPr>
            <w:tcW w:w="900" w:type="dxa"/>
            <w:vAlign w:val="bottom"/>
          </w:tcPr>
          <w:p w14:paraId="57AA730B" w14:textId="24938CF2"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MLI</w:t>
            </w:r>
          </w:p>
        </w:tc>
        <w:tc>
          <w:tcPr>
            <w:tcW w:w="3420" w:type="dxa"/>
            <w:vAlign w:val="bottom"/>
          </w:tcPr>
          <w:p w14:paraId="410C4317" w14:textId="4B92D6C3"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Manufacturing Light Industrial</w:t>
            </w:r>
          </w:p>
        </w:tc>
      </w:tr>
      <w:tr w:rsidR="006E09FA" w:rsidRPr="00E15255" w14:paraId="6DBF80AB" w14:textId="38D1250F" w:rsidTr="005820CD">
        <w:trPr>
          <w:trHeight w:val="300"/>
          <w:jc w:val="center"/>
        </w:trPr>
        <w:tc>
          <w:tcPr>
            <w:tcW w:w="890" w:type="dxa"/>
          </w:tcPr>
          <w:p w14:paraId="17C41021" w14:textId="36F22E6C"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13</w:t>
            </w:r>
          </w:p>
        </w:tc>
        <w:tc>
          <w:tcPr>
            <w:tcW w:w="900" w:type="dxa"/>
            <w:vAlign w:val="bottom"/>
          </w:tcPr>
          <w:p w14:paraId="76AD7A5C" w14:textId="5B45CF2E"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Mtl</w:t>
            </w:r>
            <w:proofErr w:type="spellEnd"/>
          </w:p>
        </w:tc>
        <w:tc>
          <w:tcPr>
            <w:tcW w:w="3420" w:type="dxa"/>
            <w:vAlign w:val="bottom"/>
          </w:tcPr>
          <w:p w14:paraId="783C23A3" w14:textId="2029F779"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Lodging - Motel</w:t>
            </w:r>
          </w:p>
        </w:tc>
      </w:tr>
      <w:tr w:rsidR="006E09FA" w:rsidRPr="00E15255" w14:paraId="3155B3DC" w14:textId="4D5552FE" w:rsidTr="005820CD">
        <w:trPr>
          <w:trHeight w:val="300"/>
          <w:jc w:val="center"/>
        </w:trPr>
        <w:tc>
          <w:tcPr>
            <w:tcW w:w="890" w:type="dxa"/>
          </w:tcPr>
          <w:p w14:paraId="6B1EC15C" w14:textId="03EBA561"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14</w:t>
            </w:r>
          </w:p>
        </w:tc>
        <w:tc>
          <w:tcPr>
            <w:tcW w:w="900" w:type="dxa"/>
            <w:vAlign w:val="bottom"/>
          </w:tcPr>
          <w:p w14:paraId="713F5F9D" w14:textId="050795AF"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Nrs</w:t>
            </w:r>
            <w:proofErr w:type="spellEnd"/>
          </w:p>
        </w:tc>
        <w:tc>
          <w:tcPr>
            <w:tcW w:w="3420" w:type="dxa"/>
            <w:vAlign w:val="bottom"/>
          </w:tcPr>
          <w:p w14:paraId="2743FF13" w14:textId="0F05FAF2"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Health/Medical - Nursing Home</w:t>
            </w:r>
          </w:p>
        </w:tc>
      </w:tr>
      <w:tr w:rsidR="006E09FA" w:rsidRPr="00E15255" w14:paraId="07CC9AC0" w14:textId="6E609361" w:rsidTr="005820CD">
        <w:trPr>
          <w:trHeight w:val="300"/>
          <w:jc w:val="center"/>
        </w:trPr>
        <w:tc>
          <w:tcPr>
            <w:tcW w:w="890" w:type="dxa"/>
          </w:tcPr>
          <w:p w14:paraId="3C35DB6D" w14:textId="023419F0"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lastRenderedPageBreak/>
              <w:t>15</w:t>
            </w:r>
          </w:p>
        </w:tc>
        <w:tc>
          <w:tcPr>
            <w:tcW w:w="900" w:type="dxa"/>
            <w:vAlign w:val="bottom"/>
          </w:tcPr>
          <w:p w14:paraId="0B5CBDCE" w14:textId="7378DB5F"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OfL</w:t>
            </w:r>
            <w:proofErr w:type="spellEnd"/>
          </w:p>
        </w:tc>
        <w:tc>
          <w:tcPr>
            <w:tcW w:w="3420" w:type="dxa"/>
            <w:vAlign w:val="bottom"/>
          </w:tcPr>
          <w:p w14:paraId="7FEA3C82" w14:textId="7E84B3F5"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Office - Large</w:t>
            </w:r>
          </w:p>
        </w:tc>
      </w:tr>
      <w:tr w:rsidR="006E09FA" w:rsidRPr="00E15255" w14:paraId="2772992C" w14:textId="29B2E022" w:rsidTr="005820CD">
        <w:trPr>
          <w:trHeight w:val="300"/>
          <w:jc w:val="center"/>
        </w:trPr>
        <w:tc>
          <w:tcPr>
            <w:tcW w:w="890" w:type="dxa"/>
          </w:tcPr>
          <w:p w14:paraId="348D642F" w14:textId="23D3B94C"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16</w:t>
            </w:r>
          </w:p>
        </w:tc>
        <w:tc>
          <w:tcPr>
            <w:tcW w:w="900" w:type="dxa"/>
            <w:vAlign w:val="bottom"/>
          </w:tcPr>
          <w:p w14:paraId="679DCD16" w14:textId="43F8C64C"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OfS</w:t>
            </w:r>
            <w:proofErr w:type="spellEnd"/>
          </w:p>
        </w:tc>
        <w:tc>
          <w:tcPr>
            <w:tcW w:w="3420" w:type="dxa"/>
            <w:vAlign w:val="bottom"/>
          </w:tcPr>
          <w:p w14:paraId="2BD1A726" w14:textId="39DC3B09"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Office - Small</w:t>
            </w:r>
          </w:p>
        </w:tc>
      </w:tr>
      <w:tr w:rsidR="006E09FA" w:rsidRPr="00E15255" w14:paraId="725A421B" w14:textId="0462F57D" w:rsidTr="005820CD">
        <w:trPr>
          <w:trHeight w:val="300"/>
          <w:jc w:val="center"/>
        </w:trPr>
        <w:tc>
          <w:tcPr>
            <w:tcW w:w="890" w:type="dxa"/>
          </w:tcPr>
          <w:p w14:paraId="25A38B7E" w14:textId="0C78596E"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17</w:t>
            </w:r>
          </w:p>
        </w:tc>
        <w:tc>
          <w:tcPr>
            <w:tcW w:w="900" w:type="dxa"/>
            <w:vAlign w:val="bottom"/>
          </w:tcPr>
          <w:p w14:paraId="7A206CF9" w14:textId="50D1918C"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RFF</w:t>
            </w:r>
          </w:p>
        </w:tc>
        <w:tc>
          <w:tcPr>
            <w:tcW w:w="3420" w:type="dxa"/>
            <w:vAlign w:val="bottom"/>
          </w:tcPr>
          <w:p w14:paraId="49018444" w14:textId="12C99A6E"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Restaurant - Fast-Food</w:t>
            </w:r>
          </w:p>
        </w:tc>
      </w:tr>
      <w:tr w:rsidR="006E09FA" w:rsidRPr="00E15255" w14:paraId="5F4850F8" w14:textId="6CE2B93A" w:rsidTr="005820CD">
        <w:trPr>
          <w:trHeight w:val="300"/>
          <w:jc w:val="center"/>
        </w:trPr>
        <w:tc>
          <w:tcPr>
            <w:tcW w:w="890" w:type="dxa"/>
          </w:tcPr>
          <w:p w14:paraId="2B2F6DD0" w14:textId="000B79A7"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18</w:t>
            </w:r>
          </w:p>
        </w:tc>
        <w:tc>
          <w:tcPr>
            <w:tcW w:w="900" w:type="dxa"/>
            <w:vAlign w:val="bottom"/>
          </w:tcPr>
          <w:p w14:paraId="4D304EAE" w14:textId="5B361705"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RSD</w:t>
            </w:r>
          </w:p>
        </w:tc>
        <w:tc>
          <w:tcPr>
            <w:tcW w:w="3420" w:type="dxa"/>
            <w:vAlign w:val="bottom"/>
          </w:tcPr>
          <w:p w14:paraId="51475615" w14:textId="451E0956"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Restaurant - Sit-Down</w:t>
            </w:r>
          </w:p>
        </w:tc>
      </w:tr>
      <w:tr w:rsidR="006E09FA" w:rsidRPr="00E15255" w14:paraId="3E3A5ED3" w14:textId="108C4BFA" w:rsidTr="005820CD">
        <w:trPr>
          <w:trHeight w:val="300"/>
          <w:jc w:val="center"/>
        </w:trPr>
        <w:tc>
          <w:tcPr>
            <w:tcW w:w="890" w:type="dxa"/>
          </w:tcPr>
          <w:p w14:paraId="3F0F83CD" w14:textId="5346A0FB"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19</w:t>
            </w:r>
          </w:p>
        </w:tc>
        <w:tc>
          <w:tcPr>
            <w:tcW w:w="900" w:type="dxa"/>
            <w:vAlign w:val="bottom"/>
          </w:tcPr>
          <w:p w14:paraId="74D8DB4E" w14:textId="2C58FF03"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Rt3</w:t>
            </w:r>
          </w:p>
        </w:tc>
        <w:tc>
          <w:tcPr>
            <w:tcW w:w="3420" w:type="dxa"/>
            <w:vAlign w:val="bottom"/>
          </w:tcPr>
          <w:p w14:paraId="3E62465B" w14:textId="6D3BD69A"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Retail - Multistory Large</w:t>
            </w:r>
          </w:p>
        </w:tc>
      </w:tr>
      <w:tr w:rsidR="006E09FA" w:rsidRPr="00E15255" w14:paraId="459F2212" w14:textId="770A63A5" w:rsidTr="005820CD">
        <w:trPr>
          <w:trHeight w:val="300"/>
          <w:jc w:val="center"/>
        </w:trPr>
        <w:tc>
          <w:tcPr>
            <w:tcW w:w="890" w:type="dxa"/>
          </w:tcPr>
          <w:p w14:paraId="248C3E9A" w14:textId="579AA88E"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20</w:t>
            </w:r>
          </w:p>
        </w:tc>
        <w:tc>
          <w:tcPr>
            <w:tcW w:w="900" w:type="dxa"/>
            <w:vAlign w:val="bottom"/>
          </w:tcPr>
          <w:p w14:paraId="26E4B605" w14:textId="2BA4BAD9"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RtL</w:t>
            </w:r>
            <w:proofErr w:type="spellEnd"/>
          </w:p>
        </w:tc>
        <w:tc>
          <w:tcPr>
            <w:tcW w:w="3420" w:type="dxa"/>
            <w:vAlign w:val="bottom"/>
          </w:tcPr>
          <w:p w14:paraId="2F279F88" w14:textId="69A0D5B2"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Retail - Single-Story Large</w:t>
            </w:r>
          </w:p>
        </w:tc>
      </w:tr>
      <w:tr w:rsidR="006E09FA" w:rsidRPr="00E15255" w14:paraId="2FDA085D" w14:textId="11BB5D84" w:rsidTr="005820CD">
        <w:trPr>
          <w:trHeight w:val="300"/>
          <w:jc w:val="center"/>
        </w:trPr>
        <w:tc>
          <w:tcPr>
            <w:tcW w:w="890" w:type="dxa"/>
          </w:tcPr>
          <w:p w14:paraId="449A3921" w14:textId="63414239" w:rsidR="006E09FA" w:rsidRPr="00E15255" w:rsidRDefault="006E09FA" w:rsidP="006E09FA">
            <w:pPr>
              <w:spacing w:after="0" w:line="240" w:lineRule="auto"/>
              <w:jc w:val="center"/>
              <w:rPr>
                <w:rFonts w:ascii="Calibri" w:eastAsia="Times New Roman" w:hAnsi="Calibri" w:cs="Calibri"/>
                <w:color w:val="000000"/>
                <w:sz w:val="20"/>
                <w:szCs w:val="20"/>
              </w:rPr>
            </w:pPr>
            <w:r w:rsidRPr="00E15255">
              <w:rPr>
                <w:rFonts w:ascii="Calibri" w:eastAsia="Times New Roman" w:hAnsi="Calibri" w:cs="Calibri"/>
                <w:color w:val="000000"/>
                <w:sz w:val="20"/>
                <w:szCs w:val="20"/>
              </w:rPr>
              <w:t>21</w:t>
            </w:r>
          </w:p>
        </w:tc>
        <w:tc>
          <w:tcPr>
            <w:tcW w:w="900" w:type="dxa"/>
            <w:vAlign w:val="bottom"/>
          </w:tcPr>
          <w:p w14:paraId="486196FD" w14:textId="5A32F6B6"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RtS</w:t>
            </w:r>
            <w:proofErr w:type="spellEnd"/>
          </w:p>
        </w:tc>
        <w:tc>
          <w:tcPr>
            <w:tcW w:w="3420" w:type="dxa"/>
            <w:vAlign w:val="bottom"/>
          </w:tcPr>
          <w:p w14:paraId="62EA3097" w14:textId="702F9748"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Retail - Small</w:t>
            </w:r>
          </w:p>
        </w:tc>
      </w:tr>
      <w:tr w:rsidR="006E09FA" w:rsidRPr="00E15255" w14:paraId="01453899" w14:textId="6EA2B715" w:rsidTr="005820CD">
        <w:trPr>
          <w:trHeight w:val="300"/>
          <w:jc w:val="center"/>
        </w:trPr>
        <w:tc>
          <w:tcPr>
            <w:tcW w:w="890" w:type="dxa"/>
          </w:tcPr>
          <w:p w14:paraId="56EAFFED" w14:textId="59968176" w:rsidR="006E09FA" w:rsidRPr="00E15255" w:rsidRDefault="006E09FA" w:rsidP="006E09FA">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22</w:t>
            </w:r>
          </w:p>
        </w:tc>
        <w:tc>
          <w:tcPr>
            <w:tcW w:w="900" w:type="dxa"/>
            <w:vAlign w:val="bottom"/>
          </w:tcPr>
          <w:p w14:paraId="1B9033AA" w14:textId="6CCB85F6" w:rsidR="006E09FA" w:rsidRPr="00E15255" w:rsidRDefault="006E09FA" w:rsidP="006E09FA">
            <w:pPr>
              <w:spacing w:after="0" w:line="240" w:lineRule="auto"/>
              <w:rPr>
                <w:rFonts w:ascii="Calibri" w:eastAsia="Times New Roman" w:hAnsi="Calibri" w:cs="Calibri"/>
                <w:color w:val="000000"/>
                <w:sz w:val="20"/>
                <w:szCs w:val="20"/>
              </w:rPr>
            </w:pPr>
            <w:proofErr w:type="spellStart"/>
            <w:r w:rsidRPr="00E15255">
              <w:rPr>
                <w:rFonts w:ascii="Calibri" w:eastAsia="Times New Roman" w:hAnsi="Calibri" w:cs="Calibri"/>
                <w:color w:val="000000"/>
                <w:sz w:val="20"/>
                <w:szCs w:val="20"/>
              </w:rPr>
              <w:t>SCn</w:t>
            </w:r>
            <w:proofErr w:type="spellEnd"/>
          </w:p>
        </w:tc>
        <w:tc>
          <w:tcPr>
            <w:tcW w:w="3420" w:type="dxa"/>
            <w:vAlign w:val="bottom"/>
          </w:tcPr>
          <w:p w14:paraId="061AC5EC" w14:textId="56DF2248" w:rsidR="006E09FA" w:rsidRPr="00E15255" w:rsidRDefault="006E09FA" w:rsidP="006E09FA">
            <w:pPr>
              <w:spacing w:after="0" w:line="240" w:lineRule="auto"/>
              <w:rPr>
                <w:rFonts w:ascii="Calibri" w:eastAsia="Times New Roman" w:hAnsi="Calibri" w:cs="Calibri"/>
                <w:color w:val="000000"/>
                <w:sz w:val="20"/>
                <w:szCs w:val="20"/>
              </w:rPr>
            </w:pPr>
            <w:r w:rsidRPr="00E15255">
              <w:rPr>
                <w:rFonts w:ascii="Calibri" w:eastAsia="Times New Roman" w:hAnsi="Calibri" w:cs="Calibri"/>
                <w:color w:val="000000"/>
                <w:sz w:val="20"/>
                <w:szCs w:val="20"/>
              </w:rPr>
              <w:t>Storage - Conditioned</w:t>
            </w:r>
          </w:p>
        </w:tc>
      </w:tr>
      <w:tr w:rsidR="006E09FA" w:rsidRPr="00E15255" w14:paraId="796AECA9" w14:textId="77777777" w:rsidTr="005820CD">
        <w:trPr>
          <w:trHeight w:val="300"/>
          <w:jc w:val="center"/>
        </w:trPr>
        <w:tc>
          <w:tcPr>
            <w:tcW w:w="890" w:type="dxa"/>
          </w:tcPr>
          <w:p w14:paraId="13042DFC" w14:textId="310452D2" w:rsidR="006E09FA" w:rsidRPr="00E15255" w:rsidRDefault="006E09FA" w:rsidP="006E09FA">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23</w:t>
            </w:r>
          </w:p>
        </w:tc>
        <w:tc>
          <w:tcPr>
            <w:tcW w:w="900" w:type="dxa"/>
            <w:vAlign w:val="bottom"/>
          </w:tcPr>
          <w:p w14:paraId="2264D366" w14:textId="24E26A1C" w:rsidR="006E09FA" w:rsidRPr="00E15255" w:rsidRDefault="006E09FA" w:rsidP="006E09FA">
            <w:pPr>
              <w:spacing w:after="0" w:line="240" w:lineRule="auto"/>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WRf</w:t>
            </w:r>
            <w:proofErr w:type="spellEnd"/>
          </w:p>
        </w:tc>
        <w:tc>
          <w:tcPr>
            <w:tcW w:w="3420" w:type="dxa"/>
            <w:vAlign w:val="bottom"/>
          </w:tcPr>
          <w:p w14:paraId="110EA209" w14:textId="07D53EFF" w:rsidR="006E09FA" w:rsidRPr="00E15255" w:rsidRDefault="006E09FA" w:rsidP="006E09FA">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Refrigerated Warehouse</w:t>
            </w:r>
          </w:p>
        </w:tc>
      </w:tr>
    </w:tbl>
    <w:p w14:paraId="6346DEE2" w14:textId="29DE1836" w:rsidR="00124363" w:rsidRDefault="00124363" w:rsidP="00305AF3">
      <w:pPr>
        <w:pStyle w:val="Caption"/>
      </w:pPr>
      <w:r>
        <w:t>Building Vintages Modeled</w:t>
      </w:r>
    </w:p>
    <w:tbl>
      <w:tblPr>
        <w:tblW w:w="1920" w:type="dxa"/>
        <w:jc w:val="center"/>
        <w:tblLook w:val="04A0" w:firstRow="1" w:lastRow="0" w:firstColumn="1" w:lastColumn="0" w:noHBand="0" w:noVBand="1"/>
      </w:tblPr>
      <w:tblGrid>
        <w:gridCol w:w="960"/>
        <w:gridCol w:w="960"/>
      </w:tblGrid>
      <w:tr w:rsidR="0024435D" w:rsidRPr="00E15255" w14:paraId="52EB363E" w14:textId="77777777" w:rsidTr="005820CD">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84AB44" w14:textId="77777777" w:rsidR="0024435D" w:rsidRPr="00E15255" w:rsidRDefault="0024435D" w:rsidP="006B2DA7">
            <w:pPr>
              <w:spacing w:after="0" w:line="240" w:lineRule="auto"/>
              <w:rPr>
                <w:rFonts w:ascii="Calibri" w:eastAsia="Times New Roman" w:hAnsi="Calibri" w:cs="Calibri"/>
                <w:b/>
                <w:color w:val="000000"/>
                <w:sz w:val="20"/>
              </w:rPr>
            </w:pPr>
            <w:r w:rsidRPr="00E15255">
              <w:rPr>
                <w:rFonts w:ascii="Calibri" w:eastAsia="Times New Roman" w:hAnsi="Calibri" w:cs="Calibri"/>
                <w:b/>
                <w:color w:val="000000"/>
                <w:sz w:val="20"/>
              </w:rPr>
              <w:t>No.</w:t>
            </w:r>
          </w:p>
        </w:tc>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9AB2545" w14:textId="77777777" w:rsidR="0024435D" w:rsidRPr="00E15255" w:rsidRDefault="0024435D" w:rsidP="006B2DA7">
            <w:pPr>
              <w:spacing w:after="0" w:line="240" w:lineRule="auto"/>
              <w:rPr>
                <w:rFonts w:ascii="Calibri" w:eastAsia="Times New Roman" w:hAnsi="Calibri" w:cs="Calibri"/>
                <w:b/>
                <w:color w:val="000000"/>
                <w:sz w:val="20"/>
              </w:rPr>
            </w:pPr>
            <w:r w:rsidRPr="00E15255">
              <w:rPr>
                <w:rFonts w:ascii="Calibri" w:eastAsia="Times New Roman" w:hAnsi="Calibri" w:cs="Calibri"/>
                <w:b/>
                <w:color w:val="000000"/>
                <w:sz w:val="20"/>
              </w:rPr>
              <w:t>Vintage</w:t>
            </w:r>
          </w:p>
        </w:tc>
      </w:tr>
      <w:tr w:rsidR="0024435D" w:rsidRPr="00E15255" w14:paraId="0803136C" w14:textId="77777777"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56E1D015" w14:textId="70F9E2E3" w:rsidR="0024435D" w:rsidRPr="00E15255" w:rsidRDefault="003E0AD6"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1</w:t>
            </w:r>
          </w:p>
        </w:tc>
        <w:tc>
          <w:tcPr>
            <w:tcW w:w="960" w:type="dxa"/>
            <w:tcBorders>
              <w:top w:val="nil"/>
              <w:left w:val="single" w:sz="4" w:space="0" w:color="auto"/>
              <w:bottom w:val="single" w:sz="4" w:space="0" w:color="auto"/>
              <w:right w:val="single" w:sz="4" w:space="0" w:color="auto"/>
            </w:tcBorders>
            <w:vAlign w:val="center"/>
          </w:tcPr>
          <w:p w14:paraId="2FF88A73" w14:textId="41765B84" w:rsidR="0024435D" w:rsidRPr="00E15255" w:rsidRDefault="0024435D"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2003</w:t>
            </w:r>
            <w:r w:rsidR="00342371" w:rsidRPr="00E15255">
              <w:rPr>
                <w:rFonts w:ascii="Calibri" w:eastAsia="Times New Roman" w:hAnsi="Calibri" w:cs="Calibri"/>
                <w:color w:val="000000"/>
                <w:sz w:val="20"/>
                <w:vertAlign w:val="superscript"/>
              </w:rPr>
              <w:t>a</w:t>
            </w:r>
          </w:p>
        </w:tc>
      </w:tr>
      <w:tr w:rsidR="0024435D" w:rsidRPr="00E15255" w14:paraId="4932A0D6" w14:textId="77777777"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790CCB81" w14:textId="7981C01E" w:rsidR="0024435D" w:rsidRPr="00E15255" w:rsidRDefault="003E0AD6"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w:t>
            </w:r>
          </w:p>
        </w:tc>
        <w:tc>
          <w:tcPr>
            <w:tcW w:w="960" w:type="dxa"/>
            <w:tcBorders>
              <w:top w:val="nil"/>
              <w:left w:val="single" w:sz="4" w:space="0" w:color="auto"/>
              <w:bottom w:val="single" w:sz="4" w:space="0" w:color="auto"/>
              <w:right w:val="single" w:sz="4" w:space="0" w:color="auto"/>
            </w:tcBorders>
            <w:vAlign w:val="center"/>
          </w:tcPr>
          <w:p w14:paraId="7AE819AF" w14:textId="3C5AAC23" w:rsidR="0024435D" w:rsidRPr="00E15255" w:rsidRDefault="0024435D"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2007</w:t>
            </w:r>
            <w:r w:rsidR="00342371" w:rsidRPr="00E15255">
              <w:rPr>
                <w:rFonts w:ascii="Calibri" w:eastAsia="Times New Roman" w:hAnsi="Calibri" w:cs="Calibri"/>
                <w:color w:val="000000"/>
                <w:sz w:val="20"/>
                <w:vertAlign w:val="superscript"/>
              </w:rPr>
              <w:t>a</w:t>
            </w:r>
          </w:p>
        </w:tc>
      </w:tr>
      <w:tr w:rsidR="0024435D" w:rsidRPr="00E15255" w14:paraId="5C2176AC" w14:textId="77777777"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36511ACB" w14:textId="7A757F28" w:rsidR="0024435D" w:rsidRPr="00E15255" w:rsidRDefault="003E0AD6"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3</w:t>
            </w:r>
          </w:p>
        </w:tc>
        <w:tc>
          <w:tcPr>
            <w:tcW w:w="960" w:type="dxa"/>
            <w:tcBorders>
              <w:top w:val="nil"/>
              <w:left w:val="single" w:sz="4" w:space="0" w:color="auto"/>
              <w:bottom w:val="single" w:sz="4" w:space="0" w:color="auto"/>
              <w:right w:val="single" w:sz="4" w:space="0" w:color="auto"/>
            </w:tcBorders>
            <w:vAlign w:val="center"/>
          </w:tcPr>
          <w:p w14:paraId="607DAA8C" w14:textId="0AF13E72" w:rsidR="0024435D" w:rsidRPr="00E15255" w:rsidRDefault="0024435D"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2011</w:t>
            </w:r>
            <w:r w:rsidR="00342371" w:rsidRPr="00E15255">
              <w:rPr>
                <w:rFonts w:ascii="Calibri" w:eastAsia="Times New Roman" w:hAnsi="Calibri" w:cs="Calibri"/>
                <w:color w:val="000000"/>
                <w:sz w:val="20"/>
                <w:vertAlign w:val="superscript"/>
              </w:rPr>
              <w:t>a</w:t>
            </w:r>
          </w:p>
        </w:tc>
      </w:tr>
      <w:tr w:rsidR="0024435D" w:rsidRPr="00E15255" w14:paraId="7E173B04" w14:textId="77777777"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0AD27E41" w14:textId="69CCA647" w:rsidR="0024435D" w:rsidRPr="00E15255" w:rsidRDefault="003E0AD6"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4</w:t>
            </w:r>
          </w:p>
        </w:tc>
        <w:tc>
          <w:tcPr>
            <w:tcW w:w="960" w:type="dxa"/>
            <w:tcBorders>
              <w:top w:val="nil"/>
              <w:left w:val="single" w:sz="4" w:space="0" w:color="auto"/>
              <w:bottom w:val="single" w:sz="4" w:space="0" w:color="auto"/>
              <w:right w:val="single" w:sz="4" w:space="0" w:color="auto"/>
            </w:tcBorders>
            <w:vAlign w:val="center"/>
          </w:tcPr>
          <w:p w14:paraId="484227F4" w14:textId="63F556E8" w:rsidR="0024435D" w:rsidRPr="00E15255" w:rsidRDefault="0024435D"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2015</w:t>
            </w:r>
            <w:r w:rsidR="00342371" w:rsidRPr="00E15255">
              <w:rPr>
                <w:rFonts w:ascii="Calibri" w:eastAsia="Times New Roman" w:hAnsi="Calibri" w:cs="Calibri"/>
                <w:color w:val="000000"/>
                <w:sz w:val="20"/>
                <w:vertAlign w:val="superscript"/>
              </w:rPr>
              <w:t>a</w:t>
            </w:r>
          </w:p>
        </w:tc>
      </w:tr>
      <w:tr w:rsidR="0024435D" w:rsidRPr="00E15255" w14:paraId="0863FD58" w14:textId="77777777"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3D18F93B" w14:textId="7260AD0C" w:rsidR="0024435D" w:rsidRPr="00E15255" w:rsidRDefault="003E0AD6"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5</w:t>
            </w:r>
          </w:p>
        </w:tc>
        <w:tc>
          <w:tcPr>
            <w:tcW w:w="960" w:type="dxa"/>
            <w:tcBorders>
              <w:top w:val="nil"/>
              <w:left w:val="single" w:sz="4" w:space="0" w:color="auto"/>
              <w:bottom w:val="single" w:sz="4" w:space="0" w:color="auto"/>
              <w:right w:val="single" w:sz="4" w:space="0" w:color="auto"/>
            </w:tcBorders>
            <w:vAlign w:val="center"/>
          </w:tcPr>
          <w:p w14:paraId="021E2D78" w14:textId="00C1EF68" w:rsidR="0024435D" w:rsidRPr="00E15255" w:rsidRDefault="0024435D"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2020</w:t>
            </w:r>
            <w:r w:rsidR="00342371" w:rsidRPr="00E15255">
              <w:rPr>
                <w:rFonts w:ascii="Calibri" w:eastAsia="Times New Roman" w:hAnsi="Calibri" w:cs="Calibri"/>
                <w:color w:val="000000"/>
                <w:sz w:val="20"/>
                <w:vertAlign w:val="superscript"/>
              </w:rPr>
              <w:t>b</w:t>
            </w:r>
          </w:p>
        </w:tc>
      </w:tr>
    </w:tbl>
    <w:p w14:paraId="11187312" w14:textId="2B0A2A6C" w:rsidR="0024435D" w:rsidRPr="00342371" w:rsidRDefault="00342371" w:rsidP="0001349B">
      <w:pPr>
        <w:spacing w:before="0" w:after="0"/>
        <w:rPr>
          <w:sz w:val="20"/>
        </w:rPr>
      </w:pPr>
      <w:r w:rsidRPr="00342371">
        <w:rPr>
          <w:sz w:val="20"/>
          <w:vertAlign w:val="superscript"/>
        </w:rPr>
        <w:t>a</w:t>
      </w:r>
      <w:r w:rsidRPr="00342371">
        <w:rPr>
          <w:sz w:val="20"/>
        </w:rPr>
        <w:t xml:space="preserve"> Rolled up to “Ex” vintage</w:t>
      </w:r>
    </w:p>
    <w:p w14:paraId="400A2935" w14:textId="502F41A2" w:rsidR="00342371" w:rsidRDefault="00342371" w:rsidP="0001349B">
      <w:pPr>
        <w:spacing w:before="0" w:after="0"/>
        <w:rPr>
          <w:sz w:val="20"/>
        </w:rPr>
      </w:pPr>
      <w:r w:rsidRPr="00342371">
        <w:rPr>
          <w:sz w:val="20"/>
          <w:vertAlign w:val="superscript"/>
        </w:rPr>
        <w:t>b</w:t>
      </w:r>
      <w:r w:rsidRPr="00342371">
        <w:rPr>
          <w:sz w:val="20"/>
        </w:rPr>
        <w:t xml:space="preserve"> Used for new construction in place of “New” vintage</w:t>
      </w:r>
    </w:p>
    <w:p w14:paraId="3FF5BE97" w14:textId="77777777" w:rsidR="0001349B" w:rsidRPr="00342371" w:rsidRDefault="0001349B" w:rsidP="0001349B">
      <w:pPr>
        <w:spacing w:before="0" w:after="0"/>
        <w:rPr>
          <w:sz w:val="20"/>
        </w:rPr>
      </w:pPr>
    </w:p>
    <w:p w14:paraId="39C50ED6" w14:textId="31BB0ACF" w:rsidR="00124363" w:rsidRDefault="00124363" w:rsidP="00305AF3">
      <w:pPr>
        <w:pStyle w:val="Caption"/>
      </w:pPr>
      <w:r>
        <w:t>Building Vintages in Workpaper</w:t>
      </w:r>
    </w:p>
    <w:tbl>
      <w:tblPr>
        <w:tblW w:w="2880" w:type="dxa"/>
        <w:jc w:val="center"/>
        <w:tblLook w:val="04A0" w:firstRow="1" w:lastRow="0" w:firstColumn="1" w:lastColumn="0" w:noHBand="0" w:noVBand="1"/>
      </w:tblPr>
      <w:tblGrid>
        <w:gridCol w:w="960"/>
        <w:gridCol w:w="960"/>
        <w:gridCol w:w="960"/>
      </w:tblGrid>
      <w:tr w:rsidR="00E65539" w:rsidRPr="00E15255" w14:paraId="10BE1048" w14:textId="19DA54E0" w:rsidTr="005820CD">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E86175" w14:textId="77777777" w:rsidR="00E65539" w:rsidRPr="00E15255" w:rsidRDefault="00E65539" w:rsidP="006B2DA7">
            <w:pPr>
              <w:spacing w:after="0" w:line="240" w:lineRule="auto"/>
              <w:rPr>
                <w:rFonts w:ascii="Calibri" w:eastAsia="Times New Roman" w:hAnsi="Calibri" w:cs="Calibri"/>
                <w:b/>
                <w:color w:val="000000"/>
                <w:sz w:val="20"/>
              </w:rPr>
            </w:pPr>
            <w:r w:rsidRPr="00E15255">
              <w:rPr>
                <w:rFonts w:ascii="Calibri" w:eastAsia="Times New Roman" w:hAnsi="Calibri" w:cs="Calibri"/>
                <w:b/>
                <w:color w:val="000000"/>
                <w:sz w:val="20"/>
              </w:rPr>
              <w:t>No.</w:t>
            </w:r>
          </w:p>
        </w:tc>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6EF9899" w14:textId="77777777" w:rsidR="00E65539" w:rsidRPr="00E15255" w:rsidRDefault="00E65539" w:rsidP="006B2DA7">
            <w:pPr>
              <w:spacing w:after="0" w:line="240" w:lineRule="auto"/>
              <w:rPr>
                <w:rFonts w:ascii="Calibri" w:eastAsia="Times New Roman" w:hAnsi="Calibri" w:cs="Calibri"/>
                <w:b/>
                <w:color w:val="000000"/>
                <w:sz w:val="20"/>
              </w:rPr>
            </w:pPr>
            <w:r w:rsidRPr="00E15255">
              <w:rPr>
                <w:rFonts w:ascii="Calibri" w:eastAsia="Times New Roman" w:hAnsi="Calibri" w:cs="Calibri"/>
                <w:b/>
                <w:color w:val="000000"/>
                <w:sz w:val="20"/>
              </w:rPr>
              <w:t>Vintage</w:t>
            </w:r>
          </w:p>
        </w:tc>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F6DA15" w14:textId="503F499A" w:rsidR="00E65539" w:rsidRPr="00E15255" w:rsidRDefault="00E65539" w:rsidP="00E65539">
            <w:pPr>
              <w:spacing w:after="0" w:line="240" w:lineRule="auto"/>
              <w:jc w:val="center"/>
              <w:rPr>
                <w:rFonts w:ascii="Calibri" w:eastAsia="Times New Roman" w:hAnsi="Calibri" w:cs="Calibri"/>
                <w:b/>
                <w:color w:val="000000"/>
                <w:sz w:val="20"/>
              </w:rPr>
            </w:pPr>
            <w:r w:rsidRPr="00E15255">
              <w:rPr>
                <w:rFonts w:ascii="Calibri" w:eastAsia="Times New Roman" w:hAnsi="Calibri" w:cs="Calibri"/>
                <w:b/>
                <w:color w:val="000000"/>
                <w:sz w:val="20"/>
              </w:rPr>
              <w:t>MAT</w:t>
            </w:r>
          </w:p>
        </w:tc>
      </w:tr>
      <w:tr w:rsidR="00E65539" w:rsidRPr="00E15255" w14:paraId="15861656" w14:textId="04194720"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668366CE" w14:textId="77777777" w:rsidR="00E65539" w:rsidRPr="00E15255" w:rsidRDefault="00E65539"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1</w:t>
            </w:r>
          </w:p>
        </w:tc>
        <w:tc>
          <w:tcPr>
            <w:tcW w:w="960" w:type="dxa"/>
            <w:tcBorders>
              <w:top w:val="nil"/>
              <w:left w:val="single" w:sz="4" w:space="0" w:color="auto"/>
              <w:bottom w:val="single" w:sz="4" w:space="0" w:color="auto"/>
              <w:right w:val="single" w:sz="4" w:space="0" w:color="auto"/>
            </w:tcBorders>
            <w:vAlign w:val="center"/>
          </w:tcPr>
          <w:p w14:paraId="5A0BE612" w14:textId="6445CC83" w:rsidR="00E65539" w:rsidRPr="00E15255" w:rsidRDefault="00E65539"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Ex</w:t>
            </w:r>
          </w:p>
        </w:tc>
        <w:tc>
          <w:tcPr>
            <w:tcW w:w="960" w:type="dxa"/>
            <w:tcBorders>
              <w:top w:val="nil"/>
              <w:left w:val="single" w:sz="4" w:space="0" w:color="auto"/>
              <w:bottom w:val="single" w:sz="4" w:space="0" w:color="auto"/>
              <w:right w:val="single" w:sz="4" w:space="0" w:color="auto"/>
            </w:tcBorders>
          </w:tcPr>
          <w:p w14:paraId="58CA54E4" w14:textId="7F3D4C34" w:rsidR="00E65539" w:rsidRPr="00E15255" w:rsidRDefault="00E65539"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NR</w:t>
            </w:r>
          </w:p>
        </w:tc>
      </w:tr>
      <w:tr w:rsidR="00E65539" w:rsidRPr="00E15255" w14:paraId="1E419C8C" w14:textId="6527867E" w:rsidTr="005820CD">
        <w:trPr>
          <w:trHeight w:val="300"/>
          <w:jc w:val="center"/>
        </w:trPr>
        <w:tc>
          <w:tcPr>
            <w:tcW w:w="960" w:type="dxa"/>
            <w:tcBorders>
              <w:top w:val="nil"/>
              <w:left w:val="single" w:sz="4" w:space="0" w:color="auto"/>
              <w:bottom w:val="single" w:sz="4" w:space="0" w:color="auto"/>
              <w:right w:val="single" w:sz="4" w:space="0" w:color="auto"/>
            </w:tcBorders>
            <w:vAlign w:val="center"/>
          </w:tcPr>
          <w:p w14:paraId="541393E5" w14:textId="77777777" w:rsidR="00E65539" w:rsidRPr="00E15255" w:rsidRDefault="00E65539"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w:t>
            </w:r>
          </w:p>
        </w:tc>
        <w:tc>
          <w:tcPr>
            <w:tcW w:w="960" w:type="dxa"/>
            <w:tcBorders>
              <w:top w:val="nil"/>
              <w:left w:val="single" w:sz="4" w:space="0" w:color="auto"/>
              <w:bottom w:val="single" w:sz="4" w:space="0" w:color="auto"/>
              <w:right w:val="single" w:sz="4" w:space="0" w:color="auto"/>
            </w:tcBorders>
            <w:vAlign w:val="center"/>
          </w:tcPr>
          <w:p w14:paraId="0E1D89F1" w14:textId="4DE1F9F7" w:rsidR="00E65539" w:rsidRPr="00E15255" w:rsidRDefault="00E65539"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2020</w:t>
            </w:r>
          </w:p>
        </w:tc>
        <w:tc>
          <w:tcPr>
            <w:tcW w:w="960" w:type="dxa"/>
            <w:tcBorders>
              <w:top w:val="nil"/>
              <w:left w:val="single" w:sz="4" w:space="0" w:color="auto"/>
              <w:bottom w:val="single" w:sz="4" w:space="0" w:color="auto"/>
              <w:right w:val="single" w:sz="4" w:space="0" w:color="auto"/>
            </w:tcBorders>
          </w:tcPr>
          <w:p w14:paraId="385F7D8B" w14:textId="63BD984F" w:rsidR="00E65539" w:rsidRPr="00E15255" w:rsidRDefault="00E65539" w:rsidP="006B2DA7">
            <w:pPr>
              <w:spacing w:after="0" w:line="240" w:lineRule="auto"/>
              <w:jc w:val="center"/>
              <w:rPr>
                <w:rFonts w:ascii="Calibri" w:eastAsia="Times New Roman" w:hAnsi="Calibri" w:cs="Calibri"/>
                <w:color w:val="000000"/>
                <w:sz w:val="20"/>
              </w:rPr>
            </w:pPr>
            <w:r w:rsidRPr="00E15255">
              <w:rPr>
                <w:rFonts w:ascii="Calibri" w:eastAsia="Times New Roman" w:hAnsi="Calibri" w:cs="Calibri"/>
                <w:color w:val="000000"/>
                <w:sz w:val="20"/>
              </w:rPr>
              <w:t>NC</w:t>
            </w:r>
          </w:p>
        </w:tc>
      </w:tr>
    </w:tbl>
    <w:p w14:paraId="4F994465" w14:textId="77777777" w:rsidR="00077F56" w:rsidRPr="00571D95" w:rsidRDefault="00077F56" w:rsidP="006161A6"/>
    <w:p w14:paraId="1A3705F3" w14:textId="4BC0985D" w:rsidR="007B6A74" w:rsidRPr="004B06E3" w:rsidRDefault="00196649" w:rsidP="00154391">
      <w:pPr>
        <w:pStyle w:val="eTRMHeading5"/>
      </w:pPr>
      <w:r>
        <w:t>Eligible Climate Zones</w:t>
      </w:r>
    </w:p>
    <w:p w14:paraId="4A9FD22A" w14:textId="21E6FC4F" w:rsidR="004B6780" w:rsidRDefault="004B6780" w:rsidP="004B6780">
      <w:r>
        <w:t xml:space="preserve">This measure is applicable </w:t>
      </w:r>
      <w:r w:rsidR="0026110B">
        <w:t>in</w:t>
      </w:r>
      <w:r>
        <w:t xml:space="preserve"> </w:t>
      </w:r>
      <w:r w:rsidR="0026110B">
        <w:t>all</w:t>
      </w:r>
      <w:r w:rsidR="00A737BB">
        <w:t xml:space="preserve"> 16</w:t>
      </w:r>
      <w:r>
        <w:t xml:space="preserve"> California climate zones.</w:t>
      </w:r>
      <w:r w:rsidR="003E0AD6">
        <w:t xml:space="preserve"> PA-specific climate zone measure impacts were not created</w:t>
      </w:r>
      <w:r w:rsidR="00DD0EDE">
        <w:t xml:space="preserve"> (i.e., an “IOU” climate zone associated with a specific PA)</w:t>
      </w:r>
      <w:r w:rsidR="003E0AD6">
        <w:t xml:space="preserve">. </w:t>
      </w:r>
      <w:r w:rsidR="00DD0EDE">
        <w:t xml:space="preserve">For climate zones that cross PA territory boundaries (e.g., CZ05 or CZ13), the PA with the highest population was used as the PA for that climate zone. The full list of PA-CZ affiliations is shown in </w:t>
      </w:r>
      <w:r w:rsidR="009E4866">
        <w:fldChar w:fldCharType="begin"/>
      </w:r>
      <w:r w:rsidR="009E4866">
        <w:instrText xml:space="preserve"> REF _Ref17181031 \h </w:instrText>
      </w:r>
      <w:r w:rsidR="009E4866">
        <w:fldChar w:fldCharType="separate"/>
      </w:r>
      <w:r w:rsidR="008D3F1A">
        <w:t>the table below</w:t>
      </w:r>
      <w:r w:rsidR="009E4866">
        <w:fldChar w:fldCharType="end"/>
      </w:r>
      <w:r w:rsidR="00DD0EDE">
        <w:t xml:space="preserve">. </w:t>
      </w:r>
    </w:p>
    <w:p w14:paraId="5CE5D6A8" w14:textId="3A2A7001" w:rsidR="00124363" w:rsidRDefault="00124363" w:rsidP="00305AF3">
      <w:pPr>
        <w:pStyle w:val="Caption"/>
      </w:pPr>
      <w:r>
        <w:t>List of Primary PA by Climate Zone</w:t>
      </w:r>
    </w:p>
    <w:tbl>
      <w:tblPr>
        <w:tblW w:w="1920" w:type="dxa"/>
        <w:jc w:val="center"/>
        <w:tblLook w:val="04A0" w:firstRow="1" w:lastRow="0" w:firstColumn="1" w:lastColumn="0" w:noHBand="0" w:noVBand="1"/>
      </w:tblPr>
      <w:tblGrid>
        <w:gridCol w:w="960"/>
        <w:gridCol w:w="960"/>
      </w:tblGrid>
      <w:tr w:rsidR="00DD0EDE" w:rsidRPr="00DD0EDE" w14:paraId="549A6C9D" w14:textId="77777777" w:rsidTr="00DD0EDE">
        <w:trPr>
          <w:trHeight w:val="525"/>
          <w:jc w:val="center"/>
        </w:trPr>
        <w:tc>
          <w:tcPr>
            <w:tcW w:w="960"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7F24F851" w14:textId="77777777" w:rsidR="00DD0EDE" w:rsidRPr="00DD0EDE" w:rsidRDefault="00DD0EDE" w:rsidP="00DD0EDE">
            <w:pPr>
              <w:spacing w:before="0" w:after="0" w:line="240" w:lineRule="auto"/>
              <w:rPr>
                <w:rFonts w:eastAsia="Times New Roman" w:cs="Calibri Light"/>
                <w:b/>
                <w:bCs/>
                <w:color w:val="000000"/>
                <w:sz w:val="20"/>
                <w:szCs w:val="20"/>
              </w:rPr>
            </w:pPr>
            <w:r w:rsidRPr="00DD0EDE">
              <w:rPr>
                <w:rFonts w:eastAsia="Times New Roman" w:cs="Calibri Light"/>
                <w:b/>
                <w:bCs/>
                <w:color w:val="000000"/>
                <w:sz w:val="20"/>
                <w:szCs w:val="20"/>
              </w:rPr>
              <w:t>Climate Zone</w:t>
            </w:r>
          </w:p>
        </w:tc>
        <w:tc>
          <w:tcPr>
            <w:tcW w:w="960" w:type="dxa"/>
            <w:tcBorders>
              <w:top w:val="single" w:sz="8" w:space="0" w:color="auto"/>
              <w:left w:val="nil"/>
              <w:bottom w:val="single" w:sz="8" w:space="0" w:color="auto"/>
              <w:right w:val="single" w:sz="8" w:space="0" w:color="auto"/>
            </w:tcBorders>
            <w:shd w:val="clear" w:color="000000" w:fill="F2F2F2"/>
            <w:vAlign w:val="center"/>
            <w:hideMark/>
          </w:tcPr>
          <w:p w14:paraId="48573509" w14:textId="77777777" w:rsidR="00DD0EDE" w:rsidRPr="00DD0EDE" w:rsidRDefault="00DD0EDE" w:rsidP="00DD0EDE">
            <w:pPr>
              <w:spacing w:before="0" w:after="0" w:line="240" w:lineRule="auto"/>
              <w:rPr>
                <w:rFonts w:eastAsia="Times New Roman" w:cs="Calibri Light"/>
                <w:b/>
                <w:bCs/>
                <w:color w:val="000000"/>
                <w:sz w:val="20"/>
                <w:szCs w:val="20"/>
              </w:rPr>
            </w:pPr>
            <w:r w:rsidRPr="00DD0EDE">
              <w:rPr>
                <w:rFonts w:eastAsia="Times New Roman" w:cs="Calibri Light"/>
                <w:b/>
                <w:bCs/>
                <w:color w:val="000000"/>
                <w:sz w:val="20"/>
                <w:szCs w:val="20"/>
              </w:rPr>
              <w:t>IOU Source</w:t>
            </w:r>
          </w:p>
        </w:tc>
      </w:tr>
      <w:tr w:rsidR="00DD0EDE" w:rsidRPr="00DD0EDE" w14:paraId="612C0BDE"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4345B4C7"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CZ01</w:t>
            </w:r>
          </w:p>
        </w:tc>
        <w:tc>
          <w:tcPr>
            <w:tcW w:w="960" w:type="dxa"/>
            <w:tcBorders>
              <w:top w:val="nil"/>
              <w:left w:val="nil"/>
              <w:bottom w:val="single" w:sz="8" w:space="0" w:color="auto"/>
              <w:right w:val="single" w:sz="8" w:space="0" w:color="auto"/>
            </w:tcBorders>
            <w:shd w:val="clear" w:color="000000" w:fill="FFFFFF"/>
            <w:vAlign w:val="center"/>
            <w:hideMark/>
          </w:tcPr>
          <w:p w14:paraId="643505CA"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7BB00FAE"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71D03CA8"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CZ02</w:t>
            </w:r>
          </w:p>
        </w:tc>
        <w:tc>
          <w:tcPr>
            <w:tcW w:w="960" w:type="dxa"/>
            <w:tcBorders>
              <w:top w:val="nil"/>
              <w:left w:val="nil"/>
              <w:bottom w:val="single" w:sz="8" w:space="0" w:color="auto"/>
              <w:right w:val="single" w:sz="8" w:space="0" w:color="auto"/>
            </w:tcBorders>
            <w:shd w:val="clear" w:color="000000" w:fill="FFFFFF"/>
            <w:vAlign w:val="center"/>
            <w:hideMark/>
          </w:tcPr>
          <w:p w14:paraId="5CB3E048"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057026F5"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2C568B23"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CZ03</w:t>
            </w:r>
          </w:p>
        </w:tc>
        <w:tc>
          <w:tcPr>
            <w:tcW w:w="960" w:type="dxa"/>
            <w:tcBorders>
              <w:top w:val="nil"/>
              <w:left w:val="nil"/>
              <w:bottom w:val="single" w:sz="8" w:space="0" w:color="auto"/>
              <w:right w:val="single" w:sz="8" w:space="0" w:color="auto"/>
            </w:tcBorders>
            <w:shd w:val="clear" w:color="000000" w:fill="FFFFFF"/>
            <w:vAlign w:val="center"/>
            <w:hideMark/>
          </w:tcPr>
          <w:p w14:paraId="0F247A2F"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18A462FC"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3A933C3A"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lastRenderedPageBreak/>
              <w:t>CZ04</w:t>
            </w:r>
          </w:p>
        </w:tc>
        <w:tc>
          <w:tcPr>
            <w:tcW w:w="960" w:type="dxa"/>
            <w:tcBorders>
              <w:top w:val="nil"/>
              <w:left w:val="nil"/>
              <w:bottom w:val="single" w:sz="8" w:space="0" w:color="auto"/>
              <w:right w:val="single" w:sz="8" w:space="0" w:color="auto"/>
            </w:tcBorders>
            <w:shd w:val="clear" w:color="000000" w:fill="FFFFFF"/>
            <w:vAlign w:val="center"/>
            <w:hideMark/>
          </w:tcPr>
          <w:p w14:paraId="3D7A51E4"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77B4A445"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75761823"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CZ05</w:t>
            </w:r>
          </w:p>
        </w:tc>
        <w:tc>
          <w:tcPr>
            <w:tcW w:w="960" w:type="dxa"/>
            <w:tcBorders>
              <w:top w:val="nil"/>
              <w:left w:val="nil"/>
              <w:bottom w:val="single" w:sz="8" w:space="0" w:color="auto"/>
              <w:right w:val="single" w:sz="8" w:space="0" w:color="auto"/>
            </w:tcBorders>
            <w:shd w:val="clear" w:color="000000" w:fill="FFFFFF"/>
            <w:vAlign w:val="center"/>
            <w:hideMark/>
          </w:tcPr>
          <w:p w14:paraId="4E88F891"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497D43E0"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680EE3D9"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CZ06</w:t>
            </w:r>
          </w:p>
        </w:tc>
        <w:tc>
          <w:tcPr>
            <w:tcW w:w="960" w:type="dxa"/>
            <w:tcBorders>
              <w:top w:val="nil"/>
              <w:left w:val="nil"/>
              <w:bottom w:val="single" w:sz="8" w:space="0" w:color="auto"/>
              <w:right w:val="single" w:sz="8" w:space="0" w:color="auto"/>
            </w:tcBorders>
            <w:shd w:val="clear" w:color="000000" w:fill="FFFFFF"/>
            <w:vAlign w:val="center"/>
            <w:hideMark/>
          </w:tcPr>
          <w:p w14:paraId="1E47F48B"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r w:rsidR="00DD0EDE" w:rsidRPr="00DD0EDE" w14:paraId="164C9026"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65A1B7DF"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CZ07</w:t>
            </w:r>
          </w:p>
        </w:tc>
        <w:tc>
          <w:tcPr>
            <w:tcW w:w="960" w:type="dxa"/>
            <w:tcBorders>
              <w:top w:val="nil"/>
              <w:left w:val="nil"/>
              <w:bottom w:val="single" w:sz="8" w:space="0" w:color="auto"/>
              <w:right w:val="single" w:sz="8" w:space="0" w:color="auto"/>
            </w:tcBorders>
            <w:shd w:val="clear" w:color="000000" w:fill="FFFFFF"/>
            <w:vAlign w:val="center"/>
            <w:hideMark/>
          </w:tcPr>
          <w:p w14:paraId="0817DB81"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SDGE</w:t>
            </w:r>
          </w:p>
        </w:tc>
      </w:tr>
      <w:tr w:rsidR="00DD0EDE" w:rsidRPr="00DD0EDE" w14:paraId="2FFF14D6"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1242C2B2"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CZ08</w:t>
            </w:r>
          </w:p>
        </w:tc>
        <w:tc>
          <w:tcPr>
            <w:tcW w:w="960" w:type="dxa"/>
            <w:tcBorders>
              <w:top w:val="nil"/>
              <w:left w:val="nil"/>
              <w:bottom w:val="single" w:sz="8" w:space="0" w:color="auto"/>
              <w:right w:val="single" w:sz="8" w:space="0" w:color="auto"/>
            </w:tcBorders>
            <w:shd w:val="clear" w:color="000000" w:fill="FFFFFF"/>
            <w:vAlign w:val="center"/>
            <w:hideMark/>
          </w:tcPr>
          <w:p w14:paraId="2633E5AE"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r w:rsidR="00DD0EDE" w:rsidRPr="00DD0EDE" w14:paraId="60AF70E9"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67CF1A4D"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CZ09</w:t>
            </w:r>
          </w:p>
        </w:tc>
        <w:tc>
          <w:tcPr>
            <w:tcW w:w="960" w:type="dxa"/>
            <w:tcBorders>
              <w:top w:val="nil"/>
              <w:left w:val="nil"/>
              <w:bottom w:val="single" w:sz="8" w:space="0" w:color="auto"/>
              <w:right w:val="single" w:sz="8" w:space="0" w:color="auto"/>
            </w:tcBorders>
            <w:shd w:val="clear" w:color="000000" w:fill="FFFFFF"/>
            <w:vAlign w:val="center"/>
            <w:hideMark/>
          </w:tcPr>
          <w:p w14:paraId="0F30DD88"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r w:rsidR="00DD0EDE" w:rsidRPr="00DD0EDE" w14:paraId="79F03483"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458B97ED"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CZ10</w:t>
            </w:r>
          </w:p>
        </w:tc>
        <w:tc>
          <w:tcPr>
            <w:tcW w:w="960" w:type="dxa"/>
            <w:tcBorders>
              <w:top w:val="nil"/>
              <w:left w:val="nil"/>
              <w:bottom w:val="single" w:sz="8" w:space="0" w:color="auto"/>
              <w:right w:val="single" w:sz="8" w:space="0" w:color="auto"/>
            </w:tcBorders>
            <w:shd w:val="clear" w:color="000000" w:fill="FFFFFF"/>
            <w:vAlign w:val="center"/>
            <w:hideMark/>
          </w:tcPr>
          <w:p w14:paraId="17502D8D"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r w:rsidR="00DD0EDE" w:rsidRPr="00DD0EDE" w14:paraId="163E5A6C"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0F1B91EF"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CZ11</w:t>
            </w:r>
          </w:p>
        </w:tc>
        <w:tc>
          <w:tcPr>
            <w:tcW w:w="960" w:type="dxa"/>
            <w:tcBorders>
              <w:top w:val="nil"/>
              <w:left w:val="nil"/>
              <w:bottom w:val="single" w:sz="8" w:space="0" w:color="auto"/>
              <w:right w:val="single" w:sz="8" w:space="0" w:color="auto"/>
            </w:tcBorders>
            <w:shd w:val="clear" w:color="000000" w:fill="FFFFFF"/>
            <w:vAlign w:val="center"/>
            <w:hideMark/>
          </w:tcPr>
          <w:p w14:paraId="2FBA398B"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6269144C"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711F9B4D"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CZ12</w:t>
            </w:r>
          </w:p>
        </w:tc>
        <w:tc>
          <w:tcPr>
            <w:tcW w:w="960" w:type="dxa"/>
            <w:tcBorders>
              <w:top w:val="nil"/>
              <w:left w:val="nil"/>
              <w:bottom w:val="single" w:sz="8" w:space="0" w:color="auto"/>
              <w:right w:val="single" w:sz="8" w:space="0" w:color="auto"/>
            </w:tcBorders>
            <w:shd w:val="clear" w:color="000000" w:fill="FFFFFF"/>
            <w:vAlign w:val="center"/>
            <w:hideMark/>
          </w:tcPr>
          <w:p w14:paraId="6495D068"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7C41E9BE"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743CA4BD"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CZ13</w:t>
            </w:r>
          </w:p>
        </w:tc>
        <w:tc>
          <w:tcPr>
            <w:tcW w:w="960" w:type="dxa"/>
            <w:tcBorders>
              <w:top w:val="nil"/>
              <w:left w:val="nil"/>
              <w:bottom w:val="single" w:sz="8" w:space="0" w:color="auto"/>
              <w:right w:val="single" w:sz="8" w:space="0" w:color="auto"/>
            </w:tcBorders>
            <w:shd w:val="clear" w:color="000000" w:fill="FFFFFF"/>
            <w:vAlign w:val="center"/>
            <w:hideMark/>
          </w:tcPr>
          <w:p w14:paraId="5588CD89"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PGE</w:t>
            </w:r>
          </w:p>
        </w:tc>
      </w:tr>
      <w:tr w:rsidR="00DD0EDE" w:rsidRPr="00DD0EDE" w14:paraId="4F0BA99B"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07B10A39"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CZ14</w:t>
            </w:r>
          </w:p>
        </w:tc>
        <w:tc>
          <w:tcPr>
            <w:tcW w:w="960" w:type="dxa"/>
            <w:tcBorders>
              <w:top w:val="nil"/>
              <w:left w:val="nil"/>
              <w:bottom w:val="single" w:sz="8" w:space="0" w:color="auto"/>
              <w:right w:val="single" w:sz="8" w:space="0" w:color="auto"/>
            </w:tcBorders>
            <w:shd w:val="clear" w:color="000000" w:fill="FFFFFF"/>
            <w:vAlign w:val="center"/>
            <w:hideMark/>
          </w:tcPr>
          <w:p w14:paraId="2DE1EB46"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r w:rsidR="00DD0EDE" w:rsidRPr="00DD0EDE" w14:paraId="514BC0AE"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0D767C99"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CZ15</w:t>
            </w:r>
          </w:p>
        </w:tc>
        <w:tc>
          <w:tcPr>
            <w:tcW w:w="960" w:type="dxa"/>
            <w:tcBorders>
              <w:top w:val="nil"/>
              <w:left w:val="nil"/>
              <w:bottom w:val="single" w:sz="8" w:space="0" w:color="auto"/>
              <w:right w:val="single" w:sz="8" w:space="0" w:color="auto"/>
            </w:tcBorders>
            <w:shd w:val="clear" w:color="000000" w:fill="FFFFFF"/>
            <w:vAlign w:val="center"/>
            <w:hideMark/>
          </w:tcPr>
          <w:p w14:paraId="1596B288"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r w:rsidR="00DD0EDE" w:rsidRPr="00DD0EDE" w14:paraId="55360AE1" w14:textId="77777777" w:rsidTr="00DD0EDE">
        <w:trPr>
          <w:trHeight w:val="315"/>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622BB2AB"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CZ16</w:t>
            </w:r>
          </w:p>
        </w:tc>
        <w:tc>
          <w:tcPr>
            <w:tcW w:w="960" w:type="dxa"/>
            <w:tcBorders>
              <w:top w:val="nil"/>
              <w:left w:val="nil"/>
              <w:bottom w:val="single" w:sz="8" w:space="0" w:color="auto"/>
              <w:right w:val="single" w:sz="8" w:space="0" w:color="auto"/>
            </w:tcBorders>
            <w:shd w:val="clear" w:color="000000" w:fill="FFFFFF"/>
            <w:vAlign w:val="center"/>
            <w:hideMark/>
          </w:tcPr>
          <w:p w14:paraId="417233B2" w14:textId="77777777" w:rsidR="00DD0EDE" w:rsidRPr="00DD0EDE" w:rsidRDefault="00DD0EDE" w:rsidP="00DD0EDE">
            <w:pPr>
              <w:spacing w:before="0" w:after="0" w:line="240" w:lineRule="auto"/>
              <w:rPr>
                <w:rFonts w:eastAsia="Times New Roman" w:cs="Calibri Light"/>
                <w:color w:val="000000"/>
                <w:sz w:val="20"/>
                <w:szCs w:val="20"/>
              </w:rPr>
            </w:pPr>
            <w:r w:rsidRPr="00DD0EDE">
              <w:rPr>
                <w:rFonts w:eastAsia="Times New Roman" w:cs="Calibri Light"/>
                <w:color w:val="000000"/>
                <w:sz w:val="20"/>
                <w:szCs w:val="20"/>
              </w:rPr>
              <w:t>SCE</w:t>
            </w:r>
          </w:p>
        </w:tc>
      </w:tr>
    </w:tbl>
    <w:p w14:paraId="03516F5D" w14:textId="77777777" w:rsidR="00DD0EDE" w:rsidRDefault="00DD0EDE" w:rsidP="004B6780"/>
    <w:p w14:paraId="34FF761D" w14:textId="77777777" w:rsidR="006C41AD" w:rsidRPr="004B06E3" w:rsidRDefault="006C41AD" w:rsidP="004B06E3"/>
    <w:p w14:paraId="47630D60" w14:textId="77777777" w:rsidR="007D230B" w:rsidRPr="004B06E3" w:rsidRDefault="007D230B" w:rsidP="00462BB6">
      <w:pPr>
        <w:pStyle w:val="eTRMHeading3"/>
      </w:pPr>
      <w:bookmarkStart w:id="27" w:name="_Toc486490853"/>
      <w:bookmarkStart w:id="28" w:name="_Toc486580924"/>
      <w:bookmarkStart w:id="29" w:name="_Toc10539883"/>
      <w:r w:rsidRPr="004B06E3">
        <w:t>Program Exclusions</w:t>
      </w:r>
      <w:bookmarkEnd w:id="27"/>
      <w:bookmarkEnd w:id="28"/>
      <w:r w:rsidRPr="004B06E3">
        <w:t xml:space="preserve"> </w:t>
      </w:r>
      <w:bookmarkEnd w:id="29"/>
    </w:p>
    <w:p w14:paraId="61F27FBF" w14:textId="6C2F2320" w:rsidR="00DD0EDE" w:rsidRDefault="00DD0EDE" w:rsidP="00DD0EDE">
      <w:r>
        <w:t xml:space="preserve">Central </w:t>
      </w:r>
      <w:r w:rsidR="006E09FA">
        <w:t xml:space="preserve">chilled water hydronic </w:t>
      </w:r>
      <w:r>
        <w:t>systems and domestic hot water systems are not eligible.</w:t>
      </w:r>
    </w:p>
    <w:p w14:paraId="6450BF1F" w14:textId="77777777" w:rsidR="00DD0EDE" w:rsidRPr="00DD0EDE" w:rsidRDefault="00DD0EDE" w:rsidP="004B06E3">
      <w:pPr>
        <w:rPr>
          <w:rFonts w:cs="Calibri Light"/>
          <w:szCs w:val="22"/>
        </w:rPr>
      </w:pPr>
    </w:p>
    <w:p w14:paraId="655E299F" w14:textId="77777777" w:rsidR="007D230B" w:rsidRPr="004B06E3" w:rsidRDefault="007D230B" w:rsidP="00462BB6">
      <w:pPr>
        <w:pStyle w:val="eTRMHeading3"/>
      </w:pPr>
      <w:bookmarkStart w:id="30" w:name="_Toc486490854"/>
      <w:bookmarkStart w:id="31" w:name="_Toc486580925"/>
      <w:bookmarkStart w:id="32" w:name="_Toc10539884"/>
      <w:r w:rsidRPr="004B06E3">
        <w:t>Data Collection Requirements</w:t>
      </w:r>
      <w:bookmarkEnd w:id="30"/>
      <w:bookmarkEnd w:id="31"/>
      <w:bookmarkEnd w:id="32"/>
      <w:r w:rsidRPr="004B06E3">
        <w:t xml:space="preserve"> </w:t>
      </w:r>
    </w:p>
    <w:p w14:paraId="49298D4E" w14:textId="4F366D0D" w:rsidR="00750840" w:rsidRDefault="00190874" w:rsidP="004B06E3">
      <w:r>
        <w:t>Data collection requirements are to be determined.</w:t>
      </w:r>
    </w:p>
    <w:p w14:paraId="76025BBE" w14:textId="77777777" w:rsidR="00190874" w:rsidRPr="004B06E3" w:rsidRDefault="00190874" w:rsidP="004B06E3"/>
    <w:p w14:paraId="4891FCAB" w14:textId="77777777" w:rsidR="007D230B" w:rsidRPr="004B06E3" w:rsidRDefault="007D230B" w:rsidP="00462BB6">
      <w:pPr>
        <w:pStyle w:val="eTRMHeading3"/>
      </w:pPr>
      <w:bookmarkStart w:id="33" w:name="_Toc486490855"/>
      <w:bookmarkStart w:id="34" w:name="_Toc486580926"/>
      <w:bookmarkStart w:id="35" w:name="_Toc10539885"/>
      <w:r w:rsidRPr="004B06E3">
        <w:t>Use Category</w:t>
      </w:r>
      <w:bookmarkEnd w:id="33"/>
      <w:bookmarkEnd w:id="34"/>
      <w:bookmarkEnd w:id="35"/>
    </w:p>
    <w:p w14:paraId="13382FF9" w14:textId="18BD93C9" w:rsidR="004142EF" w:rsidRDefault="00DD0EDE" w:rsidP="004B06E3">
      <w:r w:rsidRPr="00EF0EDF">
        <w:t>HVAC</w:t>
      </w:r>
    </w:p>
    <w:p w14:paraId="69458728" w14:textId="77777777" w:rsidR="00132E1A" w:rsidRPr="004B06E3" w:rsidRDefault="00132E1A" w:rsidP="004B06E3"/>
    <w:p w14:paraId="4B62D367" w14:textId="370A839E" w:rsidR="007D230B" w:rsidRPr="004B06E3" w:rsidRDefault="007D230B" w:rsidP="00315810">
      <w:pPr>
        <w:pStyle w:val="eTRMHeading3"/>
      </w:pPr>
      <w:bookmarkStart w:id="36" w:name="_Toc486490857"/>
      <w:bookmarkStart w:id="37" w:name="_Toc486580928"/>
      <w:bookmarkStart w:id="38" w:name="_Toc10539886"/>
      <w:r w:rsidRPr="004B06E3">
        <w:t>Electric Savings</w:t>
      </w:r>
      <w:r w:rsidR="00245AFF" w:rsidRPr="004B06E3">
        <w:t xml:space="preserve"> (</w:t>
      </w:r>
      <w:r w:rsidR="00E14349" w:rsidRPr="001D5580">
        <w:rPr>
          <w:caps w:val="0"/>
        </w:rPr>
        <w:t>k</w:t>
      </w:r>
      <w:r w:rsidR="00245AFF" w:rsidRPr="001D5580">
        <w:rPr>
          <w:caps w:val="0"/>
        </w:rPr>
        <w:t>Wh</w:t>
      </w:r>
      <w:r w:rsidR="00245AFF" w:rsidRPr="004B06E3">
        <w:t>)</w:t>
      </w:r>
      <w:bookmarkEnd w:id="36"/>
      <w:bookmarkEnd w:id="37"/>
      <w:bookmarkEnd w:id="38"/>
    </w:p>
    <w:p w14:paraId="1D8C8AE9" w14:textId="77777777" w:rsidR="00424159" w:rsidRDefault="00424159" w:rsidP="00424159">
      <w:pPr>
        <w:pStyle w:val="eTRMHeading5"/>
      </w:pPr>
      <w:r>
        <w:t>Electric Energy Savings Calculations</w:t>
      </w:r>
    </w:p>
    <w:p w14:paraId="33B9E07E" w14:textId="0917B813" w:rsidR="00424159" w:rsidRDefault="00424159" w:rsidP="00424159">
      <w:r>
        <w:t>PG&amp;E extracted the relevant measures from MasControl3 and modified key input values in the measure case files to capture advanced controls. T</w:t>
      </w:r>
      <w:r w:rsidRPr="00953C3A">
        <w:t xml:space="preserve">he </w:t>
      </w:r>
      <w:r>
        <w:t>eQuest</w:t>
      </w:r>
      <w:r w:rsidRPr="00953C3A">
        <w:t xml:space="preserve"> parametric modeling tool </w:t>
      </w:r>
      <w:r>
        <w:t>was</w:t>
      </w:r>
      <w:r w:rsidRPr="00953C3A">
        <w:t xml:space="preserve"> used to perform the simulations necessary </w:t>
      </w:r>
      <w:r>
        <w:t xml:space="preserve">(outlined in </w:t>
      </w:r>
      <w:r w:rsidR="008D3F1A">
        <w:t>the table below</w:t>
      </w:r>
      <w:r>
        <w:t xml:space="preserve">) </w:t>
      </w:r>
      <w:r w:rsidRPr="00953C3A">
        <w:t xml:space="preserve">for calculating the measure savings estimates using </w:t>
      </w:r>
      <w:r>
        <w:t>manufacturer collected</w:t>
      </w:r>
      <w:r w:rsidRPr="00953C3A">
        <w:t xml:space="preserve"> performance maps. </w:t>
      </w:r>
    </w:p>
    <w:p w14:paraId="22BE0BE2" w14:textId="377EF125" w:rsidR="00485CAE" w:rsidRDefault="00485CAE" w:rsidP="00305AF3">
      <w:pPr>
        <w:pStyle w:val="Caption"/>
      </w:pPr>
      <w:r>
        <w:t>Summary of Parameters Modeled</w:t>
      </w:r>
    </w:p>
    <w:tbl>
      <w:tblPr>
        <w:tblW w:w="5215" w:type="dxa"/>
        <w:jc w:val="center"/>
        <w:tblLook w:val="04A0" w:firstRow="1" w:lastRow="0" w:firstColumn="1" w:lastColumn="0" w:noHBand="0" w:noVBand="1"/>
      </w:tblPr>
      <w:tblGrid>
        <w:gridCol w:w="2425"/>
        <w:gridCol w:w="2790"/>
      </w:tblGrid>
      <w:tr w:rsidR="00424159" w:rsidRPr="005820CD" w14:paraId="4214F049" w14:textId="77777777" w:rsidTr="009E6162">
        <w:trPr>
          <w:trHeight w:val="287"/>
          <w:jc w:val="center"/>
        </w:trPr>
        <w:tc>
          <w:tcPr>
            <w:tcW w:w="2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E76F8FC" w14:textId="77777777" w:rsidR="00424159" w:rsidRPr="005820CD" w:rsidRDefault="00424159" w:rsidP="009E6162">
            <w:pPr>
              <w:spacing w:before="0" w:after="0" w:line="240" w:lineRule="auto"/>
              <w:rPr>
                <w:rFonts w:eastAsia="Times New Roman" w:cs="Calibri Light"/>
                <w:b/>
                <w:bCs/>
                <w:color w:val="000000"/>
                <w:sz w:val="20"/>
                <w:szCs w:val="20"/>
              </w:rPr>
            </w:pPr>
            <w:r w:rsidRPr="005820CD">
              <w:rPr>
                <w:rFonts w:eastAsia="Times New Roman" w:cs="Calibri Light"/>
                <w:b/>
                <w:bCs/>
                <w:color w:val="000000"/>
                <w:sz w:val="20"/>
                <w:szCs w:val="20"/>
              </w:rPr>
              <w:t>Parameter</w:t>
            </w:r>
          </w:p>
        </w:tc>
        <w:tc>
          <w:tcPr>
            <w:tcW w:w="279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53A8BE0" w14:textId="77777777" w:rsidR="00424159" w:rsidRPr="005820CD" w:rsidRDefault="00424159" w:rsidP="009E6162">
            <w:pPr>
              <w:spacing w:before="0" w:after="0" w:line="240" w:lineRule="auto"/>
              <w:jc w:val="center"/>
              <w:rPr>
                <w:rFonts w:eastAsia="Times New Roman" w:cs="Calibri Light"/>
                <w:b/>
                <w:bCs/>
                <w:color w:val="000000"/>
                <w:sz w:val="20"/>
                <w:szCs w:val="20"/>
              </w:rPr>
            </w:pPr>
            <w:r w:rsidRPr="005820CD">
              <w:rPr>
                <w:rFonts w:eastAsia="Times New Roman" w:cs="Calibri Light"/>
                <w:b/>
                <w:bCs/>
                <w:color w:val="000000"/>
                <w:sz w:val="20"/>
                <w:szCs w:val="20"/>
              </w:rPr>
              <w:t>Quantity</w:t>
            </w:r>
          </w:p>
        </w:tc>
      </w:tr>
      <w:tr w:rsidR="00424159" w:rsidRPr="005820CD" w14:paraId="220B271A" w14:textId="77777777" w:rsidTr="009E6162">
        <w:trPr>
          <w:trHeight w:val="260"/>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14:paraId="3852E72D" w14:textId="77777777" w:rsidR="00424159" w:rsidRPr="005820CD" w:rsidRDefault="00424159" w:rsidP="009E6162">
            <w:pPr>
              <w:spacing w:before="0" w:after="0" w:line="240" w:lineRule="auto"/>
              <w:rPr>
                <w:rFonts w:eastAsia="Times New Roman" w:cs="Calibri Light"/>
                <w:color w:val="000000"/>
                <w:sz w:val="20"/>
                <w:szCs w:val="20"/>
              </w:rPr>
            </w:pPr>
            <w:r w:rsidRPr="005820CD">
              <w:rPr>
                <w:rFonts w:eastAsia="Times New Roman" w:cs="Calibri Light"/>
                <w:color w:val="000000"/>
                <w:sz w:val="20"/>
                <w:szCs w:val="20"/>
              </w:rPr>
              <w:t>Climate zones</w:t>
            </w:r>
          </w:p>
        </w:tc>
        <w:tc>
          <w:tcPr>
            <w:tcW w:w="2790" w:type="dxa"/>
            <w:tcBorders>
              <w:top w:val="nil"/>
              <w:left w:val="nil"/>
              <w:bottom w:val="single" w:sz="4" w:space="0" w:color="auto"/>
              <w:right w:val="single" w:sz="4" w:space="0" w:color="auto"/>
            </w:tcBorders>
            <w:shd w:val="clear" w:color="auto" w:fill="auto"/>
            <w:noWrap/>
            <w:vAlign w:val="center"/>
            <w:hideMark/>
          </w:tcPr>
          <w:p w14:paraId="5F7B8E33" w14:textId="77777777" w:rsidR="00424159" w:rsidRPr="005820CD" w:rsidRDefault="00424159" w:rsidP="009E6162">
            <w:pPr>
              <w:spacing w:before="0" w:after="0" w:line="240" w:lineRule="auto"/>
              <w:jc w:val="center"/>
              <w:rPr>
                <w:rFonts w:eastAsia="Times New Roman" w:cs="Calibri Light"/>
                <w:color w:val="000000"/>
                <w:sz w:val="20"/>
                <w:szCs w:val="20"/>
              </w:rPr>
            </w:pPr>
            <w:r w:rsidRPr="005820CD">
              <w:rPr>
                <w:rFonts w:eastAsia="Times New Roman" w:cs="Calibri Light"/>
                <w:color w:val="000000"/>
                <w:sz w:val="20"/>
                <w:szCs w:val="20"/>
              </w:rPr>
              <w:t>16</w:t>
            </w:r>
          </w:p>
        </w:tc>
      </w:tr>
      <w:tr w:rsidR="00424159" w:rsidRPr="005820CD" w14:paraId="124E6421" w14:textId="77777777" w:rsidTr="009E6162">
        <w:trPr>
          <w:trHeight w:val="260"/>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14:paraId="20E7CB7E" w14:textId="77777777" w:rsidR="00424159" w:rsidRPr="005820CD" w:rsidRDefault="00424159" w:rsidP="009E6162">
            <w:pPr>
              <w:spacing w:before="0" w:after="0" w:line="240" w:lineRule="auto"/>
              <w:rPr>
                <w:rFonts w:eastAsia="Times New Roman" w:cs="Calibri Light"/>
                <w:color w:val="000000"/>
                <w:sz w:val="20"/>
                <w:szCs w:val="20"/>
              </w:rPr>
            </w:pPr>
            <w:r w:rsidRPr="005820CD">
              <w:rPr>
                <w:rFonts w:eastAsia="Times New Roman" w:cs="Calibri Light"/>
                <w:color w:val="000000"/>
                <w:sz w:val="20"/>
                <w:szCs w:val="20"/>
              </w:rPr>
              <w:t>Building types</w:t>
            </w:r>
          </w:p>
        </w:tc>
        <w:tc>
          <w:tcPr>
            <w:tcW w:w="2790" w:type="dxa"/>
            <w:tcBorders>
              <w:top w:val="nil"/>
              <w:left w:val="nil"/>
              <w:bottom w:val="single" w:sz="4" w:space="0" w:color="auto"/>
              <w:right w:val="single" w:sz="4" w:space="0" w:color="auto"/>
            </w:tcBorders>
            <w:shd w:val="clear" w:color="auto" w:fill="auto"/>
            <w:noWrap/>
            <w:vAlign w:val="center"/>
            <w:hideMark/>
          </w:tcPr>
          <w:p w14:paraId="77765957" w14:textId="77777777" w:rsidR="00424159" w:rsidRPr="005820CD" w:rsidRDefault="00424159" w:rsidP="009E6162">
            <w:pPr>
              <w:spacing w:before="0" w:after="0" w:line="240" w:lineRule="auto"/>
              <w:jc w:val="center"/>
              <w:rPr>
                <w:rFonts w:eastAsia="Times New Roman" w:cs="Calibri Light"/>
                <w:color w:val="000000"/>
                <w:sz w:val="20"/>
                <w:szCs w:val="20"/>
              </w:rPr>
            </w:pPr>
            <w:r w:rsidRPr="005820CD">
              <w:rPr>
                <w:rFonts w:eastAsia="Times New Roman" w:cs="Calibri Light"/>
                <w:color w:val="000000"/>
                <w:sz w:val="20"/>
                <w:szCs w:val="20"/>
              </w:rPr>
              <w:t>2</w:t>
            </w:r>
            <w:r>
              <w:rPr>
                <w:rFonts w:eastAsia="Times New Roman" w:cs="Calibri Light"/>
                <w:color w:val="000000"/>
                <w:sz w:val="20"/>
                <w:szCs w:val="20"/>
              </w:rPr>
              <w:t>2</w:t>
            </w:r>
          </w:p>
        </w:tc>
      </w:tr>
      <w:tr w:rsidR="00424159" w:rsidRPr="005820CD" w14:paraId="0B1ADFD3" w14:textId="77777777" w:rsidTr="009E6162">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14:paraId="646413D6" w14:textId="77777777" w:rsidR="00424159" w:rsidRPr="005820CD" w:rsidRDefault="00424159" w:rsidP="009E6162">
            <w:pPr>
              <w:spacing w:before="0" w:after="0" w:line="240" w:lineRule="auto"/>
              <w:rPr>
                <w:rFonts w:eastAsia="Times New Roman" w:cs="Calibri Light"/>
                <w:color w:val="000000"/>
                <w:sz w:val="20"/>
                <w:szCs w:val="20"/>
              </w:rPr>
            </w:pPr>
            <w:r w:rsidRPr="005820CD">
              <w:rPr>
                <w:rFonts w:eastAsia="Times New Roman" w:cs="Calibri Light"/>
                <w:color w:val="000000"/>
                <w:sz w:val="20"/>
                <w:szCs w:val="20"/>
              </w:rPr>
              <w:lastRenderedPageBreak/>
              <w:t>Building vintages</w:t>
            </w:r>
          </w:p>
        </w:tc>
        <w:tc>
          <w:tcPr>
            <w:tcW w:w="2790" w:type="dxa"/>
            <w:tcBorders>
              <w:top w:val="nil"/>
              <w:left w:val="nil"/>
              <w:bottom w:val="single" w:sz="4" w:space="0" w:color="auto"/>
              <w:right w:val="single" w:sz="4" w:space="0" w:color="auto"/>
            </w:tcBorders>
            <w:shd w:val="clear" w:color="auto" w:fill="auto"/>
            <w:noWrap/>
            <w:vAlign w:val="center"/>
            <w:hideMark/>
          </w:tcPr>
          <w:p w14:paraId="6E59EE61" w14:textId="77777777" w:rsidR="00424159" w:rsidRPr="005820CD" w:rsidRDefault="00424159" w:rsidP="009E6162">
            <w:pPr>
              <w:spacing w:before="0" w:after="0" w:line="240" w:lineRule="auto"/>
              <w:jc w:val="center"/>
              <w:rPr>
                <w:rFonts w:eastAsia="Times New Roman" w:cs="Calibri Light"/>
                <w:color w:val="000000"/>
                <w:sz w:val="20"/>
                <w:szCs w:val="20"/>
              </w:rPr>
            </w:pPr>
            <w:r w:rsidRPr="005820CD">
              <w:rPr>
                <w:rFonts w:eastAsia="Times New Roman" w:cs="Calibri Light"/>
                <w:color w:val="000000"/>
                <w:sz w:val="20"/>
                <w:szCs w:val="20"/>
              </w:rPr>
              <w:t>5</w:t>
            </w:r>
            <w:r>
              <w:rPr>
                <w:rStyle w:val="FootnoteReference"/>
                <w:rFonts w:eastAsia="Times New Roman" w:cs="Calibri Light"/>
                <w:color w:val="000000"/>
                <w:sz w:val="20"/>
                <w:szCs w:val="20"/>
              </w:rPr>
              <w:footnoteReference w:id="4"/>
            </w:r>
          </w:p>
        </w:tc>
      </w:tr>
      <w:tr w:rsidR="00424159" w:rsidRPr="005820CD" w14:paraId="79E1B521" w14:textId="77777777" w:rsidTr="009E6162">
        <w:trPr>
          <w:trHeight w:val="323"/>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14:paraId="21095A60" w14:textId="77777777" w:rsidR="00424159" w:rsidRPr="005820CD" w:rsidRDefault="00424159" w:rsidP="009E6162">
            <w:pPr>
              <w:spacing w:before="0" w:after="0" w:line="240" w:lineRule="auto"/>
              <w:rPr>
                <w:rFonts w:eastAsia="Times New Roman" w:cs="Calibri Light"/>
                <w:color w:val="000000"/>
                <w:sz w:val="20"/>
                <w:szCs w:val="20"/>
              </w:rPr>
            </w:pPr>
            <w:r w:rsidRPr="005820CD">
              <w:rPr>
                <w:rFonts w:eastAsia="Times New Roman" w:cs="Calibri Light"/>
                <w:color w:val="000000"/>
                <w:sz w:val="20"/>
                <w:szCs w:val="20"/>
              </w:rPr>
              <w:t>Equipment size categories</w:t>
            </w:r>
          </w:p>
        </w:tc>
        <w:tc>
          <w:tcPr>
            <w:tcW w:w="2790" w:type="dxa"/>
            <w:tcBorders>
              <w:top w:val="nil"/>
              <w:left w:val="nil"/>
              <w:bottom w:val="single" w:sz="4" w:space="0" w:color="auto"/>
              <w:right w:val="single" w:sz="4" w:space="0" w:color="auto"/>
            </w:tcBorders>
            <w:shd w:val="clear" w:color="auto" w:fill="auto"/>
            <w:noWrap/>
            <w:vAlign w:val="center"/>
            <w:hideMark/>
          </w:tcPr>
          <w:p w14:paraId="7EDCDB9B" w14:textId="77777777" w:rsidR="00424159" w:rsidRPr="005820CD" w:rsidRDefault="00424159" w:rsidP="009E6162">
            <w:pPr>
              <w:spacing w:before="0" w:after="0" w:line="240" w:lineRule="auto"/>
              <w:jc w:val="center"/>
              <w:rPr>
                <w:rFonts w:eastAsia="Times New Roman" w:cs="Calibri Light"/>
                <w:color w:val="000000"/>
                <w:sz w:val="20"/>
                <w:szCs w:val="20"/>
              </w:rPr>
            </w:pPr>
            <w:r w:rsidRPr="005820CD">
              <w:rPr>
                <w:rFonts w:eastAsia="Times New Roman" w:cs="Calibri Light"/>
                <w:color w:val="000000"/>
                <w:sz w:val="20"/>
                <w:szCs w:val="20"/>
              </w:rPr>
              <w:t>2</w:t>
            </w:r>
          </w:p>
        </w:tc>
      </w:tr>
      <w:tr w:rsidR="00424159" w:rsidRPr="005820CD" w14:paraId="453195C5" w14:textId="77777777" w:rsidTr="009E6162">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14:paraId="62EE9B83" w14:textId="77777777" w:rsidR="00424159" w:rsidRPr="005820CD" w:rsidRDefault="00424159" w:rsidP="009E6162">
            <w:pPr>
              <w:spacing w:before="0" w:after="0" w:line="240" w:lineRule="auto"/>
              <w:rPr>
                <w:rFonts w:eastAsia="Times New Roman" w:cs="Calibri Light"/>
                <w:color w:val="000000"/>
                <w:sz w:val="20"/>
                <w:szCs w:val="20"/>
              </w:rPr>
            </w:pPr>
            <w:r w:rsidRPr="005820CD">
              <w:rPr>
                <w:rFonts w:eastAsia="Times New Roman" w:cs="Calibri Light"/>
                <w:color w:val="000000"/>
                <w:sz w:val="20"/>
                <w:szCs w:val="20"/>
              </w:rPr>
              <w:t>System types</w:t>
            </w:r>
          </w:p>
        </w:tc>
        <w:tc>
          <w:tcPr>
            <w:tcW w:w="2790" w:type="dxa"/>
            <w:tcBorders>
              <w:top w:val="nil"/>
              <w:left w:val="nil"/>
              <w:bottom w:val="single" w:sz="4" w:space="0" w:color="auto"/>
              <w:right w:val="single" w:sz="4" w:space="0" w:color="auto"/>
            </w:tcBorders>
            <w:shd w:val="clear" w:color="auto" w:fill="auto"/>
            <w:noWrap/>
            <w:vAlign w:val="center"/>
            <w:hideMark/>
          </w:tcPr>
          <w:p w14:paraId="76D0D969" w14:textId="77777777" w:rsidR="00424159" w:rsidRPr="005820CD" w:rsidRDefault="00424159" w:rsidP="009E6162">
            <w:pPr>
              <w:spacing w:before="0" w:after="0" w:line="240" w:lineRule="auto"/>
              <w:jc w:val="center"/>
              <w:rPr>
                <w:rFonts w:eastAsia="Times New Roman" w:cs="Calibri Light"/>
                <w:color w:val="000000"/>
                <w:sz w:val="20"/>
                <w:szCs w:val="20"/>
              </w:rPr>
            </w:pPr>
            <w:r w:rsidRPr="005820CD">
              <w:rPr>
                <w:rFonts w:eastAsia="Times New Roman" w:cs="Calibri Light"/>
                <w:color w:val="000000"/>
                <w:sz w:val="20"/>
                <w:szCs w:val="20"/>
              </w:rPr>
              <w:t>1 (DXGF</w:t>
            </w:r>
            <w:r>
              <w:rPr>
                <w:rStyle w:val="FootnoteReference"/>
                <w:rFonts w:eastAsia="Times New Roman" w:cs="Calibri Light"/>
                <w:color w:val="000000"/>
                <w:sz w:val="20"/>
                <w:szCs w:val="20"/>
              </w:rPr>
              <w:footnoteReference w:id="5"/>
            </w:r>
            <w:r w:rsidRPr="005820CD">
              <w:rPr>
                <w:rFonts w:eastAsia="Times New Roman" w:cs="Calibri Light"/>
                <w:color w:val="000000"/>
                <w:sz w:val="20"/>
                <w:szCs w:val="20"/>
              </w:rPr>
              <w:t>)</w:t>
            </w:r>
          </w:p>
        </w:tc>
      </w:tr>
      <w:tr w:rsidR="00424159" w:rsidRPr="005820CD" w14:paraId="0130EA16" w14:textId="77777777" w:rsidTr="009E6162">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14:paraId="1A4B6D87" w14:textId="77777777" w:rsidR="00424159" w:rsidRPr="005820CD" w:rsidRDefault="00424159" w:rsidP="009E6162">
            <w:pPr>
              <w:spacing w:before="0" w:after="0" w:line="240" w:lineRule="auto"/>
              <w:rPr>
                <w:rFonts w:eastAsia="Times New Roman" w:cs="Calibri Light"/>
                <w:color w:val="000000"/>
                <w:sz w:val="20"/>
                <w:szCs w:val="20"/>
              </w:rPr>
            </w:pPr>
            <w:r w:rsidRPr="005820CD">
              <w:rPr>
                <w:rFonts w:eastAsia="Times New Roman" w:cs="Calibri Light"/>
                <w:color w:val="000000"/>
                <w:sz w:val="20"/>
                <w:szCs w:val="20"/>
              </w:rPr>
              <w:t>Tiers</w:t>
            </w:r>
          </w:p>
        </w:tc>
        <w:tc>
          <w:tcPr>
            <w:tcW w:w="2790" w:type="dxa"/>
            <w:tcBorders>
              <w:top w:val="nil"/>
              <w:left w:val="nil"/>
              <w:bottom w:val="single" w:sz="4" w:space="0" w:color="auto"/>
              <w:right w:val="single" w:sz="4" w:space="0" w:color="auto"/>
            </w:tcBorders>
            <w:shd w:val="clear" w:color="auto" w:fill="auto"/>
            <w:noWrap/>
            <w:vAlign w:val="center"/>
            <w:hideMark/>
          </w:tcPr>
          <w:p w14:paraId="5AB5880B" w14:textId="77777777" w:rsidR="00424159" w:rsidRPr="005820CD" w:rsidRDefault="00424159" w:rsidP="009E6162">
            <w:pPr>
              <w:spacing w:before="0" w:after="0" w:line="240" w:lineRule="auto"/>
              <w:jc w:val="center"/>
              <w:rPr>
                <w:rFonts w:eastAsia="Times New Roman" w:cs="Calibri Light"/>
                <w:color w:val="000000"/>
                <w:sz w:val="20"/>
                <w:szCs w:val="20"/>
              </w:rPr>
            </w:pPr>
            <w:r w:rsidRPr="005820CD">
              <w:rPr>
                <w:rFonts w:eastAsia="Times New Roman" w:cs="Calibri Light"/>
                <w:color w:val="000000"/>
                <w:sz w:val="20"/>
                <w:szCs w:val="20"/>
              </w:rPr>
              <w:t xml:space="preserve">1 base case + 1 measure case </w:t>
            </w:r>
          </w:p>
        </w:tc>
      </w:tr>
    </w:tbl>
    <w:p w14:paraId="4C910A89" w14:textId="77777777" w:rsidR="00424159" w:rsidRDefault="00424159" w:rsidP="00424159">
      <w:r>
        <w:t xml:space="preserve">There </w:t>
      </w:r>
      <w:r w:rsidRPr="00543637">
        <w:t xml:space="preserve">were </w:t>
      </w:r>
      <w:r>
        <w:t>7</w:t>
      </w:r>
      <w:r w:rsidRPr="00543637">
        <w:t>,</w:t>
      </w:r>
      <w:r>
        <w:t>0</w:t>
      </w:r>
      <w:r w:rsidRPr="00543637">
        <w:t>40 total</w:t>
      </w:r>
      <w:r>
        <w:t xml:space="preserve"> simulation iterations. The following shows a breakdown of those runs:</w:t>
      </w:r>
    </w:p>
    <w:p w14:paraId="734DFA9E" w14:textId="77777777" w:rsidR="00424159" w:rsidRDefault="00424159" w:rsidP="00424159">
      <w:pPr>
        <w:pStyle w:val="ListParagraph"/>
        <w:numPr>
          <w:ilvl w:val="0"/>
          <w:numId w:val="24"/>
        </w:numPr>
        <w:spacing w:before="0" w:after="160" w:line="259" w:lineRule="auto"/>
      </w:pPr>
      <w:r w:rsidRPr="00953C3A">
        <w:t>Unitary AC - 65-</w:t>
      </w:r>
      <w:r>
        <w:t>135</w:t>
      </w:r>
      <w:r w:rsidRPr="00953C3A">
        <w:t xml:space="preserve"> kBtuh: </w:t>
      </w:r>
      <w:r>
        <w:t>16 Climate Zones</w:t>
      </w:r>
      <w:r w:rsidRPr="00953C3A">
        <w:t xml:space="preserve"> x </w:t>
      </w:r>
      <w:r>
        <w:t>22</w:t>
      </w:r>
      <w:r w:rsidRPr="00953C3A">
        <w:t xml:space="preserve"> </w:t>
      </w:r>
      <w:r>
        <w:t xml:space="preserve">Building types </w:t>
      </w:r>
      <w:r w:rsidRPr="00953C3A">
        <w:t xml:space="preserve">x </w:t>
      </w:r>
      <w:r>
        <w:t xml:space="preserve">5 Building vintages x </w:t>
      </w:r>
      <w:r w:rsidRPr="00953C3A">
        <w:t>1</w:t>
      </w:r>
      <w:r>
        <w:t xml:space="preserve"> System type</w:t>
      </w:r>
      <w:r w:rsidRPr="00953C3A">
        <w:t xml:space="preserve"> x </w:t>
      </w:r>
      <w:r>
        <w:t>2</w:t>
      </w:r>
      <w:r w:rsidRPr="00953C3A">
        <w:t xml:space="preserve"> </w:t>
      </w:r>
      <w:r>
        <w:t xml:space="preserve">Tiers </w:t>
      </w:r>
      <w:r w:rsidRPr="00953C3A">
        <w:t xml:space="preserve">= </w:t>
      </w:r>
      <w:r>
        <w:t>3,520</w:t>
      </w:r>
      <w:r w:rsidRPr="00953C3A">
        <w:t xml:space="preserve"> runs</w:t>
      </w:r>
    </w:p>
    <w:p w14:paraId="11946454" w14:textId="77777777" w:rsidR="00424159" w:rsidRDefault="00424159" w:rsidP="00424159">
      <w:pPr>
        <w:pStyle w:val="ListParagraph"/>
        <w:numPr>
          <w:ilvl w:val="0"/>
          <w:numId w:val="24"/>
        </w:numPr>
        <w:spacing w:before="0" w:after="160" w:line="259" w:lineRule="auto"/>
      </w:pPr>
      <w:r>
        <w:t>Unitary AC - 135</w:t>
      </w:r>
      <w:r w:rsidRPr="00953C3A">
        <w:t>-</w:t>
      </w:r>
      <w:r>
        <w:t>240</w:t>
      </w:r>
      <w:r w:rsidRPr="00953C3A">
        <w:t xml:space="preserve"> kBtuh: </w:t>
      </w:r>
      <w:r>
        <w:t>16 Climate Zones</w:t>
      </w:r>
      <w:r w:rsidRPr="00953C3A">
        <w:t xml:space="preserve"> x </w:t>
      </w:r>
      <w:r>
        <w:t>22</w:t>
      </w:r>
      <w:r w:rsidRPr="00953C3A">
        <w:t xml:space="preserve"> </w:t>
      </w:r>
      <w:r>
        <w:t xml:space="preserve">Building types </w:t>
      </w:r>
      <w:r w:rsidRPr="00953C3A">
        <w:t xml:space="preserve">x </w:t>
      </w:r>
      <w:r>
        <w:t xml:space="preserve">5 Building vintages x </w:t>
      </w:r>
      <w:r w:rsidRPr="00953C3A">
        <w:t>1</w:t>
      </w:r>
      <w:r>
        <w:t xml:space="preserve"> System type</w:t>
      </w:r>
      <w:r w:rsidRPr="00953C3A">
        <w:t xml:space="preserve"> x </w:t>
      </w:r>
      <w:r>
        <w:t>2</w:t>
      </w:r>
      <w:r w:rsidRPr="00953C3A">
        <w:t xml:space="preserve"> </w:t>
      </w:r>
      <w:r>
        <w:t xml:space="preserve">Tiers </w:t>
      </w:r>
      <w:r w:rsidRPr="00953C3A">
        <w:t xml:space="preserve">= </w:t>
      </w:r>
      <w:r>
        <w:t>3,520</w:t>
      </w:r>
      <w:r w:rsidRPr="00953C3A">
        <w:t xml:space="preserve"> runs</w:t>
      </w:r>
    </w:p>
    <w:p w14:paraId="04D9B7C5" w14:textId="77777777" w:rsidR="00424159" w:rsidRDefault="00424159" w:rsidP="00424159">
      <w:r>
        <w:t xml:space="preserve">To calculate savings, the total annual energy usage for the measure case was subtracted from the total annual energy usage of the base case. </w:t>
      </w:r>
      <w:r w:rsidRPr="006842E7">
        <w:t>The</w:t>
      </w:r>
      <w:r>
        <w:t xml:space="preserve"> base case equipment that was modeled for the DXGF equipment were simply the DEER base case models, which represent a two-speed unit with gas heat that meets Title </w:t>
      </w:r>
      <w:r w:rsidRPr="004125B7">
        <w:t>24 Standards for Large Unitary Equipment</w:t>
      </w:r>
      <w:r>
        <w:t xml:space="preserve">. The measure case models are nearly identical to the base case models except replacing a few key variables (i.e., the compressor EIR f(PLR) performance curve, the compressor minimum unload ratio, and the fan minimum airflow fraction) which represent the high-IEER equipment being modeled in this measure. </w:t>
      </w:r>
    </w:p>
    <w:p w14:paraId="2F6BBE75" w14:textId="77777777" w:rsidR="00424159" w:rsidRDefault="00424159" w:rsidP="00424159">
      <w:r w:rsidRPr="00DE737A">
        <w:t xml:space="preserve">Raw data on energy usage for each building climate zone and building type is found in the savings worksheets </w:t>
      </w:r>
      <w:r>
        <w:t xml:space="preserve">(file named: “MCLU-eQuest-Outputs.xlsx”) </w:t>
      </w:r>
      <w:r w:rsidRPr="00DE737A">
        <w:t>under the “Modeled Results and Calculated Savings” header in the Attachments.</w:t>
      </w:r>
      <w:r>
        <w:t xml:space="preserve"> These worksheets show the savings calculations by measure using the commercial building type weighting.</w:t>
      </w:r>
    </w:p>
    <w:p w14:paraId="537669B1" w14:textId="77777777" w:rsidR="00424159" w:rsidRDefault="00424159" w:rsidP="00424159">
      <w:r>
        <w:t xml:space="preserve">Once savings were calculated for each building type, climate zone, and vintage, the savings were weighted to produce “roll-ups” of raw savings results. </w:t>
      </w:r>
      <w:r w:rsidRPr="00DE737A">
        <w:t>Detailed calculations for these weightings are shown in the “Commercial Building Type Weighting.xlsx” (see Attachments).</w:t>
      </w:r>
      <w:r>
        <w:t xml:space="preserve"> The “commercial” building type is derived separately for new construction (represented by the 2020 vintage) and normal replacement (represented by the Ex vintage) projects. Both new construction and normal replacement savings are included and shown in the savings worksheets. </w:t>
      </w:r>
    </w:p>
    <w:p w14:paraId="00C18751" w14:textId="39E67A3F" w:rsidR="00424159" w:rsidRDefault="00424159" w:rsidP="00424159">
      <w:pPr>
        <w:pStyle w:val="eTRMHeading5"/>
      </w:pPr>
      <w:r>
        <w:t>Discussion of eQuest Inputs and Performance Curves</w:t>
      </w:r>
    </w:p>
    <w:p w14:paraId="1B70E401" w14:textId="42B3447A" w:rsidR="00424159" w:rsidRDefault="00424159" w:rsidP="00424159">
      <w:r w:rsidRPr="00953C3A">
        <w:t xml:space="preserve">Performance curves in </w:t>
      </w:r>
      <w:r>
        <w:t>eQuest</w:t>
      </w:r>
      <w:r w:rsidRPr="00953C3A">
        <w:t xml:space="preserve"> are a function of dry-bulb outdoor air temperature (</w:t>
      </w:r>
      <w:proofErr w:type="spellStart"/>
      <w:r>
        <w:t>OATdb</w:t>
      </w:r>
      <w:proofErr w:type="spellEnd"/>
      <w:r w:rsidRPr="00953C3A">
        <w:t>), wet-bulb mixed air temperature (</w:t>
      </w:r>
      <w:proofErr w:type="spellStart"/>
      <w:r>
        <w:t>MATwb</w:t>
      </w:r>
      <w:proofErr w:type="spellEnd"/>
      <w:r w:rsidRPr="00953C3A">
        <w:t>), part</w:t>
      </w:r>
      <w:r>
        <w:t xml:space="preserve"> </w:t>
      </w:r>
      <w:r w:rsidRPr="00953C3A">
        <w:t>load ratio (PLR), or a combination of the three. The PLR is defined as the ratio of the hourly load to the hourly capacity. The system delivers the full-load rated capacity at 1.0 PLR</w:t>
      </w:r>
      <w:r>
        <w:t xml:space="preserve"> and </w:t>
      </w:r>
      <w:r w:rsidRPr="00953C3A">
        <w:t>half of the rated capacity at 0.5 PLR.</w:t>
      </w:r>
      <w:r>
        <w:t xml:space="preserve"> </w:t>
      </w:r>
      <w:r w:rsidR="008D3F1A">
        <w:t xml:space="preserve">The table below </w:t>
      </w:r>
      <w:r>
        <w:t xml:space="preserve">shows the full set of performance curves that eQuest uses to define DX equipment in the software. Though PG&amp;E collected a full set of performance curves for each DX unit, ultimately only the compressor EIR f(PLR) curve was used for this workpaper because of guidance in the CPUC disposition. The disposition stated that DEER curves are only to be replaced when specific performance features are being modeled that DEER does not capture. Since the equipment in the scope of these measures are mainly more efficient than standard DX units due to </w:t>
      </w:r>
      <w:r>
        <w:lastRenderedPageBreak/>
        <w:t xml:space="preserve">the advanced part-load compressor capacity control, the compressor EIR f(PLR) curve is the only curve is the only one that needs to be changed from the DEER defaults. </w:t>
      </w:r>
    </w:p>
    <w:p w14:paraId="0772A014" w14:textId="401FD1B3" w:rsidR="001C393E" w:rsidRDefault="001C393E" w:rsidP="00305AF3">
      <w:pPr>
        <w:pStyle w:val="Caption"/>
      </w:pPr>
      <w:r>
        <w:t>DX Performance Curves in eQuest</w:t>
      </w:r>
    </w:p>
    <w:tbl>
      <w:tblPr>
        <w:tblStyle w:val="TableGrid"/>
        <w:tblW w:w="10085" w:type="dxa"/>
        <w:jc w:val="center"/>
        <w:tblLook w:val="04A0" w:firstRow="1" w:lastRow="0" w:firstColumn="1" w:lastColumn="0" w:noHBand="0" w:noVBand="1"/>
      </w:tblPr>
      <w:tblGrid>
        <w:gridCol w:w="1868"/>
        <w:gridCol w:w="1392"/>
        <w:gridCol w:w="1242"/>
        <w:gridCol w:w="4043"/>
        <w:gridCol w:w="1540"/>
      </w:tblGrid>
      <w:tr w:rsidR="00424159" w:rsidRPr="005820CD" w14:paraId="7307DBEA" w14:textId="77777777" w:rsidTr="009E6162">
        <w:trPr>
          <w:trHeight w:val="543"/>
          <w:jc w:val="center"/>
        </w:trPr>
        <w:tc>
          <w:tcPr>
            <w:tcW w:w="1868" w:type="dxa"/>
            <w:shd w:val="clear" w:color="auto" w:fill="F2F2F2" w:themeFill="background1" w:themeFillShade="F2"/>
            <w:vAlign w:val="center"/>
          </w:tcPr>
          <w:p w14:paraId="564A16AF" w14:textId="77777777" w:rsidR="00424159" w:rsidRPr="005820CD" w:rsidRDefault="00424159" w:rsidP="009E6162">
            <w:pPr>
              <w:keepNext/>
              <w:keepLines/>
              <w:jc w:val="center"/>
              <w:rPr>
                <w:rFonts w:cs="Calibri Light"/>
                <w:b/>
                <w:sz w:val="20"/>
                <w:szCs w:val="20"/>
              </w:rPr>
            </w:pPr>
            <w:r w:rsidRPr="005820CD">
              <w:rPr>
                <w:rFonts w:cs="Calibri Light"/>
                <w:b/>
                <w:sz w:val="20"/>
                <w:szCs w:val="20"/>
              </w:rPr>
              <w:t>Parameter</w:t>
            </w:r>
          </w:p>
        </w:tc>
        <w:tc>
          <w:tcPr>
            <w:tcW w:w="1392" w:type="dxa"/>
            <w:shd w:val="clear" w:color="auto" w:fill="F2F2F2" w:themeFill="background1" w:themeFillShade="F2"/>
            <w:vAlign w:val="center"/>
          </w:tcPr>
          <w:p w14:paraId="73551EF9" w14:textId="77777777" w:rsidR="00424159" w:rsidRPr="005820CD" w:rsidRDefault="00424159" w:rsidP="009E6162">
            <w:pPr>
              <w:keepNext/>
              <w:keepLines/>
              <w:jc w:val="center"/>
              <w:rPr>
                <w:rFonts w:cs="Calibri Light"/>
                <w:b/>
                <w:sz w:val="20"/>
                <w:szCs w:val="20"/>
              </w:rPr>
            </w:pPr>
            <w:r w:rsidRPr="005820CD">
              <w:rPr>
                <w:rFonts w:cs="Calibri Light"/>
                <w:b/>
                <w:sz w:val="20"/>
                <w:szCs w:val="20"/>
              </w:rPr>
              <w:t>Independent Variables</w:t>
            </w:r>
          </w:p>
        </w:tc>
        <w:tc>
          <w:tcPr>
            <w:tcW w:w="1242" w:type="dxa"/>
            <w:shd w:val="clear" w:color="auto" w:fill="F2F2F2" w:themeFill="background1" w:themeFillShade="F2"/>
            <w:vAlign w:val="center"/>
          </w:tcPr>
          <w:p w14:paraId="239229C6" w14:textId="77777777" w:rsidR="00424159" w:rsidRPr="005820CD" w:rsidRDefault="00424159" w:rsidP="009E6162">
            <w:pPr>
              <w:keepNext/>
              <w:keepLines/>
              <w:jc w:val="center"/>
              <w:rPr>
                <w:rFonts w:cs="Calibri Light"/>
                <w:b/>
                <w:sz w:val="20"/>
                <w:szCs w:val="20"/>
              </w:rPr>
            </w:pPr>
            <w:r w:rsidRPr="005820CD">
              <w:rPr>
                <w:rFonts w:cs="Calibri Light"/>
                <w:b/>
                <w:sz w:val="20"/>
                <w:szCs w:val="20"/>
              </w:rPr>
              <w:t>Function Type</w:t>
            </w:r>
          </w:p>
        </w:tc>
        <w:tc>
          <w:tcPr>
            <w:tcW w:w="4043" w:type="dxa"/>
            <w:shd w:val="clear" w:color="auto" w:fill="F2F2F2" w:themeFill="background1" w:themeFillShade="F2"/>
            <w:vAlign w:val="center"/>
          </w:tcPr>
          <w:p w14:paraId="39595963" w14:textId="77777777" w:rsidR="00424159" w:rsidRPr="005820CD" w:rsidRDefault="00424159" w:rsidP="009E6162">
            <w:pPr>
              <w:keepNext/>
              <w:keepLines/>
              <w:jc w:val="center"/>
              <w:rPr>
                <w:rFonts w:cs="Calibri Light"/>
                <w:b/>
                <w:sz w:val="20"/>
                <w:szCs w:val="20"/>
              </w:rPr>
            </w:pPr>
            <w:r w:rsidRPr="005820CD">
              <w:rPr>
                <w:rFonts w:cs="Calibri Light"/>
                <w:b/>
                <w:sz w:val="20"/>
                <w:szCs w:val="20"/>
              </w:rPr>
              <w:t>Function</w:t>
            </w:r>
          </w:p>
        </w:tc>
        <w:tc>
          <w:tcPr>
            <w:tcW w:w="1540" w:type="dxa"/>
            <w:shd w:val="clear" w:color="auto" w:fill="F2F2F2" w:themeFill="background1" w:themeFillShade="F2"/>
          </w:tcPr>
          <w:p w14:paraId="33C6F73E" w14:textId="77777777" w:rsidR="00424159" w:rsidRPr="005820CD" w:rsidRDefault="00424159" w:rsidP="009E6162">
            <w:pPr>
              <w:keepNext/>
              <w:keepLines/>
              <w:jc w:val="center"/>
              <w:rPr>
                <w:rFonts w:cs="Calibri Light"/>
                <w:b/>
                <w:sz w:val="20"/>
                <w:szCs w:val="20"/>
              </w:rPr>
            </w:pPr>
            <w:r w:rsidRPr="005820CD">
              <w:rPr>
                <w:rFonts w:cs="Calibri Light"/>
                <w:b/>
                <w:sz w:val="20"/>
                <w:szCs w:val="20"/>
              </w:rPr>
              <w:t>Source of Curve in Models</w:t>
            </w:r>
          </w:p>
        </w:tc>
      </w:tr>
      <w:tr w:rsidR="00424159" w:rsidRPr="005820CD" w14:paraId="56A9E139" w14:textId="77777777" w:rsidTr="009E6162">
        <w:trPr>
          <w:trHeight w:val="543"/>
          <w:jc w:val="center"/>
        </w:trPr>
        <w:tc>
          <w:tcPr>
            <w:tcW w:w="1868" w:type="dxa"/>
            <w:vAlign w:val="center"/>
          </w:tcPr>
          <w:p w14:paraId="0F8C8A69" w14:textId="77777777" w:rsidR="00424159" w:rsidRPr="005820CD" w:rsidRDefault="00424159" w:rsidP="009E6162">
            <w:pPr>
              <w:keepNext/>
              <w:keepLines/>
              <w:jc w:val="center"/>
              <w:rPr>
                <w:rFonts w:cs="Calibri Light"/>
                <w:sz w:val="20"/>
                <w:szCs w:val="20"/>
              </w:rPr>
            </w:pPr>
            <w:r w:rsidRPr="005820CD">
              <w:rPr>
                <w:rFonts w:cs="Calibri Light"/>
                <w:sz w:val="20"/>
                <w:szCs w:val="20"/>
              </w:rPr>
              <w:t>Cooling Capacity</w:t>
            </w:r>
          </w:p>
        </w:tc>
        <w:tc>
          <w:tcPr>
            <w:tcW w:w="1392" w:type="dxa"/>
            <w:vAlign w:val="center"/>
          </w:tcPr>
          <w:p w14:paraId="1DA68EED" w14:textId="77777777" w:rsidR="00424159" w:rsidRPr="005820CD" w:rsidRDefault="00424159" w:rsidP="009E6162">
            <w:pPr>
              <w:keepNext/>
              <w:keepLines/>
              <w:jc w:val="center"/>
              <w:rPr>
                <w:rFonts w:cs="Calibri Light"/>
                <w:sz w:val="20"/>
                <w:szCs w:val="20"/>
              </w:rPr>
            </w:pPr>
            <w:proofErr w:type="spellStart"/>
            <w:r w:rsidRPr="005820CD">
              <w:rPr>
                <w:rFonts w:cs="Calibri Light"/>
                <w:sz w:val="20"/>
                <w:szCs w:val="20"/>
              </w:rPr>
              <w:t>MATwb</w:t>
            </w:r>
            <w:proofErr w:type="spellEnd"/>
            <w:r w:rsidRPr="005820CD">
              <w:rPr>
                <w:rFonts w:cs="Calibri Light"/>
                <w:sz w:val="20"/>
                <w:szCs w:val="20"/>
              </w:rPr>
              <w:t xml:space="preserve">, </w:t>
            </w:r>
            <w:proofErr w:type="spellStart"/>
            <w:r w:rsidRPr="005820CD">
              <w:rPr>
                <w:rFonts w:cs="Calibri Light"/>
                <w:sz w:val="20"/>
                <w:szCs w:val="20"/>
              </w:rPr>
              <w:t>OATdb</w:t>
            </w:r>
            <w:r w:rsidRPr="005820CD">
              <w:rPr>
                <w:rFonts w:cs="Calibri Light"/>
                <w:sz w:val="20"/>
                <w:szCs w:val="20"/>
                <w:vertAlign w:val="superscript"/>
              </w:rPr>
              <w:t>a</w:t>
            </w:r>
            <w:proofErr w:type="spellEnd"/>
          </w:p>
        </w:tc>
        <w:tc>
          <w:tcPr>
            <w:tcW w:w="1242" w:type="dxa"/>
            <w:vAlign w:val="center"/>
          </w:tcPr>
          <w:p w14:paraId="19C5D718" w14:textId="77777777" w:rsidR="00424159" w:rsidRPr="005820CD" w:rsidRDefault="00424159" w:rsidP="009E6162">
            <w:pPr>
              <w:keepNext/>
              <w:keepLines/>
              <w:jc w:val="center"/>
              <w:rPr>
                <w:rFonts w:cs="Calibri Light"/>
                <w:sz w:val="20"/>
                <w:szCs w:val="20"/>
              </w:rPr>
            </w:pPr>
            <w:r w:rsidRPr="005820CD">
              <w:rPr>
                <w:rFonts w:cs="Calibri Light"/>
                <w:sz w:val="20"/>
                <w:szCs w:val="20"/>
              </w:rPr>
              <w:t>Bi-Quadratic</w:t>
            </w:r>
          </w:p>
        </w:tc>
        <w:tc>
          <w:tcPr>
            <w:tcW w:w="4043" w:type="dxa"/>
            <w:vAlign w:val="center"/>
          </w:tcPr>
          <w:p w14:paraId="55D961A6"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+dy+e</m:t>
                </m:r>
                <m:sSup>
                  <m:sSupPr>
                    <m:ctrlPr>
                      <w:rPr>
                        <w:rFonts w:ascii="Cambria Math" w:hAnsi="Cambria Math" w:cs="Calibri Light"/>
                        <w:i/>
                        <w:sz w:val="20"/>
                        <w:szCs w:val="20"/>
                      </w:rPr>
                    </m:ctrlPr>
                  </m:sSupPr>
                  <m:e>
                    <m:r>
                      <w:rPr>
                        <w:rFonts w:ascii="Cambria Math" w:hAnsi="Cambria Math" w:cs="Calibri Light"/>
                        <w:sz w:val="20"/>
                        <w:szCs w:val="20"/>
                      </w:rPr>
                      <m:t>y</m:t>
                    </m:r>
                  </m:e>
                  <m:sup>
                    <m:r>
                      <w:rPr>
                        <w:rFonts w:ascii="Cambria Math" w:hAnsi="Cambria Math" w:cs="Calibri Light"/>
                        <w:sz w:val="20"/>
                        <w:szCs w:val="20"/>
                      </w:rPr>
                      <m:t>2</m:t>
                    </m:r>
                  </m:sup>
                </m:sSup>
                <m:r>
                  <w:rPr>
                    <w:rFonts w:ascii="Cambria Math" w:hAnsi="Cambria Math" w:cs="Calibri Light"/>
                    <w:sz w:val="20"/>
                    <w:szCs w:val="20"/>
                  </w:rPr>
                  <m:t>+fxy</m:t>
                </m:r>
              </m:oMath>
            </m:oMathPara>
          </w:p>
        </w:tc>
        <w:tc>
          <w:tcPr>
            <w:tcW w:w="1540" w:type="dxa"/>
            <w:vAlign w:val="center"/>
          </w:tcPr>
          <w:p w14:paraId="0F840469" w14:textId="77777777" w:rsidR="00424159" w:rsidRPr="005820CD" w:rsidRDefault="00424159" w:rsidP="009E6162">
            <w:pPr>
              <w:keepNext/>
              <w:keepLines/>
              <w:jc w:val="center"/>
              <w:rPr>
                <w:rFonts w:eastAsia="Times New Roman" w:cs="Calibri Light"/>
                <w:sz w:val="20"/>
                <w:szCs w:val="20"/>
              </w:rPr>
            </w:pPr>
            <w:r w:rsidRPr="005820CD">
              <w:rPr>
                <w:rFonts w:eastAsia="Times New Roman" w:cs="Calibri Light"/>
                <w:sz w:val="20"/>
                <w:szCs w:val="20"/>
              </w:rPr>
              <w:t>DEER</w:t>
            </w:r>
          </w:p>
        </w:tc>
      </w:tr>
      <w:tr w:rsidR="00424159" w:rsidRPr="005820CD" w14:paraId="3E5E6DD5" w14:textId="77777777" w:rsidTr="009E6162">
        <w:trPr>
          <w:trHeight w:val="543"/>
          <w:jc w:val="center"/>
        </w:trPr>
        <w:tc>
          <w:tcPr>
            <w:tcW w:w="1868" w:type="dxa"/>
            <w:vAlign w:val="center"/>
          </w:tcPr>
          <w:p w14:paraId="4E322092" w14:textId="77777777" w:rsidR="00424159" w:rsidRPr="005820CD" w:rsidRDefault="00424159" w:rsidP="009E6162">
            <w:pPr>
              <w:keepNext/>
              <w:keepLines/>
              <w:jc w:val="center"/>
              <w:rPr>
                <w:rFonts w:cs="Calibri Light"/>
                <w:sz w:val="20"/>
                <w:szCs w:val="20"/>
              </w:rPr>
            </w:pPr>
            <w:r w:rsidRPr="005820CD">
              <w:rPr>
                <w:rFonts w:cs="Calibri Light"/>
                <w:sz w:val="20"/>
                <w:szCs w:val="20"/>
              </w:rPr>
              <w:t>Sensible Capacity</w:t>
            </w:r>
          </w:p>
        </w:tc>
        <w:tc>
          <w:tcPr>
            <w:tcW w:w="1392" w:type="dxa"/>
            <w:vAlign w:val="center"/>
          </w:tcPr>
          <w:p w14:paraId="74186B36" w14:textId="77777777" w:rsidR="00424159" w:rsidRPr="005820CD" w:rsidRDefault="00424159" w:rsidP="009E6162">
            <w:pPr>
              <w:keepNext/>
              <w:keepLines/>
              <w:jc w:val="center"/>
              <w:rPr>
                <w:rFonts w:cs="Calibri Light"/>
                <w:sz w:val="20"/>
                <w:szCs w:val="20"/>
              </w:rPr>
            </w:pPr>
            <w:proofErr w:type="spellStart"/>
            <w:r w:rsidRPr="005820CD">
              <w:rPr>
                <w:rFonts w:cs="Calibri Light"/>
                <w:sz w:val="20"/>
                <w:szCs w:val="20"/>
              </w:rPr>
              <w:t>MATwb</w:t>
            </w:r>
            <w:proofErr w:type="spellEnd"/>
            <w:r w:rsidRPr="005820CD">
              <w:rPr>
                <w:rFonts w:cs="Calibri Light"/>
                <w:sz w:val="20"/>
                <w:szCs w:val="20"/>
              </w:rPr>
              <w:t xml:space="preserve">, </w:t>
            </w:r>
            <w:proofErr w:type="spellStart"/>
            <w:r w:rsidRPr="005820CD">
              <w:rPr>
                <w:rFonts w:cs="Calibri Light"/>
                <w:sz w:val="20"/>
                <w:szCs w:val="20"/>
              </w:rPr>
              <w:t>OATdb</w:t>
            </w:r>
            <w:proofErr w:type="spellEnd"/>
          </w:p>
        </w:tc>
        <w:tc>
          <w:tcPr>
            <w:tcW w:w="1242" w:type="dxa"/>
            <w:vAlign w:val="center"/>
          </w:tcPr>
          <w:p w14:paraId="67D5DF37" w14:textId="77777777" w:rsidR="00424159" w:rsidRPr="005820CD" w:rsidRDefault="00424159" w:rsidP="009E6162">
            <w:pPr>
              <w:keepNext/>
              <w:keepLines/>
              <w:jc w:val="center"/>
              <w:rPr>
                <w:rFonts w:cs="Calibri Light"/>
                <w:sz w:val="20"/>
                <w:szCs w:val="20"/>
              </w:rPr>
            </w:pPr>
            <w:r w:rsidRPr="005820CD">
              <w:rPr>
                <w:rFonts w:cs="Calibri Light"/>
                <w:sz w:val="20"/>
                <w:szCs w:val="20"/>
              </w:rPr>
              <w:t>Bi-Quadratic</w:t>
            </w:r>
          </w:p>
        </w:tc>
        <w:tc>
          <w:tcPr>
            <w:tcW w:w="4043" w:type="dxa"/>
            <w:vAlign w:val="center"/>
          </w:tcPr>
          <w:p w14:paraId="12E130B4"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+dy+e</m:t>
                </m:r>
                <m:sSup>
                  <m:sSupPr>
                    <m:ctrlPr>
                      <w:rPr>
                        <w:rFonts w:ascii="Cambria Math" w:hAnsi="Cambria Math" w:cs="Calibri Light"/>
                        <w:i/>
                        <w:sz w:val="20"/>
                        <w:szCs w:val="20"/>
                      </w:rPr>
                    </m:ctrlPr>
                  </m:sSupPr>
                  <m:e>
                    <m:r>
                      <w:rPr>
                        <w:rFonts w:ascii="Cambria Math" w:hAnsi="Cambria Math" w:cs="Calibri Light"/>
                        <w:sz w:val="20"/>
                        <w:szCs w:val="20"/>
                      </w:rPr>
                      <m:t>y</m:t>
                    </m:r>
                  </m:e>
                  <m:sup>
                    <m:r>
                      <w:rPr>
                        <w:rFonts w:ascii="Cambria Math" w:hAnsi="Cambria Math" w:cs="Calibri Light"/>
                        <w:sz w:val="20"/>
                        <w:szCs w:val="20"/>
                      </w:rPr>
                      <m:t>2</m:t>
                    </m:r>
                  </m:sup>
                </m:sSup>
                <m:r>
                  <w:rPr>
                    <w:rFonts w:ascii="Cambria Math" w:hAnsi="Cambria Math" w:cs="Calibri Light"/>
                    <w:sz w:val="20"/>
                    <w:szCs w:val="20"/>
                  </w:rPr>
                  <m:t>+fxy</m:t>
                </m:r>
              </m:oMath>
            </m:oMathPara>
          </w:p>
        </w:tc>
        <w:tc>
          <w:tcPr>
            <w:tcW w:w="1540" w:type="dxa"/>
            <w:vAlign w:val="center"/>
          </w:tcPr>
          <w:p w14:paraId="64161632" w14:textId="77777777" w:rsidR="00424159" w:rsidRPr="005820CD" w:rsidRDefault="00424159" w:rsidP="009E6162">
            <w:pPr>
              <w:keepNext/>
              <w:keepLines/>
              <w:jc w:val="center"/>
              <w:rPr>
                <w:rFonts w:eastAsia="Calibri" w:cs="Calibri Light"/>
                <w:sz w:val="20"/>
                <w:szCs w:val="20"/>
              </w:rPr>
            </w:pPr>
            <w:r w:rsidRPr="005820CD">
              <w:rPr>
                <w:rFonts w:eastAsia="Calibri" w:cs="Calibri Light"/>
                <w:sz w:val="20"/>
                <w:szCs w:val="20"/>
              </w:rPr>
              <w:t>DEER</w:t>
            </w:r>
          </w:p>
        </w:tc>
      </w:tr>
      <w:tr w:rsidR="00424159" w:rsidRPr="005820CD" w14:paraId="4735EF76" w14:textId="77777777" w:rsidTr="009E6162">
        <w:trPr>
          <w:trHeight w:val="543"/>
          <w:jc w:val="center"/>
        </w:trPr>
        <w:tc>
          <w:tcPr>
            <w:tcW w:w="1868" w:type="dxa"/>
            <w:vAlign w:val="center"/>
          </w:tcPr>
          <w:p w14:paraId="47A84CE9" w14:textId="77777777" w:rsidR="00424159" w:rsidRPr="005820CD" w:rsidRDefault="00424159" w:rsidP="009E6162">
            <w:pPr>
              <w:keepNext/>
              <w:keepLines/>
              <w:jc w:val="center"/>
              <w:rPr>
                <w:rFonts w:cs="Calibri Light"/>
                <w:sz w:val="20"/>
                <w:szCs w:val="20"/>
              </w:rPr>
            </w:pPr>
            <w:r w:rsidRPr="005820CD">
              <w:rPr>
                <w:rFonts w:cs="Calibri Light"/>
                <w:sz w:val="20"/>
                <w:szCs w:val="20"/>
              </w:rPr>
              <w:t>Energy Input Ratio</w:t>
            </w:r>
          </w:p>
        </w:tc>
        <w:tc>
          <w:tcPr>
            <w:tcW w:w="1392" w:type="dxa"/>
            <w:vAlign w:val="center"/>
          </w:tcPr>
          <w:p w14:paraId="1E9B59E4" w14:textId="77777777" w:rsidR="00424159" w:rsidRPr="005820CD" w:rsidRDefault="00424159" w:rsidP="009E6162">
            <w:pPr>
              <w:keepNext/>
              <w:keepLines/>
              <w:jc w:val="center"/>
              <w:rPr>
                <w:rFonts w:cs="Calibri Light"/>
                <w:sz w:val="20"/>
                <w:szCs w:val="20"/>
              </w:rPr>
            </w:pPr>
            <w:proofErr w:type="spellStart"/>
            <w:r w:rsidRPr="005820CD">
              <w:rPr>
                <w:rFonts w:cs="Calibri Light"/>
                <w:sz w:val="20"/>
                <w:szCs w:val="20"/>
              </w:rPr>
              <w:t>MATwb</w:t>
            </w:r>
            <w:proofErr w:type="spellEnd"/>
            <w:r w:rsidRPr="005820CD">
              <w:rPr>
                <w:rFonts w:cs="Calibri Light"/>
                <w:sz w:val="20"/>
                <w:szCs w:val="20"/>
              </w:rPr>
              <w:t xml:space="preserve">, </w:t>
            </w:r>
            <w:proofErr w:type="spellStart"/>
            <w:r w:rsidRPr="005820CD">
              <w:rPr>
                <w:rFonts w:cs="Calibri Light"/>
                <w:sz w:val="20"/>
                <w:szCs w:val="20"/>
              </w:rPr>
              <w:t>OATdb</w:t>
            </w:r>
            <w:proofErr w:type="spellEnd"/>
          </w:p>
        </w:tc>
        <w:tc>
          <w:tcPr>
            <w:tcW w:w="1242" w:type="dxa"/>
            <w:vAlign w:val="center"/>
          </w:tcPr>
          <w:p w14:paraId="48D45219" w14:textId="77777777" w:rsidR="00424159" w:rsidRPr="005820CD" w:rsidRDefault="00424159" w:rsidP="009E6162">
            <w:pPr>
              <w:keepNext/>
              <w:keepLines/>
              <w:jc w:val="center"/>
              <w:rPr>
                <w:rFonts w:cs="Calibri Light"/>
                <w:sz w:val="20"/>
                <w:szCs w:val="20"/>
              </w:rPr>
            </w:pPr>
            <w:r w:rsidRPr="005820CD">
              <w:rPr>
                <w:rFonts w:cs="Calibri Light"/>
                <w:sz w:val="20"/>
                <w:szCs w:val="20"/>
              </w:rPr>
              <w:t>Bi-Quadratic</w:t>
            </w:r>
          </w:p>
        </w:tc>
        <w:tc>
          <w:tcPr>
            <w:tcW w:w="4043" w:type="dxa"/>
            <w:vAlign w:val="center"/>
          </w:tcPr>
          <w:p w14:paraId="145E73DC"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+dy+e</m:t>
                </m:r>
                <m:sSup>
                  <m:sSupPr>
                    <m:ctrlPr>
                      <w:rPr>
                        <w:rFonts w:ascii="Cambria Math" w:hAnsi="Cambria Math" w:cs="Calibri Light"/>
                        <w:i/>
                        <w:sz w:val="20"/>
                        <w:szCs w:val="20"/>
                      </w:rPr>
                    </m:ctrlPr>
                  </m:sSupPr>
                  <m:e>
                    <m:r>
                      <w:rPr>
                        <w:rFonts w:ascii="Cambria Math" w:hAnsi="Cambria Math" w:cs="Calibri Light"/>
                        <w:sz w:val="20"/>
                        <w:szCs w:val="20"/>
                      </w:rPr>
                      <m:t>y</m:t>
                    </m:r>
                  </m:e>
                  <m:sup>
                    <m:r>
                      <w:rPr>
                        <w:rFonts w:ascii="Cambria Math" w:hAnsi="Cambria Math" w:cs="Calibri Light"/>
                        <w:sz w:val="20"/>
                        <w:szCs w:val="20"/>
                      </w:rPr>
                      <m:t>2</m:t>
                    </m:r>
                  </m:sup>
                </m:sSup>
                <m:r>
                  <w:rPr>
                    <w:rFonts w:ascii="Cambria Math" w:hAnsi="Cambria Math" w:cs="Calibri Light"/>
                    <w:sz w:val="20"/>
                    <w:szCs w:val="20"/>
                  </w:rPr>
                  <m:t>+fxy</m:t>
                </m:r>
              </m:oMath>
            </m:oMathPara>
          </w:p>
        </w:tc>
        <w:tc>
          <w:tcPr>
            <w:tcW w:w="1540" w:type="dxa"/>
            <w:vAlign w:val="center"/>
          </w:tcPr>
          <w:p w14:paraId="068F6C2F" w14:textId="77777777" w:rsidR="00424159" w:rsidRPr="005820CD" w:rsidRDefault="00424159" w:rsidP="009E6162">
            <w:pPr>
              <w:keepNext/>
              <w:keepLines/>
              <w:jc w:val="center"/>
              <w:rPr>
                <w:rFonts w:eastAsia="Calibri" w:cs="Calibri Light"/>
                <w:sz w:val="20"/>
                <w:szCs w:val="20"/>
              </w:rPr>
            </w:pPr>
            <w:r w:rsidRPr="005820CD">
              <w:rPr>
                <w:rFonts w:eastAsia="Calibri" w:cs="Calibri Light"/>
                <w:sz w:val="20"/>
                <w:szCs w:val="20"/>
              </w:rPr>
              <w:t>DEER</w:t>
            </w:r>
          </w:p>
        </w:tc>
      </w:tr>
      <w:tr w:rsidR="00424159" w:rsidRPr="005820CD" w14:paraId="5E39496E" w14:textId="77777777" w:rsidTr="009E6162">
        <w:trPr>
          <w:trHeight w:val="543"/>
          <w:jc w:val="center"/>
        </w:trPr>
        <w:tc>
          <w:tcPr>
            <w:tcW w:w="1868" w:type="dxa"/>
            <w:vAlign w:val="center"/>
          </w:tcPr>
          <w:p w14:paraId="7B305808" w14:textId="77777777" w:rsidR="00424159" w:rsidRPr="005820CD" w:rsidRDefault="00424159" w:rsidP="009E6162">
            <w:pPr>
              <w:keepNext/>
              <w:keepLines/>
              <w:jc w:val="center"/>
              <w:rPr>
                <w:rFonts w:cs="Calibri Light"/>
                <w:sz w:val="20"/>
                <w:szCs w:val="20"/>
              </w:rPr>
            </w:pPr>
            <w:r w:rsidRPr="005820CD">
              <w:rPr>
                <w:rFonts w:cs="Calibri Light"/>
                <w:sz w:val="20"/>
                <w:szCs w:val="20"/>
              </w:rPr>
              <w:t>Coil Bypass Factor</w:t>
            </w:r>
          </w:p>
        </w:tc>
        <w:tc>
          <w:tcPr>
            <w:tcW w:w="1392" w:type="dxa"/>
            <w:vAlign w:val="center"/>
          </w:tcPr>
          <w:p w14:paraId="08AE26C4" w14:textId="77777777" w:rsidR="00424159" w:rsidRPr="005820CD" w:rsidRDefault="00424159" w:rsidP="009E6162">
            <w:pPr>
              <w:keepNext/>
              <w:keepLines/>
              <w:jc w:val="center"/>
              <w:rPr>
                <w:rFonts w:cs="Calibri Light"/>
                <w:sz w:val="20"/>
                <w:szCs w:val="20"/>
              </w:rPr>
            </w:pPr>
            <w:proofErr w:type="spellStart"/>
            <w:r w:rsidRPr="005820CD">
              <w:rPr>
                <w:rFonts w:cs="Calibri Light"/>
                <w:sz w:val="20"/>
                <w:szCs w:val="20"/>
              </w:rPr>
              <w:t>MATwb</w:t>
            </w:r>
            <w:proofErr w:type="spellEnd"/>
            <w:r w:rsidRPr="005820CD">
              <w:rPr>
                <w:rFonts w:cs="Calibri Light"/>
                <w:sz w:val="20"/>
                <w:szCs w:val="20"/>
              </w:rPr>
              <w:t xml:space="preserve">, </w:t>
            </w:r>
            <w:proofErr w:type="spellStart"/>
            <w:r w:rsidRPr="005820CD">
              <w:rPr>
                <w:rFonts w:cs="Calibri Light"/>
                <w:sz w:val="20"/>
                <w:szCs w:val="20"/>
              </w:rPr>
              <w:t>OATdb</w:t>
            </w:r>
            <w:proofErr w:type="spellEnd"/>
          </w:p>
        </w:tc>
        <w:tc>
          <w:tcPr>
            <w:tcW w:w="1242" w:type="dxa"/>
            <w:vAlign w:val="center"/>
          </w:tcPr>
          <w:p w14:paraId="1C11EA6C" w14:textId="77777777" w:rsidR="00424159" w:rsidRPr="005820CD" w:rsidRDefault="00424159" w:rsidP="009E6162">
            <w:pPr>
              <w:keepNext/>
              <w:keepLines/>
              <w:jc w:val="center"/>
              <w:rPr>
                <w:rFonts w:cs="Calibri Light"/>
                <w:sz w:val="20"/>
                <w:szCs w:val="20"/>
              </w:rPr>
            </w:pPr>
            <w:r w:rsidRPr="005820CD">
              <w:rPr>
                <w:rFonts w:cs="Calibri Light"/>
                <w:sz w:val="20"/>
                <w:szCs w:val="20"/>
              </w:rPr>
              <w:t>Bi-Quadratic</w:t>
            </w:r>
          </w:p>
        </w:tc>
        <w:tc>
          <w:tcPr>
            <w:tcW w:w="4043" w:type="dxa"/>
            <w:vAlign w:val="center"/>
          </w:tcPr>
          <w:p w14:paraId="765AF411"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+dy+e</m:t>
                </m:r>
                <m:sSup>
                  <m:sSupPr>
                    <m:ctrlPr>
                      <w:rPr>
                        <w:rFonts w:ascii="Cambria Math" w:hAnsi="Cambria Math" w:cs="Calibri Light"/>
                        <w:i/>
                        <w:sz w:val="20"/>
                        <w:szCs w:val="20"/>
                      </w:rPr>
                    </m:ctrlPr>
                  </m:sSupPr>
                  <m:e>
                    <m:r>
                      <w:rPr>
                        <w:rFonts w:ascii="Cambria Math" w:hAnsi="Cambria Math" w:cs="Calibri Light"/>
                        <w:sz w:val="20"/>
                        <w:szCs w:val="20"/>
                      </w:rPr>
                      <m:t>y</m:t>
                    </m:r>
                  </m:e>
                  <m:sup>
                    <m:r>
                      <w:rPr>
                        <w:rFonts w:ascii="Cambria Math" w:hAnsi="Cambria Math" w:cs="Calibri Light"/>
                        <w:sz w:val="20"/>
                        <w:szCs w:val="20"/>
                      </w:rPr>
                      <m:t>2</m:t>
                    </m:r>
                  </m:sup>
                </m:sSup>
                <m:r>
                  <w:rPr>
                    <w:rFonts w:ascii="Cambria Math" w:hAnsi="Cambria Math" w:cs="Calibri Light"/>
                    <w:sz w:val="20"/>
                    <w:szCs w:val="20"/>
                  </w:rPr>
                  <m:t>+fxy</m:t>
                </m:r>
              </m:oMath>
            </m:oMathPara>
          </w:p>
        </w:tc>
        <w:tc>
          <w:tcPr>
            <w:tcW w:w="1540" w:type="dxa"/>
            <w:vAlign w:val="center"/>
          </w:tcPr>
          <w:p w14:paraId="1A523148" w14:textId="77777777" w:rsidR="00424159" w:rsidRPr="005820CD" w:rsidRDefault="00424159" w:rsidP="009E6162">
            <w:pPr>
              <w:keepNext/>
              <w:keepLines/>
              <w:jc w:val="center"/>
              <w:rPr>
                <w:rFonts w:eastAsia="Calibri" w:cs="Calibri Light"/>
                <w:sz w:val="20"/>
                <w:szCs w:val="20"/>
              </w:rPr>
            </w:pPr>
            <w:r w:rsidRPr="005820CD">
              <w:rPr>
                <w:rFonts w:eastAsia="Calibri" w:cs="Calibri Light"/>
                <w:sz w:val="20"/>
                <w:szCs w:val="20"/>
              </w:rPr>
              <w:t>DEER</w:t>
            </w:r>
          </w:p>
        </w:tc>
      </w:tr>
      <w:tr w:rsidR="00424159" w:rsidRPr="005820CD" w14:paraId="18ECEF99" w14:textId="77777777" w:rsidTr="009E6162">
        <w:trPr>
          <w:trHeight w:val="543"/>
          <w:jc w:val="center"/>
        </w:trPr>
        <w:tc>
          <w:tcPr>
            <w:tcW w:w="1868" w:type="dxa"/>
            <w:vAlign w:val="center"/>
          </w:tcPr>
          <w:p w14:paraId="56C2FC97" w14:textId="77777777" w:rsidR="00424159" w:rsidRPr="005820CD" w:rsidRDefault="00424159" w:rsidP="009E6162">
            <w:pPr>
              <w:keepNext/>
              <w:keepLines/>
              <w:jc w:val="center"/>
              <w:rPr>
                <w:rFonts w:cs="Calibri Light"/>
                <w:sz w:val="20"/>
                <w:szCs w:val="20"/>
              </w:rPr>
            </w:pPr>
            <w:r w:rsidRPr="005820CD">
              <w:rPr>
                <w:rFonts w:cs="Calibri Light"/>
                <w:sz w:val="20"/>
                <w:szCs w:val="20"/>
              </w:rPr>
              <w:t>Compressor Energy Input Ratio</w:t>
            </w:r>
          </w:p>
        </w:tc>
        <w:tc>
          <w:tcPr>
            <w:tcW w:w="1392" w:type="dxa"/>
            <w:vAlign w:val="center"/>
          </w:tcPr>
          <w:p w14:paraId="116121D2" w14:textId="77777777" w:rsidR="00424159" w:rsidRPr="005820CD" w:rsidRDefault="00424159" w:rsidP="009E6162">
            <w:pPr>
              <w:keepNext/>
              <w:keepLines/>
              <w:jc w:val="center"/>
              <w:rPr>
                <w:rFonts w:cs="Calibri Light"/>
                <w:sz w:val="20"/>
                <w:szCs w:val="20"/>
              </w:rPr>
            </w:pPr>
            <w:r w:rsidRPr="005820CD">
              <w:rPr>
                <w:rFonts w:cs="Calibri Light"/>
                <w:sz w:val="20"/>
                <w:szCs w:val="20"/>
              </w:rPr>
              <w:t>PLR</w:t>
            </w:r>
          </w:p>
        </w:tc>
        <w:tc>
          <w:tcPr>
            <w:tcW w:w="1242" w:type="dxa"/>
            <w:vAlign w:val="center"/>
          </w:tcPr>
          <w:p w14:paraId="565B3D85" w14:textId="77777777" w:rsidR="00424159" w:rsidRPr="005820CD" w:rsidRDefault="00424159" w:rsidP="009E6162">
            <w:pPr>
              <w:keepNext/>
              <w:keepLines/>
              <w:jc w:val="center"/>
              <w:rPr>
                <w:rFonts w:cs="Calibri Light"/>
                <w:sz w:val="20"/>
                <w:szCs w:val="20"/>
              </w:rPr>
            </w:pPr>
            <w:r w:rsidRPr="005820CD">
              <w:rPr>
                <w:rFonts w:cs="Calibri Light"/>
                <w:sz w:val="20"/>
                <w:szCs w:val="20"/>
              </w:rPr>
              <w:t>Cubic</w:t>
            </w:r>
          </w:p>
        </w:tc>
        <w:tc>
          <w:tcPr>
            <w:tcW w:w="4043" w:type="dxa"/>
            <w:vAlign w:val="center"/>
          </w:tcPr>
          <w:p w14:paraId="0553F50E"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3</m:t>
                    </m:r>
                  </m:sup>
                </m:sSup>
              </m:oMath>
            </m:oMathPara>
          </w:p>
        </w:tc>
        <w:tc>
          <w:tcPr>
            <w:tcW w:w="1540" w:type="dxa"/>
            <w:vAlign w:val="center"/>
          </w:tcPr>
          <w:p w14:paraId="00ECD67B" w14:textId="77777777" w:rsidR="00424159" w:rsidRPr="005820CD" w:rsidRDefault="00424159" w:rsidP="009E6162">
            <w:pPr>
              <w:keepNext/>
              <w:keepLines/>
              <w:jc w:val="center"/>
              <w:rPr>
                <w:rFonts w:eastAsia="Calibri" w:cs="Calibri Light"/>
                <w:sz w:val="20"/>
                <w:szCs w:val="20"/>
              </w:rPr>
            </w:pPr>
            <w:r w:rsidRPr="005820CD">
              <w:rPr>
                <w:rFonts w:eastAsia="Calibri" w:cs="Calibri Light"/>
                <w:sz w:val="20"/>
                <w:szCs w:val="20"/>
              </w:rPr>
              <w:t>Manufacturer</w:t>
            </w:r>
          </w:p>
        </w:tc>
      </w:tr>
      <w:tr w:rsidR="00424159" w:rsidRPr="005820CD" w14:paraId="782D274F" w14:textId="77777777" w:rsidTr="009E6162">
        <w:trPr>
          <w:trHeight w:val="543"/>
          <w:jc w:val="center"/>
        </w:trPr>
        <w:tc>
          <w:tcPr>
            <w:tcW w:w="1868" w:type="dxa"/>
            <w:vAlign w:val="center"/>
          </w:tcPr>
          <w:p w14:paraId="54B07BED" w14:textId="77777777" w:rsidR="00424159" w:rsidRPr="005820CD" w:rsidRDefault="00424159" w:rsidP="009E6162">
            <w:pPr>
              <w:keepNext/>
              <w:keepLines/>
              <w:jc w:val="center"/>
              <w:rPr>
                <w:rFonts w:cs="Calibri Light"/>
                <w:sz w:val="20"/>
                <w:szCs w:val="20"/>
              </w:rPr>
            </w:pPr>
            <w:r w:rsidRPr="005820CD">
              <w:rPr>
                <w:rFonts w:cs="Calibri Light"/>
                <w:sz w:val="20"/>
                <w:szCs w:val="20"/>
              </w:rPr>
              <w:t>Cycling Loss</w:t>
            </w:r>
          </w:p>
        </w:tc>
        <w:tc>
          <w:tcPr>
            <w:tcW w:w="1392" w:type="dxa"/>
            <w:vAlign w:val="center"/>
          </w:tcPr>
          <w:p w14:paraId="118F130C" w14:textId="77777777" w:rsidR="00424159" w:rsidRPr="005820CD" w:rsidRDefault="00424159" w:rsidP="009E6162">
            <w:pPr>
              <w:keepNext/>
              <w:keepLines/>
              <w:jc w:val="center"/>
              <w:rPr>
                <w:rFonts w:cs="Calibri Light"/>
                <w:sz w:val="20"/>
                <w:szCs w:val="20"/>
              </w:rPr>
            </w:pPr>
            <w:r w:rsidRPr="005820CD">
              <w:rPr>
                <w:rFonts w:cs="Calibri Light"/>
                <w:sz w:val="20"/>
                <w:szCs w:val="20"/>
              </w:rPr>
              <w:t>PLR</w:t>
            </w:r>
          </w:p>
        </w:tc>
        <w:tc>
          <w:tcPr>
            <w:tcW w:w="1242" w:type="dxa"/>
            <w:vAlign w:val="center"/>
          </w:tcPr>
          <w:p w14:paraId="38DA6A5C" w14:textId="77777777" w:rsidR="00424159" w:rsidRPr="005820CD" w:rsidRDefault="00424159" w:rsidP="009E6162">
            <w:pPr>
              <w:keepNext/>
              <w:keepLines/>
              <w:jc w:val="center"/>
              <w:rPr>
                <w:rFonts w:cs="Calibri Light"/>
                <w:sz w:val="20"/>
                <w:szCs w:val="20"/>
              </w:rPr>
            </w:pPr>
            <w:r w:rsidRPr="005820CD">
              <w:rPr>
                <w:rFonts w:cs="Calibri Light"/>
                <w:sz w:val="20"/>
                <w:szCs w:val="20"/>
              </w:rPr>
              <w:t>Cubic</w:t>
            </w:r>
          </w:p>
        </w:tc>
        <w:tc>
          <w:tcPr>
            <w:tcW w:w="4043" w:type="dxa"/>
            <w:vAlign w:val="center"/>
          </w:tcPr>
          <w:p w14:paraId="2E2F0B56"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3</m:t>
                    </m:r>
                  </m:sup>
                </m:sSup>
              </m:oMath>
            </m:oMathPara>
          </w:p>
        </w:tc>
        <w:tc>
          <w:tcPr>
            <w:tcW w:w="1540" w:type="dxa"/>
            <w:vAlign w:val="center"/>
          </w:tcPr>
          <w:p w14:paraId="5DD2B9C2" w14:textId="77777777" w:rsidR="00424159" w:rsidRPr="005820CD" w:rsidRDefault="00424159" w:rsidP="009E6162">
            <w:pPr>
              <w:keepNext/>
              <w:keepLines/>
              <w:jc w:val="center"/>
              <w:rPr>
                <w:rFonts w:eastAsia="Calibri" w:cs="Calibri Light"/>
                <w:sz w:val="20"/>
                <w:szCs w:val="20"/>
              </w:rPr>
            </w:pPr>
            <w:r w:rsidRPr="005820CD">
              <w:rPr>
                <w:rFonts w:eastAsia="Calibri" w:cs="Calibri Light"/>
                <w:sz w:val="20"/>
                <w:szCs w:val="20"/>
              </w:rPr>
              <w:t>DEER</w:t>
            </w:r>
          </w:p>
        </w:tc>
      </w:tr>
      <w:tr w:rsidR="00424159" w:rsidRPr="005820CD" w14:paraId="756C2473" w14:textId="77777777" w:rsidTr="009E6162">
        <w:trPr>
          <w:trHeight w:val="543"/>
          <w:jc w:val="center"/>
        </w:trPr>
        <w:tc>
          <w:tcPr>
            <w:tcW w:w="1868" w:type="dxa"/>
            <w:vAlign w:val="center"/>
          </w:tcPr>
          <w:p w14:paraId="7749E7C0" w14:textId="77777777" w:rsidR="00424159" w:rsidRPr="005820CD" w:rsidRDefault="00424159" w:rsidP="009E6162">
            <w:pPr>
              <w:keepNext/>
              <w:keepLines/>
              <w:jc w:val="center"/>
              <w:rPr>
                <w:rFonts w:cs="Calibri Light"/>
                <w:sz w:val="20"/>
                <w:szCs w:val="20"/>
              </w:rPr>
            </w:pPr>
            <w:r w:rsidRPr="005820CD">
              <w:rPr>
                <w:rFonts w:cs="Calibri Light"/>
                <w:sz w:val="20"/>
                <w:szCs w:val="20"/>
              </w:rPr>
              <w:t>Outdoor Fan Power</w:t>
            </w:r>
          </w:p>
        </w:tc>
        <w:tc>
          <w:tcPr>
            <w:tcW w:w="1392" w:type="dxa"/>
            <w:vAlign w:val="center"/>
          </w:tcPr>
          <w:p w14:paraId="694C99DF" w14:textId="77777777" w:rsidR="00424159" w:rsidRPr="005820CD" w:rsidRDefault="00424159" w:rsidP="009E6162">
            <w:pPr>
              <w:keepNext/>
              <w:keepLines/>
              <w:jc w:val="center"/>
              <w:rPr>
                <w:rFonts w:cs="Calibri Light"/>
                <w:sz w:val="20"/>
                <w:szCs w:val="20"/>
              </w:rPr>
            </w:pPr>
            <w:r w:rsidRPr="005820CD">
              <w:rPr>
                <w:rFonts w:cs="Calibri Light"/>
                <w:sz w:val="20"/>
                <w:szCs w:val="20"/>
              </w:rPr>
              <w:t xml:space="preserve">PLR, </w:t>
            </w:r>
            <w:proofErr w:type="spellStart"/>
            <w:r w:rsidRPr="005820CD">
              <w:rPr>
                <w:rFonts w:cs="Calibri Light"/>
                <w:sz w:val="20"/>
                <w:szCs w:val="20"/>
              </w:rPr>
              <w:t>OATdb</w:t>
            </w:r>
            <w:proofErr w:type="spellEnd"/>
          </w:p>
        </w:tc>
        <w:tc>
          <w:tcPr>
            <w:tcW w:w="1242" w:type="dxa"/>
            <w:vAlign w:val="center"/>
          </w:tcPr>
          <w:p w14:paraId="3AB7FA38" w14:textId="77777777" w:rsidR="00424159" w:rsidRPr="005820CD" w:rsidRDefault="00424159" w:rsidP="009E6162">
            <w:pPr>
              <w:keepNext/>
              <w:keepLines/>
              <w:jc w:val="center"/>
              <w:rPr>
                <w:rFonts w:cs="Calibri Light"/>
                <w:sz w:val="20"/>
                <w:szCs w:val="20"/>
              </w:rPr>
            </w:pPr>
            <w:r w:rsidRPr="005820CD">
              <w:rPr>
                <w:rFonts w:cs="Calibri Light"/>
                <w:sz w:val="20"/>
                <w:szCs w:val="20"/>
              </w:rPr>
              <w:t>Bi-Linear</w:t>
            </w:r>
          </w:p>
        </w:tc>
        <w:tc>
          <w:tcPr>
            <w:tcW w:w="4043" w:type="dxa"/>
            <w:vAlign w:val="center"/>
          </w:tcPr>
          <w:p w14:paraId="3F071A00"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Z=a+bx+cy</m:t>
                </m:r>
              </m:oMath>
            </m:oMathPara>
          </w:p>
        </w:tc>
        <w:tc>
          <w:tcPr>
            <w:tcW w:w="1540" w:type="dxa"/>
            <w:vAlign w:val="center"/>
          </w:tcPr>
          <w:p w14:paraId="0E7D3BCF" w14:textId="77777777" w:rsidR="00424159" w:rsidRPr="005820CD" w:rsidRDefault="00424159" w:rsidP="009E6162">
            <w:pPr>
              <w:keepNext/>
              <w:keepLines/>
              <w:jc w:val="center"/>
              <w:rPr>
                <w:rFonts w:eastAsia="Calibri" w:cs="Calibri Light"/>
                <w:sz w:val="20"/>
                <w:szCs w:val="20"/>
              </w:rPr>
            </w:pPr>
            <w:r>
              <w:rPr>
                <w:rFonts w:eastAsia="Calibri" w:cs="Calibri Light"/>
                <w:sz w:val="20"/>
                <w:szCs w:val="20"/>
              </w:rPr>
              <w:t xml:space="preserve">Not </w:t>
            </w:r>
            <w:proofErr w:type="spellStart"/>
            <w:r>
              <w:rPr>
                <w:rFonts w:eastAsia="Calibri" w:cs="Calibri Light"/>
                <w:sz w:val="20"/>
                <w:szCs w:val="20"/>
              </w:rPr>
              <w:t>Applicable</w:t>
            </w:r>
            <w:r w:rsidRPr="005820CD">
              <w:rPr>
                <w:rFonts w:eastAsia="Calibri" w:cs="Calibri Light"/>
                <w:sz w:val="20"/>
                <w:szCs w:val="20"/>
                <w:vertAlign w:val="superscript"/>
              </w:rPr>
              <w:t>b</w:t>
            </w:r>
            <w:proofErr w:type="spellEnd"/>
          </w:p>
        </w:tc>
      </w:tr>
      <w:tr w:rsidR="00424159" w:rsidRPr="005820CD" w14:paraId="56A508DE" w14:textId="77777777" w:rsidTr="009E6162">
        <w:trPr>
          <w:trHeight w:val="543"/>
          <w:jc w:val="center"/>
        </w:trPr>
        <w:tc>
          <w:tcPr>
            <w:tcW w:w="1868" w:type="dxa"/>
            <w:vAlign w:val="center"/>
          </w:tcPr>
          <w:p w14:paraId="50BF4F14" w14:textId="77777777" w:rsidR="00424159" w:rsidRPr="005820CD" w:rsidRDefault="00424159" w:rsidP="009E6162">
            <w:pPr>
              <w:keepNext/>
              <w:keepLines/>
              <w:jc w:val="center"/>
              <w:rPr>
                <w:rFonts w:cs="Calibri Light"/>
                <w:sz w:val="20"/>
                <w:szCs w:val="20"/>
              </w:rPr>
            </w:pPr>
            <w:r w:rsidRPr="005820CD">
              <w:rPr>
                <w:rFonts w:cs="Calibri Light"/>
                <w:sz w:val="20"/>
                <w:szCs w:val="20"/>
              </w:rPr>
              <w:t>Fan Energy Input Ratio</w:t>
            </w:r>
          </w:p>
        </w:tc>
        <w:tc>
          <w:tcPr>
            <w:tcW w:w="1392" w:type="dxa"/>
            <w:vAlign w:val="center"/>
          </w:tcPr>
          <w:p w14:paraId="5649A37B" w14:textId="77777777" w:rsidR="00424159" w:rsidRPr="005820CD" w:rsidRDefault="00424159" w:rsidP="009E6162">
            <w:pPr>
              <w:keepNext/>
              <w:keepLines/>
              <w:jc w:val="center"/>
              <w:rPr>
                <w:rFonts w:cs="Calibri Light"/>
                <w:sz w:val="20"/>
                <w:szCs w:val="20"/>
              </w:rPr>
            </w:pPr>
            <w:r w:rsidRPr="005820CD">
              <w:rPr>
                <w:rFonts w:cs="Calibri Light"/>
                <w:sz w:val="20"/>
                <w:szCs w:val="20"/>
              </w:rPr>
              <w:t>PLR</w:t>
            </w:r>
          </w:p>
        </w:tc>
        <w:tc>
          <w:tcPr>
            <w:tcW w:w="1242" w:type="dxa"/>
            <w:vAlign w:val="center"/>
          </w:tcPr>
          <w:p w14:paraId="62119121" w14:textId="77777777" w:rsidR="00424159" w:rsidRPr="005820CD" w:rsidRDefault="00424159" w:rsidP="009E6162">
            <w:pPr>
              <w:keepNext/>
              <w:keepLines/>
              <w:jc w:val="center"/>
              <w:rPr>
                <w:rFonts w:cs="Calibri Light"/>
                <w:sz w:val="20"/>
                <w:szCs w:val="20"/>
              </w:rPr>
            </w:pPr>
            <w:r w:rsidRPr="005820CD">
              <w:rPr>
                <w:rFonts w:cs="Calibri Light"/>
                <w:sz w:val="20"/>
                <w:szCs w:val="20"/>
              </w:rPr>
              <w:t>Cubic</w:t>
            </w:r>
          </w:p>
        </w:tc>
        <w:tc>
          <w:tcPr>
            <w:tcW w:w="4043" w:type="dxa"/>
            <w:vAlign w:val="center"/>
          </w:tcPr>
          <w:p w14:paraId="56F98AF5" w14:textId="77777777" w:rsidR="00424159" w:rsidRPr="005820CD" w:rsidRDefault="00424159" w:rsidP="009E6162">
            <w:pPr>
              <w:keepNext/>
              <w:keepLines/>
              <w:jc w:val="center"/>
              <w:rPr>
                <w:rFonts w:cs="Calibri Light"/>
                <w:sz w:val="20"/>
                <w:szCs w:val="20"/>
              </w:rPr>
            </w:pPr>
            <m:oMathPara>
              <m:oMath>
                <m:r>
                  <w:rPr>
                    <w:rFonts w:ascii="Cambria Math" w:hAnsi="Cambria Math" w:cs="Calibri Light"/>
                    <w:sz w:val="20"/>
                    <w:szCs w:val="20"/>
                  </w:rPr>
                  <m:t>Z=a+bx+c</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2</m:t>
                    </m:r>
                  </m:sup>
                </m:sSup>
                <m:r>
                  <w:rPr>
                    <w:rFonts w:ascii="Cambria Math" w:hAnsi="Cambria Math" w:cs="Calibri Light"/>
                    <w:sz w:val="20"/>
                    <w:szCs w:val="20"/>
                  </w:rPr>
                  <m:t>+d</m:t>
                </m:r>
                <m:sSup>
                  <m:sSupPr>
                    <m:ctrlPr>
                      <w:rPr>
                        <w:rFonts w:ascii="Cambria Math" w:hAnsi="Cambria Math" w:cs="Calibri Light"/>
                        <w:i/>
                        <w:sz w:val="20"/>
                        <w:szCs w:val="20"/>
                      </w:rPr>
                    </m:ctrlPr>
                  </m:sSupPr>
                  <m:e>
                    <m:r>
                      <w:rPr>
                        <w:rFonts w:ascii="Cambria Math" w:hAnsi="Cambria Math" w:cs="Calibri Light"/>
                        <w:sz w:val="20"/>
                        <w:szCs w:val="20"/>
                      </w:rPr>
                      <m:t>x</m:t>
                    </m:r>
                  </m:e>
                  <m:sup>
                    <m:r>
                      <w:rPr>
                        <w:rFonts w:ascii="Cambria Math" w:hAnsi="Cambria Math" w:cs="Calibri Light"/>
                        <w:sz w:val="20"/>
                        <w:szCs w:val="20"/>
                      </w:rPr>
                      <m:t>3</m:t>
                    </m:r>
                  </m:sup>
                </m:sSup>
              </m:oMath>
            </m:oMathPara>
          </w:p>
        </w:tc>
        <w:tc>
          <w:tcPr>
            <w:tcW w:w="1540" w:type="dxa"/>
            <w:vAlign w:val="center"/>
          </w:tcPr>
          <w:p w14:paraId="3E54CF64" w14:textId="77777777" w:rsidR="00424159" w:rsidRPr="005820CD" w:rsidRDefault="00424159" w:rsidP="009E6162">
            <w:pPr>
              <w:keepNext/>
              <w:keepLines/>
              <w:jc w:val="center"/>
              <w:rPr>
                <w:rFonts w:eastAsia="Calibri" w:cs="Calibri Light"/>
                <w:sz w:val="20"/>
                <w:szCs w:val="20"/>
              </w:rPr>
            </w:pPr>
            <w:r w:rsidRPr="005820CD">
              <w:rPr>
                <w:rFonts w:eastAsia="Calibri" w:cs="Calibri Light"/>
                <w:sz w:val="20"/>
                <w:szCs w:val="20"/>
              </w:rPr>
              <w:t>DEER</w:t>
            </w:r>
          </w:p>
        </w:tc>
      </w:tr>
    </w:tbl>
    <w:p w14:paraId="145208D0" w14:textId="77777777" w:rsidR="00424159" w:rsidRPr="006B5B02" w:rsidRDefault="00424159" w:rsidP="00424159">
      <w:pPr>
        <w:pStyle w:val="Caption"/>
        <w:spacing w:before="0" w:after="0"/>
        <w:jc w:val="left"/>
        <w:rPr>
          <w:b w:val="0"/>
        </w:rPr>
      </w:pPr>
      <w:proofErr w:type="spellStart"/>
      <w:r w:rsidRPr="006B5B02">
        <w:rPr>
          <w:b w:val="0"/>
          <w:vertAlign w:val="superscript"/>
        </w:rPr>
        <w:t>a</w:t>
      </w:r>
      <w:r w:rsidRPr="006B5B02">
        <w:rPr>
          <w:b w:val="0"/>
        </w:rPr>
        <w:t>Mixed</w:t>
      </w:r>
      <w:proofErr w:type="spellEnd"/>
      <w:r w:rsidRPr="006B5B02">
        <w:rPr>
          <w:b w:val="0"/>
        </w:rPr>
        <w:t xml:space="preserve"> Air Temperature (wet bulb) is also referred to as the entering air wet bulb or EWB. The Outside Air Temperature (dry bulb) is also referred to as the Outside Air Dry-Bulb or OADB. </w:t>
      </w:r>
    </w:p>
    <w:p w14:paraId="2A28D713" w14:textId="10E3E4E4" w:rsidR="00424159" w:rsidRPr="006B5B02" w:rsidRDefault="00424159" w:rsidP="00424159">
      <w:pPr>
        <w:spacing w:before="0" w:after="0"/>
        <w:rPr>
          <w:sz w:val="20"/>
        </w:rPr>
      </w:pPr>
      <w:proofErr w:type="spellStart"/>
      <w:r w:rsidRPr="006B5B02">
        <w:rPr>
          <w:sz w:val="20"/>
          <w:vertAlign w:val="superscript"/>
        </w:rPr>
        <w:t>b</w:t>
      </w:r>
      <w:r w:rsidRPr="006B5B02">
        <w:rPr>
          <w:sz w:val="20"/>
        </w:rPr>
        <w:t>Both</w:t>
      </w:r>
      <w:proofErr w:type="spellEnd"/>
      <w:r w:rsidRPr="006B5B02">
        <w:rPr>
          <w:sz w:val="20"/>
        </w:rPr>
        <w:t xml:space="preserve"> DEER2020 and this workpaper didn’t use the outdoor fan power curve because the energy is contained within the compressor EIR value and</w:t>
      </w:r>
      <w:r>
        <w:rPr>
          <w:sz w:val="20"/>
        </w:rPr>
        <w:t xml:space="preserve"> associated</w:t>
      </w:r>
      <w:r w:rsidRPr="006B5B02">
        <w:rPr>
          <w:sz w:val="20"/>
        </w:rPr>
        <w:t xml:space="preserve"> part-load ratio curve</w:t>
      </w:r>
      <w:r w:rsidR="006E7F5B">
        <w:rPr>
          <w:sz w:val="20"/>
        </w:rPr>
        <w:t>.</w:t>
      </w:r>
    </w:p>
    <w:p w14:paraId="7BCFC0A0" w14:textId="77777777" w:rsidR="00424159" w:rsidRDefault="00424159" w:rsidP="00424159">
      <w:r w:rsidRPr="004133FB">
        <w:t xml:space="preserve">The performance maps collected are specific to a particular </w:t>
      </w:r>
      <w:r>
        <w:t xml:space="preserve">AC </w:t>
      </w:r>
      <w:r w:rsidRPr="004133FB">
        <w:t xml:space="preserve">unit. </w:t>
      </w:r>
      <w:r>
        <w:t>When collecting curves, PG&amp;E compared i</w:t>
      </w:r>
      <w:r w:rsidRPr="004133FB">
        <w:t xml:space="preserve">ndividual curves to manufacturer spec sheets and third-party studies to ensure accuracy in the data and ensure curves followed expected trends given the technologies implemented. </w:t>
      </w:r>
      <w:r w:rsidRPr="00953C3A">
        <w:t xml:space="preserve">These performance curves dictate how the unit will operate under various </w:t>
      </w:r>
      <w:r>
        <w:t xml:space="preserve">operating </w:t>
      </w:r>
      <w:r w:rsidRPr="00953C3A">
        <w:t xml:space="preserve">conditions and greatly affect the performance differences between equipment of different efficiencies. For example, the cooling capacity performance curve defines how much capacity the system can deliver at a specific </w:t>
      </w:r>
      <w:r>
        <w:t xml:space="preserve">indoor and outdoor </w:t>
      </w:r>
      <w:r w:rsidRPr="00953C3A">
        <w:t>temperature</w:t>
      </w:r>
      <w:r>
        <w:t xml:space="preserve"> combination</w:t>
      </w:r>
      <w:r w:rsidRPr="00953C3A">
        <w:t xml:space="preserve">. </w:t>
      </w:r>
    </w:p>
    <w:p w14:paraId="6C1DBA53" w14:textId="77777777" w:rsidR="00424159" w:rsidRPr="00953C3A" w:rsidRDefault="00424159" w:rsidP="00424159">
      <w:r w:rsidRPr="00953C3A">
        <w:t xml:space="preserve">Together, the performance curves and operating parameters can be used to determine the performance of the HVAC system at any condition. The operating parameters define the performance of the system at AHRI conditions while the performance curves serve as a factor to adjust the performance of the system based on the varying conditions. </w:t>
      </w:r>
      <w:r>
        <w:t xml:space="preserve">The output of the curve is expressed as a ratio between how the unit operates at the given condition compared to how it operates at ARI conditions. </w:t>
      </w:r>
      <w:r w:rsidRPr="00953C3A">
        <w:t xml:space="preserve">As an example, the calculation for the cooling capacity of the system can be found in </w:t>
      </w:r>
      <w:r>
        <w:t>Equation 1 (note that DOE-2 uses the term “ARI” since this is the prior name for AHRI).</w:t>
      </w:r>
    </w:p>
    <w:tbl>
      <w:tblPr>
        <w:tblStyle w:val="TableGrid"/>
        <w:tblW w:w="9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5"/>
        <w:gridCol w:w="906"/>
      </w:tblGrid>
      <w:tr w:rsidR="00424159" w:rsidRPr="00953C3A" w14:paraId="1DD8C901" w14:textId="77777777" w:rsidTr="009E6162">
        <w:trPr>
          <w:trHeight w:val="161"/>
        </w:trPr>
        <w:tc>
          <w:tcPr>
            <w:tcW w:w="8935" w:type="dxa"/>
          </w:tcPr>
          <w:p w14:paraId="4B81FA43" w14:textId="77777777" w:rsidR="00424159" w:rsidRPr="00953C3A" w:rsidRDefault="00424159" w:rsidP="009E6162">
            <w:pPr>
              <w:keepNext/>
              <w:keepLines/>
              <w:rPr>
                <w:rFonts w:cstheme="minorHAnsi"/>
              </w:rPr>
            </w:pPr>
            <m:oMathPara>
              <m:oMathParaPr>
                <m:jc m:val="left"/>
              </m:oMathParaPr>
              <m:oMath>
                <m:r>
                  <w:rPr>
                    <w:rFonts w:ascii="Cambria Math" w:hAnsi="Cambria Math" w:cstheme="minorHAnsi"/>
                  </w:rPr>
                  <w:lastRenderedPageBreak/>
                  <m:t>Cooling Capacity=Cooling Capacity at ARI × Cooling Capacity f(MATwb,OATdb)</m:t>
                </m:r>
              </m:oMath>
            </m:oMathPara>
          </w:p>
        </w:tc>
        <w:tc>
          <w:tcPr>
            <w:tcW w:w="906" w:type="dxa"/>
          </w:tcPr>
          <w:p w14:paraId="546ABCC6" w14:textId="77777777" w:rsidR="00424159" w:rsidRPr="00051042" w:rsidRDefault="00424159" w:rsidP="009E6162">
            <w:pPr>
              <w:pStyle w:val="Caption"/>
              <w:rPr>
                <w:sz w:val="24"/>
                <w:szCs w:val="24"/>
              </w:rPr>
            </w:pPr>
            <w:r w:rsidRPr="00051042">
              <w:t xml:space="preserve">Eq. </w:t>
            </w:r>
            <w:r w:rsidRPr="00051042">
              <w:fldChar w:fldCharType="begin"/>
            </w:r>
            <w:r w:rsidRPr="00953C3A">
              <w:instrText xml:space="preserve"> SEQ Eq. \* ARABIC </w:instrText>
            </w:r>
            <w:r w:rsidRPr="00051042">
              <w:fldChar w:fldCharType="separate"/>
            </w:r>
            <w:r>
              <w:rPr>
                <w:noProof/>
              </w:rPr>
              <w:t>1</w:t>
            </w:r>
            <w:r w:rsidRPr="00051042">
              <w:rPr>
                <w:noProof/>
              </w:rPr>
              <w:fldChar w:fldCharType="end"/>
            </w:r>
          </w:p>
        </w:tc>
      </w:tr>
    </w:tbl>
    <w:p w14:paraId="20A3F35F" w14:textId="1674D5EC" w:rsidR="00424159" w:rsidRDefault="00424159" w:rsidP="00424159">
      <w:r w:rsidRPr="00051042">
        <w:t>Although some performance data is available in manufacturer equipment catalogs (e.g. capacity curves as a function of O</w:t>
      </w:r>
      <w:r>
        <w:t>A</w:t>
      </w:r>
      <w:r w:rsidRPr="00051042">
        <w:t xml:space="preserve">DB and </w:t>
      </w:r>
      <w:r>
        <w:t>E</w:t>
      </w:r>
      <w:r w:rsidRPr="00051042">
        <w:t xml:space="preserve">WB) most of the detailed performance data </w:t>
      </w:r>
      <w:r>
        <w:t>that was</w:t>
      </w:r>
      <w:r w:rsidRPr="00051042">
        <w:t xml:space="preserve"> </w:t>
      </w:r>
      <w:r w:rsidRPr="00953C3A">
        <w:t xml:space="preserve">collected, including the curves as a function of part load, are proprietary. Thus, non-disclosure agreements (NDAs) </w:t>
      </w:r>
      <w:r>
        <w:t xml:space="preserve">between Energy Solutions and some manufacturers </w:t>
      </w:r>
      <w:r w:rsidRPr="00953C3A">
        <w:t>were required</w:t>
      </w:r>
      <w:r>
        <w:t xml:space="preserve"> </w:t>
      </w:r>
      <w:r w:rsidRPr="00953C3A">
        <w:t>to receive this information</w:t>
      </w:r>
      <w:r>
        <w:t>.</w:t>
      </w:r>
    </w:p>
    <w:p w14:paraId="4CBC4C57" w14:textId="333B2F9C" w:rsidR="00424159" w:rsidRDefault="00424159" w:rsidP="00424159">
      <w:r w:rsidRPr="00953C3A">
        <w:t xml:space="preserve">To maintain a like-for-like comparison between the existing and revised models, updates </w:t>
      </w:r>
      <w:r>
        <w:t>were</w:t>
      </w:r>
      <w:r w:rsidRPr="00953C3A">
        <w:t xml:space="preserve"> only made to the components of the DEER models dealing with the performance mapping of the HVAC system. Any components related to building design or system operation remain</w:t>
      </w:r>
      <w:r>
        <w:t>ed</w:t>
      </w:r>
      <w:r w:rsidRPr="00953C3A">
        <w:t xml:space="preserve"> un</w:t>
      </w:r>
      <w:r>
        <w:t>changed</w:t>
      </w:r>
      <w:r w:rsidRPr="00953C3A">
        <w:t>.</w:t>
      </w:r>
      <w:r>
        <w:t xml:space="preserve"> </w:t>
      </w:r>
      <w:r w:rsidR="00F66E7C">
        <w:rPr>
          <w:highlight w:val="yellow"/>
        </w:rPr>
        <w:fldChar w:fldCharType="begin"/>
      </w:r>
      <w:r w:rsidR="00F66E7C">
        <w:instrText xml:space="preserve"> REF _Ref17196265 \h </w:instrText>
      </w:r>
      <w:r w:rsidR="00F66E7C">
        <w:rPr>
          <w:highlight w:val="yellow"/>
        </w:rPr>
      </w:r>
      <w:r w:rsidR="00F66E7C">
        <w:rPr>
          <w:highlight w:val="yellow"/>
        </w:rPr>
        <w:fldChar w:fldCharType="separate"/>
      </w:r>
      <w:r w:rsidR="00480789">
        <w:t>The table below</w:t>
      </w:r>
      <w:r w:rsidR="00F66E7C">
        <w:rPr>
          <w:highlight w:val="yellow"/>
        </w:rPr>
        <w:fldChar w:fldCharType="end"/>
      </w:r>
      <w:r w:rsidR="00F66E7C">
        <w:t xml:space="preserve"> </w:t>
      </w:r>
      <w:r w:rsidRPr="00953C3A">
        <w:t>contains a detailed list of the HVAC operating parameters</w:t>
      </w:r>
      <w:r>
        <w:t xml:space="preserve"> and performance curves</w:t>
      </w:r>
      <w:r w:rsidRPr="00953C3A">
        <w:t xml:space="preserve"> that </w:t>
      </w:r>
      <w:r>
        <w:t>were</w:t>
      </w:r>
      <w:r w:rsidRPr="00953C3A">
        <w:t xml:space="preserve"> altered, as well as definitions for each parameter.</w:t>
      </w:r>
      <w:r>
        <w:t xml:space="preserve"> </w:t>
      </w:r>
    </w:p>
    <w:p w14:paraId="41E5EE75" w14:textId="469A3F91" w:rsidR="00FE1B4F" w:rsidRDefault="00FE1B4F" w:rsidP="00305AF3">
      <w:pPr>
        <w:pStyle w:val="Caption"/>
      </w:pPr>
      <w:r>
        <w:t>Modified eQuest Inputs and Performance Curves</w:t>
      </w:r>
    </w:p>
    <w:tbl>
      <w:tblPr>
        <w:tblW w:w="9350" w:type="dxa"/>
        <w:jc w:val="center"/>
        <w:tblLook w:val="04A0" w:firstRow="1" w:lastRow="0" w:firstColumn="1" w:lastColumn="0" w:noHBand="0" w:noVBand="1"/>
      </w:tblPr>
      <w:tblGrid>
        <w:gridCol w:w="1570"/>
        <w:gridCol w:w="1425"/>
        <w:gridCol w:w="1803"/>
        <w:gridCol w:w="4552"/>
      </w:tblGrid>
      <w:tr w:rsidR="00424159" w:rsidRPr="00746A1A" w14:paraId="51058374" w14:textId="77777777" w:rsidTr="009E6162">
        <w:trPr>
          <w:trHeight w:val="395"/>
          <w:jc w:val="center"/>
        </w:trPr>
        <w:tc>
          <w:tcPr>
            <w:tcW w:w="15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5B655B" w14:textId="77777777" w:rsidR="00424159" w:rsidRPr="00746A1A" w:rsidRDefault="00424159" w:rsidP="009E6162">
            <w:pPr>
              <w:spacing w:before="0" w:after="0" w:line="240" w:lineRule="auto"/>
              <w:jc w:val="center"/>
              <w:rPr>
                <w:rFonts w:eastAsia="Times New Roman" w:cs="Calibri Light"/>
                <w:b/>
                <w:bCs/>
                <w:color w:val="000000"/>
                <w:sz w:val="20"/>
                <w:szCs w:val="20"/>
              </w:rPr>
            </w:pPr>
            <w:r w:rsidRPr="00746A1A">
              <w:rPr>
                <w:rFonts w:eastAsia="Times New Roman" w:cs="Calibri Light"/>
                <w:b/>
                <w:bCs/>
                <w:color w:val="000000"/>
                <w:sz w:val="20"/>
                <w:szCs w:val="20"/>
              </w:rPr>
              <w:t>Modeling Category</w:t>
            </w:r>
          </w:p>
        </w:tc>
        <w:tc>
          <w:tcPr>
            <w:tcW w:w="1425" w:type="dxa"/>
            <w:tcBorders>
              <w:top w:val="single" w:sz="4" w:space="0" w:color="auto"/>
              <w:left w:val="nil"/>
              <w:bottom w:val="single" w:sz="4" w:space="0" w:color="auto"/>
              <w:right w:val="single" w:sz="4" w:space="0" w:color="auto"/>
            </w:tcBorders>
            <w:shd w:val="clear" w:color="auto" w:fill="F2F2F2" w:themeFill="background1" w:themeFillShade="F2"/>
          </w:tcPr>
          <w:p w14:paraId="3B4C407B" w14:textId="77777777" w:rsidR="00424159" w:rsidRPr="00746A1A" w:rsidRDefault="00424159" w:rsidP="009E6162">
            <w:pPr>
              <w:spacing w:before="0" w:after="0" w:line="240" w:lineRule="auto"/>
              <w:jc w:val="center"/>
              <w:rPr>
                <w:rFonts w:eastAsia="Times New Roman" w:cs="Calibri Light"/>
                <w:b/>
                <w:bCs/>
                <w:color w:val="000000"/>
                <w:sz w:val="20"/>
                <w:szCs w:val="20"/>
              </w:rPr>
            </w:pPr>
            <w:r>
              <w:rPr>
                <w:rFonts w:eastAsia="Times New Roman" w:cs="Calibri Light"/>
                <w:b/>
                <w:bCs/>
                <w:color w:val="000000"/>
                <w:sz w:val="20"/>
                <w:szCs w:val="20"/>
              </w:rPr>
              <w:t>Type of Input</w:t>
            </w:r>
          </w:p>
        </w:tc>
        <w:tc>
          <w:tcPr>
            <w:tcW w:w="18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528227" w14:textId="77777777" w:rsidR="00424159" w:rsidRPr="00746A1A" w:rsidRDefault="00424159" w:rsidP="009E6162">
            <w:pPr>
              <w:spacing w:before="0" w:after="0" w:line="240" w:lineRule="auto"/>
              <w:jc w:val="center"/>
              <w:rPr>
                <w:rFonts w:eastAsia="Times New Roman" w:cs="Calibri Light"/>
                <w:b/>
                <w:bCs/>
                <w:color w:val="000000"/>
                <w:sz w:val="20"/>
                <w:szCs w:val="20"/>
              </w:rPr>
            </w:pPr>
            <w:r w:rsidRPr="00746A1A">
              <w:rPr>
                <w:rFonts w:eastAsia="Times New Roman" w:cs="Calibri Light"/>
                <w:b/>
                <w:bCs/>
                <w:color w:val="000000"/>
                <w:sz w:val="20"/>
                <w:szCs w:val="20"/>
              </w:rPr>
              <w:t>Modeling Value</w:t>
            </w:r>
            <w:r>
              <w:rPr>
                <w:rFonts w:eastAsia="Times New Roman" w:cs="Calibri Light"/>
                <w:b/>
                <w:bCs/>
                <w:color w:val="000000"/>
                <w:sz w:val="20"/>
                <w:szCs w:val="20"/>
              </w:rPr>
              <w:t>/Curve Name</w:t>
            </w:r>
          </w:p>
        </w:tc>
        <w:tc>
          <w:tcPr>
            <w:tcW w:w="45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357F958" w14:textId="77777777" w:rsidR="00424159" w:rsidRPr="00746A1A" w:rsidRDefault="00424159" w:rsidP="009E6162">
            <w:pPr>
              <w:spacing w:before="0" w:after="0" w:line="240" w:lineRule="auto"/>
              <w:jc w:val="center"/>
              <w:rPr>
                <w:rFonts w:eastAsia="Times New Roman" w:cs="Calibri Light"/>
                <w:b/>
                <w:bCs/>
                <w:color w:val="000000"/>
                <w:sz w:val="20"/>
                <w:szCs w:val="20"/>
              </w:rPr>
            </w:pPr>
            <w:r w:rsidRPr="00746A1A">
              <w:rPr>
                <w:rFonts w:eastAsia="Times New Roman" w:cs="Calibri Light"/>
                <w:b/>
                <w:bCs/>
                <w:color w:val="000000"/>
                <w:sz w:val="20"/>
                <w:szCs w:val="20"/>
              </w:rPr>
              <w:t>Description</w:t>
            </w:r>
          </w:p>
        </w:tc>
      </w:tr>
      <w:tr w:rsidR="00424159" w:rsidRPr="00746A1A" w14:paraId="310892D8" w14:textId="77777777" w:rsidTr="009E6162">
        <w:trPr>
          <w:trHeight w:val="795"/>
          <w:jc w:val="center"/>
        </w:trPr>
        <w:tc>
          <w:tcPr>
            <w:tcW w:w="1570" w:type="dxa"/>
            <w:tcBorders>
              <w:top w:val="nil"/>
              <w:left w:val="single" w:sz="4" w:space="0" w:color="auto"/>
              <w:bottom w:val="single" w:sz="4" w:space="0" w:color="auto"/>
              <w:right w:val="single" w:sz="4" w:space="0" w:color="auto"/>
            </w:tcBorders>
            <w:shd w:val="clear" w:color="auto" w:fill="auto"/>
            <w:vAlign w:val="center"/>
            <w:hideMark/>
          </w:tcPr>
          <w:p w14:paraId="5B90D4DA" w14:textId="77777777" w:rsidR="00424159" w:rsidRPr="00746A1A" w:rsidRDefault="00424159" w:rsidP="009E6162">
            <w:pPr>
              <w:spacing w:before="0" w:after="0" w:line="240" w:lineRule="auto"/>
              <w:rPr>
                <w:rFonts w:eastAsia="Times New Roman" w:cs="Calibri Light"/>
                <w:color w:val="000000"/>
                <w:sz w:val="20"/>
                <w:szCs w:val="20"/>
              </w:rPr>
            </w:pPr>
            <w:r w:rsidRPr="00746A1A">
              <w:rPr>
                <w:rFonts w:eastAsia="Times New Roman" w:cstheme="minorHAnsi"/>
                <w:color w:val="000000"/>
                <w:sz w:val="20"/>
                <w:szCs w:val="20"/>
              </w:rPr>
              <w:t>Coil Capacity/Control</w:t>
            </w:r>
          </w:p>
        </w:tc>
        <w:tc>
          <w:tcPr>
            <w:tcW w:w="1425" w:type="dxa"/>
            <w:tcBorders>
              <w:top w:val="single" w:sz="4" w:space="0" w:color="auto"/>
              <w:left w:val="nil"/>
              <w:bottom w:val="single" w:sz="4" w:space="0" w:color="auto"/>
              <w:right w:val="single" w:sz="4" w:space="0" w:color="auto"/>
            </w:tcBorders>
            <w:vAlign w:val="center"/>
          </w:tcPr>
          <w:p w14:paraId="5E42959F"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Single value</w:t>
            </w:r>
          </w:p>
        </w:tc>
        <w:tc>
          <w:tcPr>
            <w:tcW w:w="1803" w:type="dxa"/>
            <w:tcBorders>
              <w:top w:val="nil"/>
              <w:left w:val="single" w:sz="4" w:space="0" w:color="auto"/>
              <w:bottom w:val="single" w:sz="4" w:space="0" w:color="auto"/>
              <w:right w:val="single" w:sz="4" w:space="0" w:color="auto"/>
            </w:tcBorders>
            <w:shd w:val="clear" w:color="auto" w:fill="auto"/>
            <w:vAlign w:val="center"/>
            <w:hideMark/>
          </w:tcPr>
          <w:p w14:paraId="3B72DA37" w14:textId="77777777" w:rsidR="00424159" w:rsidRPr="00746A1A" w:rsidRDefault="00424159" w:rsidP="009E6162">
            <w:pPr>
              <w:spacing w:before="0" w:after="0" w:line="240" w:lineRule="auto"/>
              <w:rPr>
                <w:rFonts w:eastAsia="Times New Roman" w:cs="Calibri Light"/>
                <w:color w:val="000000"/>
                <w:sz w:val="20"/>
                <w:szCs w:val="20"/>
              </w:rPr>
            </w:pPr>
            <w:r w:rsidRPr="00746A1A">
              <w:rPr>
                <w:rFonts w:eastAsia="Times New Roman" w:cstheme="minorHAnsi"/>
                <w:color w:val="000000"/>
                <w:sz w:val="20"/>
                <w:szCs w:val="20"/>
              </w:rPr>
              <w:t>Min Cycling Part Load Ratio (</w:t>
            </w:r>
            <w:proofErr w:type="spellStart"/>
            <w:r w:rsidRPr="00746A1A">
              <w:rPr>
                <w:rFonts w:eastAsia="Times New Roman" w:cstheme="minorHAnsi"/>
                <w:color w:val="000000"/>
                <w:sz w:val="20"/>
                <w:szCs w:val="20"/>
              </w:rPr>
              <w:t>LowSpdCapRatio</w:t>
            </w:r>
            <w:proofErr w:type="spellEnd"/>
            <w:r w:rsidRPr="00746A1A">
              <w:rPr>
                <w:rFonts w:eastAsia="Times New Roman" w:cstheme="minorHAnsi"/>
                <w:color w:val="000000"/>
                <w:sz w:val="20"/>
                <w:szCs w:val="20"/>
              </w:rPr>
              <w:t>)</w:t>
            </w:r>
          </w:p>
        </w:tc>
        <w:tc>
          <w:tcPr>
            <w:tcW w:w="4552" w:type="dxa"/>
            <w:tcBorders>
              <w:top w:val="nil"/>
              <w:left w:val="nil"/>
              <w:bottom w:val="single" w:sz="4" w:space="0" w:color="auto"/>
              <w:right w:val="single" w:sz="4" w:space="0" w:color="auto"/>
            </w:tcBorders>
            <w:shd w:val="clear" w:color="auto" w:fill="auto"/>
            <w:vAlign w:val="center"/>
            <w:hideMark/>
          </w:tcPr>
          <w:p w14:paraId="402A4792" w14:textId="77777777" w:rsidR="00424159" w:rsidRPr="00746A1A" w:rsidRDefault="00424159" w:rsidP="009E6162">
            <w:pPr>
              <w:spacing w:before="0" w:after="0" w:line="240" w:lineRule="auto"/>
              <w:rPr>
                <w:rFonts w:eastAsia="Times New Roman" w:cs="Calibri Light"/>
                <w:color w:val="000000"/>
                <w:sz w:val="20"/>
                <w:szCs w:val="20"/>
              </w:rPr>
            </w:pPr>
            <w:r w:rsidRPr="00746A1A">
              <w:rPr>
                <w:rFonts w:eastAsia="Times New Roman" w:cstheme="minorHAnsi"/>
                <w:color w:val="000000"/>
                <w:sz w:val="20"/>
                <w:szCs w:val="20"/>
              </w:rPr>
              <w:t xml:space="preserve">The minimum part load conditions that the system can cycle down to during cooling  </w:t>
            </w:r>
          </w:p>
        </w:tc>
      </w:tr>
      <w:tr w:rsidR="00424159" w:rsidRPr="00746A1A" w14:paraId="119D38FE" w14:textId="77777777" w:rsidTr="009E6162">
        <w:trPr>
          <w:trHeight w:val="795"/>
          <w:jc w:val="center"/>
        </w:trPr>
        <w:tc>
          <w:tcPr>
            <w:tcW w:w="1570" w:type="dxa"/>
            <w:tcBorders>
              <w:top w:val="nil"/>
              <w:left w:val="single" w:sz="4" w:space="0" w:color="auto"/>
              <w:bottom w:val="single" w:sz="4" w:space="0" w:color="auto"/>
              <w:right w:val="single" w:sz="4" w:space="0" w:color="auto"/>
            </w:tcBorders>
            <w:shd w:val="clear" w:color="auto" w:fill="auto"/>
            <w:vAlign w:val="center"/>
          </w:tcPr>
          <w:p w14:paraId="30F6240A"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Supply Fans</w:t>
            </w:r>
          </w:p>
        </w:tc>
        <w:tc>
          <w:tcPr>
            <w:tcW w:w="1425" w:type="dxa"/>
            <w:tcBorders>
              <w:top w:val="single" w:sz="4" w:space="0" w:color="auto"/>
              <w:left w:val="nil"/>
              <w:bottom w:val="single" w:sz="4" w:space="0" w:color="auto"/>
              <w:right w:val="single" w:sz="4" w:space="0" w:color="auto"/>
            </w:tcBorders>
            <w:vAlign w:val="center"/>
          </w:tcPr>
          <w:p w14:paraId="6DD1569E" w14:textId="77777777" w:rsidR="00424159"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Single value</w:t>
            </w:r>
          </w:p>
        </w:tc>
        <w:tc>
          <w:tcPr>
            <w:tcW w:w="1803" w:type="dxa"/>
            <w:tcBorders>
              <w:top w:val="nil"/>
              <w:left w:val="single" w:sz="4" w:space="0" w:color="auto"/>
              <w:bottom w:val="single" w:sz="4" w:space="0" w:color="auto"/>
              <w:right w:val="single" w:sz="4" w:space="0" w:color="auto"/>
            </w:tcBorders>
            <w:shd w:val="clear" w:color="auto" w:fill="auto"/>
            <w:vAlign w:val="center"/>
          </w:tcPr>
          <w:p w14:paraId="12F4D414"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Min Fan Airflow Ratio (</w:t>
            </w:r>
            <w:proofErr w:type="spellStart"/>
            <w:r>
              <w:rPr>
                <w:rFonts w:eastAsia="Times New Roman" w:cstheme="minorHAnsi"/>
                <w:color w:val="000000"/>
                <w:sz w:val="20"/>
                <w:szCs w:val="20"/>
              </w:rPr>
              <w:t>LowSpdCfmRatio</w:t>
            </w:r>
            <w:proofErr w:type="spellEnd"/>
            <w:r>
              <w:rPr>
                <w:rFonts w:eastAsia="Times New Roman" w:cstheme="minorHAnsi"/>
                <w:color w:val="000000"/>
                <w:sz w:val="20"/>
                <w:szCs w:val="20"/>
              </w:rPr>
              <w:t>)</w:t>
            </w:r>
          </w:p>
        </w:tc>
        <w:tc>
          <w:tcPr>
            <w:tcW w:w="4552" w:type="dxa"/>
            <w:tcBorders>
              <w:top w:val="nil"/>
              <w:left w:val="nil"/>
              <w:bottom w:val="single" w:sz="4" w:space="0" w:color="auto"/>
              <w:right w:val="single" w:sz="4" w:space="0" w:color="auto"/>
            </w:tcBorders>
            <w:shd w:val="clear" w:color="auto" w:fill="auto"/>
            <w:vAlign w:val="center"/>
          </w:tcPr>
          <w:p w14:paraId="5578AD4D" w14:textId="77777777" w:rsidR="00424159" w:rsidRPr="00746A1A" w:rsidRDefault="00424159" w:rsidP="009E6162">
            <w:pPr>
              <w:spacing w:before="0" w:after="0" w:line="240" w:lineRule="auto"/>
              <w:rPr>
                <w:rFonts w:eastAsia="Times New Roman" w:cstheme="minorHAnsi"/>
                <w:color w:val="000000"/>
                <w:sz w:val="20"/>
                <w:szCs w:val="20"/>
              </w:rPr>
            </w:pPr>
            <w:r w:rsidRPr="00953C3A">
              <w:rPr>
                <w:rFonts w:cstheme="minorHAnsi"/>
                <w:sz w:val="20"/>
                <w:szCs w:val="20"/>
              </w:rPr>
              <w:t>The minimum fraction of design flow at full capacity that the supply fan will always deliver, even when the system is not in cooling mode</w:t>
            </w:r>
            <w:r>
              <w:rPr>
                <w:rFonts w:cstheme="minorHAnsi"/>
                <w:sz w:val="20"/>
                <w:szCs w:val="20"/>
              </w:rPr>
              <w:t>.</w:t>
            </w:r>
          </w:p>
        </w:tc>
      </w:tr>
      <w:tr w:rsidR="00424159" w:rsidRPr="00746A1A" w14:paraId="5D96AD56" w14:textId="77777777" w:rsidTr="009E6162">
        <w:trPr>
          <w:trHeight w:val="1035"/>
          <w:jc w:val="center"/>
        </w:trPr>
        <w:tc>
          <w:tcPr>
            <w:tcW w:w="1570" w:type="dxa"/>
            <w:tcBorders>
              <w:top w:val="nil"/>
              <w:left w:val="single" w:sz="4" w:space="0" w:color="auto"/>
              <w:bottom w:val="single" w:sz="4" w:space="0" w:color="auto"/>
              <w:right w:val="single" w:sz="4" w:space="0" w:color="auto"/>
            </w:tcBorders>
            <w:shd w:val="clear" w:color="auto" w:fill="auto"/>
            <w:vAlign w:val="center"/>
            <w:hideMark/>
          </w:tcPr>
          <w:p w14:paraId="57A02FD4" w14:textId="77777777" w:rsidR="00424159" w:rsidRPr="00746A1A" w:rsidRDefault="00424159" w:rsidP="009E6162">
            <w:pPr>
              <w:spacing w:before="0" w:after="0" w:line="240" w:lineRule="auto"/>
              <w:rPr>
                <w:rFonts w:eastAsia="Times New Roman" w:cs="Calibri Light"/>
                <w:color w:val="000000"/>
                <w:sz w:val="20"/>
                <w:szCs w:val="20"/>
              </w:rPr>
            </w:pPr>
            <w:r w:rsidRPr="00746A1A">
              <w:rPr>
                <w:rFonts w:eastAsia="Times New Roman" w:cstheme="minorHAnsi"/>
                <w:color w:val="000000"/>
                <w:sz w:val="20"/>
                <w:szCs w:val="20"/>
              </w:rPr>
              <w:t>Unitary Power</w:t>
            </w:r>
            <w:r>
              <w:rPr>
                <w:rFonts w:eastAsia="Times New Roman" w:cstheme="minorHAnsi"/>
                <w:color w:val="000000"/>
                <w:sz w:val="20"/>
                <w:szCs w:val="20"/>
              </w:rPr>
              <w:t xml:space="preserve"> (full-load)</w:t>
            </w:r>
          </w:p>
        </w:tc>
        <w:tc>
          <w:tcPr>
            <w:tcW w:w="1425" w:type="dxa"/>
            <w:tcBorders>
              <w:top w:val="single" w:sz="4" w:space="0" w:color="auto"/>
              <w:left w:val="nil"/>
              <w:bottom w:val="single" w:sz="4" w:space="0" w:color="auto"/>
              <w:right w:val="single" w:sz="4" w:space="0" w:color="auto"/>
            </w:tcBorders>
            <w:vAlign w:val="center"/>
          </w:tcPr>
          <w:p w14:paraId="3757C3C3"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Single value</w:t>
            </w:r>
          </w:p>
        </w:tc>
        <w:tc>
          <w:tcPr>
            <w:tcW w:w="1803" w:type="dxa"/>
            <w:tcBorders>
              <w:top w:val="nil"/>
              <w:left w:val="single" w:sz="4" w:space="0" w:color="auto"/>
              <w:bottom w:val="single" w:sz="4" w:space="0" w:color="auto"/>
              <w:right w:val="single" w:sz="4" w:space="0" w:color="auto"/>
            </w:tcBorders>
            <w:shd w:val="clear" w:color="auto" w:fill="auto"/>
            <w:vAlign w:val="center"/>
            <w:hideMark/>
          </w:tcPr>
          <w:p w14:paraId="3CFDF152" w14:textId="77777777" w:rsidR="00424159" w:rsidRPr="00746A1A" w:rsidRDefault="00424159" w:rsidP="009E6162">
            <w:pPr>
              <w:spacing w:before="0" w:after="0" w:line="240" w:lineRule="auto"/>
              <w:rPr>
                <w:rFonts w:eastAsia="Times New Roman" w:cs="Calibri Light"/>
                <w:color w:val="000000"/>
                <w:sz w:val="20"/>
                <w:szCs w:val="20"/>
              </w:rPr>
            </w:pPr>
            <w:r w:rsidRPr="00746A1A">
              <w:rPr>
                <w:rFonts w:eastAsia="Times New Roman" w:cstheme="minorHAnsi"/>
                <w:color w:val="000000"/>
                <w:sz w:val="20"/>
                <w:szCs w:val="20"/>
              </w:rPr>
              <w:t>Cooling Electric Input Ratio (</w:t>
            </w:r>
            <w:proofErr w:type="spellStart"/>
            <w:r w:rsidRPr="00746A1A">
              <w:rPr>
                <w:rFonts w:eastAsia="Times New Roman" w:cstheme="minorHAnsi"/>
                <w:color w:val="000000"/>
                <w:sz w:val="20"/>
                <w:szCs w:val="20"/>
              </w:rPr>
              <w:t>CoolingEIR</w:t>
            </w:r>
            <w:proofErr w:type="spellEnd"/>
            <w:r w:rsidRPr="00746A1A">
              <w:rPr>
                <w:rFonts w:eastAsia="Times New Roman" w:cstheme="minorHAnsi"/>
                <w:color w:val="000000"/>
                <w:sz w:val="20"/>
                <w:szCs w:val="20"/>
              </w:rPr>
              <w:t>)</w:t>
            </w:r>
          </w:p>
        </w:tc>
        <w:tc>
          <w:tcPr>
            <w:tcW w:w="4552" w:type="dxa"/>
            <w:tcBorders>
              <w:top w:val="nil"/>
              <w:left w:val="nil"/>
              <w:bottom w:val="single" w:sz="4" w:space="0" w:color="auto"/>
              <w:right w:val="single" w:sz="4" w:space="0" w:color="auto"/>
            </w:tcBorders>
            <w:shd w:val="clear" w:color="auto" w:fill="auto"/>
            <w:vAlign w:val="center"/>
            <w:hideMark/>
          </w:tcPr>
          <w:p w14:paraId="751FBCB0" w14:textId="77777777" w:rsidR="00424159" w:rsidRPr="00746A1A" w:rsidRDefault="00424159" w:rsidP="009E6162">
            <w:pPr>
              <w:spacing w:before="0" w:after="0" w:line="240" w:lineRule="auto"/>
              <w:rPr>
                <w:rFonts w:eastAsia="Times New Roman" w:cs="Calibri Light"/>
                <w:color w:val="000000"/>
                <w:sz w:val="20"/>
                <w:szCs w:val="20"/>
              </w:rPr>
            </w:pPr>
            <w:r w:rsidRPr="00746A1A">
              <w:rPr>
                <w:rFonts w:eastAsia="Times New Roman" w:cstheme="minorHAnsi"/>
                <w:color w:val="000000"/>
                <w:sz w:val="20"/>
                <w:szCs w:val="20"/>
              </w:rPr>
              <w:t>The EIR refers to the ratio of the system’s electric input power to its rated cooling capacity at AHRI conditions. The value of the EIR determines the system’s efficiency. EIR can also be defined as</w:t>
            </w:r>
            <w:r>
              <w:rPr>
                <w:rFonts w:eastAsia="Times New Roman" w:cstheme="minorHAnsi"/>
                <w:color w:val="000000"/>
                <w:sz w:val="20"/>
                <w:szCs w:val="20"/>
              </w:rPr>
              <w:t xml:space="preserve"> </w:t>
            </w:r>
            <m:oMath>
              <m:f>
                <m:fPr>
                  <m:type m:val="skw"/>
                  <m:ctrlPr>
                    <w:rPr>
                      <w:rFonts w:ascii="Cambria Math" w:eastAsia="Times New Roman" w:hAnsi="Cambria Math" w:cstheme="minorHAnsi"/>
                      <w:i/>
                      <w:color w:val="000000"/>
                      <w:sz w:val="20"/>
                      <w:szCs w:val="20"/>
                    </w:rPr>
                  </m:ctrlPr>
                </m:fPr>
                <m:num>
                  <m:r>
                    <w:rPr>
                      <w:rFonts w:ascii="Cambria Math" w:eastAsia="Times New Roman" w:hAnsi="Cambria Math" w:cstheme="minorHAnsi"/>
                      <w:color w:val="000000"/>
                      <w:sz w:val="20"/>
                      <w:szCs w:val="20"/>
                    </w:rPr>
                    <m:t>1</m:t>
                  </m:r>
                </m:num>
                <m:den>
                  <m:r>
                    <w:rPr>
                      <w:rFonts w:ascii="Cambria Math" w:eastAsia="Times New Roman" w:hAnsi="Cambria Math" w:cstheme="minorHAnsi"/>
                      <w:color w:val="000000"/>
                      <w:sz w:val="20"/>
                      <w:szCs w:val="20"/>
                    </w:rPr>
                    <m:t>COP</m:t>
                  </m:r>
                </m:den>
              </m:f>
            </m:oMath>
            <w:r w:rsidRPr="00746A1A">
              <w:rPr>
                <w:rFonts w:eastAsia="Times New Roman" w:cstheme="minorHAnsi"/>
                <w:color w:val="000000"/>
                <w:sz w:val="20"/>
                <w:szCs w:val="20"/>
              </w:rPr>
              <w:t xml:space="preserve"> </w:t>
            </w:r>
            <w:r>
              <w:rPr>
                <w:rFonts w:eastAsia="Times New Roman" w:cstheme="minorHAnsi"/>
                <w:color w:val="000000"/>
                <w:sz w:val="20"/>
                <w:szCs w:val="20"/>
              </w:rPr>
              <w:t xml:space="preserve">  with indoor fan contributions excluded or </w:t>
            </w:r>
            <m:oMath>
              <m:f>
                <m:fPr>
                  <m:type m:val="skw"/>
                  <m:ctrlPr>
                    <w:rPr>
                      <w:rFonts w:ascii="Cambria Math" w:eastAsia="Times New Roman" w:hAnsi="Cambria Math" w:cstheme="minorHAnsi"/>
                      <w:i/>
                      <w:color w:val="000000"/>
                      <w:sz w:val="20"/>
                      <w:szCs w:val="20"/>
                    </w:rPr>
                  </m:ctrlPr>
                </m:fPr>
                <m:num>
                  <m:r>
                    <w:rPr>
                      <w:rFonts w:ascii="Cambria Math" w:eastAsia="Times New Roman" w:hAnsi="Cambria Math" w:cstheme="minorHAnsi"/>
                      <w:color w:val="000000"/>
                      <w:sz w:val="20"/>
                      <w:szCs w:val="20"/>
                    </w:rPr>
                    <m:t>1</m:t>
                  </m:r>
                </m:num>
                <m:den>
                  <m:sSub>
                    <m:sSubPr>
                      <m:ctrlPr>
                        <w:rPr>
                          <w:rFonts w:ascii="Cambria Math" w:eastAsia="Times New Roman" w:hAnsi="Cambria Math" w:cstheme="minorHAnsi"/>
                          <w:i/>
                          <w:color w:val="000000"/>
                          <w:sz w:val="20"/>
                          <w:szCs w:val="20"/>
                        </w:rPr>
                      </m:ctrlPr>
                    </m:sSubPr>
                    <m:e>
                      <m:r>
                        <w:rPr>
                          <w:rFonts w:ascii="Cambria Math" w:eastAsia="Times New Roman" w:hAnsi="Cambria Math" w:cstheme="minorHAnsi"/>
                          <w:color w:val="000000"/>
                          <w:sz w:val="20"/>
                          <w:szCs w:val="20"/>
                        </w:rPr>
                        <m:t>EER</m:t>
                      </m:r>
                    </m:e>
                    <m:sub>
                      <m:r>
                        <w:rPr>
                          <w:rFonts w:ascii="Cambria Math" w:eastAsia="Times New Roman" w:hAnsi="Cambria Math" w:cstheme="minorHAnsi"/>
                          <w:color w:val="000000"/>
                          <w:sz w:val="20"/>
                          <w:szCs w:val="20"/>
                        </w:rPr>
                        <m:t>compressor</m:t>
                      </m:r>
                    </m:sub>
                  </m:sSub>
                </m:den>
              </m:f>
            </m:oMath>
            <w:r>
              <w:rPr>
                <w:rFonts w:eastAsia="Times New Roman" w:cstheme="minorHAnsi"/>
                <w:color w:val="000000"/>
                <w:sz w:val="20"/>
                <w:szCs w:val="20"/>
              </w:rPr>
              <w:t xml:space="preserve"> . Outdoor fan power is included in this value for these simulations, and the outdoor fan power (“CondWPerBtuh”) is set to 0 W/Btuh. </w:t>
            </w:r>
          </w:p>
        </w:tc>
      </w:tr>
      <w:tr w:rsidR="00424159" w:rsidRPr="00746A1A" w14:paraId="364D9BFD" w14:textId="77777777" w:rsidTr="009E6162">
        <w:trPr>
          <w:trHeight w:val="1035"/>
          <w:jc w:val="center"/>
        </w:trPr>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7884B0C1"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Unitary Power (part-load)</w:t>
            </w:r>
          </w:p>
        </w:tc>
        <w:tc>
          <w:tcPr>
            <w:tcW w:w="1425" w:type="dxa"/>
            <w:tcBorders>
              <w:top w:val="single" w:sz="4" w:space="0" w:color="auto"/>
              <w:left w:val="nil"/>
              <w:bottom w:val="single" w:sz="4" w:space="0" w:color="auto"/>
              <w:right w:val="single" w:sz="4" w:space="0" w:color="auto"/>
            </w:tcBorders>
            <w:vAlign w:val="center"/>
          </w:tcPr>
          <w:p w14:paraId="157DC744" w14:textId="77777777" w:rsidR="00424159"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Performance curve</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tcPr>
          <w:p w14:paraId="15522597"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Cooling Electric Input Ratio as a function of part-load ratio (</w:t>
            </w:r>
            <w:proofErr w:type="spellStart"/>
            <w:r>
              <w:rPr>
                <w:rFonts w:eastAsia="Times New Roman" w:cstheme="minorHAnsi"/>
                <w:color w:val="000000"/>
                <w:sz w:val="20"/>
                <w:szCs w:val="20"/>
              </w:rPr>
              <w:t>CEIR_fPLR</w:t>
            </w:r>
            <w:proofErr w:type="spellEnd"/>
            <w:r>
              <w:rPr>
                <w:rFonts w:eastAsia="Times New Roman" w:cstheme="minorHAnsi"/>
                <w:color w:val="000000"/>
                <w:sz w:val="20"/>
                <w:szCs w:val="20"/>
              </w:rPr>
              <w:t>)</w:t>
            </w:r>
          </w:p>
        </w:tc>
        <w:tc>
          <w:tcPr>
            <w:tcW w:w="4552" w:type="dxa"/>
            <w:tcBorders>
              <w:top w:val="single" w:sz="4" w:space="0" w:color="auto"/>
              <w:left w:val="nil"/>
              <w:bottom w:val="single" w:sz="4" w:space="0" w:color="auto"/>
              <w:right w:val="single" w:sz="4" w:space="0" w:color="auto"/>
            </w:tcBorders>
            <w:shd w:val="clear" w:color="auto" w:fill="auto"/>
            <w:vAlign w:val="center"/>
          </w:tcPr>
          <w:p w14:paraId="0B78D9F1" w14:textId="77777777" w:rsidR="00424159" w:rsidRPr="00746A1A" w:rsidRDefault="00424159" w:rsidP="009E6162">
            <w:pPr>
              <w:spacing w:before="0" w:after="0" w:line="240" w:lineRule="auto"/>
              <w:rPr>
                <w:rFonts w:eastAsia="Times New Roman" w:cstheme="minorHAnsi"/>
                <w:color w:val="000000"/>
                <w:sz w:val="20"/>
                <w:szCs w:val="20"/>
              </w:rPr>
            </w:pPr>
            <w:r>
              <w:rPr>
                <w:rFonts w:eastAsia="Times New Roman" w:cstheme="minorHAnsi"/>
                <w:color w:val="000000"/>
                <w:sz w:val="20"/>
                <w:szCs w:val="20"/>
              </w:rPr>
              <w:t xml:space="preserve">A cubic function with part-load ratio as the independent variable and cooling fraction of full-load EIR as the dependent variable. EIR is normalized such that at 100% PLR, the EIR value is 1.0. </w:t>
            </w:r>
          </w:p>
        </w:tc>
      </w:tr>
    </w:tbl>
    <w:p w14:paraId="5A65FD8B" w14:textId="77777777" w:rsidR="00424159" w:rsidRDefault="00424159" w:rsidP="00424159">
      <w:r>
        <w:t>The reason why each of the four modeling inputs are changed from DEER is described below:</w:t>
      </w:r>
    </w:p>
    <w:p w14:paraId="15BCA606" w14:textId="77777777" w:rsidR="00424159" w:rsidRDefault="00424159" w:rsidP="00424159">
      <w:pPr>
        <w:pStyle w:val="ListParagraph"/>
        <w:numPr>
          <w:ilvl w:val="0"/>
          <w:numId w:val="23"/>
        </w:numPr>
        <w:spacing w:before="0" w:after="160" w:line="259" w:lineRule="auto"/>
      </w:pPr>
      <w:r>
        <w:t xml:space="preserve">Compressor minimum unload ratio: PG&amp;E adjusted this value to account for the fact that the units being modeled can unload to less than 50% before having to cycle. </w:t>
      </w:r>
    </w:p>
    <w:p w14:paraId="0139F692" w14:textId="77777777" w:rsidR="00424159" w:rsidRDefault="00424159" w:rsidP="00424159">
      <w:pPr>
        <w:pStyle w:val="ListParagraph"/>
        <w:numPr>
          <w:ilvl w:val="0"/>
          <w:numId w:val="23"/>
        </w:numPr>
        <w:spacing w:before="0" w:after="160" w:line="259" w:lineRule="auto"/>
      </w:pPr>
      <w:r>
        <w:t>Supply fan minimum airflow ratio: PG&amp;E adjusted this value from the default of 0.66 which represents a two-speed fan down to 0.4 which represents a multi speed (three or more steps) fan with a lower fan speed setting for ventilation mode.</w:t>
      </w:r>
    </w:p>
    <w:p w14:paraId="27B4EFF8" w14:textId="77777777" w:rsidR="00424159" w:rsidRDefault="00424159" w:rsidP="00424159">
      <w:pPr>
        <w:pStyle w:val="ListParagraph"/>
        <w:numPr>
          <w:ilvl w:val="0"/>
          <w:numId w:val="23"/>
        </w:numPr>
        <w:spacing w:before="0" w:after="160" w:line="259" w:lineRule="auto"/>
      </w:pPr>
      <w:r>
        <w:t xml:space="preserve">Compressor electric input ratio (EIR): PG&amp;E used the same full-load EIR value as the DEER 12.0 EER measure, since full-load EIR is essentially going to dictate the full-load EER of the AC unit, and the units in the measure case are also required to have a 12.0 EER. It should be noted that DEER combined the condenser fan and compressor energy into a single EIR value, a procedure which PG&amp;E also followed. </w:t>
      </w:r>
    </w:p>
    <w:p w14:paraId="6366C805" w14:textId="77777777" w:rsidR="00424159" w:rsidRDefault="00424159" w:rsidP="00424159">
      <w:pPr>
        <w:pStyle w:val="ListParagraph"/>
        <w:numPr>
          <w:ilvl w:val="0"/>
          <w:numId w:val="23"/>
        </w:numPr>
      </w:pPr>
      <w:r>
        <w:lastRenderedPageBreak/>
        <w:t xml:space="preserve">Compressor EIR as a function of PLR: PG&amp;E replaced the default DEER curve with a manufacturer-derived curve in order to capture the advanced part-load efficiency of the unit being modeled. PG&amp;E simulated a number of compressor control strategies and then selected the compressor EIR f(PLR) curves with median savings results for use in the final workpaper savings calculations. </w:t>
      </w:r>
    </w:p>
    <w:p w14:paraId="791465BB" w14:textId="77777777" w:rsidR="00424159" w:rsidRDefault="00424159" w:rsidP="00424159">
      <w:pPr>
        <w:pStyle w:val="eTRMHeading5"/>
      </w:pPr>
      <w:r>
        <w:t>CPUC Disposition and Subsequent Edits</w:t>
      </w:r>
    </w:p>
    <w:p w14:paraId="1E8FAD79" w14:textId="77777777" w:rsidR="00424159" w:rsidRDefault="00424159" w:rsidP="00424159">
      <w:r>
        <w:t xml:space="preserve">The February 2018 CPUC disposition requested raw data used to generate these curves. This is not possible due to the fact that the curves came from thermophysical computer models. These highly accurate models are used to generate AHRI and U.S. DOE ratings and are calibrated using laboratory data. The models must be accurate since AHRI and DOE ratings are subject to third-party validation. </w:t>
      </w:r>
      <w:r w:rsidRPr="00953C3A">
        <w:t xml:space="preserve">As the ED mentioned in discussions with PG&amp;E, different vendors use different techniques to achieve high part load ratings and therefore </w:t>
      </w:r>
      <w:r>
        <w:t xml:space="preserve">curves were not </w:t>
      </w:r>
      <w:r w:rsidRPr="00953C3A">
        <w:t>blend</w:t>
      </w:r>
      <w:r>
        <w:t xml:space="preserve">ed. Units from </w:t>
      </w:r>
      <w:r w:rsidRPr="00953C3A">
        <w:t xml:space="preserve">manufacturers </w:t>
      </w:r>
      <w:r>
        <w:t>were simulated</w:t>
      </w:r>
      <w:r w:rsidRPr="00953C3A">
        <w:t xml:space="preserve"> and</w:t>
      </w:r>
      <w:r>
        <w:t xml:space="preserve"> the models with the lowest efficiency ratings that still met the requirements were used to represent the tier. All modeling files are available to the CPUC upon request, but were not attached to the work paper due to size constraints (&gt;40 GB of data). Data was collected that represent every “advanced feature” option in the measure description. </w:t>
      </w:r>
    </w:p>
    <w:p w14:paraId="08FEBC39" w14:textId="7FCC8722" w:rsidR="00424159" w:rsidRDefault="00424159" w:rsidP="00424159">
      <w:r>
        <w:t xml:space="preserve">In the CPUC disposition, it was stated that cooling EIR calculations must be shown. It was also stated that the “as-modeled” EER must match the EER requirement in the measure description. </w:t>
      </w:r>
      <w:r w:rsidR="00EC0790">
        <w:t>B</w:t>
      </w:r>
      <w:r>
        <w:t xml:space="preserve">ecause the measures require 12.0 EER, the cooling EIR from the DEER measures at 12.0 EER </w:t>
      </w:r>
      <w:r w:rsidR="00EC0790">
        <w:t>is</w:t>
      </w:r>
      <w:r>
        <w:t xml:space="preserve"> used </w:t>
      </w:r>
      <w:r w:rsidR="00EC0790">
        <w:t>for the measure case</w:t>
      </w:r>
      <w:r>
        <w:t xml:space="preserve"> simulations. </w:t>
      </w:r>
      <w:r w:rsidR="00D729E2">
        <w:rPr>
          <w:highlight w:val="yellow"/>
        </w:rPr>
        <w:fldChar w:fldCharType="begin"/>
      </w:r>
      <w:r w:rsidR="00D729E2">
        <w:instrText xml:space="preserve"> REF _Ref17196265 \h </w:instrText>
      </w:r>
      <w:r w:rsidR="00D729E2">
        <w:rPr>
          <w:highlight w:val="yellow"/>
        </w:rPr>
      </w:r>
      <w:r w:rsidR="00D729E2">
        <w:rPr>
          <w:highlight w:val="yellow"/>
        </w:rPr>
        <w:fldChar w:fldCharType="separate"/>
      </w:r>
      <w:r w:rsidR="00D729E2">
        <w:t xml:space="preserve">Table </w:t>
      </w:r>
      <w:r w:rsidR="00D729E2">
        <w:rPr>
          <w:noProof/>
        </w:rPr>
        <w:t>11</w:t>
      </w:r>
      <w:r w:rsidR="00D729E2">
        <w:rPr>
          <w:highlight w:val="yellow"/>
        </w:rPr>
        <w:fldChar w:fldCharType="end"/>
      </w:r>
      <w:r w:rsidR="00D729E2">
        <w:t xml:space="preserve"> </w:t>
      </w:r>
      <w:r>
        <w:t>shows that the condenser W/</w:t>
      </w:r>
      <w:proofErr w:type="spellStart"/>
      <w:r>
        <w:t>Btuh</w:t>
      </w:r>
      <w:proofErr w:type="spellEnd"/>
      <w:r>
        <w:t xml:space="preserve"> value is set to zero, which is a change from the first version of this workpaper to bring the workpaper modeling methods into closer alignment with DEER. The supply fan minimum airflow settings were reduced from the DEER default value of 0.66 to 0.4 in order to represent a lower fan speed setting in ventilation mode that a multi-speed fan can achieve. The DEER default value of 0.66 represents a code-minimum two-speed fan. </w:t>
      </w:r>
    </w:p>
    <w:p w14:paraId="2F879234" w14:textId="77777777" w:rsidR="00424159" w:rsidRPr="00175A04" w:rsidRDefault="00424159" w:rsidP="00424159">
      <w:r>
        <w:t xml:space="preserve">The original version of the workpaper used different design airflow W/cfm values which correlated to the particular units being modeled in eQuest. The CPUC disposition noted that their research did not establish a definitive relationship between overall unit IEER and supply fan W/cfm, and therefore that value was held constant across the base to measure-case models. PG&amp;E conducted additional research which confirmed this finding. Now, the DEER value for supply fan W/cfm is used in our measure case models. Our fan energy savings arise from the supply fan’s ability to reduce its speed during low demand or ventilation hours lower than a standard two-speed fan. </w:t>
      </w:r>
    </w:p>
    <w:p w14:paraId="7F0090E8" w14:textId="77777777" w:rsidR="00424159" w:rsidRDefault="00424159" w:rsidP="00424159">
      <w:r>
        <w:t xml:space="preserve">Though the DEER cycling loss performance curve is now used, the CPUC disposition pointed out that this curve only applies to the first stage of cooling and stated that the higher stage cycling losses should still be captured in the compressor EIR f(PLR) curve. As a result, PG&amp;E modified its compressor EIR f(PLR) curve used for this modeling effort in accordance with the procedure outlined in the CPUC-supplied spreadsheet titled “Multispeed_PkgPerfMapDemo_2018_10_09.xslx” (included as an attachment to this workpaper). The calculations to modify the manufacturer curve are shown in the spreadsheet titled “HigherStageCycLoss.xlsx” (also included as an attachment to this workpaper). Because PG&amp;E is modeling tandem compressors on a single refrigerant circuit, when in higher stages of cooling, cycling losses should be lower than when the refrigerant is in the first stage of cooling because refrigerant is always flowing through the system. A coefficient of degradation of 20% is used in the first stage of cooling (captured in the cycling loss performance curve) and a coefficient of degradation of 7% is used in higher stages of cooling. Both figures are used from CPUC guidance as shown in the spreadsheet “Multispeed_PkgPerfMapDemo_2018_10_09.xslx.” The 20% value in the first stage of cooling is what DEER has traditionally used to represent the cycling loss degradation coefficient, and is also the value </w:t>
      </w:r>
      <w:r>
        <w:lastRenderedPageBreak/>
        <w:t>used in AHRI 210/240 when a cyclic test is not conducted.</w:t>
      </w:r>
      <w:r>
        <w:rPr>
          <w:rStyle w:val="FootnoteReference"/>
        </w:rPr>
        <w:footnoteReference w:id="6"/>
      </w:r>
      <w:r>
        <w:t xml:space="preserve"> The 7% cycling loss value was negotiated between PG&amp;E and the CPUC to represent the cycling loss in higher stages of cooling on a single refrigerant circuit. </w:t>
      </w:r>
    </w:p>
    <w:p w14:paraId="65FD1BC4" w14:textId="14FCDF4C" w:rsidR="00E827BA" w:rsidRDefault="00424159" w:rsidP="00AB71BC">
      <w:r>
        <w:t xml:space="preserve">The CPUC disposition also contained a request for more information on PVAV systems (including hot gas bypass at low loads). Because PVAV was only modeled in 20-63.3 tons, a size category which was eliminated for this version of the workpaper, addressing those topics is no longer needed. </w:t>
      </w:r>
    </w:p>
    <w:p w14:paraId="46B7702E" w14:textId="77777777" w:rsidR="00BB4F22" w:rsidRPr="004B06E3" w:rsidRDefault="00BB4F22" w:rsidP="00BB4F22">
      <w:pPr>
        <w:pStyle w:val="eTRMHeading3"/>
      </w:pPr>
      <w:bookmarkStart w:id="39" w:name="_Toc486490856"/>
      <w:bookmarkStart w:id="40" w:name="_Toc486580927"/>
      <w:bookmarkStart w:id="41" w:name="_Toc10539887"/>
      <w:r w:rsidRPr="004B06E3">
        <w:t>Peak Electric Demand Reduction (</w:t>
      </w:r>
      <w:r w:rsidRPr="0026110B">
        <w:rPr>
          <w:caps w:val="0"/>
        </w:rPr>
        <w:t>kW</w:t>
      </w:r>
      <w:r w:rsidRPr="004B06E3">
        <w:t>)</w:t>
      </w:r>
      <w:bookmarkEnd w:id="39"/>
      <w:bookmarkEnd w:id="40"/>
      <w:bookmarkEnd w:id="41"/>
    </w:p>
    <w:p w14:paraId="74B62601" w14:textId="326C6636" w:rsidR="0020432F" w:rsidRDefault="0020432F" w:rsidP="0020432F">
      <w:r>
        <w:t>The DEER peak demand period as defined in DEER2020 was used to calculate peak demand for each model and subsequently used to calculate peak demand reduction for each measure case.</w:t>
      </w:r>
      <w:r>
        <w:rPr>
          <w:rStyle w:val="FootnoteReference"/>
        </w:rPr>
        <w:footnoteReference w:id="7"/>
      </w:r>
      <w:r>
        <w:t xml:space="preserve"> The DEER2020 Peak Period Update changed the hours of the day</w:t>
      </w:r>
      <w:r w:rsidR="00E8188B">
        <w:t xml:space="preserve">, </w:t>
      </w:r>
      <w:r>
        <w:t>from 2 to 5 PM to 4 to 9 PM</w:t>
      </w:r>
      <w:r w:rsidR="00E8188B">
        <w:t>,</w:t>
      </w:r>
      <w:r>
        <w:t xml:space="preserve"> but not the summer days by climate zone. The peak kW savings calculations were done following DEER procedures. The peak period is a three-day summer heat wave specific to each of the 16 climate zones. The three-day period for each climate zone is shown in the table below (assumes a 2009 simulation year).</w:t>
      </w:r>
    </w:p>
    <w:p w14:paraId="71CE6F32" w14:textId="2DDFC161" w:rsidR="009A0D4E" w:rsidRDefault="009A0D4E" w:rsidP="00305AF3">
      <w:pPr>
        <w:pStyle w:val="Caption"/>
      </w:pPr>
      <w:r>
        <w:t>DEER Peak Period Days by Climate Zone</w:t>
      </w:r>
    </w:p>
    <w:tbl>
      <w:tblPr>
        <w:tblStyle w:val="TableGrid"/>
        <w:tblW w:w="0" w:type="auto"/>
        <w:jc w:val="center"/>
        <w:tblLook w:val="04A0" w:firstRow="1" w:lastRow="0" w:firstColumn="1" w:lastColumn="0" w:noHBand="0" w:noVBand="1"/>
      </w:tblPr>
      <w:tblGrid>
        <w:gridCol w:w="3505"/>
        <w:gridCol w:w="2430"/>
      </w:tblGrid>
      <w:tr w:rsidR="0020432F" w:rsidRPr="006B5B02" w14:paraId="13DEBC19" w14:textId="77777777" w:rsidTr="006B5B02">
        <w:trPr>
          <w:jc w:val="center"/>
        </w:trPr>
        <w:tc>
          <w:tcPr>
            <w:tcW w:w="3505" w:type="dxa"/>
            <w:shd w:val="clear" w:color="auto" w:fill="F2F2F2" w:themeFill="background1" w:themeFillShade="F2"/>
          </w:tcPr>
          <w:p w14:paraId="0ADCF6F8" w14:textId="77777777" w:rsidR="0020432F" w:rsidRPr="006B5B02" w:rsidRDefault="0020432F" w:rsidP="006B2DA7">
            <w:pPr>
              <w:rPr>
                <w:b/>
                <w:sz w:val="20"/>
              </w:rPr>
            </w:pPr>
            <w:r w:rsidRPr="006B5B02">
              <w:rPr>
                <w:b/>
                <w:sz w:val="20"/>
              </w:rPr>
              <w:t>Climate Zone</w:t>
            </w:r>
          </w:p>
        </w:tc>
        <w:tc>
          <w:tcPr>
            <w:tcW w:w="2430" w:type="dxa"/>
            <w:shd w:val="clear" w:color="auto" w:fill="F2F2F2" w:themeFill="background1" w:themeFillShade="F2"/>
          </w:tcPr>
          <w:p w14:paraId="59FB2C48" w14:textId="77777777" w:rsidR="0020432F" w:rsidRPr="006B5B02" w:rsidRDefault="0020432F" w:rsidP="006B2DA7">
            <w:pPr>
              <w:rPr>
                <w:b/>
                <w:sz w:val="20"/>
              </w:rPr>
            </w:pPr>
            <w:r w:rsidRPr="006B5B02">
              <w:rPr>
                <w:b/>
                <w:sz w:val="20"/>
              </w:rPr>
              <w:t>Peak Period Days</w:t>
            </w:r>
          </w:p>
        </w:tc>
      </w:tr>
      <w:tr w:rsidR="0020432F" w:rsidRPr="006B5B02" w14:paraId="4E7C0F9E" w14:textId="77777777" w:rsidTr="006B5B02">
        <w:trPr>
          <w:jc w:val="center"/>
        </w:trPr>
        <w:tc>
          <w:tcPr>
            <w:tcW w:w="3505" w:type="dxa"/>
          </w:tcPr>
          <w:p w14:paraId="62E2BACF" w14:textId="77777777" w:rsidR="0020432F" w:rsidRPr="006B5B02" w:rsidRDefault="0020432F" w:rsidP="006B2DA7">
            <w:pPr>
              <w:rPr>
                <w:sz w:val="20"/>
              </w:rPr>
            </w:pPr>
            <w:r w:rsidRPr="006B5B02">
              <w:rPr>
                <w:sz w:val="20"/>
              </w:rPr>
              <w:t>CZ01</w:t>
            </w:r>
          </w:p>
        </w:tc>
        <w:tc>
          <w:tcPr>
            <w:tcW w:w="2430" w:type="dxa"/>
          </w:tcPr>
          <w:p w14:paraId="2F258C17" w14:textId="77777777" w:rsidR="0020432F" w:rsidRPr="006B5B02" w:rsidRDefault="0020432F" w:rsidP="006B2DA7">
            <w:pPr>
              <w:rPr>
                <w:sz w:val="20"/>
              </w:rPr>
            </w:pPr>
            <w:r w:rsidRPr="006B5B02">
              <w:rPr>
                <w:sz w:val="20"/>
              </w:rPr>
              <w:t>September 16-18</w:t>
            </w:r>
          </w:p>
        </w:tc>
      </w:tr>
      <w:tr w:rsidR="0020432F" w:rsidRPr="006B5B02" w14:paraId="1D705212" w14:textId="77777777" w:rsidTr="006B5B02">
        <w:trPr>
          <w:jc w:val="center"/>
        </w:trPr>
        <w:tc>
          <w:tcPr>
            <w:tcW w:w="3505" w:type="dxa"/>
          </w:tcPr>
          <w:p w14:paraId="08700242" w14:textId="77777777" w:rsidR="0020432F" w:rsidRPr="006B5B02" w:rsidRDefault="0020432F" w:rsidP="006B2DA7">
            <w:pPr>
              <w:rPr>
                <w:sz w:val="20"/>
              </w:rPr>
            </w:pPr>
            <w:r w:rsidRPr="006B5B02">
              <w:rPr>
                <w:sz w:val="20"/>
              </w:rPr>
              <w:t>CZ02, CZ03, CZ11, CZ12, CZ13, CZ16</w:t>
            </w:r>
          </w:p>
        </w:tc>
        <w:tc>
          <w:tcPr>
            <w:tcW w:w="2430" w:type="dxa"/>
          </w:tcPr>
          <w:p w14:paraId="4C1359FE" w14:textId="77777777" w:rsidR="0020432F" w:rsidRPr="006B5B02" w:rsidRDefault="0020432F" w:rsidP="006B2DA7">
            <w:pPr>
              <w:rPr>
                <w:sz w:val="20"/>
              </w:rPr>
            </w:pPr>
            <w:r w:rsidRPr="006B5B02">
              <w:rPr>
                <w:sz w:val="20"/>
              </w:rPr>
              <w:t>July 8-10</w:t>
            </w:r>
          </w:p>
        </w:tc>
      </w:tr>
      <w:tr w:rsidR="0020432F" w:rsidRPr="006B5B02" w14:paraId="3DFF629E" w14:textId="77777777" w:rsidTr="006B5B02">
        <w:trPr>
          <w:jc w:val="center"/>
        </w:trPr>
        <w:tc>
          <w:tcPr>
            <w:tcW w:w="3505" w:type="dxa"/>
          </w:tcPr>
          <w:p w14:paraId="79094C7C" w14:textId="77777777" w:rsidR="0020432F" w:rsidRPr="006B5B02" w:rsidRDefault="0020432F" w:rsidP="006B2DA7">
            <w:pPr>
              <w:rPr>
                <w:sz w:val="20"/>
              </w:rPr>
            </w:pPr>
            <w:r w:rsidRPr="006B5B02">
              <w:rPr>
                <w:sz w:val="20"/>
              </w:rPr>
              <w:t>CZ04, CZ06, CZ07, CZ08, CZ09, CZ10</w:t>
            </w:r>
          </w:p>
        </w:tc>
        <w:tc>
          <w:tcPr>
            <w:tcW w:w="2430" w:type="dxa"/>
          </w:tcPr>
          <w:p w14:paraId="74C829FA" w14:textId="77777777" w:rsidR="0020432F" w:rsidRPr="006B5B02" w:rsidRDefault="0020432F" w:rsidP="006B2DA7">
            <w:pPr>
              <w:rPr>
                <w:sz w:val="20"/>
              </w:rPr>
            </w:pPr>
            <w:r w:rsidRPr="006B5B02">
              <w:rPr>
                <w:sz w:val="20"/>
              </w:rPr>
              <w:t>September 1-3</w:t>
            </w:r>
          </w:p>
        </w:tc>
      </w:tr>
      <w:tr w:rsidR="0020432F" w:rsidRPr="006B5B02" w14:paraId="3D82B374" w14:textId="77777777" w:rsidTr="006B5B02">
        <w:trPr>
          <w:jc w:val="center"/>
        </w:trPr>
        <w:tc>
          <w:tcPr>
            <w:tcW w:w="3505" w:type="dxa"/>
          </w:tcPr>
          <w:p w14:paraId="0977188D" w14:textId="77777777" w:rsidR="0020432F" w:rsidRPr="006B5B02" w:rsidRDefault="0020432F" w:rsidP="006B2DA7">
            <w:pPr>
              <w:rPr>
                <w:sz w:val="20"/>
              </w:rPr>
            </w:pPr>
            <w:r w:rsidRPr="006B5B02">
              <w:rPr>
                <w:sz w:val="20"/>
              </w:rPr>
              <w:t>CZ05</w:t>
            </w:r>
          </w:p>
        </w:tc>
        <w:tc>
          <w:tcPr>
            <w:tcW w:w="2430" w:type="dxa"/>
          </w:tcPr>
          <w:p w14:paraId="38F581D6" w14:textId="77777777" w:rsidR="0020432F" w:rsidRPr="006B5B02" w:rsidRDefault="0020432F" w:rsidP="006B2DA7">
            <w:pPr>
              <w:rPr>
                <w:sz w:val="20"/>
              </w:rPr>
            </w:pPr>
            <w:r w:rsidRPr="006B5B02">
              <w:rPr>
                <w:sz w:val="20"/>
              </w:rPr>
              <w:t>September 8-10</w:t>
            </w:r>
          </w:p>
        </w:tc>
      </w:tr>
      <w:tr w:rsidR="0020432F" w:rsidRPr="006B5B02" w14:paraId="632E3554" w14:textId="77777777" w:rsidTr="006B5B02">
        <w:trPr>
          <w:jc w:val="center"/>
        </w:trPr>
        <w:tc>
          <w:tcPr>
            <w:tcW w:w="3505" w:type="dxa"/>
          </w:tcPr>
          <w:p w14:paraId="5A2B3245" w14:textId="77777777" w:rsidR="0020432F" w:rsidRPr="006B5B02" w:rsidRDefault="0020432F" w:rsidP="006B2DA7">
            <w:pPr>
              <w:rPr>
                <w:sz w:val="20"/>
              </w:rPr>
            </w:pPr>
            <w:r w:rsidRPr="006B5B02">
              <w:rPr>
                <w:sz w:val="20"/>
              </w:rPr>
              <w:t>CZ14</w:t>
            </w:r>
          </w:p>
        </w:tc>
        <w:tc>
          <w:tcPr>
            <w:tcW w:w="2430" w:type="dxa"/>
          </w:tcPr>
          <w:p w14:paraId="463465B2" w14:textId="77777777" w:rsidR="0020432F" w:rsidRPr="006B5B02" w:rsidRDefault="0020432F" w:rsidP="006B2DA7">
            <w:pPr>
              <w:rPr>
                <w:sz w:val="20"/>
              </w:rPr>
            </w:pPr>
            <w:r w:rsidRPr="006B5B02">
              <w:rPr>
                <w:sz w:val="20"/>
              </w:rPr>
              <w:t>August 26-28</w:t>
            </w:r>
          </w:p>
        </w:tc>
      </w:tr>
      <w:tr w:rsidR="0020432F" w:rsidRPr="006B5B02" w14:paraId="4D1F033D" w14:textId="77777777" w:rsidTr="006B5B02">
        <w:trPr>
          <w:jc w:val="center"/>
        </w:trPr>
        <w:tc>
          <w:tcPr>
            <w:tcW w:w="3505" w:type="dxa"/>
          </w:tcPr>
          <w:p w14:paraId="7EC0C548" w14:textId="77777777" w:rsidR="0020432F" w:rsidRPr="006B5B02" w:rsidRDefault="0020432F" w:rsidP="006B2DA7">
            <w:pPr>
              <w:rPr>
                <w:sz w:val="20"/>
              </w:rPr>
            </w:pPr>
            <w:r w:rsidRPr="006B5B02">
              <w:rPr>
                <w:sz w:val="20"/>
              </w:rPr>
              <w:t>CZ15</w:t>
            </w:r>
          </w:p>
        </w:tc>
        <w:tc>
          <w:tcPr>
            <w:tcW w:w="2430" w:type="dxa"/>
          </w:tcPr>
          <w:p w14:paraId="445D5F54" w14:textId="77777777" w:rsidR="0020432F" w:rsidRPr="006B5B02" w:rsidRDefault="0020432F" w:rsidP="006B2DA7">
            <w:pPr>
              <w:rPr>
                <w:sz w:val="20"/>
              </w:rPr>
            </w:pPr>
            <w:r w:rsidRPr="006B5B02">
              <w:rPr>
                <w:sz w:val="20"/>
              </w:rPr>
              <w:t>August 25-27</w:t>
            </w:r>
          </w:p>
        </w:tc>
      </w:tr>
    </w:tbl>
    <w:p w14:paraId="39CC2050" w14:textId="77777777" w:rsidR="0020432F" w:rsidRDefault="0020432F" w:rsidP="0020432F"/>
    <w:p w14:paraId="732CC9D2" w14:textId="511F63DF" w:rsidR="005C7B6B" w:rsidRDefault="0020432F" w:rsidP="005C7B6B">
      <w:r>
        <w:t xml:space="preserve">In accordance with DEER2020 guidance, the peak period for each day is now defined as the window between 4 and 9 PM. Therefore, PG&amp;E used the combination of the peak period days between the hours of 4-9 PM to extract the average electricity usage from each simulation for both the base case and measure cases. The peak savings were calculated as the difference between the electricity consumption between the two cases over the specified time periods by climate zone. </w:t>
      </w:r>
    </w:p>
    <w:p w14:paraId="619BDFC4" w14:textId="77777777" w:rsidR="00B216C2" w:rsidRPr="005C36B6" w:rsidRDefault="00B216C2" w:rsidP="007A1D2D"/>
    <w:p w14:paraId="02E97124" w14:textId="77777777" w:rsidR="00177EB6" w:rsidRPr="004B06E3" w:rsidRDefault="00177EB6" w:rsidP="00177EB6">
      <w:pPr>
        <w:pStyle w:val="eTRMHeading3"/>
      </w:pPr>
      <w:bookmarkStart w:id="42" w:name="_Toc486490858"/>
      <w:bookmarkStart w:id="43" w:name="_Toc486580929"/>
      <w:bookmarkStart w:id="44" w:name="_Toc10539888"/>
      <w:r w:rsidRPr="004B06E3">
        <w:lastRenderedPageBreak/>
        <w:t>Gas Savings (</w:t>
      </w:r>
      <w:r w:rsidRPr="0026110B">
        <w:rPr>
          <w:caps w:val="0"/>
        </w:rPr>
        <w:t>Therms</w:t>
      </w:r>
      <w:r w:rsidRPr="004B06E3">
        <w:t>)</w:t>
      </w:r>
      <w:bookmarkEnd w:id="42"/>
      <w:bookmarkEnd w:id="43"/>
      <w:bookmarkEnd w:id="44"/>
    </w:p>
    <w:p w14:paraId="476DC477" w14:textId="610CEBEA" w:rsidR="00F8464D" w:rsidRDefault="002F6CCF" w:rsidP="00AB71BC">
      <w:r>
        <w:t xml:space="preserve">There are no gas savings associated with this measure. </w:t>
      </w:r>
    </w:p>
    <w:p w14:paraId="47C353BD" w14:textId="77777777" w:rsidR="005608EF" w:rsidRPr="005C36B6" w:rsidRDefault="005608EF" w:rsidP="00AB71BC"/>
    <w:p w14:paraId="4DDCD51F" w14:textId="4F2BBAD7" w:rsidR="007D230B" w:rsidRPr="004B06E3" w:rsidRDefault="00245AFF" w:rsidP="00462BB6">
      <w:pPr>
        <w:pStyle w:val="eTRMHeading3"/>
      </w:pPr>
      <w:bookmarkStart w:id="45" w:name="_Toc10539889"/>
      <w:bookmarkStart w:id="46" w:name="_Toc486490859"/>
      <w:bookmarkStart w:id="47" w:name="_Toc486580930"/>
      <w:r w:rsidRPr="004B06E3">
        <w:t>Life Cycle</w:t>
      </w:r>
      <w:bookmarkEnd w:id="45"/>
      <w:r w:rsidR="007D230B" w:rsidRPr="004B06E3">
        <w:t xml:space="preserve"> </w:t>
      </w:r>
      <w:bookmarkEnd w:id="46"/>
      <w:bookmarkEnd w:id="47"/>
    </w:p>
    <w:p w14:paraId="06AA5F2D" w14:textId="191C7F3F" w:rsidR="00BC5A43" w:rsidRPr="00961018" w:rsidRDefault="00BC5A43" w:rsidP="00BC5A43">
      <w:r w:rsidRPr="00961018">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8"/>
      </w:r>
      <w:r w:rsidRPr="00961018">
        <w:t xml:space="preserve"> This approach provides a reasonable RUL estimate without the requiring any a priori knowledge about the age of the equipment being replaced.</w:t>
      </w:r>
      <w:r w:rsidRPr="00961018">
        <w:rPr>
          <w:vertAlign w:val="superscript"/>
        </w:rPr>
        <w:footnoteReference w:id="9"/>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10"/>
      </w:r>
    </w:p>
    <w:p w14:paraId="5C6D4C8D" w14:textId="4D451DF9" w:rsidR="00BC5A43" w:rsidRDefault="007F669E" w:rsidP="00BC5A43">
      <w:r>
        <w:t xml:space="preserve">The EUL and RUL </w:t>
      </w:r>
      <w:r w:rsidR="0026110B">
        <w:t xml:space="preserve">specified below, are based upon </w:t>
      </w:r>
      <w:r w:rsidR="00D443C2">
        <w:t xml:space="preserve">version 2.5.1 of the DEER READI tool. </w:t>
      </w:r>
    </w:p>
    <w:p w14:paraId="5101849E" w14:textId="2EBF8CF9" w:rsidR="009A0D4E" w:rsidRDefault="009A0D4E" w:rsidP="00305AF3">
      <w:pPr>
        <w:pStyle w:val="Caption"/>
      </w:pPr>
      <w:r>
        <w:t>Effective Useful Life and Remaining Useful Life</w:t>
      </w:r>
    </w:p>
    <w:tbl>
      <w:tblPr>
        <w:tblW w:w="539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65"/>
        <w:gridCol w:w="720"/>
        <w:gridCol w:w="2610"/>
      </w:tblGrid>
      <w:tr w:rsidR="00485834" w:rsidRPr="00500C4E" w14:paraId="1FE81044" w14:textId="0C091959" w:rsidTr="006B5B02">
        <w:trPr>
          <w:cantSplit/>
          <w:trHeight w:val="20"/>
          <w:jc w:val="center"/>
        </w:trPr>
        <w:tc>
          <w:tcPr>
            <w:tcW w:w="206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72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261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Pr>
                <w:rFonts w:cstheme="minorHAnsi"/>
                <w:b/>
                <w:sz w:val="20"/>
                <w:szCs w:val="20"/>
              </w:rPr>
              <w:t>Source</w:t>
            </w:r>
          </w:p>
        </w:tc>
      </w:tr>
      <w:tr w:rsidR="00485834" w:rsidRPr="00500C4E" w14:paraId="7B636A73" w14:textId="217149CE" w:rsidTr="002B609D">
        <w:trPr>
          <w:cantSplit/>
          <w:trHeight w:val="20"/>
          <w:jc w:val="center"/>
        </w:trPr>
        <w:tc>
          <w:tcPr>
            <w:tcW w:w="2065" w:type="dxa"/>
            <w:vAlign w:val="center"/>
          </w:tcPr>
          <w:p w14:paraId="64E6D65F" w14:textId="1B76CB91" w:rsidR="00485834" w:rsidRPr="00177EB6" w:rsidRDefault="00485834" w:rsidP="002B609D">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r w:rsidR="00561400">
              <w:rPr>
                <w:rFonts w:cstheme="minorHAnsi"/>
                <w:sz w:val="20"/>
                <w:szCs w:val="20"/>
              </w:rPr>
              <w:t xml:space="preserve"> – measure</w:t>
            </w:r>
          </w:p>
        </w:tc>
        <w:tc>
          <w:tcPr>
            <w:tcW w:w="720" w:type="dxa"/>
            <w:vAlign w:val="center"/>
          </w:tcPr>
          <w:p w14:paraId="636160CC" w14:textId="2B7FA730" w:rsidR="00485834" w:rsidRPr="0026110B" w:rsidRDefault="00D443C2" w:rsidP="002B609D">
            <w:pPr>
              <w:keepNext/>
              <w:keepLines/>
              <w:spacing w:before="20" w:after="20"/>
              <w:jc w:val="center"/>
              <w:rPr>
                <w:sz w:val="20"/>
                <w:szCs w:val="20"/>
              </w:rPr>
            </w:pPr>
            <w:r>
              <w:rPr>
                <w:sz w:val="20"/>
                <w:szCs w:val="20"/>
              </w:rPr>
              <w:t>15</w:t>
            </w:r>
          </w:p>
        </w:tc>
        <w:tc>
          <w:tcPr>
            <w:tcW w:w="2610" w:type="dxa"/>
            <w:vAlign w:val="center"/>
          </w:tcPr>
          <w:p w14:paraId="12293357" w14:textId="08561504" w:rsidR="00485834" w:rsidRPr="006B2DA7" w:rsidRDefault="00D443C2" w:rsidP="002B609D">
            <w:pPr>
              <w:pStyle w:val="CommentText"/>
              <w:rPr>
                <w:sz w:val="20"/>
                <w:szCs w:val="20"/>
              </w:rPr>
            </w:pPr>
            <w:r w:rsidRPr="006B2DA7">
              <w:rPr>
                <w:sz w:val="20"/>
                <w:szCs w:val="20"/>
              </w:rPr>
              <w:t>DEER READI v2.5.1</w:t>
            </w:r>
          </w:p>
        </w:tc>
      </w:tr>
      <w:tr w:rsidR="00462F22" w:rsidRPr="00500C4E" w14:paraId="71B5E131" w14:textId="77777777" w:rsidTr="002B609D">
        <w:trPr>
          <w:cantSplit/>
          <w:trHeight w:val="377"/>
          <w:jc w:val="center"/>
        </w:trPr>
        <w:tc>
          <w:tcPr>
            <w:tcW w:w="2065" w:type="dxa"/>
            <w:vAlign w:val="center"/>
          </w:tcPr>
          <w:p w14:paraId="3CA660A8" w14:textId="21BD22CC" w:rsidR="00462F22" w:rsidRPr="00177EB6" w:rsidRDefault="00462F22" w:rsidP="002B609D">
            <w:pPr>
              <w:keepNext/>
              <w:keepLines/>
              <w:spacing w:before="20" w:after="20"/>
              <w:rPr>
                <w:rFonts w:cstheme="minorHAnsi"/>
                <w:sz w:val="20"/>
                <w:szCs w:val="20"/>
              </w:rPr>
            </w:pPr>
            <w:r>
              <w:rPr>
                <w:rFonts w:cstheme="minorHAnsi"/>
                <w:sz w:val="20"/>
                <w:szCs w:val="20"/>
              </w:rPr>
              <w:t>EUL (</w:t>
            </w:r>
            <w:proofErr w:type="spellStart"/>
            <w:r>
              <w:rPr>
                <w:rFonts w:cstheme="minorHAnsi"/>
                <w:sz w:val="20"/>
                <w:szCs w:val="20"/>
              </w:rPr>
              <w:t>yrs</w:t>
            </w:r>
            <w:proofErr w:type="spellEnd"/>
            <w:r>
              <w:rPr>
                <w:rFonts w:cstheme="minorHAnsi"/>
                <w:sz w:val="20"/>
                <w:szCs w:val="20"/>
              </w:rPr>
              <w:t xml:space="preserve">) – host </w:t>
            </w:r>
          </w:p>
        </w:tc>
        <w:tc>
          <w:tcPr>
            <w:tcW w:w="720" w:type="dxa"/>
            <w:vAlign w:val="center"/>
          </w:tcPr>
          <w:p w14:paraId="55D6E299" w14:textId="681927EA" w:rsidR="00462F22" w:rsidRPr="0026110B" w:rsidRDefault="00D443C2" w:rsidP="002B609D">
            <w:pPr>
              <w:keepNext/>
              <w:keepLines/>
              <w:spacing w:before="20" w:after="20"/>
              <w:jc w:val="center"/>
              <w:rPr>
                <w:sz w:val="20"/>
                <w:szCs w:val="20"/>
              </w:rPr>
            </w:pPr>
            <w:r>
              <w:rPr>
                <w:sz w:val="20"/>
                <w:szCs w:val="20"/>
              </w:rPr>
              <w:t>15</w:t>
            </w:r>
          </w:p>
        </w:tc>
        <w:tc>
          <w:tcPr>
            <w:tcW w:w="2610" w:type="dxa"/>
            <w:vAlign w:val="center"/>
          </w:tcPr>
          <w:p w14:paraId="2FBFF20E" w14:textId="14056093" w:rsidR="00462F22" w:rsidRPr="006B2DA7" w:rsidRDefault="00D443C2" w:rsidP="002B609D">
            <w:pPr>
              <w:rPr>
                <w:sz w:val="20"/>
                <w:szCs w:val="20"/>
              </w:rPr>
            </w:pPr>
            <w:r w:rsidRPr="006B2DA7">
              <w:rPr>
                <w:sz w:val="20"/>
                <w:szCs w:val="20"/>
              </w:rPr>
              <w:t>DEER READI v2.5.1</w:t>
            </w:r>
          </w:p>
        </w:tc>
      </w:tr>
      <w:tr w:rsidR="00462F22" w:rsidRPr="00500C4E" w14:paraId="71871DE1" w14:textId="51A3395E" w:rsidTr="002B609D">
        <w:trPr>
          <w:cantSplit/>
          <w:trHeight w:val="20"/>
          <w:jc w:val="center"/>
        </w:trPr>
        <w:tc>
          <w:tcPr>
            <w:tcW w:w="2065" w:type="dxa"/>
            <w:vAlign w:val="center"/>
          </w:tcPr>
          <w:p w14:paraId="4BA48D82" w14:textId="5EFD77B9" w:rsidR="00462F22" w:rsidRPr="00177EB6" w:rsidRDefault="00462F22" w:rsidP="002B609D">
            <w:pPr>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p>
        </w:tc>
        <w:tc>
          <w:tcPr>
            <w:tcW w:w="720" w:type="dxa"/>
            <w:vAlign w:val="center"/>
          </w:tcPr>
          <w:p w14:paraId="012CC38D" w14:textId="2D569BB4" w:rsidR="00462F22" w:rsidRPr="0026110B" w:rsidRDefault="00D443C2" w:rsidP="002B609D">
            <w:pPr>
              <w:keepNext/>
              <w:keepLines/>
              <w:spacing w:before="20" w:after="20"/>
              <w:jc w:val="center"/>
              <w:rPr>
                <w:sz w:val="20"/>
                <w:szCs w:val="20"/>
              </w:rPr>
            </w:pPr>
            <w:r>
              <w:rPr>
                <w:sz w:val="20"/>
                <w:szCs w:val="20"/>
              </w:rPr>
              <w:t>5</w:t>
            </w:r>
          </w:p>
        </w:tc>
        <w:tc>
          <w:tcPr>
            <w:tcW w:w="2610" w:type="dxa"/>
            <w:vAlign w:val="center"/>
          </w:tcPr>
          <w:p w14:paraId="7DDC9DCA" w14:textId="172F3A73" w:rsidR="00462F22" w:rsidRPr="00F8464D" w:rsidRDefault="00D443C2" w:rsidP="002B609D">
            <w:pPr>
              <w:keepNext/>
              <w:keepLines/>
              <w:spacing w:before="20" w:after="20"/>
              <w:rPr>
                <w:sz w:val="20"/>
                <w:szCs w:val="20"/>
              </w:rPr>
            </w:pPr>
            <w:r>
              <w:rPr>
                <w:sz w:val="20"/>
                <w:szCs w:val="20"/>
              </w:rPr>
              <w:t>DEER READI v2.5.1</w:t>
            </w:r>
          </w:p>
        </w:tc>
      </w:tr>
    </w:tbl>
    <w:p w14:paraId="21BBC22B" w14:textId="77777777" w:rsidR="007D230B" w:rsidRPr="004B06E3" w:rsidRDefault="007D230B" w:rsidP="004142EF"/>
    <w:p w14:paraId="3B14B593" w14:textId="77777777" w:rsidR="007D230B" w:rsidRPr="004B06E3" w:rsidRDefault="007D230B" w:rsidP="00462BB6">
      <w:pPr>
        <w:pStyle w:val="eTRMHeading3"/>
      </w:pPr>
      <w:bookmarkStart w:id="48" w:name="_Toc486490860"/>
      <w:bookmarkStart w:id="49" w:name="_Toc486580931"/>
      <w:bookmarkStart w:id="50" w:name="_Toc10539890"/>
      <w:r w:rsidRPr="004B06E3">
        <w:t>Base Case Material Cost ($/unit)</w:t>
      </w:r>
      <w:bookmarkEnd w:id="48"/>
      <w:bookmarkEnd w:id="49"/>
      <w:bookmarkEnd w:id="50"/>
    </w:p>
    <w:p w14:paraId="3A22D6DD" w14:textId="05303E9D" w:rsidR="00D76E52" w:rsidRPr="006B2DA7" w:rsidRDefault="006B2DA7" w:rsidP="00D76E52">
      <w:r w:rsidRPr="006B2DA7">
        <w:t xml:space="preserve">Base case equipment costs were collected via a survey of distributors. </w:t>
      </w:r>
      <w:r w:rsidRPr="00305AF3">
        <w:t>The full survey information is contained in an attached spreadsheet named “Unitary AC – High IEER Tiers IMCs.xlsx.”</w:t>
      </w:r>
      <w:r w:rsidRPr="006B2DA7">
        <w:t xml:space="preserve"> The information has been anonymized to protect business sensitive information. </w:t>
      </w:r>
    </w:p>
    <w:p w14:paraId="72FFB4FE" w14:textId="64969267" w:rsidR="009A0D4E" w:rsidRDefault="009A0D4E" w:rsidP="00305AF3">
      <w:pPr>
        <w:pStyle w:val="Caption"/>
      </w:pPr>
      <w:r>
        <w:t>Base Case Equipment Costs by Size Category</w:t>
      </w:r>
    </w:p>
    <w:tbl>
      <w:tblPr>
        <w:tblStyle w:val="TableGrid"/>
        <w:tblW w:w="0" w:type="auto"/>
        <w:jc w:val="center"/>
        <w:tblLook w:val="04A0" w:firstRow="1" w:lastRow="0" w:firstColumn="1" w:lastColumn="0" w:noHBand="0" w:noVBand="1"/>
      </w:tblPr>
      <w:tblGrid>
        <w:gridCol w:w="2875"/>
        <w:gridCol w:w="2250"/>
        <w:gridCol w:w="2520"/>
      </w:tblGrid>
      <w:tr w:rsidR="00AB1940" w:rsidRPr="006B2DA7" w14:paraId="0A4C8CC4" w14:textId="77777777" w:rsidTr="00B216C2">
        <w:trPr>
          <w:jc w:val="center"/>
        </w:trPr>
        <w:tc>
          <w:tcPr>
            <w:tcW w:w="2875" w:type="dxa"/>
            <w:shd w:val="clear" w:color="auto" w:fill="F2F2F2" w:themeFill="background1" w:themeFillShade="F2"/>
          </w:tcPr>
          <w:p w14:paraId="098EAF3A" w14:textId="61263561" w:rsidR="00AB1940" w:rsidRPr="006B2DA7" w:rsidRDefault="00AB1940" w:rsidP="004142EF">
            <w:pPr>
              <w:rPr>
                <w:b/>
                <w:sz w:val="20"/>
              </w:rPr>
            </w:pPr>
            <w:r w:rsidRPr="006B2DA7">
              <w:rPr>
                <w:b/>
                <w:sz w:val="20"/>
              </w:rPr>
              <w:t>Equipment Size</w:t>
            </w:r>
          </w:p>
        </w:tc>
        <w:tc>
          <w:tcPr>
            <w:tcW w:w="2250" w:type="dxa"/>
            <w:shd w:val="clear" w:color="auto" w:fill="F2F2F2" w:themeFill="background1" w:themeFillShade="F2"/>
          </w:tcPr>
          <w:p w14:paraId="452CE985" w14:textId="320BEEF9" w:rsidR="00AB1940" w:rsidRPr="006B2DA7" w:rsidRDefault="00AB1940" w:rsidP="004142EF">
            <w:pPr>
              <w:rPr>
                <w:b/>
                <w:sz w:val="20"/>
              </w:rPr>
            </w:pPr>
            <w:r w:rsidRPr="006B2DA7">
              <w:rPr>
                <w:b/>
                <w:sz w:val="20"/>
              </w:rPr>
              <w:t>Equipment Efficiency</w:t>
            </w:r>
          </w:p>
        </w:tc>
        <w:tc>
          <w:tcPr>
            <w:tcW w:w="2520" w:type="dxa"/>
            <w:shd w:val="clear" w:color="auto" w:fill="F2F2F2" w:themeFill="background1" w:themeFillShade="F2"/>
          </w:tcPr>
          <w:p w14:paraId="41E5070E" w14:textId="4D86BDD1" w:rsidR="00AB1940" w:rsidRPr="006B2DA7" w:rsidRDefault="00AB1940" w:rsidP="004142EF">
            <w:pPr>
              <w:rPr>
                <w:b/>
                <w:sz w:val="20"/>
              </w:rPr>
            </w:pPr>
            <w:r w:rsidRPr="006B2DA7">
              <w:rPr>
                <w:b/>
                <w:sz w:val="20"/>
              </w:rPr>
              <w:t>Equipment Cost per Ton</w:t>
            </w:r>
          </w:p>
        </w:tc>
      </w:tr>
      <w:tr w:rsidR="00AB1940" w:rsidRPr="006B2DA7" w14:paraId="3F69E161" w14:textId="77777777" w:rsidTr="00B216C2">
        <w:trPr>
          <w:jc w:val="center"/>
        </w:trPr>
        <w:tc>
          <w:tcPr>
            <w:tcW w:w="2875" w:type="dxa"/>
          </w:tcPr>
          <w:p w14:paraId="35C0E52A" w14:textId="4C62A2F3" w:rsidR="00AB1940" w:rsidRPr="006B2DA7" w:rsidRDefault="00AB1940" w:rsidP="004142EF">
            <w:pPr>
              <w:rPr>
                <w:sz w:val="20"/>
              </w:rPr>
            </w:pPr>
            <w:r w:rsidRPr="006B2DA7">
              <w:rPr>
                <w:sz w:val="20"/>
              </w:rPr>
              <w:t>65-134 kBtu/h (5.4-11.25 tons)</w:t>
            </w:r>
          </w:p>
        </w:tc>
        <w:tc>
          <w:tcPr>
            <w:tcW w:w="2250" w:type="dxa"/>
          </w:tcPr>
          <w:p w14:paraId="2388E27B" w14:textId="1E65E146" w:rsidR="00AB1940" w:rsidRPr="006B2DA7" w:rsidRDefault="00AB1940" w:rsidP="004142EF">
            <w:pPr>
              <w:rPr>
                <w:sz w:val="20"/>
              </w:rPr>
            </w:pPr>
            <w:r w:rsidRPr="006B2DA7">
              <w:rPr>
                <w:sz w:val="20"/>
              </w:rPr>
              <w:t>11.0 EER/12.7 IEER</w:t>
            </w:r>
          </w:p>
        </w:tc>
        <w:tc>
          <w:tcPr>
            <w:tcW w:w="2520" w:type="dxa"/>
          </w:tcPr>
          <w:p w14:paraId="44244B4F" w14:textId="6707710D" w:rsidR="00AB1940" w:rsidRPr="006B2DA7" w:rsidRDefault="00AB1940" w:rsidP="004142EF">
            <w:pPr>
              <w:rPr>
                <w:sz w:val="20"/>
              </w:rPr>
            </w:pPr>
            <w:r w:rsidRPr="006B2DA7">
              <w:rPr>
                <w:sz w:val="20"/>
              </w:rPr>
              <w:t>$746.50</w:t>
            </w:r>
          </w:p>
        </w:tc>
      </w:tr>
      <w:tr w:rsidR="00AB1940" w:rsidRPr="006B2DA7" w14:paraId="4DC982F9" w14:textId="77777777" w:rsidTr="00B216C2">
        <w:trPr>
          <w:jc w:val="center"/>
        </w:trPr>
        <w:tc>
          <w:tcPr>
            <w:tcW w:w="2875" w:type="dxa"/>
          </w:tcPr>
          <w:p w14:paraId="5BF80B3F" w14:textId="780987DA" w:rsidR="00AB1940" w:rsidRPr="006B2DA7" w:rsidRDefault="00AB1940" w:rsidP="004142EF">
            <w:pPr>
              <w:rPr>
                <w:sz w:val="20"/>
              </w:rPr>
            </w:pPr>
            <w:r w:rsidRPr="006B2DA7">
              <w:rPr>
                <w:sz w:val="20"/>
              </w:rPr>
              <w:t>135-239 kBtu/h (11.25-20 tons)</w:t>
            </w:r>
          </w:p>
        </w:tc>
        <w:tc>
          <w:tcPr>
            <w:tcW w:w="2250" w:type="dxa"/>
          </w:tcPr>
          <w:p w14:paraId="2A11E7ED" w14:textId="2A085424" w:rsidR="00AB1940" w:rsidRPr="006B2DA7" w:rsidRDefault="00AB1940" w:rsidP="004142EF">
            <w:pPr>
              <w:rPr>
                <w:sz w:val="20"/>
              </w:rPr>
            </w:pPr>
            <w:r w:rsidRPr="006B2DA7">
              <w:rPr>
                <w:sz w:val="20"/>
              </w:rPr>
              <w:t>10.8 EER/12.2 IEER</w:t>
            </w:r>
          </w:p>
        </w:tc>
        <w:tc>
          <w:tcPr>
            <w:tcW w:w="2520" w:type="dxa"/>
          </w:tcPr>
          <w:p w14:paraId="55D454E4" w14:textId="55654B98" w:rsidR="00AB1940" w:rsidRPr="006B2DA7" w:rsidRDefault="00AB1940" w:rsidP="004142EF">
            <w:pPr>
              <w:rPr>
                <w:sz w:val="20"/>
              </w:rPr>
            </w:pPr>
            <w:r w:rsidRPr="006B2DA7">
              <w:rPr>
                <w:sz w:val="20"/>
              </w:rPr>
              <w:t>$705.46</w:t>
            </w:r>
          </w:p>
        </w:tc>
      </w:tr>
    </w:tbl>
    <w:p w14:paraId="6CF3EEE6" w14:textId="77777777" w:rsidR="00AB1940" w:rsidRPr="004B06E3" w:rsidRDefault="00AB1940" w:rsidP="004142EF"/>
    <w:p w14:paraId="4FFDCBA5" w14:textId="48786B30" w:rsidR="00AB1940" w:rsidRDefault="007D230B" w:rsidP="002F6CCF">
      <w:pPr>
        <w:pStyle w:val="eTRMHeading3"/>
      </w:pPr>
      <w:bookmarkStart w:id="51" w:name="_Toc486490861"/>
      <w:bookmarkStart w:id="52" w:name="_Toc486580932"/>
      <w:bookmarkStart w:id="53" w:name="_Toc10539891"/>
      <w:r w:rsidRPr="004B06E3">
        <w:lastRenderedPageBreak/>
        <w:t>Measure Case Material Cost ($/unit)</w:t>
      </w:r>
      <w:bookmarkEnd w:id="51"/>
      <w:bookmarkEnd w:id="52"/>
      <w:bookmarkEnd w:id="53"/>
    </w:p>
    <w:p w14:paraId="0CC060A7" w14:textId="2AE64298" w:rsidR="006B2DA7" w:rsidRPr="006B2DA7" w:rsidRDefault="006B2DA7" w:rsidP="006B2DA7">
      <w:r w:rsidRPr="006B2DA7">
        <w:t xml:space="preserve">Measure case equipment costs were collected via a survey of distributors. The full survey information is contained in an attached spreadsheet named “Unitary AC – High IEER Tiers IMCs.xlsx.” The information has been anonymized to protect business sensitive information. </w:t>
      </w:r>
    </w:p>
    <w:p w14:paraId="225238B9" w14:textId="0EE6F43F" w:rsidR="009A0D4E" w:rsidRDefault="009A0D4E" w:rsidP="00305AF3">
      <w:pPr>
        <w:pStyle w:val="Caption"/>
      </w:pPr>
      <w:r>
        <w:t>Measure Case Equipment Costs by Size Category</w:t>
      </w:r>
    </w:p>
    <w:tbl>
      <w:tblPr>
        <w:tblStyle w:val="TableGrid"/>
        <w:tblW w:w="0" w:type="auto"/>
        <w:jc w:val="center"/>
        <w:tblLook w:val="04A0" w:firstRow="1" w:lastRow="0" w:firstColumn="1" w:lastColumn="0" w:noHBand="0" w:noVBand="1"/>
      </w:tblPr>
      <w:tblGrid>
        <w:gridCol w:w="2965"/>
        <w:gridCol w:w="2250"/>
        <w:gridCol w:w="2430"/>
      </w:tblGrid>
      <w:tr w:rsidR="00AB1940" w:rsidRPr="006B2DA7" w14:paraId="199B1421" w14:textId="77777777" w:rsidTr="00B216C2">
        <w:trPr>
          <w:jc w:val="center"/>
        </w:trPr>
        <w:tc>
          <w:tcPr>
            <w:tcW w:w="2965" w:type="dxa"/>
            <w:shd w:val="clear" w:color="auto" w:fill="F2F2F2" w:themeFill="background1" w:themeFillShade="F2"/>
          </w:tcPr>
          <w:p w14:paraId="4DA1290A" w14:textId="77777777" w:rsidR="00AB1940" w:rsidRPr="006B2DA7" w:rsidRDefault="00AB1940" w:rsidP="00D116EA">
            <w:pPr>
              <w:rPr>
                <w:b/>
                <w:sz w:val="20"/>
              </w:rPr>
            </w:pPr>
            <w:r w:rsidRPr="006B2DA7">
              <w:rPr>
                <w:b/>
                <w:sz w:val="20"/>
              </w:rPr>
              <w:t>Equipment Size</w:t>
            </w:r>
          </w:p>
        </w:tc>
        <w:tc>
          <w:tcPr>
            <w:tcW w:w="2250" w:type="dxa"/>
            <w:shd w:val="clear" w:color="auto" w:fill="F2F2F2" w:themeFill="background1" w:themeFillShade="F2"/>
          </w:tcPr>
          <w:p w14:paraId="01698487" w14:textId="6C48797A" w:rsidR="00AB1940" w:rsidRPr="006B2DA7" w:rsidRDefault="00AB1940" w:rsidP="00D116EA">
            <w:pPr>
              <w:rPr>
                <w:b/>
                <w:sz w:val="20"/>
              </w:rPr>
            </w:pPr>
            <w:r w:rsidRPr="006B2DA7">
              <w:rPr>
                <w:b/>
                <w:sz w:val="20"/>
              </w:rPr>
              <w:t>Equipment Efficiency</w:t>
            </w:r>
          </w:p>
        </w:tc>
        <w:tc>
          <w:tcPr>
            <w:tcW w:w="2430" w:type="dxa"/>
            <w:shd w:val="clear" w:color="auto" w:fill="F2F2F2" w:themeFill="background1" w:themeFillShade="F2"/>
          </w:tcPr>
          <w:p w14:paraId="3AB05434" w14:textId="0B16B6A5" w:rsidR="00AB1940" w:rsidRPr="006B2DA7" w:rsidRDefault="00AB1940" w:rsidP="00D116EA">
            <w:pPr>
              <w:rPr>
                <w:b/>
                <w:sz w:val="20"/>
              </w:rPr>
            </w:pPr>
            <w:r w:rsidRPr="006B2DA7">
              <w:rPr>
                <w:b/>
                <w:sz w:val="20"/>
              </w:rPr>
              <w:t>Equipment Cost per Ton</w:t>
            </w:r>
          </w:p>
        </w:tc>
      </w:tr>
      <w:tr w:rsidR="00AB1940" w:rsidRPr="006B2DA7" w14:paraId="592DF7A4" w14:textId="77777777" w:rsidTr="00B216C2">
        <w:trPr>
          <w:jc w:val="center"/>
        </w:trPr>
        <w:tc>
          <w:tcPr>
            <w:tcW w:w="2965" w:type="dxa"/>
          </w:tcPr>
          <w:p w14:paraId="6D5FE32B" w14:textId="77777777" w:rsidR="00AB1940" w:rsidRPr="006B2DA7" w:rsidRDefault="00AB1940" w:rsidP="00D116EA">
            <w:pPr>
              <w:rPr>
                <w:sz w:val="20"/>
              </w:rPr>
            </w:pPr>
            <w:r w:rsidRPr="006B2DA7">
              <w:rPr>
                <w:sz w:val="20"/>
              </w:rPr>
              <w:t>65-134 kBtu/h (5.4-11.25 tons)</w:t>
            </w:r>
          </w:p>
        </w:tc>
        <w:tc>
          <w:tcPr>
            <w:tcW w:w="2250" w:type="dxa"/>
          </w:tcPr>
          <w:p w14:paraId="5827F4F2" w14:textId="45E68BF0" w:rsidR="00AB1940" w:rsidRPr="006B2DA7" w:rsidRDefault="00AB1940" w:rsidP="00D116EA">
            <w:pPr>
              <w:rPr>
                <w:sz w:val="20"/>
              </w:rPr>
            </w:pPr>
            <w:r w:rsidRPr="006B2DA7">
              <w:rPr>
                <w:sz w:val="20"/>
              </w:rPr>
              <w:t>12 EER/19.0 IEER</w:t>
            </w:r>
          </w:p>
        </w:tc>
        <w:tc>
          <w:tcPr>
            <w:tcW w:w="2430" w:type="dxa"/>
          </w:tcPr>
          <w:p w14:paraId="129AD6C5" w14:textId="29E30F99" w:rsidR="00AB1940" w:rsidRPr="006B2DA7" w:rsidRDefault="00AB1940" w:rsidP="00D116EA">
            <w:pPr>
              <w:rPr>
                <w:sz w:val="20"/>
              </w:rPr>
            </w:pPr>
            <w:r w:rsidRPr="006B2DA7">
              <w:rPr>
                <w:sz w:val="20"/>
              </w:rPr>
              <w:t>$9</w:t>
            </w:r>
            <w:r w:rsidR="003D4688">
              <w:rPr>
                <w:sz w:val="20"/>
              </w:rPr>
              <w:t>02</w:t>
            </w:r>
            <w:r w:rsidRPr="006B2DA7">
              <w:rPr>
                <w:sz w:val="20"/>
              </w:rPr>
              <w:t>.8</w:t>
            </w:r>
            <w:r w:rsidR="003D4688">
              <w:rPr>
                <w:sz w:val="20"/>
              </w:rPr>
              <w:t>4</w:t>
            </w:r>
          </w:p>
        </w:tc>
      </w:tr>
      <w:tr w:rsidR="00AB1940" w:rsidRPr="006B2DA7" w14:paraId="39872870" w14:textId="77777777" w:rsidTr="00B216C2">
        <w:trPr>
          <w:jc w:val="center"/>
        </w:trPr>
        <w:tc>
          <w:tcPr>
            <w:tcW w:w="2965" w:type="dxa"/>
          </w:tcPr>
          <w:p w14:paraId="538231A2" w14:textId="77777777" w:rsidR="00AB1940" w:rsidRPr="006B2DA7" w:rsidRDefault="00AB1940" w:rsidP="00D116EA">
            <w:pPr>
              <w:rPr>
                <w:sz w:val="20"/>
              </w:rPr>
            </w:pPr>
            <w:r w:rsidRPr="006B2DA7">
              <w:rPr>
                <w:sz w:val="20"/>
              </w:rPr>
              <w:t>135-239 kBtu/h (11.25-20 tons)</w:t>
            </w:r>
          </w:p>
        </w:tc>
        <w:tc>
          <w:tcPr>
            <w:tcW w:w="2250" w:type="dxa"/>
          </w:tcPr>
          <w:p w14:paraId="09619453" w14:textId="2DC2B6B9" w:rsidR="00AB1940" w:rsidRPr="006B2DA7" w:rsidRDefault="00AB1940" w:rsidP="00D116EA">
            <w:pPr>
              <w:rPr>
                <w:sz w:val="20"/>
              </w:rPr>
            </w:pPr>
            <w:r w:rsidRPr="006B2DA7">
              <w:rPr>
                <w:sz w:val="20"/>
              </w:rPr>
              <w:t>12 EER/17.5 IEER</w:t>
            </w:r>
          </w:p>
        </w:tc>
        <w:tc>
          <w:tcPr>
            <w:tcW w:w="2430" w:type="dxa"/>
          </w:tcPr>
          <w:p w14:paraId="44B6F2A3" w14:textId="49759092" w:rsidR="00AB1940" w:rsidRPr="006B2DA7" w:rsidRDefault="00AB1940" w:rsidP="00D116EA">
            <w:pPr>
              <w:rPr>
                <w:sz w:val="20"/>
              </w:rPr>
            </w:pPr>
            <w:r w:rsidRPr="006B2DA7">
              <w:rPr>
                <w:sz w:val="20"/>
              </w:rPr>
              <w:t>$9</w:t>
            </w:r>
            <w:r w:rsidR="003D4688">
              <w:rPr>
                <w:sz w:val="20"/>
              </w:rPr>
              <w:t>38</w:t>
            </w:r>
            <w:r w:rsidRPr="006B2DA7">
              <w:rPr>
                <w:sz w:val="20"/>
              </w:rPr>
              <w:t>.</w:t>
            </w:r>
            <w:r w:rsidR="003D4688">
              <w:rPr>
                <w:sz w:val="20"/>
              </w:rPr>
              <w:t>93</w:t>
            </w:r>
          </w:p>
        </w:tc>
      </w:tr>
    </w:tbl>
    <w:p w14:paraId="05EB3C8C" w14:textId="3259B8BF" w:rsidR="00425FAA" w:rsidRDefault="00425FAA" w:rsidP="004142EF"/>
    <w:p w14:paraId="4AD6BFAA" w14:textId="329C9F51" w:rsidR="009A0D4E" w:rsidRDefault="009A0D4E" w:rsidP="00305AF3">
      <w:pPr>
        <w:pStyle w:val="Caption"/>
      </w:pPr>
      <w:r>
        <w:t>Incremental Measure Cost (IMC) by Size Category</w:t>
      </w:r>
    </w:p>
    <w:tbl>
      <w:tblPr>
        <w:tblStyle w:val="TableGrid"/>
        <w:tblW w:w="0" w:type="auto"/>
        <w:jc w:val="center"/>
        <w:tblLook w:val="04A0" w:firstRow="1" w:lastRow="0" w:firstColumn="1" w:lastColumn="0" w:noHBand="0" w:noVBand="1"/>
      </w:tblPr>
      <w:tblGrid>
        <w:gridCol w:w="2965"/>
        <w:gridCol w:w="2250"/>
        <w:gridCol w:w="2430"/>
      </w:tblGrid>
      <w:tr w:rsidR="00B216C2" w:rsidRPr="006B2DA7" w14:paraId="12B3BBB9" w14:textId="77777777" w:rsidTr="00B216C2">
        <w:trPr>
          <w:jc w:val="center"/>
        </w:trPr>
        <w:tc>
          <w:tcPr>
            <w:tcW w:w="2965" w:type="dxa"/>
            <w:shd w:val="clear" w:color="auto" w:fill="F2F2F2" w:themeFill="background1" w:themeFillShade="F2"/>
          </w:tcPr>
          <w:p w14:paraId="253116D9" w14:textId="77777777" w:rsidR="00B216C2" w:rsidRPr="006B2DA7" w:rsidRDefault="00B216C2" w:rsidP="007F3A57">
            <w:pPr>
              <w:rPr>
                <w:b/>
                <w:sz w:val="20"/>
              </w:rPr>
            </w:pPr>
            <w:r w:rsidRPr="006B2DA7">
              <w:rPr>
                <w:b/>
                <w:sz w:val="20"/>
              </w:rPr>
              <w:t>Equipment Size</w:t>
            </w:r>
          </w:p>
        </w:tc>
        <w:tc>
          <w:tcPr>
            <w:tcW w:w="2250" w:type="dxa"/>
            <w:shd w:val="clear" w:color="auto" w:fill="F2F2F2" w:themeFill="background1" w:themeFillShade="F2"/>
          </w:tcPr>
          <w:p w14:paraId="67464165" w14:textId="6C7DE3E4" w:rsidR="00B216C2" w:rsidRPr="006B2DA7" w:rsidRDefault="00B216C2" w:rsidP="007F3A57">
            <w:pPr>
              <w:rPr>
                <w:b/>
                <w:sz w:val="20"/>
              </w:rPr>
            </w:pPr>
            <w:r>
              <w:rPr>
                <w:b/>
                <w:sz w:val="20"/>
              </w:rPr>
              <w:t>Measure Case</w:t>
            </w:r>
            <w:r w:rsidRPr="006B2DA7">
              <w:rPr>
                <w:b/>
                <w:sz w:val="20"/>
              </w:rPr>
              <w:t xml:space="preserve"> Efficiency</w:t>
            </w:r>
          </w:p>
        </w:tc>
        <w:tc>
          <w:tcPr>
            <w:tcW w:w="2430" w:type="dxa"/>
            <w:shd w:val="clear" w:color="auto" w:fill="F2F2F2" w:themeFill="background1" w:themeFillShade="F2"/>
          </w:tcPr>
          <w:p w14:paraId="0D47B33C" w14:textId="2A1E0E33" w:rsidR="00B216C2" w:rsidRPr="006B2DA7" w:rsidRDefault="00B216C2" w:rsidP="007F3A57">
            <w:pPr>
              <w:rPr>
                <w:b/>
                <w:sz w:val="20"/>
              </w:rPr>
            </w:pPr>
            <w:r>
              <w:rPr>
                <w:b/>
                <w:sz w:val="20"/>
              </w:rPr>
              <w:t>IMC</w:t>
            </w:r>
            <w:r w:rsidRPr="006B2DA7">
              <w:rPr>
                <w:b/>
                <w:sz w:val="20"/>
              </w:rPr>
              <w:t xml:space="preserve"> per Ton</w:t>
            </w:r>
          </w:p>
        </w:tc>
      </w:tr>
      <w:tr w:rsidR="00B216C2" w:rsidRPr="006B2DA7" w14:paraId="20D89CD3" w14:textId="77777777" w:rsidTr="00B216C2">
        <w:trPr>
          <w:jc w:val="center"/>
        </w:trPr>
        <w:tc>
          <w:tcPr>
            <w:tcW w:w="2965" w:type="dxa"/>
          </w:tcPr>
          <w:p w14:paraId="14356128" w14:textId="77777777" w:rsidR="00B216C2" w:rsidRPr="006B2DA7" w:rsidRDefault="00B216C2" w:rsidP="007F3A57">
            <w:pPr>
              <w:rPr>
                <w:sz w:val="20"/>
              </w:rPr>
            </w:pPr>
            <w:r w:rsidRPr="006B2DA7">
              <w:rPr>
                <w:sz w:val="20"/>
              </w:rPr>
              <w:t>65-134 kBtu/h (5.4-11.25 tons)</w:t>
            </w:r>
          </w:p>
        </w:tc>
        <w:tc>
          <w:tcPr>
            <w:tcW w:w="2250" w:type="dxa"/>
          </w:tcPr>
          <w:p w14:paraId="5EDCF0CE" w14:textId="77777777" w:rsidR="00B216C2" w:rsidRPr="006B2DA7" w:rsidRDefault="00B216C2" w:rsidP="007F3A57">
            <w:pPr>
              <w:rPr>
                <w:sz w:val="20"/>
              </w:rPr>
            </w:pPr>
            <w:r w:rsidRPr="006B2DA7">
              <w:rPr>
                <w:sz w:val="20"/>
              </w:rPr>
              <w:t>12 EER/19.0 IEER</w:t>
            </w:r>
          </w:p>
        </w:tc>
        <w:tc>
          <w:tcPr>
            <w:tcW w:w="2430" w:type="dxa"/>
          </w:tcPr>
          <w:p w14:paraId="5D0EEE4B" w14:textId="3CCE17E2" w:rsidR="00B216C2" w:rsidRPr="006B2DA7" w:rsidRDefault="00B216C2" w:rsidP="007F3A57">
            <w:pPr>
              <w:rPr>
                <w:sz w:val="20"/>
              </w:rPr>
            </w:pPr>
            <w:r w:rsidRPr="006B2DA7">
              <w:rPr>
                <w:sz w:val="20"/>
              </w:rPr>
              <w:t>$</w:t>
            </w:r>
            <w:r w:rsidR="003D4688">
              <w:rPr>
                <w:sz w:val="20"/>
              </w:rPr>
              <w:t>156</w:t>
            </w:r>
            <w:r w:rsidRPr="006B2DA7">
              <w:rPr>
                <w:sz w:val="20"/>
              </w:rPr>
              <w:t>.</w:t>
            </w:r>
            <w:r>
              <w:rPr>
                <w:sz w:val="20"/>
              </w:rPr>
              <w:t>3</w:t>
            </w:r>
            <w:r w:rsidR="003D4688">
              <w:rPr>
                <w:sz w:val="20"/>
              </w:rPr>
              <w:t>4</w:t>
            </w:r>
          </w:p>
        </w:tc>
      </w:tr>
      <w:tr w:rsidR="00B216C2" w:rsidRPr="006B2DA7" w14:paraId="3F940326" w14:textId="77777777" w:rsidTr="00B216C2">
        <w:trPr>
          <w:jc w:val="center"/>
        </w:trPr>
        <w:tc>
          <w:tcPr>
            <w:tcW w:w="2965" w:type="dxa"/>
          </w:tcPr>
          <w:p w14:paraId="3104FB82" w14:textId="77777777" w:rsidR="00B216C2" w:rsidRPr="006B2DA7" w:rsidRDefault="00B216C2" w:rsidP="007F3A57">
            <w:pPr>
              <w:rPr>
                <w:sz w:val="20"/>
              </w:rPr>
            </w:pPr>
            <w:r w:rsidRPr="006B2DA7">
              <w:rPr>
                <w:sz w:val="20"/>
              </w:rPr>
              <w:t>135-239 kBtu/h (11.25-20 tons)</w:t>
            </w:r>
          </w:p>
        </w:tc>
        <w:tc>
          <w:tcPr>
            <w:tcW w:w="2250" w:type="dxa"/>
          </w:tcPr>
          <w:p w14:paraId="27316E30" w14:textId="77777777" w:rsidR="00B216C2" w:rsidRPr="006B2DA7" w:rsidRDefault="00B216C2" w:rsidP="007F3A57">
            <w:pPr>
              <w:rPr>
                <w:sz w:val="20"/>
              </w:rPr>
            </w:pPr>
            <w:r w:rsidRPr="006B2DA7">
              <w:rPr>
                <w:sz w:val="20"/>
              </w:rPr>
              <w:t>12 EER/17.5 IEER</w:t>
            </w:r>
          </w:p>
        </w:tc>
        <w:tc>
          <w:tcPr>
            <w:tcW w:w="2430" w:type="dxa"/>
          </w:tcPr>
          <w:p w14:paraId="2E5CF79D" w14:textId="5698E1F4" w:rsidR="00B216C2" w:rsidRPr="006B2DA7" w:rsidRDefault="00B216C2" w:rsidP="007F3A57">
            <w:pPr>
              <w:rPr>
                <w:sz w:val="20"/>
              </w:rPr>
            </w:pPr>
            <w:r w:rsidRPr="006B2DA7">
              <w:rPr>
                <w:sz w:val="20"/>
              </w:rPr>
              <w:t>$</w:t>
            </w:r>
            <w:r>
              <w:rPr>
                <w:sz w:val="20"/>
              </w:rPr>
              <w:t>2</w:t>
            </w:r>
            <w:r w:rsidR="003D4688">
              <w:rPr>
                <w:sz w:val="20"/>
              </w:rPr>
              <w:t>33</w:t>
            </w:r>
            <w:r w:rsidRPr="006B2DA7">
              <w:rPr>
                <w:sz w:val="20"/>
              </w:rPr>
              <w:t>.</w:t>
            </w:r>
            <w:r w:rsidR="003D4688">
              <w:rPr>
                <w:sz w:val="20"/>
              </w:rPr>
              <w:t>48</w:t>
            </w:r>
          </w:p>
        </w:tc>
      </w:tr>
    </w:tbl>
    <w:p w14:paraId="35C06E71" w14:textId="77777777" w:rsidR="00B216C2" w:rsidRDefault="00B216C2" w:rsidP="004142EF"/>
    <w:p w14:paraId="02691007" w14:textId="3C007D4F" w:rsidR="007D230B" w:rsidRPr="004B06E3" w:rsidRDefault="002E5874" w:rsidP="00462BB6">
      <w:pPr>
        <w:pStyle w:val="eTRMHeading3"/>
      </w:pPr>
      <w:bookmarkStart w:id="54" w:name="_Toc486490862"/>
      <w:bookmarkStart w:id="55" w:name="_Toc486580933"/>
      <w:bookmarkStart w:id="56" w:name="_Toc10539892"/>
      <w:r>
        <w:t xml:space="preserve">Base Case </w:t>
      </w:r>
      <w:r w:rsidR="007D230B" w:rsidRPr="004B06E3">
        <w:t>Labor Cost ($/unit)</w:t>
      </w:r>
      <w:bookmarkEnd w:id="54"/>
      <w:bookmarkEnd w:id="55"/>
      <w:bookmarkEnd w:id="56"/>
    </w:p>
    <w:p w14:paraId="60504BD7" w14:textId="77777777" w:rsidR="00696700" w:rsidRDefault="00696700" w:rsidP="002E5874"/>
    <w:p w14:paraId="0CB762B3" w14:textId="24F4D9B2" w:rsidR="002E5874" w:rsidRDefault="002F6CCF" w:rsidP="002E5874">
      <w:r>
        <w:t xml:space="preserve">Base case and measure case labor costs assumed to be equal, and therefore cancel in the IMC calculation. </w:t>
      </w:r>
    </w:p>
    <w:p w14:paraId="14DCAD1D" w14:textId="52F31354" w:rsidR="009A0D4E" w:rsidRDefault="009A0D4E" w:rsidP="00305AF3">
      <w:pPr>
        <w:pStyle w:val="Caption"/>
      </w:pPr>
      <w:r>
        <w:t>Full and Incremental Measure Cost Equations</w:t>
      </w:r>
    </w:p>
    <w:tbl>
      <w:tblPr>
        <w:tblW w:w="5035" w:type="dxa"/>
        <w:jc w:val="center"/>
        <w:tblLook w:val="04A0" w:firstRow="1" w:lastRow="0" w:firstColumn="1" w:lastColumn="0" w:noHBand="0" w:noVBand="1"/>
      </w:tblPr>
      <w:tblGrid>
        <w:gridCol w:w="2165"/>
        <w:gridCol w:w="2870"/>
      </w:tblGrid>
      <w:tr w:rsidR="002B609D" w:rsidRPr="002B609D" w14:paraId="6B8E4C3A" w14:textId="77777777" w:rsidTr="002B609D">
        <w:trPr>
          <w:trHeight w:val="530"/>
          <w:jc w:val="center"/>
        </w:trPr>
        <w:tc>
          <w:tcPr>
            <w:tcW w:w="216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6D483AB" w14:textId="77777777" w:rsidR="002B609D" w:rsidRPr="002B609D" w:rsidRDefault="002B609D" w:rsidP="002B609D">
            <w:pPr>
              <w:spacing w:before="0" w:after="0" w:line="240" w:lineRule="auto"/>
              <w:rPr>
                <w:rFonts w:eastAsia="Times New Roman" w:cs="Calibri Light"/>
                <w:b/>
                <w:bCs/>
                <w:color w:val="000000"/>
                <w:sz w:val="20"/>
                <w:szCs w:val="20"/>
              </w:rPr>
            </w:pPr>
            <w:r w:rsidRPr="002B609D">
              <w:rPr>
                <w:rFonts w:eastAsia="Times New Roman" w:cs="Calibri Light"/>
                <w:b/>
                <w:bCs/>
                <w:color w:val="000000"/>
                <w:sz w:val="20"/>
                <w:szCs w:val="20"/>
              </w:rPr>
              <w:t>Installation Type</w:t>
            </w:r>
          </w:p>
        </w:tc>
        <w:tc>
          <w:tcPr>
            <w:tcW w:w="2870" w:type="dxa"/>
            <w:tcBorders>
              <w:top w:val="single" w:sz="4" w:space="0" w:color="auto"/>
              <w:left w:val="nil"/>
              <w:bottom w:val="single" w:sz="4" w:space="0" w:color="auto"/>
              <w:right w:val="single" w:sz="4" w:space="0" w:color="auto"/>
            </w:tcBorders>
            <w:shd w:val="clear" w:color="000000" w:fill="F2F2F2"/>
            <w:vAlign w:val="center"/>
            <w:hideMark/>
          </w:tcPr>
          <w:p w14:paraId="61CC0951" w14:textId="77777777" w:rsidR="002B609D" w:rsidRPr="002B609D" w:rsidRDefault="002B609D" w:rsidP="002B609D">
            <w:pPr>
              <w:spacing w:before="0" w:after="0" w:line="240" w:lineRule="auto"/>
              <w:rPr>
                <w:rFonts w:eastAsia="Times New Roman" w:cs="Calibri Light"/>
                <w:b/>
                <w:bCs/>
                <w:color w:val="000000"/>
                <w:sz w:val="20"/>
                <w:szCs w:val="20"/>
              </w:rPr>
            </w:pPr>
            <w:r w:rsidRPr="002B609D">
              <w:rPr>
                <w:rFonts w:eastAsia="Times New Roman" w:cs="Calibri Light"/>
                <w:b/>
                <w:bCs/>
                <w:color w:val="000000"/>
                <w:sz w:val="20"/>
                <w:szCs w:val="20"/>
              </w:rPr>
              <w:t>Incremental Measure Cost</w:t>
            </w:r>
          </w:p>
        </w:tc>
      </w:tr>
      <w:tr w:rsidR="002B609D" w:rsidRPr="002B609D" w14:paraId="186E31C5" w14:textId="77777777" w:rsidTr="002B609D">
        <w:trPr>
          <w:trHeight w:val="450"/>
          <w:jc w:val="center"/>
        </w:trPr>
        <w:tc>
          <w:tcPr>
            <w:tcW w:w="2165" w:type="dxa"/>
            <w:tcBorders>
              <w:top w:val="nil"/>
              <w:left w:val="single" w:sz="4" w:space="0" w:color="auto"/>
              <w:bottom w:val="single" w:sz="4" w:space="0" w:color="auto"/>
              <w:right w:val="single" w:sz="4" w:space="0" w:color="auto"/>
            </w:tcBorders>
            <w:shd w:val="clear" w:color="auto" w:fill="auto"/>
            <w:vAlign w:val="center"/>
            <w:hideMark/>
          </w:tcPr>
          <w:p w14:paraId="4D0F4B2D" w14:textId="474A2DCE" w:rsidR="002B609D" w:rsidRPr="002B609D" w:rsidRDefault="002B609D" w:rsidP="002B609D">
            <w:pPr>
              <w:spacing w:before="0" w:after="0" w:line="240" w:lineRule="auto"/>
              <w:rPr>
                <w:rFonts w:eastAsia="Times New Roman" w:cs="Calibri Light"/>
                <w:color w:val="000000"/>
                <w:sz w:val="20"/>
                <w:szCs w:val="20"/>
              </w:rPr>
            </w:pPr>
            <w:r>
              <w:rPr>
                <w:rFonts w:eastAsia="Times New Roman" w:cs="Calibri Light"/>
                <w:color w:val="000000"/>
                <w:sz w:val="20"/>
                <w:szCs w:val="20"/>
              </w:rPr>
              <w:t>NR (includes ROB)</w:t>
            </w:r>
          </w:p>
        </w:tc>
        <w:tc>
          <w:tcPr>
            <w:tcW w:w="2870" w:type="dxa"/>
            <w:vMerge w:val="restart"/>
            <w:tcBorders>
              <w:top w:val="nil"/>
              <w:left w:val="single" w:sz="4" w:space="0" w:color="auto"/>
              <w:bottom w:val="single" w:sz="4" w:space="0" w:color="auto"/>
              <w:right w:val="single" w:sz="4" w:space="0" w:color="auto"/>
            </w:tcBorders>
            <w:shd w:val="clear" w:color="auto" w:fill="auto"/>
            <w:vAlign w:val="center"/>
            <w:hideMark/>
          </w:tcPr>
          <w:p w14:paraId="5EC3CBCC" w14:textId="77777777" w:rsidR="002B609D" w:rsidRPr="002B609D" w:rsidRDefault="002B609D" w:rsidP="002B609D">
            <w:pPr>
              <w:spacing w:before="0" w:after="0" w:line="240" w:lineRule="auto"/>
              <w:rPr>
                <w:rFonts w:eastAsia="Times New Roman" w:cs="Calibri Light"/>
                <w:color w:val="000000"/>
                <w:sz w:val="20"/>
                <w:szCs w:val="20"/>
              </w:rPr>
            </w:pPr>
            <w:r w:rsidRPr="002B609D">
              <w:rPr>
                <w:rFonts w:eastAsia="Times New Roman" w:cs="Calibri Light"/>
                <w:color w:val="000000"/>
                <w:sz w:val="20"/>
                <w:szCs w:val="20"/>
              </w:rPr>
              <w:t>(MEC + MLC) – (BEC + BLC)</w:t>
            </w:r>
          </w:p>
        </w:tc>
      </w:tr>
      <w:tr w:rsidR="002B609D" w:rsidRPr="002B609D" w14:paraId="584B6CCC" w14:textId="77777777" w:rsidTr="002B609D">
        <w:trPr>
          <w:trHeight w:val="300"/>
          <w:jc w:val="center"/>
        </w:trPr>
        <w:tc>
          <w:tcPr>
            <w:tcW w:w="2165" w:type="dxa"/>
            <w:tcBorders>
              <w:top w:val="nil"/>
              <w:left w:val="single" w:sz="4" w:space="0" w:color="auto"/>
              <w:bottom w:val="single" w:sz="4" w:space="0" w:color="auto"/>
              <w:right w:val="single" w:sz="4" w:space="0" w:color="auto"/>
            </w:tcBorders>
            <w:shd w:val="clear" w:color="auto" w:fill="auto"/>
            <w:vAlign w:val="center"/>
            <w:hideMark/>
          </w:tcPr>
          <w:p w14:paraId="5678122E" w14:textId="7436D3C7" w:rsidR="002B609D" w:rsidRPr="002B609D" w:rsidRDefault="002B609D" w:rsidP="002B609D">
            <w:pPr>
              <w:spacing w:before="0" w:after="0" w:line="240" w:lineRule="auto"/>
              <w:rPr>
                <w:rFonts w:eastAsia="Times New Roman" w:cs="Calibri Light"/>
                <w:color w:val="000000"/>
                <w:sz w:val="20"/>
                <w:szCs w:val="20"/>
              </w:rPr>
            </w:pPr>
            <w:r w:rsidRPr="002B609D">
              <w:rPr>
                <w:rFonts w:eastAsia="Times New Roman" w:cs="Calibri Light"/>
                <w:color w:val="000000"/>
                <w:sz w:val="20"/>
                <w:szCs w:val="20"/>
              </w:rPr>
              <w:t>NC</w:t>
            </w:r>
          </w:p>
        </w:tc>
        <w:tc>
          <w:tcPr>
            <w:tcW w:w="2870" w:type="dxa"/>
            <w:vMerge/>
            <w:tcBorders>
              <w:top w:val="nil"/>
              <w:left w:val="single" w:sz="4" w:space="0" w:color="auto"/>
              <w:bottom w:val="single" w:sz="4" w:space="0" w:color="auto"/>
              <w:right w:val="single" w:sz="4" w:space="0" w:color="auto"/>
            </w:tcBorders>
            <w:vAlign w:val="center"/>
            <w:hideMark/>
          </w:tcPr>
          <w:p w14:paraId="575E50B7" w14:textId="77777777" w:rsidR="002B609D" w:rsidRPr="002B609D" w:rsidRDefault="002B609D" w:rsidP="002B609D">
            <w:pPr>
              <w:spacing w:before="0" w:after="0" w:line="240" w:lineRule="auto"/>
              <w:rPr>
                <w:rFonts w:eastAsia="Times New Roman" w:cs="Calibri Light"/>
                <w:color w:val="000000"/>
                <w:sz w:val="20"/>
                <w:szCs w:val="20"/>
              </w:rPr>
            </w:pPr>
          </w:p>
        </w:tc>
      </w:tr>
    </w:tbl>
    <w:p w14:paraId="5A025B06" w14:textId="77777777" w:rsidR="002F6CCF" w:rsidRPr="00920905" w:rsidRDefault="002F6CCF" w:rsidP="002F6CCF">
      <w:pPr>
        <w:rPr>
          <w:sz w:val="20"/>
          <w:szCs w:val="20"/>
        </w:rPr>
      </w:pPr>
      <w:r w:rsidRPr="00920905">
        <w:rPr>
          <w:sz w:val="20"/>
          <w:szCs w:val="20"/>
        </w:rPr>
        <w:t>MEC = Measure Equipment Cost; MLC = Measure Labor Cost</w:t>
      </w:r>
    </w:p>
    <w:p w14:paraId="276AD1DE" w14:textId="77777777" w:rsidR="002F6CCF" w:rsidRDefault="002F6CCF" w:rsidP="002F6CCF">
      <w:pPr>
        <w:rPr>
          <w:b/>
        </w:rPr>
      </w:pPr>
      <w:r w:rsidRPr="00920905">
        <w:rPr>
          <w:sz w:val="20"/>
          <w:szCs w:val="20"/>
        </w:rPr>
        <w:t>BEC = Base Case Equipment Cost; BLC = Base Case Labor Cost</w:t>
      </w:r>
    </w:p>
    <w:p w14:paraId="1A06BD9A" w14:textId="77777777" w:rsidR="002F6CCF" w:rsidRPr="002E5874" w:rsidRDefault="002F6CCF" w:rsidP="002E5874"/>
    <w:p w14:paraId="5E89BC5E" w14:textId="22B628A3" w:rsidR="002E5874" w:rsidRPr="004B06E3" w:rsidRDefault="002E5874" w:rsidP="002E5874">
      <w:pPr>
        <w:pStyle w:val="eTRMHeading3"/>
      </w:pPr>
      <w:bookmarkStart w:id="57" w:name="_Toc10539893"/>
      <w:r>
        <w:t xml:space="preserve">Measure Case </w:t>
      </w:r>
      <w:r w:rsidRPr="004B06E3">
        <w:t>Labor Cost ($/unit)</w:t>
      </w:r>
      <w:bookmarkEnd w:id="57"/>
    </w:p>
    <w:p w14:paraId="5FCE367F" w14:textId="3CED1D5F" w:rsidR="007D230B" w:rsidRPr="004B06E3" w:rsidRDefault="006848D7" w:rsidP="004142EF">
      <w:r>
        <w:t xml:space="preserve">Measure case labor cost not collected because base case and measure case labor costs assumed to be equal. </w:t>
      </w:r>
    </w:p>
    <w:p w14:paraId="050D9183" w14:textId="7ABF5C13" w:rsidR="007D230B" w:rsidRPr="004B06E3" w:rsidRDefault="004B06E3" w:rsidP="00462BB6">
      <w:pPr>
        <w:pStyle w:val="eTRMHeading3"/>
      </w:pPr>
      <w:bookmarkStart w:id="58" w:name="_Toc486490863"/>
      <w:bookmarkStart w:id="59" w:name="_Toc486580934"/>
      <w:bookmarkStart w:id="60" w:name="_Toc10539894"/>
      <w:r>
        <w:t>Net-to-Gross</w:t>
      </w:r>
      <w:bookmarkEnd w:id="58"/>
      <w:bookmarkEnd w:id="59"/>
      <w:r w:rsidR="008D4652">
        <w:t xml:space="preserve"> (NTG)</w:t>
      </w:r>
      <w:bookmarkEnd w:id="60"/>
    </w:p>
    <w:p w14:paraId="0D491819" w14:textId="77777777" w:rsidR="003D4688" w:rsidRPr="004B06E3" w:rsidRDefault="003D4688" w:rsidP="003D4688">
      <w:r w:rsidRPr="00860FEC">
        <w:t xml:space="preserve">The net-to-gross (NTG) ratio represents the portion of gross impacts that are determined to be directly attributed to a specific program intervention. The relevant NTG values for </w:t>
      </w:r>
      <w:r>
        <w:t>all packaged and split system air conditioner and heat pump replacements</w:t>
      </w:r>
      <w:r w:rsidRPr="00860FEC">
        <w:t xml:space="preserve"> are specified</w:t>
      </w:r>
      <w:r>
        <w:t xml:space="preserve"> below</w:t>
      </w:r>
      <w:r w:rsidRPr="004D069A">
        <w:t>.</w:t>
      </w:r>
      <w:r>
        <w:t xml:space="preserve"> </w:t>
      </w:r>
    </w:p>
    <w:p w14:paraId="786EFC8D" w14:textId="4B22069A" w:rsidR="009A0D4E" w:rsidRDefault="009A0D4E" w:rsidP="00305AF3">
      <w:pPr>
        <w:pStyle w:val="Caption"/>
      </w:pPr>
      <w:r>
        <w:lastRenderedPageBreak/>
        <w:t>Net-to-Gross Ratio</w:t>
      </w:r>
    </w:p>
    <w:tbl>
      <w:tblPr>
        <w:tblW w:w="93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800"/>
        <w:gridCol w:w="1530"/>
        <w:gridCol w:w="4145"/>
      </w:tblGrid>
      <w:tr w:rsidR="00D83631" w:rsidRPr="006B5B02" w14:paraId="0D2B92AF" w14:textId="662FBAEE" w:rsidTr="00E676D5">
        <w:trPr>
          <w:cantSplit/>
          <w:trHeight w:val="20"/>
          <w:jc w:val="center"/>
        </w:trPr>
        <w:tc>
          <w:tcPr>
            <w:tcW w:w="1885" w:type="dxa"/>
            <w:shd w:val="clear" w:color="000000" w:fill="F2F2F2" w:themeFill="background1" w:themeFillShade="F2"/>
            <w:vAlign w:val="bottom"/>
          </w:tcPr>
          <w:p w14:paraId="2A033AD8" w14:textId="3B553F77" w:rsidR="00D83631" w:rsidRPr="006B5B02" w:rsidRDefault="00D83631" w:rsidP="00D83631">
            <w:pPr>
              <w:keepNext/>
              <w:keepLines/>
              <w:spacing w:before="0" w:after="0" w:line="200" w:lineRule="atLeast"/>
              <w:jc w:val="center"/>
              <w:rPr>
                <w:rFonts w:cs="Arial"/>
                <w:b/>
                <w:color w:val="000000"/>
                <w:sz w:val="20"/>
                <w:szCs w:val="20"/>
              </w:rPr>
            </w:pPr>
            <w:r w:rsidRPr="006B5B02">
              <w:rPr>
                <w:rFonts w:cs="Arial"/>
                <w:b/>
                <w:color w:val="000000"/>
                <w:sz w:val="20"/>
                <w:szCs w:val="20"/>
              </w:rPr>
              <w:t>Parameter</w:t>
            </w:r>
          </w:p>
        </w:tc>
        <w:tc>
          <w:tcPr>
            <w:tcW w:w="1800" w:type="dxa"/>
            <w:shd w:val="clear" w:color="000000" w:fill="F2F2F2" w:themeFill="background1" w:themeFillShade="F2"/>
            <w:vAlign w:val="bottom"/>
          </w:tcPr>
          <w:p w14:paraId="547E5263" w14:textId="6F0C4EB8" w:rsidR="00D83631" w:rsidRPr="006B5B02" w:rsidRDefault="00D83631" w:rsidP="00D83631">
            <w:pPr>
              <w:keepNext/>
              <w:keepLines/>
              <w:spacing w:before="0" w:after="0" w:line="200" w:lineRule="atLeast"/>
              <w:jc w:val="center"/>
              <w:rPr>
                <w:rFonts w:cs="Arial"/>
                <w:b/>
                <w:color w:val="000000"/>
                <w:sz w:val="20"/>
                <w:szCs w:val="20"/>
              </w:rPr>
            </w:pPr>
            <w:r>
              <w:rPr>
                <w:rFonts w:cs="Arial"/>
                <w:b/>
                <w:color w:val="000000"/>
                <w:sz w:val="20"/>
                <w:szCs w:val="20"/>
              </w:rPr>
              <w:t xml:space="preserve">NTG Electric </w:t>
            </w:r>
            <w:r w:rsidRPr="006B5B02">
              <w:rPr>
                <w:rFonts w:cs="Arial"/>
                <w:b/>
                <w:color w:val="000000"/>
                <w:sz w:val="20"/>
                <w:szCs w:val="20"/>
              </w:rPr>
              <w:t>Value</w:t>
            </w:r>
          </w:p>
        </w:tc>
        <w:tc>
          <w:tcPr>
            <w:tcW w:w="1530" w:type="dxa"/>
            <w:shd w:val="clear" w:color="000000" w:fill="F2F2F2" w:themeFill="background1" w:themeFillShade="F2"/>
            <w:vAlign w:val="bottom"/>
          </w:tcPr>
          <w:p w14:paraId="15E01A96" w14:textId="798576C4" w:rsidR="00D83631" w:rsidRDefault="00D83631" w:rsidP="00D83631">
            <w:pPr>
              <w:keepNext/>
              <w:keepLines/>
              <w:spacing w:before="0" w:after="0" w:line="200" w:lineRule="atLeast"/>
              <w:jc w:val="center"/>
              <w:rPr>
                <w:rFonts w:cs="Arial"/>
                <w:b/>
                <w:color w:val="000000"/>
                <w:sz w:val="20"/>
                <w:szCs w:val="20"/>
              </w:rPr>
            </w:pPr>
            <w:r>
              <w:rPr>
                <w:rFonts w:cs="Arial"/>
                <w:b/>
                <w:color w:val="000000"/>
                <w:sz w:val="20"/>
                <w:szCs w:val="20"/>
              </w:rPr>
              <w:t xml:space="preserve">NTG </w:t>
            </w:r>
            <w:r w:rsidR="000F719C">
              <w:rPr>
                <w:rFonts w:cs="Arial"/>
                <w:b/>
                <w:color w:val="000000"/>
                <w:sz w:val="20"/>
                <w:szCs w:val="20"/>
              </w:rPr>
              <w:t>Gas</w:t>
            </w:r>
            <w:r>
              <w:rPr>
                <w:rFonts w:cs="Arial"/>
                <w:b/>
                <w:color w:val="000000"/>
                <w:sz w:val="20"/>
                <w:szCs w:val="20"/>
              </w:rPr>
              <w:t xml:space="preserve"> </w:t>
            </w:r>
            <w:r w:rsidRPr="006B5B02">
              <w:rPr>
                <w:rFonts w:cs="Arial"/>
                <w:b/>
                <w:color w:val="000000"/>
                <w:sz w:val="20"/>
                <w:szCs w:val="20"/>
              </w:rPr>
              <w:t>Value</w:t>
            </w:r>
          </w:p>
        </w:tc>
        <w:tc>
          <w:tcPr>
            <w:tcW w:w="4145" w:type="dxa"/>
            <w:shd w:val="clear" w:color="000000" w:fill="F2F2F2" w:themeFill="background1" w:themeFillShade="F2"/>
          </w:tcPr>
          <w:p w14:paraId="50233CF6" w14:textId="22E30F36" w:rsidR="00D83631" w:rsidRPr="006B5B02" w:rsidRDefault="00D83631" w:rsidP="00D83631">
            <w:pPr>
              <w:keepNext/>
              <w:keepLines/>
              <w:spacing w:before="0" w:after="0" w:line="200" w:lineRule="atLeast"/>
              <w:jc w:val="center"/>
              <w:rPr>
                <w:rFonts w:cs="Arial"/>
                <w:b/>
                <w:color w:val="000000"/>
                <w:sz w:val="20"/>
                <w:szCs w:val="20"/>
              </w:rPr>
            </w:pPr>
            <w:r w:rsidRPr="006B5B02">
              <w:rPr>
                <w:rFonts w:cs="Arial"/>
                <w:b/>
                <w:color w:val="000000"/>
                <w:sz w:val="20"/>
                <w:szCs w:val="20"/>
              </w:rPr>
              <w:t>Source</w:t>
            </w:r>
          </w:p>
        </w:tc>
      </w:tr>
      <w:tr w:rsidR="00D83631" w:rsidRPr="006B5B02" w14:paraId="682BF062" w14:textId="72E696E9" w:rsidTr="00E676D5">
        <w:trPr>
          <w:cantSplit/>
          <w:trHeight w:val="20"/>
          <w:jc w:val="center"/>
        </w:trPr>
        <w:tc>
          <w:tcPr>
            <w:tcW w:w="1885" w:type="dxa"/>
            <w:vAlign w:val="center"/>
          </w:tcPr>
          <w:p w14:paraId="5BA6FA92" w14:textId="5C0A7069" w:rsidR="00D83631" w:rsidRPr="006B5B02" w:rsidRDefault="00D83631" w:rsidP="00D83631">
            <w:pPr>
              <w:keepNext/>
              <w:keepLines/>
              <w:spacing w:before="0" w:after="0" w:line="200" w:lineRule="atLeast"/>
              <w:jc w:val="center"/>
              <w:rPr>
                <w:rFonts w:cstheme="minorHAnsi"/>
                <w:sz w:val="20"/>
                <w:szCs w:val="20"/>
              </w:rPr>
            </w:pPr>
            <w:r w:rsidRPr="006B5B02">
              <w:rPr>
                <w:rFonts w:cs="Arial"/>
                <w:color w:val="000000"/>
                <w:sz w:val="20"/>
                <w:szCs w:val="20"/>
              </w:rPr>
              <w:t>NTG - commercial</w:t>
            </w:r>
          </w:p>
        </w:tc>
        <w:tc>
          <w:tcPr>
            <w:tcW w:w="1800" w:type="dxa"/>
            <w:shd w:val="clear" w:color="auto" w:fill="auto"/>
            <w:noWrap/>
            <w:vAlign w:val="center"/>
          </w:tcPr>
          <w:p w14:paraId="62F18FF1" w14:textId="0DB1B981" w:rsidR="00D83631" w:rsidRPr="003D4688" w:rsidRDefault="00D83631" w:rsidP="00D83631">
            <w:pPr>
              <w:keepNext/>
              <w:keepLines/>
              <w:spacing w:before="0" w:after="0" w:line="200" w:lineRule="atLeast"/>
              <w:jc w:val="center"/>
              <w:rPr>
                <w:sz w:val="20"/>
                <w:szCs w:val="20"/>
              </w:rPr>
            </w:pPr>
            <w:r w:rsidRPr="003D4688">
              <w:rPr>
                <w:sz w:val="20"/>
                <w:szCs w:val="20"/>
              </w:rPr>
              <w:t>0.5</w:t>
            </w:r>
            <w:r>
              <w:rPr>
                <w:sz w:val="20"/>
                <w:szCs w:val="20"/>
              </w:rPr>
              <w:t>0</w:t>
            </w:r>
          </w:p>
        </w:tc>
        <w:tc>
          <w:tcPr>
            <w:tcW w:w="1530" w:type="dxa"/>
            <w:vAlign w:val="center"/>
          </w:tcPr>
          <w:p w14:paraId="2CB39B7C" w14:textId="3F5D3249" w:rsidR="00D83631" w:rsidRPr="003D4688" w:rsidRDefault="00D83631" w:rsidP="00D83631">
            <w:pPr>
              <w:jc w:val="center"/>
              <w:rPr>
                <w:sz w:val="20"/>
                <w:szCs w:val="20"/>
              </w:rPr>
            </w:pPr>
            <w:r w:rsidRPr="003D4688">
              <w:rPr>
                <w:sz w:val="20"/>
                <w:szCs w:val="20"/>
              </w:rPr>
              <w:t>0.</w:t>
            </w:r>
            <w:r w:rsidR="000F719C">
              <w:rPr>
                <w:sz w:val="20"/>
                <w:szCs w:val="20"/>
              </w:rPr>
              <w:t>6</w:t>
            </w:r>
            <w:r>
              <w:rPr>
                <w:sz w:val="20"/>
                <w:szCs w:val="20"/>
              </w:rPr>
              <w:t>0</w:t>
            </w:r>
          </w:p>
        </w:tc>
        <w:tc>
          <w:tcPr>
            <w:tcW w:w="4145" w:type="dxa"/>
            <w:vAlign w:val="center"/>
          </w:tcPr>
          <w:p w14:paraId="0E9AFA53" w14:textId="77777777" w:rsidR="00E676D5" w:rsidRDefault="00D83631" w:rsidP="00D83631">
            <w:pPr>
              <w:jc w:val="center"/>
              <w:rPr>
                <w:sz w:val="20"/>
                <w:szCs w:val="20"/>
              </w:rPr>
            </w:pPr>
            <w:r w:rsidRPr="003D4688">
              <w:rPr>
                <w:sz w:val="20"/>
                <w:szCs w:val="20"/>
              </w:rPr>
              <w:t>DEER202</w:t>
            </w:r>
            <w:r>
              <w:rPr>
                <w:sz w:val="20"/>
                <w:szCs w:val="20"/>
              </w:rPr>
              <w:t>2</w:t>
            </w:r>
            <w:r w:rsidRPr="003D4688">
              <w:rPr>
                <w:sz w:val="20"/>
                <w:szCs w:val="20"/>
              </w:rPr>
              <w:t xml:space="preserve"> READI v2.5.1 </w:t>
            </w:r>
          </w:p>
          <w:p w14:paraId="133857EB" w14:textId="332E3459" w:rsidR="00D83631" w:rsidRPr="003D4688" w:rsidRDefault="00D83631" w:rsidP="00D83631">
            <w:pPr>
              <w:jc w:val="center"/>
              <w:rPr>
                <w:sz w:val="20"/>
                <w:szCs w:val="20"/>
              </w:rPr>
            </w:pPr>
            <w:r w:rsidRPr="003D4688">
              <w:rPr>
                <w:sz w:val="20"/>
                <w:szCs w:val="20"/>
              </w:rPr>
              <w:t xml:space="preserve">(NTG ID: </w:t>
            </w:r>
            <w:proofErr w:type="spellStart"/>
            <w:r w:rsidRPr="00F80401">
              <w:rPr>
                <w:sz w:val="20"/>
                <w:szCs w:val="20"/>
              </w:rPr>
              <w:t>NonRes</w:t>
            </w:r>
            <w:proofErr w:type="spellEnd"/>
            <w:r w:rsidRPr="00F80401">
              <w:rPr>
                <w:sz w:val="20"/>
                <w:szCs w:val="20"/>
              </w:rPr>
              <w:t>-</w:t>
            </w:r>
            <w:proofErr w:type="spellStart"/>
            <w:r w:rsidRPr="00F80401">
              <w:rPr>
                <w:sz w:val="20"/>
                <w:szCs w:val="20"/>
              </w:rPr>
              <w:t>sAll</w:t>
            </w:r>
            <w:proofErr w:type="spellEnd"/>
            <w:r w:rsidRPr="00F80401">
              <w:rPr>
                <w:sz w:val="20"/>
                <w:szCs w:val="20"/>
              </w:rPr>
              <w:t>-</w:t>
            </w:r>
            <w:proofErr w:type="spellStart"/>
            <w:r w:rsidRPr="00F80401">
              <w:rPr>
                <w:sz w:val="20"/>
                <w:szCs w:val="20"/>
              </w:rPr>
              <w:t>mHVAC</w:t>
            </w:r>
            <w:proofErr w:type="spellEnd"/>
            <w:r w:rsidRPr="00F80401">
              <w:rPr>
                <w:sz w:val="20"/>
                <w:szCs w:val="20"/>
              </w:rPr>
              <w:t>-RTU-</w:t>
            </w:r>
            <w:proofErr w:type="spellStart"/>
            <w:r w:rsidRPr="00F80401">
              <w:rPr>
                <w:sz w:val="20"/>
                <w:szCs w:val="20"/>
              </w:rPr>
              <w:t>SplitSys</w:t>
            </w:r>
            <w:proofErr w:type="spellEnd"/>
            <w:r w:rsidRPr="003D4688">
              <w:rPr>
                <w:sz w:val="20"/>
                <w:szCs w:val="20"/>
              </w:rPr>
              <w:t>)</w:t>
            </w:r>
          </w:p>
        </w:tc>
      </w:tr>
    </w:tbl>
    <w:p w14:paraId="46BD0BB0" w14:textId="5D7637BA" w:rsidR="0000521D" w:rsidRDefault="0000521D" w:rsidP="004142EF"/>
    <w:p w14:paraId="323B5B02" w14:textId="4C4B13DC" w:rsidR="007D230B" w:rsidRPr="004B06E3" w:rsidRDefault="00D02C36" w:rsidP="00462BB6">
      <w:pPr>
        <w:pStyle w:val="eTRMHeading3"/>
      </w:pPr>
      <w:bookmarkStart w:id="61" w:name="_Toc486490864"/>
      <w:bookmarkStart w:id="62" w:name="_Toc486580935"/>
      <w:bookmarkStart w:id="63" w:name="_Toc10539895"/>
      <w:r>
        <w:t>Gross Savings Installation Adjustment (</w:t>
      </w:r>
      <w:r w:rsidR="007D230B" w:rsidRPr="004B06E3">
        <w:t>GSIA</w:t>
      </w:r>
      <w:bookmarkEnd w:id="61"/>
      <w:bookmarkEnd w:id="62"/>
      <w:r>
        <w:t>)</w:t>
      </w:r>
      <w:bookmarkEnd w:id="63"/>
    </w:p>
    <w:p w14:paraId="2A1F1C17" w14:textId="229F04AB"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Start w:id="64" w:name="_Hlk505693433"/>
      <w:r w:rsidR="00485834">
        <w:t>This GSIA rate is the current “default” rate specified for measures for which an alternative GSIA has not been estimated and approved.</w:t>
      </w:r>
      <w:bookmarkEnd w:id="64"/>
    </w:p>
    <w:p w14:paraId="4C5E2F6F" w14:textId="26FA9F43" w:rsidR="009A0D4E" w:rsidRDefault="009A0D4E" w:rsidP="00305AF3">
      <w:pPr>
        <w:pStyle w:val="Caption"/>
      </w:pPr>
      <w:r>
        <w:t>Gross Savings Installation Adjustment</w:t>
      </w:r>
    </w:p>
    <w:tbl>
      <w:tblPr>
        <w:tblW w:w="935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6B5B02" w14:paraId="60BDA2BB" w14:textId="744FC0FC" w:rsidTr="00305AF3">
        <w:trPr>
          <w:cantSplit/>
          <w:trHeight w:val="20"/>
          <w:jc w:val="center"/>
        </w:trPr>
        <w:tc>
          <w:tcPr>
            <w:tcW w:w="1104" w:type="pct"/>
            <w:shd w:val="clear" w:color="000000" w:fill="F2F2F2" w:themeFill="background1" w:themeFillShade="F2"/>
            <w:vAlign w:val="bottom"/>
          </w:tcPr>
          <w:p w14:paraId="7D363CC0" w14:textId="709302B7" w:rsidR="00AA3E2A" w:rsidRPr="006B5B02" w:rsidRDefault="00177EB6" w:rsidP="00F8464D">
            <w:pPr>
              <w:keepNext/>
              <w:keepLines/>
              <w:spacing w:before="0" w:after="0" w:line="200" w:lineRule="atLeast"/>
              <w:jc w:val="center"/>
              <w:rPr>
                <w:rFonts w:cs="Arial"/>
                <w:b/>
                <w:color w:val="000000"/>
                <w:sz w:val="20"/>
                <w:szCs w:val="20"/>
              </w:rPr>
            </w:pPr>
            <w:r w:rsidRPr="006B5B02">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6B5B02" w:rsidRDefault="00AA3E2A" w:rsidP="00F8464D">
            <w:pPr>
              <w:keepNext/>
              <w:keepLines/>
              <w:spacing w:before="0" w:after="0" w:line="200" w:lineRule="atLeast"/>
              <w:jc w:val="center"/>
              <w:rPr>
                <w:rFonts w:cs="Arial"/>
                <w:b/>
                <w:color w:val="000000"/>
                <w:sz w:val="20"/>
                <w:szCs w:val="20"/>
              </w:rPr>
            </w:pPr>
            <w:r w:rsidRPr="006B5B02">
              <w:rPr>
                <w:rFonts w:cs="Arial"/>
                <w:b/>
                <w:sz w:val="20"/>
                <w:szCs w:val="20"/>
              </w:rPr>
              <w:t xml:space="preserve">GSIA </w:t>
            </w:r>
          </w:p>
        </w:tc>
        <w:tc>
          <w:tcPr>
            <w:tcW w:w="3031" w:type="pct"/>
            <w:shd w:val="clear" w:color="000000" w:fill="F2F2F2" w:themeFill="background1" w:themeFillShade="F2"/>
          </w:tcPr>
          <w:p w14:paraId="32AB7FEE" w14:textId="77936D4E" w:rsidR="00AA3E2A" w:rsidRPr="006B5B02" w:rsidRDefault="00AA3E2A" w:rsidP="00F8464D">
            <w:pPr>
              <w:keepNext/>
              <w:keepLines/>
              <w:spacing w:before="0" w:after="0" w:line="200" w:lineRule="atLeast"/>
              <w:jc w:val="center"/>
              <w:rPr>
                <w:rFonts w:cs="Arial"/>
                <w:b/>
                <w:sz w:val="20"/>
                <w:szCs w:val="20"/>
              </w:rPr>
            </w:pPr>
            <w:r w:rsidRPr="006B5B02">
              <w:rPr>
                <w:rFonts w:cs="Arial"/>
                <w:b/>
                <w:sz w:val="20"/>
                <w:szCs w:val="20"/>
              </w:rPr>
              <w:t>Source</w:t>
            </w:r>
          </w:p>
        </w:tc>
      </w:tr>
      <w:tr w:rsidR="00AA3E2A" w:rsidRPr="006B5B02" w14:paraId="2209CD52" w14:textId="78579504" w:rsidTr="00305AF3">
        <w:trPr>
          <w:cantSplit/>
          <w:trHeight w:val="20"/>
          <w:jc w:val="center"/>
        </w:trPr>
        <w:tc>
          <w:tcPr>
            <w:tcW w:w="1104" w:type="pct"/>
            <w:vAlign w:val="center"/>
          </w:tcPr>
          <w:p w14:paraId="6618BC2B" w14:textId="5ADBCA04" w:rsidR="00AA3E2A" w:rsidRPr="006B5B02" w:rsidRDefault="00177EB6" w:rsidP="00594142">
            <w:pPr>
              <w:keepNext/>
              <w:keepLines/>
              <w:spacing w:before="0" w:after="0" w:line="200" w:lineRule="atLeast"/>
              <w:rPr>
                <w:rFonts w:cstheme="minorHAnsi"/>
                <w:sz w:val="20"/>
                <w:szCs w:val="20"/>
              </w:rPr>
            </w:pPr>
            <w:r w:rsidRPr="006B5B02">
              <w:rPr>
                <w:rFonts w:cstheme="minorHAnsi"/>
                <w:sz w:val="20"/>
                <w:szCs w:val="20"/>
              </w:rPr>
              <w:t xml:space="preserve">GSIA - </w:t>
            </w:r>
            <w:r w:rsidR="00485834" w:rsidRPr="006B5B02">
              <w:rPr>
                <w:rFonts w:cstheme="minorHAnsi"/>
                <w:sz w:val="20"/>
                <w:szCs w:val="20"/>
              </w:rPr>
              <w:t>Default</w:t>
            </w:r>
          </w:p>
        </w:tc>
        <w:tc>
          <w:tcPr>
            <w:tcW w:w="865" w:type="pct"/>
            <w:vAlign w:val="center"/>
          </w:tcPr>
          <w:p w14:paraId="6D1D8F27" w14:textId="53124B47" w:rsidR="00AA3E2A" w:rsidRPr="006B5B02" w:rsidRDefault="00485834" w:rsidP="00F8464D">
            <w:pPr>
              <w:keepNext/>
              <w:keepLines/>
              <w:spacing w:before="0" w:after="0" w:line="200" w:lineRule="atLeast"/>
              <w:jc w:val="center"/>
              <w:rPr>
                <w:sz w:val="20"/>
                <w:szCs w:val="20"/>
              </w:rPr>
            </w:pPr>
            <w:r w:rsidRPr="006B5B02">
              <w:rPr>
                <w:sz w:val="20"/>
                <w:szCs w:val="20"/>
              </w:rPr>
              <w:t>1</w:t>
            </w:r>
            <w:r w:rsidR="00AA3E2A" w:rsidRPr="006B5B02">
              <w:rPr>
                <w:sz w:val="20"/>
                <w:szCs w:val="20"/>
              </w:rPr>
              <w:t>.</w:t>
            </w:r>
            <w:r w:rsidRPr="006B5B02">
              <w:rPr>
                <w:sz w:val="20"/>
                <w:szCs w:val="20"/>
              </w:rPr>
              <w:t>00</w:t>
            </w:r>
          </w:p>
        </w:tc>
        <w:tc>
          <w:tcPr>
            <w:tcW w:w="3031" w:type="pct"/>
          </w:tcPr>
          <w:p w14:paraId="52FCA633" w14:textId="43525B48" w:rsidR="00AA3E2A" w:rsidRPr="006B5B02" w:rsidRDefault="00485834" w:rsidP="00F8464D">
            <w:pPr>
              <w:keepNext/>
              <w:keepLines/>
              <w:spacing w:before="0" w:after="0" w:line="200" w:lineRule="atLeast"/>
              <w:rPr>
                <w:color w:val="FF0000"/>
                <w:sz w:val="20"/>
                <w:szCs w:val="20"/>
              </w:rPr>
            </w:pPr>
            <w:r w:rsidRPr="006B5B02">
              <w:rPr>
                <w:rFonts w:eastAsia="Times New Roman" w:cs="Times New Roman"/>
                <w:color w:val="000000"/>
                <w:sz w:val="20"/>
                <w:szCs w:val="20"/>
              </w:rPr>
              <w:t xml:space="preserve">California Public Utilities Commission (CPUC), Energy Division. 2013. </w:t>
            </w:r>
            <w:r w:rsidRPr="006B5B02">
              <w:rPr>
                <w:rFonts w:eastAsia="Times New Roman" w:cs="Times New Roman"/>
                <w:i/>
                <w:color w:val="000000"/>
                <w:sz w:val="20"/>
                <w:szCs w:val="20"/>
              </w:rPr>
              <w:t>Energy Efficiency Policy Manual Version 5</w:t>
            </w:r>
            <w:r w:rsidRPr="006B5B02">
              <w:rPr>
                <w:rFonts w:eastAsia="Times New Roman" w:cs="Times New Roman"/>
                <w:color w:val="000000"/>
                <w:sz w:val="20"/>
                <w:szCs w:val="20"/>
              </w:rPr>
              <w:t>.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62BB6">
      <w:pPr>
        <w:pStyle w:val="eTRMHeading3"/>
      </w:pPr>
      <w:bookmarkStart w:id="65" w:name="_Toc486490865"/>
      <w:bookmarkStart w:id="66" w:name="_Toc486580936"/>
      <w:bookmarkStart w:id="67" w:name="_Toc10539896"/>
      <w:r w:rsidRPr="004B06E3">
        <w:t xml:space="preserve">Non-Energy </w:t>
      </w:r>
      <w:bookmarkEnd w:id="65"/>
      <w:bookmarkEnd w:id="66"/>
      <w:r w:rsidR="00DA6B7E">
        <w:t>Impacts</w:t>
      </w:r>
      <w:bookmarkEnd w:id="67"/>
    </w:p>
    <w:p w14:paraId="0D73FC70" w14:textId="27339D17" w:rsidR="00697A88" w:rsidRDefault="00697A88" w:rsidP="004A2CEE">
      <w:r>
        <w:t xml:space="preserve">Non-energy benefits for this measure have not been </w:t>
      </w:r>
      <w:r w:rsidR="009D7F4D">
        <w:t>quantified</w:t>
      </w:r>
      <w:r>
        <w:t>.</w:t>
      </w:r>
    </w:p>
    <w:p w14:paraId="0C37F289" w14:textId="28D666BA" w:rsidR="00697A88" w:rsidRDefault="00697A88" w:rsidP="004142EF"/>
    <w:p w14:paraId="442FBD85" w14:textId="689E3D76" w:rsidR="002905FA" w:rsidRDefault="002905FA" w:rsidP="00305AF3">
      <w:pPr>
        <w:pStyle w:val="eTRMHeading3"/>
      </w:pPr>
      <w:r>
        <w:t>Attachments</w:t>
      </w:r>
    </w:p>
    <w:p w14:paraId="66D2E7FF" w14:textId="77777777" w:rsidR="00182F07" w:rsidRDefault="00182F07" w:rsidP="00182F07">
      <w:pPr>
        <w:pStyle w:val="ListParagraph"/>
        <w:numPr>
          <w:ilvl w:val="0"/>
          <w:numId w:val="26"/>
        </w:numPr>
      </w:pPr>
      <w:r>
        <w:t>Multispeed_PkgPerfMapDemo_2018_10_09.xslx</w:t>
      </w:r>
    </w:p>
    <w:p w14:paraId="19A8B6BB" w14:textId="43DC7496" w:rsidR="002905FA" w:rsidRDefault="008605EC" w:rsidP="00305AF3">
      <w:pPr>
        <w:pStyle w:val="ListParagraph"/>
        <w:numPr>
          <w:ilvl w:val="0"/>
          <w:numId w:val="26"/>
        </w:numPr>
      </w:pPr>
      <w:r>
        <w:t>HigherStageCycLoss.xlsx</w:t>
      </w:r>
    </w:p>
    <w:p w14:paraId="6B6170DA" w14:textId="6F799318" w:rsidR="005D00F0" w:rsidRDefault="00DE2DA7" w:rsidP="00305AF3">
      <w:pPr>
        <w:pStyle w:val="ListParagraph"/>
        <w:numPr>
          <w:ilvl w:val="0"/>
          <w:numId w:val="26"/>
        </w:numPr>
      </w:pPr>
      <w:r>
        <w:t>MCLU-eQuest-Outputs.xlsx</w:t>
      </w:r>
    </w:p>
    <w:p w14:paraId="5D702E0C" w14:textId="45C41018" w:rsidR="005D00F0" w:rsidRDefault="00C43D16" w:rsidP="00305AF3">
      <w:pPr>
        <w:pStyle w:val="ListParagraph"/>
        <w:numPr>
          <w:ilvl w:val="0"/>
          <w:numId w:val="26"/>
        </w:numPr>
      </w:pPr>
      <w:r w:rsidRPr="00DE737A">
        <w:t>Commercial Building Type Weighting.xlsx</w:t>
      </w:r>
    </w:p>
    <w:p w14:paraId="2F60A41E" w14:textId="0DAA5478" w:rsidR="00C43D16" w:rsidRDefault="00C43D16" w:rsidP="00305AF3">
      <w:pPr>
        <w:pStyle w:val="ListParagraph"/>
        <w:numPr>
          <w:ilvl w:val="0"/>
          <w:numId w:val="26"/>
        </w:numPr>
      </w:pPr>
      <w:r w:rsidRPr="00DE737A">
        <w:t>Unitary AC – High IEER Tiers IMCs.xlsx.</w:t>
      </w:r>
    </w:p>
    <w:p w14:paraId="2FDA941E" w14:textId="77777777" w:rsidR="005D00F0" w:rsidRDefault="005D00F0" w:rsidP="004142EF"/>
    <w:p w14:paraId="7D8551BB" w14:textId="760F7D39" w:rsidR="009C31A4" w:rsidRPr="004B06E3" w:rsidRDefault="009C31A4" w:rsidP="00462BB6">
      <w:pPr>
        <w:pStyle w:val="eTRMHeading3"/>
      </w:pPr>
      <w:bookmarkStart w:id="68" w:name="_Toc10539897"/>
      <w:r>
        <w:t>DEER Differences Analysis</w:t>
      </w:r>
      <w:bookmarkEnd w:id="68"/>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293773B7" w14:textId="381134A4" w:rsidR="009A0D4E" w:rsidRDefault="009A0D4E" w:rsidP="00305AF3">
      <w:pPr>
        <w:pStyle w:val="Caption"/>
      </w:pPr>
      <w:r>
        <w:t>DEER Difference Summary</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6B5B02">
        <w:trPr>
          <w:trHeight w:val="20"/>
          <w:jc w:val="center"/>
        </w:trPr>
        <w:tc>
          <w:tcPr>
            <w:tcW w:w="1730"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6B5B02">
        <w:trPr>
          <w:trHeight w:val="20"/>
          <w:jc w:val="center"/>
        </w:trPr>
        <w:tc>
          <w:tcPr>
            <w:tcW w:w="1730"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270" w:type="pct"/>
          </w:tcPr>
          <w:p w14:paraId="247EE411" w14:textId="78E5A1F6" w:rsidR="002E714C" w:rsidRPr="00594142" w:rsidRDefault="006B2DA7" w:rsidP="005710BF">
            <w:pPr>
              <w:spacing w:before="20" w:after="20"/>
              <w:rPr>
                <w:rFonts w:cs="Arial"/>
                <w:sz w:val="20"/>
                <w:szCs w:val="20"/>
              </w:rPr>
            </w:pPr>
            <w:r>
              <w:rPr>
                <w:rFonts w:cs="Arial"/>
                <w:sz w:val="20"/>
                <w:szCs w:val="20"/>
              </w:rPr>
              <w:t xml:space="preserve">DEER methods used but with different input/performance curve values to capture high efficiency part-load AC equipment characteristics. </w:t>
            </w:r>
          </w:p>
        </w:tc>
      </w:tr>
      <w:tr w:rsidR="002E714C" w:rsidRPr="00500C4E" w14:paraId="507422EA" w14:textId="77777777" w:rsidTr="006B5B02">
        <w:trPr>
          <w:trHeight w:val="20"/>
          <w:jc w:val="center"/>
        </w:trPr>
        <w:tc>
          <w:tcPr>
            <w:tcW w:w="1730"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270" w:type="pct"/>
          </w:tcPr>
          <w:p w14:paraId="0C847473" w14:textId="7E3AAEDA" w:rsidR="002E714C" w:rsidRPr="00594142" w:rsidRDefault="006848D7" w:rsidP="005710BF">
            <w:pPr>
              <w:spacing w:before="20" w:after="20"/>
              <w:rPr>
                <w:rFonts w:cs="Arial"/>
                <w:sz w:val="20"/>
                <w:szCs w:val="20"/>
              </w:rPr>
            </w:pPr>
            <w:r>
              <w:rPr>
                <w:rFonts w:cs="Arial"/>
                <w:sz w:val="20"/>
                <w:szCs w:val="20"/>
              </w:rPr>
              <w:t>No</w:t>
            </w:r>
          </w:p>
        </w:tc>
      </w:tr>
      <w:tr w:rsidR="002E714C" w:rsidRPr="00500C4E" w14:paraId="335CDE40" w14:textId="77777777" w:rsidTr="006B5B02">
        <w:trPr>
          <w:trHeight w:val="20"/>
          <w:jc w:val="center"/>
        </w:trPr>
        <w:tc>
          <w:tcPr>
            <w:tcW w:w="1730"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270" w:type="pct"/>
          </w:tcPr>
          <w:p w14:paraId="5D2A1B0E" w14:textId="43CF80B2" w:rsidR="002E714C" w:rsidRPr="00594142" w:rsidRDefault="006848D7" w:rsidP="005710BF">
            <w:pPr>
              <w:spacing w:before="20" w:after="20"/>
              <w:rPr>
                <w:rFonts w:cs="Arial"/>
                <w:sz w:val="20"/>
                <w:szCs w:val="20"/>
              </w:rPr>
            </w:pPr>
            <w:r>
              <w:rPr>
                <w:rFonts w:cs="Arial"/>
                <w:sz w:val="20"/>
                <w:szCs w:val="20"/>
              </w:rPr>
              <w:t>Yes</w:t>
            </w:r>
          </w:p>
        </w:tc>
      </w:tr>
      <w:tr w:rsidR="002E714C" w:rsidRPr="00500C4E" w14:paraId="1F8399E1" w14:textId="77777777" w:rsidTr="006B5B02">
        <w:trPr>
          <w:trHeight w:val="20"/>
          <w:jc w:val="center"/>
        </w:trPr>
        <w:tc>
          <w:tcPr>
            <w:tcW w:w="1730"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270" w:type="pct"/>
          </w:tcPr>
          <w:p w14:paraId="49A023A0" w14:textId="45E25380" w:rsidR="002E714C" w:rsidRPr="00594142" w:rsidRDefault="006848D7" w:rsidP="005710BF">
            <w:pPr>
              <w:spacing w:before="20" w:after="20"/>
              <w:rPr>
                <w:rFonts w:cs="Arial"/>
                <w:sz w:val="20"/>
                <w:szCs w:val="20"/>
              </w:rPr>
            </w:pPr>
            <w:r>
              <w:rPr>
                <w:rFonts w:cs="Arial"/>
                <w:sz w:val="20"/>
                <w:szCs w:val="20"/>
              </w:rPr>
              <w:t>No</w:t>
            </w:r>
          </w:p>
        </w:tc>
      </w:tr>
      <w:tr w:rsidR="002E714C" w:rsidRPr="00500C4E" w14:paraId="663742C6" w14:textId="77777777" w:rsidTr="006B5B02">
        <w:trPr>
          <w:trHeight w:val="20"/>
          <w:jc w:val="center"/>
        </w:trPr>
        <w:tc>
          <w:tcPr>
            <w:tcW w:w="1730"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270" w:type="pct"/>
          </w:tcPr>
          <w:p w14:paraId="6BBA540C" w14:textId="39773FF8" w:rsidR="002E714C" w:rsidRPr="00594142" w:rsidRDefault="006848D7" w:rsidP="005710BF">
            <w:pPr>
              <w:spacing w:before="20" w:after="20"/>
              <w:rPr>
                <w:rFonts w:cs="Arial"/>
                <w:sz w:val="20"/>
                <w:szCs w:val="20"/>
              </w:rPr>
            </w:pPr>
            <w:r>
              <w:rPr>
                <w:rFonts w:cs="Arial"/>
                <w:sz w:val="20"/>
                <w:szCs w:val="20"/>
              </w:rPr>
              <w:t>Yes</w:t>
            </w:r>
          </w:p>
        </w:tc>
      </w:tr>
      <w:tr w:rsidR="002E714C" w:rsidRPr="00500C4E" w14:paraId="424F1325" w14:textId="77777777" w:rsidTr="006B5B02">
        <w:trPr>
          <w:trHeight w:val="20"/>
          <w:jc w:val="center"/>
        </w:trPr>
        <w:tc>
          <w:tcPr>
            <w:tcW w:w="1730"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270" w:type="pct"/>
          </w:tcPr>
          <w:p w14:paraId="1693E1EE" w14:textId="422CEC5F" w:rsidR="002E714C" w:rsidRPr="00594142" w:rsidRDefault="006848D7" w:rsidP="005710BF">
            <w:pPr>
              <w:spacing w:before="20" w:after="20"/>
              <w:rPr>
                <w:rFonts w:cs="Arial"/>
                <w:sz w:val="20"/>
                <w:szCs w:val="20"/>
              </w:rPr>
            </w:pPr>
            <w:r>
              <w:rPr>
                <w:rFonts w:cs="Arial"/>
                <w:sz w:val="20"/>
                <w:szCs w:val="20"/>
              </w:rPr>
              <w:t>Yes</w:t>
            </w:r>
          </w:p>
        </w:tc>
      </w:tr>
      <w:tr w:rsidR="002E714C" w:rsidRPr="00500C4E" w14:paraId="0B93AD47" w14:textId="77777777" w:rsidTr="006B5B02">
        <w:trPr>
          <w:trHeight w:val="20"/>
          <w:jc w:val="center"/>
        </w:trPr>
        <w:tc>
          <w:tcPr>
            <w:tcW w:w="1730" w:type="pct"/>
          </w:tcPr>
          <w:p w14:paraId="6E9E484F" w14:textId="05A0211D" w:rsidR="002E714C" w:rsidRPr="00EA057C" w:rsidRDefault="002E714C" w:rsidP="005710BF">
            <w:pPr>
              <w:spacing w:before="20" w:after="20"/>
              <w:rPr>
                <w:rFonts w:cs="Arial"/>
                <w:sz w:val="20"/>
                <w:szCs w:val="20"/>
              </w:rPr>
            </w:pPr>
            <w:r w:rsidRPr="00EA057C">
              <w:rPr>
                <w:rFonts w:cs="Arial"/>
                <w:sz w:val="20"/>
                <w:szCs w:val="20"/>
              </w:rPr>
              <w:lastRenderedPageBreak/>
              <w:t>DEER eQ</w:t>
            </w:r>
            <w:r w:rsidR="0020432F">
              <w:rPr>
                <w:rFonts w:cs="Arial"/>
                <w:sz w:val="20"/>
                <w:szCs w:val="20"/>
              </w:rPr>
              <w:t>uest</w:t>
            </w:r>
            <w:r w:rsidRPr="00EA057C">
              <w:rPr>
                <w:rFonts w:cs="Arial"/>
                <w:sz w:val="20"/>
                <w:szCs w:val="20"/>
              </w:rPr>
              <w:t xml:space="preserve"> Prototypes</w:t>
            </w:r>
          </w:p>
        </w:tc>
        <w:tc>
          <w:tcPr>
            <w:tcW w:w="3270" w:type="pct"/>
          </w:tcPr>
          <w:p w14:paraId="4948DEAF" w14:textId="0D3630CD" w:rsidR="002E714C" w:rsidRPr="00594142" w:rsidDel="00505CEC" w:rsidRDefault="006848D7" w:rsidP="005710BF">
            <w:pPr>
              <w:spacing w:before="20" w:after="20"/>
              <w:rPr>
                <w:rFonts w:cs="Arial"/>
                <w:sz w:val="20"/>
                <w:szCs w:val="20"/>
              </w:rPr>
            </w:pPr>
            <w:r>
              <w:rPr>
                <w:rFonts w:cs="Arial"/>
                <w:sz w:val="20"/>
                <w:szCs w:val="20"/>
              </w:rPr>
              <w:t>Yes</w:t>
            </w:r>
          </w:p>
        </w:tc>
      </w:tr>
      <w:tr w:rsidR="002E714C" w:rsidRPr="00500C4E" w14:paraId="2CFDE9D3" w14:textId="77777777" w:rsidTr="006B5B02">
        <w:trPr>
          <w:trHeight w:val="180"/>
          <w:jc w:val="center"/>
        </w:trPr>
        <w:tc>
          <w:tcPr>
            <w:tcW w:w="1730"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270" w:type="pct"/>
          </w:tcPr>
          <w:p w14:paraId="1C3B60D1" w14:textId="6341D3FA" w:rsidR="002E714C" w:rsidRPr="00594142" w:rsidRDefault="006848D7" w:rsidP="005710BF">
            <w:pPr>
              <w:spacing w:before="20" w:after="20"/>
              <w:rPr>
                <w:rFonts w:cs="Arial"/>
                <w:sz w:val="20"/>
                <w:szCs w:val="20"/>
              </w:rPr>
            </w:pPr>
            <w:r>
              <w:rPr>
                <w:rFonts w:cs="Arial"/>
                <w:sz w:val="20"/>
                <w:szCs w:val="20"/>
              </w:rPr>
              <w:t>DEER2020, READI v2.5.1</w:t>
            </w:r>
          </w:p>
        </w:tc>
      </w:tr>
      <w:tr w:rsidR="002E714C" w:rsidRPr="00500C4E" w14:paraId="3B7464D7" w14:textId="77777777" w:rsidTr="006B5B02">
        <w:trPr>
          <w:trHeight w:val="20"/>
          <w:jc w:val="center"/>
        </w:trPr>
        <w:tc>
          <w:tcPr>
            <w:tcW w:w="1730"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270" w:type="pct"/>
          </w:tcPr>
          <w:p w14:paraId="125AAB90" w14:textId="50EF0553" w:rsidR="002E714C" w:rsidRPr="00077F56" w:rsidRDefault="00077F56" w:rsidP="005710BF">
            <w:pPr>
              <w:spacing w:before="20" w:after="20"/>
              <w:rPr>
                <w:rFonts w:cs="Arial"/>
                <w:sz w:val="20"/>
                <w:szCs w:val="20"/>
              </w:rPr>
            </w:pPr>
            <w:r w:rsidRPr="00077F56">
              <w:rPr>
                <w:rFonts w:cs="Arial"/>
                <w:sz w:val="20"/>
                <w:szCs w:val="20"/>
              </w:rPr>
              <w:t xml:space="preserve">The workpaper follows the recommendation of the 2013-2014 HVAC1 Impact Evaluation, which says to “Use DEER estimates generally and focus workpaper efforts on EER and IEER combinations greater than DEER values. Detail the performance maps and additional features if any such as variable speed compressors, energy recovery ventilation, etc.” Therefore, performance curves that represented these higher efficiency units </w:t>
            </w:r>
            <w:r>
              <w:rPr>
                <w:rFonts w:cs="Arial"/>
                <w:sz w:val="20"/>
                <w:szCs w:val="20"/>
              </w:rPr>
              <w:t xml:space="preserve">(e.g., units with tandem compressors on a single refrigeration circuit and variable speed compressors) </w:t>
            </w:r>
            <w:r w:rsidRPr="00077F56">
              <w:rPr>
                <w:rFonts w:cs="Arial"/>
                <w:sz w:val="20"/>
                <w:szCs w:val="20"/>
              </w:rPr>
              <w:t>were collected from the manufacturers to allow energy modeling and calculation of the savings for these units.</w:t>
            </w:r>
          </w:p>
        </w:tc>
      </w:tr>
      <w:tr w:rsidR="002E714C" w:rsidRPr="00500C4E" w14:paraId="4A7EE859" w14:textId="77777777" w:rsidTr="006B5B02">
        <w:trPr>
          <w:trHeight w:val="20"/>
          <w:jc w:val="center"/>
        </w:trPr>
        <w:tc>
          <w:tcPr>
            <w:tcW w:w="1730"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270" w:type="pct"/>
          </w:tcPr>
          <w:p w14:paraId="7706842B" w14:textId="5009533E" w:rsidR="006848D7" w:rsidRPr="006848D7" w:rsidRDefault="006848D7" w:rsidP="006848D7">
            <w:pPr>
              <w:spacing w:before="20" w:after="20"/>
              <w:rPr>
                <w:sz w:val="20"/>
              </w:rPr>
            </w:pPr>
            <w:r w:rsidRPr="006848D7">
              <w:rPr>
                <w:sz w:val="20"/>
              </w:rPr>
              <w:t xml:space="preserve">NE-HVAC-airAC-SpltPkg-65to134kBtuh-12p0eer-wPreEcono; </w:t>
            </w:r>
          </w:p>
          <w:p w14:paraId="63ABA251" w14:textId="526487DA" w:rsidR="002E714C" w:rsidRPr="006848D7" w:rsidRDefault="006848D7" w:rsidP="006848D7">
            <w:pPr>
              <w:spacing w:before="20" w:after="20"/>
              <w:rPr>
                <w:rFonts w:cs="Arial"/>
                <w:sz w:val="20"/>
                <w:szCs w:val="20"/>
              </w:rPr>
            </w:pPr>
            <w:r w:rsidRPr="006848D7">
              <w:rPr>
                <w:sz w:val="20"/>
              </w:rPr>
              <w:t>NE-HVAC-airAC-SpltPkg-135to239kBtuh-12p0eer</w:t>
            </w:r>
          </w:p>
        </w:tc>
      </w:tr>
      <w:tr w:rsidR="00EA057C" w:rsidRPr="00500C4E" w14:paraId="5A83EC74" w14:textId="77777777" w:rsidTr="006B5B02">
        <w:trPr>
          <w:trHeight w:val="20"/>
          <w:jc w:val="center"/>
        </w:trPr>
        <w:tc>
          <w:tcPr>
            <w:tcW w:w="1730" w:type="pct"/>
          </w:tcPr>
          <w:p w14:paraId="2C82A9E0" w14:textId="121308D7" w:rsidR="00EA057C" w:rsidRPr="00EA057C" w:rsidRDefault="00EA057C" w:rsidP="005710BF">
            <w:pPr>
              <w:spacing w:before="20" w:after="20"/>
              <w:rPr>
                <w:rFonts w:cs="Arial"/>
                <w:sz w:val="20"/>
                <w:szCs w:val="20"/>
              </w:rPr>
            </w:pPr>
            <w:r>
              <w:rPr>
                <w:rFonts w:cs="Arial"/>
                <w:sz w:val="20"/>
                <w:szCs w:val="20"/>
              </w:rPr>
              <w:t>NTG</w:t>
            </w:r>
          </w:p>
        </w:tc>
        <w:tc>
          <w:tcPr>
            <w:tcW w:w="3270" w:type="pct"/>
          </w:tcPr>
          <w:p w14:paraId="2BBBB10C" w14:textId="6E2D2C82" w:rsidR="00EA057C" w:rsidRPr="00594142" w:rsidRDefault="005A74DC" w:rsidP="005710BF">
            <w:pPr>
              <w:spacing w:before="20" w:after="20"/>
              <w:rPr>
                <w:rFonts w:cs="Arial"/>
                <w:i/>
                <w:sz w:val="20"/>
                <w:szCs w:val="20"/>
              </w:rPr>
            </w:pPr>
            <w:r w:rsidRPr="00594142">
              <w:rPr>
                <w:rFonts w:cs="Arial"/>
                <w:sz w:val="20"/>
                <w:szCs w:val="20"/>
              </w:rPr>
              <w:t xml:space="preserve">Source: </w:t>
            </w:r>
            <w:r w:rsidR="008D2B79">
              <w:rPr>
                <w:rFonts w:cs="Arial"/>
                <w:sz w:val="20"/>
                <w:szCs w:val="20"/>
              </w:rPr>
              <w:t>DEER202</w:t>
            </w:r>
            <w:r w:rsidR="00D321C5">
              <w:rPr>
                <w:rFonts w:cs="Arial"/>
                <w:sz w:val="20"/>
                <w:szCs w:val="20"/>
              </w:rPr>
              <w:t>2</w:t>
            </w:r>
            <w:r w:rsidR="008D2B79" w:rsidRPr="008D2B79">
              <w:rPr>
                <w:rFonts w:cs="Arial"/>
                <w:sz w:val="20"/>
                <w:szCs w:val="20"/>
              </w:rPr>
              <w:t>, READI v2.5.1</w:t>
            </w:r>
            <w:r w:rsidR="009C12A7" w:rsidRPr="008D2B79">
              <w:rPr>
                <w:rFonts w:cs="Arial"/>
                <w:sz w:val="20"/>
                <w:szCs w:val="20"/>
              </w:rPr>
              <w:t>.</w:t>
            </w:r>
            <w:r w:rsidRPr="008D2B79">
              <w:rPr>
                <w:rFonts w:cs="Arial"/>
                <w:sz w:val="20"/>
                <w:szCs w:val="20"/>
              </w:rPr>
              <w:t xml:space="preserve"> The </w:t>
            </w:r>
            <w:r w:rsidR="00577CA0">
              <w:rPr>
                <w:rFonts w:cs="Arial"/>
                <w:sz w:val="20"/>
                <w:szCs w:val="20"/>
              </w:rPr>
              <w:t xml:space="preserve">electric/gas </w:t>
            </w:r>
            <w:r w:rsidRPr="008D2B79">
              <w:rPr>
                <w:rFonts w:cs="Arial"/>
                <w:sz w:val="20"/>
                <w:szCs w:val="20"/>
              </w:rPr>
              <w:t xml:space="preserve">NTG of </w:t>
            </w:r>
            <w:r w:rsidR="009C12A7" w:rsidRPr="008D2B79">
              <w:rPr>
                <w:rFonts w:cs="Arial"/>
                <w:sz w:val="20"/>
                <w:szCs w:val="20"/>
              </w:rPr>
              <w:t>0.</w:t>
            </w:r>
            <w:r w:rsidR="008D2B79" w:rsidRPr="008D2B79">
              <w:rPr>
                <w:rFonts w:cs="Arial"/>
                <w:sz w:val="20"/>
                <w:szCs w:val="20"/>
              </w:rPr>
              <w:t>5</w:t>
            </w:r>
            <w:r w:rsidRPr="008D2B79">
              <w:rPr>
                <w:rFonts w:cs="Arial"/>
                <w:sz w:val="20"/>
                <w:szCs w:val="20"/>
              </w:rPr>
              <w:t xml:space="preserve"> </w:t>
            </w:r>
            <w:r w:rsidR="009C3AC7">
              <w:rPr>
                <w:rFonts w:cs="Arial"/>
                <w:sz w:val="20"/>
                <w:szCs w:val="20"/>
              </w:rPr>
              <w:t xml:space="preserve">/0.6 </w:t>
            </w:r>
            <w:r w:rsidR="00577CA0">
              <w:rPr>
                <w:rFonts w:cs="Arial"/>
                <w:sz w:val="20"/>
                <w:szCs w:val="20"/>
              </w:rPr>
              <w:t>are</w:t>
            </w:r>
            <w:r w:rsidRPr="008D2B79">
              <w:rPr>
                <w:rFonts w:cs="Arial"/>
                <w:sz w:val="20"/>
                <w:szCs w:val="20"/>
              </w:rPr>
              <w:t xml:space="preserve"> associated with NTG ID: </w:t>
            </w:r>
            <w:proofErr w:type="spellStart"/>
            <w:r w:rsidR="00577CA0" w:rsidRPr="00577CA0">
              <w:rPr>
                <w:rFonts w:cs="Arial"/>
                <w:i/>
                <w:sz w:val="20"/>
                <w:szCs w:val="20"/>
              </w:rPr>
              <w:t>NonRes</w:t>
            </w:r>
            <w:proofErr w:type="spellEnd"/>
            <w:r w:rsidR="00577CA0" w:rsidRPr="00577CA0">
              <w:rPr>
                <w:rFonts w:cs="Arial"/>
                <w:i/>
                <w:sz w:val="20"/>
                <w:szCs w:val="20"/>
              </w:rPr>
              <w:t>-</w:t>
            </w:r>
            <w:proofErr w:type="spellStart"/>
            <w:r w:rsidR="00577CA0" w:rsidRPr="00577CA0">
              <w:rPr>
                <w:rFonts w:cs="Arial"/>
                <w:i/>
                <w:sz w:val="20"/>
                <w:szCs w:val="20"/>
              </w:rPr>
              <w:t>sAll</w:t>
            </w:r>
            <w:proofErr w:type="spellEnd"/>
            <w:r w:rsidR="00577CA0" w:rsidRPr="00577CA0">
              <w:rPr>
                <w:rFonts w:cs="Arial"/>
                <w:i/>
                <w:sz w:val="20"/>
                <w:szCs w:val="20"/>
              </w:rPr>
              <w:t>-</w:t>
            </w:r>
            <w:proofErr w:type="spellStart"/>
            <w:r w:rsidR="00577CA0" w:rsidRPr="00577CA0">
              <w:rPr>
                <w:rFonts w:cs="Arial"/>
                <w:i/>
                <w:sz w:val="20"/>
                <w:szCs w:val="20"/>
              </w:rPr>
              <w:t>mHVAC</w:t>
            </w:r>
            <w:proofErr w:type="spellEnd"/>
            <w:r w:rsidR="00577CA0" w:rsidRPr="00577CA0">
              <w:rPr>
                <w:rFonts w:cs="Arial"/>
                <w:i/>
                <w:sz w:val="20"/>
                <w:szCs w:val="20"/>
              </w:rPr>
              <w:t>-RTU-</w:t>
            </w:r>
            <w:proofErr w:type="spellStart"/>
            <w:r w:rsidR="00577CA0" w:rsidRPr="00577CA0">
              <w:rPr>
                <w:rFonts w:cs="Arial"/>
                <w:i/>
                <w:sz w:val="20"/>
                <w:szCs w:val="20"/>
              </w:rPr>
              <w:t>SplitSys</w:t>
            </w:r>
            <w:proofErr w:type="spellEnd"/>
          </w:p>
        </w:tc>
      </w:tr>
      <w:tr w:rsidR="00EA057C" w:rsidRPr="00500C4E" w14:paraId="131D1F9D" w14:textId="77777777" w:rsidTr="006B5B02">
        <w:trPr>
          <w:trHeight w:val="20"/>
          <w:jc w:val="center"/>
        </w:trPr>
        <w:tc>
          <w:tcPr>
            <w:tcW w:w="1730" w:type="pct"/>
          </w:tcPr>
          <w:p w14:paraId="45FFA983" w14:textId="5F527A83" w:rsidR="00EA057C" w:rsidRDefault="00EA057C" w:rsidP="005710BF">
            <w:pPr>
              <w:spacing w:before="20" w:after="20"/>
              <w:rPr>
                <w:rFonts w:cs="Arial"/>
                <w:sz w:val="20"/>
                <w:szCs w:val="20"/>
              </w:rPr>
            </w:pPr>
            <w:r>
              <w:rPr>
                <w:rFonts w:cs="Arial"/>
                <w:sz w:val="20"/>
                <w:szCs w:val="20"/>
              </w:rPr>
              <w:t>GSIA</w:t>
            </w:r>
          </w:p>
        </w:tc>
        <w:tc>
          <w:tcPr>
            <w:tcW w:w="3270" w:type="pct"/>
          </w:tcPr>
          <w:p w14:paraId="7C16D603" w14:textId="41189B11" w:rsidR="00EA057C" w:rsidRPr="00EA057C" w:rsidRDefault="005A74DC" w:rsidP="005710BF">
            <w:pPr>
              <w:spacing w:before="20" w:after="20"/>
              <w:rPr>
                <w:rFonts w:cs="Arial"/>
                <w:sz w:val="20"/>
                <w:szCs w:val="20"/>
              </w:rPr>
            </w:pPr>
            <w:r>
              <w:rPr>
                <w:rFonts w:cs="Arial"/>
                <w:sz w:val="20"/>
                <w:szCs w:val="20"/>
              </w:rPr>
              <w:t xml:space="preserve">The </w:t>
            </w:r>
            <w:r w:rsidRPr="00261252">
              <w:rPr>
                <w:rFonts w:cs="Arial"/>
                <w:sz w:val="20"/>
                <w:szCs w:val="20"/>
              </w:rPr>
              <w:t xml:space="preserve">GSIA of </w:t>
            </w:r>
            <w:r w:rsidR="00AA2841" w:rsidRPr="00261252">
              <w:rPr>
                <w:rFonts w:cs="Arial"/>
                <w:sz w:val="20"/>
                <w:szCs w:val="20"/>
              </w:rPr>
              <w:t>1.0</w:t>
            </w:r>
            <w:r w:rsidRPr="00261252">
              <w:rPr>
                <w:rFonts w:cs="Arial"/>
                <w:sz w:val="20"/>
                <w:szCs w:val="20"/>
              </w:rPr>
              <w:t xml:space="preserve"> is associated with GSIA ID: </w:t>
            </w:r>
            <w:r w:rsidR="00AA2841" w:rsidRPr="00261252">
              <w:rPr>
                <w:rFonts w:cs="Arial"/>
                <w:i/>
                <w:sz w:val="20"/>
                <w:szCs w:val="20"/>
              </w:rPr>
              <w:t>Def-GSIA</w:t>
            </w:r>
          </w:p>
        </w:tc>
      </w:tr>
      <w:tr w:rsidR="00EA057C" w:rsidRPr="00500C4E" w14:paraId="4D0F7E1B" w14:textId="77777777" w:rsidTr="006B5B02">
        <w:trPr>
          <w:trHeight w:val="20"/>
          <w:jc w:val="center"/>
        </w:trPr>
        <w:tc>
          <w:tcPr>
            <w:tcW w:w="1730" w:type="pct"/>
          </w:tcPr>
          <w:p w14:paraId="103BA947" w14:textId="6665B2EA" w:rsidR="00EA057C" w:rsidRDefault="00EA057C" w:rsidP="005710BF">
            <w:pPr>
              <w:spacing w:before="20" w:after="20"/>
              <w:rPr>
                <w:rFonts w:cs="Arial"/>
                <w:sz w:val="20"/>
                <w:szCs w:val="20"/>
              </w:rPr>
            </w:pPr>
            <w:r>
              <w:rPr>
                <w:rFonts w:cs="Arial"/>
                <w:sz w:val="20"/>
                <w:szCs w:val="20"/>
              </w:rPr>
              <w:t>EUL/RUL</w:t>
            </w:r>
          </w:p>
        </w:tc>
        <w:tc>
          <w:tcPr>
            <w:tcW w:w="3270" w:type="pct"/>
          </w:tcPr>
          <w:p w14:paraId="5BD9C961" w14:textId="4CA962D4" w:rsidR="00EA057C" w:rsidRPr="00EA057C" w:rsidRDefault="005A74DC" w:rsidP="005710BF">
            <w:pPr>
              <w:spacing w:before="20" w:after="20"/>
              <w:rPr>
                <w:rFonts w:cs="Arial"/>
                <w:sz w:val="20"/>
                <w:szCs w:val="20"/>
              </w:rPr>
            </w:pPr>
            <w:r w:rsidRPr="006B2DA7">
              <w:rPr>
                <w:rFonts w:cs="Arial"/>
                <w:sz w:val="20"/>
                <w:szCs w:val="20"/>
              </w:rPr>
              <w:t xml:space="preserve">Source: </w:t>
            </w:r>
            <w:r w:rsidR="006848D7" w:rsidRPr="006B2DA7">
              <w:rPr>
                <w:rFonts w:cs="Arial"/>
                <w:sz w:val="20"/>
                <w:szCs w:val="20"/>
              </w:rPr>
              <w:t>READI v2.5.1</w:t>
            </w:r>
            <w:r w:rsidR="004A2CEE" w:rsidRPr="006B2DA7">
              <w:rPr>
                <w:rFonts w:cs="Arial"/>
                <w:sz w:val="20"/>
                <w:szCs w:val="20"/>
              </w:rPr>
              <w:t>.</w:t>
            </w:r>
            <w:r w:rsidRPr="006B2DA7">
              <w:rPr>
                <w:rFonts w:cs="Arial"/>
                <w:sz w:val="20"/>
                <w:szCs w:val="20"/>
              </w:rPr>
              <w:t xml:space="preserve"> The value of </w:t>
            </w:r>
            <w:r w:rsidR="006848D7" w:rsidRPr="006B2DA7">
              <w:rPr>
                <w:rFonts w:cs="Arial"/>
                <w:sz w:val="20"/>
                <w:szCs w:val="20"/>
              </w:rPr>
              <w:t>15</w:t>
            </w:r>
            <w:r w:rsidRPr="006B2DA7">
              <w:rPr>
                <w:rFonts w:cs="Arial"/>
                <w:sz w:val="20"/>
                <w:szCs w:val="20"/>
              </w:rPr>
              <w:t xml:space="preserve"> years is associated with EUL ID: </w:t>
            </w:r>
            <w:r w:rsidR="006848D7" w:rsidRPr="006B2DA7">
              <w:rPr>
                <w:rFonts w:cs="Arial"/>
                <w:i/>
                <w:sz w:val="20"/>
                <w:szCs w:val="20"/>
              </w:rPr>
              <w:t>HVAC-</w:t>
            </w:r>
            <w:proofErr w:type="spellStart"/>
            <w:r w:rsidR="006848D7" w:rsidRPr="006B2DA7">
              <w:rPr>
                <w:rFonts w:cs="Arial"/>
                <w:i/>
                <w:sz w:val="20"/>
                <w:szCs w:val="20"/>
              </w:rPr>
              <w:t>airAC</w:t>
            </w:r>
            <w:proofErr w:type="spellEnd"/>
            <w:r w:rsidR="0095396E">
              <w:rPr>
                <w:rFonts w:cs="Arial"/>
                <w:sz w:val="20"/>
                <w:szCs w:val="20"/>
              </w:rPr>
              <w:t xml:space="preserve"> </w:t>
            </w:r>
          </w:p>
        </w:tc>
      </w:tr>
    </w:tbl>
    <w:p w14:paraId="3D440479" w14:textId="77777777" w:rsidR="00EA057C" w:rsidRDefault="00EA057C" w:rsidP="004142EF">
      <w:bookmarkStart w:id="69" w:name="_Hlk516051142"/>
    </w:p>
    <w:p w14:paraId="59542C0D" w14:textId="77777777" w:rsidR="007D230B" w:rsidRDefault="007D230B" w:rsidP="00462BB6">
      <w:pPr>
        <w:pStyle w:val="eTRMHeading3"/>
      </w:pPr>
      <w:bookmarkStart w:id="70" w:name="_Toc486490866"/>
      <w:bookmarkStart w:id="71" w:name="_Toc486580937"/>
      <w:bookmarkStart w:id="72" w:name="_Toc10539898"/>
      <w:bookmarkStart w:id="73" w:name="_Hlk516047558"/>
      <w:r w:rsidRPr="004B06E3">
        <w:t>Revision History</w:t>
      </w:r>
      <w:bookmarkEnd w:id="70"/>
      <w:bookmarkEnd w:id="71"/>
      <w:bookmarkEnd w:id="72"/>
    </w:p>
    <w:p w14:paraId="1686556C" w14:textId="0E68C48E" w:rsidR="009A0D4E" w:rsidRDefault="009A0D4E" w:rsidP="00305AF3">
      <w:pPr>
        <w:pStyle w:val="Caption"/>
      </w:pPr>
      <w:bookmarkStart w:id="74" w:name="_Hlk515959178"/>
      <w:r>
        <w:t>Measure Characterization Revision History</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664"/>
        <w:gridCol w:w="1891"/>
        <w:gridCol w:w="4855"/>
      </w:tblGrid>
      <w:tr w:rsidR="00CA1CB3" w:rsidRPr="00500C4E" w14:paraId="1904D58C" w14:textId="6E96D877" w:rsidTr="006B5B02">
        <w:trPr>
          <w:trHeight w:val="20"/>
          <w:jc w:val="center"/>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90"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101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596"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D60987" w:rsidRPr="00CA1CB3" w14:paraId="0A9DBD7D" w14:textId="04A29668" w:rsidTr="006B5B02">
        <w:trPr>
          <w:trHeight w:val="20"/>
          <w:jc w:val="center"/>
        </w:trPr>
        <w:tc>
          <w:tcPr>
            <w:tcW w:w="503" w:type="pct"/>
          </w:tcPr>
          <w:p w14:paraId="38788C98" w14:textId="51624DA8" w:rsidR="00D60987" w:rsidRPr="006B2DA7" w:rsidRDefault="00594142" w:rsidP="00D60987">
            <w:pPr>
              <w:keepNext/>
              <w:keepLines/>
              <w:spacing w:before="20" w:after="20"/>
              <w:rPr>
                <w:rFonts w:cs="Arial"/>
                <w:sz w:val="20"/>
                <w:szCs w:val="20"/>
              </w:rPr>
            </w:pPr>
            <w:r w:rsidRPr="006B2DA7">
              <w:rPr>
                <w:rFonts w:cs="Arial"/>
                <w:sz w:val="20"/>
                <w:szCs w:val="20"/>
              </w:rPr>
              <w:t>0</w:t>
            </w:r>
          </w:p>
        </w:tc>
        <w:tc>
          <w:tcPr>
            <w:tcW w:w="890" w:type="pct"/>
          </w:tcPr>
          <w:p w14:paraId="03B67B1D" w14:textId="176A172F" w:rsidR="00D60987" w:rsidRPr="006B2DA7" w:rsidRDefault="006848D7" w:rsidP="00D60987">
            <w:pPr>
              <w:keepNext/>
              <w:keepLines/>
              <w:spacing w:before="20" w:after="20"/>
              <w:rPr>
                <w:rFonts w:cs="Arial"/>
                <w:sz w:val="20"/>
                <w:szCs w:val="20"/>
              </w:rPr>
            </w:pPr>
            <w:r w:rsidRPr="006B2DA7">
              <w:rPr>
                <w:rFonts w:cs="Arial"/>
                <w:sz w:val="20"/>
                <w:szCs w:val="20"/>
              </w:rPr>
              <w:t>8/31/2017</w:t>
            </w:r>
          </w:p>
        </w:tc>
        <w:tc>
          <w:tcPr>
            <w:tcW w:w="1011" w:type="pct"/>
          </w:tcPr>
          <w:p w14:paraId="54910BB0" w14:textId="77777777" w:rsidR="006848D7" w:rsidRPr="00D816D2" w:rsidRDefault="006848D7" w:rsidP="00D816D2">
            <w:pPr>
              <w:keepNext/>
              <w:keepLines/>
              <w:spacing w:before="20" w:after="20"/>
              <w:rPr>
                <w:rFonts w:cs="Arial"/>
                <w:sz w:val="20"/>
                <w:szCs w:val="20"/>
              </w:rPr>
            </w:pPr>
            <w:r w:rsidRPr="00D816D2">
              <w:rPr>
                <w:rFonts w:cs="Arial"/>
                <w:sz w:val="20"/>
                <w:szCs w:val="20"/>
              </w:rPr>
              <w:t>Peter Florin and Alex MacCurdy (Energy Solutions),</w:t>
            </w:r>
          </w:p>
          <w:p w14:paraId="32D154D7" w14:textId="5B7A3062" w:rsidR="00D60987" w:rsidRPr="00D816D2" w:rsidRDefault="006848D7" w:rsidP="00D816D2">
            <w:pPr>
              <w:keepNext/>
              <w:keepLines/>
              <w:spacing w:before="20" w:after="20"/>
              <w:rPr>
                <w:rFonts w:cs="Arial"/>
                <w:sz w:val="20"/>
                <w:szCs w:val="20"/>
              </w:rPr>
            </w:pPr>
            <w:r w:rsidRPr="00D816D2">
              <w:rPr>
                <w:rFonts w:cs="Arial"/>
                <w:sz w:val="20"/>
                <w:szCs w:val="20"/>
              </w:rPr>
              <w:t>Henry Liu (PG&amp;E)</w:t>
            </w:r>
          </w:p>
        </w:tc>
        <w:tc>
          <w:tcPr>
            <w:tcW w:w="2596" w:type="pct"/>
          </w:tcPr>
          <w:p w14:paraId="6C70C36F" w14:textId="21D5822A" w:rsidR="00D60987" w:rsidRPr="00CA1CB3" w:rsidRDefault="00D816D2" w:rsidP="00036EFF">
            <w:pPr>
              <w:keepNext/>
              <w:keepLines/>
              <w:spacing w:before="20" w:after="20"/>
              <w:rPr>
                <w:rFonts w:cs="Arial"/>
                <w:sz w:val="20"/>
                <w:szCs w:val="20"/>
              </w:rPr>
            </w:pPr>
            <w:r>
              <w:rPr>
                <w:rFonts w:cs="Calibri Light"/>
                <w:sz w:val="20"/>
                <w:szCs w:val="20"/>
              </w:rPr>
              <w:t xml:space="preserve">New workpaper. Not reviewed by Cal TF. </w:t>
            </w:r>
          </w:p>
        </w:tc>
      </w:tr>
      <w:tr w:rsidR="00845DC3" w:rsidRPr="00CA1CB3" w14:paraId="33BB23AD" w14:textId="77777777" w:rsidTr="006B5B02">
        <w:trPr>
          <w:trHeight w:val="20"/>
          <w:jc w:val="center"/>
        </w:trPr>
        <w:tc>
          <w:tcPr>
            <w:tcW w:w="503" w:type="pct"/>
          </w:tcPr>
          <w:p w14:paraId="426505F2" w14:textId="434A1500" w:rsidR="00845DC3" w:rsidRDefault="006848D7" w:rsidP="00845DC3">
            <w:pPr>
              <w:keepNext/>
              <w:keepLines/>
              <w:spacing w:before="20" w:after="20"/>
              <w:rPr>
                <w:rFonts w:cs="Arial"/>
                <w:sz w:val="20"/>
                <w:szCs w:val="20"/>
              </w:rPr>
            </w:pPr>
            <w:r>
              <w:rPr>
                <w:rFonts w:cs="Arial"/>
                <w:sz w:val="20"/>
                <w:szCs w:val="20"/>
              </w:rPr>
              <w:t>1</w:t>
            </w:r>
          </w:p>
        </w:tc>
        <w:tc>
          <w:tcPr>
            <w:tcW w:w="890" w:type="pct"/>
          </w:tcPr>
          <w:p w14:paraId="38A1F6FF" w14:textId="7CFD384E" w:rsidR="00845DC3" w:rsidRDefault="00D816D2" w:rsidP="00845DC3">
            <w:pPr>
              <w:keepNext/>
              <w:keepLines/>
              <w:spacing w:before="20" w:after="20"/>
              <w:rPr>
                <w:rFonts w:cs="Arial"/>
                <w:sz w:val="20"/>
                <w:szCs w:val="20"/>
              </w:rPr>
            </w:pPr>
            <w:r>
              <w:rPr>
                <w:rFonts w:cs="Arial"/>
                <w:sz w:val="20"/>
                <w:szCs w:val="20"/>
              </w:rPr>
              <w:t>6/7/2019</w:t>
            </w:r>
          </w:p>
        </w:tc>
        <w:tc>
          <w:tcPr>
            <w:tcW w:w="1011" w:type="pct"/>
          </w:tcPr>
          <w:p w14:paraId="5BE0B8C6" w14:textId="77777777" w:rsidR="00845DC3" w:rsidRDefault="00D816D2" w:rsidP="00845DC3">
            <w:pPr>
              <w:keepNext/>
              <w:keepLines/>
              <w:spacing w:before="20" w:after="20"/>
              <w:rPr>
                <w:rFonts w:cs="Arial"/>
                <w:sz w:val="20"/>
                <w:szCs w:val="20"/>
              </w:rPr>
            </w:pPr>
            <w:r>
              <w:rPr>
                <w:rFonts w:cs="Arial"/>
                <w:sz w:val="20"/>
                <w:szCs w:val="20"/>
              </w:rPr>
              <w:t xml:space="preserve">Bryan Boyce and Garrett Hedberg (Energy Solutions), </w:t>
            </w:r>
          </w:p>
          <w:p w14:paraId="388D658F" w14:textId="271CA047" w:rsidR="00D816D2" w:rsidRDefault="00D816D2" w:rsidP="00845DC3">
            <w:pPr>
              <w:keepNext/>
              <w:keepLines/>
              <w:spacing w:before="20" w:after="20"/>
              <w:rPr>
                <w:rFonts w:cs="Arial"/>
                <w:sz w:val="20"/>
                <w:szCs w:val="20"/>
              </w:rPr>
            </w:pPr>
            <w:r>
              <w:rPr>
                <w:rFonts w:cs="Arial"/>
                <w:sz w:val="20"/>
                <w:szCs w:val="20"/>
              </w:rPr>
              <w:t>Henry Liu</w:t>
            </w:r>
            <w:r w:rsidR="006B2DA7">
              <w:rPr>
                <w:rFonts w:cs="Arial"/>
                <w:sz w:val="20"/>
                <w:szCs w:val="20"/>
              </w:rPr>
              <w:t xml:space="preserve"> and </w:t>
            </w:r>
            <w:r w:rsidR="001F5C98">
              <w:rPr>
                <w:rFonts w:cs="Arial"/>
                <w:sz w:val="20"/>
                <w:szCs w:val="20"/>
              </w:rPr>
              <w:t>Adan Rosillo</w:t>
            </w:r>
            <w:r>
              <w:rPr>
                <w:rFonts w:cs="Arial"/>
                <w:sz w:val="20"/>
                <w:szCs w:val="20"/>
              </w:rPr>
              <w:t xml:space="preserve"> (PG&amp;E)</w:t>
            </w:r>
          </w:p>
        </w:tc>
        <w:tc>
          <w:tcPr>
            <w:tcW w:w="2596" w:type="pct"/>
          </w:tcPr>
          <w:p w14:paraId="59CEF711" w14:textId="1F8F2BD2" w:rsidR="00845DC3" w:rsidRDefault="00D816D2" w:rsidP="00845DC3">
            <w:pPr>
              <w:keepNext/>
              <w:keepLines/>
              <w:spacing w:before="20" w:after="20"/>
              <w:rPr>
                <w:rFonts w:cs="Calibri Light"/>
                <w:sz w:val="20"/>
                <w:szCs w:val="20"/>
              </w:rPr>
            </w:pPr>
            <w:r>
              <w:rPr>
                <w:rFonts w:cs="Calibri Light"/>
                <w:sz w:val="20"/>
                <w:szCs w:val="20"/>
              </w:rPr>
              <w:t xml:space="preserve">Incorporated 3/1/2018 CPUC Disposition </w:t>
            </w:r>
            <w:r w:rsidR="00077F56">
              <w:rPr>
                <w:rFonts w:cs="Calibri Light"/>
                <w:sz w:val="20"/>
                <w:szCs w:val="20"/>
              </w:rPr>
              <w:t>requirements:</w:t>
            </w:r>
            <w:r>
              <w:rPr>
                <w:rFonts w:cs="Calibri Light"/>
                <w:sz w:val="20"/>
                <w:szCs w:val="20"/>
              </w:rPr>
              <w:t xml:space="preserve"> </w:t>
            </w:r>
          </w:p>
          <w:p w14:paraId="237DFF62" w14:textId="2A50FE6D" w:rsidR="00D816D2" w:rsidRPr="00E3340C" w:rsidRDefault="00D816D2" w:rsidP="00845DC3">
            <w:pPr>
              <w:keepNext/>
              <w:keepLines/>
              <w:spacing w:before="20" w:after="20"/>
              <w:rPr>
                <w:rFonts w:cs="Calibri Light"/>
                <w:sz w:val="20"/>
                <w:szCs w:val="20"/>
              </w:rPr>
            </w:pPr>
            <w:r>
              <w:rPr>
                <w:rFonts w:cs="Calibri Light"/>
                <w:sz w:val="20"/>
                <w:szCs w:val="20"/>
              </w:rPr>
              <w:t>Eliminated 240-760 kBtu/h size category, eliminated lower IEER tiers</w:t>
            </w:r>
            <w:r w:rsidR="005E6B37">
              <w:rPr>
                <w:rFonts w:cs="Calibri Light"/>
                <w:sz w:val="20"/>
                <w:szCs w:val="20"/>
              </w:rPr>
              <w:t xml:space="preserve"> (due to concerns with DEER measure overlap)</w:t>
            </w:r>
            <w:r>
              <w:rPr>
                <w:rFonts w:cs="Calibri Light"/>
                <w:sz w:val="20"/>
                <w:szCs w:val="20"/>
              </w:rPr>
              <w:t xml:space="preserve">, </w:t>
            </w:r>
            <w:r w:rsidR="00077F56">
              <w:rPr>
                <w:rFonts w:cs="Calibri Light"/>
                <w:sz w:val="20"/>
                <w:szCs w:val="20"/>
              </w:rPr>
              <w:t>changed base case</w:t>
            </w:r>
            <w:r w:rsidR="005E6B37">
              <w:rPr>
                <w:rFonts w:cs="Calibri Light"/>
                <w:sz w:val="20"/>
                <w:szCs w:val="20"/>
              </w:rPr>
              <w:t xml:space="preserve"> to DEER (originally was code-minimum manufacturer performance curve inputs)</w:t>
            </w:r>
            <w:r w:rsidR="00077F56">
              <w:rPr>
                <w:rFonts w:cs="Calibri Light"/>
                <w:sz w:val="20"/>
                <w:szCs w:val="20"/>
              </w:rPr>
              <w:t>, specified “advanced features” in measure requirements,</w:t>
            </w:r>
            <w:r w:rsidR="008D2B79">
              <w:rPr>
                <w:rFonts w:cs="Calibri Light"/>
                <w:sz w:val="20"/>
                <w:szCs w:val="20"/>
              </w:rPr>
              <w:t xml:space="preserve"> changed all modeling parameters in measure case to DEER values except for specific equipment aspects being modeled (three-speed fans, advanced part-load compressor operation)</w:t>
            </w:r>
            <w:r w:rsidR="005E6B37">
              <w:rPr>
                <w:rFonts w:cs="Calibri Light"/>
                <w:sz w:val="20"/>
                <w:szCs w:val="20"/>
              </w:rPr>
              <w:t>, added a cycling loss penalty into compressor part-load curve in higher stages</w:t>
            </w:r>
            <w:r w:rsidR="00077F56">
              <w:rPr>
                <w:rFonts w:cs="Calibri Light"/>
                <w:sz w:val="20"/>
                <w:szCs w:val="20"/>
              </w:rPr>
              <w:t xml:space="preserve">. </w:t>
            </w:r>
          </w:p>
        </w:tc>
      </w:tr>
      <w:tr w:rsidR="00277231" w:rsidRPr="00CA1CB3" w14:paraId="36B59A1C" w14:textId="77777777" w:rsidTr="006B5B02">
        <w:trPr>
          <w:trHeight w:val="20"/>
          <w:jc w:val="center"/>
        </w:trPr>
        <w:tc>
          <w:tcPr>
            <w:tcW w:w="503" w:type="pct"/>
          </w:tcPr>
          <w:p w14:paraId="0977FE0F" w14:textId="6FE5F9D0" w:rsidR="00277231" w:rsidRDefault="00277231" w:rsidP="00845DC3">
            <w:pPr>
              <w:keepNext/>
              <w:keepLines/>
              <w:spacing w:before="20" w:after="20"/>
              <w:rPr>
                <w:rFonts w:cs="Arial"/>
                <w:sz w:val="20"/>
                <w:szCs w:val="20"/>
              </w:rPr>
            </w:pPr>
            <w:r>
              <w:rPr>
                <w:rFonts w:cs="Arial"/>
                <w:sz w:val="20"/>
                <w:szCs w:val="20"/>
              </w:rPr>
              <w:t>2</w:t>
            </w:r>
          </w:p>
        </w:tc>
        <w:tc>
          <w:tcPr>
            <w:tcW w:w="890" w:type="pct"/>
          </w:tcPr>
          <w:p w14:paraId="5B5A2AD6" w14:textId="28BB90A5" w:rsidR="00277231" w:rsidRDefault="00277231" w:rsidP="00845DC3">
            <w:pPr>
              <w:keepNext/>
              <w:keepLines/>
              <w:spacing w:before="20" w:after="20"/>
              <w:rPr>
                <w:rFonts w:cs="Arial"/>
                <w:sz w:val="20"/>
                <w:szCs w:val="20"/>
              </w:rPr>
            </w:pPr>
            <w:r>
              <w:rPr>
                <w:rFonts w:cs="Arial"/>
                <w:sz w:val="20"/>
                <w:szCs w:val="20"/>
              </w:rPr>
              <w:t>3/1/2020</w:t>
            </w:r>
          </w:p>
        </w:tc>
        <w:tc>
          <w:tcPr>
            <w:tcW w:w="1011" w:type="pct"/>
          </w:tcPr>
          <w:p w14:paraId="773B5881" w14:textId="77777777" w:rsidR="00277231" w:rsidRDefault="00277231" w:rsidP="00845DC3">
            <w:pPr>
              <w:keepNext/>
              <w:keepLines/>
              <w:spacing w:before="20" w:after="20"/>
              <w:rPr>
                <w:rFonts w:cs="Arial"/>
                <w:sz w:val="20"/>
                <w:szCs w:val="20"/>
              </w:rPr>
            </w:pPr>
            <w:r>
              <w:rPr>
                <w:rFonts w:cs="Arial"/>
                <w:sz w:val="20"/>
                <w:szCs w:val="20"/>
              </w:rPr>
              <w:t>Eduardo Reynoso</w:t>
            </w:r>
          </w:p>
          <w:p w14:paraId="2D2A4616" w14:textId="174F8874" w:rsidR="00277231" w:rsidRDefault="00277231" w:rsidP="00845DC3">
            <w:pPr>
              <w:keepNext/>
              <w:keepLines/>
              <w:spacing w:before="20" w:after="20"/>
              <w:rPr>
                <w:rFonts w:cs="Arial"/>
                <w:sz w:val="20"/>
                <w:szCs w:val="20"/>
              </w:rPr>
            </w:pPr>
            <w:r>
              <w:rPr>
                <w:rFonts w:cs="Arial"/>
                <w:sz w:val="20"/>
                <w:szCs w:val="20"/>
              </w:rPr>
              <w:t>(SDG&amp;E)</w:t>
            </w:r>
          </w:p>
        </w:tc>
        <w:tc>
          <w:tcPr>
            <w:tcW w:w="2596" w:type="pct"/>
          </w:tcPr>
          <w:p w14:paraId="49CF7483" w14:textId="41CE83EA" w:rsidR="00277231" w:rsidRDefault="00D30BF9" w:rsidP="00845DC3">
            <w:pPr>
              <w:keepNext/>
              <w:keepLines/>
              <w:spacing w:before="20" w:after="20"/>
              <w:rPr>
                <w:rFonts w:cs="Calibri Light"/>
                <w:sz w:val="20"/>
                <w:szCs w:val="20"/>
              </w:rPr>
            </w:pPr>
            <w:r>
              <w:rPr>
                <w:rFonts w:cs="Calibri Light"/>
                <w:sz w:val="20"/>
                <w:szCs w:val="20"/>
              </w:rPr>
              <w:t>Updated electric/gas NTG ID triggered by DEER2022</w:t>
            </w:r>
            <w:r w:rsidR="00D522A2">
              <w:rPr>
                <w:rFonts w:cs="Calibri Light"/>
                <w:sz w:val="20"/>
                <w:szCs w:val="20"/>
              </w:rPr>
              <w:t xml:space="preserve"> per</w:t>
            </w:r>
            <w:r w:rsidR="00445BB6">
              <w:rPr>
                <w:rFonts w:cs="Calibri Light"/>
                <w:sz w:val="20"/>
                <w:szCs w:val="20"/>
              </w:rPr>
              <w:t xml:space="preserve"> </w:t>
            </w:r>
            <w:r w:rsidR="00593B77">
              <w:rPr>
                <w:rFonts w:cs="Calibri Light"/>
                <w:sz w:val="20"/>
                <w:szCs w:val="20"/>
              </w:rPr>
              <w:t>Resolution E-5082</w:t>
            </w:r>
            <w:r w:rsidR="00D522A2">
              <w:rPr>
                <w:rFonts w:cs="Calibri Light"/>
                <w:sz w:val="20"/>
                <w:szCs w:val="20"/>
              </w:rPr>
              <w:t>,</w:t>
            </w:r>
            <w:r w:rsidR="00593B77">
              <w:rPr>
                <w:rFonts w:cs="Calibri Light"/>
                <w:sz w:val="20"/>
                <w:szCs w:val="20"/>
              </w:rPr>
              <w:t xml:space="preserve"> with </w:t>
            </w:r>
            <w:r w:rsidR="003E0F72">
              <w:rPr>
                <w:rFonts w:cs="Calibri Light"/>
                <w:sz w:val="20"/>
                <w:szCs w:val="20"/>
              </w:rPr>
              <w:t xml:space="preserve">an </w:t>
            </w:r>
            <w:r w:rsidR="00593B77">
              <w:rPr>
                <w:rFonts w:cs="Calibri Light"/>
                <w:sz w:val="20"/>
                <w:szCs w:val="20"/>
              </w:rPr>
              <w:t>effective start date of 1/1/2022.</w:t>
            </w:r>
            <w:r w:rsidR="00445BB6">
              <w:rPr>
                <w:rFonts w:cs="Calibri Light"/>
                <w:sz w:val="20"/>
                <w:szCs w:val="20"/>
              </w:rPr>
              <w:t xml:space="preserve"> No other changes. </w:t>
            </w:r>
          </w:p>
        </w:tc>
      </w:tr>
      <w:bookmarkEnd w:id="69"/>
      <w:bookmarkEnd w:id="73"/>
      <w:bookmarkEnd w:id="74"/>
    </w:tbl>
    <w:p w14:paraId="5C9CAB2A" w14:textId="77777777" w:rsidR="00085726" w:rsidRDefault="00085726" w:rsidP="00387072"/>
    <w:sectPr w:rsidR="0008572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C1A37" w14:textId="77777777" w:rsidR="00136442" w:rsidRDefault="00136442" w:rsidP="00A2690C">
      <w:r>
        <w:separator/>
      </w:r>
    </w:p>
    <w:p w14:paraId="27866EC6" w14:textId="77777777" w:rsidR="00136442" w:rsidRDefault="00136442"/>
  </w:endnote>
  <w:endnote w:type="continuationSeparator" w:id="0">
    <w:p w14:paraId="1E997A3B" w14:textId="77777777" w:rsidR="00136442" w:rsidRDefault="00136442" w:rsidP="00A2690C">
      <w:r>
        <w:continuationSeparator/>
      </w:r>
    </w:p>
    <w:p w14:paraId="00F2E382" w14:textId="77777777" w:rsidR="00136442" w:rsidRDefault="00136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Proxima Nova Regular">
    <w:altName w:val="Tahoma"/>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9E6162" w:rsidRDefault="009E6162"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9E6162" w:rsidRPr="00B837C1" w:rsidRDefault="009E6162"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9E6162" w:rsidRDefault="009E6162"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9E6162" w:rsidRPr="00B837C1" w:rsidRDefault="009E6162"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9E6162" w:rsidRDefault="009E6162"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9E6162" w:rsidRPr="005F505E" w:rsidRDefault="009E6162"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BAB76" w14:textId="77777777" w:rsidR="00136442" w:rsidRDefault="00136442" w:rsidP="00A2690C">
      <w:r>
        <w:separator/>
      </w:r>
    </w:p>
    <w:p w14:paraId="609DBF02" w14:textId="77777777" w:rsidR="00136442" w:rsidRDefault="00136442"/>
  </w:footnote>
  <w:footnote w:type="continuationSeparator" w:id="0">
    <w:p w14:paraId="37093EBA" w14:textId="77777777" w:rsidR="00136442" w:rsidRDefault="00136442" w:rsidP="00A2690C">
      <w:r>
        <w:continuationSeparator/>
      </w:r>
    </w:p>
    <w:p w14:paraId="78B82CF9" w14:textId="77777777" w:rsidR="00136442" w:rsidRDefault="00136442"/>
  </w:footnote>
  <w:footnote w:id="1">
    <w:p w14:paraId="51A707A3" w14:textId="2D6D61CC" w:rsidR="009E6162" w:rsidRDefault="009E6162" w:rsidP="00825ABD">
      <w:pPr>
        <w:pStyle w:val="FootnoteText"/>
      </w:pPr>
      <w:r>
        <w:rPr>
          <w:rStyle w:val="FootnoteReference"/>
        </w:rPr>
        <w:footnoteRef/>
      </w:r>
      <w:r>
        <w:t xml:space="preserve"> </w:t>
      </w:r>
      <w:r w:rsidRPr="00142F5A">
        <w:t>DNV-GL. (2016). Impact Evaluation of 2013-2014 Upstream HVAC Programs (HVAC1)</w:t>
      </w:r>
      <w:r>
        <w:t>.</w:t>
      </w:r>
    </w:p>
  </w:footnote>
  <w:footnote w:id="2">
    <w:p w14:paraId="22957911" w14:textId="44CDCF92" w:rsidR="009E6162" w:rsidRDefault="009E6162">
      <w:pPr>
        <w:pStyle w:val="FootnoteText"/>
      </w:pPr>
      <w:r>
        <w:rPr>
          <w:rStyle w:val="FootnoteReference"/>
        </w:rPr>
        <w:footnoteRef/>
      </w:r>
      <w:r>
        <w:t xml:space="preserve"> </w:t>
      </w:r>
      <w:hyperlink r:id="rId1" w:history="1">
        <w:r>
          <w:rPr>
            <w:rStyle w:val="Hyperlink"/>
          </w:rPr>
          <w:t>http://deeresources.net/workpapers</w:t>
        </w:r>
      </w:hyperlink>
      <w:r>
        <w:t>; disposition title: “Multiple Speed Unitary HVAC Units.”</w:t>
      </w:r>
    </w:p>
  </w:footnote>
  <w:footnote w:id="3">
    <w:p w14:paraId="7ACFAFD5" w14:textId="4D784706" w:rsidR="009E6162" w:rsidRDefault="009E6162">
      <w:pPr>
        <w:pStyle w:val="FootnoteText"/>
      </w:pPr>
      <w:r>
        <w:rPr>
          <w:rStyle w:val="FootnoteReference"/>
        </w:rPr>
        <w:footnoteRef/>
      </w:r>
      <w:r>
        <w:t xml:space="preserve"> </w:t>
      </w:r>
      <w:hyperlink r:id="rId2" w:history="1">
        <w:r w:rsidRPr="009E666F">
          <w:rPr>
            <w:rStyle w:val="Hyperlink"/>
          </w:rPr>
          <w:t>http://deeresources.com/files/DEER2020/download/DEER2020-Building-Weights.xlsx</w:t>
        </w:r>
      </w:hyperlink>
      <w:r>
        <w:t>.</w:t>
      </w:r>
    </w:p>
  </w:footnote>
  <w:footnote w:id="4">
    <w:p w14:paraId="7FBC5A9D" w14:textId="77777777" w:rsidR="009E6162" w:rsidRDefault="009E6162" w:rsidP="00424159">
      <w:pPr>
        <w:pStyle w:val="FootnoteText"/>
      </w:pPr>
      <w:r>
        <w:rPr>
          <w:rStyle w:val="FootnoteReference"/>
        </w:rPr>
        <w:footnoteRef/>
      </w:r>
      <w:r>
        <w:t xml:space="preserve"> 2003, 2007, 2011, and 2015 vintages were modeled and combined into the “Ex” vintage using the DEER2020 building weights. The “New” vintage only produced the “sizing” files from MasControl3 so the 2020 vintage was used instead for New Construction.</w:t>
      </w:r>
    </w:p>
  </w:footnote>
  <w:footnote w:id="5">
    <w:p w14:paraId="77ED2C32" w14:textId="77777777" w:rsidR="009E6162" w:rsidRDefault="009E6162" w:rsidP="00424159">
      <w:pPr>
        <w:pStyle w:val="FootnoteText"/>
      </w:pPr>
      <w:r>
        <w:rPr>
          <w:rStyle w:val="FootnoteReference"/>
        </w:rPr>
        <w:footnoteRef/>
      </w:r>
      <w:r>
        <w:t xml:space="preserve"> DXGF is a DEER abbreviation that means “direct expansion (DX) with gas furnace.”</w:t>
      </w:r>
    </w:p>
  </w:footnote>
  <w:footnote w:id="6">
    <w:p w14:paraId="60C58168" w14:textId="77777777" w:rsidR="009E6162" w:rsidRDefault="009E6162" w:rsidP="00424159">
      <w:pPr>
        <w:pStyle w:val="FootnoteText"/>
      </w:pPr>
      <w:r>
        <w:rPr>
          <w:rStyle w:val="FootnoteReference"/>
        </w:rPr>
        <w:footnoteRef/>
      </w:r>
      <w:r>
        <w:t xml:space="preserve"> </w:t>
      </w:r>
      <w:hyperlink r:id="rId3" w:history="1">
        <w:r>
          <w:rPr>
            <w:rStyle w:val="Hyperlink"/>
          </w:rPr>
          <w:t>http://www.ahrinet.org/App_Content/ahri/files/STANDARDS/AHRI/AHRI_Standard_210-240_2017.pdf</w:t>
        </w:r>
      </w:hyperlink>
      <w:r>
        <w:t>.</w:t>
      </w:r>
    </w:p>
  </w:footnote>
  <w:footnote w:id="7">
    <w:p w14:paraId="75437C6A" w14:textId="77777777" w:rsidR="009E6162" w:rsidRDefault="009E6162" w:rsidP="0020432F">
      <w:pPr>
        <w:pStyle w:val="FootnoteText"/>
      </w:pPr>
      <w:r>
        <w:rPr>
          <w:rStyle w:val="FootnoteReference"/>
        </w:rPr>
        <w:footnoteRef/>
      </w:r>
      <w:r>
        <w:t xml:space="preserve">DEER2020 – Peak Period Update </w:t>
      </w:r>
      <w:hyperlink r:id="rId4" w:anchor="PkPeriod" w:history="1">
        <w:r>
          <w:rPr>
            <w:rStyle w:val="Hyperlink"/>
          </w:rPr>
          <w:t>http://deeresources.com/index.php#PkPeriod</w:t>
        </w:r>
      </w:hyperlink>
      <w:r>
        <w:t xml:space="preserve">; </w:t>
      </w:r>
      <w:hyperlink r:id="rId5" w:history="1">
        <w:r w:rsidRPr="008B6382">
          <w:rPr>
            <w:rStyle w:val="Hyperlink"/>
          </w:rPr>
          <w:t>http://deeresources.com/files/DEER2020/download/CZ2010%20Peak%20Period%20Determination%20-%20v3.xlsm</w:t>
        </w:r>
      </w:hyperlink>
      <w:r>
        <w:t xml:space="preserve">  </w:t>
      </w:r>
    </w:p>
  </w:footnote>
  <w:footnote w:id="8">
    <w:p w14:paraId="5111F952" w14:textId="77777777" w:rsidR="009E6162" w:rsidRDefault="009E6162" w:rsidP="00BC5A43">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9">
    <w:p w14:paraId="39968C91" w14:textId="77777777" w:rsidR="009E6162" w:rsidRDefault="009E6162"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10">
    <w:p w14:paraId="5F9B5EFB" w14:textId="77777777" w:rsidR="009E6162" w:rsidRDefault="009E6162"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9E6162" w:rsidRPr="000220A0" w:rsidRDefault="009E6162"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9E6162" w:rsidRDefault="009E6162">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9E6162" w:rsidRDefault="009E61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9E6162" w:rsidRDefault="009E6162" w:rsidP="00BD221D">
    <w:pPr>
      <w:jc w:val="center"/>
    </w:pPr>
  </w:p>
  <w:p w14:paraId="342310D5" w14:textId="5BACBCD8" w:rsidR="009E6162" w:rsidRDefault="009E6162"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30EE4BA8" w:rsidR="009E6162" w:rsidRPr="00C503EE" w:rsidRDefault="009E6162"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Multiple Capacity Unitary AC between 65 and 240 kBtu/h</w:t>
    </w:r>
  </w:p>
  <w:p w14:paraId="2AC97B25" w14:textId="77777777" w:rsidR="009E6162" w:rsidRDefault="009E61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9E6162" w:rsidRDefault="009E61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E203F"/>
    <w:multiLevelType w:val="hybridMultilevel"/>
    <w:tmpl w:val="82EE5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B609A"/>
    <w:multiLevelType w:val="hybridMultilevel"/>
    <w:tmpl w:val="9654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B4C66"/>
    <w:multiLevelType w:val="hybridMultilevel"/>
    <w:tmpl w:val="712A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5D6CF3"/>
    <w:multiLevelType w:val="hybridMultilevel"/>
    <w:tmpl w:val="FE1895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2"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54A6D36"/>
    <w:multiLevelType w:val="hybridMultilevel"/>
    <w:tmpl w:val="02E2E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25F4C"/>
    <w:multiLevelType w:val="hybridMultilevel"/>
    <w:tmpl w:val="459857F8"/>
    <w:lvl w:ilvl="0" w:tplc="F87EAA44">
      <w:start w:val="1"/>
      <w:numFmt w:val="bullet"/>
      <w:pStyle w:val="ListBullets2"/>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4D671C1D"/>
    <w:multiLevelType w:val="hybridMultilevel"/>
    <w:tmpl w:val="62945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0"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B76DB"/>
    <w:multiLevelType w:val="hybridMultilevel"/>
    <w:tmpl w:val="2302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6" w15:restartNumberingAfterBreak="0">
    <w:nsid w:val="7A084951"/>
    <w:multiLevelType w:val="hybridMultilevel"/>
    <w:tmpl w:val="B4F00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25"/>
  </w:num>
  <w:num w:numId="4">
    <w:abstractNumId w:val="25"/>
  </w:num>
  <w:num w:numId="5">
    <w:abstractNumId w:val="1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7"/>
  </w:num>
  <w:num w:numId="8">
    <w:abstractNumId w:val="22"/>
  </w:num>
  <w:num w:numId="9">
    <w:abstractNumId w:val="0"/>
  </w:num>
  <w:num w:numId="10">
    <w:abstractNumId w:val="24"/>
  </w:num>
  <w:num w:numId="11">
    <w:abstractNumId w:val="8"/>
  </w:num>
  <w:num w:numId="12">
    <w:abstractNumId w:val="4"/>
  </w:num>
  <w:num w:numId="13">
    <w:abstractNumId w:val="20"/>
  </w:num>
  <w:num w:numId="14">
    <w:abstractNumId w:val="17"/>
  </w:num>
  <w:num w:numId="15">
    <w:abstractNumId w:val="5"/>
  </w:num>
  <w:num w:numId="16">
    <w:abstractNumId w:val="12"/>
  </w:num>
  <w:num w:numId="17">
    <w:abstractNumId w:val="18"/>
  </w:num>
  <w:num w:numId="18">
    <w:abstractNumId w:val="3"/>
  </w:num>
  <w:num w:numId="19">
    <w:abstractNumId w:val="2"/>
  </w:num>
  <w:num w:numId="20">
    <w:abstractNumId w:val="14"/>
  </w:num>
  <w:num w:numId="21">
    <w:abstractNumId w:val="26"/>
  </w:num>
  <w:num w:numId="22">
    <w:abstractNumId w:val="15"/>
  </w:num>
  <w:num w:numId="23">
    <w:abstractNumId w:val="6"/>
  </w:num>
  <w:num w:numId="24">
    <w:abstractNumId w:val="21"/>
  </w:num>
  <w:num w:numId="25">
    <w:abstractNumId w:val="16"/>
  </w:num>
  <w:num w:numId="2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ECC"/>
    <w:rsid w:val="0000521D"/>
    <w:rsid w:val="00005B06"/>
    <w:rsid w:val="000063B0"/>
    <w:rsid w:val="000110D9"/>
    <w:rsid w:val="000111AF"/>
    <w:rsid w:val="0001349B"/>
    <w:rsid w:val="00016928"/>
    <w:rsid w:val="000220A0"/>
    <w:rsid w:val="000229F1"/>
    <w:rsid w:val="000232D7"/>
    <w:rsid w:val="0002389A"/>
    <w:rsid w:val="00026D58"/>
    <w:rsid w:val="000302DF"/>
    <w:rsid w:val="00031184"/>
    <w:rsid w:val="00036EFF"/>
    <w:rsid w:val="00037330"/>
    <w:rsid w:val="00037A06"/>
    <w:rsid w:val="00046BB0"/>
    <w:rsid w:val="00047E10"/>
    <w:rsid w:val="00051DBB"/>
    <w:rsid w:val="00052C95"/>
    <w:rsid w:val="000530E4"/>
    <w:rsid w:val="000540D7"/>
    <w:rsid w:val="0005587A"/>
    <w:rsid w:val="0005662E"/>
    <w:rsid w:val="00061D34"/>
    <w:rsid w:val="000621A8"/>
    <w:rsid w:val="000624F7"/>
    <w:rsid w:val="00065E54"/>
    <w:rsid w:val="000672E5"/>
    <w:rsid w:val="00074E3E"/>
    <w:rsid w:val="000767E9"/>
    <w:rsid w:val="00077EF4"/>
    <w:rsid w:val="00077F56"/>
    <w:rsid w:val="0008108C"/>
    <w:rsid w:val="00083A78"/>
    <w:rsid w:val="000841AA"/>
    <w:rsid w:val="00084EDF"/>
    <w:rsid w:val="00085726"/>
    <w:rsid w:val="00087FD4"/>
    <w:rsid w:val="00090B28"/>
    <w:rsid w:val="00090BBF"/>
    <w:rsid w:val="000910B7"/>
    <w:rsid w:val="00091581"/>
    <w:rsid w:val="00094517"/>
    <w:rsid w:val="00094B2B"/>
    <w:rsid w:val="00096485"/>
    <w:rsid w:val="00097570"/>
    <w:rsid w:val="000978C8"/>
    <w:rsid w:val="000A270E"/>
    <w:rsid w:val="000A2B94"/>
    <w:rsid w:val="000A4D3A"/>
    <w:rsid w:val="000A62EF"/>
    <w:rsid w:val="000A66B7"/>
    <w:rsid w:val="000A7058"/>
    <w:rsid w:val="000B139B"/>
    <w:rsid w:val="000B2E6B"/>
    <w:rsid w:val="000B363A"/>
    <w:rsid w:val="000B6004"/>
    <w:rsid w:val="000B7F33"/>
    <w:rsid w:val="000C2D4B"/>
    <w:rsid w:val="000C36B4"/>
    <w:rsid w:val="000C5BA6"/>
    <w:rsid w:val="000C72C1"/>
    <w:rsid w:val="000C7B77"/>
    <w:rsid w:val="000D784D"/>
    <w:rsid w:val="000E044A"/>
    <w:rsid w:val="000E30CF"/>
    <w:rsid w:val="000E4EB1"/>
    <w:rsid w:val="000F1833"/>
    <w:rsid w:val="000F5D2C"/>
    <w:rsid w:val="000F719C"/>
    <w:rsid w:val="00103399"/>
    <w:rsid w:val="0010471F"/>
    <w:rsid w:val="00104933"/>
    <w:rsid w:val="00111A53"/>
    <w:rsid w:val="0011498C"/>
    <w:rsid w:val="00120592"/>
    <w:rsid w:val="001217DF"/>
    <w:rsid w:val="0012187D"/>
    <w:rsid w:val="00124363"/>
    <w:rsid w:val="00124BFE"/>
    <w:rsid w:val="0012598D"/>
    <w:rsid w:val="001267B2"/>
    <w:rsid w:val="00126809"/>
    <w:rsid w:val="00126B25"/>
    <w:rsid w:val="00131C5A"/>
    <w:rsid w:val="00131FA0"/>
    <w:rsid w:val="00132E1A"/>
    <w:rsid w:val="00136442"/>
    <w:rsid w:val="00142D3C"/>
    <w:rsid w:val="001451AB"/>
    <w:rsid w:val="0014665D"/>
    <w:rsid w:val="00151553"/>
    <w:rsid w:val="0015169E"/>
    <w:rsid w:val="00151B9F"/>
    <w:rsid w:val="00152749"/>
    <w:rsid w:val="00153BB7"/>
    <w:rsid w:val="00154391"/>
    <w:rsid w:val="001561BF"/>
    <w:rsid w:val="001564FC"/>
    <w:rsid w:val="00157985"/>
    <w:rsid w:val="00161DF1"/>
    <w:rsid w:val="001648F6"/>
    <w:rsid w:val="00164D8D"/>
    <w:rsid w:val="00171BB8"/>
    <w:rsid w:val="00174707"/>
    <w:rsid w:val="0017642E"/>
    <w:rsid w:val="00177EB6"/>
    <w:rsid w:val="00180DAD"/>
    <w:rsid w:val="00181672"/>
    <w:rsid w:val="00181E01"/>
    <w:rsid w:val="00182F07"/>
    <w:rsid w:val="00183C70"/>
    <w:rsid w:val="00186233"/>
    <w:rsid w:val="00190874"/>
    <w:rsid w:val="001944A0"/>
    <w:rsid w:val="001944B4"/>
    <w:rsid w:val="00195B03"/>
    <w:rsid w:val="00196649"/>
    <w:rsid w:val="001A0592"/>
    <w:rsid w:val="001A11C7"/>
    <w:rsid w:val="001A19AA"/>
    <w:rsid w:val="001A4BE1"/>
    <w:rsid w:val="001A6E3B"/>
    <w:rsid w:val="001A7A21"/>
    <w:rsid w:val="001B0D29"/>
    <w:rsid w:val="001B1D23"/>
    <w:rsid w:val="001B426F"/>
    <w:rsid w:val="001B5E2B"/>
    <w:rsid w:val="001C2ACE"/>
    <w:rsid w:val="001C393E"/>
    <w:rsid w:val="001C483A"/>
    <w:rsid w:val="001C6C9B"/>
    <w:rsid w:val="001C7134"/>
    <w:rsid w:val="001D5580"/>
    <w:rsid w:val="001D656F"/>
    <w:rsid w:val="001D65A6"/>
    <w:rsid w:val="001D7A57"/>
    <w:rsid w:val="001E19A3"/>
    <w:rsid w:val="001E4C3F"/>
    <w:rsid w:val="001E6273"/>
    <w:rsid w:val="001F00E9"/>
    <w:rsid w:val="001F5C98"/>
    <w:rsid w:val="001F7315"/>
    <w:rsid w:val="001F735E"/>
    <w:rsid w:val="002005A8"/>
    <w:rsid w:val="002006B6"/>
    <w:rsid w:val="00202223"/>
    <w:rsid w:val="0020432F"/>
    <w:rsid w:val="00204F2D"/>
    <w:rsid w:val="00205BAF"/>
    <w:rsid w:val="00207F85"/>
    <w:rsid w:val="0021226A"/>
    <w:rsid w:val="0021230E"/>
    <w:rsid w:val="00224A16"/>
    <w:rsid w:val="00224C78"/>
    <w:rsid w:val="00225142"/>
    <w:rsid w:val="00226694"/>
    <w:rsid w:val="00227BDD"/>
    <w:rsid w:val="002318A4"/>
    <w:rsid w:val="002335FF"/>
    <w:rsid w:val="00233D87"/>
    <w:rsid w:val="00235258"/>
    <w:rsid w:val="0023666C"/>
    <w:rsid w:val="00236692"/>
    <w:rsid w:val="00236E0A"/>
    <w:rsid w:val="00237964"/>
    <w:rsid w:val="002434DE"/>
    <w:rsid w:val="0024435D"/>
    <w:rsid w:val="00245AFF"/>
    <w:rsid w:val="0024628D"/>
    <w:rsid w:val="0024690E"/>
    <w:rsid w:val="00251ABC"/>
    <w:rsid w:val="00252039"/>
    <w:rsid w:val="002524CF"/>
    <w:rsid w:val="00253125"/>
    <w:rsid w:val="00256400"/>
    <w:rsid w:val="0026110B"/>
    <w:rsid w:val="00261252"/>
    <w:rsid w:val="002652D2"/>
    <w:rsid w:val="00271B18"/>
    <w:rsid w:val="00276F9B"/>
    <w:rsid w:val="00277231"/>
    <w:rsid w:val="002905FA"/>
    <w:rsid w:val="002942B0"/>
    <w:rsid w:val="0029555D"/>
    <w:rsid w:val="0029757F"/>
    <w:rsid w:val="002975C1"/>
    <w:rsid w:val="0029781E"/>
    <w:rsid w:val="002A001D"/>
    <w:rsid w:val="002A122F"/>
    <w:rsid w:val="002A1953"/>
    <w:rsid w:val="002A2471"/>
    <w:rsid w:val="002A2A94"/>
    <w:rsid w:val="002B107C"/>
    <w:rsid w:val="002B2C97"/>
    <w:rsid w:val="002B3BF4"/>
    <w:rsid w:val="002B441F"/>
    <w:rsid w:val="002B609D"/>
    <w:rsid w:val="002B6DED"/>
    <w:rsid w:val="002B6F2A"/>
    <w:rsid w:val="002C06FC"/>
    <w:rsid w:val="002C1117"/>
    <w:rsid w:val="002C67DF"/>
    <w:rsid w:val="002D0036"/>
    <w:rsid w:val="002D17CE"/>
    <w:rsid w:val="002D29F8"/>
    <w:rsid w:val="002D40EE"/>
    <w:rsid w:val="002D4993"/>
    <w:rsid w:val="002D50E9"/>
    <w:rsid w:val="002D5CFA"/>
    <w:rsid w:val="002D6C08"/>
    <w:rsid w:val="002E5874"/>
    <w:rsid w:val="002E714C"/>
    <w:rsid w:val="002F036B"/>
    <w:rsid w:val="002F0C68"/>
    <w:rsid w:val="002F6CCF"/>
    <w:rsid w:val="00301C01"/>
    <w:rsid w:val="00302A82"/>
    <w:rsid w:val="00304892"/>
    <w:rsid w:val="00305AF3"/>
    <w:rsid w:val="003103FB"/>
    <w:rsid w:val="00313E1D"/>
    <w:rsid w:val="00315810"/>
    <w:rsid w:val="003247FA"/>
    <w:rsid w:val="003309DA"/>
    <w:rsid w:val="003326EC"/>
    <w:rsid w:val="00333809"/>
    <w:rsid w:val="003358F1"/>
    <w:rsid w:val="00336313"/>
    <w:rsid w:val="00337D1D"/>
    <w:rsid w:val="00337FA7"/>
    <w:rsid w:val="00342371"/>
    <w:rsid w:val="0035060F"/>
    <w:rsid w:val="00351D85"/>
    <w:rsid w:val="00352864"/>
    <w:rsid w:val="00355650"/>
    <w:rsid w:val="00357459"/>
    <w:rsid w:val="00362F9E"/>
    <w:rsid w:val="00363BE8"/>
    <w:rsid w:val="00367633"/>
    <w:rsid w:val="00370B5D"/>
    <w:rsid w:val="00372F61"/>
    <w:rsid w:val="00385069"/>
    <w:rsid w:val="00386A29"/>
    <w:rsid w:val="00387072"/>
    <w:rsid w:val="00392097"/>
    <w:rsid w:val="00392684"/>
    <w:rsid w:val="00394B86"/>
    <w:rsid w:val="003A0CB7"/>
    <w:rsid w:val="003A2C46"/>
    <w:rsid w:val="003A6788"/>
    <w:rsid w:val="003B7610"/>
    <w:rsid w:val="003C03F2"/>
    <w:rsid w:val="003C2CC3"/>
    <w:rsid w:val="003C3614"/>
    <w:rsid w:val="003C66AA"/>
    <w:rsid w:val="003C7721"/>
    <w:rsid w:val="003D1FB8"/>
    <w:rsid w:val="003D4688"/>
    <w:rsid w:val="003D7104"/>
    <w:rsid w:val="003E0AD6"/>
    <w:rsid w:val="003E0F72"/>
    <w:rsid w:val="003E2013"/>
    <w:rsid w:val="003E50CF"/>
    <w:rsid w:val="003E5605"/>
    <w:rsid w:val="003E7BC6"/>
    <w:rsid w:val="003F0435"/>
    <w:rsid w:val="003F21D2"/>
    <w:rsid w:val="003F269E"/>
    <w:rsid w:val="003F4964"/>
    <w:rsid w:val="003F65F3"/>
    <w:rsid w:val="00401C43"/>
    <w:rsid w:val="00404535"/>
    <w:rsid w:val="004046FF"/>
    <w:rsid w:val="004071C9"/>
    <w:rsid w:val="004073C5"/>
    <w:rsid w:val="00407BE9"/>
    <w:rsid w:val="00410790"/>
    <w:rsid w:val="00411EC7"/>
    <w:rsid w:val="00411EF4"/>
    <w:rsid w:val="004133BB"/>
    <w:rsid w:val="004142EF"/>
    <w:rsid w:val="00416C47"/>
    <w:rsid w:val="00420958"/>
    <w:rsid w:val="00420EF1"/>
    <w:rsid w:val="00421920"/>
    <w:rsid w:val="00423D33"/>
    <w:rsid w:val="00424159"/>
    <w:rsid w:val="004249A0"/>
    <w:rsid w:val="00425FAA"/>
    <w:rsid w:val="00426407"/>
    <w:rsid w:val="0043155E"/>
    <w:rsid w:val="00432D49"/>
    <w:rsid w:val="00433596"/>
    <w:rsid w:val="004339EA"/>
    <w:rsid w:val="00433E8F"/>
    <w:rsid w:val="00434145"/>
    <w:rsid w:val="004345C9"/>
    <w:rsid w:val="00436CBD"/>
    <w:rsid w:val="004372DF"/>
    <w:rsid w:val="004429B9"/>
    <w:rsid w:val="0044577B"/>
    <w:rsid w:val="00445BB6"/>
    <w:rsid w:val="00451588"/>
    <w:rsid w:val="004517F1"/>
    <w:rsid w:val="00451FF6"/>
    <w:rsid w:val="00454113"/>
    <w:rsid w:val="004556DF"/>
    <w:rsid w:val="00461AE3"/>
    <w:rsid w:val="00462BB6"/>
    <w:rsid w:val="00462F22"/>
    <w:rsid w:val="00464A63"/>
    <w:rsid w:val="004650D7"/>
    <w:rsid w:val="00466DD6"/>
    <w:rsid w:val="00470670"/>
    <w:rsid w:val="00472286"/>
    <w:rsid w:val="00475A47"/>
    <w:rsid w:val="00475D57"/>
    <w:rsid w:val="00475F03"/>
    <w:rsid w:val="00480789"/>
    <w:rsid w:val="00484536"/>
    <w:rsid w:val="00485834"/>
    <w:rsid w:val="00485CAE"/>
    <w:rsid w:val="00486585"/>
    <w:rsid w:val="0048695B"/>
    <w:rsid w:val="0049482E"/>
    <w:rsid w:val="0049615E"/>
    <w:rsid w:val="0049638E"/>
    <w:rsid w:val="00497289"/>
    <w:rsid w:val="004A06AE"/>
    <w:rsid w:val="004A2CEE"/>
    <w:rsid w:val="004A510D"/>
    <w:rsid w:val="004B06E3"/>
    <w:rsid w:val="004B35DC"/>
    <w:rsid w:val="004B4C67"/>
    <w:rsid w:val="004B4DDE"/>
    <w:rsid w:val="004B5888"/>
    <w:rsid w:val="004B6780"/>
    <w:rsid w:val="004B7CAA"/>
    <w:rsid w:val="004C1B1C"/>
    <w:rsid w:val="004C2A36"/>
    <w:rsid w:val="004C3663"/>
    <w:rsid w:val="004C57EC"/>
    <w:rsid w:val="004C69F2"/>
    <w:rsid w:val="004D0C20"/>
    <w:rsid w:val="004D1461"/>
    <w:rsid w:val="004D3A71"/>
    <w:rsid w:val="004D3CE4"/>
    <w:rsid w:val="004D7E51"/>
    <w:rsid w:val="004E04EE"/>
    <w:rsid w:val="004E1B37"/>
    <w:rsid w:val="004E2704"/>
    <w:rsid w:val="004E3DCC"/>
    <w:rsid w:val="004E3F72"/>
    <w:rsid w:val="004E4D01"/>
    <w:rsid w:val="004F705B"/>
    <w:rsid w:val="00500964"/>
    <w:rsid w:val="00500C66"/>
    <w:rsid w:val="005044CA"/>
    <w:rsid w:val="00505B94"/>
    <w:rsid w:val="00507D01"/>
    <w:rsid w:val="005130EC"/>
    <w:rsid w:val="00513588"/>
    <w:rsid w:val="005146E6"/>
    <w:rsid w:val="00515479"/>
    <w:rsid w:val="00520182"/>
    <w:rsid w:val="00523F9B"/>
    <w:rsid w:val="005249BC"/>
    <w:rsid w:val="00525D3B"/>
    <w:rsid w:val="00526F7F"/>
    <w:rsid w:val="00535A42"/>
    <w:rsid w:val="0053748E"/>
    <w:rsid w:val="005449C6"/>
    <w:rsid w:val="0055132F"/>
    <w:rsid w:val="005554AA"/>
    <w:rsid w:val="005608EF"/>
    <w:rsid w:val="00561400"/>
    <w:rsid w:val="0056177B"/>
    <w:rsid w:val="005624D9"/>
    <w:rsid w:val="00564E1A"/>
    <w:rsid w:val="00565D08"/>
    <w:rsid w:val="00566B42"/>
    <w:rsid w:val="005710BF"/>
    <w:rsid w:val="0057165C"/>
    <w:rsid w:val="00571D95"/>
    <w:rsid w:val="005722C6"/>
    <w:rsid w:val="00577CA0"/>
    <w:rsid w:val="00580FF8"/>
    <w:rsid w:val="005820CD"/>
    <w:rsid w:val="00585C8D"/>
    <w:rsid w:val="005862CC"/>
    <w:rsid w:val="005911FE"/>
    <w:rsid w:val="0059312F"/>
    <w:rsid w:val="00593220"/>
    <w:rsid w:val="0059380C"/>
    <w:rsid w:val="00593B77"/>
    <w:rsid w:val="00594142"/>
    <w:rsid w:val="00595758"/>
    <w:rsid w:val="00596081"/>
    <w:rsid w:val="005A3943"/>
    <w:rsid w:val="005A51E6"/>
    <w:rsid w:val="005A632E"/>
    <w:rsid w:val="005A74DC"/>
    <w:rsid w:val="005B329B"/>
    <w:rsid w:val="005B7418"/>
    <w:rsid w:val="005C03A9"/>
    <w:rsid w:val="005C1D6E"/>
    <w:rsid w:val="005C2BFC"/>
    <w:rsid w:val="005C324B"/>
    <w:rsid w:val="005C36B6"/>
    <w:rsid w:val="005C3F15"/>
    <w:rsid w:val="005C43E2"/>
    <w:rsid w:val="005C454A"/>
    <w:rsid w:val="005C74C9"/>
    <w:rsid w:val="005C7B6B"/>
    <w:rsid w:val="005D00F0"/>
    <w:rsid w:val="005D1B14"/>
    <w:rsid w:val="005D257B"/>
    <w:rsid w:val="005E1D5C"/>
    <w:rsid w:val="005E25DC"/>
    <w:rsid w:val="005E52AE"/>
    <w:rsid w:val="005E5607"/>
    <w:rsid w:val="005E567C"/>
    <w:rsid w:val="005E6B37"/>
    <w:rsid w:val="005F505E"/>
    <w:rsid w:val="005F7473"/>
    <w:rsid w:val="006007C4"/>
    <w:rsid w:val="00601D5A"/>
    <w:rsid w:val="00602976"/>
    <w:rsid w:val="0060388D"/>
    <w:rsid w:val="00604231"/>
    <w:rsid w:val="006068F3"/>
    <w:rsid w:val="006075D3"/>
    <w:rsid w:val="00610050"/>
    <w:rsid w:val="00610C2F"/>
    <w:rsid w:val="00610C76"/>
    <w:rsid w:val="006161A6"/>
    <w:rsid w:val="00616AA4"/>
    <w:rsid w:val="00620193"/>
    <w:rsid w:val="0062187C"/>
    <w:rsid w:val="006239BC"/>
    <w:rsid w:val="00625805"/>
    <w:rsid w:val="00627AC4"/>
    <w:rsid w:val="00627EFD"/>
    <w:rsid w:val="0063253B"/>
    <w:rsid w:val="006363C8"/>
    <w:rsid w:val="00637AB8"/>
    <w:rsid w:val="0064370D"/>
    <w:rsid w:val="00643771"/>
    <w:rsid w:val="00644946"/>
    <w:rsid w:val="00646AB8"/>
    <w:rsid w:val="00647BD9"/>
    <w:rsid w:val="00654A3E"/>
    <w:rsid w:val="00657C37"/>
    <w:rsid w:val="006624A7"/>
    <w:rsid w:val="0066515F"/>
    <w:rsid w:val="006663E9"/>
    <w:rsid w:val="006668AF"/>
    <w:rsid w:val="00670A7E"/>
    <w:rsid w:val="0067278C"/>
    <w:rsid w:val="00676DAA"/>
    <w:rsid w:val="006842E7"/>
    <w:rsid w:val="006848D7"/>
    <w:rsid w:val="00686439"/>
    <w:rsid w:val="006933B3"/>
    <w:rsid w:val="00696700"/>
    <w:rsid w:val="00697A88"/>
    <w:rsid w:val="00697CF1"/>
    <w:rsid w:val="006A15DA"/>
    <w:rsid w:val="006A6051"/>
    <w:rsid w:val="006B2DA7"/>
    <w:rsid w:val="006B31D9"/>
    <w:rsid w:val="006B5B02"/>
    <w:rsid w:val="006C0102"/>
    <w:rsid w:val="006C07D4"/>
    <w:rsid w:val="006C277C"/>
    <w:rsid w:val="006C41AD"/>
    <w:rsid w:val="006D04BD"/>
    <w:rsid w:val="006D1E0D"/>
    <w:rsid w:val="006D47EF"/>
    <w:rsid w:val="006D5CFB"/>
    <w:rsid w:val="006D6644"/>
    <w:rsid w:val="006D7180"/>
    <w:rsid w:val="006E09FA"/>
    <w:rsid w:val="006E2200"/>
    <w:rsid w:val="006E433B"/>
    <w:rsid w:val="006E7899"/>
    <w:rsid w:val="006E7C78"/>
    <w:rsid w:val="006E7F5B"/>
    <w:rsid w:val="006F27F4"/>
    <w:rsid w:val="006F2E23"/>
    <w:rsid w:val="006F4C30"/>
    <w:rsid w:val="006F6A56"/>
    <w:rsid w:val="006F6B5E"/>
    <w:rsid w:val="006F7024"/>
    <w:rsid w:val="00703A7C"/>
    <w:rsid w:val="007076DA"/>
    <w:rsid w:val="00707860"/>
    <w:rsid w:val="00713549"/>
    <w:rsid w:val="00717131"/>
    <w:rsid w:val="00717AA0"/>
    <w:rsid w:val="007207BF"/>
    <w:rsid w:val="00723F83"/>
    <w:rsid w:val="007255D6"/>
    <w:rsid w:val="00725CB0"/>
    <w:rsid w:val="00726DBC"/>
    <w:rsid w:val="0073506F"/>
    <w:rsid w:val="0073517D"/>
    <w:rsid w:val="00736034"/>
    <w:rsid w:val="0073685C"/>
    <w:rsid w:val="00737EA5"/>
    <w:rsid w:val="007400AE"/>
    <w:rsid w:val="007409B0"/>
    <w:rsid w:val="00741F3E"/>
    <w:rsid w:val="00742F88"/>
    <w:rsid w:val="00743AA8"/>
    <w:rsid w:val="00746A1A"/>
    <w:rsid w:val="00747DA7"/>
    <w:rsid w:val="00750840"/>
    <w:rsid w:val="00756A12"/>
    <w:rsid w:val="00757617"/>
    <w:rsid w:val="007603C5"/>
    <w:rsid w:val="007614EB"/>
    <w:rsid w:val="0076370E"/>
    <w:rsid w:val="00763AD8"/>
    <w:rsid w:val="00765016"/>
    <w:rsid w:val="00767EDE"/>
    <w:rsid w:val="0077100C"/>
    <w:rsid w:val="00771F76"/>
    <w:rsid w:val="00773BBA"/>
    <w:rsid w:val="00776C39"/>
    <w:rsid w:val="00781D00"/>
    <w:rsid w:val="00783AEC"/>
    <w:rsid w:val="007900F3"/>
    <w:rsid w:val="00791B69"/>
    <w:rsid w:val="0079302A"/>
    <w:rsid w:val="0079498E"/>
    <w:rsid w:val="00796F10"/>
    <w:rsid w:val="007A0F9E"/>
    <w:rsid w:val="007A1D2D"/>
    <w:rsid w:val="007A351E"/>
    <w:rsid w:val="007A6AB5"/>
    <w:rsid w:val="007A6C67"/>
    <w:rsid w:val="007B14D9"/>
    <w:rsid w:val="007B2B46"/>
    <w:rsid w:val="007B30F2"/>
    <w:rsid w:val="007B377F"/>
    <w:rsid w:val="007B4274"/>
    <w:rsid w:val="007B443D"/>
    <w:rsid w:val="007B5117"/>
    <w:rsid w:val="007B599D"/>
    <w:rsid w:val="007B6650"/>
    <w:rsid w:val="007B6A74"/>
    <w:rsid w:val="007C28C3"/>
    <w:rsid w:val="007C2DC8"/>
    <w:rsid w:val="007C7566"/>
    <w:rsid w:val="007D097E"/>
    <w:rsid w:val="007D230B"/>
    <w:rsid w:val="007D2D80"/>
    <w:rsid w:val="007D3681"/>
    <w:rsid w:val="007D3824"/>
    <w:rsid w:val="007D49A1"/>
    <w:rsid w:val="007D59DD"/>
    <w:rsid w:val="007E0EDA"/>
    <w:rsid w:val="007E1F66"/>
    <w:rsid w:val="007E2CB5"/>
    <w:rsid w:val="007E4C10"/>
    <w:rsid w:val="007E6501"/>
    <w:rsid w:val="007E6C25"/>
    <w:rsid w:val="007F32D7"/>
    <w:rsid w:val="007F3A57"/>
    <w:rsid w:val="007F4F97"/>
    <w:rsid w:val="007F669E"/>
    <w:rsid w:val="00801632"/>
    <w:rsid w:val="0080520B"/>
    <w:rsid w:val="00807B3E"/>
    <w:rsid w:val="00810D4A"/>
    <w:rsid w:val="00812F82"/>
    <w:rsid w:val="008146FD"/>
    <w:rsid w:val="008163CE"/>
    <w:rsid w:val="00816AAB"/>
    <w:rsid w:val="00820402"/>
    <w:rsid w:val="008243B2"/>
    <w:rsid w:val="00824F08"/>
    <w:rsid w:val="0082584B"/>
    <w:rsid w:val="00825ABD"/>
    <w:rsid w:val="00827773"/>
    <w:rsid w:val="008310DF"/>
    <w:rsid w:val="00831105"/>
    <w:rsid w:val="00835487"/>
    <w:rsid w:val="00844093"/>
    <w:rsid w:val="00844A4B"/>
    <w:rsid w:val="00845DC3"/>
    <w:rsid w:val="00854676"/>
    <w:rsid w:val="008605EC"/>
    <w:rsid w:val="008616DC"/>
    <w:rsid w:val="00865296"/>
    <w:rsid w:val="008666E8"/>
    <w:rsid w:val="00867086"/>
    <w:rsid w:val="00871123"/>
    <w:rsid w:val="00874663"/>
    <w:rsid w:val="00881B95"/>
    <w:rsid w:val="008831CA"/>
    <w:rsid w:val="00886CD2"/>
    <w:rsid w:val="00887FDA"/>
    <w:rsid w:val="0089272A"/>
    <w:rsid w:val="00894890"/>
    <w:rsid w:val="00897247"/>
    <w:rsid w:val="008A26FC"/>
    <w:rsid w:val="008A3163"/>
    <w:rsid w:val="008A381D"/>
    <w:rsid w:val="008B08F0"/>
    <w:rsid w:val="008B262C"/>
    <w:rsid w:val="008B2DAD"/>
    <w:rsid w:val="008B6FC8"/>
    <w:rsid w:val="008C19E9"/>
    <w:rsid w:val="008C26E9"/>
    <w:rsid w:val="008C774E"/>
    <w:rsid w:val="008D2B79"/>
    <w:rsid w:val="008D2BF0"/>
    <w:rsid w:val="008D3F1A"/>
    <w:rsid w:val="008D4652"/>
    <w:rsid w:val="008D6D9D"/>
    <w:rsid w:val="008E1963"/>
    <w:rsid w:val="008E35C7"/>
    <w:rsid w:val="008F1691"/>
    <w:rsid w:val="008F22E2"/>
    <w:rsid w:val="008F5698"/>
    <w:rsid w:val="008F639E"/>
    <w:rsid w:val="00901EF2"/>
    <w:rsid w:val="00903EB6"/>
    <w:rsid w:val="00904906"/>
    <w:rsid w:val="0090702F"/>
    <w:rsid w:val="009079D0"/>
    <w:rsid w:val="00913D0A"/>
    <w:rsid w:val="009148A1"/>
    <w:rsid w:val="00914C43"/>
    <w:rsid w:val="00924972"/>
    <w:rsid w:val="009309D7"/>
    <w:rsid w:val="00932E1E"/>
    <w:rsid w:val="00934068"/>
    <w:rsid w:val="00936348"/>
    <w:rsid w:val="00937854"/>
    <w:rsid w:val="009400F4"/>
    <w:rsid w:val="0094045A"/>
    <w:rsid w:val="009469E0"/>
    <w:rsid w:val="00951C4D"/>
    <w:rsid w:val="00952E03"/>
    <w:rsid w:val="0095396E"/>
    <w:rsid w:val="009547E2"/>
    <w:rsid w:val="00956488"/>
    <w:rsid w:val="00956F5F"/>
    <w:rsid w:val="0095744F"/>
    <w:rsid w:val="009610DC"/>
    <w:rsid w:val="00964461"/>
    <w:rsid w:val="009669D2"/>
    <w:rsid w:val="0097108A"/>
    <w:rsid w:val="0097154F"/>
    <w:rsid w:val="00973555"/>
    <w:rsid w:val="009831E9"/>
    <w:rsid w:val="0098457F"/>
    <w:rsid w:val="00985996"/>
    <w:rsid w:val="00986978"/>
    <w:rsid w:val="00993D02"/>
    <w:rsid w:val="0099406C"/>
    <w:rsid w:val="00994F74"/>
    <w:rsid w:val="0099563A"/>
    <w:rsid w:val="009A0D4E"/>
    <w:rsid w:val="009A13F4"/>
    <w:rsid w:val="009A44BE"/>
    <w:rsid w:val="009A79CC"/>
    <w:rsid w:val="009B029F"/>
    <w:rsid w:val="009B27F8"/>
    <w:rsid w:val="009B3194"/>
    <w:rsid w:val="009B4A8B"/>
    <w:rsid w:val="009B67BE"/>
    <w:rsid w:val="009B74FB"/>
    <w:rsid w:val="009C0660"/>
    <w:rsid w:val="009C12A7"/>
    <w:rsid w:val="009C2DE3"/>
    <w:rsid w:val="009C31A4"/>
    <w:rsid w:val="009C3AC7"/>
    <w:rsid w:val="009C4845"/>
    <w:rsid w:val="009C7314"/>
    <w:rsid w:val="009C7F9E"/>
    <w:rsid w:val="009D2442"/>
    <w:rsid w:val="009D5D9F"/>
    <w:rsid w:val="009D6C5F"/>
    <w:rsid w:val="009D7F4D"/>
    <w:rsid w:val="009E0FA2"/>
    <w:rsid w:val="009E2244"/>
    <w:rsid w:val="009E2724"/>
    <w:rsid w:val="009E2D42"/>
    <w:rsid w:val="009E4866"/>
    <w:rsid w:val="009E57DF"/>
    <w:rsid w:val="009E6162"/>
    <w:rsid w:val="009F57FD"/>
    <w:rsid w:val="009F7F9F"/>
    <w:rsid w:val="00A01E02"/>
    <w:rsid w:val="00A02E26"/>
    <w:rsid w:val="00A04089"/>
    <w:rsid w:val="00A05BA0"/>
    <w:rsid w:val="00A10C74"/>
    <w:rsid w:val="00A159C9"/>
    <w:rsid w:val="00A167FB"/>
    <w:rsid w:val="00A205C6"/>
    <w:rsid w:val="00A21B70"/>
    <w:rsid w:val="00A21D02"/>
    <w:rsid w:val="00A21DDB"/>
    <w:rsid w:val="00A23CF6"/>
    <w:rsid w:val="00A23FF5"/>
    <w:rsid w:val="00A2690C"/>
    <w:rsid w:val="00A2792F"/>
    <w:rsid w:val="00A2799A"/>
    <w:rsid w:val="00A30970"/>
    <w:rsid w:val="00A315E4"/>
    <w:rsid w:val="00A31BDD"/>
    <w:rsid w:val="00A31D96"/>
    <w:rsid w:val="00A31DC7"/>
    <w:rsid w:val="00A31FEE"/>
    <w:rsid w:val="00A33722"/>
    <w:rsid w:val="00A33C55"/>
    <w:rsid w:val="00A37545"/>
    <w:rsid w:val="00A406C3"/>
    <w:rsid w:val="00A42704"/>
    <w:rsid w:val="00A42875"/>
    <w:rsid w:val="00A44DC1"/>
    <w:rsid w:val="00A47028"/>
    <w:rsid w:val="00A47168"/>
    <w:rsid w:val="00A47A98"/>
    <w:rsid w:val="00A47EE7"/>
    <w:rsid w:val="00A47F0A"/>
    <w:rsid w:val="00A50B43"/>
    <w:rsid w:val="00A51C87"/>
    <w:rsid w:val="00A54197"/>
    <w:rsid w:val="00A54DCD"/>
    <w:rsid w:val="00A61821"/>
    <w:rsid w:val="00A61E3A"/>
    <w:rsid w:val="00A631BA"/>
    <w:rsid w:val="00A65C27"/>
    <w:rsid w:val="00A67322"/>
    <w:rsid w:val="00A67CA5"/>
    <w:rsid w:val="00A737BB"/>
    <w:rsid w:val="00A75CCD"/>
    <w:rsid w:val="00A80506"/>
    <w:rsid w:val="00A806AE"/>
    <w:rsid w:val="00A8118F"/>
    <w:rsid w:val="00A83458"/>
    <w:rsid w:val="00A86C41"/>
    <w:rsid w:val="00A90148"/>
    <w:rsid w:val="00A917F8"/>
    <w:rsid w:val="00A94A35"/>
    <w:rsid w:val="00A95B62"/>
    <w:rsid w:val="00A979B8"/>
    <w:rsid w:val="00AA0D8C"/>
    <w:rsid w:val="00AA25BC"/>
    <w:rsid w:val="00AA2841"/>
    <w:rsid w:val="00AA3077"/>
    <w:rsid w:val="00AA3E2A"/>
    <w:rsid w:val="00AA46AF"/>
    <w:rsid w:val="00AA5AE7"/>
    <w:rsid w:val="00AA6CCE"/>
    <w:rsid w:val="00AB1940"/>
    <w:rsid w:val="00AB2477"/>
    <w:rsid w:val="00AB3077"/>
    <w:rsid w:val="00AB4E9E"/>
    <w:rsid w:val="00AB6C99"/>
    <w:rsid w:val="00AB71BC"/>
    <w:rsid w:val="00AC11D5"/>
    <w:rsid w:val="00AC15E5"/>
    <w:rsid w:val="00AC22BB"/>
    <w:rsid w:val="00AC4080"/>
    <w:rsid w:val="00AC53B1"/>
    <w:rsid w:val="00AC5A6D"/>
    <w:rsid w:val="00AC5D73"/>
    <w:rsid w:val="00AC73AD"/>
    <w:rsid w:val="00AC7BED"/>
    <w:rsid w:val="00AD067D"/>
    <w:rsid w:val="00AD5FFD"/>
    <w:rsid w:val="00AD705A"/>
    <w:rsid w:val="00AD78F9"/>
    <w:rsid w:val="00AD7E9A"/>
    <w:rsid w:val="00AE008D"/>
    <w:rsid w:val="00AE2E9C"/>
    <w:rsid w:val="00AE30E0"/>
    <w:rsid w:val="00AE346F"/>
    <w:rsid w:val="00AE3AD5"/>
    <w:rsid w:val="00AE3E7A"/>
    <w:rsid w:val="00AF03B6"/>
    <w:rsid w:val="00AF2329"/>
    <w:rsid w:val="00AF3660"/>
    <w:rsid w:val="00AF49CB"/>
    <w:rsid w:val="00AF7A20"/>
    <w:rsid w:val="00B01312"/>
    <w:rsid w:val="00B02D98"/>
    <w:rsid w:val="00B06685"/>
    <w:rsid w:val="00B15D02"/>
    <w:rsid w:val="00B15D2F"/>
    <w:rsid w:val="00B16399"/>
    <w:rsid w:val="00B1760F"/>
    <w:rsid w:val="00B216C2"/>
    <w:rsid w:val="00B221EC"/>
    <w:rsid w:val="00B2586D"/>
    <w:rsid w:val="00B25AE4"/>
    <w:rsid w:val="00B265C9"/>
    <w:rsid w:val="00B26909"/>
    <w:rsid w:val="00B27664"/>
    <w:rsid w:val="00B31169"/>
    <w:rsid w:val="00B31828"/>
    <w:rsid w:val="00B41E25"/>
    <w:rsid w:val="00B42BEE"/>
    <w:rsid w:val="00B452B7"/>
    <w:rsid w:val="00B458E3"/>
    <w:rsid w:val="00B518FF"/>
    <w:rsid w:val="00B54F17"/>
    <w:rsid w:val="00B561EE"/>
    <w:rsid w:val="00B57D47"/>
    <w:rsid w:val="00B61584"/>
    <w:rsid w:val="00B6210E"/>
    <w:rsid w:val="00B632E3"/>
    <w:rsid w:val="00B63FD7"/>
    <w:rsid w:val="00B64DC8"/>
    <w:rsid w:val="00B650FB"/>
    <w:rsid w:val="00B70688"/>
    <w:rsid w:val="00B75FD9"/>
    <w:rsid w:val="00B77091"/>
    <w:rsid w:val="00B837C1"/>
    <w:rsid w:val="00B841E0"/>
    <w:rsid w:val="00B860BA"/>
    <w:rsid w:val="00B865F5"/>
    <w:rsid w:val="00B870A0"/>
    <w:rsid w:val="00B91DFE"/>
    <w:rsid w:val="00B92858"/>
    <w:rsid w:val="00B966E9"/>
    <w:rsid w:val="00B96BC7"/>
    <w:rsid w:val="00B97229"/>
    <w:rsid w:val="00B9783E"/>
    <w:rsid w:val="00BA07B9"/>
    <w:rsid w:val="00BA08A3"/>
    <w:rsid w:val="00BA2C24"/>
    <w:rsid w:val="00BA3D7D"/>
    <w:rsid w:val="00BA5AB3"/>
    <w:rsid w:val="00BB21E1"/>
    <w:rsid w:val="00BB227E"/>
    <w:rsid w:val="00BB4F22"/>
    <w:rsid w:val="00BB7E3D"/>
    <w:rsid w:val="00BC1032"/>
    <w:rsid w:val="00BC3CD1"/>
    <w:rsid w:val="00BC5A43"/>
    <w:rsid w:val="00BC5EC6"/>
    <w:rsid w:val="00BC5F0E"/>
    <w:rsid w:val="00BD12A3"/>
    <w:rsid w:val="00BD2211"/>
    <w:rsid w:val="00BD221D"/>
    <w:rsid w:val="00BD3E65"/>
    <w:rsid w:val="00BD5934"/>
    <w:rsid w:val="00BD7785"/>
    <w:rsid w:val="00BE0032"/>
    <w:rsid w:val="00BE3B2E"/>
    <w:rsid w:val="00BE7DE8"/>
    <w:rsid w:val="00BF1CBD"/>
    <w:rsid w:val="00BF52C4"/>
    <w:rsid w:val="00BF62EC"/>
    <w:rsid w:val="00BF66D2"/>
    <w:rsid w:val="00C006BE"/>
    <w:rsid w:val="00C02B6C"/>
    <w:rsid w:val="00C04A8B"/>
    <w:rsid w:val="00C05B8E"/>
    <w:rsid w:val="00C1063D"/>
    <w:rsid w:val="00C12A0A"/>
    <w:rsid w:val="00C15E0E"/>
    <w:rsid w:val="00C23FB5"/>
    <w:rsid w:val="00C24A1A"/>
    <w:rsid w:val="00C25988"/>
    <w:rsid w:val="00C3294B"/>
    <w:rsid w:val="00C331BB"/>
    <w:rsid w:val="00C41A08"/>
    <w:rsid w:val="00C422B9"/>
    <w:rsid w:val="00C4240A"/>
    <w:rsid w:val="00C4241E"/>
    <w:rsid w:val="00C43D16"/>
    <w:rsid w:val="00C503EE"/>
    <w:rsid w:val="00C504EC"/>
    <w:rsid w:val="00C50EFE"/>
    <w:rsid w:val="00C52B96"/>
    <w:rsid w:val="00C55CFD"/>
    <w:rsid w:val="00C615A3"/>
    <w:rsid w:val="00C6198D"/>
    <w:rsid w:val="00C635DA"/>
    <w:rsid w:val="00C639E7"/>
    <w:rsid w:val="00C648B8"/>
    <w:rsid w:val="00C659BE"/>
    <w:rsid w:val="00C75D4B"/>
    <w:rsid w:val="00C7706B"/>
    <w:rsid w:val="00C80300"/>
    <w:rsid w:val="00C813DE"/>
    <w:rsid w:val="00C82307"/>
    <w:rsid w:val="00C8613B"/>
    <w:rsid w:val="00C87DA6"/>
    <w:rsid w:val="00C900DE"/>
    <w:rsid w:val="00C92622"/>
    <w:rsid w:val="00C946B4"/>
    <w:rsid w:val="00C97228"/>
    <w:rsid w:val="00C9780D"/>
    <w:rsid w:val="00CA02DA"/>
    <w:rsid w:val="00CA19D6"/>
    <w:rsid w:val="00CA1A54"/>
    <w:rsid w:val="00CA1CB3"/>
    <w:rsid w:val="00CA26B5"/>
    <w:rsid w:val="00CA655A"/>
    <w:rsid w:val="00CA7680"/>
    <w:rsid w:val="00CB4720"/>
    <w:rsid w:val="00CB48A5"/>
    <w:rsid w:val="00CB5074"/>
    <w:rsid w:val="00CC3B34"/>
    <w:rsid w:val="00CC46B2"/>
    <w:rsid w:val="00CC5718"/>
    <w:rsid w:val="00CD1352"/>
    <w:rsid w:val="00CD1CBE"/>
    <w:rsid w:val="00CD1E3E"/>
    <w:rsid w:val="00CD2EDC"/>
    <w:rsid w:val="00CD32E2"/>
    <w:rsid w:val="00CD4B0B"/>
    <w:rsid w:val="00CD6698"/>
    <w:rsid w:val="00CE16CB"/>
    <w:rsid w:val="00CE1D00"/>
    <w:rsid w:val="00CE1E5B"/>
    <w:rsid w:val="00CF1D92"/>
    <w:rsid w:val="00CF2D92"/>
    <w:rsid w:val="00CF5D91"/>
    <w:rsid w:val="00CF696D"/>
    <w:rsid w:val="00D0025C"/>
    <w:rsid w:val="00D004FB"/>
    <w:rsid w:val="00D02BBC"/>
    <w:rsid w:val="00D02C36"/>
    <w:rsid w:val="00D0761C"/>
    <w:rsid w:val="00D116EA"/>
    <w:rsid w:val="00D12172"/>
    <w:rsid w:val="00D12B8C"/>
    <w:rsid w:val="00D14F84"/>
    <w:rsid w:val="00D200F6"/>
    <w:rsid w:val="00D21646"/>
    <w:rsid w:val="00D2171F"/>
    <w:rsid w:val="00D30BF9"/>
    <w:rsid w:val="00D321C5"/>
    <w:rsid w:val="00D36A3A"/>
    <w:rsid w:val="00D37585"/>
    <w:rsid w:val="00D4044A"/>
    <w:rsid w:val="00D443C2"/>
    <w:rsid w:val="00D454F2"/>
    <w:rsid w:val="00D47CE9"/>
    <w:rsid w:val="00D522A2"/>
    <w:rsid w:val="00D52995"/>
    <w:rsid w:val="00D60425"/>
    <w:rsid w:val="00D60987"/>
    <w:rsid w:val="00D663F2"/>
    <w:rsid w:val="00D67B9C"/>
    <w:rsid w:val="00D729E2"/>
    <w:rsid w:val="00D72ADE"/>
    <w:rsid w:val="00D75233"/>
    <w:rsid w:val="00D76E52"/>
    <w:rsid w:val="00D7728F"/>
    <w:rsid w:val="00D77696"/>
    <w:rsid w:val="00D816D2"/>
    <w:rsid w:val="00D81CC4"/>
    <w:rsid w:val="00D83631"/>
    <w:rsid w:val="00D83B81"/>
    <w:rsid w:val="00D84310"/>
    <w:rsid w:val="00D9747F"/>
    <w:rsid w:val="00D9765E"/>
    <w:rsid w:val="00DA1473"/>
    <w:rsid w:val="00DA4591"/>
    <w:rsid w:val="00DA6088"/>
    <w:rsid w:val="00DA6430"/>
    <w:rsid w:val="00DA681A"/>
    <w:rsid w:val="00DA6B7E"/>
    <w:rsid w:val="00DA7073"/>
    <w:rsid w:val="00DB63BE"/>
    <w:rsid w:val="00DB63DB"/>
    <w:rsid w:val="00DB7824"/>
    <w:rsid w:val="00DC3009"/>
    <w:rsid w:val="00DC308E"/>
    <w:rsid w:val="00DC5E0F"/>
    <w:rsid w:val="00DC6C76"/>
    <w:rsid w:val="00DC7F73"/>
    <w:rsid w:val="00DD0EDE"/>
    <w:rsid w:val="00DE191A"/>
    <w:rsid w:val="00DE1A0F"/>
    <w:rsid w:val="00DE2DA7"/>
    <w:rsid w:val="00DE3123"/>
    <w:rsid w:val="00DE339F"/>
    <w:rsid w:val="00DE4401"/>
    <w:rsid w:val="00DE62ED"/>
    <w:rsid w:val="00DE65D3"/>
    <w:rsid w:val="00DF1535"/>
    <w:rsid w:val="00DF53F5"/>
    <w:rsid w:val="00DF5407"/>
    <w:rsid w:val="00DF61FD"/>
    <w:rsid w:val="00DF6226"/>
    <w:rsid w:val="00DF6D25"/>
    <w:rsid w:val="00E00FE3"/>
    <w:rsid w:val="00E03C6D"/>
    <w:rsid w:val="00E05AD1"/>
    <w:rsid w:val="00E11EE3"/>
    <w:rsid w:val="00E13181"/>
    <w:rsid w:val="00E135F9"/>
    <w:rsid w:val="00E14349"/>
    <w:rsid w:val="00E15255"/>
    <w:rsid w:val="00E20C28"/>
    <w:rsid w:val="00E22A77"/>
    <w:rsid w:val="00E22E84"/>
    <w:rsid w:val="00E24B18"/>
    <w:rsid w:val="00E251B3"/>
    <w:rsid w:val="00E3016C"/>
    <w:rsid w:val="00E32416"/>
    <w:rsid w:val="00E348BC"/>
    <w:rsid w:val="00E35B8D"/>
    <w:rsid w:val="00E4307D"/>
    <w:rsid w:val="00E4318F"/>
    <w:rsid w:val="00E4392E"/>
    <w:rsid w:val="00E50B9E"/>
    <w:rsid w:val="00E53FF7"/>
    <w:rsid w:val="00E54395"/>
    <w:rsid w:val="00E544DB"/>
    <w:rsid w:val="00E54741"/>
    <w:rsid w:val="00E568E5"/>
    <w:rsid w:val="00E57AAD"/>
    <w:rsid w:val="00E6453F"/>
    <w:rsid w:val="00E65539"/>
    <w:rsid w:val="00E659EF"/>
    <w:rsid w:val="00E676D5"/>
    <w:rsid w:val="00E677A6"/>
    <w:rsid w:val="00E70CBD"/>
    <w:rsid w:val="00E71117"/>
    <w:rsid w:val="00E717E8"/>
    <w:rsid w:val="00E72BAF"/>
    <w:rsid w:val="00E73D81"/>
    <w:rsid w:val="00E754F4"/>
    <w:rsid w:val="00E80023"/>
    <w:rsid w:val="00E8188B"/>
    <w:rsid w:val="00E827BA"/>
    <w:rsid w:val="00E865D1"/>
    <w:rsid w:val="00EA057C"/>
    <w:rsid w:val="00EA2D3D"/>
    <w:rsid w:val="00EA5B84"/>
    <w:rsid w:val="00EB2057"/>
    <w:rsid w:val="00EB20F9"/>
    <w:rsid w:val="00EB24EB"/>
    <w:rsid w:val="00EB2670"/>
    <w:rsid w:val="00EB34AF"/>
    <w:rsid w:val="00EB4719"/>
    <w:rsid w:val="00EC0790"/>
    <w:rsid w:val="00EC0C85"/>
    <w:rsid w:val="00EC2C8A"/>
    <w:rsid w:val="00EC4235"/>
    <w:rsid w:val="00ED06CC"/>
    <w:rsid w:val="00ED2C8E"/>
    <w:rsid w:val="00ED32CC"/>
    <w:rsid w:val="00ED379E"/>
    <w:rsid w:val="00ED7680"/>
    <w:rsid w:val="00EE0424"/>
    <w:rsid w:val="00EE0D47"/>
    <w:rsid w:val="00EE3A35"/>
    <w:rsid w:val="00EE5358"/>
    <w:rsid w:val="00EF0EDF"/>
    <w:rsid w:val="00EF1B6A"/>
    <w:rsid w:val="00EF3C59"/>
    <w:rsid w:val="00EF3D7E"/>
    <w:rsid w:val="00EF54D8"/>
    <w:rsid w:val="00EF71E9"/>
    <w:rsid w:val="00F006D2"/>
    <w:rsid w:val="00F00BD1"/>
    <w:rsid w:val="00F00DC7"/>
    <w:rsid w:val="00F017B0"/>
    <w:rsid w:val="00F01FD9"/>
    <w:rsid w:val="00F04B07"/>
    <w:rsid w:val="00F05B0F"/>
    <w:rsid w:val="00F05BA8"/>
    <w:rsid w:val="00F074DD"/>
    <w:rsid w:val="00F07657"/>
    <w:rsid w:val="00F167AF"/>
    <w:rsid w:val="00F16F13"/>
    <w:rsid w:val="00F20AEA"/>
    <w:rsid w:val="00F219C3"/>
    <w:rsid w:val="00F23E9A"/>
    <w:rsid w:val="00F242D9"/>
    <w:rsid w:val="00F259FE"/>
    <w:rsid w:val="00F26FB2"/>
    <w:rsid w:val="00F2760E"/>
    <w:rsid w:val="00F3715D"/>
    <w:rsid w:val="00F44B62"/>
    <w:rsid w:val="00F5072C"/>
    <w:rsid w:val="00F50FFA"/>
    <w:rsid w:val="00F517F5"/>
    <w:rsid w:val="00F51CBF"/>
    <w:rsid w:val="00F526D5"/>
    <w:rsid w:val="00F5411D"/>
    <w:rsid w:val="00F5539A"/>
    <w:rsid w:val="00F56074"/>
    <w:rsid w:val="00F56D2B"/>
    <w:rsid w:val="00F57D2D"/>
    <w:rsid w:val="00F606D8"/>
    <w:rsid w:val="00F62A49"/>
    <w:rsid w:val="00F64F0D"/>
    <w:rsid w:val="00F65726"/>
    <w:rsid w:val="00F66E7C"/>
    <w:rsid w:val="00F7026A"/>
    <w:rsid w:val="00F71826"/>
    <w:rsid w:val="00F72B45"/>
    <w:rsid w:val="00F73B00"/>
    <w:rsid w:val="00F7493F"/>
    <w:rsid w:val="00F764EE"/>
    <w:rsid w:val="00F779BA"/>
    <w:rsid w:val="00F80401"/>
    <w:rsid w:val="00F8464D"/>
    <w:rsid w:val="00F84737"/>
    <w:rsid w:val="00F85099"/>
    <w:rsid w:val="00F860EE"/>
    <w:rsid w:val="00F87B69"/>
    <w:rsid w:val="00F90C95"/>
    <w:rsid w:val="00F9103E"/>
    <w:rsid w:val="00F95923"/>
    <w:rsid w:val="00F96A39"/>
    <w:rsid w:val="00F96DB3"/>
    <w:rsid w:val="00F97463"/>
    <w:rsid w:val="00F974AD"/>
    <w:rsid w:val="00FA0979"/>
    <w:rsid w:val="00FA4B50"/>
    <w:rsid w:val="00FA4DC6"/>
    <w:rsid w:val="00FA5D99"/>
    <w:rsid w:val="00FB030E"/>
    <w:rsid w:val="00FB52E8"/>
    <w:rsid w:val="00FB571F"/>
    <w:rsid w:val="00FB6F0B"/>
    <w:rsid w:val="00FC42BA"/>
    <w:rsid w:val="00FC4CC7"/>
    <w:rsid w:val="00FC611F"/>
    <w:rsid w:val="00FC6166"/>
    <w:rsid w:val="00FC6AB7"/>
    <w:rsid w:val="00FC77BB"/>
    <w:rsid w:val="00FD08C1"/>
    <w:rsid w:val="00FD2C54"/>
    <w:rsid w:val="00FD6877"/>
    <w:rsid w:val="00FD7A7A"/>
    <w:rsid w:val="00FE10C1"/>
    <w:rsid w:val="00FE190E"/>
    <w:rsid w:val="00FE1B4F"/>
    <w:rsid w:val="00FE20A9"/>
    <w:rsid w:val="00FE48A9"/>
    <w:rsid w:val="00FF08B7"/>
    <w:rsid w:val="00FF12B8"/>
    <w:rsid w:val="00FF521D"/>
    <w:rsid w:val="00FF6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34"/>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aliases w:val="3,POCG Table Text"/>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iPriority w:val="35"/>
    <w:unhideWhenUsed/>
    <w:qFormat/>
    <w:rsid w:val="006B5B02"/>
    <w:pPr>
      <w:keepNext/>
      <w:keepLines/>
      <w:spacing w:before="280" w:after="80"/>
      <w:jc w:val="center"/>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uiPriority w:val="35"/>
    <w:locked/>
    <w:rsid w:val="006B5B02"/>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1A19AA"/>
    <w:pPr>
      <w:keepNext/>
      <w:keepLines/>
      <w:spacing w:line="360" w:lineRule="exact"/>
      <w:jc w:val="center"/>
      <w:outlineLvl w:val="1"/>
    </w:pPr>
    <w:rPr>
      <w:rFonts w:eastAsiaTheme="majorEastAsia" w:cstheme="majorBidi"/>
      <w:caps/>
      <w:color w:val="FFFFFF" w:themeColor="background1"/>
      <w:sz w:val="28"/>
      <w:szCs w:val="26"/>
      <w:shd w:val="clear" w:color="auto" w:fill="92D050"/>
    </w:rPr>
  </w:style>
  <w:style w:type="character" w:customStyle="1" w:styleId="eTRMHeading2Char">
    <w:name w:val="eTRM Heading 2 Char"/>
    <w:basedOn w:val="DefaultParagraphFont"/>
    <w:link w:val="eTRMHeading2"/>
    <w:rsid w:val="001A19AA"/>
    <w:rPr>
      <w:rFonts w:ascii="Calibri Light" w:eastAsiaTheme="majorEastAsia" w:hAnsi="Calibri Light" w:cstheme="majorBidi"/>
      <w:caps/>
      <w:color w:val="FFFFFF" w:themeColor="background1"/>
      <w:sz w:val="28"/>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semiHidden/>
    <w:unhideWhenUsed/>
    <w:rsid w:val="00FD2C54"/>
    <w:rPr>
      <w:sz w:val="18"/>
      <w:szCs w:val="18"/>
    </w:rPr>
  </w:style>
  <w:style w:type="paragraph" w:styleId="CommentText">
    <w:name w:val="annotation text"/>
    <w:basedOn w:val="Normal"/>
    <w:link w:val="CommentTextChar"/>
    <w:unhideWhenUsed/>
    <w:rsid w:val="00FD2C54"/>
    <w:pPr>
      <w:spacing w:after="60" w:line="240" w:lineRule="auto"/>
    </w:pPr>
    <w:rPr>
      <w:sz w:val="24"/>
    </w:rPr>
  </w:style>
  <w:style w:type="character" w:customStyle="1" w:styleId="CommentTextChar">
    <w:name w:val="Comment Text Char"/>
    <w:basedOn w:val="DefaultParagraphFont"/>
    <w:link w:val="CommentText"/>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 w:type="paragraph" w:customStyle="1" w:styleId="Reminders">
    <w:name w:val="Reminders"/>
    <w:basedOn w:val="Normal"/>
    <w:link w:val="RemindersChar"/>
    <w:rsid w:val="00616AA4"/>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616AA4"/>
    <w:rPr>
      <w:rFonts w:ascii="Trebuchet MS" w:eastAsia="Times New Roman" w:hAnsi="Trebuchet MS" w:cs="Times New Roman"/>
      <w:i/>
      <w:color w:val="FF0000"/>
      <w:sz w:val="22"/>
    </w:rPr>
  </w:style>
  <w:style w:type="character" w:styleId="UnresolvedMention">
    <w:name w:val="Unresolved Mention"/>
    <w:basedOn w:val="DefaultParagraphFont"/>
    <w:uiPriority w:val="99"/>
    <w:rsid w:val="00AF03B6"/>
    <w:rPr>
      <w:color w:val="605E5C"/>
      <w:shd w:val="clear" w:color="auto" w:fill="E1DFDD"/>
    </w:rPr>
  </w:style>
  <w:style w:type="table" w:customStyle="1" w:styleId="TableGrid1">
    <w:name w:val="Table Grid1"/>
    <w:basedOn w:val="TableNormal"/>
    <w:next w:val="TableGrid"/>
    <w:rsid w:val="002F6CC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s2">
    <w:name w:val="List Bullets 2"/>
    <w:basedOn w:val="Normal"/>
    <w:next w:val="Normal"/>
    <w:rsid w:val="0020432F"/>
    <w:pPr>
      <w:numPr>
        <w:numId w:val="22"/>
      </w:numPr>
      <w:spacing w:before="0" w:after="60" w:line="259" w:lineRule="auto"/>
      <w:ind w:right="360"/>
    </w:pPr>
    <w:rPr>
      <w:rFonts w:asciiTheme="minorHAnsi" w:eastAsiaTheme="minorHAnsi" w:hAnsiTheme="minorHAnsi"/>
      <w:szCs w:val="22"/>
    </w:rPr>
  </w:style>
  <w:style w:type="paragraph" w:customStyle="1" w:styleId="Default">
    <w:name w:val="Default"/>
    <w:rsid w:val="0020432F"/>
    <w:pPr>
      <w:autoSpaceDE w:val="0"/>
      <w:autoSpaceDN w:val="0"/>
      <w:adjustRightInd w:val="0"/>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86780">
      <w:bodyDiv w:val="1"/>
      <w:marLeft w:val="0"/>
      <w:marRight w:val="0"/>
      <w:marTop w:val="0"/>
      <w:marBottom w:val="0"/>
      <w:divBdr>
        <w:top w:val="none" w:sz="0" w:space="0" w:color="auto"/>
        <w:left w:val="none" w:sz="0" w:space="0" w:color="auto"/>
        <w:bottom w:val="none" w:sz="0" w:space="0" w:color="auto"/>
        <w:right w:val="none" w:sz="0" w:space="0" w:color="auto"/>
      </w:divBdr>
    </w:div>
    <w:div w:id="556278417">
      <w:bodyDiv w:val="1"/>
      <w:marLeft w:val="0"/>
      <w:marRight w:val="0"/>
      <w:marTop w:val="0"/>
      <w:marBottom w:val="0"/>
      <w:divBdr>
        <w:top w:val="none" w:sz="0" w:space="0" w:color="auto"/>
        <w:left w:val="none" w:sz="0" w:space="0" w:color="auto"/>
        <w:bottom w:val="none" w:sz="0" w:space="0" w:color="auto"/>
        <w:right w:val="none" w:sz="0" w:space="0" w:color="auto"/>
      </w:divBdr>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99931466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6804221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194803834">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ahrinet.org/App_Content/ahri/files/STANDARDS/AHRI/AHRI_Standard_210-240_2017.pdf" TargetMode="External"/><Relationship Id="rId2" Type="http://schemas.openxmlformats.org/officeDocument/2006/relationships/hyperlink" Target="http://deeresources.com/files/DEER2020/download/DEER2020-Building-Weights.xlsx" TargetMode="External"/><Relationship Id="rId1" Type="http://schemas.openxmlformats.org/officeDocument/2006/relationships/hyperlink" Target="http://deeresources.net/workpapers" TargetMode="External"/><Relationship Id="rId5" Type="http://schemas.openxmlformats.org/officeDocument/2006/relationships/hyperlink" Target="http://deeresources.com/files/DEER2020/download/CZ2010%20Peak%20Period%20Determination%20-%20v3.xlsm" TargetMode="External"/><Relationship Id="rId4" Type="http://schemas.openxmlformats.org/officeDocument/2006/relationships/hyperlink" Target="http://deeresources.com/index.php"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8B288D19B28F4CA6F7B7CE7F742104" ma:contentTypeVersion="4" ma:contentTypeDescription="Create a new document." ma:contentTypeScope="" ma:versionID="665b71702ee6424a41a0dd9ec2475bae">
  <xsd:schema xmlns:xsd="http://www.w3.org/2001/XMLSchema" xmlns:xs="http://www.w3.org/2001/XMLSchema" xmlns:p="http://schemas.microsoft.com/office/2006/metadata/properties" xmlns:ns2="30b80a98-0ba4-4d0d-9348-af21850be3ad" targetNamespace="http://schemas.microsoft.com/office/2006/metadata/properties" ma:root="true" ma:fieldsID="814ef4431a27e4713c23ee9db8efe485" ns2:_="">
    <xsd:import namespace="30b80a98-0ba4-4d0d-9348-af21850be3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b80a98-0ba4-4d0d-9348-af21850be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B415DE-EF9F-4452-AE0D-136D4B8BF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b80a98-0ba4-4d0d-9348-af21850be3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804A9-7601-47F9-9A3C-D81CC071F734}">
  <ds:schemaRefs>
    <ds:schemaRef ds:uri="http://schemas.openxmlformats.org/officeDocument/2006/bibliography"/>
  </ds:schemaRefs>
</ds:datastoreItem>
</file>

<file path=customXml/itemProps3.xml><?xml version="1.0" encoding="utf-8"?>
<ds:datastoreItem xmlns:ds="http://schemas.openxmlformats.org/officeDocument/2006/customXml" ds:itemID="{CE3827B7-F185-4A6B-A703-709D19710D49}">
  <ds:schemaRefs>
    <ds:schemaRef ds:uri="http://schemas.microsoft.com/sharepoint/v3/contenttype/forms"/>
  </ds:schemaRefs>
</ds:datastoreItem>
</file>

<file path=customXml/itemProps4.xml><?xml version="1.0" encoding="utf-8"?>
<ds:datastoreItem xmlns:ds="http://schemas.openxmlformats.org/officeDocument/2006/customXml" ds:itemID="{A256E6BD-AC47-4C9F-9B8F-F7C0D37C65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18</TotalTime>
  <Pages>16</Pages>
  <Words>5068</Words>
  <Characters>28889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33890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20</cp:revision>
  <cp:lastPrinted>2019-03-29T20:21:00Z</cp:lastPrinted>
  <dcterms:created xsi:type="dcterms:W3CDTF">2021-03-02T00:27:00Z</dcterms:created>
  <dcterms:modified xsi:type="dcterms:W3CDTF">2021-03-02T00:45:00Z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0x0101005D8B288D19B28F4CA6F7B7CE7F742104</vt:lpwstr>
  </property>
</Properties>
</file>