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28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286"/>
      </w:tblGrid>
      <w:tr w:rsidR="000110D9" w:rsidRPr="000110D9" w14:paraId="67BD4DD1" w14:textId="77777777" w:rsidTr="000D3CD5">
        <w:trPr>
          <w:cantSplit/>
          <w:trHeight w:hRule="exact" w:val="2160"/>
          <w:jc w:val="right"/>
        </w:trPr>
        <w:tc>
          <w:tcPr>
            <w:tcW w:w="9286" w:type="dxa"/>
            <w:shd w:val="clear" w:color="auto" w:fill="8DC63F"/>
            <w:vAlign w:val="center"/>
          </w:tcPr>
          <w:p w14:paraId="3EF67A49" w14:textId="23CE6DEE" w:rsidR="00BD221D" w:rsidRPr="000110D9" w:rsidRDefault="00131233" w:rsidP="00BD221D">
            <w:pPr>
              <w:pStyle w:val="eTRMHeading1"/>
              <w:jc w:val="center"/>
            </w:pPr>
            <w:r>
              <w:t>HVAC</w:t>
            </w:r>
          </w:p>
          <w:p w14:paraId="0B52C6BB" w14:textId="1D7ABE02" w:rsidR="002F46D4" w:rsidRPr="00BE0078" w:rsidRDefault="00561E99" w:rsidP="00C17B8E">
            <w:pPr>
              <w:pStyle w:val="eTRMHeading2"/>
            </w:pPr>
            <w:bookmarkStart w:id="0" w:name="_Hlk25131756"/>
            <w:r w:rsidRPr="000D3CD5">
              <w:rPr>
                <w:sz w:val="32"/>
                <w:szCs w:val="32"/>
              </w:rPr>
              <w:t>Evaporative</w:t>
            </w:r>
            <w:r w:rsidRPr="00BE0078">
              <w:t xml:space="preserve"> </w:t>
            </w:r>
            <w:r w:rsidRPr="000D3CD5">
              <w:rPr>
                <w:sz w:val="32"/>
                <w:szCs w:val="32"/>
              </w:rPr>
              <w:t>Pre-Cooler System and Controls</w:t>
            </w:r>
            <w:bookmarkEnd w:id="0"/>
            <w:r w:rsidR="003F63D6" w:rsidRPr="00BE0078">
              <w:t xml:space="preserve"> </w:t>
            </w:r>
            <w:r w:rsidR="003F63D6" w:rsidRPr="000D3CD5">
              <w:rPr>
                <w:sz w:val="32"/>
                <w:szCs w:val="32"/>
              </w:rPr>
              <w:t>for Packaged</w:t>
            </w:r>
            <w:r w:rsidR="00A26E82" w:rsidRPr="00C17B8E">
              <w:rPr>
                <w:sz w:val="32"/>
                <w:szCs w:val="32"/>
              </w:rPr>
              <w:t xml:space="preserve"> H</w:t>
            </w:r>
            <w:r w:rsidR="00A26E82" w:rsidRPr="00091656">
              <w:rPr>
                <w:sz w:val="32"/>
                <w:szCs w:val="32"/>
              </w:rPr>
              <w:t>VAC Unit</w:t>
            </w:r>
          </w:p>
          <w:p w14:paraId="10BE1877" w14:textId="61D419C7" w:rsidR="00A10CAD" w:rsidRPr="00C17B8E" w:rsidRDefault="00CE25BE" w:rsidP="00091656">
            <w:pPr>
              <w:pStyle w:val="eTRMHeading2"/>
            </w:pPr>
            <w:r w:rsidRPr="00BE0078">
              <w:t>SWHC042-0</w:t>
            </w:r>
            <w:r w:rsidR="00297845">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0F59BCA7" w14:textId="7BE248F3" w:rsidR="009E260D"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9E260D">
        <w:rPr>
          <w:noProof/>
        </w:rPr>
        <w:t>Measure Name</w:t>
      </w:r>
      <w:r w:rsidR="009E260D">
        <w:rPr>
          <w:noProof/>
        </w:rPr>
        <w:tab/>
      </w:r>
      <w:r w:rsidR="009E260D">
        <w:rPr>
          <w:noProof/>
        </w:rPr>
        <w:fldChar w:fldCharType="begin"/>
      </w:r>
      <w:r w:rsidR="009E260D">
        <w:rPr>
          <w:noProof/>
        </w:rPr>
        <w:instrText xml:space="preserve"> PAGEREF _Toc57018362 \h </w:instrText>
      </w:r>
      <w:r w:rsidR="009E260D">
        <w:rPr>
          <w:noProof/>
        </w:rPr>
      </w:r>
      <w:r w:rsidR="009E260D">
        <w:rPr>
          <w:noProof/>
        </w:rPr>
        <w:fldChar w:fldCharType="separate"/>
      </w:r>
      <w:r w:rsidR="009E260D">
        <w:rPr>
          <w:noProof/>
        </w:rPr>
        <w:t>2</w:t>
      </w:r>
      <w:r w:rsidR="009E260D">
        <w:rPr>
          <w:noProof/>
        </w:rPr>
        <w:fldChar w:fldCharType="end"/>
      </w:r>
    </w:p>
    <w:p w14:paraId="00A6FFA1" w14:textId="356B85CB" w:rsidR="009E260D" w:rsidRDefault="009E260D">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_Toc57018363 \h </w:instrText>
      </w:r>
      <w:r>
        <w:rPr>
          <w:noProof/>
        </w:rPr>
      </w:r>
      <w:r>
        <w:rPr>
          <w:noProof/>
        </w:rPr>
        <w:fldChar w:fldCharType="separate"/>
      </w:r>
      <w:r>
        <w:rPr>
          <w:noProof/>
        </w:rPr>
        <w:t>2</w:t>
      </w:r>
      <w:r>
        <w:rPr>
          <w:noProof/>
        </w:rPr>
        <w:fldChar w:fldCharType="end"/>
      </w:r>
    </w:p>
    <w:p w14:paraId="21A9765E" w14:textId="4F727FAD" w:rsidR="009E260D" w:rsidRDefault="009E260D">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_Toc57018364 \h </w:instrText>
      </w:r>
      <w:r>
        <w:rPr>
          <w:noProof/>
        </w:rPr>
      </w:r>
      <w:r>
        <w:rPr>
          <w:noProof/>
        </w:rPr>
        <w:fldChar w:fldCharType="separate"/>
      </w:r>
      <w:r>
        <w:rPr>
          <w:noProof/>
        </w:rPr>
        <w:t>2</w:t>
      </w:r>
      <w:r>
        <w:rPr>
          <w:noProof/>
        </w:rPr>
        <w:fldChar w:fldCharType="end"/>
      </w:r>
    </w:p>
    <w:p w14:paraId="7D2EB46F" w14:textId="45EFEA37" w:rsidR="009E260D" w:rsidRDefault="009E260D">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_Toc57018365 \h </w:instrText>
      </w:r>
      <w:r>
        <w:rPr>
          <w:noProof/>
        </w:rPr>
      </w:r>
      <w:r>
        <w:rPr>
          <w:noProof/>
        </w:rPr>
        <w:fldChar w:fldCharType="separate"/>
      </w:r>
      <w:r>
        <w:rPr>
          <w:noProof/>
        </w:rPr>
        <w:t>3</w:t>
      </w:r>
      <w:r>
        <w:rPr>
          <w:noProof/>
        </w:rPr>
        <w:fldChar w:fldCharType="end"/>
      </w:r>
    </w:p>
    <w:p w14:paraId="03CD0C30" w14:textId="33E3A160" w:rsidR="009E260D" w:rsidRDefault="009E260D">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_Toc57018366 \h </w:instrText>
      </w:r>
      <w:r>
        <w:rPr>
          <w:noProof/>
        </w:rPr>
      </w:r>
      <w:r>
        <w:rPr>
          <w:noProof/>
        </w:rPr>
        <w:fldChar w:fldCharType="separate"/>
      </w:r>
      <w:r>
        <w:rPr>
          <w:noProof/>
        </w:rPr>
        <w:t>3</w:t>
      </w:r>
      <w:r>
        <w:rPr>
          <w:noProof/>
        </w:rPr>
        <w:fldChar w:fldCharType="end"/>
      </w:r>
    </w:p>
    <w:p w14:paraId="6C594110" w14:textId="3C2EA28B" w:rsidR="009E260D" w:rsidRDefault="009E260D">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_Toc57018367 \h </w:instrText>
      </w:r>
      <w:r>
        <w:rPr>
          <w:noProof/>
        </w:rPr>
      </w:r>
      <w:r>
        <w:rPr>
          <w:noProof/>
        </w:rPr>
        <w:fldChar w:fldCharType="separate"/>
      </w:r>
      <w:r>
        <w:rPr>
          <w:noProof/>
        </w:rPr>
        <w:t>3</w:t>
      </w:r>
      <w:r>
        <w:rPr>
          <w:noProof/>
        </w:rPr>
        <w:fldChar w:fldCharType="end"/>
      </w:r>
    </w:p>
    <w:p w14:paraId="3721E26C" w14:textId="4131EB5A" w:rsidR="009E260D" w:rsidRDefault="009E260D">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_Toc57018368 \h </w:instrText>
      </w:r>
      <w:r>
        <w:rPr>
          <w:noProof/>
        </w:rPr>
      </w:r>
      <w:r>
        <w:rPr>
          <w:noProof/>
        </w:rPr>
        <w:fldChar w:fldCharType="separate"/>
      </w:r>
      <w:r>
        <w:rPr>
          <w:noProof/>
        </w:rPr>
        <w:t>5</w:t>
      </w:r>
      <w:r>
        <w:rPr>
          <w:noProof/>
        </w:rPr>
        <w:fldChar w:fldCharType="end"/>
      </w:r>
    </w:p>
    <w:p w14:paraId="29F81A62" w14:textId="5ADCBE72" w:rsidR="009E260D" w:rsidRDefault="009E260D">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_Toc57018369 \h </w:instrText>
      </w:r>
      <w:r>
        <w:rPr>
          <w:noProof/>
        </w:rPr>
      </w:r>
      <w:r>
        <w:rPr>
          <w:noProof/>
        </w:rPr>
        <w:fldChar w:fldCharType="separate"/>
      </w:r>
      <w:r>
        <w:rPr>
          <w:noProof/>
        </w:rPr>
        <w:t>6</w:t>
      </w:r>
      <w:r>
        <w:rPr>
          <w:noProof/>
        </w:rPr>
        <w:fldChar w:fldCharType="end"/>
      </w:r>
    </w:p>
    <w:p w14:paraId="2E18F094" w14:textId="59431C40" w:rsidR="009E260D" w:rsidRDefault="009E260D">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_Toc57018370 \h </w:instrText>
      </w:r>
      <w:r>
        <w:rPr>
          <w:noProof/>
        </w:rPr>
      </w:r>
      <w:r>
        <w:rPr>
          <w:noProof/>
        </w:rPr>
        <w:fldChar w:fldCharType="separate"/>
      </w:r>
      <w:r>
        <w:rPr>
          <w:noProof/>
        </w:rPr>
        <w:t>7</w:t>
      </w:r>
      <w:r>
        <w:rPr>
          <w:noProof/>
        </w:rPr>
        <w:fldChar w:fldCharType="end"/>
      </w:r>
    </w:p>
    <w:p w14:paraId="0DD2227A" w14:textId="09FDFFA7" w:rsidR="009E260D" w:rsidRDefault="009E260D">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_Toc57018371 \h </w:instrText>
      </w:r>
      <w:r>
        <w:rPr>
          <w:noProof/>
        </w:rPr>
      </w:r>
      <w:r>
        <w:rPr>
          <w:noProof/>
        </w:rPr>
        <w:fldChar w:fldCharType="separate"/>
      </w:r>
      <w:r>
        <w:rPr>
          <w:noProof/>
        </w:rPr>
        <w:t>7</w:t>
      </w:r>
      <w:r>
        <w:rPr>
          <w:noProof/>
        </w:rPr>
        <w:fldChar w:fldCharType="end"/>
      </w:r>
    </w:p>
    <w:p w14:paraId="51816B73" w14:textId="2CE1AD6B" w:rsidR="009E260D" w:rsidRDefault="009E260D">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_Toc57018372 \h </w:instrText>
      </w:r>
      <w:r>
        <w:rPr>
          <w:noProof/>
        </w:rPr>
      </w:r>
      <w:r>
        <w:rPr>
          <w:noProof/>
        </w:rPr>
        <w:fldChar w:fldCharType="separate"/>
      </w:r>
      <w:r>
        <w:rPr>
          <w:noProof/>
        </w:rPr>
        <w:t>7</w:t>
      </w:r>
      <w:r>
        <w:rPr>
          <w:noProof/>
        </w:rPr>
        <w:fldChar w:fldCharType="end"/>
      </w:r>
    </w:p>
    <w:p w14:paraId="6D03FF67" w14:textId="1519D2A8" w:rsidR="009E260D" w:rsidRDefault="009E260D">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_Toc57018373 \h </w:instrText>
      </w:r>
      <w:r>
        <w:rPr>
          <w:noProof/>
        </w:rPr>
      </w:r>
      <w:r>
        <w:rPr>
          <w:noProof/>
        </w:rPr>
        <w:fldChar w:fldCharType="separate"/>
      </w:r>
      <w:r>
        <w:rPr>
          <w:noProof/>
        </w:rPr>
        <w:t>8</w:t>
      </w:r>
      <w:r>
        <w:rPr>
          <w:noProof/>
        </w:rPr>
        <w:fldChar w:fldCharType="end"/>
      </w:r>
    </w:p>
    <w:p w14:paraId="4D6A1072" w14:textId="7D08BF5A" w:rsidR="009E260D" w:rsidRDefault="009E260D">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_Toc57018374 \h </w:instrText>
      </w:r>
      <w:r>
        <w:rPr>
          <w:noProof/>
        </w:rPr>
      </w:r>
      <w:r>
        <w:rPr>
          <w:noProof/>
        </w:rPr>
        <w:fldChar w:fldCharType="separate"/>
      </w:r>
      <w:r>
        <w:rPr>
          <w:noProof/>
        </w:rPr>
        <w:t>10</w:t>
      </w:r>
      <w:r>
        <w:rPr>
          <w:noProof/>
        </w:rPr>
        <w:fldChar w:fldCharType="end"/>
      </w:r>
    </w:p>
    <w:p w14:paraId="7905D355" w14:textId="092B3B2F" w:rsidR="009E260D" w:rsidRDefault="009E260D">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_Toc57018375 \h </w:instrText>
      </w:r>
      <w:r>
        <w:rPr>
          <w:noProof/>
        </w:rPr>
      </w:r>
      <w:r>
        <w:rPr>
          <w:noProof/>
        </w:rPr>
        <w:fldChar w:fldCharType="separate"/>
      </w:r>
      <w:r>
        <w:rPr>
          <w:noProof/>
        </w:rPr>
        <w:t>11</w:t>
      </w:r>
      <w:r>
        <w:rPr>
          <w:noProof/>
        </w:rPr>
        <w:fldChar w:fldCharType="end"/>
      </w:r>
    </w:p>
    <w:p w14:paraId="6F894FA0" w14:textId="10F321C7" w:rsidR="009E260D" w:rsidRDefault="009E260D">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_Toc57018376 \h </w:instrText>
      </w:r>
      <w:r>
        <w:rPr>
          <w:noProof/>
        </w:rPr>
      </w:r>
      <w:r>
        <w:rPr>
          <w:noProof/>
        </w:rPr>
        <w:fldChar w:fldCharType="separate"/>
      </w:r>
      <w:r>
        <w:rPr>
          <w:noProof/>
        </w:rPr>
        <w:t>11</w:t>
      </w:r>
      <w:r>
        <w:rPr>
          <w:noProof/>
        </w:rPr>
        <w:fldChar w:fldCharType="end"/>
      </w:r>
    </w:p>
    <w:p w14:paraId="01C08EC3" w14:textId="7D650932" w:rsidR="009E260D" w:rsidRDefault="009E260D">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_Toc57018377 \h </w:instrText>
      </w:r>
      <w:r>
        <w:rPr>
          <w:noProof/>
        </w:rPr>
      </w:r>
      <w:r>
        <w:rPr>
          <w:noProof/>
        </w:rPr>
        <w:fldChar w:fldCharType="separate"/>
      </w:r>
      <w:r>
        <w:rPr>
          <w:noProof/>
        </w:rPr>
        <w:t>12</w:t>
      </w:r>
      <w:r>
        <w:rPr>
          <w:noProof/>
        </w:rPr>
        <w:fldChar w:fldCharType="end"/>
      </w:r>
    </w:p>
    <w:p w14:paraId="53317607" w14:textId="78679702" w:rsidR="009E260D" w:rsidRDefault="009E260D">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_Toc57018378 \h </w:instrText>
      </w:r>
      <w:r>
        <w:rPr>
          <w:noProof/>
        </w:rPr>
      </w:r>
      <w:r>
        <w:rPr>
          <w:noProof/>
        </w:rPr>
        <w:fldChar w:fldCharType="separate"/>
      </w:r>
      <w:r>
        <w:rPr>
          <w:noProof/>
        </w:rPr>
        <w:t>12</w:t>
      </w:r>
      <w:r>
        <w:rPr>
          <w:noProof/>
        </w:rPr>
        <w:fldChar w:fldCharType="end"/>
      </w:r>
    </w:p>
    <w:p w14:paraId="2B89C450" w14:textId="70BD0CEB" w:rsidR="009E260D" w:rsidRDefault="009E260D">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_Toc57018379 \h </w:instrText>
      </w:r>
      <w:r>
        <w:rPr>
          <w:noProof/>
        </w:rPr>
      </w:r>
      <w:r>
        <w:rPr>
          <w:noProof/>
        </w:rPr>
        <w:fldChar w:fldCharType="separate"/>
      </w:r>
      <w:r>
        <w:rPr>
          <w:noProof/>
        </w:rPr>
        <w:t>12</w:t>
      </w:r>
      <w:r>
        <w:rPr>
          <w:noProof/>
        </w:rPr>
        <w:fldChar w:fldCharType="end"/>
      </w:r>
    </w:p>
    <w:p w14:paraId="5F3CEC67" w14:textId="4D048EB1" w:rsidR="009E260D" w:rsidRDefault="009E260D">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_Toc57018380 \h </w:instrText>
      </w:r>
      <w:r>
        <w:rPr>
          <w:noProof/>
        </w:rPr>
      </w:r>
      <w:r>
        <w:rPr>
          <w:noProof/>
        </w:rPr>
        <w:fldChar w:fldCharType="separate"/>
      </w:r>
      <w:r>
        <w:rPr>
          <w:noProof/>
        </w:rPr>
        <w:t>12</w:t>
      </w:r>
      <w:r>
        <w:rPr>
          <w:noProof/>
        </w:rPr>
        <w:fldChar w:fldCharType="end"/>
      </w:r>
    </w:p>
    <w:p w14:paraId="3F46263A" w14:textId="5A67FCC3" w:rsidR="009E260D" w:rsidRDefault="009E260D">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_Toc57018381 \h </w:instrText>
      </w:r>
      <w:r>
        <w:rPr>
          <w:noProof/>
        </w:rPr>
      </w:r>
      <w:r>
        <w:rPr>
          <w:noProof/>
        </w:rPr>
        <w:fldChar w:fldCharType="separate"/>
      </w:r>
      <w:r>
        <w:rPr>
          <w:noProof/>
        </w:rPr>
        <w:t>13</w:t>
      </w:r>
      <w:r>
        <w:rPr>
          <w:noProof/>
        </w:rPr>
        <w:fldChar w:fldCharType="end"/>
      </w:r>
    </w:p>
    <w:p w14:paraId="01354DC0" w14:textId="038D4492" w:rsidR="009E260D" w:rsidRDefault="009E260D">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_Toc57018382 \h </w:instrText>
      </w:r>
      <w:r>
        <w:rPr>
          <w:noProof/>
        </w:rPr>
      </w:r>
      <w:r>
        <w:rPr>
          <w:noProof/>
        </w:rPr>
        <w:fldChar w:fldCharType="separate"/>
      </w:r>
      <w:r>
        <w:rPr>
          <w:noProof/>
        </w:rPr>
        <w:t>13</w:t>
      </w:r>
      <w:r>
        <w:rPr>
          <w:noProof/>
        </w:rPr>
        <w:fldChar w:fldCharType="end"/>
      </w:r>
    </w:p>
    <w:p w14:paraId="74F46795" w14:textId="6997C6A3" w:rsidR="009E260D" w:rsidRDefault="009E260D">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_Toc57018383 \h </w:instrText>
      </w:r>
      <w:r>
        <w:rPr>
          <w:noProof/>
        </w:rPr>
      </w:r>
      <w:r>
        <w:rPr>
          <w:noProof/>
        </w:rPr>
        <w:fldChar w:fldCharType="separate"/>
      </w:r>
      <w:r>
        <w:rPr>
          <w:noProof/>
        </w:rPr>
        <w:t>13</w:t>
      </w:r>
      <w:r>
        <w:rPr>
          <w:noProof/>
        </w:rPr>
        <w:fldChar w:fldCharType="end"/>
      </w:r>
    </w:p>
    <w:p w14:paraId="5F36BF1B" w14:textId="74D56485" w:rsidR="009E260D" w:rsidRDefault="009E260D">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_Toc57018384 \h </w:instrText>
      </w:r>
      <w:r>
        <w:rPr>
          <w:noProof/>
        </w:rPr>
      </w:r>
      <w:r>
        <w:rPr>
          <w:noProof/>
        </w:rPr>
        <w:fldChar w:fldCharType="separate"/>
      </w:r>
      <w:r>
        <w:rPr>
          <w:noProof/>
        </w:rPr>
        <w:t>14</w:t>
      </w:r>
      <w:r>
        <w:rPr>
          <w:noProof/>
        </w:rPr>
        <w:fldChar w:fldCharType="end"/>
      </w:r>
    </w:p>
    <w:p w14:paraId="524E5D7A" w14:textId="01578AB6" w:rsidR="009E260D" w:rsidRDefault="009E260D">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_Toc57018385 \h </w:instrText>
      </w:r>
      <w:r>
        <w:rPr>
          <w:noProof/>
        </w:rPr>
      </w:r>
      <w:r>
        <w:rPr>
          <w:noProof/>
        </w:rPr>
        <w:fldChar w:fldCharType="separate"/>
      </w:r>
      <w:r>
        <w:rPr>
          <w:noProof/>
        </w:rPr>
        <w:t>15</w:t>
      </w:r>
      <w:r>
        <w:rPr>
          <w:noProof/>
        </w:rPr>
        <w:fldChar w:fldCharType="end"/>
      </w:r>
    </w:p>
    <w:p w14:paraId="4C194BAF" w14:textId="1F905721" w:rsidR="001C6C9B" w:rsidRPr="00D12B8C" w:rsidRDefault="001C6C9B" w:rsidP="00D12B8C">
      <w:r>
        <w:fldChar w:fldCharType="end"/>
      </w:r>
    </w:p>
    <w:p w14:paraId="7DD78D3A" w14:textId="77777777" w:rsidR="007E1F66" w:rsidRDefault="007E1F66" w:rsidP="00A251C9">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41594B9B" w14:textId="77777777" w:rsidR="00C95D04" w:rsidRPr="007E1F66" w:rsidRDefault="00C95D04" w:rsidP="00A251C9">
      <w:pPr>
        <w:pStyle w:val="eTRMHeading3"/>
      </w:pPr>
      <w:bookmarkStart w:id="1" w:name="_Toc486490839"/>
      <w:bookmarkStart w:id="2" w:name="_Toc486580912"/>
      <w:bookmarkStart w:id="3" w:name="_Toc57018362"/>
      <w:r w:rsidRPr="007E1F66">
        <w:lastRenderedPageBreak/>
        <w:t>Measure Name</w:t>
      </w:r>
      <w:bookmarkEnd w:id="1"/>
      <w:bookmarkEnd w:id="2"/>
      <w:bookmarkEnd w:id="3"/>
    </w:p>
    <w:p w14:paraId="19B65074" w14:textId="58162CA4" w:rsidR="00C95D04" w:rsidRDefault="00316EBC" w:rsidP="00B4710D">
      <w:pPr>
        <w:keepNext/>
        <w:keepLines/>
        <w:spacing w:beforeLines="20" w:before="48" w:afterLines="20" w:after="48" w:line="240" w:lineRule="auto"/>
      </w:pPr>
      <w:bookmarkStart w:id="4" w:name="_Hlk25160953"/>
      <w:r w:rsidRPr="00316EBC">
        <w:t>Evaporative Pre-Cooler System and Controls</w:t>
      </w:r>
      <w:r w:rsidR="00091656">
        <w:t xml:space="preserve"> for Packaged HVAC Unit</w:t>
      </w:r>
    </w:p>
    <w:p w14:paraId="02392F23" w14:textId="0AD5B6DD" w:rsidR="00C95D04" w:rsidRPr="00074E3E" w:rsidRDefault="00C95D04" w:rsidP="00A251C9">
      <w:pPr>
        <w:pStyle w:val="eTRMHeading3"/>
      </w:pPr>
      <w:bookmarkStart w:id="5" w:name="_Toc486490840"/>
      <w:bookmarkStart w:id="6" w:name="_Toc486580913"/>
      <w:bookmarkStart w:id="7" w:name="_Toc57018363"/>
      <w:bookmarkEnd w:id="4"/>
      <w:r>
        <w:t>Statewide Measure ID</w:t>
      </w:r>
      <w:bookmarkEnd w:id="5"/>
      <w:bookmarkEnd w:id="6"/>
      <w:bookmarkEnd w:id="7"/>
      <w:r w:rsidR="006C4901">
        <w:tab/>
      </w:r>
    </w:p>
    <w:p w14:paraId="340A92DD" w14:textId="09D95205" w:rsidR="00F70EEA" w:rsidRPr="002C2F28" w:rsidRDefault="00297845" w:rsidP="00183521">
      <w:r>
        <w:t>SWHC042-02</w:t>
      </w:r>
    </w:p>
    <w:p w14:paraId="0F7CA2E6" w14:textId="77777777" w:rsidR="00E70CBD" w:rsidRPr="00154391" w:rsidRDefault="00E70CBD" w:rsidP="00A251C9">
      <w:pPr>
        <w:pStyle w:val="eTRMHeading3"/>
      </w:pPr>
      <w:bookmarkStart w:id="8" w:name="_Toc486490847"/>
      <w:bookmarkStart w:id="9" w:name="_Toc486580918"/>
      <w:bookmarkStart w:id="10" w:name="_Toc57018364"/>
      <w:r w:rsidRPr="00154391">
        <w:t>Technology Summary</w:t>
      </w:r>
      <w:bookmarkEnd w:id="8"/>
      <w:bookmarkEnd w:id="9"/>
      <w:bookmarkEnd w:id="10"/>
      <w:r w:rsidRPr="00154391">
        <w:t xml:space="preserve"> </w:t>
      </w:r>
    </w:p>
    <w:p w14:paraId="3CAA7EED" w14:textId="62F01238" w:rsidR="0029554D" w:rsidRDefault="00316EBC" w:rsidP="00B35FC3">
      <w:pPr>
        <w:jc w:val="both"/>
      </w:pPr>
      <w:r>
        <w:t>HVAC p</w:t>
      </w:r>
      <w:r w:rsidR="00DB5C68">
        <w:t>ackage</w:t>
      </w:r>
      <w:r w:rsidR="006D09F3">
        <w:t>d</w:t>
      </w:r>
      <w:r w:rsidR="00DB5C68">
        <w:t xml:space="preserve"> units are the most common type of mechanical system </w:t>
      </w:r>
      <w:r w:rsidR="00AB2475">
        <w:t>and provide an estimated 75% of the cooling to commercial buildings in California</w:t>
      </w:r>
      <w:r w:rsidR="00AB2475">
        <w:rPr>
          <w:rStyle w:val="FootnoteReference"/>
        </w:rPr>
        <w:footnoteReference w:id="1"/>
      </w:r>
      <w:r w:rsidR="00DB5C68">
        <w:t xml:space="preserve">. </w:t>
      </w:r>
      <w:r w:rsidR="00670339">
        <w:t>A</w:t>
      </w:r>
      <w:r w:rsidR="00DB5C68">
        <w:t xml:space="preserve"> main trade</w:t>
      </w:r>
      <w:r w:rsidR="00670339">
        <w:t>-</w:t>
      </w:r>
      <w:r w:rsidR="00DB5C68">
        <w:t xml:space="preserve">off is that due to their low cost, </w:t>
      </w:r>
      <w:r>
        <w:t>package</w:t>
      </w:r>
      <w:r w:rsidR="006C4901">
        <w:t>d</w:t>
      </w:r>
      <w:r>
        <w:t xml:space="preserve"> units </w:t>
      </w:r>
      <w:r w:rsidR="00DB5C68">
        <w:t xml:space="preserve">typically only meet minimum code requirements for energy efficiency which results in higher electricity costs. Since in many cases it is not financially feasible to replace an existing </w:t>
      </w:r>
      <w:r>
        <w:t>package</w:t>
      </w:r>
      <w:r w:rsidR="006C4901">
        <w:t>d</w:t>
      </w:r>
      <w:r>
        <w:t xml:space="preserve"> unit before the end of its useful life,</w:t>
      </w:r>
      <w:r w:rsidR="00DB5C68">
        <w:t xml:space="preserve"> </w:t>
      </w:r>
      <w:r w:rsidR="00A776A8">
        <w:t xml:space="preserve">a </w:t>
      </w:r>
      <w:r w:rsidR="007A0913">
        <w:t>preferred</w:t>
      </w:r>
      <w:r w:rsidR="00DB5C68">
        <w:t xml:space="preserve"> solution is to implement measures </w:t>
      </w:r>
      <w:r w:rsidR="00916BB9">
        <w:t>t</w:t>
      </w:r>
      <w:r w:rsidR="00DB5C68">
        <w:t xml:space="preserve">hat will improve the performance and efficiency of the </w:t>
      </w:r>
      <w:r w:rsidR="00916BB9">
        <w:t>unit</w:t>
      </w:r>
      <w:r w:rsidR="00DB5C68">
        <w:t>.</w:t>
      </w:r>
    </w:p>
    <w:p w14:paraId="2043207C" w14:textId="08E81E27" w:rsidR="00777618" w:rsidRDefault="008C5B66" w:rsidP="00B35FC3">
      <w:pPr>
        <w:jc w:val="both"/>
      </w:pPr>
      <w:r>
        <w:t>I</w:t>
      </w:r>
      <w:r w:rsidR="00DB5C68">
        <w:t>nstalling an evaporative pre-cooling system</w:t>
      </w:r>
      <w:r w:rsidR="004D51FA">
        <w:t xml:space="preserve"> is one possible method of improving a package</w:t>
      </w:r>
      <w:r w:rsidR="006C4901">
        <w:t>d</w:t>
      </w:r>
      <w:r w:rsidR="004D51FA">
        <w:t xml:space="preserve"> unit’s per</w:t>
      </w:r>
      <w:r w:rsidR="00617C41">
        <w:t>formance</w:t>
      </w:r>
      <w:r w:rsidR="00AD07FE">
        <w:t>, as shown in the Emerging Technology (ET) study “</w:t>
      </w:r>
      <w:r w:rsidR="00AD07FE" w:rsidRPr="00AD07FE">
        <w:t>Laboratory and Field Testing of RTU Optimization Package Combining a Condenser-Air Pre-Cooler with Compressor Speed Reduction</w:t>
      </w:r>
      <w:r w:rsidR="00AD07FE">
        <w:t>”</w:t>
      </w:r>
      <w:r w:rsidR="00AD07FE">
        <w:rPr>
          <w:rStyle w:val="FootnoteReference"/>
        </w:rPr>
        <w:footnoteReference w:id="2"/>
      </w:r>
      <w:r w:rsidR="00AD07FE">
        <w:t xml:space="preserve"> conducted by S</w:t>
      </w:r>
      <w:r w:rsidR="00E52D44">
        <w:t>o</w:t>
      </w:r>
      <w:r w:rsidR="000D3CD5">
        <w:t>u</w:t>
      </w:r>
      <w:r w:rsidR="00E52D44">
        <w:t xml:space="preserve">thern </w:t>
      </w:r>
      <w:r w:rsidR="00AD07FE">
        <w:t>C</w:t>
      </w:r>
      <w:r w:rsidR="00E52D44">
        <w:t xml:space="preserve">alifornia </w:t>
      </w:r>
      <w:r w:rsidR="00AD07FE">
        <w:t>E</w:t>
      </w:r>
      <w:r w:rsidR="00E52D44">
        <w:t>dison (SCE)</w:t>
      </w:r>
      <w:r w:rsidR="00AD07FE">
        <w:t xml:space="preserve"> in 2018</w:t>
      </w:r>
      <w:r w:rsidR="00DB5C68">
        <w:t xml:space="preserve">. This system </w:t>
      </w:r>
      <w:r w:rsidR="007E6CF5">
        <w:t xml:space="preserve">is installed directly on the </w:t>
      </w:r>
      <w:r w:rsidR="00916BB9">
        <w:t xml:space="preserve">unit </w:t>
      </w:r>
      <w:r w:rsidR="007E6CF5">
        <w:t xml:space="preserve">and connected to the building’s main cold-water supply line. Water flows through an evaporative media attached to the condenser air intake to pre-cool the </w:t>
      </w:r>
      <w:r w:rsidR="00AB2475">
        <w:t>entering</w:t>
      </w:r>
      <w:r w:rsidR="007E6CF5">
        <w:t xml:space="preserve"> air</w:t>
      </w:r>
      <w:r w:rsidR="00AB2475">
        <w:t>.</w:t>
      </w:r>
      <w:r w:rsidR="00916BB9">
        <w:t xml:space="preserve"> The increased </w:t>
      </w:r>
      <w:r w:rsidR="001F1E86">
        <w:t xml:space="preserve">change in </w:t>
      </w:r>
      <w:r w:rsidR="000D3CD5">
        <w:t>temperature</w:t>
      </w:r>
      <w:r w:rsidR="00916BB9">
        <w:t xml:space="preserve"> between the condenser and precooled air improves heat rejection, which in turn results in higher unit efficiency and performance. </w:t>
      </w:r>
      <w:r w:rsidR="00777618">
        <w:t xml:space="preserve">The evaporative pre-cooling system consists of </w:t>
      </w:r>
      <w:r w:rsidR="00D96541">
        <w:t>three</w:t>
      </w:r>
      <w:r w:rsidR="00777618">
        <w:t xml:space="preserve"> main components:</w:t>
      </w:r>
    </w:p>
    <w:p w14:paraId="4A41ED8B" w14:textId="566A33F2" w:rsidR="00777618" w:rsidRDefault="00777618" w:rsidP="00B35FC3">
      <w:pPr>
        <w:pStyle w:val="ListParagraph"/>
        <w:numPr>
          <w:ilvl w:val="0"/>
          <w:numId w:val="6"/>
        </w:numPr>
        <w:jc w:val="both"/>
      </w:pPr>
      <w:r>
        <w:t>Direct Evaporative Condenser Pre-Cooler and Sump</w:t>
      </w:r>
    </w:p>
    <w:p w14:paraId="128A73CE" w14:textId="38685A22" w:rsidR="00777618" w:rsidRDefault="00777618" w:rsidP="00B35FC3">
      <w:pPr>
        <w:pStyle w:val="ListParagraph"/>
        <w:numPr>
          <w:ilvl w:val="1"/>
          <w:numId w:val="6"/>
        </w:numPr>
        <w:jc w:val="both"/>
      </w:pPr>
      <w:r>
        <w:t xml:space="preserve">This component consists of a steel enclosure attached to the condenser section of the </w:t>
      </w:r>
      <w:r w:rsidR="003F310F">
        <w:t>package</w:t>
      </w:r>
      <w:r w:rsidR="006C4901">
        <w:t>d</w:t>
      </w:r>
      <w:r w:rsidR="003F310F">
        <w:t xml:space="preserve"> unit</w:t>
      </w:r>
      <w:r>
        <w:t xml:space="preserve"> and contains the evaporative media as well as an integrated water reservoir with submersible circulation pump.</w:t>
      </w:r>
      <w:r w:rsidR="006325D4" w:rsidDel="006325D4">
        <w:t xml:space="preserve"> </w:t>
      </w:r>
    </w:p>
    <w:p w14:paraId="64896BD1" w14:textId="0312DD87" w:rsidR="00777618" w:rsidRDefault="00777618" w:rsidP="00B35FC3">
      <w:pPr>
        <w:pStyle w:val="ListParagraph"/>
        <w:numPr>
          <w:ilvl w:val="0"/>
          <w:numId w:val="6"/>
        </w:numPr>
        <w:jc w:val="both"/>
      </w:pPr>
      <w:r>
        <w:t>Bleed System</w:t>
      </w:r>
    </w:p>
    <w:p w14:paraId="06FA23CB" w14:textId="77777777" w:rsidR="00777618" w:rsidRPr="009C3C68" w:rsidRDefault="00777618" w:rsidP="00B35FC3">
      <w:pPr>
        <w:pStyle w:val="ListParagraph"/>
        <w:numPr>
          <w:ilvl w:val="1"/>
          <w:numId w:val="6"/>
        </w:numPr>
        <w:jc w:val="both"/>
      </w:pPr>
      <w:r w:rsidRPr="009C3C68">
        <w:t>The bleed system limits the concentration of minerals and contaminants by draining the water before the minerals can build up in the evaporative media and the coil. The bleed rate is determined by measuring the hardness content of the supply water and is updated by the control system based on the operating conditions. A filter is installed upstream of the bleed valve to prevent clogging.</w:t>
      </w:r>
    </w:p>
    <w:p w14:paraId="453BE7AE" w14:textId="05C92DB5" w:rsidR="00777618" w:rsidRPr="009C3C68" w:rsidRDefault="00777618" w:rsidP="00B35FC3">
      <w:pPr>
        <w:pStyle w:val="ListParagraph"/>
        <w:numPr>
          <w:ilvl w:val="0"/>
          <w:numId w:val="6"/>
        </w:numPr>
        <w:jc w:val="both"/>
      </w:pPr>
      <w:r w:rsidRPr="009C3C68">
        <w:t>Controls</w:t>
      </w:r>
    </w:p>
    <w:p w14:paraId="2633DC3F" w14:textId="7E868223" w:rsidR="00777618" w:rsidRPr="009C3C68" w:rsidRDefault="00777618" w:rsidP="00B35FC3">
      <w:pPr>
        <w:pStyle w:val="ListParagraph"/>
        <w:numPr>
          <w:ilvl w:val="1"/>
          <w:numId w:val="6"/>
        </w:numPr>
        <w:jc w:val="both"/>
      </w:pPr>
      <w:r w:rsidRPr="009C3C68">
        <w:t xml:space="preserve">An integrated thermostat is included with the system to activate the circulation pump when the ambient air </w:t>
      </w:r>
      <w:r w:rsidR="0008078A" w:rsidRPr="009C3C68">
        <w:t>wet</w:t>
      </w:r>
      <w:r w:rsidR="004C306D" w:rsidRPr="009C3C68">
        <w:t>-</w:t>
      </w:r>
      <w:r w:rsidR="0008078A" w:rsidRPr="009C3C68">
        <w:t xml:space="preserve">bulb </w:t>
      </w:r>
      <w:r w:rsidRPr="009C3C68">
        <w:t>temperature exceeds a set point value.</w:t>
      </w:r>
      <w:r w:rsidR="006A2C5B" w:rsidRPr="009C3C68">
        <w:t xml:space="preserve"> The evaporative pre-cooler systems are set with a default activation temperature from the factory, which is adjustable in order to optimize performance for the local climate where the system will </w:t>
      </w:r>
      <w:r w:rsidR="006A2C5B" w:rsidRPr="009C3C68">
        <w:lastRenderedPageBreak/>
        <w:t xml:space="preserve">ultimately be installed. </w:t>
      </w:r>
      <w:r w:rsidR="009C3C68" w:rsidRPr="009C3C68">
        <w:t xml:space="preserve">Depending on the </w:t>
      </w:r>
      <w:bookmarkStart w:id="11" w:name="_GoBack"/>
      <w:bookmarkEnd w:id="11"/>
      <w:r w:rsidR="009C3C68" w:rsidRPr="009C3C68">
        <w:t>manufacturer, the default activation temperature may be based on wet</w:t>
      </w:r>
      <w:r w:rsidR="009C557C">
        <w:t>-</w:t>
      </w:r>
      <w:r w:rsidR="009C3C68" w:rsidRPr="009C3C68">
        <w:t xml:space="preserve">bulb or dry-bulb.  </w:t>
      </w:r>
    </w:p>
    <w:p w14:paraId="483EA5B4" w14:textId="578B273A" w:rsidR="006A2C5B" w:rsidRDefault="006A2C5B" w:rsidP="006A2C5B">
      <w:pPr>
        <w:pStyle w:val="ListParagraph"/>
        <w:ind w:left="1440"/>
        <w:jc w:val="both"/>
        <w:rPr>
          <w:highlight w:val="yellow"/>
        </w:rPr>
      </w:pPr>
    </w:p>
    <w:p w14:paraId="5AF18021" w14:textId="379695C1" w:rsidR="007D230B" w:rsidRPr="004B06E3" w:rsidRDefault="007D230B" w:rsidP="00B35FC3">
      <w:pPr>
        <w:pStyle w:val="eTRMHeading3"/>
        <w:jc w:val="both"/>
      </w:pPr>
      <w:bookmarkStart w:id="12" w:name="_Toc486490848"/>
      <w:bookmarkStart w:id="13" w:name="_Toc486580919"/>
      <w:bookmarkStart w:id="14" w:name="_Toc57018365"/>
      <w:r w:rsidRPr="004B06E3">
        <w:t>Measure Case Description</w:t>
      </w:r>
      <w:bookmarkEnd w:id="12"/>
      <w:bookmarkEnd w:id="13"/>
      <w:bookmarkEnd w:id="14"/>
    </w:p>
    <w:p w14:paraId="18046A8B" w14:textId="69C5E5E4" w:rsidR="007D46AC" w:rsidRDefault="00777618" w:rsidP="00B35FC3">
      <w:pPr>
        <w:jc w:val="both"/>
      </w:pPr>
      <w:r>
        <w:t>The measure case is defined as</w:t>
      </w:r>
      <w:r w:rsidR="003B0470">
        <w:t xml:space="preserve"> a HVAC packaged unit with</w:t>
      </w:r>
      <w:r>
        <w:t xml:space="preserve"> an evaporative pre-cooler installed on the condenser air intak</w:t>
      </w:r>
      <w:r w:rsidR="00F34952">
        <w:t>e</w:t>
      </w:r>
      <w:r w:rsidR="00D42280">
        <w:t>.</w:t>
      </w:r>
      <w:r>
        <w:t xml:space="preserve"> </w:t>
      </w:r>
      <w:bookmarkStart w:id="15" w:name="_Toc486490849"/>
      <w:bookmarkStart w:id="16" w:name="_Toc486580920"/>
    </w:p>
    <w:p w14:paraId="54FD79D6" w14:textId="71A66883" w:rsidR="00E70CBD" w:rsidRPr="00171BB8" w:rsidRDefault="00E70CBD" w:rsidP="00B35FC3">
      <w:pPr>
        <w:pStyle w:val="eTRMHeading3"/>
        <w:jc w:val="both"/>
      </w:pPr>
      <w:bookmarkStart w:id="17" w:name="_Toc57018366"/>
      <w:r w:rsidRPr="004B06E3">
        <w:t>Base Case Description</w:t>
      </w:r>
      <w:bookmarkEnd w:id="15"/>
      <w:bookmarkEnd w:id="16"/>
      <w:bookmarkEnd w:id="17"/>
      <w:r w:rsidRPr="00171BB8">
        <w:t xml:space="preserve"> </w:t>
      </w:r>
    </w:p>
    <w:p w14:paraId="4B5FE3C5" w14:textId="655DBFD9" w:rsidR="00D67698" w:rsidRPr="004B31A9" w:rsidRDefault="00D96541" w:rsidP="00B35FC3">
      <w:pPr>
        <w:jc w:val="both"/>
        <w:rPr>
          <w:rFonts w:ascii="Calibri" w:hAnsi="Calibri"/>
        </w:rPr>
      </w:pPr>
      <w:r>
        <w:t>The</w:t>
      </w:r>
      <w:r w:rsidR="00F718F3">
        <w:t xml:space="preserve"> </w:t>
      </w:r>
      <w:r w:rsidR="00F718F3" w:rsidRPr="00D12F78">
        <w:t>base case</w:t>
      </w:r>
      <w:r w:rsidR="001870DB">
        <w:t xml:space="preserve"> </w:t>
      </w:r>
      <w:r w:rsidR="00F718F3" w:rsidRPr="00D12F78">
        <w:t xml:space="preserve">is </w:t>
      </w:r>
      <w:r w:rsidR="00995B2B">
        <w:t xml:space="preserve">defined as </w:t>
      </w:r>
      <w:r w:rsidR="00377E2A">
        <w:t>a</w:t>
      </w:r>
      <w:r w:rsidR="00493F85">
        <w:t>n existing</w:t>
      </w:r>
      <w:r w:rsidR="00CD39C3">
        <w:t xml:space="preserve"> or new</w:t>
      </w:r>
      <w:r w:rsidR="00493F85">
        <w:t xml:space="preserve"> </w:t>
      </w:r>
      <w:r w:rsidR="00916BB9">
        <w:t xml:space="preserve">Title 24 compliant </w:t>
      </w:r>
      <w:bookmarkStart w:id="18" w:name="_Toc486490850"/>
      <w:bookmarkStart w:id="19" w:name="_Toc486580921"/>
      <w:r w:rsidR="002D5726">
        <w:t xml:space="preserve">HVAC </w:t>
      </w:r>
      <w:r w:rsidR="00916BB9">
        <w:t>package</w:t>
      </w:r>
      <w:r w:rsidR="002279B5">
        <w:t>d</w:t>
      </w:r>
      <w:r w:rsidR="00916BB9">
        <w:t xml:space="preserve"> unit</w:t>
      </w:r>
      <w:r w:rsidR="00C50F21">
        <w:t xml:space="preserve"> on an existing building</w:t>
      </w:r>
      <w:r w:rsidR="00A776A8">
        <w:t xml:space="preserve"> without an existing evaporative pre-cooler.</w:t>
      </w:r>
    </w:p>
    <w:p w14:paraId="7D9DA4A6" w14:textId="77777777" w:rsidR="007D230B" w:rsidRPr="00171BB8" w:rsidRDefault="007D230B" w:rsidP="00B35FC3">
      <w:pPr>
        <w:pStyle w:val="eTRMHeading3"/>
        <w:jc w:val="both"/>
      </w:pPr>
      <w:bookmarkStart w:id="20" w:name="_Toc57018367"/>
      <w:r w:rsidRPr="004B06E3">
        <w:t>Code Requirements</w:t>
      </w:r>
      <w:bookmarkEnd w:id="18"/>
      <w:bookmarkEnd w:id="19"/>
      <w:bookmarkEnd w:id="20"/>
    </w:p>
    <w:p w14:paraId="29233F2E" w14:textId="68114147" w:rsidR="007E3A33" w:rsidRPr="007E3A33" w:rsidRDefault="00A776A8" w:rsidP="00B35FC3">
      <w:pPr>
        <w:keepNext/>
        <w:keepLines/>
        <w:jc w:val="both"/>
      </w:pPr>
      <w:bookmarkStart w:id="21" w:name="_Ref486591603"/>
      <w:r>
        <w:t>California and federal codes do not require or address evaporative pre-coolers</w:t>
      </w:r>
      <w:r w:rsidR="003A34AF">
        <w:t>.</w:t>
      </w:r>
      <w:r>
        <w:t xml:space="preserve"> However, base case system efficiencies adhere to </w:t>
      </w:r>
      <w:r w:rsidR="00A82423">
        <w:t xml:space="preserve">the 2019 </w:t>
      </w:r>
      <w:r>
        <w:t xml:space="preserve">California </w:t>
      </w:r>
      <w:r w:rsidR="00B42DC4">
        <w:t xml:space="preserve">Building Energy Efficiency </w:t>
      </w:r>
      <w:r w:rsidR="00793555">
        <w:t>Standards</w:t>
      </w:r>
      <w:r>
        <w:t xml:space="preserve"> </w:t>
      </w:r>
      <w:r w:rsidR="00793555">
        <w:t>(</w:t>
      </w:r>
      <w:r>
        <w:t>Title 24</w:t>
      </w:r>
      <w:r w:rsidR="00793555">
        <w:t>)</w:t>
      </w:r>
      <w:r>
        <w:t xml:space="preserve"> requirements. </w:t>
      </w:r>
    </w:p>
    <w:bookmarkEnd w:id="21"/>
    <w:p w14:paraId="0ED517F7" w14:textId="6DD22F99" w:rsidR="00BC3542" w:rsidRDefault="00BC3542" w:rsidP="009C5080">
      <w:pPr>
        <w:pStyle w:val="Caption"/>
      </w:pPr>
      <w:r w:rsidRPr="00170C16">
        <w:t>Applicable State and Federal Codes and Standards</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55"/>
        <w:gridCol w:w="2880"/>
        <w:gridCol w:w="1620"/>
      </w:tblGrid>
      <w:tr w:rsidR="004919B8" w:rsidRPr="007E3A33" w14:paraId="5232A80C" w14:textId="77777777" w:rsidTr="005F5BE1">
        <w:trPr>
          <w:trHeight w:val="20"/>
        </w:trPr>
        <w:tc>
          <w:tcPr>
            <w:tcW w:w="4855" w:type="dxa"/>
            <w:shd w:val="clear" w:color="auto" w:fill="F2F2F2" w:themeFill="background1" w:themeFillShade="F2"/>
            <w:vAlign w:val="center"/>
          </w:tcPr>
          <w:p w14:paraId="6D559167" w14:textId="77777777" w:rsidR="007E3A33" w:rsidRPr="007E3A33" w:rsidRDefault="007E3A33" w:rsidP="00943DDC">
            <w:pPr>
              <w:keepNext/>
              <w:keepLines/>
              <w:spacing w:before="20" w:after="20"/>
              <w:rPr>
                <w:b/>
                <w:sz w:val="20"/>
                <w:szCs w:val="20"/>
              </w:rPr>
            </w:pPr>
            <w:r w:rsidRPr="007E3A33">
              <w:rPr>
                <w:b/>
                <w:sz w:val="20"/>
                <w:szCs w:val="20"/>
              </w:rPr>
              <w:t>Code</w:t>
            </w:r>
          </w:p>
        </w:tc>
        <w:tc>
          <w:tcPr>
            <w:tcW w:w="2880" w:type="dxa"/>
            <w:shd w:val="clear" w:color="auto" w:fill="F2F2F2" w:themeFill="background1" w:themeFillShade="F2"/>
            <w:vAlign w:val="center"/>
          </w:tcPr>
          <w:p w14:paraId="06B80F49" w14:textId="77777777" w:rsidR="007E3A33" w:rsidRPr="007E3A33" w:rsidRDefault="007E3A33" w:rsidP="005F5BE1">
            <w:pPr>
              <w:keepNext/>
              <w:keepLines/>
              <w:spacing w:before="20" w:after="20"/>
              <w:rPr>
                <w:b/>
                <w:sz w:val="20"/>
                <w:szCs w:val="20"/>
              </w:rPr>
            </w:pPr>
            <w:r w:rsidRPr="007E3A33">
              <w:rPr>
                <w:b/>
                <w:sz w:val="20"/>
                <w:szCs w:val="20"/>
              </w:rPr>
              <w:t>Applicable Code Reference</w:t>
            </w:r>
          </w:p>
        </w:tc>
        <w:tc>
          <w:tcPr>
            <w:tcW w:w="1620" w:type="dxa"/>
            <w:shd w:val="clear" w:color="auto" w:fill="F2F2F2" w:themeFill="background1" w:themeFillShade="F2"/>
            <w:vAlign w:val="center"/>
          </w:tcPr>
          <w:p w14:paraId="5E2F2887" w14:textId="77777777" w:rsidR="007E3A33" w:rsidRPr="007E3A33" w:rsidRDefault="007E3A33" w:rsidP="005F5BE1">
            <w:pPr>
              <w:keepNext/>
              <w:keepLines/>
              <w:spacing w:before="20" w:after="20"/>
              <w:rPr>
                <w:b/>
                <w:sz w:val="20"/>
                <w:szCs w:val="20"/>
              </w:rPr>
            </w:pPr>
            <w:r w:rsidRPr="007E3A33">
              <w:rPr>
                <w:b/>
                <w:sz w:val="20"/>
                <w:szCs w:val="20"/>
              </w:rPr>
              <w:t>Effective Date</w:t>
            </w:r>
          </w:p>
        </w:tc>
      </w:tr>
      <w:tr w:rsidR="003A34AF" w:rsidRPr="00D7404C" w14:paraId="7BAE643E" w14:textId="77777777" w:rsidTr="004919B8">
        <w:trPr>
          <w:trHeight w:val="20"/>
        </w:trPr>
        <w:tc>
          <w:tcPr>
            <w:tcW w:w="4855" w:type="dxa"/>
            <w:shd w:val="clear" w:color="auto" w:fill="auto"/>
            <w:vAlign w:val="center"/>
          </w:tcPr>
          <w:p w14:paraId="251AEF13" w14:textId="781B2369" w:rsidR="003A34AF" w:rsidRPr="00D7404C" w:rsidRDefault="003A34AF" w:rsidP="003A34AF">
            <w:pPr>
              <w:keepNext/>
              <w:keepLines/>
              <w:spacing w:before="20" w:after="20"/>
              <w:rPr>
                <w:sz w:val="20"/>
                <w:szCs w:val="20"/>
              </w:rPr>
            </w:pPr>
            <w:r w:rsidRPr="00D7404C">
              <w:rPr>
                <w:sz w:val="20"/>
                <w:szCs w:val="20"/>
              </w:rPr>
              <w:t>CA Building Energy Efficiency Standards – Title 24 (201</w:t>
            </w:r>
            <w:r>
              <w:rPr>
                <w:sz w:val="20"/>
                <w:szCs w:val="20"/>
              </w:rPr>
              <w:t>9</w:t>
            </w:r>
            <w:r w:rsidRPr="00D7404C">
              <w:rPr>
                <w:sz w:val="20"/>
                <w:szCs w:val="20"/>
              </w:rPr>
              <w:t>)</w:t>
            </w:r>
          </w:p>
        </w:tc>
        <w:tc>
          <w:tcPr>
            <w:tcW w:w="2880" w:type="dxa"/>
            <w:shd w:val="clear" w:color="auto" w:fill="auto"/>
            <w:vAlign w:val="center"/>
          </w:tcPr>
          <w:p w14:paraId="155271BD" w14:textId="41C0433B" w:rsidR="003A34AF" w:rsidRPr="00D7404C" w:rsidRDefault="003C5F5A" w:rsidP="003A34AF">
            <w:pPr>
              <w:keepNext/>
              <w:keepLines/>
              <w:spacing w:before="20" w:after="20"/>
              <w:rPr>
                <w:sz w:val="20"/>
                <w:szCs w:val="20"/>
              </w:rPr>
            </w:pPr>
            <w:r w:rsidRPr="003C5F5A">
              <w:rPr>
                <w:rFonts w:cstheme="minorHAnsi"/>
                <w:sz w:val="20"/>
                <w:szCs w:val="20"/>
              </w:rPr>
              <w:t>Section 110.2(a) Table 110.2-A</w:t>
            </w:r>
          </w:p>
        </w:tc>
        <w:tc>
          <w:tcPr>
            <w:tcW w:w="1620" w:type="dxa"/>
            <w:shd w:val="clear" w:color="auto" w:fill="auto"/>
            <w:vAlign w:val="center"/>
          </w:tcPr>
          <w:p w14:paraId="16E21E3A" w14:textId="07E0158A" w:rsidR="003A34AF" w:rsidRPr="00D7404C" w:rsidRDefault="003C5F5A" w:rsidP="003A34AF">
            <w:pPr>
              <w:keepNext/>
              <w:keepLines/>
              <w:spacing w:before="20" w:after="20"/>
              <w:rPr>
                <w:sz w:val="20"/>
                <w:szCs w:val="20"/>
              </w:rPr>
            </w:pPr>
            <w:r w:rsidRPr="003C5F5A">
              <w:rPr>
                <w:rFonts w:cstheme="minorHAnsi"/>
                <w:sz w:val="20"/>
                <w:szCs w:val="20"/>
              </w:rPr>
              <w:t>January 1, 2020</w:t>
            </w:r>
          </w:p>
        </w:tc>
      </w:tr>
      <w:tr w:rsidR="001E3B4A" w:rsidRPr="00D7404C" w14:paraId="300CE3C1" w14:textId="77777777" w:rsidTr="00570EFA">
        <w:trPr>
          <w:trHeight w:val="20"/>
        </w:trPr>
        <w:tc>
          <w:tcPr>
            <w:tcW w:w="4855" w:type="dxa"/>
            <w:tcBorders>
              <w:bottom w:val="single" w:sz="4" w:space="0" w:color="A6A6A6" w:themeColor="background1" w:themeShade="A6"/>
            </w:tcBorders>
            <w:shd w:val="clear" w:color="auto" w:fill="auto"/>
            <w:vAlign w:val="center"/>
          </w:tcPr>
          <w:p w14:paraId="4E46523A" w14:textId="2014691A" w:rsidR="001E3B4A" w:rsidRPr="00D7404C" w:rsidRDefault="001E3B4A" w:rsidP="001E3B4A">
            <w:pPr>
              <w:keepNext/>
              <w:keepLines/>
              <w:spacing w:before="20" w:after="20"/>
              <w:rPr>
                <w:sz w:val="20"/>
                <w:szCs w:val="20"/>
              </w:rPr>
            </w:pPr>
            <w:r w:rsidRPr="00D7404C">
              <w:rPr>
                <w:sz w:val="20"/>
                <w:szCs w:val="20"/>
              </w:rPr>
              <w:t>CA Appliance Efficiency Regulations – Title 20 (201</w:t>
            </w:r>
            <w:r>
              <w:rPr>
                <w:sz w:val="20"/>
                <w:szCs w:val="20"/>
              </w:rPr>
              <w:t>9</w:t>
            </w:r>
            <w:r w:rsidRPr="00D7404C">
              <w:rPr>
                <w:sz w:val="20"/>
                <w:szCs w:val="20"/>
              </w:rPr>
              <w:t>)</w:t>
            </w:r>
          </w:p>
        </w:tc>
        <w:tc>
          <w:tcPr>
            <w:tcW w:w="2880" w:type="dxa"/>
            <w:tcBorders>
              <w:bottom w:val="single" w:sz="4" w:space="0" w:color="A6A6A6" w:themeColor="background1" w:themeShade="A6"/>
            </w:tcBorders>
            <w:shd w:val="clear" w:color="auto" w:fill="auto"/>
            <w:vAlign w:val="center"/>
          </w:tcPr>
          <w:p w14:paraId="7ACD4B81" w14:textId="33BFF07C" w:rsidR="001E3B4A" w:rsidRPr="0000481D" w:rsidRDefault="003C5F5A" w:rsidP="001E3B4A">
            <w:pPr>
              <w:keepNext/>
              <w:keepLines/>
              <w:spacing w:before="20" w:after="20"/>
              <w:rPr>
                <w:rFonts w:cstheme="minorHAnsi"/>
                <w:sz w:val="20"/>
                <w:szCs w:val="20"/>
              </w:rPr>
            </w:pPr>
            <w:r w:rsidRPr="003C5F5A">
              <w:rPr>
                <w:rFonts w:cstheme="minorHAnsi"/>
                <w:sz w:val="20"/>
                <w:szCs w:val="20"/>
              </w:rPr>
              <w:t>Section 1605.1(c)(1) Table C-4</w:t>
            </w:r>
          </w:p>
        </w:tc>
        <w:tc>
          <w:tcPr>
            <w:tcW w:w="1620" w:type="dxa"/>
            <w:tcBorders>
              <w:bottom w:val="single" w:sz="4" w:space="0" w:color="A6A6A6" w:themeColor="background1" w:themeShade="A6"/>
            </w:tcBorders>
            <w:shd w:val="clear" w:color="auto" w:fill="auto"/>
            <w:vAlign w:val="center"/>
          </w:tcPr>
          <w:p w14:paraId="30D68083" w14:textId="0284222A" w:rsidR="001E3B4A" w:rsidRPr="00D7404C" w:rsidRDefault="003C5F5A" w:rsidP="001E3B4A">
            <w:pPr>
              <w:keepNext/>
              <w:keepLines/>
              <w:spacing w:before="20" w:after="20"/>
              <w:rPr>
                <w:rFonts w:cstheme="minorHAnsi"/>
                <w:sz w:val="20"/>
                <w:szCs w:val="20"/>
              </w:rPr>
            </w:pPr>
            <w:r w:rsidRPr="003C5F5A">
              <w:rPr>
                <w:rFonts w:cstheme="minorHAnsi"/>
                <w:sz w:val="20"/>
                <w:szCs w:val="20"/>
              </w:rPr>
              <w:t>January 1, 201</w:t>
            </w:r>
            <w:r w:rsidR="00771CD3">
              <w:rPr>
                <w:rFonts w:cstheme="minorHAnsi"/>
                <w:sz w:val="20"/>
                <w:szCs w:val="20"/>
              </w:rPr>
              <w:t>9</w:t>
            </w:r>
          </w:p>
        </w:tc>
      </w:tr>
      <w:tr w:rsidR="001E3B4A" w:rsidRPr="00D7404C" w14:paraId="40E75852" w14:textId="77777777" w:rsidTr="00570EFA">
        <w:trPr>
          <w:trHeight w:val="20"/>
        </w:trPr>
        <w:tc>
          <w:tcPr>
            <w:tcW w:w="4855" w:type="dxa"/>
            <w:tcBorders>
              <w:bottom w:val="single" w:sz="4" w:space="0" w:color="auto"/>
            </w:tcBorders>
            <w:shd w:val="clear" w:color="auto" w:fill="auto"/>
            <w:vAlign w:val="center"/>
          </w:tcPr>
          <w:p w14:paraId="6C48A22C" w14:textId="3689DC32" w:rsidR="001E3B4A" w:rsidRPr="00D7404C" w:rsidRDefault="001E3B4A" w:rsidP="001E3B4A">
            <w:pPr>
              <w:keepNext/>
              <w:keepLines/>
              <w:spacing w:before="20" w:after="20"/>
              <w:rPr>
                <w:sz w:val="20"/>
                <w:szCs w:val="20"/>
              </w:rPr>
            </w:pPr>
            <w:r w:rsidRPr="00D7404C">
              <w:rPr>
                <w:sz w:val="20"/>
                <w:szCs w:val="20"/>
              </w:rPr>
              <w:t>Federal Standards –</w:t>
            </w:r>
            <w:r>
              <w:rPr>
                <w:rFonts w:cstheme="minorHAnsi"/>
                <w:sz w:val="20"/>
                <w:szCs w:val="20"/>
              </w:rPr>
              <w:t xml:space="preserve"> Code of Federal Regulations</w:t>
            </w:r>
            <w:r w:rsidRPr="00D7404C">
              <w:rPr>
                <w:rFonts w:cstheme="minorHAnsi"/>
                <w:sz w:val="20"/>
                <w:szCs w:val="20"/>
              </w:rPr>
              <w:t xml:space="preserve"> </w:t>
            </w:r>
            <w:r>
              <w:rPr>
                <w:rFonts w:cstheme="minorHAnsi"/>
                <w:sz w:val="20"/>
                <w:szCs w:val="20"/>
              </w:rPr>
              <w:t>(2018)</w:t>
            </w:r>
          </w:p>
        </w:tc>
        <w:tc>
          <w:tcPr>
            <w:tcW w:w="2880" w:type="dxa"/>
            <w:tcBorders>
              <w:bottom w:val="single" w:sz="4" w:space="0" w:color="auto"/>
            </w:tcBorders>
            <w:shd w:val="clear" w:color="auto" w:fill="auto"/>
            <w:vAlign w:val="center"/>
          </w:tcPr>
          <w:p w14:paraId="3982515E" w14:textId="221F4840" w:rsidR="001E3B4A" w:rsidRPr="00D7404C" w:rsidRDefault="003C5F5A" w:rsidP="001E3B4A">
            <w:pPr>
              <w:keepNext/>
              <w:keepLines/>
              <w:spacing w:before="20" w:after="20"/>
              <w:rPr>
                <w:sz w:val="20"/>
                <w:szCs w:val="20"/>
              </w:rPr>
            </w:pPr>
            <w:r w:rsidRPr="003C5F5A">
              <w:rPr>
                <w:rFonts w:cstheme="minorHAnsi"/>
                <w:sz w:val="20"/>
                <w:szCs w:val="20"/>
              </w:rPr>
              <w:t>10 CFR §431.97, Table 3</w:t>
            </w:r>
          </w:p>
        </w:tc>
        <w:tc>
          <w:tcPr>
            <w:tcW w:w="1620" w:type="dxa"/>
            <w:tcBorders>
              <w:bottom w:val="single" w:sz="4" w:space="0" w:color="auto"/>
            </w:tcBorders>
            <w:shd w:val="clear" w:color="auto" w:fill="auto"/>
            <w:vAlign w:val="center"/>
          </w:tcPr>
          <w:p w14:paraId="577865D4" w14:textId="2523926D" w:rsidR="001E3B4A" w:rsidRPr="00D7404C" w:rsidRDefault="003C5F5A" w:rsidP="001E3B4A">
            <w:pPr>
              <w:keepNext/>
              <w:keepLines/>
              <w:spacing w:before="20" w:after="20"/>
              <w:rPr>
                <w:sz w:val="20"/>
                <w:szCs w:val="20"/>
              </w:rPr>
            </w:pPr>
            <w:r w:rsidRPr="003C5F5A">
              <w:rPr>
                <w:rFonts w:cstheme="minorHAnsi"/>
                <w:sz w:val="20"/>
                <w:szCs w:val="20"/>
              </w:rPr>
              <w:t>January 1, 2018</w:t>
            </w:r>
          </w:p>
        </w:tc>
      </w:tr>
      <w:tr w:rsidR="003C5F5A" w:rsidRPr="00D7404C" w14:paraId="6DA6DFEC" w14:textId="77777777" w:rsidTr="00570EFA">
        <w:trPr>
          <w:trHeight w:val="20"/>
        </w:trPr>
        <w:tc>
          <w:tcPr>
            <w:tcW w:w="9355" w:type="dxa"/>
            <w:gridSpan w:val="3"/>
            <w:tcBorders>
              <w:top w:val="single" w:sz="4" w:space="0" w:color="auto"/>
              <w:left w:val="nil"/>
              <w:bottom w:val="nil"/>
              <w:right w:val="nil"/>
            </w:tcBorders>
            <w:shd w:val="clear" w:color="auto" w:fill="auto"/>
            <w:vAlign w:val="center"/>
          </w:tcPr>
          <w:p w14:paraId="0142759E" w14:textId="3A574B70" w:rsidR="003C5F5A" w:rsidRPr="003C5F5A" w:rsidRDefault="003C5F5A">
            <w:pPr>
              <w:keepNext/>
              <w:keepLines/>
              <w:spacing w:before="20" w:after="20"/>
              <w:rPr>
                <w:rFonts w:cstheme="minorHAnsi"/>
                <w:sz w:val="20"/>
                <w:szCs w:val="20"/>
              </w:rPr>
            </w:pPr>
          </w:p>
        </w:tc>
      </w:tr>
    </w:tbl>
    <w:p w14:paraId="26343820" w14:textId="0C1B1746" w:rsidR="00BB0E25" w:rsidRDefault="00BB0E25" w:rsidP="00BB0E25">
      <w:pPr>
        <w:rPr>
          <w:b/>
          <w:bCs/>
        </w:rPr>
      </w:pPr>
      <w:bookmarkStart w:id="22" w:name="_Toc486490851"/>
      <w:bookmarkStart w:id="23" w:name="_Toc486580922"/>
    </w:p>
    <w:p w14:paraId="06589C8B" w14:textId="107A383F" w:rsidR="00FA1F37" w:rsidRDefault="00FA1F37" w:rsidP="00BB0E25">
      <w:pPr>
        <w:rPr>
          <w:b/>
          <w:bCs/>
        </w:rPr>
      </w:pPr>
    </w:p>
    <w:p w14:paraId="3BCC81C2" w14:textId="0C71E005" w:rsidR="00FA1F37" w:rsidRDefault="00FA1F37" w:rsidP="00BB0E25">
      <w:pPr>
        <w:rPr>
          <w:b/>
          <w:bCs/>
        </w:rPr>
      </w:pPr>
    </w:p>
    <w:p w14:paraId="07ABD432" w14:textId="65F8345D" w:rsidR="00FA1F37" w:rsidRDefault="00FA1F37" w:rsidP="00BB0E25">
      <w:pPr>
        <w:rPr>
          <w:b/>
          <w:bCs/>
        </w:rPr>
      </w:pPr>
    </w:p>
    <w:p w14:paraId="7DFDC872" w14:textId="0BFFB680" w:rsidR="00FA1F37" w:rsidRDefault="00FA1F37" w:rsidP="00BB0E25">
      <w:pPr>
        <w:rPr>
          <w:b/>
          <w:bCs/>
        </w:rPr>
      </w:pPr>
    </w:p>
    <w:p w14:paraId="6C09145B" w14:textId="335EC851" w:rsidR="00FA1F37" w:rsidRDefault="00FA1F37" w:rsidP="00BB0E25">
      <w:pPr>
        <w:rPr>
          <w:b/>
          <w:bCs/>
        </w:rPr>
      </w:pPr>
    </w:p>
    <w:p w14:paraId="56379C92" w14:textId="2E7E8261" w:rsidR="00FA1F37" w:rsidRDefault="00FA1F37" w:rsidP="00BB0E25">
      <w:pPr>
        <w:rPr>
          <w:b/>
          <w:bCs/>
        </w:rPr>
      </w:pPr>
    </w:p>
    <w:p w14:paraId="465C87F3" w14:textId="66D83E68" w:rsidR="00FA1F37" w:rsidRDefault="00FA1F37" w:rsidP="00BB0E25">
      <w:pPr>
        <w:rPr>
          <w:b/>
          <w:bCs/>
        </w:rPr>
      </w:pPr>
    </w:p>
    <w:p w14:paraId="10DF006A" w14:textId="561F93CF" w:rsidR="00FA1F37" w:rsidRDefault="00FA1F37" w:rsidP="00BB0E25">
      <w:pPr>
        <w:rPr>
          <w:b/>
          <w:bCs/>
        </w:rPr>
      </w:pPr>
    </w:p>
    <w:p w14:paraId="147659F9" w14:textId="1B665CE8" w:rsidR="00FA1F37" w:rsidRDefault="00FA1F37" w:rsidP="00BB0E25">
      <w:pPr>
        <w:rPr>
          <w:b/>
          <w:bCs/>
        </w:rPr>
      </w:pPr>
    </w:p>
    <w:p w14:paraId="4106F3A4" w14:textId="42BDBFBB" w:rsidR="00FA1F37" w:rsidRDefault="00FA1F37" w:rsidP="00BB0E25">
      <w:pPr>
        <w:rPr>
          <w:b/>
          <w:bCs/>
        </w:rPr>
      </w:pPr>
    </w:p>
    <w:p w14:paraId="04714B05" w14:textId="0957A961" w:rsidR="00FA1F37" w:rsidRDefault="00FA1F37" w:rsidP="00BB0E25">
      <w:pPr>
        <w:rPr>
          <w:b/>
          <w:bCs/>
        </w:rPr>
      </w:pPr>
    </w:p>
    <w:p w14:paraId="0309A850" w14:textId="248AAFC6" w:rsidR="00FA1F37" w:rsidRDefault="00FA1F37" w:rsidP="00BB0E25">
      <w:pPr>
        <w:rPr>
          <w:b/>
          <w:bCs/>
        </w:rPr>
      </w:pPr>
    </w:p>
    <w:p w14:paraId="778606EF" w14:textId="675F40CE" w:rsidR="00FA1F37" w:rsidRDefault="00FA1F37" w:rsidP="00BB0E25">
      <w:pPr>
        <w:rPr>
          <w:b/>
          <w:bCs/>
        </w:rPr>
      </w:pPr>
    </w:p>
    <w:p w14:paraId="4C461D4D" w14:textId="77777777" w:rsidR="00B35FC3" w:rsidRDefault="00B35FC3" w:rsidP="00BB0E25">
      <w:pPr>
        <w:rPr>
          <w:b/>
          <w:bCs/>
        </w:rPr>
      </w:pPr>
    </w:p>
    <w:p w14:paraId="005E76F3" w14:textId="4305EB92" w:rsidR="00FA1F37" w:rsidRDefault="00FA1F37" w:rsidP="00BB0E25">
      <w:pPr>
        <w:rPr>
          <w:b/>
          <w:bCs/>
        </w:rPr>
      </w:pPr>
    </w:p>
    <w:p w14:paraId="552B08B8" w14:textId="6EFA6A69" w:rsidR="00FA1F37" w:rsidRDefault="00FA1F37" w:rsidP="00BB0E25">
      <w:pPr>
        <w:rPr>
          <w:b/>
          <w:bCs/>
        </w:rPr>
      </w:pPr>
    </w:p>
    <w:p w14:paraId="17D129BF" w14:textId="4E3B3191" w:rsidR="00FA1F37" w:rsidRDefault="00FA1F37" w:rsidP="00BB0E25">
      <w:pPr>
        <w:rPr>
          <w:b/>
          <w:bCs/>
        </w:rPr>
      </w:pPr>
    </w:p>
    <w:p w14:paraId="4FE975D2" w14:textId="77777777" w:rsidR="00FA1F37" w:rsidRDefault="00FA1F37" w:rsidP="00BB0E25">
      <w:pPr>
        <w:rPr>
          <w:b/>
          <w:bCs/>
        </w:rPr>
      </w:pPr>
    </w:p>
    <w:p w14:paraId="2CF2F6A6" w14:textId="1694532A" w:rsidR="005F1487" w:rsidRPr="005F1487" w:rsidRDefault="005F1487" w:rsidP="005F1487">
      <w:pPr>
        <w:rPr>
          <w:b/>
          <w:bCs/>
        </w:rPr>
      </w:pPr>
      <w:r w:rsidRPr="005F1487">
        <w:rPr>
          <w:b/>
          <w:bCs/>
        </w:rPr>
        <w:t>Title 24 (2019)</w:t>
      </w:r>
      <w:r w:rsidR="007D0606">
        <w:rPr>
          <w:b/>
          <w:bCs/>
        </w:rPr>
        <w:t xml:space="preserve">, </w:t>
      </w:r>
      <w:r w:rsidRPr="005F1487">
        <w:rPr>
          <w:b/>
          <w:bCs/>
        </w:rPr>
        <w:t>Section 110.2(a) Table 110.2-A1</w:t>
      </w:r>
    </w:p>
    <w:p w14:paraId="7246B2D6" w14:textId="468AC757" w:rsidR="00C64BFA" w:rsidRDefault="005F1487" w:rsidP="00570EFA">
      <w:pPr>
        <w:jc w:val="center"/>
        <w:rPr>
          <w:b/>
          <w:bCs/>
        </w:rPr>
      </w:pPr>
      <w:r>
        <w:rPr>
          <w:noProof/>
        </w:rPr>
        <w:drawing>
          <wp:inline distT="0" distB="0" distL="0" distR="0" wp14:anchorId="12F4870D" wp14:editId="72D48C93">
            <wp:extent cx="5356860" cy="659993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78557" cy="6626671"/>
                    </a:xfrm>
                    <a:prstGeom prst="rect">
                      <a:avLst/>
                    </a:prstGeom>
                  </pic:spPr>
                </pic:pic>
              </a:graphicData>
            </a:graphic>
          </wp:inline>
        </w:drawing>
      </w:r>
    </w:p>
    <w:p w14:paraId="550E3D21" w14:textId="1E4C03BE" w:rsidR="00557C28" w:rsidRDefault="00557C28" w:rsidP="00570EFA">
      <w:pPr>
        <w:jc w:val="center"/>
        <w:rPr>
          <w:b/>
          <w:bCs/>
        </w:rPr>
      </w:pPr>
    </w:p>
    <w:p w14:paraId="653840F3" w14:textId="3A209B92" w:rsidR="00557C28" w:rsidRDefault="00557C28" w:rsidP="00570EFA">
      <w:pPr>
        <w:jc w:val="center"/>
        <w:rPr>
          <w:b/>
          <w:bCs/>
        </w:rPr>
      </w:pPr>
    </w:p>
    <w:p w14:paraId="0FFCFC18" w14:textId="775FE634" w:rsidR="00557C28" w:rsidRDefault="00557C28" w:rsidP="00570EFA">
      <w:pPr>
        <w:jc w:val="center"/>
        <w:rPr>
          <w:b/>
          <w:bCs/>
        </w:rPr>
      </w:pPr>
    </w:p>
    <w:p w14:paraId="350F4FA7" w14:textId="276F8FC3" w:rsidR="00557C28" w:rsidRDefault="00557C28" w:rsidP="00570EFA">
      <w:pPr>
        <w:jc w:val="center"/>
        <w:rPr>
          <w:b/>
          <w:bCs/>
        </w:rPr>
      </w:pPr>
    </w:p>
    <w:p w14:paraId="7DEAFA5C" w14:textId="77777777" w:rsidR="00557C28" w:rsidRPr="00570EFA" w:rsidRDefault="00557C28" w:rsidP="00570EFA">
      <w:pPr>
        <w:jc w:val="center"/>
        <w:rPr>
          <w:b/>
          <w:bCs/>
        </w:rPr>
      </w:pPr>
    </w:p>
    <w:p w14:paraId="5E3BEB01" w14:textId="2522BCF8" w:rsidR="00BB0E25" w:rsidRDefault="00FA1F37" w:rsidP="00FA1F37">
      <w:pPr>
        <w:rPr>
          <w:b/>
          <w:bCs/>
        </w:rPr>
      </w:pPr>
      <w:r w:rsidRPr="00570EFA">
        <w:rPr>
          <w:b/>
          <w:bCs/>
        </w:rPr>
        <w:t>Title 20 (2019)</w:t>
      </w:r>
      <w:r w:rsidR="007D0606" w:rsidRPr="00570EFA">
        <w:rPr>
          <w:b/>
          <w:bCs/>
        </w:rPr>
        <w:t xml:space="preserve">, </w:t>
      </w:r>
      <w:r w:rsidRPr="00570EFA">
        <w:rPr>
          <w:b/>
          <w:bCs/>
        </w:rPr>
        <w:t>Section 1605.1(c)(1) Table C-4</w:t>
      </w:r>
    </w:p>
    <w:p w14:paraId="40B83F39" w14:textId="53176F25" w:rsidR="003600E3" w:rsidRDefault="00557C28" w:rsidP="00E368D7">
      <w:pPr>
        <w:jc w:val="center"/>
        <w:rPr>
          <w:b/>
          <w:bCs/>
        </w:rPr>
      </w:pPr>
      <w:r>
        <w:rPr>
          <w:noProof/>
        </w:rPr>
        <w:drawing>
          <wp:inline distT="0" distB="0" distL="0" distR="0" wp14:anchorId="1FBE5781" wp14:editId="18438CF2">
            <wp:extent cx="5724144" cy="2996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24144" cy="2996002"/>
                    </a:xfrm>
                    <a:prstGeom prst="rect">
                      <a:avLst/>
                    </a:prstGeom>
                  </pic:spPr>
                </pic:pic>
              </a:graphicData>
            </a:graphic>
          </wp:inline>
        </w:drawing>
      </w:r>
    </w:p>
    <w:p w14:paraId="1E07A0C9" w14:textId="77777777" w:rsidR="00A966DF" w:rsidRDefault="00A966DF" w:rsidP="00FA1F37">
      <w:pPr>
        <w:rPr>
          <w:b/>
          <w:bCs/>
        </w:rPr>
      </w:pPr>
    </w:p>
    <w:p w14:paraId="5A85152B" w14:textId="6DB04302" w:rsidR="007D0606" w:rsidRDefault="003600E3" w:rsidP="00FA1F37">
      <w:pPr>
        <w:rPr>
          <w:b/>
          <w:bCs/>
        </w:rPr>
      </w:pPr>
      <w:r w:rsidRPr="003600E3">
        <w:rPr>
          <w:b/>
          <w:bCs/>
        </w:rPr>
        <w:t xml:space="preserve"> Code of Federal Regulations </w:t>
      </w:r>
      <w:r w:rsidR="006237C2">
        <w:rPr>
          <w:b/>
          <w:bCs/>
        </w:rPr>
        <w:t>-</w:t>
      </w:r>
      <w:r w:rsidRPr="003600E3">
        <w:rPr>
          <w:b/>
          <w:bCs/>
        </w:rPr>
        <w:t>10 CFR §431.97, Table 3</w:t>
      </w:r>
    </w:p>
    <w:p w14:paraId="29A6B2EF" w14:textId="450FB62F" w:rsidR="003600E3" w:rsidRDefault="00C95A2E" w:rsidP="00FA1F37">
      <w:pPr>
        <w:rPr>
          <w:b/>
          <w:bCs/>
        </w:rPr>
      </w:pPr>
      <w:r w:rsidRPr="00C95A2E">
        <w:rPr>
          <w:b/>
          <w:bCs/>
          <w:noProof/>
        </w:rPr>
        <w:drawing>
          <wp:inline distT="0" distB="0" distL="0" distR="0" wp14:anchorId="48486071" wp14:editId="3389C673">
            <wp:extent cx="5943600" cy="1343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343025"/>
                    </a:xfrm>
                    <a:prstGeom prst="rect">
                      <a:avLst/>
                    </a:prstGeom>
                    <a:noFill/>
                    <a:ln>
                      <a:noFill/>
                    </a:ln>
                  </pic:spPr>
                </pic:pic>
              </a:graphicData>
            </a:graphic>
          </wp:inline>
        </w:drawing>
      </w:r>
    </w:p>
    <w:p w14:paraId="4CB7173C" w14:textId="77777777" w:rsidR="007D0606" w:rsidRPr="00570EFA" w:rsidRDefault="007D0606" w:rsidP="00E74A4F">
      <w:pPr>
        <w:rPr>
          <w:b/>
          <w:bCs/>
        </w:rPr>
      </w:pPr>
    </w:p>
    <w:p w14:paraId="1EE16D20" w14:textId="3C59DB39" w:rsidR="007D230B" w:rsidRPr="00171BB8" w:rsidRDefault="007D230B" w:rsidP="00A251C9">
      <w:pPr>
        <w:pStyle w:val="eTRMHeading3"/>
      </w:pPr>
      <w:bookmarkStart w:id="24" w:name="_Toc57018368"/>
      <w:r w:rsidRPr="00A83458">
        <w:t>Normalizing</w:t>
      </w:r>
      <w:r w:rsidRPr="00171BB8">
        <w:t xml:space="preserve"> Unit</w:t>
      </w:r>
      <w:bookmarkEnd w:id="22"/>
      <w:bookmarkEnd w:id="23"/>
      <w:bookmarkEnd w:id="24"/>
    </w:p>
    <w:p w14:paraId="1C199C93" w14:textId="721B299D" w:rsidR="008E4E8F" w:rsidRDefault="00EB475B" w:rsidP="00B35FC3">
      <w:pPr>
        <w:jc w:val="both"/>
      </w:pPr>
      <w:r>
        <w:t>C</w:t>
      </w:r>
      <w:r w:rsidR="00F61882" w:rsidRPr="00F61882">
        <w:t>apacity (Tons)</w:t>
      </w:r>
    </w:p>
    <w:p w14:paraId="2F4904E6" w14:textId="77777777" w:rsidR="007D230B" w:rsidRPr="004B06E3" w:rsidRDefault="007D230B" w:rsidP="00B35FC3">
      <w:pPr>
        <w:pStyle w:val="eTRMHeading3"/>
        <w:jc w:val="both"/>
      </w:pPr>
      <w:bookmarkStart w:id="25" w:name="_Toc486490852"/>
      <w:bookmarkStart w:id="26" w:name="_Toc486580923"/>
      <w:bookmarkStart w:id="27" w:name="_Toc57018369"/>
      <w:r w:rsidRPr="004B06E3">
        <w:lastRenderedPageBreak/>
        <w:t>Program Requirements</w:t>
      </w:r>
      <w:bookmarkEnd w:id="25"/>
      <w:bookmarkEnd w:id="26"/>
      <w:bookmarkEnd w:id="27"/>
      <w:r w:rsidRPr="004B06E3">
        <w:t xml:space="preserve"> </w:t>
      </w:r>
    </w:p>
    <w:p w14:paraId="5FC2C964" w14:textId="77777777" w:rsidR="008866C9" w:rsidRPr="000229F1" w:rsidRDefault="008866C9" w:rsidP="00B35FC3">
      <w:pPr>
        <w:pStyle w:val="eTRMHeading5"/>
        <w:keepNext/>
        <w:keepLines/>
        <w:jc w:val="both"/>
      </w:pPr>
      <w:bookmarkStart w:id="28" w:name="_Hlk516047641"/>
      <w:r>
        <w:t xml:space="preserve">Measure </w:t>
      </w:r>
      <w:r w:rsidRPr="000229F1">
        <w:t>Implementation Eligibility</w:t>
      </w:r>
    </w:p>
    <w:p w14:paraId="4A56F9F3" w14:textId="3EAFB38E" w:rsidR="001C5B02" w:rsidRDefault="001C5B02" w:rsidP="00B35FC3">
      <w:pPr>
        <w:keepNext/>
        <w:keepLines/>
        <w:jc w:val="both"/>
      </w:pPr>
      <w:bookmarkStart w:id="29" w:name="_Hlk526859582"/>
      <w:r>
        <w:t>All</w:t>
      </w:r>
      <w:r w:rsidR="00C22FB6">
        <w:t xml:space="preserve"> combinations of </w:t>
      </w:r>
      <w:r w:rsidRPr="00E35B8D">
        <w:t xml:space="preserve">measure application type, delivery type, and sector </w:t>
      </w:r>
      <w:r w:rsidR="00846921">
        <w:t>that</w:t>
      </w:r>
      <w:r w:rsidR="00A611EC">
        <w:t xml:space="preserve"> are</w:t>
      </w:r>
      <w:r w:rsidRPr="00E35B8D">
        <w:t xml:space="preserve"> 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r w:rsidR="00285E57">
        <w:t>.</w:t>
      </w:r>
    </w:p>
    <w:p w14:paraId="02C02376" w14:textId="77777777" w:rsidR="00226A69" w:rsidRDefault="00226A69" w:rsidP="00B35FC3">
      <w:pPr>
        <w:jc w:val="both"/>
        <w:rPr>
          <w:i/>
        </w:rPr>
      </w:pPr>
      <w:r>
        <w:rPr>
          <w:i/>
        </w:rPr>
        <w:t>Note that some of the implementation combinations below may not be allowed for some measure offerings by all program administrators.</w:t>
      </w:r>
    </w:p>
    <w:p w14:paraId="5F25E0D5" w14:textId="77777777" w:rsidR="0083629A" w:rsidRPr="00E35B8D" w:rsidRDefault="0083629A" w:rsidP="00B35FC3">
      <w:pPr>
        <w:keepNext/>
        <w:keepLines/>
        <w:jc w:val="both"/>
      </w:pPr>
    </w:p>
    <w:p w14:paraId="08DE0CE6" w14:textId="5E36D3B9" w:rsidR="00BC3542" w:rsidRDefault="00BC3542" w:rsidP="00B35FC3">
      <w:pPr>
        <w:pStyle w:val="FigureCaption"/>
      </w:pPr>
      <w:bookmarkStart w:id="30" w:name="_Ref529189277"/>
      <w:bookmarkEnd w:id="29"/>
      <w:r w:rsidRPr="00046C65">
        <w:t>Implementation Eligibility</w:t>
      </w:r>
      <w:bookmarkEnd w:id="30"/>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8866C9" w:rsidRPr="00A47168" w14:paraId="0CBD557C" w14:textId="77777777" w:rsidTr="005F5BE1">
        <w:trPr>
          <w:trHeight w:val="290"/>
        </w:trPr>
        <w:tc>
          <w:tcPr>
            <w:tcW w:w="3024" w:type="dxa"/>
            <w:shd w:val="clear" w:color="auto" w:fill="F2F2F2" w:themeFill="background1" w:themeFillShade="F2"/>
            <w:noWrap/>
            <w:tcMar>
              <w:top w:w="0" w:type="dxa"/>
              <w:left w:w="108" w:type="dxa"/>
              <w:bottom w:w="0" w:type="dxa"/>
              <w:right w:w="108" w:type="dxa"/>
            </w:tcMar>
            <w:vAlign w:val="center"/>
            <w:hideMark/>
          </w:tcPr>
          <w:p w14:paraId="1165F468" w14:textId="77777777" w:rsidR="008866C9" w:rsidRPr="00A47168" w:rsidRDefault="008866C9" w:rsidP="00943DDC">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center"/>
            <w:hideMark/>
          </w:tcPr>
          <w:p w14:paraId="0F5DF700" w14:textId="77777777" w:rsidR="008866C9" w:rsidRPr="00A47168" w:rsidRDefault="008866C9" w:rsidP="00943DDC">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center"/>
            <w:hideMark/>
          </w:tcPr>
          <w:p w14:paraId="22D97DD7" w14:textId="77777777" w:rsidR="008866C9" w:rsidRPr="00A47168" w:rsidRDefault="008866C9" w:rsidP="00943DDC">
            <w:pPr>
              <w:keepNext/>
              <w:spacing w:before="0" w:after="0"/>
              <w:rPr>
                <w:b/>
                <w:bCs/>
                <w:sz w:val="20"/>
              </w:rPr>
            </w:pPr>
            <w:r w:rsidRPr="00A47168">
              <w:rPr>
                <w:b/>
                <w:bCs/>
                <w:sz w:val="20"/>
              </w:rPr>
              <w:t>Sector</w:t>
            </w:r>
          </w:p>
        </w:tc>
      </w:tr>
      <w:tr w:rsidR="00502B4A" w:rsidRPr="00A47168" w14:paraId="314753D7" w14:textId="77777777" w:rsidTr="00DD0046">
        <w:trPr>
          <w:trHeight w:val="251"/>
        </w:trPr>
        <w:tc>
          <w:tcPr>
            <w:tcW w:w="3024" w:type="dxa"/>
            <w:noWrap/>
            <w:tcMar>
              <w:top w:w="0" w:type="dxa"/>
              <w:left w:w="108" w:type="dxa"/>
              <w:bottom w:w="0" w:type="dxa"/>
              <w:right w:w="108" w:type="dxa"/>
            </w:tcMar>
            <w:vAlign w:val="center"/>
          </w:tcPr>
          <w:p w14:paraId="137C3148" w14:textId="28BC4546" w:rsidR="00502B4A" w:rsidRDefault="00502B4A">
            <w:pPr>
              <w:keepNext/>
              <w:spacing w:before="0" w:after="0"/>
              <w:rPr>
                <w:color w:val="000000"/>
                <w:szCs w:val="22"/>
              </w:rPr>
            </w:pPr>
            <w:r>
              <w:rPr>
                <w:color w:val="000000"/>
                <w:szCs w:val="22"/>
              </w:rPr>
              <w:t>Add-on Equipment (AOE)</w:t>
            </w:r>
          </w:p>
        </w:tc>
        <w:tc>
          <w:tcPr>
            <w:tcW w:w="3024" w:type="dxa"/>
            <w:noWrap/>
            <w:tcMar>
              <w:top w:w="0" w:type="dxa"/>
              <w:left w:w="108" w:type="dxa"/>
              <w:bottom w:w="0" w:type="dxa"/>
              <w:right w:w="108" w:type="dxa"/>
            </w:tcMar>
            <w:vAlign w:val="center"/>
          </w:tcPr>
          <w:p w14:paraId="1E7B4EE8" w14:textId="06F7F25D" w:rsidR="00502B4A" w:rsidRDefault="00502B4A">
            <w:pPr>
              <w:keepNext/>
              <w:spacing w:before="0" w:after="0"/>
              <w:rPr>
                <w:color w:val="000000"/>
                <w:szCs w:val="22"/>
              </w:rPr>
            </w:pPr>
            <w:proofErr w:type="spellStart"/>
            <w:r w:rsidRPr="00653A52">
              <w:t>DnDeemDI</w:t>
            </w:r>
            <w:proofErr w:type="spellEnd"/>
          </w:p>
        </w:tc>
        <w:tc>
          <w:tcPr>
            <w:tcW w:w="3024" w:type="dxa"/>
            <w:noWrap/>
            <w:tcMar>
              <w:top w:w="0" w:type="dxa"/>
              <w:left w:w="108" w:type="dxa"/>
              <w:bottom w:w="0" w:type="dxa"/>
              <w:right w:w="108" w:type="dxa"/>
            </w:tcMar>
            <w:vAlign w:val="center"/>
          </w:tcPr>
          <w:p w14:paraId="7B8ED326" w14:textId="2435C2F3" w:rsidR="00502B4A" w:rsidRDefault="00502B4A">
            <w:pPr>
              <w:keepNext/>
              <w:spacing w:before="0" w:after="0"/>
              <w:rPr>
                <w:color w:val="000000"/>
                <w:szCs w:val="22"/>
              </w:rPr>
            </w:pPr>
            <w:r w:rsidRPr="008C4ED1">
              <w:rPr>
                <w:color w:val="000000"/>
                <w:szCs w:val="22"/>
              </w:rPr>
              <w:t>Com</w:t>
            </w:r>
            <w:r>
              <w:rPr>
                <w:color w:val="000000"/>
                <w:szCs w:val="22"/>
              </w:rPr>
              <w:t>mercial</w:t>
            </w:r>
          </w:p>
        </w:tc>
      </w:tr>
      <w:tr w:rsidR="00502B4A" w:rsidRPr="00A47168" w14:paraId="16033BE0" w14:textId="77777777" w:rsidTr="00DD0046">
        <w:trPr>
          <w:trHeight w:val="290"/>
        </w:trPr>
        <w:tc>
          <w:tcPr>
            <w:tcW w:w="3024" w:type="dxa"/>
            <w:noWrap/>
            <w:tcMar>
              <w:top w:w="0" w:type="dxa"/>
              <w:left w:w="108" w:type="dxa"/>
              <w:bottom w:w="0" w:type="dxa"/>
              <w:right w:w="108" w:type="dxa"/>
            </w:tcMar>
          </w:tcPr>
          <w:p w14:paraId="0FE3F08B" w14:textId="7C4CCBD2" w:rsidR="00502B4A" w:rsidRDefault="00502B4A" w:rsidP="005202F9">
            <w:pPr>
              <w:keepNext/>
              <w:spacing w:before="0" w:after="0"/>
              <w:rPr>
                <w:color w:val="000000"/>
                <w:szCs w:val="22"/>
              </w:rPr>
            </w:pPr>
            <w:r w:rsidRPr="00502B4A">
              <w:rPr>
                <w:color w:val="000000"/>
                <w:szCs w:val="22"/>
              </w:rPr>
              <w:t>Add-on Equipment (AOE)</w:t>
            </w:r>
          </w:p>
        </w:tc>
        <w:tc>
          <w:tcPr>
            <w:tcW w:w="3024" w:type="dxa"/>
            <w:noWrap/>
            <w:tcMar>
              <w:top w:w="0" w:type="dxa"/>
              <w:left w:w="108" w:type="dxa"/>
              <w:bottom w:w="0" w:type="dxa"/>
              <w:right w:w="108" w:type="dxa"/>
            </w:tcMar>
            <w:vAlign w:val="center"/>
          </w:tcPr>
          <w:p w14:paraId="368FCCE1" w14:textId="1BEA98E7" w:rsidR="00502B4A" w:rsidRPr="00653A52" w:rsidRDefault="00502B4A" w:rsidP="005202F9">
            <w:pPr>
              <w:keepNext/>
              <w:spacing w:before="0" w:after="0"/>
            </w:pPr>
            <w:proofErr w:type="spellStart"/>
            <w:r w:rsidRPr="00653A52">
              <w:t>DnDeemed</w:t>
            </w:r>
            <w:proofErr w:type="spellEnd"/>
          </w:p>
        </w:tc>
        <w:tc>
          <w:tcPr>
            <w:tcW w:w="3024" w:type="dxa"/>
            <w:noWrap/>
            <w:tcMar>
              <w:top w:w="0" w:type="dxa"/>
              <w:left w:w="108" w:type="dxa"/>
              <w:bottom w:w="0" w:type="dxa"/>
              <w:right w:w="108" w:type="dxa"/>
            </w:tcMar>
            <w:vAlign w:val="center"/>
          </w:tcPr>
          <w:p w14:paraId="45B3990C" w14:textId="0868A138" w:rsidR="00502B4A" w:rsidRPr="008C4ED1" w:rsidRDefault="00502B4A">
            <w:pPr>
              <w:keepNext/>
              <w:spacing w:before="0" w:after="0"/>
              <w:rPr>
                <w:color w:val="000000"/>
                <w:szCs w:val="22"/>
              </w:rPr>
            </w:pPr>
            <w:r w:rsidRPr="008C4ED1">
              <w:rPr>
                <w:color w:val="000000"/>
                <w:szCs w:val="22"/>
              </w:rPr>
              <w:t>Com</w:t>
            </w:r>
            <w:r>
              <w:rPr>
                <w:color w:val="000000"/>
                <w:szCs w:val="22"/>
              </w:rPr>
              <w:t>mercial</w:t>
            </w:r>
          </w:p>
        </w:tc>
      </w:tr>
      <w:tr w:rsidR="002E1F20" w:rsidRPr="00A47168" w14:paraId="717EA3EF" w14:textId="77777777" w:rsidTr="00DD0046">
        <w:trPr>
          <w:trHeight w:val="290"/>
        </w:trPr>
        <w:tc>
          <w:tcPr>
            <w:tcW w:w="3024" w:type="dxa"/>
            <w:noWrap/>
            <w:tcMar>
              <w:top w:w="0" w:type="dxa"/>
              <w:left w:w="108" w:type="dxa"/>
              <w:bottom w:w="0" w:type="dxa"/>
              <w:right w:w="108" w:type="dxa"/>
            </w:tcMar>
          </w:tcPr>
          <w:p w14:paraId="21FFED93" w14:textId="3ECC6519" w:rsidR="002E1F20" w:rsidRPr="00502B4A" w:rsidRDefault="002E1F20" w:rsidP="002E1F20">
            <w:pPr>
              <w:keepNext/>
              <w:spacing w:before="0" w:after="0"/>
              <w:rPr>
                <w:color w:val="000000"/>
                <w:szCs w:val="22"/>
              </w:rPr>
            </w:pPr>
            <w:r w:rsidRPr="00502B4A">
              <w:rPr>
                <w:color w:val="000000"/>
                <w:szCs w:val="22"/>
              </w:rPr>
              <w:t>Add-on Equipment (AOE)</w:t>
            </w:r>
          </w:p>
        </w:tc>
        <w:tc>
          <w:tcPr>
            <w:tcW w:w="3024" w:type="dxa"/>
            <w:noWrap/>
            <w:tcMar>
              <w:top w:w="0" w:type="dxa"/>
              <w:left w:w="108" w:type="dxa"/>
              <w:bottom w:w="0" w:type="dxa"/>
              <w:right w:w="108" w:type="dxa"/>
            </w:tcMar>
            <w:vAlign w:val="center"/>
          </w:tcPr>
          <w:p w14:paraId="7249D513" w14:textId="3AAD3143" w:rsidR="002E1F20" w:rsidRPr="00653A52" w:rsidRDefault="002E1F20" w:rsidP="002E1F20">
            <w:pPr>
              <w:keepNext/>
              <w:spacing w:before="0" w:after="0"/>
            </w:pPr>
            <w:proofErr w:type="spellStart"/>
            <w:r w:rsidRPr="002E1F20">
              <w:t>UpDeemed</w:t>
            </w:r>
            <w:proofErr w:type="spellEnd"/>
          </w:p>
        </w:tc>
        <w:tc>
          <w:tcPr>
            <w:tcW w:w="3024" w:type="dxa"/>
            <w:noWrap/>
            <w:tcMar>
              <w:top w:w="0" w:type="dxa"/>
              <w:left w:w="108" w:type="dxa"/>
              <w:bottom w:w="0" w:type="dxa"/>
              <w:right w:w="108" w:type="dxa"/>
            </w:tcMar>
            <w:vAlign w:val="center"/>
          </w:tcPr>
          <w:p w14:paraId="15802E58" w14:textId="7494CE45" w:rsidR="002E1F20" w:rsidRPr="008C4ED1" w:rsidRDefault="002E1F20" w:rsidP="002E1F20">
            <w:pPr>
              <w:keepNext/>
              <w:spacing w:before="0" w:after="0"/>
              <w:rPr>
                <w:color w:val="000000"/>
                <w:szCs w:val="22"/>
              </w:rPr>
            </w:pPr>
            <w:r w:rsidRPr="008C4ED1">
              <w:rPr>
                <w:color w:val="000000"/>
                <w:szCs w:val="22"/>
              </w:rPr>
              <w:t>Com</w:t>
            </w:r>
            <w:r>
              <w:rPr>
                <w:color w:val="000000"/>
                <w:szCs w:val="22"/>
              </w:rPr>
              <w:t>mercial</w:t>
            </w:r>
          </w:p>
        </w:tc>
      </w:tr>
      <w:tr w:rsidR="002E1F20" w:rsidRPr="00A47168" w14:paraId="3CCD4F19" w14:textId="77777777" w:rsidTr="00DD0046">
        <w:trPr>
          <w:trHeight w:val="290"/>
        </w:trPr>
        <w:tc>
          <w:tcPr>
            <w:tcW w:w="3024" w:type="dxa"/>
            <w:noWrap/>
            <w:tcMar>
              <w:top w:w="0" w:type="dxa"/>
              <w:left w:w="108" w:type="dxa"/>
              <w:bottom w:w="0" w:type="dxa"/>
              <w:right w:w="108" w:type="dxa"/>
            </w:tcMar>
          </w:tcPr>
          <w:p w14:paraId="4A56864A" w14:textId="42B3F3D9" w:rsidR="002E1F20" w:rsidRDefault="002E1F20" w:rsidP="002E1F20">
            <w:pPr>
              <w:keepNext/>
              <w:spacing w:before="0" w:after="0"/>
              <w:rPr>
                <w:color w:val="000000"/>
                <w:szCs w:val="22"/>
              </w:rPr>
            </w:pPr>
            <w:r w:rsidRPr="00502B4A">
              <w:rPr>
                <w:color w:val="000000"/>
                <w:szCs w:val="22"/>
              </w:rPr>
              <w:t>Add-on Equipment (AOE)</w:t>
            </w:r>
          </w:p>
        </w:tc>
        <w:tc>
          <w:tcPr>
            <w:tcW w:w="3024" w:type="dxa"/>
            <w:noWrap/>
            <w:tcMar>
              <w:top w:w="0" w:type="dxa"/>
              <w:left w:w="108" w:type="dxa"/>
              <w:bottom w:w="0" w:type="dxa"/>
              <w:right w:w="108" w:type="dxa"/>
            </w:tcMar>
            <w:vAlign w:val="center"/>
          </w:tcPr>
          <w:p w14:paraId="746A9D5F" w14:textId="0B172898" w:rsidR="002E1F20" w:rsidRPr="00653A52" w:rsidRDefault="002E1F20" w:rsidP="002E1F20">
            <w:pPr>
              <w:keepNext/>
              <w:spacing w:before="0" w:after="0"/>
            </w:pPr>
            <w:proofErr w:type="spellStart"/>
            <w:r w:rsidRPr="00653A52">
              <w:t>DnDeemDI</w:t>
            </w:r>
            <w:proofErr w:type="spellEnd"/>
          </w:p>
        </w:tc>
        <w:tc>
          <w:tcPr>
            <w:tcW w:w="3024" w:type="dxa"/>
            <w:noWrap/>
            <w:tcMar>
              <w:top w:w="0" w:type="dxa"/>
              <w:left w:w="108" w:type="dxa"/>
              <w:bottom w:w="0" w:type="dxa"/>
              <w:right w:w="108" w:type="dxa"/>
            </w:tcMar>
            <w:vAlign w:val="center"/>
          </w:tcPr>
          <w:p w14:paraId="39243335" w14:textId="5D06E6E4" w:rsidR="002E1F20" w:rsidRPr="008C4ED1" w:rsidRDefault="002E1F20" w:rsidP="002E1F20">
            <w:pPr>
              <w:keepNext/>
              <w:spacing w:before="0" w:after="0"/>
              <w:rPr>
                <w:color w:val="000000"/>
                <w:szCs w:val="22"/>
              </w:rPr>
            </w:pPr>
            <w:r w:rsidRPr="002608E3">
              <w:rPr>
                <w:color w:val="000000"/>
                <w:szCs w:val="22"/>
              </w:rPr>
              <w:t>Industrial</w:t>
            </w:r>
          </w:p>
        </w:tc>
      </w:tr>
      <w:tr w:rsidR="002E1F20" w:rsidRPr="00A47168" w14:paraId="4B8DC3DF" w14:textId="77777777" w:rsidTr="00DD0046">
        <w:trPr>
          <w:trHeight w:val="290"/>
        </w:trPr>
        <w:tc>
          <w:tcPr>
            <w:tcW w:w="3024" w:type="dxa"/>
            <w:noWrap/>
            <w:tcMar>
              <w:top w:w="0" w:type="dxa"/>
              <w:left w:w="108" w:type="dxa"/>
              <w:bottom w:w="0" w:type="dxa"/>
              <w:right w:w="108" w:type="dxa"/>
            </w:tcMar>
          </w:tcPr>
          <w:p w14:paraId="3AEFE7FE" w14:textId="394D41BF" w:rsidR="002E1F20" w:rsidRDefault="002E1F20" w:rsidP="002E1F20">
            <w:pPr>
              <w:keepNext/>
              <w:spacing w:before="0" w:after="0"/>
              <w:rPr>
                <w:color w:val="000000"/>
                <w:szCs w:val="22"/>
              </w:rPr>
            </w:pPr>
            <w:r w:rsidRPr="00502B4A">
              <w:rPr>
                <w:color w:val="000000"/>
                <w:szCs w:val="22"/>
              </w:rPr>
              <w:t>Add-on Equipment (AOE)</w:t>
            </w:r>
          </w:p>
        </w:tc>
        <w:tc>
          <w:tcPr>
            <w:tcW w:w="3024" w:type="dxa"/>
            <w:noWrap/>
            <w:tcMar>
              <w:top w:w="0" w:type="dxa"/>
              <w:left w:w="108" w:type="dxa"/>
              <w:bottom w:w="0" w:type="dxa"/>
              <w:right w:w="108" w:type="dxa"/>
            </w:tcMar>
            <w:vAlign w:val="center"/>
          </w:tcPr>
          <w:p w14:paraId="20A3C741" w14:textId="127CF908" w:rsidR="002E1F20" w:rsidRPr="00653A52" w:rsidRDefault="002E1F20" w:rsidP="002E1F20">
            <w:pPr>
              <w:keepNext/>
              <w:spacing w:before="0" w:after="0"/>
            </w:pPr>
            <w:proofErr w:type="spellStart"/>
            <w:r w:rsidRPr="00653A52">
              <w:t>DnDeemed</w:t>
            </w:r>
            <w:proofErr w:type="spellEnd"/>
          </w:p>
        </w:tc>
        <w:tc>
          <w:tcPr>
            <w:tcW w:w="3024" w:type="dxa"/>
            <w:noWrap/>
            <w:tcMar>
              <w:top w:w="0" w:type="dxa"/>
              <w:left w:w="108" w:type="dxa"/>
              <w:bottom w:w="0" w:type="dxa"/>
              <w:right w:w="108" w:type="dxa"/>
            </w:tcMar>
            <w:vAlign w:val="center"/>
          </w:tcPr>
          <w:p w14:paraId="461FC322" w14:textId="06A37F31" w:rsidR="002E1F20" w:rsidRPr="008C4ED1" w:rsidRDefault="002E1F20" w:rsidP="002E1F20">
            <w:pPr>
              <w:keepNext/>
              <w:spacing w:before="0" w:after="0"/>
              <w:rPr>
                <w:color w:val="000000"/>
                <w:szCs w:val="22"/>
              </w:rPr>
            </w:pPr>
            <w:r w:rsidRPr="002608E3">
              <w:rPr>
                <w:color w:val="000000"/>
                <w:szCs w:val="22"/>
              </w:rPr>
              <w:t>Industrial</w:t>
            </w:r>
          </w:p>
        </w:tc>
      </w:tr>
      <w:tr w:rsidR="002E1F20" w:rsidRPr="00A47168" w14:paraId="59A4A936" w14:textId="77777777" w:rsidTr="00DD0046">
        <w:trPr>
          <w:trHeight w:val="290"/>
        </w:trPr>
        <w:tc>
          <w:tcPr>
            <w:tcW w:w="3024" w:type="dxa"/>
            <w:noWrap/>
            <w:tcMar>
              <w:top w:w="0" w:type="dxa"/>
              <w:left w:w="108" w:type="dxa"/>
              <w:bottom w:w="0" w:type="dxa"/>
              <w:right w:w="108" w:type="dxa"/>
            </w:tcMar>
          </w:tcPr>
          <w:p w14:paraId="4C2F0E5C" w14:textId="16B27772" w:rsidR="002E1F20" w:rsidRPr="00502B4A" w:rsidRDefault="002E1F20" w:rsidP="002E1F20">
            <w:pPr>
              <w:keepNext/>
              <w:spacing w:before="0" w:after="0"/>
              <w:rPr>
                <w:color w:val="000000"/>
                <w:szCs w:val="22"/>
              </w:rPr>
            </w:pPr>
            <w:r w:rsidRPr="00502B4A">
              <w:rPr>
                <w:color w:val="000000"/>
                <w:szCs w:val="22"/>
              </w:rPr>
              <w:t>Add-on Equipment (AOE)</w:t>
            </w:r>
          </w:p>
        </w:tc>
        <w:tc>
          <w:tcPr>
            <w:tcW w:w="3024" w:type="dxa"/>
            <w:noWrap/>
            <w:tcMar>
              <w:top w:w="0" w:type="dxa"/>
              <w:left w:w="108" w:type="dxa"/>
              <w:bottom w:w="0" w:type="dxa"/>
              <w:right w:w="108" w:type="dxa"/>
            </w:tcMar>
            <w:vAlign w:val="center"/>
          </w:tcPr>
          <w:p w14:paraId="4446B298" w14:textId="579D1A5E" w:rsidR="002E1F20" w:rsidRPr="00653A52" w:rsidRDefault="002E1F20" w:rsidP="002E1F20">
            <w:pPr>
              <w:keepNext/>
              <w:spacing w:before="0" w:after="0"/>
            </w:pPr>
            <w:proofErr w:type="spellStart"/>
            <w:r w:rsidRPr="002E1F20">
              <w:t>UpDeemed</w:t>
            </w:r>
            <w:proofErr w:type="spellEnd"/>
          </w:p>
        </w:tc>
        <w:tc>
          <w:tcPr>
            <w:tcW w:w="3024" w:type="dxa"/>
            <w:noWrap/>
            <w:tcMar>
              <w:top w:w="0" w:type="dxa"/>
              <w:left w:w="108" w:type="dxa"/>
              <w:bottom w:w="0" w:type="dxa"/>
              <w:right w:w="108" w:type="dxa"/>
            </w:tcMar>
            <w:vAlign w:val="center"/>
          </w:tcPr>
          <w:p w14:paraId="673E3C85" w14:textId="007B001C" w:rsidR="002E1F20" w:rsidRPr="002608E3" w:rsidRDefault="002E1F20" w:rsidP="002E1F20">
            <w:pPr>
              <w:keepNext/>
              <w:spacing w:before="0" w:after="0"/>
              <w:rPr>
                <w:color w:val="000000"/>
                <w:szCs w:val="22"/>
              </w:rPr>
            </w:pPr>
            <w:r w:rsidRPr="002608E3">
              <w:rPr>
                <w:color w:val="000000"/>
                <w:szCs w:val="22"/>
              </w:rPr>
              <w:t>Industrial</w:t>
            </w:r>
          </w:p>
        </w:tc>
      </w:tr>
      <w:tr w:rsidR="002E1F20" w:rsidRPr="00A47168" w14:paraId="1CEBCE2E" w14:textId="77777777" w:rsidTr="00DD0046">
        <w:trPr>
          <w:trHeight w:val="290"/>
        </w:trPr>
        <w:tc>
          <w:tcPr>
            <w:tcW w:w="3024" w:type="dxa"/>
            <w:noWrap/>
            <w:tcMar>
              <w:top w:w="0" w:type="dxa"/>
              <w:left w:w="108" w:type="dxa"/>
              <w:bottom w:w="0" w:type="dxa"/>
              <w:right w:w="108" w:type="dxa"/>
            </w:tcMar>
          </w:tcPr>
          <w:p w14:paraId="2D897E32" w14:textId="5CE6DE39" w:rsidR="002E1F20" w:rsidRPr="00502B4A" w:rsidRDefault="002E1F20" w:rsidP="002E1F20">
            <w:pPr>
              <w:keepNext/>
              <w:spacing w:before="0" w:after="0"/>
              <w:rPr>
                <w:color w:val="000000"/>
                <w:szCs w:val="22"/>
              </w:rPr>
            </w:pPr>
            <w:r w:rsidRPr="00502B4A">
              <w:rPr>
                <w:color w:val="000000"/>
                <w:szCs w:val="22"/>
              </w:rPr>
              <w:t>Add-on Equipment (AOE)</w:t>
            </w:r>
          </w:p>
        </w:tc>
        <w:tc>
          <w:tcPr>
            <w:tcW w:w="3024" w:type="dxa"/>
            <w:noWrap/>
            <w:tcMar>
              <w:top w:w="0" w:type="dxa"/>
              <w:left w:w="108" w:type="dxa"/>
              <w:bottom w:w="0" w:type="dxa"/>
              <w:right w:w="108" w:type="dxa"/>
            </w:tcMar>
            <w:vAlign w:val="center"/>
          </w:tcPr>
          <w:p w14:paraId="0EBB2114" w14:textId="1FE808E6" w:rsidR="002E1F20" w:rsidRPr="00653A52" w:rsidRDefault="002E1F20" w:rsidP="002E1F20">
            <w:pPr>
              <w:keepNext/>
              <w:spacing w:before="0" w:after="0"/>
            </w:pPr>
            <w:proofErr w:type="spellStart"/>
            <w:r w:rsidRPr="00653A52">
              <w:t>DnDeemDI</w:t>
            </w:r>
            <w:proofErr w:type="spellEnd"/>
          </w:p>
        </w:tc>
        <w:tc>
          <w:tcPr>
            <w:tcW w:w="3024" w:type="dxa"/>
            <w:noWrap/>
            <w:tcMar>
              <w:top w:w="0" w:type="dxa"/>
              <w:left w:w="108" w:type="dxa"/>
              <w:bottom w:w="0" w:type="dxa"/>
              <w:right w:w="108" w:type="dxa"/>
            </w:tcMar>
            <w:vAlign w:val="center"/>
          </w:tcPr>
          <w:p w14:paraId="3BF0B8BC" w14:textId="6D9C0699" w:rsidR="002E1F20" w:rsidRPr="002608E3" w:rsidRDefault="002E1F20" w:rsidP="002E1F20">
            <w:pPr>
              <w:keepNext/>
              <w:spacing w:before="0" w:after="0"/>
              <w:rPr>
                <w:color w:val="000000"/>
                <w:szCs w:val="22"/>
              </w:rPr>
            </w:pPr>
            <w:r>
              <w:rPr>
                <w:color w:val="000000"/>
                <w:szCs w:val="22"/>
              </w:rPr>
              <w:t>Agricultural</w:t>
            </w:r>
          </w:p>
        </w:tc>
      </w:tr>
      <w:tr w:rsidR="002E1F20" w:rsidRPr="00A47168" w14:paraId="6BD0DB47" w14:textId="77777777" w:rsidTr="00DD0046">
        <w:trPr>
          <w:trHeight w:val="290"/>
        </w:trPr>
        <w:tc>
          <w:tcPr>
            <w:tcW w:w="3024" w:type="dxa"/>
            <w:noWrap/>
            <w:tcMar>
              <w:top w:w="0" w:type="dxa"/>
              <w:left w:w="108" w:type="dxa"/>
              <w:bottom w:w="0" w:type="dxa"/>
              <w:right w:w="108" w:type="dxa"/>
            </w:tcMar>
          </w:tcPr>
          <w:p w14:paraId="65ACA7A0" w14:textId="53351733" w:rsidR="002E1F20" w:rsidRPr="00502B4A" w:rsidRDefault="002E1F20" w:rsidP="002E1F20">
            <w:pPr>
              <w:keepNext/>
              <w:spacing w:before="0" w:after="0"/>
              <w:rPr>
                <w:color w:val="000000"/>
                <w:szCs w:val="22"/>
              </w:rPr>
            </w:pPr>
            <w:r w:rsidRPr="00502B4A">
              <w:rPr>
                <w:color w:val="000000"/>
                <w:szCs w:val="22"/>
              </w:rPr>
              <w:t>Add-on Equipment (AOE)</w:t>
            </w:r>
          </w:p>
        </w:tc>
        <w:tc>
          <w:tcPr>
            <w:tcW w:w="3024" w:type="dxa"/>
            <w:noWrap/>
            <w:tcMar>
              <w:top w:w="0" w:type="dxa"/>
              <w:left w:w="108" w:type="dxa"/>
              <w:bottom w:w="0" w:type="dxa"/>
              <w:right w:w="108" w:type="dxa"/>
            </w:tcMar>
            <w:vAlign w:val="center"/>
          </w:tcPr>
          <w:p w14:paraId="2BA784CF" w14:textId="36C7EBE0" w:rsidR="002E1F20" w:rsidRPr="00653A52" w:rsidRDefault="002E1F20" w:rsidP="002E1F20">
            <w:pPr>
              <w:keepNext/>
              <w:spacing w:before="0" w:after="0"/>
            </w:pPr>
            <w:proofErr w:type="spellStart"/>
            <w:r w:rsidRPr="00653A52">
              <w:t>DnDeemed</w:t>
            </w:r>
            <w:proofErr w:type="spellEnd"/>
          </w:p>
        </w:tc>
        <w:tc>
          <w:tcPr>
            <w:tcW w:w="3024" w:type="dxa"/>
            <w:noWrap/>
            <w:tcMar>
              <w:top w:w="0" w:type="dxa"/>
              <w:left w:w="108" w:type="dxa"/>
              <w:bottom w:w="0" w:type="dxa"/>
              <w:right w:w="108" w:type="dxa"/>
            </w:tcMar>
            <w:vAlign w:val="center"/>
          </w:tcPr>
          <w:p w14:paraId="549ED150" w14:textId="550CAE37" w:rsidR="002E1F20" w:rsidRPr="002608E3" w:rsidRDefault="002E1F20" w:rsidP="002E1F20">
            <w:pPr>
              <w:keepNext/>
              <w:spacing w:before="0" w:after="0"/>
              <w:rPr>
                <w:color w:val="000000"/>
                <w:szCs w:val="22"/>
              </w:rPr>
            </w:pPr>
            <w:r>
              <w:rPr>
                <w:color w:val="000000"/>
                <w:szCs w:val="22"/>
              </w:rPr>
              <w:t>Agricultural</w:t>
            </w:r>
          </w:p>
        </w:tc>
      </w:tr>
      <w:tr w:rsidR="002E1F20" w:rsidRPr="00A47168" w14:paraId="5E5D7C14" w14:textId="77777777" w:rsidTr="00DD0046">
        <w:trPr>
          <w:trHeight w:val="290"/>
        </w:trPr>
        <w:tc>
          <w:tcPr>
            <w:tcW w:w="3024" w:type="dxa"/>
            <w:noWrap/>
            <w:tcMar>
              <w:top w:w="0" w:type="dxa"/>
              <w:left w:w="108" w:type="dxa"/>
              <w:bottom w:w="0" w:type="dxa"/>
              <w:right w:w="108" w:type="dxa"/>
            </w:tcMar>
          </w:tcPr>
          <w:p w14:paraId="26D9C20B" w14:textId="58A9E9EE" w:rsidR="002E1F20" w:rsidRPr="00502B4A" w:rsidRDefault="002E1F20" w:rsidP="002E1F20">
            <w:pPr>
              <w:keepNext/>
              <w:spacing w:before="0" w:after="0"/>
              <w:rPr>
                <w:color w:val="000000"/>
                <w:szCs w:val="22"/>
              </w:rPr>
            </w:pPr>
            <w:r w:rsidRPr="00502B4A">
              <w:rPr>
                <w:color w:val="000000"/>
                <w:szCs w:val="22"/>
              </w:rPr>
              <w:t>Add-on Equipment (AOE)</w:t>
            </w:r>
          </w:p>
        </w:tc>
        <w:tc>
          <w:tcPr>
            <w:tcW w:w="3024" w:type="dxa"/>
            <w:noWrap/>
            <w:tcMar>
              <w:top w:w="0" w:type="dxa"/>
              <w:left w:w="108" w:type="dxa"/>
              <w:bottom w:w="0" w:type="dxa"/>
              <w:right w:w="108" w:type="dxa"/>
            </w:tcMar>
            <w:vAlign w:val="center"/>
          </w:tcPr>
          <w:p w14:paraId="0AF5EEC0" w14:textId="0980325F" w:rsidR="002E1F20" w:rsidRPr="00653A52" w:rsidRDefault="002E1F20" w:rsidP="002E1F20">
            <w:pPr>
              <w:keepNext/>
              <w:spacing w:before="0" w:after="0"/>
            </w:pPr>
            <w:proofErr w:type="spellStart"/>
            <w:r w:rsidRPr="002E1F20">
              <w:t>UpDeemed</w:t>
            </w:r>
            <w:proofErr w:type="spellEnd"/>
          </w:p>
        </w:tc>
        <w:tc>
          <w:tcPr>
            <w:tcW w:w="3024" w:type="dxa"/>
            <w:noWrap/>
            <w:tcMar>
              <w:top w:w="0" w:type="dxa"/>
              <w:left w:w="108" w:type="dxa"/>
              <w:bottom w:w="0" w:type="dxa"/>
              <w:right w:w="108" w:type="dxa"/>
            </w:tcMar>
            <w:vAlign w:val="center"/>
          </w:tcPr>
          <w:p w14:paraId="17D4EB8F" w14:textId="5ADC2EC8" w:rsidR="002E1F20" w:rsidRDefault="002E1F20" w:rsidP="002E1F20">
            <w:pPr>
              <w:keepNext/>
              <w:spacing w:before="0" w:after="0"/>
              <w:rPr>
                <w:color w:val="000000"/>
                <w:szCs w:val="22"/>
              </w:rPr>
            </w:pPr>
            <w:r>
              <w:rPr>
                <w:color w:val="000000"/>
                <w:szCs w:val="22"/>
              </w:rPr>
              <w:t>Agricultural</w:t>
            </w:r>
          </w:p>
        </w:tc>
      </w:tr>
      <w:tr w:rsidR="002E1F20" w:rsidRPr="00A47168" w14:paraId="532F4421" w14:textId="77777777" w:rsidTr="00DD0046">
        <w:trPr>
          <w:trHeight w:val="290"/>
        </w:trPr>
        <w:tc>
          <w:tcPr>
            <w:tcW w:w="3024" w:type="dxa"/>
            <w:noWrap/>
            <w:tcMar>
              <w:top w:w="0" w:type="dxa"/>
              <w:left w:w="108" w:type="dxa"/>
              <w:bottom w:w="0" w:type="dxa"/>
              <w:right w:w="108" w:type="dxa"/>
            </w:tcMar>
          </w:tcPr>
          <w:p w14:paraId="0C43BD9C" w14:textId="4F3CAE44" w:rsidR="002E1F20" w:rsidRDefault="002E1F20" w:rsidP="002E1F20">
            <w:pPr>
              <w:keepNext/>
              <w:spacing w:before="0" w:after="0"/>
              <w:rPr>
                <w:color w:val="000000"/>
                <w:szCs w:val="22"/>
              </w:rPr>
            </w:pPr>
            <w:r w:rsidRPr="00502B4A">
              <w:rPr>
                <w:color w:val="000000"/>
                <w:szCs w:val="22"/>
              </w:rPr>
              <w:t>New Construction (NC)</w:t>
            </w:r>
          </w:p>
        </w:tc>
        <w:tc>
          <w:tcPr>
            <w:tcW w:w="3024" w:type="dxa"/>
            <w:noWrap/>
            <w:tcMar>
              <w:top w:w="0" w:type="dxa"/>
              <w:left w:w="108" w:type="dxa"/>
              <w:bottom w:w="0" w:type="dxa"/>
              <w:right w:w="108" w:type="dxa"/>
            </w:tcMar>
            <w:vAlign w:val="center"/>
          </w:tcPr>
          <w:p w14:paraId="1DCDB761" w14:textId="5DE3308A" w:rsidR="002E1F20" w:rsidRPr="00653A52" w:rsidRDefault="002E1F20" w:rsidP="002E1F20">
            <w:pPr>
              <w:keepNext/>
              <w:spacing w:before="0" w:after="0"/>
            </w:pPr>
            <w:proofErr w:type="spellStart"/>
            <w:r w:rsidRPr="00653A52">
              <w:t>DnDeemDI</w:t>
            </w:r>
            <w:proofErr w:type="spellEnd"/>
          </w:p>
        </w:tc>
        <w:tc>
          <w:tcPr>
            <w:tcW w:w="3024" w:type="dxa"/>
            <w:noWrap/>
            <w:tcMar>
              <w:top w:w="0" w:type="dxa"/>
              <w:left w:w="108" w:type="dxa"/>
              <w:bottom w:w="0" w:type="dxa"/>
              <w:right w:w="108" w:type="dxa"/>
            </w:tcMar>
            <w:vAlign w:val="center"/>
          </w:tcPr>
          <w:p w14:paraId="7800D66E" w14:textId="3E5D4371" w:rsidR="002E1F20" w:rsidRPr="008C4ED1" w:rsidRDefault="002E1F20" w:rsidP="002E1F20">
            <w:pPr>
              <w:keepNext/>
              <w:spacing w:before="0" w:after="0"/>
              <w:rPr>
                <w:color w:val="000000"/>
                <w:szCs w:val="22"/>
              </w:rPr>
            </w:pPr>
            <w:r w:rsidRPr="008C4ED1">
              <w:rPr>
                <w:color w:val="000000"/>
                <w:szCs w:val="22"/>
              </w:rPr>
              <w:t>Com</w:t>
            </w:r>
            <w:r>
              <w:rPr>
                <w:color w:val="000000"/>
                <w:szCs w:val="22"/>
              </w:rPr>
              <w:t>mercial</w:t>
            </w:r>
          </w:p>
        </w:tc>
      </w:tr>
      <w:tr w:rsidR="002E1F20" w:rsidRPr="00A47168" w14:paraId="0DE7BFA1" w14:textId="77777777" w:rsidTr="00DD0046">
        <w:trPr>
          <w:trHeight w:val="290"/>
        </w:trPr>
        <w:tc>
          <w:tcPr>
            <w:tcW w:w="3024" w:type="dxa"/>
            <w:noWrap/>
            <w:tcMar>
              <w:top w:w="0" w:type="dxa"/>
              <w:left w:w="108" w:type="dxa"/>
              <w:bottom w:w="0" w:type="dxa"/>
              <w:right w:w="108" w:type="dxa"/>
            </w:tcMar>
          </w:tcPr>
          <w:p w14:paraId="46199510" w14:textId="5B842DCF" w:rsidR="002E1F20" w:rsidRDefault="002E1F20" w:rsidP="002E1F20">
            <w:pPr>
              <w:keepNext/>
              <w:spacing w:before="0" w:after="0"/>
              <w:rPr>
                <w:color w:val="000000"/>
                <w:szCs w:val="22"/>
              </w:rPr>
            </w:pPr>
            <w:r w:rsidRPr="00502B4A">
              <w:rPr>
                <w:color w:val="000000"/>
                <w:szCs w:val="22"/>
              </w:rPr>
              <w:t>New Construction (NC)</w:t>
            </w:r>
          </w:p>
        </w:tc>
        <w:tc>
          <w:tcPr>
            <w:tcW w:w="3024" w:type="dxa"/>
            <w:noWrap/>
            <w:tcMar>
              <w:top w:w="0" w:type="dxa"/>
              <w:left w:w="108" w:type="dxa"/>
              <w:bottom w:w="0" w:type="dxa"/>
              <w:right w:w="108" w:type="dxa"/>
            </w:tcMar>
            <w:vAlign w:val="center"/>
          </w:tcPr>
          <w:p w14:paraId="5E786871" w14:textId="6FCA18F0" w:rsidR="002E1F20" w:rsidRPr="00653A52" w:rsidRDefault="002E1F20" w:rsidP="002E1F20">
            <w:pPr>
              <w:keepNext/>
              <w:spacing w:before="0" w:after="0"/>
            </w:pPr>
            <w:proofErr w:type="spellStart"/>
            <w:r w:rsidRPr="00653A52">
              <w:t>DnDeemed</w:t>
            </w:r>
            <w:proofErr w:type="spellEnd"/>
          </w:p>
        </w:tc>
        <w:tc>
          <w:tcPr>
            <w:tcW w:w="3024" w:type="dxa"/>
            <w:noWrap/>
            <w:tcMar>
              <w:top w:w="0" w:type="dxa"/>
              <w:left w:w="108" w:type="dxa"/>
              <w:bottom w:w="0" w:type="dxa"/>
              <w:right w:w="108" w:type="dxa"/>
            </w:tcMar>
            <w:vAlign w:val="center"/>
          </w:tcPr>
          <w:p w14:paraId="4C4BAAE4" w14:textId="3069B39A" w:rsidR="002E1F20" w:rsidRPr="008C4ED1" w:rsidRDefault="002E1F20" w:rsidP="002E1F20">
            <w:pPr>
              <w:keepNext/>
              <w:spacing w:before="0" w:after="0"/>
              <w:rPr>
                <w:color w:val="000000"/>
                <w:szCs w:val="22"/>
              </w:rPr>
            </w:pPr>
            <w:r w:rsidRPr="008C4ED1">
              <w:rPr>
                <w:color w:val="000000"/>
                <w:szCs w:val="22"/>
              </w:rPr>
              <w:t>Com</w:t>
            </w:r>
            <w:r>
              <w:rPr>
                <w:color w:val="000000"/>
                <w:szCs w:val="22"/>
              </w:rPr>
              <w:t>mercial</w:t>
            </w:r>
          </w:p>
        </w:tc>
      </w:tr>
      <w:tr w:rsidR="002E1F20" w:rsidRPr="00A47168" w14:paraId="422ADCCC" w14:textId="77777777" w:rsidTr="00DD0046">
        <w:trPr>
          <w:trHeight w:val="290"/>
        </w:trPr>
        <w:tc>
          <w:tcPr>
            <w:tcW w:w="3024" w:type="dxa"/>
            <w:noWrap/>
            <w:tcMar>
              <w:top w:w="0" w:type="dxa"/>
              <w:left w:w="108" w:type="dxa"/>
              <w:bottom w:w="0" w:type="dxa"/>
              <w:right w:w="108" w:type="dxa"/>
            </w:tcMar>
          </w:tcPr>
          <w:p w14:paraId="38B57375" w14:textId="67255F59" w:rsidR="002E1F20" w:rsidRPr="00502B4A" w:rsidRDefault="002E1F20" w:rsidP="002E1F20">
            <w:pPr>
              <w:keepNext/>
              <w:spacing w:before="0" w:after="0"/>
              <w:rPr>
                <w:color w:val="000000"/>
                <w:szCs w:val="22"/>
              </w:rPr>
            </w:pPr>
            <w:r w:rsidRPr="00502B4A">
              <w:rPr>
                <w:color w:val="000000"/>
                <w:szCs w:val="22"/>
              </w:rPr>
              <w:t>New Construction (NC)</w:t>
            </w:r>
          </w:p>
        </w:tc>
        <w:tc>
          <w:tcPr>
            <w:tcW w:w="3024" w:type="dxa"/>
            <w:noWrap/>
            <w:tcMar>
              <w:top w:w="0" w:type="dxa"/>
              <w:left w:w="108" w:type="dxa"/>
              <w:bottom w:w="0" w:type="dxa"/>
              <w:right w:w="108" w:type="dxa"/>
            </w:tcMar>
            <w:vAlign w:val="center"/>
          </w:tcPr>
          <w:p w14:paraId="241B0F6B" w14:textId="6691F106" w:rsidR="002E1F20" w:rsidRPr="00653A52" w:rsidRDefault="002E1F20" w:rsidP="002E1F20">
            <w:pPr>
              <w:keepNext/>
              <w:spacing w:before="0" w:after="0"/>
            </w:pPr>
            <w:proofErr w:type="spellStart"/>
            <w:r w:rsidRPr="002E1F20">
              <w:t>UpDeemed</w:t>
            </w:r>
            <w:proofErr w:type="spellEnd"/>
          </w:p>
        </w:tc>
        <w:tc>
          <w:tcPr>
            <w:tcW w:w="3024" w:type="dxa"/>
            <w:noWrap/>
            <w:tcMar>
              <w:top w:w="0" w:type="dxa"/>
              <w:left w:w="108" w:type="dxa"/>
              <w:bottom w:w="0" w:type="dxa"/>
              <w:right w:w="108" w:type="dxa"/>
            </w:tcMar>
            <w:vAlign w:val="center"/>
          </w:tcPr>
          <w:p w14:paraId="3D2B5363" w14:textId="75BC1823" w:rsidR="002E1F20" w:rsidRPr="008C4ED1" w:rsidRDefault="002E1F20" w:rsidP="002E1F20">
            <w:pPr>
              <w:keepNext/>
              <w:spacing w:before="0" w:after="0"/>
              <w:rPr>
                <w:color w:val="000000"/>
                <w:szCs w:val="22"/>
              </w:rPr>
            </w:pPr>
            <w:r w:rsidRPr="008C4ED1">
              <w:rPr>
                <w:color w:val="000000"/>
                <w:szCs w:val="22"/>
              </w:rPr>
              <w:t>Com</w:t>
            </w:r>
            <w:r>
              <w:rPr>
                <w:color w:val="000000"/>
                <w:szCs w:val="22"/>
              </w:rPr>
              <w:t>mercial</w:t>
            </w:r>
          </w:p>
        </w:tc>
      </w:tr>
      <w:tr w:rsidR="002E1F20" w:rsidRPr="00A47168" w14:paraId="7A941FA3" w14:textId="77777777" w:rsidTr="00DD0046">
        <w:trPr>
          <w:trHeight w:val="290"/>
        </w:trPr>
        <w:tc>
          <w:tcPr>
            <w:tcW w:w="3024" w:type="dxa"/>
            <w:noWrap/>
            <w:tcMar>
              <w:top w:w="0" w:type="dxa"/>
              <w:left w:w="108" w:type="dxa"/>
              <w:bottom w:w="0" w:type="dxa"/>
              <w:right w:w="108" w:type="dxa"/>
            </w:tcMar>
          </w:tcPr>
          <w:p w14:paraId="5087A3D9" w14:textId="5DC45D47" w:rsidR="002E1F20" w:rsidRDefault="002E1F20" w:rsidP="002E1F20">
            <w:pPr>
              <w:keepNext/>
              <w:spacing w:before="0" w:after="0"/>
              <w:rPr>
                <w:color w:val="000000"/>
                <w:szCs w:val="22"/>
              </w:rPr>
            </w:pPr>
            <w:r w:rsidRPr="00502B4A">
              <w:rPr>
                <w:color w:val="000000"/>
                <w:szCs w:val="22"/>
              </w:rPr>
              <w:t>New Construction (NC)</w:t>
            </w:r>
          </w:p>
        </w:tc>
        <w:tc>
          <w:tcPr>
            <w:tcW w:w="3024" w:type="dxa"/>
            <w:noWrap/>
            <w:tcMar>
              <w:top w:w="0" w:type="dxa"/>
              <w:left w:w="108" w:type="dxa"/>
              <w:bottom w:w="0" w:type="dxa"/>
              <w:right w:w="108" w:type="dxa"/>
            </w:tcMar>
            <w:vAlign w:val="center"/>
          </w:tcPr>
          <w:p w14:paraId="7EA5A45A" w14:textId="2048146C" w:rsidR="002E1F20" w:rsidRPr="00653A52" w:rsidRDefault="002E1F20" w:rsidP="002E1F20">
            <w:pPr>
              <w:keepNext/>
              <w:spacing w:before="0" w:after="0"/>
            </w:pPr>
            <w:proofErr w:type="spellStart"/>
            <w:r w:rsidRPr="00653A52">
              <w:t>DnDeemDI</w:t>
            </w:r>
            <w:proofErr w:type="spellEnd"/>
          </w:p>
        </w:tc>
        <w:tc>
          <w:tcPr>
            <w:tcW w:w="3024" w:type="dxa"/>
            <w:noWrap/>
            <w:tcMar>
              <w:top w:w="0" w:type="dxa"/>
              <w:left w:w="108" w:type="dxa"/>
              <w:bottom w:w="0" w:type="dxa"/>
              <w:right w:w="108" w:type="dxa"/>
            </w:tcMar>
            <w:vAlign w:val="center"/>
          </w:tcPr>
          <w:p w14:paraId="339F1FCF" w14:textId="621BF8D4" w:rsidR="002E1F20" w:rsidRPr="008C4ED1" w:rsidRDefault="002E1F20" w:rsidP="002E1F20">
            <w:pPr>
              <w:keepNext/>
              <w:spacing w:before="0" w:after="0"/>
              <w:rPr>
                <w:color w:val="000000"/>
                <w:szCs w:val="22"/>
              </w:rPr>
            </w:pPr>
            <w:r w:rsidRPr="002608E3">
              <w:rPr>
                <w:color w:val="000000"/>
                <w:szCs w:val="22"/>
              </w:rPr>
              <w:t>Industrial</w:t>
            </w:r>
          </w:p>
        </w:tc>
      </w:tr>
      <w:tr w:rsidR="002E1F20" w:rsidRPr="00A47168" w14:paraId="5D2C32E0" w14:textId="77777777" w:rsidTr="00DD0046">
        <w:trPr>
          <w:trHeight w:val="290"/>
        </w:trPr>
        <w:tc>
          <w:tcPr>
            <w:tcW w:w="3024" w:type="dxa"/>
            <w:noWrap/>
            <w:tcMar>
              <w:top w:w="0" w:type="dxa"/>
              <w:left w:w="108" w:type="dxa"/>
              <w:bottom w:w="0" w:type="dxa"/>
              <w:right w:w="108" w:type="dxa"/>
            </w:tcMar>
          </w:tcPr>
          <w:p w14:paraId="3F477F8C" w14:textId="513B5684" w:rsidR="002E1F20" w:rsidRDefault="002E1F20" w:rsidP="002E1F20">
            <w:pPr>
              <w:keepNext/>
              <w:spacing w:before="0" w:after="0"/>
              <w:rPr>
                <w:color w:val="000000"/>
                <w:szCs w:val="22"/>
              </w:rPr>
            </w:pPr>
            <w:r w:rsidRPr="00502B4A">
              <w:rPr>
                <w:color w:val="000000"/>
                <w:szCs w:val="22"/>
              </w:rPr>
              <w:t>New Construction (NC)</w:t>
            </w:r>
          </w:p>
        </w:tc>
        <w:tc>
          <w:tcPr>
            <w:tcW w:w="3024" w:type="dxa"/>
            <w:noWrap/>
            <w:tcMar>
              <w:top w:w="0" w:type="dxa"/>
              <w:left w:w="108" w:type="dxa"/>
              <w:bottom w:w="0" w:type="dxa"/>
              <w:right w:w="108" w:type="dxa"/>
            </w:tcMar>
            <w:vAlign w:val="center"/>
          </w:tcPr>
          <w:p w14:paraId="34F501AA" w14:textId="0844346D" w:rsidR="002E1F20" w:rsidRPr="00653A52" w:rsidRDefault="002E1F20" w:rsidP="002E1F20">
            <w:pPr>
              <w:keepNext/>
              <w:spacing w:before="0" w:after="0"/>
            </w:pPr>
            <w:proofErr w:type="spellStart"/>
            <w:r w:rsidRPr="00653A52">
              <w:t>DnDeemed</w:t>
            </w:r>
            <w:proofErr w:type="spellEnd"/>
          </w:p>
        </w:tc>
        <w:tc>
          <w:tcPr>
            <w:tcW w:w="3024" w:type="dxa"/>
            <w:noWrap/>
            <w:tcMar>
              <w:top w:w="0" w:type="dxa"/>
              <w:left w:w="108" w:type="dxa"/>
              <w:bottom w:w="0" w:type="dxa"/>
              <w:right w:w="108" w:type="dxa"/>
            </w:tcMar>
            <w:vAlign w:val="center"/>
          </w:tcPr>
          <w:p w14:paraId="364DAE80" w14:textId="6625CDB5" w:rsidR="002E1F20" w:rsidRPr="008C4ED1" w:rsidRDefault="002E1F20" w:rsidP="002E1F20">
            <w:pPr>
              <w:keepNext/>
              <w:spacing w:before="0" w:after="0"/>
              <w:rPr>
                <w:color w:val="000000"/>
                <w:szCs w:val="22"/>
              </w:rPr>
            </w:pPr>
            <w:r w:rsidRPr="002608E3">
              <w:rPr>
                <w:color w:val="000000"/>
                <w:szCs w:val="22"/>
              </w:rPr>
              <w:t>Industrial</w:t>
            </w:r>
          </w:p>
        </w:tc>
      </w:tr>
      <w:tr w:rsidR="002E1F20" w:rsidRPr="00A47168" w14:paraId="4B08B439" w14:textId="77777777" w:rsidTr="00DD0046">
        <w:trPr>
          <w:trHeight w:val="290"/>
        </w:trPr>
        <w:tc>
          <w:tcPr>
            <w:tcW w:w="3024" w:type="dxa"/>
            <w:noWrap/>
            <w:tcMar>
              <w:top w:w="0" w:type="dxa"/>
              <w:left w:w="108" w:type="dxa"/>
              <w:bottom w:w="0" w:type="dxa"/>
              <w:right w:w="108" w:type="dxa"/>
            </w:tcMar>
          </w:tcPr>
          <w:p w14:paraId="04BDE7E7" w14:textId="71CF3F1F" w:rsidR="002E1F20" w:rsidRPr="00502B4A" w:rsidRDefault="002E1F20" w:rsidP="002E1F20">
            <w:pPr>
              <w:keepNext/>
              <w:spacing w:before="0" w:after="0"/>
              <w:rPr>
                <w:color w:val="000000"/>
                <w:szCs w:val="22"/>
              </w:rPr>
            </w:pPr>
            <w:r w:rsidRPr="00502B4A">
              <w:rPr>
                <w:color w:val="000000"/>
                <w:szCs w:val="22"/>
              </w:rPr>
              <w:t>New Construction (NC)</w:t>
            </w:r>
          </w:p>
        </w:tc>
        <w:tc>
          <w:tcPr>
            <w:tcW w:w="3024" w:type="dxa"/>
            <w:noWrap/>
            <w:tcMar>
              <w:top w:w="0" w:type="dxa"/>
              <w:left w:w="108" w:type="dxa"/>
              <w:bottom w:w="0" w:type="dxa"/>
              <w:right w:w="108" w:type="dxa"/>
            </w:tcMar>
            <w:vAlign w:val="center"/>
          </w:tcPr>
          <w:p w14:paraId="04763E6C" w14:textId="1201D2DF" w:rsidR="002E1F20" w:rsidRPr="00653A52" w:rsidRDefault="002E1F20" w:rsidP="002E1F20">
            <w:pPr>
              <w:keepNext/>
              <w:spacing w:before="0" w:after="0"/>
            </w:pPr>
            <w:proofErr w:type="spellStart"/>
            <w:r w:rsidRPr="002E1F20">
              <w:t>UpDeemed</w:t>
            </w:r>
            <w:proofErr w:type="spellEnd"/>
          </w:p>
        </w:tc>
        <w:tc>
          <w:tcPr>
            <w:tcW w:w="3024" w:type="dxa"/>
            <w:noWrap/>
            <w:tcMar>
              <w:top w:w="0" w:type="dxa"/>
              <w:left w:w="108" w:type="dxa"/>
              <w:bottom w:w="0" w:type="dxa"/>
              <w:right w:w="108" w:type="dxa"/>
            </w:tcMar>
            <w:vAlign w:val="center"/>
          </w:tcPr>
          <w:p w14:paraId="47455CDF" w14:textId="2251EF73" w:rsidR="002E1F20" w:rsidRPr="002608E3" w:rsidRDefault="002E1F20" w:rsidP="002E1F20">
            <w:pPr>
              <w:keepNext/>
              <w:spacing w:before="0" w:after="0"/>
              <w:rPr>
                <w:color w:val="000000"/>
                <w:szCs w:val="22"/>
              </w:rPr>
            </w:pPr>
            <w:r w:rsidRPr="002608E3">
              <w:rPr>
                <w:color w:val="000000"/>
                <w:szCs w:val="22"/>
              </w:rPr>
              <w:t>Industrial</w:t>
            </w:r>
          </w:p>
        </w:tc>
      </w:tr>
      <w:tr w:rsidR="002E1F20" w:rsidRPr="00A47168" w14:paraId="76CFD712" w14:textId="77777777" w:rsidTr="00E368D7">
        <w:trPr>
          <w:trHeight w:val="290"/>
        </w:trPr>
        <w:tc>
          <w:tcPr>
            <w:tcW w:w="3024" w:type="dxa"/>
            <w:noWrap/>
            <w:tcMar>
              <w:top w:w="0" w:type="dxa"/>
              <w:left w:w="108" w:type="dxa"/>
              <w:bottom w:w="0" w:type="dxa"/>
              <w:right w:w="108" w:type="dxa"/>
            </w:tcMar>
          </w:tcPr>
          <w:p w14:paraId="13286ED6" w14:textId="6008A317" w:rsidR="002E1F20" w:rsidRPr="00502B4A" w:rsidRDefault="002E1F20" w:rsidP="002E1F20">
            <w:pPr>
              <w:keepNext/>
              <w:spacing w:before="0" w:after="0"/>
              <w:rPr>
                <w:color w:val="000000"/>
                <w:szCs w:val="22"/>
              </w:rPr>
            </w:pPr>
            <w:r w:rsidRPr="00502B4A">
              <w:rPr>
                <w:color w:val="000000"/>
                <w:szCs w:val="22"/>
              </w:rPr>
              <w:t>New Construction (NC)</w:t>
            </w:r>
          </w:p>
        </w:tc>
        <w:tc>
          <w:tcPr>
            <w:tcW w:w="3024" w:type="dxa"/>
            <w:noWrap/>
            <w:tcMar>
              <w:top w:w="0" w:type="dxa"/>
              <w:left w:w="108" w:type="dxa"/>
              <w:bottom w:w="0" w:type="dxa"/>
              <w:right w:w="108" w:type="dxa"/>
            </w:tcMar>
            <w:vAlign w:val="center"/>
          </w:tcPr>
          <w:p w14:paraId="1130B228" w14:textId="46659D32" w:rsidR="002E1F20" w:rsidRPr="00653A52" w:rsidRDefault="002E1F20" w:rsidP="002E1F20">
            <w:pPr>
              <w:keepNext/>
              <w:spacing w:before="0" w:after="0"/>
            </w:pPr>
            <w:proofErr w:type="spellStart"/>
            <w:r w:rsidRPr="00653A52">
              <w:t>DnDeemDI</w:t>
            </w:r>
            <w:proofErr w:type="spellEnd"/>
          </w:p>
        </w:tc>
        <w:tc>
          <w:tcPr>
            <w:tcW w:w="3024" w:type="dxa"/>
            <w:noWrap/>
            <w:tcMar>
              <w:top w:w="0" w:type="dxa"/>
              <w:left w:w="108" w:type="dxa"/>
              <w:bottom w:w="0" w:type="dxa"/>
              <w:right w:w="108" w:type="dxa"/>
            </w:tcMar>
            <w:vAlign w:val="center"/>
          </w:tcPr>
          <w:p w14:paraId="142F54AB" w14:textId="535179C9" w:rsidR="002E1F20" w:rsidRPr="002608E3" w:rsidRDefault="002E1F20" w:rsidP="002E1F20">
            <w:pPr>
              <w:keepNext/>
              <w:spacing w:before="0" w:after="0"/>
              <w:rPr>
                <w:color w:val="000000"/>
                <w:szCs w:val="22"/>
              </w:rPr>
            </w:pPr>
            <w:r>
              <w:rPr>
                <w:color w:val="000000"/>
                <w:szCs w:val="22"/>
              </w:rPr>
              <w:t>Agricultural</w:t>
            </w:r>
          </w:p>
        </w:tc>
      </w:tr>
      <w:tr w:rsidR="002E1F20" w:rsidRPr="00A47168" w14:paraId="3B4B52A8" w14:textId="77777777" w:rsidTr="00E368D7">
        <w:trPr>
          <w:trHeight w:val="368"/>
        </w:trPr>
        <w:tc>
          <w:tcPr>
            <w:tcW w:w="3024" w:type="dxa"/>
            <w:noWrap/>
            <w:tcMar>
              <w:top w:w="0" w:type="dxa"/>
              <w:left w:w="108" w:type="dxa"/>
              <w:bottom w:w="0" w:type="dxa"/>
              <w:right w:w="108" w:type="dxa"/>
            </w:tcMar>
          </w:tcPr>
          <w:p w14:paraId="3D518CAD" w14:textId="434C59F6" w:rsidR="002E1F20" w:rsidRPr="00502B4A" w:rsidRDefault="002E1F20" w:rsidP="002E1F20">
            <w:pPr>
              <w:keepNext/>
              <w:spacing w:before="0" w:after="0"/>
              <w:rPr>
                <w:color w:val="000000"/>
                <w:szCs w:val="22"/>
              </w:rPr>
            </w:pPr>
            <w:r w:rsidRPr="00502B4A">
              <w:rPr>
                <w:color w:val="000000"/>
                <w:szCs w:val="22"/>
              </w:rPr>
              <w:t>New Construction (NC)</w:t>
            </w:r>
          </w:p>
        </w:tc>
        <w:tc>
          <w:tcPr>
            <w:tcW w:w="3024" w:type="dxa"/>
            <w:noWrap/>
            <w:tcMar>
              <w:top w:w="0" w:type="dxa"/>
              <w:left w:w="108" w:type="dxa"/>
              <w:bottom w:w="0" w:type="dxa"/>
              <w:right w:w="108" w:type="dxa"/>
            </w:tcMar>
            <w:vAlign w:val="center"/>
          </w:tcPr>
          <w:p w14:paraId="7C8EA455" w14:textId="63240131" w:rsidR="002E1F20" w:rsidRPr="00653A52" w:rsidRDefault="002E1F20" w:rsidP="002E1F20">
            <w:pPr>
              <w:keepNext/>
              <w:spacing w:before="0" w:after="0"/>
            </w:pPr>
            <w:proofErr w:type="spellStart"/>
            <w:r w:rsidRPr="00653A52">
              <w:t>DnDeemed</w:t>
            </w:r>
            <w:proofErr w:type="spellEnd"/>
          </w:p>
        </w:tc>
        <w:tc>
          <w:tcPr>
            <w:tcW w:w="3024" w:type="dxa"/>
            <w:noWrap/>
            <w:tcMar>
              <w:top w:w="0" w:type="dxa"/>
              <w:left w:w="108" w:type="dxa"/>
              <w:bottom w:w="0" w:type="dxa"/>
              <w:right w:w="108" w:type="dxa"/>
            </w:tcMar>
            <w:vAlign w:val="center"/>
          </w:tcPr>
          <w:p w14:paraId="074348C5" w14:textId="77B9F679" w:rsidR="002E1F20" w:rsidRPr="002608E3" w:rsidRDefault="002E1F20" w:rsidP="002E1F20">
            <w:pPr>
              <w:keepNext/>
              <w:spacing w:before="0" w:after="0"/>
              <w:rPr>
                <w:color w:val="000000"/>
                <w:szCs w:val="22"/>
              </w:rPr>
            </w:pPr>
            <w:r>
              <w:rPr>
                <w:color w:val="000000"/>
                <w:szCs w:val="22"/>
              </w:rPr>
              <w:t>Agricultural</w:t>
            </w:r>
          </w:p>
        </w:tc>
      </w:tr>
      <w:tr w:rsidR="002E1F20" w:rsidRPr="00A47168" w14:paraId="38FB5AFB" w14:textId="77777777" w:rsidTr="00E368D7">
        <w:trPr>
          <w:trHeight w:val="290"/>
        </w:trPr>
        <w:tc>
          <w:tcPr>
            <w:tcW w:w="3024" w:type="dxa"/>
            <w:noWrap/>
            <w:tcMar>
              <w:top w:w="0" w:type="dxa"/>
              <w:left w:w="108" w:type="dxa"/>
              <w:bottom w:w="0" w:type="dxa"/>
              <w:right w:w="108" w:type="dxa"/>
            </w:tcMar>
          </w:tcPr>
          <w:p w14:paraId="041A4248" w14:textId="04E26AE1" w:rsidR="002E1F20" w:rsidRPr="00502B4A" w:rsidRDefault="002E1F20" w:rsidP="002E1F20">
            <w:pPr>
              <w:keepNext/>
              <w:spacing w:before="0" w:after="0"/>
              <w:rPr>
                <w:color w:val="000000"/>
                <w:szCs w:val="22"/>
              </w:rPr>
            </w:pPr>
            <w:r w:rsidRPr="00502B4A">
              <w:rPr>
                <w:color w:val="000000"/>
                <w:szCs w:val="22"/>
              </w:rPr>
              <w:t>New Construction (NC)</w:t>
            </w:r>
          </w:p>
        </w:tc>
        <w:tc>
          <w:tcPr>
            <w:tcW w:w="3024" w:type="dxa"/>
            <w:noWrap/>
            <w:tcMar>
              <w:top w:w="0" w:type="dxa"/>
              <w:left w:w="108" w:type="dxa"/>
              <w:bottom w:w="0" w:type="dxa"/>
              <w:right w:w="108" w:type="dxa"/>
            </w:tcMar>
            <w:vAlign w:val="center"/>
          </w:tcPr>
          <w:p w14:paraId="7E6D899C" w14:textId="1CB4B1C9" w:rsidR="002E1F20" w:rsidRPr="00653A52" w:rsidRDefault="002E1F20" w:rsidP="002E1F20">
            <w:pPr>
              <w:keepNext/>
              <w:spacing w:before="0" w:after="0"/>
            </w:pPr>
            <w:proofErr w:type="spellStart"/>
            <w:r w:rsidRPr="002E1F20">
              <w:t>UpDeemed</w:t>
            </w:r>
            <w:proofErr w:type="spellEnd"/>
          </w:p>
        </w:tc>
        <w:tc>
          <w:tcPr>
            <w:tcW w:w="3024" w:type="dxa"/>
            <w:noWrap/>
            <w:tcMar>
              <w:top w:w="0" w:type="dxa"/>
              <w:left w:w="108" w:type="dxa"/>
              <w:bottom w:w="0" w:type="dxa"/>
              <w:right w:w="108" w:type="dxa"/>
            </w:tcMar>
            <w:vAlign w:val="center"/>
          </w:tcPr>
          <w:p w14:paraId="4B45347C" w14:textId="175E7A72" w:rsidR="002E1F20" w:rsidRPr="00A37D54" w:rsidRDefault="002E1F20" w:rsidP="002E1F20">
            <w:pPr>
              <w:keepNext/>
              <w:spacing w:before="0" w:after="0"/>
              <w:rPr>
                <w:color w:val="000000"/>
                <w:szCs w:val="22"/>
              </w:rPr>
            </w:pPr>
            <w:r>
              <w:rPr>
                <w:color w:val="000000"/>
                <w:szCs w:val="22"/>
              </w:rPr>
              <w:t>Agricultural</w:t>
            </w:r>
          </w:p>
        </w:tc>
      </w:tr>
    </w:tbl>
    <w:bookmarkEnd w:id="28"/>
    <w:p w14:paraId="50711562" w14:textId="0613EF1B" w:rsidR="00AA46AF" w:rsidRDefault="00196649" w:rsidP="00B35FC3">
      <w:pPr>
        <w:pStyle w:val="eTRMHeading5"/>
        <w:jc w:val="both"/>
      </w:pPr>
      <w:r>
        <w:t>Eligible Products</w:t>
      </w:r>
    </w:p>
    <w:p w14:paraId="7DAF4A56" w14:textId="3C0389A1" w:rsidR="005202F9" w:rsidRDefault="004F0CFB" w:rsidP="00B35FC3">
      <w:pPr>
        <w:jc w:val="both"/>
      </w:pPr>
      <w:r>
        <w:t>The</w:t>
      </w:r>
      <w:r w:rsidR="005202F9">
        <w:t xml:space="preserve"> HVAC </w:t>
      </w:r>
      <w:r w:rsidR="006D09F3">
        <w:t>p</w:t>
      </w:r>
      <w:r w:rsidR="005202F9">
        <w:t>ackage</w:t>
      </w:r>
      <w:r w:rsidR="006D09F3">
        <w:t>d</w:t>
      </w:r>
      <w:r w:rsidR="005202F9">
        <w:t xml:space="preserve"> </w:t>
      </w:r>
      <w:r w:rsidR="006D09F3">
        <w:t>u</w:t>
      </w:r>
      <w:r w:rsidR="005202F9">
        <w:t>nit</w:t>
      </w:r>
      <w:r w:rsidR="006D09F3">
        <w:t>s</w:t>
      </w:r>
      <w:r w:rsidR="005202F9">
        <w:t xml:space="preserve"> </w:t>
      </w:r>
      <w:r w:rsidR="00E4062E">
        <w:t xml:space="preserve">and </w:t>
      </w:r>
      <w:r w:rsidR="00895A40">
        <w:t xml:space="preserve">the </w:t>
      </w:r>
      <w:r w:rsidR="006D09F3">
        <w:t>e</w:t>
      </w:r>
      <w:r w:rsidR="005202F9">
        <w:t xml:space="preserve">vaporative </w:t>
      </w:r>
      <w:r w:rsidR="006D09F3">
        <w:t>p</w:t>
      </w:r>
      <w:r w:rsidR="005202F9">
        <w:t>re-</w:t>
      </w:r>
      <w:r w:rsidR="006D09F3">
        <w:t>c</w:t>
      </w:r>
      <w:r w:rsidR="005202F9">
        <w:t xml:space="preserve">ooler </w:t>
      </w:r>
      <w:r w:rsidR="00B168FD">
        <w:t>s</w:t>
      </w:r>
      <w:r w:rsidR="005202F9">
        <w:t xml:space="preserve">ystem and </w:t>
      </w:r>
      <w:r w:rsidR="006D09F3">
        <w:t>c</w:t>
      </w:r>
      <w:r w:rsidR="005202F9">
        <w:t>ontrol</w:t>
      </w:r>
      <w:r w:rsidR="009929A5">
        <w:t>s</w:t>
      </w:r>
      <w:r w:rsidR="005202F9">
        <w:t xml:space="preserve"> must meet the following requirements:</w:t>
      </w:r>
    </w:p>
    <w:p w14:paraId="394E4D5C" w14:textId="6EC3AE3E" w:rsidR="004474B2" w:rsidRDefault="004474B2" w:rsidP="00B35FC3">
      <w:pPr>
        <w:pStyle w:val="ListParagraph"/>
        <w:numPr>
          <w:ilvl w:val="0"/>
          <w:numId w:val="7"/>
        </w:numPr>
        <w:jc w:val="both"/>
      </w:pPr>
      <w:r>
        <w:t>Host package</w:t>
      </w:r>
      <w:r w:rsidR="004275DF">
        <w:t>d</w:t>
      </w:r>
      <w:r>
        <w:t xml:space="preserve"> unit must have a cooling capacity </w:t>
      </w:r>
      <w:r w:rsidR="00223F26">
        <w:t>at least</w:t>
      </w:r>
      <w:r>
        <w:t xml:space="preserve"> 20</w:t>
      </w:r>
      <w:r w:rsidR="00223F26">
        <w:t xml:space="preserve"> tons</w:t>
      </w:r>
    </w:p>
    <w:p w14:paraId="3D7B051C" w14:textId="6A3E5FE2" w:rsidR="005202F9" w:rsidRDefault="00A776A8" w:rsidP="00B35FC3">
      <w:pPr>
        <w:pStyle w:val="ListParagraph"/>
        <w:numPr>
          <w:ilvl w:val="0"/>
          <w:numId w:val="7"/>
        </w:numPr>
        <w:jc w:val="both"/>
      </w:pPr>
      <w:r>
        <w:t xml:space="preserve">For the </w:t>
      </w:r>
      <w:r w:rsidR="006E4A18">
        <w:t>Add-on Equipment (</w:t>
      </w:r>
      <w:r>
        <w:t>AOE</w:t>
      </w:r>
      <w:r w:rsidR="006E4A18">
        <w:t>)</w:t>
      </w:r>
      <w:r>
        <w:t xml:space="preserve"> measure, the existing </w:t>
      </w:r>
      <w:r w:rsidR="005202F9">
        <w:t>package</w:t>
      </w:r>
      <w:r w:rsidR="00F7785A">
        <w:t>d</w:t>
      </w:r>
      <w:r w:rsidR="005202F9">
        <w:t xml:space="preserve"> unit on which the </w:t>
      </w:r>
      <w:r w:rsidR="001864F9">
        <w:t>e</w:t>
      </w:r>
      <w:r w:rsidR="005202F9">
        <w:t xml:space="preserve">vaporative </w:t>
      </w:r>
      <w:r w:rsidR="001864F9">
        <w:t>p</w:t>
      </w:r>
      <w:r w:rsidR="005202F9">
        <w:t>re-</w:t>
      </w:r>
      <w:r w:rsidR="001864F9">
        <w:t>c</w:t>
      </w:r>
      <w:r w:rsidR="005202F9">
        <w:t xml:space="preserve">ooler system will be installed must </w:t>
      </w:r>
      <w:r w:rsidR="00063957">
        <w:t>be les</w:t>
      </w:r>
      <w:r w:rsidR="002C7FF0">
        <w:t xml:space="preserve">s than 10 years old </w:t>
      </w:r>
    </w:p>
    <w:p w14:paraId="13B2703B" w14:textId="5A8DF761" w:rsidR="002C7FF0" w:rsidRDefault="002C7FF0" w:rsidP="00B35FC3">
      <w:pPr>
        <w:pStyle w:val="ListParagraph"/>
        <w:numPr>
          <w:ilvl w:val="0"/>
          <w:numId w:val="7"/>
        </w:numPr>
        <w:jc w:val="both"/>
      </w:pPr>
      <w:r>
        <w:t xml:space="preserve">A water treatment system must be used in conjunction with the </w:t>
      </w:r>
      <w:r w:rsidR="00A72084">
        <w:t>e</w:t>
      </w:r>
      <w:r>
        <w:t xml:space="preserve">vaporative </w:t>
      </w:r>
      <w:r w:rsidR="00A72084">
        <w:t>p</w:t>
      </w:r>
      <w:r>
        <w:t>re-</w:t>
      </w:r>
      <w:r w:rsidR="00A72084">
        <w:t>c</w:t>
      </w:r>
      <w:r>
        <w:t>ooler system to maintain water quality and performance</w:t>
      </w:r>
    </w:p>
    <w:p w14:paraId="71A4D94C" w14:textId="098D8801" w:rsidR="005202F9" w:rsidRDefault="002C7FF0" w:rsidP="00B35FC3">
      <w:pPr>
        <w:pStyle w:val="ListParagraph"/>
        <w:numPr>
          <w:ilvl w:val="0"/>
          <w:numId w:val="7"/>
        </w:numPr>
        <w:jc w:val="both"/>
      </w:pPr>
      <w:r>
        <w:lastRenderedPageBreak/>
        <w:t xml:space="preserve">Real time monitoring of the </w:t>
      </w:r>
      <w:r w:rsidR="001931FF">
        <w:t>e</w:t>
      </w:r>
      <w:r>
        <w:t xml:space="preserve">vaporative </w:t>
      </w:r>
      <w:r w:rsidR="001931FF">
        <w:t>p</w:t>
      </w:r>
      <w:r>
        <w:t>re-</w:t>
      </w:r>
      <w:r w:rsidR="001931FF">
        <w:t>c</w:t>
      </w:r>
      <w:r>
        <w:t xml:space="preserve">ooler system must be implemented to ensure the system is working properly </w:t>
      </w:r>
    </w:p>
    <w:p w14:paraId="3AC5FB59" w14:textId="697BE3BD" w:rsidR="00623495" w:rsidRDefault="00623495" w:rsidP="00B35FC3">
      <w:pPr>
        <w:pStyle w:val="ListParagraph"/>
        <w:numPr>
          <w:ilvl w:val="0"/>
          <w:numId w:val="7"/>
        </w:numPr>
        <w:jc w:val="both"/>
      </w:pPr>
      <w:r>
        <w:t xml:space="preserve"> </w:t>
      </w:r>
      <w:r w:rsidR="00FB1D3B">
        <w:t xml:space="preserve">As a standard procedure, the contractor must perform condenser coil cleaning prior to installation of the pre-cooler system. </w:t>
      </w:r>
    </w:p>
    <w:p w14:paraId="48C3C7EB" w14:textId="4344D555" w:rsidR="005202F9" w:rsidRPr="008A0194" w:rsidRDefault="005202F9" w:rsidP="00B35FC3">
      <w:pPr>
        <w:pStyle w:val="ListParagraph"/>
        <w:jc w:val="both"/>
      </w:pPr>
    </w:p>
    <w:p w14:paraId="3D56376D" w14:textId="23A1897B" w:rsidR="00571E16" w:rsidRPr="00571E16" w:rsidRDefault="007B6A74" w:rsidP="00B35FC3">
      <w:pPr>
        <w:pStyle w:val="eTRMHeading5"/>
        <w:keepNext/>
        <w:keepLines/>
        <w:jc w:val="both"/>
      </w:pPr>
      <w:r w:rsidRPr="00401C43">
        <w:t>Eligible Building Types</w:t>
      </w:r>
      <w:r w:rsidR="00571E16">
        <w:t xml:space="preserve"> and Vintages</w:t>
      </w:r>
    </w:p>
    <w:p w14:paraId="64CE01D3" w14:textId="18381025" w:rsidR="00F16853" w:rsidRDefault="007F421D" w:rsidP="00B35FC3">
      <w:pPr>
        <w:keepNext/>
        <w:keepLines/>
        <w:jc w:val="both"/>
      </w:pPr>
      <w:r w:rsidRPr="007F421D">
        <w:t xml:space="preserve">This measure is applicable for </w:t>
      </w:r>
      <w:r w:rsidR="00061297">
        <w:t>the</w:t>
      </w:r>
      <w:r w:rsidR="00061297" w:rsidRPr="007F421D">
        <w:t xml:space="preserve"> </w:t>
      </w:r>
      <w:r w:rsidRPr="007F421D">
        <w:t xml:space="preserve">nonresidential buildings served by unitary direct expansion (DX) systems </w:t>
      </w:r>
      <w:r w:rsidR="00061297">
        <w:t>listed below</w:t>
      </w:r>
      <w:r w:rsidRPr="007F421D">
        <w:t>. This measure applies to existing building vintages.</w:t>
      </w:r>
    </w:p>
    <w:tbl>
      <w:tblPr>
        <w:tblW w:w="4180"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160"/>
        <w:gridCol w:w="1020"/>
      </w:tblGrid>
      <w:tr w:rsidR="00061297" w:rsidRPr="002137A0" w14:paraId="3AF2F5C8" w14:textId="77777777" w:rsidTr="00DD0046">
        <w:trPr>
          <w:trHeight w:val="251"/>
          <w:tblHeader/>
          <w:jc w:val="center"/>
        </w:trPr>
        <w:tc>
          <w:tcPr>
            <w:tcW w:w="3160" w:type="dxa"/>
            <w:shd w:val="clear" w:color="auto" w:fill="F2F2F2" w:themeFill="background1" w:themeFillShade="F2"/>
            <w:noWrap/>
            <w:vAlign w:val="bottom"/>
          </w:tcPr>
          <w:p w14:paraId="733DCFE5" w14:textId="77777777" w:rsidR="00061297" w:rsidRPr="00D44EE3" w:rsidRDefault="00061297" w:rsidP="00DF5CAD">
            <w:pPr>
              <w:spacing w:before="0" w:after="0" w:line="240" w:lineRule="auto"/>
              <w:jc w:val="center"/>
              <w:rPr>
                <w:rFonts w:eastAsia="Times New Roman" w:cs="Calibri Light"/>
                <w:b/>
                <w:bCs/>
                <w:color w:val="000000"/>
                <w:sz w:val="20"/>
                <w:szCs w:val="20"/>
              </w:rPr>
            </w:pPr>
            <w:r w:rsidRPr="00D44EE3">
              <w:rPr>
                <w:rFonts w:eastAsia="Times New Roman" w:cs="Calibri Light"/>
                <w:b/>
                <w:bCs/>
                <w:color w:val="000000"/>
                <w:sz w:val="20"/>
                <w:szCs w:val="20"/>
              </w:rPr>
              <w:t xml:space="preserve">Building </w:t>
            </w:r>
            <w:r>
              <w:rPr>
                <w:rFonts w:eastAsia="Times New Roman" w:cs="Calibri Light"/>
                <w:b/>
                <w:bCs/>
                <w:color w:val="000000"/>
                <w:sz w:val="20"/>
                <w:szCs w:val="20"/>
              </w:rPr>
              <w:t>Type</w:t>
            </w:r>
          </w:p>
        </w:tc>
        <w:tc>
          <w:tcPr>
            <w:tcW w:w="1020" w:type="dxa"/>
            <w:shd w:val="clear" w:color="auto" w:fill="F2F2F2" w:themeFill="background1" w:themeFillShade="F2"/>
            <w:noWrap/>
            <w:vAlign w:val="bottom"/>
          </w:tcPr>
          <w:p w14:paraId="255D6B38" w14:textId="77777777" w:rsidR="00061297" w:rsidRPr="00D44EE3" w:rsidRDefault="00061297" w:rsidP="00DF5CAD">
            <w:pPr>
              <w:spacing w:before="0" w:after="0" w:line="240" w:lineRule="auto"/>
              <w:jc w:val="center"/>
              <w:rPr>
                <w:rFonts w:eastAsia="Times New Roman" w:cs="Calibri Light"/>
                <w:b/>
                <w:bCs/>
                <w:color w:val="000000"/>
                <w:sz w:val="20"/>
                <w:szCs w:val="20"/>
              </w:rPr>
            </w:pPr>
            <w:r w:rsidRPr="00D44EE3">
              <w:rPr>
                <w:rFonts w:eastAsia="Times New Roman" w:cs="Calibri Light"/>
                <w:b/>
                <w:bCs/>
                <w:color w:val="000000"/>
                <w:sz w:val="20"/>
                <w:szCs w:val="20"/>
              </w:rPr>
              <w:t>BT Code</w:t>
            </w:r>
          </w:p>
        </w:tc>
      </w:tr>
      <w:tr w:rsidR="00061297" w:rsidRPr="002137A0" w14:paraId="4F2A151E" w14:textId="77777777" w:rsidTr="00DD0046">
        <w:trPr>
          <w:trHeight w:val="116"/>
          <w:jc w:val="center"/>
        </w:trPr>
        <w:tc>
          <w:tcPr>
            <w:tcW w:w="3160" w:type="dxa"/>
            <w:shd w:val="clear" w:color="auto" w:fill="auto"/>
            <w:noWrap/>
            <w:vAlign w:val="center"/>
            <w:hideMark/>
          </w:tcPr>
          <w:p w14:paraId="15CBDF56"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Assembly</w:t>
            </w:r>
          </w:p>
        </w:tc>
        <w:tc>
          <w:tcPr>
            <w:tcW w:w="1020" w:type="dxa"/>
            <w:shd w:val="clear" w:color="auto" w:fill="auto"/>
            <w:noWrap/>
            <w:vAlign w:val="center"/>
            <w:hideMark/>
          </w:tcPr>
          <w:p w14:paraId="4943AC60"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Asm</w:t>
            </w:r>
            <w:proofErr w:type="spellEnd"/>
          </w:p>
        </w:tc>
      </w:tr>
      <w:tr w:rsidR="00061297" w:rsidRPr="002137A0" w14:paraId="677315FF" w14:textId="77777777" w:rsidTr="00DD0046">
        <w:trPr>
          <w:trHeight w:val="255"/>
          <w:jc w:val="center"/>
        </w:trPr>
        <w:tc>
          <w:tcPr>
            <w:tcW w:w="3160" w:type="dxa"/>
            <w:shd w:val="clear" w:color="auto" w:fill="auto"/>
            <w:noWrap/>
            <w:vAlign w:val="center"/>
            <w:hideMark/>
          </w:tcPr>
          <w:p w14:paraId="771349A0"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Community College</w:t>
            </w:r>
          </w:p>
        </w:tc>
        <w:tc>
          <w:tcPr>
            <w:tcW w:w="1020" w:type="dxa"/>
            <w:shd w:val="clear" w:color="auto" w:fill="auto"/>
            <w:noWrap/>
            <w:vAlign w:val="center"/>
            <w:hideMark/>
          </w:tcPr>
          <w:p w14:paraId="39FC6674"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ECC</w:t>
            </w:r>
          </w:p>
        </w:tc>
      </w:tr>
      <w:tr w:rsidR="00061297" w:rsidRPr="002137A0" w14:paraId="3D10C727" w14:textId="77777777" w:rsidTr="00DD0046">
        <w:trPr>
          <w:trHeight w:val="255"/>
          <w:jc w:val="center"/>
        </w:trPr>
        <w:tc>
          <w:tcPr>
            <w:tcW w:w="3160" w:type="dxa"/>
            <w:shd w:val="clear" w:color="auto" w:fill="auto"/>
            <w:noWrap/>
            <w:vAlign w:val="center"/>
            <w:hideMark/>
          </w:tcPr>
          <w:p w14:paraId="451FBED0"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University</w:t>
            </w:r>
          </w:p>
        </w:tc>
        <w:tc>
          <w:tcPr>
            <w:tcW w:w="1020" w:type="dxa"/>
            <w:shd w:val="clear" w:color="auto" w:fill="auto"/>
            <w:noWrap/>
            <w:vAlign w:val="center"/>
            <w:hideMark/>
          </w:tcPr>
          <w:p w14:paraId="6DE80FF8"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EUn</w:t>
            </w:r>
            <w:proofErr w:type="spellEnd"/>
          </w:p>
        </w:tc>
      </w:tr>
      <w:tr w:rsidR="00061297" w:rsidRPr="002137A0" w14:paraId="4F21C64D" w14:textId="77777777" w:rsidTr="00DD0046">
        <w:trPr>
          <w:trHeight w:val="255"/>
          <w:jc w:val="center"/>
        </w:trPr>
        <w:tc>
          <w:tcPr>
            <w:tcW w:w="3160" w:type="dxa"/>
            <w:shd w:val="clear" w:color="auto" w:fill="auto"/>
            <w:noWrap/>
            <w:vAlign w:val="center"/>
            <w:hideMark/>
          </w:tcPr>
          <w:p w14:paraId="47B4E8ED"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Grocery</w:t>
            </w:r>
          </w:p>
        </w:tc>
        <w:tc>
          <w:tcPr>
            <w:tcW w:w="1020" w:type="dxa"/>
            <w:shd w:val="clear" w:color="auto" w:fill="auto"/>
            <w:noWrap/>
            <w:vAlign w:val="center"/>
            <w:hideMark/>
          </w:tcPr>
          <w:p w14:paraId="0258AA10"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Gro</w:t>
            </w:r>
          </w:p>
        </w:tc>
      </w:tr>
      <w:tr w:rsidR="00061297" w:rsidRPr="002137A0" w14:paraId="48F7B36D" w14:textId="77777777" w:rsidTr="00DD0046">
        <w:trPr>
          <w:trHeight w:val="255"/>
          <w:jc w:val="center"/>
        </w:trPr>
        <w:tc>
          <w:tcPr>
            <w:tcW w:w="3160" w:type="dxa"/>
            <w:shd w:val="clear" w:color="auto" w:fill="auto"/>
            <w:noWrap/>
            <w:vAlign w:val="center"/>
            <w:hideMark/>
          </w:tcPr>
          <w:p w14:paraId="5DC14B71"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Hospital</w:t>
            </w:r>
          </w:p>
        </w:tc>
        <w:tc>
          <w:tcPr>
            <w:tcW w:w="1020" w:type="dxa"/>
            <w:shd w:val="clear" w:color="auto" w:fill="auto"/>
            <w:noWrap/>
            <w:vAlign w:val="center"/>
            <w:hideMark/>
          </w:tcPr>
          <w:p w14:paraId="5B78153A"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Hsp</w:t>
            </w:r>
            <w:proofErr w:type="spellEnd"/>
          </w:p>
        </w:tc>
      </w:tr>
      <w:tr w:rsidR="00061297" w:rsidRPr="002137A0" w14:paraId="7ED6A901" w14:textId="77777777" w:rsidTr="00DD0046">
        <w:trPr>
          <w:trHeight w:val="255"/>
          <w:jc w:val="center"/>
        </w:trPr>
        <w:tc>
          <w:tcPr>
            <w:tcW w:w="3160" w:type="dxa"/>
            <w:shd w:val="clear" w:color="auto" w:fill="auto"/>
            <w:noWrap/>
            <w:vAlign w:val="center"/>
            <w:hideMark/>
          </w:tcPr>
          <w:p w14:paraId="61AB4725"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Nursing Home</w:t>
            </w:r>
          </w:p>
        </w:tc>
        <w:tc>
          <w:tcPr>
            <w:tcW w:w="1020" w:type="dxa"/>
            <w:shd w:val="clear" w:color="auto" w:fill="auto"/>
            <w:noWrap/>
            <w:vAlign w:val="center"/>
            <w:hideMark/>
          </w:tcPr>
          <w:p w14:paraId="02D53B86"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Nrs</w:t>
            </w:r>
            <w:proofErr w:type="spellEnd"/>
          </w:p>
        </w:tc>
      </w:tr>
      <w:tr w:rsidR="00061297" w:rsidRPr="002137A0" w14:paraId="203A6E96" w14:textId="77777777" w:rsidTr="00DD0046">
        <w:trPr>
          <w:trHeight w:val="255"/>
          <w:jc w:val="center"/>
        </w:trPr>
        <w:tc>
          <w:tcPr>
            <w:tcW w:w="3160" w:type="dxa"/>
            <w:shd w:val="clear" w:color="auto" w:fill="auto"/>
            <w:noWrap/>
            <w:vAlign w:val="center"/>
            <w:hideMark/>
          </w:tcPr>
          <w:p w14:paraId="0C1E826E"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Hotel</w:t>
            </w:r>
          </w:p>
        </w:tc>
        <w:tc>
          <w:tcPr>
            <w:tcW w:w="1020" w:type="dxa"/>
            <w:shd w:val="clear" w:color="auto" w:fill="auto"/>
            <w:noWrap/>
            <w:vAlign w:val="center"/>
            <w:hideMark/>
          </w:tcPr>
          <w:p w14:paraId="097E5B34"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Htl</w:t>
            </w:r>
            <w:proofErr w:type="spellEnd"/>
          </w:p>
        </w:tc>
      </w:tr>
      <w:tr w:rsidR="00061297" w:rsidRPr="002137A0" w14:paraId="08A27768" w14:textId="77777777" w:rsidTr="00DD0046">
        <w:trPr>
          <w:trHeight w:val="255"/>
          <w:jc w:val="center"/>
        </w:trPr>
        <w:tc>
          <w:tcPr>
            <w:tcW w:w="3160" w:type="dxa"/>
            <w:shd w:val="clear" w:color="auto" w:fill="auto"/>
            <w:noWrap/>
            <w:vAlign w:val="center"/>
            <w:hideMark/>
          </w:tcPr>
          <w:p w14:paraId="047C7619"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Bio/Tech Manufacturing</w:t>
            </w:r>
          </w:p>
        </w:tc>
        <w:tc>
          <w:tcPr>
            <w:tcW w:w="1020" w:type="dxa"/>
            <w:shd w:val="clear" w:color="auto" w:fill="auto"/>
            <w:noWrap/>
            <w:vAlign w:val="center"/>
            <w:hideMark/>
          </w:tcPr>
          <w:p w14:paraId="35CB568E"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MBT</w:t>
            </w:r>
          </w:p>
        </w:tc>
      </w:tr>
      <w:tr w:rsidR="00061297" w:rsidRPr="002137A0" w14:paraId="62E92291" w14:textId="77777777" w:rsidTr="00DD0046">
        <w:trPr>
          <w:trHeight w:val="255"/>
          <w:jc w:val="center"/>
        </w:trPr>
        <w:tc>
          <w:tcPr>
            <w:tcW w:w="3160" w:type="dxa"/>
            <w:shd w:val="clear" w:color="auto" w:fill="auto"/>
            <w:noWrap/>
            <w:vAlign w:val="center"/>
            <w:hideMark/>
          </w:tcPr>
          <w:p w14:paraId="5BCB969D"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Light Industrial Manufacturing</w:t>
            </w:r>
          </w:p>
        </w:tc>
        <w:tc>
          <w:tcPr>
            <w:tcW w:w="1020" w:type="dxa"/>
            <w:shd w:val="clear" w:color="auto" w:fill="auto"/>
            <w:noWrap/>
            <w:vAlign w:val="center"/>
            <w:hideMark/>
          </w:tcPr>
          <w:p w14:paraId="2C5DE9F7"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MLI</w:t>
            </w:r>
          </w:p>
        </w:tc>
      </w:tr>
      <w:tr w:rsidR="00061297" w:rsidRPr="002137A0" w14:paraId="3872E2FB" w14:textId="77777777" w:rsidTr="00DD0046">
        <w:trPr>
          <w:trHeight w:val="255"/>
          <w:jc w:val="center"/>
        </w:trPr>
        <w:tc>
          <w:tcPr>
            <w:tcW w:w="3160" w:type="dxa"/>
            <w:shd w:val="clear" w:color="auto" w:fill="auto"/>
            <w:noWrap/>
            <w:vAlign w:val="center"/>
            <w:hideMark/>
          </w:tcPr>
          <w:p w14:paraId="24DFF3FD"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Large Office</w:t>
            </w:r>
          </w:p>
        </w:tc>
        <w:tc>
          <w:tcPr>
            <w:tcW w:w="1020" w:type="dxa"/>
            <w:shd w:val="clear" w:color="auto" w:fill="auto"/>
            <w:noWrap/>
            <w:vAlign w:val="center"/>
            <w:hideMark/>
          </w:tcPr>
          <w:p w14:paraId="3E9FE62F"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OfL</w:t>
            </w:r>
            <w:proofErr w:type="spellEnd"/>
          </w:p>
        </w:tc>
      </w:tr>
      <w:tr w:rsidR="00061297" w:rsidRPr="002137A0" w14:paraId="4861C99F" w14:textId="77777777" w:rsidTr="00DD0046">
        <w:trPr>
          <w:trHeight w:val="255"/>
          <w:jc w:val="center"/>
        </w:trPr>
        <w:tc>
          <w:tcPr>
            <w:tcW w:w="3160" w:type="dxa"/>
            <w:shd w:val="clear" w:color="auto" w:fill="auto"/>
            <w:noWrap/>
            <w:vAlign w:val="center"/>
            <w:hideMark/>
          </w:tcPr>
          <w:p w14:paraId="2A7A8E67"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Small Office</w:t>
            </w:r>
          </w:p>
        </w:tc>
        <w:tc>
          <w:tcPr>
            <w:tcW w:w="1020" w:type="dxa"/>
            <w:shd w:val="clear" w:color="auto" w:fill="auto"/>
            <w:noWrap/>
            <w:vAlign w:val="center"/>
            <w:hideMark/>
          </w:tcPr>
          <w:p w14:paraId="3AB5C961"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OfS</w:t>
            </w:r>
            <w:proofErr w:type="spellEnd"/>
          </w:p>
        </w:tc>
      </w:tr>
      <w:tr w:rsidR="00061297" w:rsidRPr="002137A0" w14:paraId="61E698CA" w14:textId="77777777" w:rsidTr="00DD0046">
        <w:trPr>
          <w:trHeight w:val="255"/>
          <w:jc w:val="center"/>
        </w:trPr>
        <w:tc>
          <w:tcPr>
            <w:tcW w:w="3160" w:type="dxa"/>
            <w:shd w:val="clear" w:color="auto" w:fill="auto"/>
            <w:noWrap/>
            <w:vAlign w:val="center"/>
            <w:hideMark/>
          </w:tcPr>
          <w:p w14:paraId="6A80ACC1"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Sit-Down Restaurant</w:t>
            </w:r>
          </w:p>
        </w:tc>
        <w:tc>
          <w:tcPr>
            <w:tcW w:w="1020" w:type="dxa"/>
            <w:shd w:val="clear" w:color="auto" w:fill="auto"/>
            <w:noWrap/>
            <w:vAlign w:val="center"/>
            <w:hideMark/>
          </w:tcPr>
          <w:p w14:paraId="657059B4"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RSD</w:t>
            </w:r>
          </w:p>
        </w:tc>
      </w:tr>
      <w:tr w:rsidR="00061297" w:rsidRPr="002137A0" w14:paraId="65D5AA09" w14:textId="77777777" w:rsidTr="00DD0046">
        <w:trPr>
          <w:trHeight w:val="255"/>
          <w:jc w:val="center"/>
        </w:trPr>
        <w:tc>
          <w:tcPr>
            <w:tcW w:w="3160" w:type="dxa"/>
            <w:shd w:val="clear" w:color="auto" w:fill="auto"/>
            <w:noWrap/>
            <w:vAlign w:val="center"/>
            <w:hideMark/>
          </w:tcPr>
          <w:p w14:paraId="668075A4"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Fast-Food Restaurant</w:t>
            </w:r>
          </w:p>
        </w:tc>
        <w:tc>
          <w:tcPr>
            <w:tcW w:w="1020" w:type="dxa"/>
            <w:shd w:val="clear" w:color="auto" w:fill="auto"/>
            <w:noWrap/>
            <w:vAlign w:val="center"/>
            <w:hideMark/>
          </w:tcPr>
          <w:p w14:paraId="692E02DF"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RFF</w:t>
            </w:r>
          </w:p>
        </w:tc>
      </w:tr>
      <w:tr w:rsidR="00061297" w:rsidRPr="002137A0" w14:paraId="25BE2ADD" w14:textId="77777777" w:rsidTr="00DD0046">
        <w:trPr>
          <w:trHeight w:val="255"/>
          <w:jc w:val="center"/>
        </w:trPr>
        <w:tc>
          <w:tcPr>
            <w:tcW w:w="3160" w:type="dxa"/>
            <w:shd w:val="clear" w:color="auto" w:fill="auto"/>
            <w:noWrap/>
            <w:vAlign w:val="center"/>
            <w:hideMark/>
          </w:tcPr>
          <w:p w14:paraId="50E9030B"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Department Store</w:t>
            </w:r>
          </w:p>
        </w:tc>
        <w:tc>
          <w:tcPr>
            <w:tcW w:w="1020" w:type="dxa"/>
            <w:shd w:val="clear" w:color="auto" w:fill="auto"/>
            <w:noWrap/>
            <w:vAlign w:val="center"/>
            <w:hideMark/>
          </w:tcPr>
          <w:p w14:paraId="1626ACCB"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Rt3</w:t>
            </w:r>
          </w:p>
        </w:tc>
      </w:tr>
      <w:tr w:rsidR="00061297" w:rsidRPr="002137A0" w14:paraId="74139066" w14:textId="77777777" w:rsidTr="00DD0046">
        <w:trPr>
          <w:trHeight w:val="255"/>
          <w:jc w:val="center"/>
        </w:trPr>
        <w:tc>
          <w:tcPr>
            <w:tcW w:w="3160" w:type="dxa"/>
            <w:shd w:val="clear" w:color="auto" w:fill="auto"/>
            <w:noWrap/>
            <w:vAlign w:val="center"/>
            <w:hideMark/>
          </w:tcPr>
          <w:p w14:paraId="0B7F2932"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Big Box Retail</w:t>
            </w:r>
          </w:p>
        </w:tc>
        <w:tc>
          <w:tcPr>
            <w:tcW w:w="1020" w:type="dxa"/>
            <w:shd w:val="clear" w:color="auto" w:fill="auto"/>
            <w:noWrap/>
            <w:vAlign w:val="center"/>
            <w:hideMark/>
          </w:tcPr>
          <w:p w14:paraId="285C0C87"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RtL</w:t>
            </w:r>
            <w:proofErr w:type="spellEnd"/>
          </w:p>
        </w:tc>
      </w:tr>
      <w:tr w:rsidR="00061297" w:rsidRPr="002137A0" w14:paraId="6F5833B4" w14:textId="77777777" w:rsidTr="00DD0046">
        <w:trPr>
          <w:trHeight w:val="255"/>
          <w:jc w:val="center"/>
        </w:trPr>
        <w:tc>
          <w:tcPr>
            <w:tcW w:w="3160" w:type="dxa"/>
            <w:shd w:val="clear" w:color="auto" w:fill="auto"/>
            <w:noWrap/>
            <w:vAlign w:val="center"/>
            <w:hideMark/>
          </w:tcPr>
          <w:p w14:paraId="2D978195"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Small Retail</w:t>
            </w:r>
          </w:p>
        </w:tc>
        <w:tc>
          <w:tcPr>
            <w:tcW w:w="1020" w:type="dxa"/>
            <w:shd w:val="clear" w:color="auto" w:fill="auto"/>
            <w:noWrap/>
            <w:vAlign w:val="center"/>
            <w:hideMark/>
          </w:tcPr>
          <w:p w14:paraId="2852F398"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RtS</w:t>
            </w:r>
            <w:proofErr w:type="spellEnd"/>
          </w:p>
        </w:tc>
      </w:tr>
      <w:tr w:rsidR="00061297" w:rsidRPr="002137A0" w14:paraId="66666A6C" w14:textId="77777777" w:rsidTr="00DD0046">
        <w:trPr>
          <w:trHeight w:val="255"/>
          <w:jc w:val="center"/>
        </w:trPr>
        <w:tc>
          <w:tcPr>
            <w:tcW w:w="3160" w:type="dxa"/>
            <w:shd w:val="clear" w:color="auto" w:fill="auto"/>
            <w:noWrap/>
            <w:vAlign w:val="center"/>
            <w:hideMark/>
          </w:tcPr>
          <w:p w14:paraId="25C4732F"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Conditioned Storage</w:t>
            </w:r>
          </w:p>
        </w:tc>
        <w:tc>
          <w:tcPr>
            <w:tcW w:w="1020" w:type="dxa"/>
            <w:shd w:val="clear" w:color="auto" w:fill="auto"/>
            <w:noWrap/>
            <w:vAlign w:val="center"/>
            <w:hideMark/>
          </w:tcPr>
          <w:p w14:paraId="7C839009"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SCn</w:t>
            </w:r>
            <w:proofErr w:type="spellEnd"/>
          </w:p>
        </w:tc>
      </w:tr>
      <w:tr w:rsidR="00061297" w:rsidRPr="002137A0" w14:paraId="70C2A767" w14:textId="77777777" w:rsidTr="00DD0046">
        <w:trPr>
          <w:trHeight w:val="255"/>
          <w:jc w:val="center"/>
        </w:trPr>
        <w:tc>
          <w:tcPr>
            <w:tcW w:w="3160" w:type="dxa"/>
            <w:shd w:val="clear" w:color="auto" w:fill="auto"/>
            <w:noWrap/>
            <w:vAlign w:val="center"/>
            <w:hideMark/>
          </w:tcPr>
          <w:p w14:paraId="23423452" w14:textId="77777777" w:rsidR="00061297" w:rsidRPr="002137A0" w:rsidRDefault="00061297" w:rsidP="00DF5CAD">
            <w:pPr>
              <w:spacing w:before="0" w:after="0" w:line="240" w:lineRule="auto"/>
              <w:rPr>
                <w:rFonts w:eastAsia="Times New Roman" w:cs="Calibri Light"/>
                <w:sz w:val="20"/>
                <w:szCs w:val="20"/>
              </w:rPr>
            </w:pPr>
            <w:r w:rsidRPr="002137A0">
              <w:rPr>
                <w:rFonts w:eastAsia="Times New Roman" w:cs="Calibri Light"/>
                <w:sz w:val="20"/>
                <w:szCs w:val="20"/>
              </w:rPr>
              <w:t>Refrigerated Warehouse</w:t>
            </w:r>
          </w:p>
        </w:tc>
        <w:tc>
          <w:tcPr>
            <w:tcW w:w="1020" w:type="dxa"/>
            <w:shd w:val="clear" w:color="auto" w:fill="auto"/>
            <w:noWrap/>
            <w:vAlign w:val="center"/>
            <w:hideMark/>
          </w:tcPr>
          <w:p w14:paraId="3DDDE28A" w14:textId="77777777" w:rsidR="00061297" w:rsidRPr="002137A0" w:rsidRDefault="00061297" w:rsidP="00DF5CAD">
            <w:pPr>
              <w:spacing w:before="0" w:after="0" w:line="240" w:lineRule="auto"/>
              <w:rPr>
                <w:rFonts w:eastAsia="Times New Roman" w:cs="Calibri Light"/>
                <w:sz w:val="20"/>
                <w:szCs w:val="20"/>
              </w:rPr>
            </w:pPr>
            <w:proofErr w:type="spellStart"/>
            <w:r w:rsidRPr="002137A0">
              <w:rPr>
                <w:rFonts w:eastAsia="Times New Roman" w:cs="Calibri Light"/>
                <w:sz w:val="20"/>
                <w:szCs w:val="20"/>
              </w:rPr>
              <w:t>WRf</w:t>
            </w:r>
            <w:proofErr w:type="spellEnd"/>
          </w:p>
        </w:tc>
      </w:tr>
    </w:tbl>
    <w:p w14:paraId="7A1ADA83" w14:textId="77777777" w:rsidR="00061297" w:rsidRPr="009458E5" w:rsidRDefault="00061297" w:rsidP="00B35FC3">
      <w:pPr>
        <w:keepNext/>
        <w:keepLines/>
        <w:jc w:val="both"/>
      </w:pPr>
    </w:p>
    <w:p w14:paraId="1A3705F3" w14:textId="4BC0985D" w:rsidR="007B6A74" w:rsidRPr="004B06E3" w:rsidRDefault="00196649" w:rsidP="00B35FC3">
      <w:pPr>
        <w:pStyle w:val="eTRMHeading5"/>
        <w:jc w:val="both"/>
      </w:pPr>
      <w:r>
        <w:t>Eligible Climate Zones</w:t>
      </w:r>
    </w:p>
    <w:p w14:paraId="34FF761D" w14:textId="4BBE8AAC" w:rsidR="006C41AD" w:rsidRDefault="00571E16" w:rsidP="00B35FC3">
      <w:pPr>
        <w:jc w:val="both"/>
      </w:pPr>
      <w:r>
        <w:t xml:space="preserve">This measure is applicable </w:t>
      </w:r>
      <w:r w:rsidR="00F56D03">
        <w:t>only in Climate Zone</w:t>
      </w:r>
      <w:r w:rsidR="00F50F24">
        <w:t>s 12, 13, and</w:t>
      </w:r>
      <w:r w:rsidR="00F56D03">
        <w:t xml:space="preserve"> 15</w:t>
      </w:r>
      <w:r>
        <w:t>.</w:t>
      </w:r>
    </w:p>
    <w:p w14:paraId="47630D60" w14:textId="77777777" w:rsidR="007D230B" w:rsidRPr="004B06E3" w:rsidRDefault="007D230B" w:rsidP="00B35FC3">
      <w:pPr>
        <w:pStyle w:val="eTRMHeading3"/>
        <w:jc w:val="both"/>
      </w:pPr>
      <w:bookmarkStart w:id="31" w:name="_Toc486490853"/>
      <w:bookmarkStart w:id="32" w:name="_Toc486580924"/>
      <w:bookmarkStart w:id="33" w:name="_Toc57018370"/>
      <w:r w:rsidRPr="004B06E3">
        <w:t>Program Exclusions</w:t>
      </w:r>
      <w:bookmarkEnd w:id="31"/>
      <w:bookmarkEnd w:id="32"/>
      <w:bookmarkEnd w:id="33"/>
      <w:r w:rsidRPr="004B06E3">
        <w:t xml:space="preserve"> </w:t>
      </w:r>
    </w:p>
    <w:p w14:paraId="29AD5851" w14:textId="4F1FA5EF" w:rsidR="005B4EFF" w:rsidRDefault="00061297" w:rsidP="00B35FC3">
      <w:pPr>
        <w:jc w:val="both"/>
      </w:pPr>
      <w:r>
        <w:t>Building types and climate zones not described above are excluded from this measure</w:t>
      </w:r>
      <w:r w:rsidR="00E55415">
        <w:t>.</w:t>
      </w:r>
      <w:r w:rsidR="004474B2">
        <w:t xml:space="preserve"> </w:t>
      </w:r>
    </w:p>
    <w:p w14:paraId="0C2DAF13" w14:textId="5DC0CC36" w:rsidR="004474B2" w:rsidRDefault="004474B2" w:rsidP="00B35FC3">
      <w:pPr>
        <w:jc w:val="both"/>
      </w:pPr>
      <w:r>
        <w:t>Package</w:t>
      </w:r>
      <w:r w:rsidR="0071414D">
        <w:t>d</w:t>
      </w:r>
      <w:r>
        <w:t xml:space="preserve"> units with cooling capacity less than 20 tons are excluded from this measure.</w:t>
      </w:r>
    </w:p>
    <w:p w14:paraId="655E299F" w14:textId="77777777" w:rsidR="007D230B" w:rsidRPr="004B06E3" w:rsidRDefault="007D230B" w:rsidP="00B35FC3">
      <w:pPr>
        <w:pStyle w:val="eTRMHeading3"/>
        <w:jc w:val="both"/>
      </w:pPr>
      <w:bookmarkStart w:id="34" w:name="_Toc486490854"/>
      <w:bookmarkStart w:id="35" w:name="_Toc486580925"/>
      <w:bookmarkStart w:id="36" w:name="_Toc57018371"/>
      <w:r w:rsidRPr="004B06E3">
        <w:t>Data Collection Requirements</w:t>
      </w:r>
      <w:bookmarkEnd w:id="34"/>
      <w:bookmarkEnd w:id="35"/>
      <w:bookmarkEnd w:id="36"/>
      <w:r w:rsidRPr="004B06E3">
        <w:t xml:space="preserve"> </w:t>
      </w:r>
    </w:p>
    <w:p w14:paraId="3B26D7DA" w14:textId="029D0FD4" w:rsidR="00DD0046" w:rsidRDefault="00290147" w:rsidP="00B35FC3">
      <w:pPr>
        <w:jc w:val="both"/>
      </w:pPr>
      <w:r w:rsidRPr="00290147">
        <w:t>Data collection requirements are to be determined.</w:t>
      </w:r>
    </w:p>
    <w:p w14:paraId="4891FCAB" w14:textId="01EEAC0C" w:rsidR="007D230B" w:rsidRPr="004B06E3" w:rsidRDefault="007D230B" w:rsidP="00B35FC3">
      <w:pPr>
        <w:pStyle w:val="eTRMHeading3"/>
        <w:jc w:val="both"/>
      </w:pPr>
      <w:bookmarkStart w:id="37" w:name="_Toc486490855"/>
      <w:bookmarkStart w:id="38" w:name="_Toc486580926"/>
      <w:bookmarkStart w:id="39" w:name="_Toc57018372"/>
      <w:r w:rsidRPr="004B06E3">
        <w:t>Use Category</w:t>
      </w:r>
      <w:bookmarkEnd w:id="37"/>
      <w:bookmarkEnd w:id="38"/>
      <w:bookmarkEnd w:id="39"/>
    </w:p>
    <w:p w14:paraId="5F9698F7" w14:textId="0F512E7A" w:rsidR="004642AF" w:rsidRDefault="00E55415" w:rsidP="00B35FC3">
      <w:pPr>
        <w:jc w:val="both"/>
      </w:pPr>
      <w:r>
        <w:t>HVAC</w:t>
      </w:r>
    </w:p>
    <w:p w14:paraId="2D02634C" w14:textId="77777777" w:rsidR="00E82790" w:rsidRDefault="00E82790" w:rsidP="00B35FC3">
      <w:pPr>
        <w:pStyle w:val="eTRMHeading3"/>
        <w:jc w:val="both"/>
      </w:pPr>
      <w:bookmarkStart w:id="40" w:name="_Toc506890113"/>
      <w:bookmarkStart w:id="41" w:name="_Toc517178421"/>
      <w:bookmarkStart w:id="42" w:name="_Toc57018373"/>
      <w:r>
        <w:lastRenderedPageBreak/>
        <w:t>Electric Savings (kWh)</w:t>
      </w:r>
      <w:bookmarkEnd w:id="40"/>
      <w:bookmarkEnd w:id="41"/>
      <w:bookmarkEnd w:id="42"/>
    </w:p>
    <w:p w14:paraId="7A164149" w14:textId="61D25DF5" w:rsidR="007F421D" w:rsidRDefault="007F421D" w:rsidP="00B35FC3">
      <w:pPr>
        <w:jc w:val="both"/>
      </w:pPr>
      <w:r>
        <w:t>The electric unit e</w:t>
      </w:r>
      <w:r w:rsidRPr="00E64915">
        <w:t>nergy savings</w:t>
      </w:r>
      <w:r>
        <w:t xml:space="preserve"> (UES)</w:t>
      </w:r>
      <w:r w:rsidRPr="00E64915">
        <w:t xml:space="preserve"> </w:t>
      </w:r>
      <w:r w:rsidR="00DF23C6">
        <w:t>of this measure</w:t>
      </w:r>
      <w:r w:rsidRPr="00E64915">
        <w:t xml:space="preserve"> </w:t>
      </w:r>
      <w:r w:rsidR="00075DD3">
        <w:t>w</w:t>
      </w:r>
      <w:r w:rsidR="005202F9">
        <w:t>ere</w:t>
      </w:r>
      <w:r w:rsidRPr="00E64915">
        <w:t xml:space="preserve"> </w:t>
      </w:r>
      <w:r>
        <w:t>derived from</w:t>
      </w:r>
      <w:r w:rsidR="009C7D4B">
        <w:t xml:space="preserve"> the</w:t>
      </w:r>
      <w:r w:rsidR="00DF6801">
        <w:t xml:space="preserve"> baseline and measure</w:t>
      </w:r>
      <w:r w:rsidR="005F4B51">
        <w:t xml:space="preserve"> case</w:t>
      </w:r>
      <w:r w:rsidR="009C7D4B">
        <w:t xml:space="preserve"> electric</w:t>
      </w:r>
      <w:r>
        <w:t xml:space="preserve"> unit energy consumption (UEC) </w:t>
      </w:r>
      <w:r w:rsidRPr="00E64915">
        <w:t xml:space="preserve">estimated </w:t>
      </w:r>
      <w:r w:rsidR="005202F9">
        <w:t>using</w:t>
      </w:r>
      <w:r w:rsidRPr="00E64915">
        <w:t xml:space="preserve"> </w:t>
      </w:r>
      <w:proofErr w:type="spellStart"/>
      <w:r w:rsidRPr="00E64915">
        <w:t>eQUEST</w:t>
      </w:r>
      <w:proofErr w:type="spellEnd"/>
      <w:r w:rsidRPr="00E64915">
        <w:t xml:space="preserve"> version 3.6</w:t>
      </w:r>
      <w:r>
        <w:t xml:space="preserve">5 </w:t>
      </w:r>
      <w:r w:rsidRPr="00E64915">
        <w:t>energy modeling software</w:t>
      </w:r>
      <w:r w:rsidR="00A776A8">
        <w:t>. The software</w:t>
      </w:r>
      <w:r w:rsidRPr="00E64915">
        <w:t xml:space="preserve"> </w:t>
      </w:r>
      <w:r w:rsidR="00075DD3">
        <w:t>us</w:t>
      </w:r>
      <w:r w:rsidR="00A776A8">
        <w:t>es</w:t>
      </w:r>
      <w:r w:rsidR="00075DD3">
        <w:t xml:space="preserve"> the DOE2.3 energy modeling simulation engine</w:t>
      </w:r>
      <w:r w:rsidR="00A776A8">
        <w:t xml:space="preserve"> for most building types but uses</w:t>
      </w:r>
      <w:r w:rsidRPr="00E64915">
        <w:t xml:space="preserve"> DOE-2.2R energy modeling simulation engine for</w:t>
      </w:r>
      <w:r w:rsidR="00205245">
        <w:t xml:space="preserve"> the</w:t>
      </w:r>
      <w:r w:rsidRPr="00E64915">
        <w:t xml:space="preserve"> </w:t>
      </w:r>
      <w:r w:rsidR="00061297">
        <w:t>G</w:t>
      </w:r>
      <w:r w:rsidRPr="00E64915">
        <w:t>r</w:t>
      </w:r>
      <w:r w:rsidR="00061297">
        <w:t>ocery and R</w:t>
      </w:r>
      <w:r w:rsidRPr="00E64915">
        <w:t>efrigerat</w:t>
      </w:r>
      <w:r w:rsidR="00061297">
        <w:t>ed Warehouse</w:t>
      </w:r>
      <w:r w:rsidRPr="00E64915">
        <w:t xml:space="preserve"> models. </w:t>
      </w:r>
      <w:r w:rsidR="00DA1C06">
        <w:t xml:space="preserve">All modeling was performed using the </w:t>
      </w:r>
      <w:r w:rsidR="003F379B">
        <w:t>CZ2022</w:t>
      </w:r>
      <w:r w:rsidR="00DA1C06">
        <w:t xml:space="preserve"> weather files.</w:t>
      </w:r>
    </w:p>
    <w:p w14:paraId="42D380D6" w14:textId="5E6B5D23" w:rsidR="007F421D" w:rsidRDefault="00A776A8" w:rsidP="00B35FC3">
      <w:pPr>
        <w:jc w:val="both"/>
      </w:pPr>
      <w:r>
        <w:t>DEER2020 p</w:t>
      </w:r>
      <w:r w:rsidR="007F421D">
        <w:t xml:space="preserve">rototypes from the Database of Energy Efficient Resources (DEER) were utilized for the building energy use simulations. The </w:t>
      </w:r>
      <w:r w:rsidR="007F421D" w:rsidRPr="00E64915">
        <w:t xml:space="preserve">DEER </w:t>
      </w:r>
      <w:r w:rsidR="007F421D">
        <w:t xml:space="preserve">2020 </w:t>
      </w:r>
      <w:r w:rsidR="007F421D" w:rsidRPr="00E64915">
        <w:t xml:space="preserve">prototypes were generated using </w:t>
      </w:r>
      <w:r w:rsidR="007F421D">
        <w:t>MASControl3. T</w:t>
      </w:r>
      <w:r w:rsidR="007F421D" w:rsidRPr="00E64915">
        <w:t xml:space="preserve">he DEER </w:t>
      </w:r>
      <w:r w:rsidR="007F421D">
        <w:t xml:space="preserve">2020 prototypes for existing </w:t>
      </w:r>
      <w:r w:rsidR="00496046">
        <w:t xml:space="preserve">era </w:t>
      </w:r>
      <w:r w:rsidR="007F421D">
        <w:t>building vintages</w:t>
      </w:r>
      <w:r w:rsidR="00F70DA9">
        <w:t xml:space="preserve"> (2003, 2007, 2011, &amp; 2015)</w:t>
      </w:r>
      <w:r w:rsidR="007F421D">
        <w:t xml:space="preserve"> for</w:t>
      </w:r>
      <w:r w:rsidR="007F421D" w:rsidRPr="00E64915">
        <w:t xml:space="preserve"> </w:t>
      </w:r>
      <w:r>
        <w:t xml:space="preserve">the </w:t>
      </w:r>
      <w:r w:rsidR="00D42D0E">
        <w:t xml:space="preserve">existing </w:t>
      </w:r>
      <w:r w:rsidR="00EB7E59">
        <w:t>measure s</w:t>
      </w:r>
      <w:r w:rsidR="00955CE0">
        <w:t>pecified in the table</w:t>
      </w:r>
      <w:r w:rsidR="007F421D" w:rsidRPr="00E64915">
        <w:t xml:space="preserve"> </w:t>
      </w:r>
      <w:r w:rsidR="007F421D">
        <w:t>below</w:t>
      </w:r>
      <w:r w:rsidR="007F421D" w:rsidRPr="00E64915">
        <w:t xml:space="preserve"> were used to develop </w:t>
      </w:r>
      <w:r w:rsidR="007F421D">
        <w:t>base and measure case</w:t>
      </w:r>
      <w:r w:rsidR="007F421D" w:rsidRPr="00E64915">
        <w:t xml:space="preserve"> </w:t>
      </w:r>
      <w:r w:rsidR="007F421D">
        <w:t xml:space="preserve">unit </w:t>
      </w:r>
      <w:r w:rsidR="007F421D" w:rsidRPr="00E64915">
        <w:t xml:space="preserve">energy </w:t>
      </w:r>
      <w:r w:rsidR="007F421D">
        <w:t>consumption (UEC)</w:t>
      </w:r>
      <w:r w:rsidR="007F421D" w:rsidRPr="00E64915">
        <w:t xml:space="preserve"> and demand estimates.</w:t>
      </w:r>
    </w:p>
    <w:p w14:paraId="47025A33" w14:textId="2C88F363" w:rsidR="007F421D" w:rsidRPr="009006AC" w:rsidRDefault="00075DD3" w:rsidP="009C5080">
      <w:pPr>
        <w:pStyle w:val="Caption"/>
      </w:pPr>
      <w:r w:rsidRPr="009006AC">
        <w:t>DEER Prototype Tech ID by Measure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224"/>
        <w:gridCol w:w="5126"/>
      </w:tblGrid>
      <w:tr w:rsidR="007F421D" w:rsidRPr="00113466" w14:paraId="47EC0E78" w14:textId="77777777" w:rsidTr="00F34952">
        <w:trPr>
          <w:trHeight w:val="276"/>
          <w:tblHeader/>
        </w:trPr>
        <w:tc>
          <w:tcPr>
            <w:tcW w:w="2259" w:type="pct"/>
            <w:shd w:val="clear" w:color="auto" w:fill="F2F2F2" w:themeFill="background1" w:themeFillShade="F2"/>
            <w:vAlign w:val="bottom"/>
          </w:tcPr>
          <w:p w14:paraId="404B22CE" w14:textId="77777777" w:rsidR="007F421D" w:rsidRPr="00113466" w:rsidRDefault="007F421D" w:rsidP="00F34952">
            <w:pPr>
              <w:spacing w:before="0" w:after="0" w:line="240" w:lineRule="auto"/>
              <w:rPr>
                <w:b/>
                <w:sz w:val="20"/>
              </w:rPr>
            </w:pPr>
            <w:r w:rsidRPr="00113466">
              <w:rPr>
                <w:b/>
                <w:sz w:val="20"/>
              </w:rPr>
              <w:t>Measure</w:t>
            </w:r>
          </w:p>
        </w:tc>
        <w:tc>
          <w:tcPr>
            <w:tcW w:w="2741" w:type="pct"/>
            <w:shd w:val="clear" w:color="auto" w:fill="F2F2F2" w:themeFill="background1" w:themeFillShade="F2"/>
            <w:vAlign w:val="bottom"/>
          </w:tcPr>
          <w:p w14:paraId="1D830F3B" w14:textId="77777777" w:rsidR="007F421D" w:rsidRPr="00113466" w:rsidRDefault="007F421D" w:rsidP="00F34952">
            <w:pPr>
              <w:spacing w:before="0" w:after="0" w:line="240" w:lineRule="auto"/>
              <w:rPr>
                <w:b/>
                <w:sz w:val="20"/>
              </w:rPr>
            </w:pPr>
            <w:r w:rsidRPr="00113466">
              <w:rPr>
                <w:b/>
                <w:sz w:val="20"/>
              </w:rPr>
              <w:t>DEER Prototype Tech ID</w:t>
            </w:r>
          </w:p>
        </w:tc>
      </w:tr>
      <w:tr w:rsidR="007F421D" w:rsidRPr="00113466" w14:paraId="43214CD0" w14:textId="77777777" w:rsidTr="00F34952">
        <w:trPr>
          <w:trHeight w:val="1007"/>
        </w:trPr>
        <w:tc>
          <w:tcPr>
            <w:tcW w:w="2259" w:type="pct"/>
            <w:shd w:val="clear" w:color="auto" w:fill="auto"/>
            <w:vAlign w:val="center"/>
          </w:tcPr>
          <w:p w14:paraId="1829ADBF" w14:textId="433D6780" w:rsidR="007F421D" w:rsidRPr="00113466" w:rsidRDefault="007F421D" w:rsidP="00F34952">
            <w:pPr>
              <w:spacing w:before="0" w:after="0" w:line="240" w:lineRule="auto"/>
              <w:rPr>
                <w:sz w:val="20"/>
                <w:szCs w:val="22"/>
              </w:rPr>
            </w:pPr>
            <w:r>
              <w:rPr>
                <w:sz w:val="20"/>
              </w:rPr>
              <w:t xml:space="preserve">Evaporative Pre-cooler on </w:t>
            </w:r>
            <w:r w:rsidRPr="00113466">
              <w:rPr>
                <w:sz w:val="20"/>
                <w:szCs w:val="22"/>
              </w:rPr>
              <w:t>Variable Volume AC Unit with Gas Heat</w:t>
            </w:r>
          </w:p>
        </w:tc>
        <w:tc>
          <w:tcPr>
            <w:tcW w:w="2741" w:type="pct"/>
            <w:shd w:val="clear" w:color="auto" w:fill="auto"/>
            <w:vAlign w:val="center"/>
          </w:tcPr>
          <w:p w14:paraId="11FB2619" w14:textId="1CEDFB01" w:rsidR="007F421D" w:rsidRPr="00113466" w:rsidRDefault="007F421D" w:rsidP="00F34952">
            <w:pPr>
              <w:spacing w:before="0" w:after="0" w:line="240" w:lineRule="auto"/>
              <w:rPr>
                <w:sz w:val="20"/>
              </w:rPr>
            </w:pPr>
            <w:r w:rsidRPr="00113466">
              <w:rPr>
                <w:b/>
                <w:sz w:val="20"/>
              </w:rPr>
              <w:t>All:</w:t>
            </w:r>
            <w:r w:rsidRPr="00113466">
              <w:rPr>
                <w:sz w:val="20"/>
              </w:rPr>
              <w:t xml:space="preserve"> </w:t>
            </w:r>
            <w:r w:rsidRPr="00EA0DF6">
              <w:rPr>
                <w:sz w:val="20"/>
              </w:rPr>
              <w:t>NE-HVAC-airAC-SpltPkg-240to759kBtuh-</w:t>
            </w:r>
            <w:r w:rsidR="00E513BB">
              <w:rPr>
                <w:sz w:val="20"/>
              </w:rPr>
              <w:t>10</w:t>
            </w:r>
            <w:r w:rsidR="00BE7D63" w:rsidRPr="00EA0DF6">
              <w:rPr>
                <w:sz w:val="20"/>
              </w:rPr>
              <w:t>p8eer</w:t>
            </w:r>
            <w:r w:rsidRPr="00EA0DF6">
              <w:rPr>
                <w:sz w:val="20"/>
              </w:rPr>
              <w:t>_SZ</w:t>
            </w:r>
          </w:p>
          <w:p w14:paraId="6AF138EA" w14:textId="77777777" w:rsidR="007F421D" w:rsidRPr="00113466" w:rsidRDefault="007F421D" w:rsidP="00F34952">
            <w:pPr>
              <w:spacing w:before="0" w:after="0" w:line="240" w:lineRule="auto"/>
              <w:rPr>
                <w:sz w:val="20"/>
                <w:szCs w:val="22"/>
              </w:rPr>
            </w:pPr>
            <w:proofErr w:type="spellStart"/>
            <w:r w:rsidRPr="00113466">
              <w:rPr>
                <w:sz w:val="20"/>
              </w:rPr>
              <w:t>MASControl</w:t>
            </w:r>
            <w:proofErr w:type="spellEnd"/>
            <w:r w:rsidRPr="00113466">
              <w:rPr>
                <w:sz w:val="20"/>
              </w:rPr>
              <w:t xml:space="preserve"> v3.00.</w:t>
            </w:r>
            <w:r>
              <w:rPr>
                <w:sz w:val="20"/>
              </w:rPr>
              <w:t>00</w:t>
            </w:r>
          </w:p>
        </w:tc>
      </w:tr>
    </w:tbl>
    <w:p w14:paraId="56E6AB1F" w14:textId="63936974" w:rsidR="00E513BB" w:rsidRDefault="00E513BB" w:rsidP="00E368D7">
      <w:pPr>
        <w:pStyle w:val="eTRMBulletedText"/>
        <w:jc w:val="both"/>
      </w:pPr>
    </w:p>
    <w:p w14:paraId="7FBEDB6C" w14:textId="2310522F" w:rsidR="00AB15E3" w:rsidRDefault="00C80DCA" w:rsidP="00B35FC3">
      <w:pPr>
        <w:pStyle w:val="eTRMHeading4"/>
        <w:jc w:val="both"/>
      </w:pPr>
      <w:r>
        <w:t xml:space="preserve">Baseline and Measure Case Energy </w:t>
      </w:r>
      <w:r w:rsidR="00F30DE3">
        <w:t>Use Simulations</w:t>
      </w:r>
    </w:p>
    <w:p w14:paraId="0D1053F5" w14:textId="2FC1E8EB" w:rsidR="00A776A8" w:rsidRDefault="005E41C3" w:rsidP="00E368D7">
      <w:pPr>
        <w:pStyle w:val="eTRMBulletedText"/>
        <w:jc w:val="both"/>
      </w:pPr>
      <w:r>
        <w:t>The baseline</w:t>
      </w:r>
      <w:r w:rsidR="00011529">
        <w:t xml:space="preserve"> (Standard)</w:t>
      </w:r>
      <w:r>
        <w:t xml:space="preserve"> model from the extracted DEER2020 measure was </w:t>
      </w:r>
      <w:r w:rsidR="001D7F62">
        <w:t>used for the baseline for both the AOE and NC applications and was adopted without changes</w:t>
      </w:r>
      <w:r>
        <w:t xml:space="preserve">. This baseline model </w:t>
      </w:r>
      <w:r w:rsidR="004474B2">
        <w:t>(</w:t>
      </w:r>
      <w:r w:rsidR="004474B2" w:rsidRPr="004474B2">
        <w:t>cDXGF-PkgAC2SpP-240to760-E9.8</w:t>
      </w:r>
      <w:r w:rsidR="004474B2">
        <w:t>)</w:t>
      </w:r>
      <w:r>
        <w:t xml:space="preserve"> uses the</w:t>
      </w:r>
      <w:r w:rsidR="004474B2">
        <w:t xml:space="preserve"> 2019</w:t>
      </w:r>
      <w:r>
        <w:t xml:space="preserve"> Title 24 standard 9.8 EER for its unit efficiency. As such, this</w:t>
      </w:r>
      <w:r w:rsidR="00A776A8">
        <w:t xml:space="preserve"> baseline is conservative for the AOE application type due to the degradation of efficiency and lower performance of the existin</w:t>
      </w:r>
      <w:r>
        <w:t>g older vintage</w:t>
      </w:r>
      <w:r w:rsidR="00A776A8">
        <w:t xml:space="preserve"> package</w:t>
      </w:r>
      <w:r w:rsidR="006C4901">
        <w:t>d</w:t>
      </w:r>
      <w:r w:rsidR="00A776A8">
        <w:t xml:space="preserve"> units.</w:t>
      </w:r>
    </w:p>
    <w:p w14:paraId="0DFCB553" w14:textId="79ABB1BB" w:rsidR="00E513BB" w:rsidRPr="00DD0046" w:rsidRDefault="00AB15E3" w:rsidP="00B35FC3">
      <w:pPr>
        <w:jc w:val="both"/>
      </w:pPr>
      <w:r>
        <w:t xml:space="preserve">The baseline models were modified to simulate </w:t>
      </w:r>
      <w:r w:rsidR="006927FC">
        <w:t>the measure case</w:t>
      </w:r>
      <w:r w:rsidR="008E36B8">
        <w:t xml:space="preserve"> energy use</w:t>
      </w:r>
      <w:r w:rsidR="00427620">
        <w:t xml:space="preserve">. The </w:t>
      </w:r>
      <w:r w:rsidR="002D1CBC">
        <w:t>required modifications</w:t>
      </w:r>
      <w:r w:rsidR="006927FC">
        <w:t xml:space="preserve"> </w:t>
      </w:r>
      <w:r w:rsidR="008049CF">
        <w:t xml:space="preserve">to the </w:t>
      </w:r>
      <w:proofErr w:type="spellStart"/>
      <w:r w:rsidR="00C74539">
        <w:t>eQUEST</w:t>
      </w:r>
      <w:proofErr w:type="spellEnd"/>
      <w:r w:rsidR="00C74539">
        <w:t xml:space="preserve"> default </w:t>
      </w:r>
      <w:r w:rsidR="000A27FD">
        <w:t>keywords</w:t>
      </w:r>
      <w:r w:rsidR="00020888">
        <w:t xml:space="preserve"> wi</w:t>
      </w:r>
      <w:r w:rsidR="006244BE">
        <w:t xml:space="preserve">thin the </w:t>
      </w:r>
      <w:r w:rsidR="009B0A0C">
        <w:t>DEER</w:t>
      </w:r>
      <w:r w:rsidR="00CF7210">
        <w:t xml:space="preserve"> prototypes are </w:t>
      </w:r>
      <w:r w:rsidR="006927FC">
        <w:t>summarized in the table below.</w:t>
      </w:r>
    </w:p>
    <w:p w14:paraId="6C51647F" w14:textId="09A4133B" w:rsidR="00C01229" w:rsidRPr="00C01229" w:rsidRDefault="00C01229" w:rsidP="009C5080">
      <w:pPr>
        <w:pStyle w:val="Caption"/>
      </w:pPr>
      <w:r w:rsidRPr="00C01229">
        <w:t xml:space="preserve">Summary of </w:t>
      </w:r>
      <w:r>
        <w:t xml:space="preserve">Modifications for </w:t>
      </w:r>
      <w:r w:rsidR="006927FC">
        <w:t>Measure Case Simulations</w:t>
      </w:r>
    </w:p>
    <w:tbl>
      <w:tblPr>
        <w:tblStyle w:val="TableGrid1"/>
        <w:tblW w:w="936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880"/>
        <w:gridCol w:w="3865"/>
        <w:gridCol w:w="2615"/>
      </w:tblGrid>
      <w:tr w:rsidR="00C01229" w:rsidRPr="00EB52FF" w14:paraId="0E5EF0AF" w14:textId="77777777" w:rsidTr="006A322C">
        <w:trPr>
          <w:tblHeader/>
        </w:trPr>
        <w:tc>
          <w:tcPr>
            <w:tcW w:w="2880" w:type="dxa"/>
            <w:shd w:val="clear" w:color="auto" w:fill="F2F2F2" w:themeFill="background1" w:themeFillShade="F2"/>
            <w:vAlign w:val="center"/>
          </w:tcPr>
          <w:p w14:paraId="000C73B4" w14:textId="77777777" w:rsidR="00C01229" w:rsidRPr="00EB52FF" w:rsidRDefault="00C01229" w:rsidP="00943DDC">
            <w:pPr>
              <w:spacing w:before="0" w:after="0" w:line="240" w:lineRule="auto"/>
              <w:rPr>
                <w:rFonts w:cstheme="minorHAnsi"/>
                <w:b/>
                <w:sz w:val="20"/>
              </w:rPr>
            </w:pPr>
            <w:proofErr w:type="spellStart"/>
            <w:r w:rsidRPr="00EB52FF">
              <w:rPr>
                <w:rFonts w:cstheme="minorHAnsi"/>
                <w:b/>
                <w:sz w:val="20"/>
              </w:rPr>
              <w:t>eQUEST</w:t>
            </w:r>
            <w:proofErr w:type="spellEnd"/>
            <w:r w:rsidRPr="00EB52FF">
              <w:rPr>
                <w:rFonts w:cstheme="minorHAnsi"/>
                <w:b/>
                <w:sz w:val="20"/>
              </w:rPr>
              <w:t xml:space="preserve"> Keyword</w:t>
            </w:r>
          </w:p>
        </w:tc>
        <w:tc>
          <w:tcPr>
            <w:tcW w:w="3865" w:type="dxa"/>
            <w:shd w:val="clear" w:color="auto" w:fill="F2F2F2" w:themeFill="background1" w:themeFillShade="F2"/>
            <w:vAlign w:val="center"/>
          </w:tcPr>
          <w:p w14:paraId="78BF6C85" w14:textId="4A9C85BE" w:rsidR="00C01229" w:rsidRPr="00EB52FF" w:rsidRDefault="00003ED9" w:rsidP="00DD0046">
            <w:pPr>
              <w:spacing w:before="0" w:after="0" w:line="240" w:lineRule="auto"/>
              <w:jc w:val="center"/>
              <w:rPr>
                <w:rFonts w:cstheme="minorHAnsi"/>
                <w:b/>
                <w:sz w:val="20"/>
              </w:rPr>
            </w:pPr>
            <w:r>
              <w:rPr>
                <w:rFonts w:cstheme="minorHAnsi"/>
                <w:b/>
                <w:sz w:val="20"/>
              </w:rPr>
              <w:t xml:space="preserve">Default </w:t>
            </w:r>
            <w:r w:rsidR="005E41C3">
              <w:rPr>
                <w:rFonts w:cstheme="minorHAnsi"/>
                <w:b/>
                <w:sz w:val="20"/>
              </w:rPr>
              <w:t xml:space="preserve">DEER Prototype </w:t>
            </w:r>
            <w:r w:rsidR="00C01229" w:rsidRPr="00EB52FF">
              <w:rPr>
                <w:rFonts w:cstheme="minorHAnsi"/>
                <w:b/>
                <w:sz w:val="20"/>
              </w:rPr>
              <w:t>Baseline Value</w:t>
            </w:r>
          </w:p>
        </w:tc>
        <w:tc>
          <w:tcPr>
            <w:tcW w:w="2615" w:type="dxa"/>
            <w:shd w:val="clear" w:color="auto" w:fill="F2F2F2" w:themeFill="background1" w:themeFillShade="F2"/>
            <w:vAlign w:val="center"/>
          </w:tcPr>
          <w:p w14:paraId="62B329FE" w14:textId="05BA84EC" w:rsidR="00C01229" w:rsidRPr="00EB52FF" w:rsidRDefault="00C71F59" w:rsidP="00DD0046">
            <w:pPr>
              <w:spacing w:before="0" w:after="0" w:line="240" w:lineRule="auto"/>
              <w:jc w:val="center"/>
              <w:rPr>
                <w:rFonts w:cstheme="minorHAnsi"/>
                <w:b/>
                <w:sz w:val="20"/>
              </w:rPr>
            </w:pPr>
            <w:r>
              <w:rPr>
                <w:rFonts w:cstheme="minorHAnsi"/>
                <w:b/>
                <w:sz w:val="20"/>
              </w:rPr>
              <w:t>Modified Measure Value</w:t>
            </w:r>
          </w:p>
        </w:tc>
      </w:tr>
      <w:tr w:rsidR="00C01229" w:rsidRPr="00AD1DE6" w14:paraId="44ABD58E" w14:textId="77777777" w:rsidTr="006A322C">
        <w:tc>
          <w:tcPr>
            <w:tcW w:w="2880" w:type="dxa"/>
          </w:tcPr>
          <w:p w14:paraId="6B442344" w14:textId="47A4A777" w:rsidR="00C01229" w:rsidRPr="00EB52FF" w:rsidRDefault="00C71F59" w:rsidP="00C01229">
            <w:pPr>
              <w:spacing w:before="0" w:after="0" w:line="240" w:lineRule="auto"/>
              <w:rPr>
                <w:rFonts w:cs="Arial"/>
                <w:sz w:val="20"/>
                <w:szCs w:val="22"/>
              </w:rPr>
            </w:pPr>
            <w:r w:rsidRPr="00C71F59">
              <w:rPr>
                <w:rFonts w:cs="Arial"/>
                <w:sz w:val="20"/>
                <w:szCs w:val="22"/>
              </w:rPr>
              <w:t>SYSTEM:</w:t>
            </w:r>
            <w:r>
              <w:rPr>
                <w:rFonts w:cs="Arial"/>
                <w:sz w:val="20"/>
                <w:szCs w:val="22"/>
              </w:rPr>
              <w:t xml:space="preserve"> </w:t>
            </w:r>
            <w:r w:rsidRPr="00C71F59">
              <w:rPr>
                <w:rFonts w:cs="Arial"/>
                <w:sz w:val="20"/>
                <w:szCs w:val="22"/>
              </w:rPr>
              <w:t>CONDENSER-TYPE</w:t>
            </w:r>
          </w:p>
        </w:tc>
        <w:tc>
          <w:tcPr>
            <w:tcW w:w="3865" w:type="dxa"/>
            <w:vAlign w:val="center"/>
          </w:tcPr>
          <w:p w14:paraId="3009E2A9" w14:textId="12B96889" w:rsidR="00C01229" w:rsidRPr="00AD1DE6" w:rsidRDefault="00C71F59" w:rsidP="00DD0046">
            <w:pPr>
              <w:spacing w:before="0" w:after="0" w:line="240" w:lineRule="auto"/>
              <w:jc w:val="center"/>
              <w:rPr>
                <w:rFonts w:cs="Calibri Light"/>
                <w:sz w:val="20"/>
              </w:rPr>
            </w:pPr>
            <w:r>
              <w:rPr>
                <w:rFonts w:cs="Calibri Light"/>
                <w:sz w:val="20"/>
              </w:rPr>
              <w:t>AIR-COOLED</w:t>
            </w:r>
          </w:p>
        </w:tc>
        <w:tc>
          <w:tcPr>
            <w:tcW w:w="2615" w:type="dxa"/>
            <w:vAlign w:val="center"/>
          </w:tcPr>
          <w:p w14:paraId="06494A16" w14:textId="1388853D" w:rsidR="00C01229" w:rsidRPr="00AD1DE6" w:rsidRDefault="00C71F59" w:rsidP="00DD0046">
            <w:pPr>
              <w:spacing w:before="0" w:after="0" w:line="240" w:lineRule="auto"/>
              <w:jc w:val="center"/>
              <w:rPr>
                <w:rFonts w:cs="Calibri Light"/>
                <w:sz w:val="20"/>
              </w:rPr>
            </w:pPr>
            <w:r w:rsidRPr="00C71F59">
              <w:rPr>
                <w:rFonts w:cs="Calibri Light"/>
                <w:sz w:val="20"/>
              </w:rPr>
              <w:t>EVAP-PRECOOLED</w:t>
            </w:r>
          </w:p>
        </w:tc>
      </w:tr>
      <w:tr w:rsidR="00C01229" w:rsidRPr="00AD1DE6" w14:paraId="58F62A4E" w14:textId="77777777" w:rsidTr="006A322C">
        <w:tc>
          <w:tcPr>
            <w:tcW w:w="2880" w:type="dxa"/>
          </w:tcPr>
          <w:p w14:paraId="008EACAF" w14:textId="0DB2F24C" w:rsidR="00C01229" w:rsidRDefault="00C71F59" w:rsidP="00C01229">
            <w:pPr>
              <w:spacing w:before="0" w:after="0" w:line="240" w:lineRule="auto"/>
              <w:rPr>
                <w:rFonts w:cs="Arial"/>
                <w:sz w:val="20"/>
                <w:szCs w:val="22"/>
              </w:rPr>
            </w:pPr>
            <w:r w:rsidRPr="00C71F59">
              <w:rPr>
                <w:rFonts w:cs="Arial"/>
                <w:sz w:val="20"/>
                <w:szCs w:val="22"/>
              </w:rPr>
              <w:t>SYSTEM:</w:t>
            </w:r>
            <w:r>
              <w:rPr>
                <w:rFonts w:cs="Arial"/>
                <w:sz w:val="20"/>
                <w:szCs w:val="22"/>
              </w:rPr>
              <w:t xml:space="preserve"> </w:t>
            </w:r>
            <w:r w:rsidRPr="00C71F59">
              <w:rPr>
                <w:rFonts w:cs="Arial"/>
                <w:sz w:val="20"/>
                <w:szCs w:val="22"/>
              </w:rPr>
              <w:t>EVAP-PCC-EFF</w:t>
            </w:r>
          </w:p>
        </w:tc>
        <w:tc>
          <w:tcPr>
            <w:tcW w:w="3865" w:type="dxa"/>
            <w:vAlign w:val="center"/>
          </w:tcPr>
          <w:p w14:paraId="7C836526" w14:textId="25060BA7" w:rsidR="00C01229" w:rsidRPr="00C71F59" w:rsidRDefault="00C71F59" w:rsidP="00DD0046">
            <w:pPr>
              <w:spacing w:before="0" w:after="0" w:line="240" w:lineRule="auto"/>
              <w:jc w:val="center"/>
              <w:rPr>
                <w:rFonts w:cs="Calibri Light"/>
                <w:sz w:val="20"/>
              </w:rPr>
            </w:pPr>
            <w:r w:rsidRPr="00DD0046">
              <w:rPr>
                <w:rFonts w:cs="Calibri Light"/>
                <w:sz w:val="20"/>
              </w:rPr>
              <w:t>n/a</w:t>
            </w:r>
          </w:p>
        </w:tc>
        <w:tc>
          <w:tcPr>
            <w:tcW w:w="2615" w:type="dxa"/>
            <w:vAlign w:val="center"/>
          </w:tcPr>
          <w:p w14:paraId="57CC701F" w14:textId="4B58F53F" w:rsidR="00C01229" w:rsidRPr="00AD1DE6" w:rsidRDefault="00C71F59" w:rsidP="00DD0046">
            <w:pPr>
              <w:spacing w:before="0" w:after="0" w:line="240" w:lineRule="auto"/>
              <w:jc w:val="center"/>
              <w:rPr>
                <w:rFonts w:cs="Calibri Light"/>
                <w:sz w:val="20"/>
              </w:rPr>
            </w:pPr>
            <w:r>
              <w:rPr>
                <w:rFonts w:cs="Calibri Light"/>
                <w:sz w:val="20"/>
              </w:rPr>
              <w:t>0.7</w:t>
            </w:r>
            <w:r w:rsidR="00223F26">
              <w:rPr>
                <w:rStyle w:val="FootnoteReference"/>
              </w:rPr>
              <w:footnoteReference w:id="3"/>
            </w:r>
          </w:p>
        </w:tc>
      </w:tr>
      <w:tr w:rsidR="00C71F59" w:rsidRPr="00AD1DE6" w14:paraId="7373C88F" w14:textId="77777777" w:rsidTr="006A322C">
        <w:tc>
          <w:tcPr>
            <w:tcW w:w="2880" w:type="dxa"/>
          </w:tcPr>
          <w:p w14:paraId="0F5ECCC7" w14:textId="03EF192C" w:rsidR="00C71F59" w:rsidRDefault="00C71F59" w:rsidP="00C01229">
            <w:pPr>
              <w:spacing w:before="0" w:after="0" w:line="240" w:lineRule="auto"/>
              <w:rPr>
                <w:rFonts w:cs="Arial"/>
                <w:sz w:val="20"/>
                <w:szCs w:val="22"/>
              </w:rPr>
            </w:pPr>
            <w:r w:rsidRPr="00C71F59">
              <w:rPr>
                <w:rFonts w:cs="Arial"/>
                <w:sz w:val="20"/>
                <w:szCs w:val="22"/>
              </w:rPr>
              <w:t>SYSTEM:</w:t>
            </w:r>
            <w:r>
              <w:rPr>
                <w:rFonts w:cs="Arial"/>
                <w:sz w:val="20"/>
                <w:szCs w:val="22"/>
              </w:rPr>
              <w:t xml:space="preserve"> </w:t>
            </w:r>
            <w:r w:rsidRPr="00C71F59">
              <w:rPr>
                <w:rFonts w:cs="Arial"/>
                <w:sz w:val="20"/>
                <w:szCs w:val="22"/>
              </w:rPr>
              <w:t>EVAP-PCC-SCH</w:t>
            </w:r>
          </w:p>
        </w:tc>
        <w:tc>
          <w:tcPr>
            <w:tcW w:w="3865" w:type="dxa"/>
            <w:vAlign w:val="center"/>
          </w:tcPr>
          <w:p w14:paraId="42E298DA" w14:textId="278B1D55" w:rsidR="00C71F59" w:rsidRPr="00C71F59" w:rsidRDefault="00C71F59" w:rsidP="00DD0046">
            <w:pPr>
              <w:spacing w:before="0" w:after="0" w:line="240" w:lineRule="auto"/>
              <w:jc w:val="center"/>
              <w:rPr>
                <w:rFonts w:cs="Calibri Light"/>
                <w:sz w:val="20"/>
              </w:rPr>
            </w:pPr>
            <w:r w:rsidRPr="008A0194">
              <w:rPr>
                <w:rFonts w:cs="Calibri Light"/>
                <w:sz w:val="20"/>
              </w:rPr>
              <w:t>n/a</w:t>
            </w:r>
          </w:p>
        </w:tc>
        <w:tc>
          <w:tcPr>
            <w:tcW w:w="2615" w:type="dxa"/>
            <w:vAlign w:val="center"/>
          </w:tcPr>
          <w:p w14:paraId="0A0EC3A2" w14:textId="7C276669" w:rsidR="00C71F59" w:rsidRPr="00AD1DE6" w:rsidRDefault="00C71F59" w:rsidP="00DD0046">
            <w:pPr>
              <w:spacing w:before="0" w:after="0" w:line="240" w:lineRule="auto"/>
              <w:jc w:val="center"/>
              <w:rPr>
                <w:rFonts w:cs="Calibri Light"/>
                <w:sz w:val="20"/>
              </w:rPr>
            </w:pPr>
            <w:proofErr w:type="spellStart"/>
            <w:r>
              <w:rPr>
                <w:rFonts w:cs="Calibri Light"/>
                <w:sz w:val="20"/>
              </w:rPr>
              <w:t>EvapCoolAvail</w:t>
            </w:r>
            <w:proofErr w:type="spellEnd"/>
            <w:r>
              <w:rPr>
                <w:rFonts w:cs="Calibri Light"/>
                <w:sz w:val="20"/>
              </w:rPr>
              <w:t xml:space="preserve"> Sch</w:t>
            </w:r>
          </w:p>
        </w:tc>
      </w:tr>
    </w:tbl>
    <w:p w14:paraId="7616A12A" w14:textId="3FDF31F1" w:rsidR="00C71F59" w:rsidRDefault="00C71F59" w:rsidP="00B35FC3">
      <w:pPr>
        <w:jc w:val="both"/>
      </w:pPr>
      <w:bookmarkStart w:id="43" w:name="_Ref22279457"/>
    </w:p>
    <w:p w14:paraId="724AEFD2" w14:textId="53FBB806" w:rsidR="00BE2B01" w:rsidRPr="006A2C5B" w:rsidRDefault="00BE2B01" w:rsidP="00B35FC3">
      <w:pPr>
        <w:jc w:val="both"/>
      </w:pPr>
      <w:r w:rsidRPr="006A2C5B">
        <w:t xml:space="preserve">Simulating the evaporative pre-cooler in </w:t>
      </w:r>
      <w:proofErr w:type="spellStart"/>
      <w:r w:rsidRPr="006A2C5B">
        <w:t>eQuest</w:t>
      </w:r>
      <w:proofErr w:type="spellEnd"/>
      <w:r w:rsidRPr="006A2C5B">
        <w:t xml:space="preserve"> does not change the capacity curve (“</w:t>
      </w:r>
      <w:proofErr w:type="spellStart"/>
      <w:r w:rsidRPr="006A2C5B">
        <w:t>DX-Cool-Cap-fEWB&amp;OAT</w:t>
      </w:r>
      <w:proofErr w:type="spellEnd"/>
      <w:r w:rsidRPr="006A2C5B">
        <w:t xml:space="preserve">”) that is default from the DEER models. However, when the pre-cooler is in operation the </w:t>
      </w:r>
      <w:r w:rsidRPr="006A2C5B">
        <w:lastRenderedPageBreak/>
        <w:t xml:space="preserve">entering wet bulb and outdoor dry bulb will be lower than the base case, resulting in improved EIR of the system. </w:t>
      </w:r>
    </w:p>
    <w:p w14:paraId="5418D070" w14:textId="10482CA4" w:rsidR="005E41C3" w:rsidRPr="006A2C5B" w:rsidRDefault="005E41C3" w:rsidP="00B35FC3">
      <w:pPr>
        <w:jc w:val="both"/>
      </w:pPr>
      <w:r w:rsidRPr="006A2C5B">
        <w:t>A 70% evaporative precooler effectiveness was selected based on</w:t>
      </w:r>
      <w:r w:rsidR="004474B2" w:rsidRPr="006A2C5B">
        <w:t xml:space="preserve"> the ET study “Laboratory and Field Testing of RTU Optimization Package</w:t>
      </w:r>
      <w:r w:rsidR="006C4901" w:rsidRPr="006A2C5B">
        <w:t>d</w:t>
      </w:r>
      <w:r w:rsidR="004474B2" w:rsidRPr="006A2C5B">
        <w:t xml:space="preserve"> Combining a Condenser-Air Pre-Cooler with Compressor Speed Reduction”</w:t>
      </w:r>
      <w:r w:rsidR="004474B2" w:rsidRPr="006A2C5B">
        <w:rPr>
          <w:rStyle w:val="FootnoteReference"/>
        </w:rPr>
        <w:footnoteReference w:id="4"/>
      </w:r>
      <w:r w:rsidR="004474B2" w:rsidRPr="006A2C5B">
        <w:t>.</w:t>
      </w:r>
      <w:r w:rsidR="00BE2B01" w:rsidRPr="006A2C5B">
        <w:t xml:space="preserve"> </w:t>
      </w:r>
    </w:p>
    <w:p w14:paraId="432E73ED" w14:textId="7ACFA25B" w:rsidR="00C94A95" w:rsidRPr="006A2C5B" w:rsidRDefault="00FB1D3B" w:rsidP="00B35FC3">
      <w:pPr>
        <w:jc w:val="both"/>
      </w:pPr>
      <w:r w:rsidRPr="006A2C5B">
        <w:t>Condenser coil surface area is directly related to unit efficiency (EER). The workpaper uses standard code baseline efficiency</w:t>
      </w:r>
      <w:r w:rsidR="00C94A95" w:rsidRPr="006A2C5B">
        <w:t xml:space="preserve">. No new efficiency tiers based on baseline condenser coil sizes at this time. The analysis may be updated </w:t>
      </w:r>
      <w:proofErr w:type="gramStart"/>
      <w:r w:rsidR="00C94A95" w:rsidRPr="006A2C5B">
        <w:t>at a later date</w:t>
      </w:r>
      <w:proofErr w:type="gramEnd"/>
      <w:r w:rsidR="00C94A95" w:rsidRPr="006A2C5B">
        <w:t xml:space="preserve"> based on the results of data collection outlined in this workpaper. </w:t>
      </w:r>
    </w:p>
    <w:p w14:paraId="6F74FD92" w14:textId="4641C6A3" w:rsidR="00C71F59" w:rsidRPr="006A2C5B" w:rsidRDefault="00B64A4B" w:rsidP="00E368D7">
      <w:pPr>
        <w:pStyle w:val="eTRMBulletedText"/>
        <w:jc w:val="both"/>
      </w:pPr>
      <w:bookmarkStart w:id="44" w:name="_Hlk61599296"/>
      <w:r w:rsidRPr="006A2C5B">
        <w:t xml:space="preserve">The </w:t>
      </w:r>
      <w:r w:rsidR="00370F3A" w:rsidRPr="006A2C5B">
        <w:t>ET</w:t>
      </w:r>
      <w:r w:rsidR="00C71F59" w:rsidRPr="006A2C5B">
        <w:t xml:space="preserve"> study </w:t>
      </w:r>
      <w:r w:rsidR="00370F3A" w:rsidRPr="006A2C5B">
        <w:t>set</w:t>
      </w:r>
      <w:r w:rsidR="00C71F59" w:rsidRPr="006A2C5B">
        <w:t xml:space="preserve"> the </w:t>
      </w:r>
      <w:r w:rsidR="00370F3A" w:rsidRPr="006A2C5B">
        <w:t>activation</w:t>
      </w:r>
      <w:r w:rsidR="00C71F59" w:rsidRPr="006A2C5B">
        <w:t xml:space="preserve"> temperature setpoint </w:t>
      </w:r>
      <w:r w:rsidR="00370F3A" w:rsidRPr="006A2C5B">
        <w:t>for the evaporative pre-cooler at 76°F wet bulb</w:t>
      </w:r>
      <w:r w:rsidR="00C71F59" w:rsidRPr="006A2C5B">
        <w:t>.</w:t>
      </w:r>
      <w:r w:rsidR="00C71F59" w:rsidRPr="006A2C5B">
        <w:rPr>
          <w:vertAlign w:val="superscript"/>
        </w:rPr>
        <w:footnoteReference w:id="5"/>
      </w:r>
      <w:r w:rsidR="00C71F59" w:rsidRPr="006A2C5B">
        <w:t xml:space="preserve"> However, </w:t>
      </w:r>
      <w:proofErr w:type="spellStart"/>
      <w:r w:rsidR="00C71F59" w:rsidRPr="006A2C5B">
        <w:t>eQuest</w:t>
      </w:r>
      <w:proofErr w:type="spellEnd"/>
      <w:r w:rsidR="00C71F59" w:rsidRPr="006A2C5B">
        <w:t xml:space="preserve"> does not allow the use of wet bulb temperatures when creating </w:t>
      </w:r>
      <w:r w:rsidR="00370F3A" w:rsidRPr="006A2C5B">
        <w:t>schedules</w:t>
      </w:r>
      <w:r w:rsidR="00C71F59" w:rsidRPr="006A2C5B">
        <w:t>.</w:t>
      </w:r>
      <w:r w:rsidRPr="006A2C5B">
        <w:t xml:space="preserve"> Manufactures were contacted in the 4th quarter of 2020 in order to determine how these systems were controlled in real world applications. The evaporative pre-cooler</w:t>
      </w:r>
      <w:r w:rsidR="001A28D3" w:rsidRPr="006A2C5B">
        <w:t xml:space="preserve"> </w:t>
      </w:r>
      <w:r w:rsidRPr="006A2C5B">
        <w:t xml:space="preserve">systems are set with a default activation temperature from the factory, which is adjustable in order to optimize performance for the local climate where the system will ultimately be installed. </w:t>
      </w:r>
      <w:r w:rsidR="00C31BC9" w:rsidRPr="006A2C5B">
        <w:t xml:space="preserve">Of the two </w:t>
      </w:r>
      <w:r w:rsidR="001F533F" w:rsidRPr="006A2C5B">
        <w:t xml:space="preserve">interviewed </w:t>
      </w:r>
      <w:r w:rsidR="00C31BC9" w:rsidRPr="006A2C5B">
        <w:t xml:space="preserve">manufacturers, </w:t>
      </w:r>
      <w:r w:rsidRPr="006A2C5B">
        <w:t xml:space="preserve">Manufacturer A set their default activation temperature to 70°F dry bulb, while Manufacturer B set their default activation set point to 72°F dry bulb with a 10°F wet bulb depression. </w:t>
      </w:r>
      <w:r w:rsidR="00BD1CBE" w:rsidRPr="006A2C5B">
        <w:t>For the purposes of modeling this measure, 72°F was used as the activation setpoint temperature</w:t>
      </w:r>
      <w:r w:rsidR="001B6E0C" w:rsidRPr="006A2C5B">
        <w:t xml:space="preserve"> regardless of climate zone,</w:t>
      </w:r>
      <w:r w:rsidR="00BD1CBE" w:rsidRPr="006A2C5B">
        <w:t xml:space="preserve"> as it was determined to be the more conservative value.</w:t>
      </w:r>
      <w:bookmarkEnd w:id="43"/>
    </w:p>
    <w:bookmarkEnd w:id="44"/>
    <w:p w14:paraId="50E6BB1B" w14:textId="0A9C921F" w:rsidR="003F790A" w:rsidRPr="006A322C" w:rsidRDefault="003F790A" w:rsidP="00E368D7">
      <w:pPr>
        <w:pStyle w:val="eTRMBulletedText"/>
        <w:jc w:val="both"/>
      </w:pPr>
      <w:r w:rsidRPr="006A2C5B">
        <w:t xml:space="preserve">The </w:t>
      </w:r>
      <w:proofErr w:type="spellStart"/>
      <w:r w:rsidRPr="006A2C5B">
        <w:t>eQuest</w:t>
      </w:r>
      <w:proofErr w:type="spellEnd"/>
      <w:r w:rsidRPr="006A2C5B">
        <w:t xml:space="preserve"> evaporative pre-cooler availability schedule was set to enable the evaporative pre-cooler at a specified temperature as was</w:t>
      </w:r>
      <w:r w:rsidRPr="00F17780">
        <w:t xml:space="preserve"> modeled as an ON/OFF/TEMP schedule in </w:t>
      </w:r>
      <w:proofErr w:type="spellStart"/>
      <w:r w:rsidRPr="00F17780">
        <w:t>eQuest</w:t>
      </w:r>
      <w:proofErr w:type="spellEnd"/>
      <w:r w:rsidRPr="00F17780">
        <w:t>. The schedule is set to activate the evaporative precooler wheneve</w:t>
      </w:r>
      <w:r w:rsidRPr="003F790A">
        <w:t xml:space="preserve">r the ambient dry bulb temperature is at or above </w:t>
      </w:r>
      <w:r w:rsidR="00BD1CBE">
        <w:t>72</w:t>
      </w:r>
      <w:r w:rsidRPr="003F790A">
        <w:t>°F.</w:t>
      </w:r>
      <w:r>
        <w:t xml:space="preserve"> </w:t>
      </w:r>
    </w:p>
    <w:p w14:paraId="16AA4F79" w14:textId="77777777" w:rsidR="002004F3" w:rsidRDefault="002004F3" w:rsidP="002004F3">
      <w:pPr>
        <w:pStyle w:val="eTRMHeading4"/>
      </w:pPr>
      <w:r>
        <w:t>Vintage Weighted Average</w:t>
      </w:r>
    </w:p>
    <w:p w14:paraId="1EB7A06A" w14:textId="77777777" w:rsidR="002004F3" w:rsidRDefault="002004F3" w:rsidP="00B35FC3">
      <w:pPr>
        <w:jc w:val="both"/>
      </w:pPr>
      <w:r>
        <w:t>Baseline and measure simulations used the DEER 2020 building vintages</w:t>
      </w:r>
      <w:r w:rsidRPr="006A322C">
        <w:rPr>
          <w:rStyle w:val="FootnoteReference"/>
        </w:rPr>
        <w:footnoteReference w:id="6"/>
      </w:r>
      <w:r w:rsidRPr="006A322C">
        <w:rPr>
          <w:rStyle w:val="FootnoteReference"/>
        </w:rPr>
        <w:t xml:space="preserve"> </w:t>
      </w:r>
      <w:r>
        <w:t>(below).</w:t>
      </w:r>
    </w:p>
    <w:p w14:paraId="0591B29E" w14:textId="77777777" w:rsidR="002004F3" w:rsidRDefault="002004F3" w:rsidP="009C5080">
      <w:pPr>
        <w:pStyle w:val="Caption"/>
      </w:pPr>
      <w:r>
        <w:t>DEER Building Vintage Codes and Descriptions</w:t>
      </w:r>
    </w:p>
    <w:tbl>
      <w:tblPr>
        <w:tblStyle w:val="TableGrid1"/>
        <w:tblW w:w="4929"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302"/>
        <w:gridCol w:w="6915"/>
      </w:tblGrid>
      <w:tr w:rsidR="002004F3" w14:paraId="027C9067" w14:textId="77777777" w:rsidTr="00FF37EC">
        <w:trPr>
          <w:trHeight w:val="127"/>
          <w:tblHeader/>
        </w:trPr>
        <w:tc>
          <w:tcPr>
            <w:tcW w:w="1249"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hideMark/>
          </w:tcPr>
          <w:p w14:paraId="417DFC0A" w14:textId="77777777" w:rsidR="002004F3" w:rsidRDefault="002004F3" w:rsidP="00FF37EC">
            <w:pPr>
              <w:spacing w:before="0" w:after="0" w:line="240" w:lineRule="auto"/>
              <w:jc w:val="center"/>
              <w:rPr>
                <w:rFonts w:cs="Calibri"/>
                <w:b/>
                <w:bCs/>
                <w:sz w:val="20"/>
                <w:szCs w:val="22"/>
              </w:rPr>
            </w:pPr>
            <w:r>
              <w:rPr>
                <w:rFonts w:cs="Calibri"/>
                <w:b/>
                <w:bCs/>
                <w:sz w:val="20"/>
                <w:szCs w:val="22"/>
              </w:rPr>
              <w:t>DEER Vintage Code</w:t>
            </w:r>
          </w:p>
        </w:tc>
        <w:tc>
          <w:tcPr>
            <w:tcW w:w="3751" w:type="pct"/>
            <w:tcBorders>
              <w:top w:val="single" w:sz="4" w:space="0" w:color="A6A6A6"/>
              <w:left w:val="single" w:sz="4" w:space="0" w:color="A6A6A6"/>
              <w:bottom w:val="single" w:sz="4" w:space="0" w:color="A6A6A6"/>
              <w:right w:val="single" w:sz="4" w:space="0" w:color="A6A6A6"/>
            </w:tcBorders>
            <w:shd w:val="clear" w:color="auto" w:fill="F2F2F2" w:themeFill="background1" w:themeFillShade="F2"/>
            <w:hideMark/>
          </w:tcPr>
          <w:p w14:paraId="193ADEA8" w14:textId="77777777" w:rsidR="002004F3" w:rsidRDefault="002004F3" w:rsidP="00FF37EC">
            <w:pPr>
              <w:spacing w:before="0" w:after="0" w:line="240" w:lineRule="auto"/>
              <w:jc w:val="center"/>
              <w:rPr>
                <w:rFonts w:cs="Arial"/>
                <w:b/>
                <w:sz w:val="20"/>
                <w:szCs w:val="22"/>
              </w:rPr>
            </w:pPr>
            <w:r>
              <w:rPr>
                <w:rFonts w:cs="Arial"/>
                <w:b/>
                <w:sz w:val="20"/>
                <w:szCs w:val="22"/>
              </w:rPr>
              <w:t>Description</w:t>
            </w:r>
          </w:p>
        </w:tc>
      </w:tr>
      <w:tr w:rsidR="002004F3" w14:paraId="5430DDE8" w14:textId="77777777" w:rsidTr="00FF37EC">
        <w:trPr>
          <w:trHeight w:val="273"/>
        </w:trPr>
        <w:tc>
          <w:tcPr>
            <w:tcW w:w="1249" w:type="pct"/>
            <w:tcBorders>
              <w:top w:val="single" w:sz="4" w:space="0" w:color="A6A6A6"/>
              <w:left w:val="single" w:sz="4" w:space="0" w:color="A6A6A6"/>
              <w:bottom w:val="single" w:sz="4" w:space="0" w:color="A6A6A6"/>
              <w:right w:val="single" w:sz="4" w:space="0" w:color="A6A6A6"/>
            </w:tcBorders>
            <w:hideMark/>
          </w:tcPr>
          <w:p w14:paraId="7FBC69D3" w14:textId="77777777" w:rsidR="002004F3" w:rsidRDefault="002004F3" w:rsidP="00FF37EC">
            <w:pPr>
              <w:spacing w:before="0" w:after="0" w:line="240" w:lineRule="auto"/>
              <w:jc w:val="center"/>
              <w:rPr>
                <w:sz w:val="20"/>
                <w:szCs w:val="22"/>
              </w:rPr>
            </w:pPr>
            <w:r>
              <w:rPr>
                <w:sz w:val="20"/>
                <w:szCs w:val="22"/>
              </w:rPr>
              <w:t>Ex</w:t>
            </w:r>
          </w:p>
        </w:tc>
        <w:tc>
          <w:tcPr>
            <w:tcW w:w="3751" w:type="pct"/>
            <w:tcBorders>
              <w:top w:val="single" w:sz="4" w:space="0" w:color="A6A6A6"/>
              <w:left w:val="single" w:sz="4" w:space="0" w:color="A6A6A6"/>
              <w:bottom w:val="single" w:sz="4" w:space="0" w:color="A6A6A6"/>
              <w:right w:val="single" w:sz="4" w:space="0" w:color="A6A6A6"/>
            </w:tcBorders>
            <w:hideMark/>
          </w:tcPr>
          <w:p w14:paraId="7A34BC83" w14:textId="77777777" w:rsidR="002004F3" w:rsidRDefault="002004F3" w:rsidP="00FF37EC">
            <w:pPr>
              <w:spacing w:before="0" w:after="0" w:line="240" w:lineRule="auto"/>
              <w:jc w:val="center"/>
              <w:rPr>
                <w:sz w:val="20"/>
                <w:szCs w:val="22"/>
              </w:rPr>
            </w:pPr>
            <w:r>
              <w:t xml:space="preserve"> N</w:t>
            </w:r>
            <w:r>
              <w:rPr>
                <w:sz w:val="20"/>
                <w:szCs w:val="22"/>
              </w:rPr>
              <w:t>on-Mobile Homes 2002 - 2016; default vintage for existing buildings</w:t>
            </w:r>
          </w:p>
        </w:tc>
      </w:tr>
      <w:tr w:rsidR="002004F3" w14:paraId="6A4D779E" w14:textId="77777777" w:rsidTr="00FF37EC">
        <w:trPr>
          <w:trHeight w:val="280"/>
        </w:trPr>
        <w:tc>
          <w:tcPr>
            <w:tcW w:w="1249" w:type="pct"/>
            <w:tcBorders>
              <w:top w:val="single" w:sz="4" w:space="0" w:color="A6A6A6"/>
              <w:left w:val="single" w:sz="4" w:space="0" w:color="A6A6A6"/>
              <w:bottom w:val="single" w:sz="4" w:space="0" w:color="A6A6A6"/>
              <w:right w:val="single" w:sz="4" w:space="0" w:color="A6A6A6"/>
            </w:tcBorders>
            <w:hideMark/>
          </w:tcPr>
          <w:p w14:paraId="71BDF1E8" w14:textId="77777777" w:rsidR="002004F3" w:rsidRDefault="002004F3" w:rsidP="00FF37EC">
            <w:pPr>
              <w:spacing w:before="0" w:after="0" w:line="240" w:lineRule="auto"/>
              <w:jc w:val="center"/>
              <w:rPr>
                <w:sz w:val="20"/>
                <w:szCs w:val="22"/>
              </w:rPr>
            </w:pPr>
            <w:r>
              <w:rPr>
                <w:sz w:val="20"/>
                <w:szCs w:val="22"/>
              </w:rPr>
              <w:t>V03</w:t>
            </w:r>
          </w:p>
        </w:tc>
        <w:tc>
          <w:tcPr>
            <w:tcW w:w="3751" w:type="pct"/>
            <w:tcBorders>
              <w:top w:val="single" w:sz="4" w:space="0" w:color="A6A6A6"/>
              <w:left w:val="single" w:sz="4" w:space="0" w:color="A6A6A6"/>
              <w:bottom w:val="single" w:sz="4" w:space="0" w:color="A6A6A6"/>
              <w:right w:val="single" w:sz="4" w:space="0" w:color="A6A6A6"/>
            </w:tcBorders>
            <w:hideMark/>
          </w:tcPr>
          <w:p w14:paraId="1EF64F50" w14:textId="77777777" w:rsidR="002004F3" w:rsidRDefault="002004F3" w:rsidP="00FF37EC">
            <w:pPr>
              <w:spacing w:before="0" w:after="0" w:line="240" w:lineRule="auto"/>
              <w:jc w:val="center"/>
              <w:rPr>
                <w:sz w:val="20"/>
                <w:szCs w:val="22"/>
              </w:rPr>
            </w:pPr>
            <w:r>
              <w:t>Existing building stock built between 2002 and 2005</w:t>
            </w:r>
          </w:p>
        </w:tc>
      </w:tr>
      <w:tr w:rsidR="002004F3" w14:paraId="5615F3A3" w14:textId="77777777" w:rsidTr="00FF37EC">
        <w:trPr>
          <w:trHeight w:val="286"/>
        </w:trPr>
        <w:tc>
          <w:tcPr>
            <w:tcW w:w="1249" w:type="pct"/>
            <w:tcBorders>
              <w:top w:val="single" w:sz="4" w:space="0" w:color="A6A6A6"/>
              <w:left w:val="single" w:sz="4" w:space="0" w:color="A6A6A6"/>
              <w:bottom w:val="single" w:sz="4" w:space="0" w:color="A6A6A6"/>
              <w:right w:val="single" w:sz="4" w:space="0" w:color="A6A6A6"/>
            </w:tcBorders>
            <w:hideMark/>
          </w:tcPr>
          <w:p w14:paraId="38F2D425" w14:textId="77777777" w:rsidR="002004F3" w:rsidRDefault="002004F3" w:rsidP="00FF37EC">
            <w:pPr>
              <w:spacing w:before="0" w:after="0" w:line="240" w:lineRule="auto"/>
              <w:jc w:val="center"/>
              <w:rPr>
                <w:sz w:val="20"/>
                <w:szCs w:val="22"/>
              </w:rPr>
            </w:pPr>
            <w:r>
              <w:rPr>
                <w:sz w:val="20"/>
                <w:szCs w:val="22"/>
              </w:rPr>
              <w:t>V07</w:t>
            </w:r>
          </w:p>
        </w:tc>
        <w:tc>
          <w:tcPr>
            <w:tcW w:w="3751" w:type="pct"/>
            <w:tcBorders>
              <w:top w:val="single" w:sz="4" w:space="0" w:color="A6A6A6"/>
              <w:left w:val="single" w:sz="4" w:space="0" w:color="A6A6A6"/>
              <w:bottom w:val="single" w:sz="4" w:space="0" w:color="A6A6A6"/>
              <w:right w:val="single" w:sz="4" w:space="0" w:color="A6A6A6"/>
            </w:tcBorders>
            <w:hideMark/>
          </w:tcPr>
          <w:p w14:paraId="56C170EC" w14:textId="77777777" w:rsidR="002004F3" w:rsidRDefault="002004F3" w:rsidP="00FF37EC">
            <w:pPr>
              <w:spacing w:before="0" w:after="0" w:line="240" w:lineRule="auto"/>
              <w:jc w:val="center"/>
              <w:rPr>
                <w:sz w:val="20"/>
                <w:szCs w:val="22"/>
              </w:rPr>
            </w:pPr>
            <w:r>
              <w:t>Existing building stock built between 2006 and 2009</w:t>
            </w:r>
          </w:p>
        </w:tc>
      </w:tr>
      <w:tr w:rsidR="002004F3" w14:paraId="76AD0A1D" w14:textId="77777777" w:rsidTr="00FF37EC">
        <w:trPr>
          <w:trHeight w:val="286"/>
        </w:trPr>
        <w:tc>
          <w:tcPr>
            <w:tcW w:w="1249" w:type="pct"/>
            <w:tcBorders>
              <w:top w:val="single" w:sz="4" w:space="0" w:color="A6A6A6"/>
              <w:left w:val="single" w:sz="4" w:space="0" w:color="A6A6A6"/>
              <w:bottom w:val="single" w:sz="4" w:space="0" w:color="A6A6A6"/>
              <w:right w:val="single" w:sz="4" w:space="0" w:color="A6A6A6"/>
            </w:tcBorders>
            <w:hideMark/>
          </w:tcPr>
          <w:p w14:paraId="23308F41" w14:textId="77777777" w:rsidR="002004F3" w:rsidRDefault="002004F3" w:rsidP="00FF37EC">
            <w:pPr>
              <w:spacing w:before="0" w:after="0" w:line="240" w:lineRule="auto"/>
              <w:jc w:val="center"/>
              <w:rPr>
                <w:sz w:val="20"/>
                <w:szCs w:val="22"/>
              </w:rPr>
            </w:pPr>
            <w:r>
              <w:rPr>
                <w:sz w:val="20"/>
                <w:szCs w:val="22"/>
              </w:rPr>
              <w:t>V11</w:t>
            </w:r>
          </w:p>
        </w:tc>
        <w:tc>
          <w:tcPr>
            <w:tcW w:w="3751" w:type="pct"/>
            <w:tcBorders>
              <w:top w:val="single" w:sz="4" w:space="0" w:color="A6A6A6"/>
              <w:left w:val="single" w:sz="4" w:space="0" w:color="A6A6A6"/>
              <w:bottom w:val="single" w:sz="4" w:space="0" w:color="A6A6A6"/>
              <w:right w:val="single" w:sz="4" w:space="0" w:color="A6A6A6"/>
            </w:tcBorders>
            <w:hideMark/>
          </w:tcPr>
          <w:p w14:paraId="18F47EB1" w14:textId="77777777" w:rsidR="002004F3" w:rsidRDefault="002004F3" w:rsidP="00FF37EC">
            <w:pPr>
              <w:spacing w:before="0" w:after="0" w:line="240" w:lineRule="auto"/>
              <w:jc w:val="center"/>
              <w:rPr>
                <w:sz w:val="20"/>
                <w:szCs w:val="22"/>
              </w:rPr>
            </w:pPr>
            <w:r>
              <w:t>Existing building stock built between 2010 and 2013</w:t>
            </w:r>
          </w:p>
        </w:tc>
      </w:tr>
      <w:tr w:rsidR="002004F3" w14:paraId="3B89EE78" w14:textId="77777777" w:rsidTr="00FF37EC">
        <w:trPr>
          <w:trHeight w:val="280"/>
        </w:trPr>
        <w:tc>
          <w:tcPr>
            <w:tcW w:w="1249" w:type="pct"/>
            <w:tcBorders>
              <w:top w:val="single" w:sz="4" w:space="0" w:color="A6A6A6"/>
              <w:left w:val="single" w:sz="4" w:space="0" w:color="A6A6A6"/>
              <w:bottom w:val="single" w:sz="4" w:space="0" w:color="A6A6A6"/>
              <w:right w:val="single" w:sz="4" w:space="0" w:color="A6A6A6"/>
            </w:tcBorders>
            <w:hideMark/>
          </w:tcPr>
          <w:p w14:paraId="6769F51E" w14:textId="77777777" w:rsidR="002004F3" w:rsidRDefault="002004F3" w:rsidP="00FF37EC">
            <w:pPr>
              <w:spacing w:before="0" w:after="0" w:line="240" w:lineRule="auto"/>
              <w:jc w:val="center"/>
              <w:rPr>
                <w:sz w:val="20"/>
                <w:szCs w:val="22"/>
              </w:rPr>
            </w:pPr>
            <w:r>
              <w:rPr>
                <w:sz w:val="20"/>
                <w:szCs w:val="22"/>
              </w:rPr>
              <w:t>V15</w:t>
            </w:r>
          </w:p>
        </w:tc>
        <w:tc>
          <w:tcPr>
            <w:tcW w:w="3751" w:type="pct"/>
            <w:tcBorders>
              <w:top w:val="single" w:sz="4" w:space="0" w:color="A6A6A6"/>
              <w:left w:val="single" w:sz="4" w:space="0" w:color="A6A6A6"/>
              <w:bottom w:val="single" w:sz="4" w:space="0" w:color="A6A6A6"/>
              <w:right w:val="single" w:sz="4" w:space="0" w:color="A6A6A6"/>
            </w:tcBorders>
            <w:hideMark/>
          </w:tcPr>
          <w:p w14:paraId="66ED6008" w14:textId="77777777" w:rsidR="002004F3" w:rsidRDefault="002004F3" w:rsidP="00FF37EC">
            <w:pPr>
              <w:spacing w:before="0" w:after="0" w:line="240" w:lineRule="auto"/>
              <w:jc w:val="center"/>
              <w:rPr>
                <w:sz w:val="20"/>
                <w:szCs w:val="22"/>
              </w:rPr>
            </w:pPr>
            <w:r>
              <w:rPr>
                <w:sz w:val="20"/>
                <w:szCs w:val="22"/>
              </w:rPr>
              <w:t xml:space="preserve"> </w:t>
            </w:r>
            <w:r>
              <w:t>Existing building stock built between 2014 and 2016</w:t>
            </w:r>
          </w:p>
        </w:tc>
      </w:tr>
    </w:tbl>
    <w:p w14:paraId="358E4A16" w14:textId="77777777" w:rsidR="002004F3" w:rsidRDefault="002004F3" w:rsidP="002004F3">
      <w:pPr>
        <w:pStyle w:val="Reminders0"/>
        <w:rPr>
          <w:rFonts w:asciiTheme="minorHAnsi" w:hAnsiTheme="minorHAnsi" w:cstheme="minorHAnsi"/>
          <w:i w:val="0"/>
          <w:color w:val="auto"/>
          <w:szCs w:val="22"/>
        </w:rPr>
      </w:pPr>
    </w:p>
    <w:p w14:paraId="2EBCF553" w14:textId="18A9DFDC" w:rsidR="002004F3" w:rsidRDefault="002004F3" w:rsidP="00B35FC3">
      <w:pPr>
        <w:jc w:val="both"/>
      </w:pPr>
      <w:r>
        <w:lastRenderedPageBreak/>
        <w:t>DEER 2020 vintage weighting tables and procedures were used to appropriately weight all measure electric and demand reduction savings according to each vintage per IOU, building type for Climate Zone</w:t>
      </w:r>
      <w:r w:rsidR="001B6E0C">
        <w:t>s 12, 13, and</w:t>
      </w:r>
      <w:r>
        <w:t xml:space="preserve"> 15. </w:t>
      </w:r>
      <w:r w:rsidRPr="006025E7">
        <w:t>The following equation describes the weighting methodology.</w:t>
      </w:r>
    </w:p>
    <w:p w14:paraId="221C47FF" w14:textId="77777777" w:rsidR="002004F3" w:rsidRPr="00683A3B" w:rsidRDefault="002004F3" w:rsidP="009C5080">
      <w:pPr>
        <w:ind w:left="720"/>
      </w:pPr>
      <m:oMathPara>
        <m:oMathParaPr>
          <m:jc m:val="left"/>
        </m:oMathParaPr>
        <m:oMath>
          <m:r>
            <w:rPr>
              <w:rFonts w:ascii="Cambria Math" w:hAnsi="Cambria Math" w:hint="eastAsia"/>
            </w:rPr>
            <m:t>final weig</m:t>
          </m:r>
          <m:r>
            <w:rPr>
              <w:rFonts w:ascii="Cambria Math" w:hAnsi="Cambria Math" w:hint="eastAsia"/>
            </w:rPr>
            <m:t>h</m:t>
          </m:r>
          <m:r>
            <w:rPr>
              <w:rFonts w:ascii="Cambria Math" w:hAnsi="Cambria Math" w:hint="eastAsia"/>
            </w:rPr>
            <m:t>ted value =</m:t>
          </m:r>
          <m:r>
            <w:rPr>
              <w:rFonts w:ascii="Cambria Math" w:hAnsi="Cambria Math"/>
            </w:rPr>
            <m:t>(</m:t>
          </m:r>
          <m:sSubSup>
            <m:sSubSupPr>
              <m:ctrlPr>
                <w:rPr>
                  <w:rFonts w:ascii="Cambria Math" w:hAnsi="Cambria Math"/>
                  <w:i/>
                </w:rPr>
              </m:ctrlPr>
            </m:sSubSupPr>
            <m:e>
              <m:r>
                <w:rPr>
                  <w:rFonts w:ascii="Cambria Math" w:hAnsi="Cambria Math" w:hint="eastAsia"/>
                </w:rPr>
                <m:t>∑</m:t>
              </m:r>
            </m:e>
            <m:sub>
              <m:r>
                <w:rPr>
                  <w:rFonts w:ascii="Cambria Math" w:hAnsi="Cambria Math"/>
                </w:rPr>
                <m:t>i=75</m:t>
              </m:r>
            </m:sub>
            <m:sup>
              <m:r>
                <w:rPr>
                  <w:rFonts w:ascii="Cambria Math" w:hAnsi="Cambria Math"/>
                </w:rPr>
                <m:t>7</m:t>
              </m:r>
            </m:sup>
          </m:sSubSup>
          <m:r>
            <w:rPr>
              <w:rFonts w:ascii="Cambria Math" w:hAnsi="Cambria Math" w:hint="eastAsia"/>
            </w:rPr>
            <m:t xml:space="preserve"> </m:t>
          </m:r>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 xml:space="preserve"> </m:t>
          </m:r>
          <m:r>
            <w:rPr>
              <w:rFonts w:ascii="Cambria Math" w:hAnsi="Cambria Math" w:hint="eastAsia"/>
            </w:rPr>
            <m:t>×</m:t>
          </m:r>
          <m:r>
            <w:rPr>
              <w:rFonts w:ascii="Cambria Math" w:hAnsi="Cambria Math" w:hint="eastAsia"/>
            </w:rPr>
            <m:t xml:space="preserve"> </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m:t>
          </m:r>
          <m:sSubSup>
            <m:sSubSupPr>
              <m:ctrlPr>
                <w:rPr>
                  <w:rFonts w:ascii="Cambria Math" w:hAnsi="Cambria Math"/>
                  <w:i/>
                </w:rPr>
              </m:ctrlPr>
            </m:sSubSupPr>
            <m:e>
              <m:r>
                <w:rPr>
                  <w:rFonts w:ascii="Cambria Math" w:hAnsi="Cambria Math" w:hint="eastAsia"/>
                </w:rPr>
                <m:t>∑</m:t>
              </m:r>
            </m:e>
            <m:sub>
              <m:r>
                <w:rPr>
                  <w:rFonts w:ascii="Cambria Math" w:hAnsi="Cambria Math"/>
                </w:rPr>
                <m:t>i=75</m:t>
              </m:r>
            </m:sub>
            <m:sup>
              <m:r>
                <w:rPr>
                  <w:rFonts w:ascii="Cambria Math" w:hAnsi="Cambria Math"/>
                </w:rPr>
                <m:t>7</m:t>
              </m:r>
            </m:sup>
          </m:sSubSup>
          <m:r>
            <w:rPr>
              <w:rFonts w:ascii="Cambria Math" w:hAnsi="Cambria Math"/>
            </w:rPr>
            <m:t xml:space="preserve"> </m:t>
          </m:r>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m:t>
          </m:r>
        </m:oMath>
      </m:oMathPara>
    </w:p>
    <w:p w14:paraId="3202C91F" w14:textId="77777777" w:rsidR="002004F3" w:rsidRPr="00222AF8" w:rsidRDefault="002004F3" w:rsidP="009C5080">
      <w:pPr>
        <w:ind w:left="1440"/>
        <w:rPr>
          <w:rFonts w:ascii="Cambria Math" w:hAnsi="Cambria Math"/>
          <w:i/>
          <w:sz w:val="18"/>
          <w:szCs w:val="18"/>
        </w:rPr>
      </w:pPr>
      <w:r w:rsidRPr="00222AF8">
        <w:rPr>
          <w:rFonts w:ascii="Cambria Math" w:hAnsi="Cambria Math"/>
          <w:i/>
          <w:sz w:val="18"/>
          <w:szCs w:val="18"/>
        </w:rPr>
        <w:t xml:space="preserve">final weighted value </w:t>
      </w:r>
      <w:proofErr w:type="gramStart"/>
      <w:r w:rsidRPr="00222AF8">
        <w:rPr>
          <w:rFonts w:ascii="Cambria Math" w:hAnsi="Cambria Math"/>
          <w:i/>
          <w:sz w:val="18"/>
          <w:szCs w:val="18"/>
        </w:rPr>
        <w:t>=</w:t>
      </w:r>
      <w:r>
        <w:rPr>
          <w:rFonts w:ascii="Cambria Math" w:hAnsi="Cambria Math"/>
          <w:i/>
          <w:sz w:val="18"/>
          <w:szCs w:val="18"/>
        </w:rPr>
        <w:t xml:space="preserve">  </w:t>
      </w:r>
      <w:r w:rsidRPr="00222AF8">
        <w:rPr>
          <w:rFonts w:ascii="Cambria Math" w:hAnsi="Cambria Math"/>
          <w:i/>
          <w:sz w:val="18"/>
          <w:szCs w:val="18"/>
        </w:rPr>
        <w:t>Reported</w:t>
      </w:r>
      <w:proofErr w:type="gramEnd"/>
      <w:r w:rsidRPr="00222AF8">
        <w:rPr>
          <w:rFonts w:ascii="Cambria Math" w:hAnsi="Cambria Math"/>
          <w:i/>
          <w:sz w:val="18"/>
          <w:szCs w:val="18"/>
        </w:rPr>
        <w:t xml:space="preserve"> energy savings value (kWh/ton, kW/ton, or </w:t>
      </w:r>
      <w:proofErr w:type="spellStart"/>
      <w:r w:rsidRPr="00222AF8">
        <w:rPr>
          <w:rFonts w:ascii="Cambria Math" w:hAnsi="Cambria Math"/>
          <w:i/>
          <w:sz w:val="18"/>
          <w:szCs w:val="18"/>
        </w:rPr>
        <w:t>therms</w:t>
      </w:r>
      <w:proofErr w:type="spellEnd"/>
      <w:r w:rsidRPr="00222AF8">
        <w:rPr>
          <w:rFonts w:ascii="Cambria Math" w:hAnsi="Cambria Math"/>
          <w:i/>
          <w:sz w:val="18"/>
          <w:szCs w:val="18"/>
        </w:rPr>
        <w:t>/ton)</w:t>
      </w:r>
    </w:p>
    <w:p w14:paraId="2FEA68AE" w14:textId="77777777" w:rsidR="002004F3" w:rsidRPr="00222AF8" w:rsidRDefault="002004F3" w:rsidP="009C5080">
      <w:pPr>
        <w:ind w:left="1440"/>
        <w:rPr>
          <w:rFonts w:ascii="Cambria Math" w:hAnsi="Cambria Math"/>
          <w:i/>
          <w:sz w:val="18"/>
          <w:szCs w:val="18"/>
        </w:rPr>
      </w:pPr>
      <w:proofErr w:type="spellStart"/>
      <w:r w:rsidRPr="00222AF8">
        <w:rPr>
          <w:rFonts w:ascii="Cambria Math" w:hAnsi="Cambria Math"/>
          <w:i/>
          <w:sz w:val="18"/>
          <w:szCs w:val="18"/>
        </w:rPr>
        <w:t>i</w:t>
      </w:r>
      <w:proofErr w:type="spellEnd"/>
      <w:r w:rsidRPr="00222AF8">
        <w:rPr>
          <w:rFonts w:ascii="Cambria Math" w:hAnsi="Cambria Math"/>
          <w:i/>
          <w:sz w:val="18"/>
          <w:szCs w:val="18"/>
        </w:rPr>
        <w:t xml:space="preserve"> = </w:t>
      </w:r>
      <w:r>
        <w:rPr>
          <w:rFonts w:ascii="Cambria Math" w:hAnsi="Cambria Math"/>
          <w:i/>
          <w:sz w:val="18"/>
          <w:szCs w:val="18"/>
        </w:rPr>
        <w:t xml:space="preserve">                                      </w:t>
      </w:r>
      <w:r w:rsidRPr="00222AF8">
        <w:rPr>
          <w:rFonts w:ascii="Cambria Math" w:hAnsi="Cambria Math"/>
          <w:i/>
          <w:sz w:val="18"/>
          <w:szCs w:val="18"/>
        </w:rPr>
        <w:t>Vintage</w:t>
      </w:r>
    </w:p>
    <w:p w14:paraId="4EBE9A73" w14:textId="77777777" w:rsidR="002004F3" w:rsidRPr="00222AF8" w:rsidRDefault="002004F3" w:rsidP="009C5080">
      <w:pPr>
        <w:ind w:left="1440"/>
        <w:rPr>
          <w:rFonts w:ascii="Cambria Math" w:hAnsi="Cambria Math"/>
          <w:i/>
          <w:sz w:val="18"/>
          <w:szCs w:val="18"/>
        </w:rPr>
      </w:pPr>
      <w:r w:rsidRPr="00222AF8">
        <w:rPr>
          <w:rFonts w:ascii="Cambria Math" w:hAnsi="Cambria Math"/>
          <w:i/>
          <w:sz w:val="18"/>
          <w:szCs w:val="18"/>
        </w:rPr>
        <w:t xml:space="preserve">W = </w:t>
      </w:r>
      <w:r>
        <w:rPr>
          <w:rFonts w:ascii="Cambria Math" w:hAnsi="Cambria Math"/>
          <w:i/>
          <w:sz w:val="18"/>
          <w:szCs w:val="18"/>
        </w:rPr>
        <w:t xml:space="preserve">                                   </w:t>
      </w:r>
      <w:r w:rsidRPr="00222AF8">
        <w:rPr>
          <w:rFonts w:ascii="Cambria Math" w:hAnsi="Cambria Math"/>
          <w:i/>
          <w:sz w:val="18"/>
          <w:szCs w:val="18"/>
        </w:rPr>
        <w:t xml:space="preserve">Weight for a given vintage </w:t>
      </w:r>
      <w:proofErr w:type="spellStart"/>
      <w:r w:rsidRPr="00222AF8">
        <w:rPr>
          <w:rFonts w:ascii="Cambria Math" w:hAnsi="Cambria Math"/>
          <w:i/>
          <w:sz w:val="18"/>
          <w:szCs w:val="18"/>
        </w:rPr>
        <w:t>i</w:t>
      </w:r>
      <w:proofErr w:type="spellEnd"/>
    </w:p>
    <w:p w14:paraId="0138134F" w14:textId="77777777" w:rsidR="002004F3" w:rsidRPr="00222AF8" w:rsidRDefault="002004F3" w:rsidP="009C5080">
      <w:pPr>
        <w:ind w:left="1440"/>
        <w:rPr>
          <w:rFonts w:ascii="Cambria Math" w:hAnsi="Cambria Math"/>
          <w:i/>
          <w:sz w:val="18"/>
          <w:szCs w:val="18"/>
        </w:rPr>
      </w:pPr>
      <w:r w:rsidRPr="00222AF8">
        <w:rPr>
          <w:rFonts w:ascii="Cambria Math" w:hAnsi="Cambria Math"/>
          <w:i/>
          <w:sz w:val="18"/>
          <w:szCs w:val="18"/>
        </w:rPr>
        <w:t xml:space="preserve">V = </w:t>
      </w:r>
      <w:r>
        <w:rPr>
          <w:rFonts w:ascii="Cambria Math" w:hAnsi="Cambria Math"/>
          <w:i/>
          <w:sz w:val="18"/>
          <w:szCs w:val="18"/>
        </w:rPr>
        <w:t xml:space="preserve">                                     </w:t>
      </w:r>
      <w:r w:rsidRPr="00222AF8">
        <w:rPr>
          <w:rFonts w:ascii="Cambria Math" w:hAnsi="Cambria Math"/>
          <w:i/>
          <w:sz w:val="18"/>
          <w:szCs w:val="18"/>
        </w:rPr>
        <w:t xml:space="preserve">Unit energy savings value for a given vintage (kWh/ton, kW/ton, or </w:t>
      </w:r>
      <w:proofErr w:type="spellStart"/>
      <w:r w:rsidRPr="00222AF8">
        <w:rPr>
          <w:rFonts w:ascii="Cambria Math" w:hAnsi="Cambria Math"/>
          <w:i/>
          <w:sz w:val="18"/>
          <w:szCs w:val="18"/>
        </w:rPr>
        <w:t>therms</w:t>
      </w:r>
      <w:proofErr w:type="spellEnd"/>
      <w:r w:rsidRPr="00222AF8">
        <w:rPr>
          <w:rFonts w:ascii="Cambria Math" w:hAnsi="Cambria Math"/>
          <w:i/>
          <w:sz w:val="18"/>
          <w:szCs w:val="18"/>
        </w:rPr>
        <w:t>/ton)</w:t>
      </w:r>
    </w:p>
    <w:p w14:paraId="3F07508F" w14:textId="77777777" w:rsidR="002004F3" w:rsidRDefault="002004F3" w:rsidP="004B31A9">
      <w:pPr>
        <w:pStyle w:val="eTRMHeading4"/>
      </w:pPr>
    </w:p>
    <w:p w14:paraId="6B48A4F4" w14:textId="6094943A" w:rsidR="00AB390F" w:rsidRPr="00FE33C6" w:rsidRDefault="00AB390F" w:rsidP="00B35FC3">
      <w:pPr>
        <w:pStyle w:val="eTRMHeading4"/>
        <w:jc w:val="both"/>
      </w:pPr>
      <w:r w:rsidRPr="00FE33C6">
        <w:t xml:space="preserve">Electric </w:t>
      </w:r>
      <w:r w:rsidR="001C5B02">
        <w:t xml:space="preserve">Unit </w:t>
      </w:r>
      <w:r w:rsidRPr="00FE33C6">
        <w:t>Energy Savings</w:t>
      </w:r>
    </w:p>
    <w:p w14:paraId="2F970682" w14:textId="41E6B603" w:rsidR="00641996" w:rsidRDefault="00735387" w:rsidP="00B35FC3">
      <w:pPr>
        <w:jc w:val="both"/>
      </w:pPr>
      <w:r>
        <w:t xml:space="preserve">The electric UES was calculated as the difference </w:t>
      </w:r>
      <w:r w:rsidR="00884680">
        <w:t xml:space="preserve">between </w:t>
      </w:r>
      <w:r w:rsidR="000E5ACA">
        <w:t>the</w:t>
      </w:r>
      <w:r w:rsidR="001F521F">
        <w:t xml:space="preserve"> </w:t>
      </w:r>
      <w:r w:rsidR="000E5ACA">
        <w:t xml:space="preserve">vintage weighted baseline and measure case </w:t>
      </w:r>
      <w:r w:rsidR="001E7EE2">
        <w:t>UEC</w:t>
      </w:r>
      <w:r w:rsidR="0092418F">
        <w:t xml:space="preserve">. </w:t>
      </w:r>
      <w:r w:rsidR="00422957" w:rsidRPr="00FE33C6">
        <w:t xml:space="preserve">The </w:t>
      </w:r>
      <w:r w:rsidR="0069373C">
        <w:t>electric UES</w:t>
      </w:r>
      <w:r w:rsidR="008F254E">
        <w:t xml:space="preserve"> (kWh per year per </w:t>
      </w:r>
      <w:r w:rsidR="002057A5">
        <w:t>ton</w:t>
      </w:r>
      <w:r w:rsidR="008F254E">
        <w:t>)</w:t>
      </w:r>
      <w:r w:rsidR="00422957" w:rsidRPr="00FE33C6">
        <w:t xml:space="preserve"> </w:t>
      </w:r>
      <w:r w:rsidR="0069373C">
        <w:t>was</w:t>
      </w:r>
      <w:r w:rsidR="00422957" w:rsidRPr="00FE33C6">
        <w:t xml:space="preserve"> calculated by dividing the total energy savings by the total </w:t>
      </w:r>
      <w:r w:rsidR="000420FC">
        <w:t>building HVAC cooling</w:t>
      </w:r>
      <w:r w:rsidR="002057A5">
        <w:t xml:space="preserve"> capacity.</w:t>
      </w:r>
      <w:r w:rsidR="00641996" w:rsidRPr="00FE33C6">
        <w:t xml:space="preserve"> </w:t>
      </w:r>
    </w:p>
    <w:p w14:paraId="16C7935F" w14:textId="49BA6615" w:rsidR="00641996" w:rsidRPr="00F17780" w:rsidRDefault="003C7E79">
      <w:pPr>
        <w:ind w:left="720"/>
        <w:rPr>
          <w:rFonts w:ascii="Cambria Math" w:hAnsi="Cambria Math"/>
          <w:i/>
          <w:sz w:val="18"/>
          <w:szCs w:val="18"/>
        </w:rPr>
      </w:pPr>
      <m:oMathPara>
        <m:oMathParaPr>
          <m:jc m:val="left"/>
        </m:oMathParaPr>
        <m:oMath>
          <m:r>
            <w:rPr>
              <w:rFonts w:ascii="Cambria Math" w:hAnsi="Cambria Math"/>
              <w:sz w:val="18"/>
              <w:szCs w:val="18"/>
            </w:rPr>
            <m:t>ES=</m:t>
          </m:r>
          <m:sSub>
            <m:sSubPr>
              <m:ctrlPr>
                <w:rPr>
                  <w:rFonts w:ascii="Cambria Math" w:hAnsi="Cambria Math"/>
                  <w:i/>
                  <w:sz w:val="18"/>
                  <w:szCs w:val="18"/>
                </w:rPr>
              </m:ctrlPr>
            </m:sSubPr>
            <m:e>
              <m:r>
                <w:rPr>
                  <w:rFonts w:ascii="Cambria Math" w:hAnsi="Cambria Math"/>
                  <w:sz w:val="18"/>
                  <w:szCs w:val="18"/>
                </w:rPr>
                <m:t>EC</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EC</m:t>
              </m:r>
            </m:e>
            <m:sub>
              <m:r>
                <w:rPr>
                  <w:rFonts w:ascii="Cambria Math" w:hAnsi="Cambria Math"/>
                  <w:sz w:val="18"/>
                  <w:szCs w:val="18"/>
                </w:rPr>
                <m:t>Measure</m:t>
              </m:r>
            </m:sub>
          </m:sSub>
        </m:oMath>
      </m:oMathPara>
    </w:p>
    <w:p w14:paraId="33B15E55" w14:textId="79A0E1BB" w:rsidR="000344DE" w:rsidRPr="00F17780" w:rsidRDefault="0014672E" w:rsidP="00641996">
      <w:pPr>
        <w:ind w:left="720"/>
        <w:rPr>
          <w:rFonts w:ascii="Cambria Math" w:hAnsi="Cambria Math"/>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UES</m:t>
              </m:r>
            </m:e>
            <m:sub>
              <m:r>
                <w:rPr>
                  <w:rFonts w:ascii="Cambria Math" w:hAnsi="Cambria Math"/>
                  <w:sz w:val="18"/>
                  <w:szCs w:val="18"/>
                </w:rPr>
                <m:t>Tons</m:t>
              </m:r>
            </m:sub>
          </m:sSub>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ES</m:t>
              </m:r>
            </m:num>
            <m:den>
              <m:r>
                <w:rPr>
                  <w:rFonts w:ascii="Cambria Math" w:hAnsi="Cambria Math"/>
                  <w:sz w:val="18"/>
                  <w:szCs w:val="18"/>
                </w:rPr>
                <m:t>Cap. Tons</m:t>
              </m:r>
            </m:den>
          </m:f>
        </m:oMath>
      </m:oMathPara>
    </w:p>
    <w:p w14:paraId="15AB254A" w14:textId="77777777" w:rsidR="00641996" w:rsidRDefault="00641996">
      <w:pPr>
        <w:ind w:left="720"/>
        <w:rPr>
          <w:rFonts w:ascii="Cambria Math" w:hAnsi="Cambria Math"/>
          <w:i/>
          <w:sz w:val="18"/>
          <w:szCs w:val="18"/>
        </w:rPr>
      </w:pPr>
    </w:p>
    <w:p w14:paraId="61C24CBD" w14:textId="34F4B98A" w:rsidR="00641996" w:rsidRDefault="00641996" w:rsidP="00641996">
      <w:pPr>
        <w:tabs>
          <w:tab w:val="left" w:pos="2970"/>
        </w:tabs>
        <w:spacing w:before="20" w:after="20"/>
        <w:ind w:left="1440"/>
        <w:rPr>
          <w:rFonts w:ascii="Cambria Math" w:hAnsi="Cambria Math"/>
          <w:i/>
          <w:sz w:val="18"/>
          <w:szCs w:val="18"/>
        </w:rPr>
      </w:pPr>
      <w:r>
        <w:rPr>
          <w:rFonts w:ascii="Cambria Math" w:hAnsi="Cambria Math"/>
          <w:i/>
          <w:sz w:val="18"/>
          <w:szCs w:val="18"/>
        </w:rPr>
        <w:t>ES</w:t>
      </w:r>
      <w:r w:rsidR="00E904AF">
        <w:rPr>
          <w:rFonts w:ascii="Cambria Math" w:hAnsi="Cambria Math"/>
          <w:i/>
          <w:sz w:val="18"/>
          <w:szCs w:val="18"/>
          <w:vertAlign w:val="subscript"/>
        </w:rPr>
        <w:t xml:space="preserve"> </w:t>
      </w:r>
      <w:r w:rsidR="00E904AF" w:rsidRPr="008C1EE9">
        <w:rPr>
          <w:rFonts w:ascii="Cambria Math" w:hAnsi="Cambria Math"/>
          <w:i/>
          <w:sz w:val="18"/>
          <w:szCs w:val="18"/>
        </w:rPr>
        <w:t>=</w:t>
      </w:r>
      <w:r w:rsidRPr="008C1EE9">
        <w:rPr>
          <w:rFonts w:ascii="Cambria Math" w:hAnsi="Cambria Math"/>
          <w:i/>
          <w:sz w:val="18"/>
          <w:szCs w:val="18"/>
        </w:rPr>
        <w:t xml:space="preserve"> </w:t>
      </w:r>
      <w:r>
        <w:rPr>
          <w:rFonts w:ascii="Cambria Math" w:hAnsi="Cambria Math"/>
          <w:i/>
          <w:sz w:val="18"/>
          <w:szCs w:val="18"/>
        </w:rPr>
        <w:tab/>
      </w:r>
      <w:r w:rsidRPr="008C1EE9">
        <w:rPr>
          <w:rFonts w:ascii="Cambria Math" w:hAnsi="Cambria Math"/>
          <w:i/>
          <w:sz w:val="18"/>
          <w:szCs w:val="18"/>
        </w:rPr>
        <w:t>Total energy savings</w:t>
      </w:r>
      <w:r w:rsidR="009A6A4F">
        <w:rPr>
          <w:rFonts w:ascii="Cambria Math" w:hAnsi="Cambria Math"/>
          <w:i/>
          <w:sz w:val="18"/>
          <w:szCs w:val="18"/>
        </w:rPr>
        <w:t xml:space="preserve"> (k</w:t>
      </w:r>
      <w:r>
        <w:rPr>
          <w:rFonts w:ascii="Cambria Math" w:hAnsi="Cambria Math"/>
          <w:i/>
          <w:sz w:val="18"/>
          <w:szCs w:val="18"/>
        </w:rPr>
        <w:t>Wh)</w:t>
      </w:r>
    </w:p>
    <w:p w14:paraId="7606EC16" w14:textId="77777777" w:rsidR="00641996" w:rsidRDefault="00641996" w:rsidP="00641996">
      <w:pPr>
        <w:tabs>
          <w:tab w:val="left" w:pos="2970"/>
        </w:tabs>
        <w:spacing w:before="20" w:after="20"/>
        <w:ind w:left="1440"/>
        <w:rPr>
          <w:rFonts w:ascii="Cambria Math" w:hAnsi="Cambria Math"/>
          <w:i/>
          <w:sz w:val="18"/>
          <w:szCs w:val="18"/>
        </w:rPr>
      </w:pPr>
      <w:r>
        <w:rPr>
          <w:rFonts w:ascii="Cambria Math" w:hAnsi="Cambria Math"/>
          <w:i/>
          <w:sz w:val="18"/>
          <w:szCs w:val="18"/>
        </w:rPr>
        <w:t xml:space="preserve">EC = </w:t>
      </w:r>
      <w:r>
        <w:rPr>
          <w:rFonts w:ascii="Cambria Math" w:hAnsi="Cambria Math"/>
          <w:i/>
          <w:sz w:val="18"/>
          <w:szCs w:val="18"/>
        </w:rPr>
        <w:tab/>
        <w:t>Modeled energy consumption of the base case and measure case units (kWh)</w:t>
      </w:r>
    </w:p>
    <w:p w14:paraId="029C0ABF" w14:textId="3229C6CA" w:rsidR="00641996" w:rsidRDefault="00641996" w:rsidP="006A322C">
      <w:pPr>
        <w:tabs>
          <w:tab w:val="left" w:pos="1440"/>
          <w:tab w:val="left" w:pos="2970"/>
        </w:tabs>
        <w:spacing w:before="20" w:after="20"/>
        <w:ind w:left="1440"/>
        <w:rPr>
          <w:rFonts w:ascii="Cambria Math" w:hAnsi="Cambria Math"/>
          <w:i/>
          <w:sz w:val="18"/>
          <w:szCs w:val="18"/>
        </w:rPr>
      </w:pPr>
      <w:proofErr w:type="spellStart"/>
      <w:r>
        <w:rPr>
          <w:rFonts w:ascii="Cambria Math" w:hAnsi="Cambria Math"/>
          <w:i/>
          <w:sz w:val="18"/>
          <w:szCs w:val="18"/>
        </w:rPr>
        <w:t>UES</w:t>
      </w:r>
      <w:r w:rsidR="003C7E79">
        <w:rPr>
          <w:rFonts w:ascii="Cambria Math" w:hAnsi="Cambria Math"/>
          <w:i/>
          <w:sz w:val="18"/>
          <w:szCs w:val="18"/>
          <w:vertAlign w:val="subscript"/>
        </w:rPr>
        <w:t>Ton</w:t>
      </w:r>
      <w:proofErr w:type="spellEnd"/>
      <w:r>
        <w:rPr>
          <w:rFonts w:ascii="Cambria Math" w:hAnsi="Cambria Math"/>
          <w:i/>
          <w:sz w:val="18"/>
          <w:szCs w:val="18"/>
        </w:rPr>
        <w:t xml:space="preserve"> = </w:t>
      </w:r>
      <w:r>
        <w:rPr>
          <w:rFonts w:ascii="Cambria Math" w:hAnsi="Cambria Math"/>
          <w:i/>
          <w:sz w:val="18"/>
          <w:szCs w:val="18"/>
        </w:rPr>
        <w:tab/>
        <w:t>Unit e</w:t>
      </w:r>
      <w:r w:rsidRPr="008C1EE9">
        <w:rPr>
          <w:rFonts w:ascii="Cambria Math" w:hAnsi="Cambria Math"/>
          <w:i/>
          <w:sz w:val="18"/>
          <w:szCs w:val="18"/>
        </w:rPr>
        <w:t>nergy savings (kWh/</w:t>
      </w:r>
      <w:r w:rsidR="003964E6">
        <w:rPr>
          <w:rFonts w:ascii="Cambria Math" w:hAnsi="Cambria Math"/>
          <w:i/>
          <w:sz w:val="18"/>
          <w:szCs w:val="18"/>
        </w:rPr>
        <w:t>Ton</w:t>
      </w:r>
      <w:r w:rsidRPr="008C1EE9">
        <w:rPr>
          <w:rFonts w:ascii="Cambria Math" w:hAnsi="Cambria Math"/>
          <w:i/>
          <w:sz w:val="18"/>
          <w:szCs w:val="18"/>
        </w:rPr>
        <w:t>)</w:t>
      </w:r>
    </w:p>
    <w:p w14:paraId="0141AC7F" w14:textId="22D32027" w:rsidR="00E904AF" w:rsidRDefault="00E904AF" w:rsidP="00E904AF">
      <w:pPr>
        <w:tabs>
          <w:tab w:val="left" w:pos="2970"/>
        </w:tabs>
        <w:spacing w:before="20" w:after="20"/>
        <w:ind w:left="1440"/>
        <w:rPr>
          <w:rFonts w:ascii="Cambria Math" w:hAnsi="Cambria Math"/>
          <w:i/>
          <w:sz w:val="18"/>
          <w:szCs w:val="18"/>
        </w:rPr>
      </w:pPr>
      <w:r>
        <w:rPr>
          <w:rFonts w:ascii="Cambria Math" w:hAnsi="Cambria Math"/>
          <w:i/>
          <w:sz w:val="18"/>
          <w:szCs w:val="18"/>
        </w:rPr>
        <w:t>Cap. Tons</w:t>
      </w:r>
      <w:r w:rsidR="00641996" w:rsidRPr="00510C4D">
        <w:rPr>
          <w:rFonts w:ascii="Cambria Math" w:hAnsi="Cambria Math"/>
          <w:i/>
          <w:sz w:val="18"/>
          <w:szCs w:val="18"/>
          <w:vertAlign w:val="subscript"/>
        </w:rPr>
        <w:t xml:space="preserve"> </w:t>
      </w:r>
      <w:r w:rsidR="00641996">
        <w:rPr>
          <w:rFonts w:ascii="Cambria Math" w:hAnsi="Cambria Math"/>
          <w:i/>
          <w:sz w:val="18"/>
          <w:szCs w:val="18"/>
        </w:rPr>
        <w:t xml:space="preserve">= </w:t>
      </w:r>
      <w:r w:rsidR="00641996">
        <w:rPr>
          <w:rFonts w:ascii="Cambria Math" w:hAnsi="Cambria Math"/>
          <w:i/>
          <w:sz w:val="18"/>
          <w:szCs w:val="18"/>
        </w:rPr>
        <w:tab/>
      </w:r>
      <w:r>
        <w:rPr>
          <w:rFonts w:ascii="Cambria Math" w:hAnsi="Cambria Math"/>
          <w:i/>
          <w:sz w:val="18"/>
          <w:szCs w:val="18"/>
        </w:rPr>
        <w:t xml:space="preserve">Total cooling capacity </w:t>
      </w:r>
      <w:r w:rsidR="00370F3A">
        <w:rPr>
          <w:rFonts w:ascii="Cambria Math" w:hAnsi="Cambria Math"/>
          <w:i/>
          <w:sz w:val="18"/>
          <w:szCs w:val="18"/>
        </w:rPr>
        <w:t>of the model’s HVAC system</w:t>
      </w:r>
      <w:r>
        <w:rPr>
          <w:rFonts w:ascii="Cambria Math" w:hAnsi="Cambria Math"/>
          <w:i/>
          <w:sz w:val="18"/>
          <w:szCs w:val="18"/>
        </w:rPr>
        <w:t xml:space="preserve"> (Tons)</w:t>
      </w:r>
    </w:p>
    <w:p w14:paraId="45845205" w14:textId="64598975" w:rsidR="00954F44" w:rsidRDefault="00954F44" w:rsidP="00E904AF">
      <w:pPr>
        <w:tabs>
          <w:tab w:val="left" w:pos="2970"/>
        </w:tabs>
        <w:spacing w:before="20" w:after="20"/>
        <w:ind w:left="1440"/>
        <w:rPr>
          <w:rFonts w:ascii="Cambria Math" w:hAnsi="Cambria Math"/>
          <w:i/>
          <w:sz w:val="18"/>
          <w:szCs w:val="18"/>
        </w:rPr>
      </w:pPr>
    </w:p>
    <w:p w14:paraId="6DF22810" w14:textId="77777777" w:rsidR="003755BA" w:rsidRPr="004B06E3" w:rsidRDefault="003755BA" w:rsidP="00B35FC3">
      <w:pPr>
        <w:pStyle w:val="eTRMHeading3"/>
        <w:jc w:val="both"/>
      </w:pPr>
      <w:bookmarkStart w:id="45" w:name="_Toc486490856"/>
      <w:bookmarkStart w:id="46" w:name="_Toc486580927"/>
      <w:bookmarkStart w:id="47" w:name="_Toc57018374"/>
      <w:r w:rsidRPr="004B06E3">
        <w:t>Peak Electric Demand Reduction (kW)</w:t>
      </w:r>
      <w:bookmarkEnd w:id="45"/>
      <w:bookmarkEnd w:id="46"/>
      <w:bookmarkEnd w:id="47"/>
    </w:p>
    <w:p w14:paraId="0FBEF1C8" w14:textId="649B03A1" w:rsidR="00903CE0" w:rsidRDefault="008F4019" w:rsidP="00B35FC3">
      <w:pPr>
        <w:keepNext/>
        <w:keepLines/>
        <w:jc w:val="both"/>
      </w:pPr>
      <w:r w:rsidRPr="008F4019">
        <w:t>Peak demand reduction is calculated as the difference between the modeled baseline and measure case peak demand from the simulations summarized in the Electric Savings section.</w:t>
      </w:r>
      <w:r w:rsidR="009B4A23">
        <w:t xml:space="preserve"> </w:t>
      </w:r>
      <w:r w:rsidR="00A8239D" w:rsidRPr="00450A0D">
        <w:t>Peak demand w</w:t>
      </w:r>
      <w:r w:rsidR="00A8239D">
        <w:t>as</w:t>
      </w:r>
      <w:r w:rsidR="00A8239D" w:rsidRPr="00450A0D">
        <w:t xml:space="preserve"> calculated </w:t>
      </w:r>
      <w:r w:rsidR="00A51F19">
        <w:t xml:space="preserve">per E-4952 </w:t>
      </w:r>
      <w:r w:rsidR="00A8239D">
        <w:t>as</w:t>
      </w:r>
      <w:r w:rsidR="00A8239D" w:rsidRPr="00450A0D">
        <w:t xml:space="preserve"> the average </w:t>
      </w:r>
      <w:r w:rsidR="00A8239D">
        <w:t xml:space="preserve">of the </w:t>
      </w:r>
      <w:r w:rsidR="00A8239D" w:rsidRPr="00450A0D">
        <w:t xml:space="preserve">electrical power draw between </w:t>
      </w:r>
      <w:r w:rsidR="007B3EA5">
        <w:t>4</w:t>
      </w:r>
      <w:r w:rsidR="00A8239D">
        <w:t xml:space="preserve">:00 p.m. </w:t>
      </w:r>
      <w:r w:rsidR="007106F3">
        <w:t xml:space="preserve">– </w:t>
      </w:r>
      <w:r w:rsidR="007B3EA5">
        <w:t>9</w:t>
      </w:r>
      <w:r w:rsidR="00A8239D">
        <w:t>:00 p.m.</w:t>
      </w:r>
      <w:r w:rsidR="00A8239D" w:rsidRPr="00450A0D">
        <w:t xml:space="preserve"> </w:t>
      </w:r>
      <w:r w:rsidR="00A8239D">
        <w:t xml:space="preserve">in conformance with the </w:t>
      </w:r>
      <w:r w:rsidR="00902A71">
        <w:t xml:space="preserve">peak period determination for CZ2022 weather </w:t>
      </w:r>
      <w:r w:rsidR="00176E49">
        <w:t>data</w:t>
      </w:r>
      <w:r w:rsidR="00A8239D">
        <w:t>.</w:t>
      </w:r>
      <w:r w:rsidR="00A8239D">
        <w:rPr>
          <w:rStyle w:val="FootnoteReference"/>
        </w:rPr>
        <w:footnoteReference w:id="7"/>
      </w:r>
      <w:r w:rsidR="00A8239D" w:rsidRPr="00450A0D">
        <w:t xml:space="preserve"> </w:t>
      </w:r>
      <w:r w:rsidR="00C401F6">
        <w:t xml:space="preserve">The peak power </w:t>
      </w:r>
      <w:r w:rsidR="00924BBA">
        <w:t>was calculated by averaging the 15 DEER peak hours</w:t>
      </w:r>
      <w:r w:rsidR="00FF37EC">
        <w:t>, that was taken from this five-hour period on three consecutive weekdays,</w:t>
      </w:r>
      <w:r w:rsidR="00924BBA">
        <w:t xml:space="preserve"> from the 8760-hour load profile extracted from the </w:t>
      </w:r>
      <w:proofErr w:type="spellStart"/>
      <w:r w:rsidR="00924BBA">
        <w:t>eQuest</w:t>
      </w:r>
      <w:proofErr w:type="spellEnd"/>
      <w:r w:rsidR="00924BBA">
        <w:t xml:space="preserve"> models. </w:t>
      </w:r>
    </w:p>
    <w:p w14:paraId="72E43FAB" w14:textId="77777777" w:rsidR="00903CE0" w:rsidRDefault="00903CE0" w:rsidP="00B35FC3">
      <w:pPr>
        <w:keepNext/>
        <w:keepLines/>
        <w:jc w:val="both"/>
      </w:pPr>
    </w:p>
    <w:p w14:paraId="2A08EADC" w14:textId="5F40FC21" w:rsidR="004505F3" w:rsidRDefault="00794B0D" w:rsidP="00B35FC3">
      <w:pPr>
        <w:keepNext/>
        <w:keepLines/>
        <w:jc w:val="both"/>
      </w:pPr>
      <w:r>
        <w:t xml:space="preserve">The </w:t>
      </w:r>
      <w:r w:rsidR="00AA3FD8">
        <w:t xml:space="preserve">calculation used to determine peak demand reduction is shown below. </w:t>
      </w:r>
      <w:r w:rsidR="0046435B">
        <w:t>Note that the peak demand savings were weighted based on the same methodology used for the electric unit savings.</w:t>
      </w:r>
    </w:p>
    <w:p w14:paraId="645F8913" w14:textId="44D37D04" w:rsidR="004505F3" w:rsidRPr="00F17780" w:rsidRDefault="0014672E">
      <w:pPr>
        <w:keepNext/>
        <w:keepLines/>
        <w:ind w:left="720"/>
        <w:rPr>
          <w:rFonts w:ascii="Cambria Math" w:hAnsi="Cambria Math"/>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PeakDemandSav</m:t>
              </m:r>
            </m:e>
            <m:sub>
              <m:r>
                <w:rPr>
                  <w:rFonts w:ascii="Cambria Math" w:hAnsi="Cambria Math"/>
                  <w:sz w:val="18"/>
                  <w:szCs w:val="18"/>
                </w:rPr>
                <m:t xml:space="preserve"> </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PeakDemand</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PeakDemand</m:t>
              </m:r>
            </m:e>
            <m:sub>
              <m:r>
                <w:rPr>
                  <w:rFonts w:ascii="Cambria Math" w:hAnsi="Cambria Math"/>
                  <w:sz w:val="18"/>
                  <w:szCs w:val="18"/>
                </w:rPr>
                <m:t>Measure</m:t>
              </m:r>
            </m:sub>
          </m:sSub>
        </m:oMath>
      </m:oMathPara>
    </w:p>
    <w:p w14:paraId="556483AE" w14:textId="557F0373" w:rsidR="004505F3" w:rsidRPr="00F17780" w:rsidRDefault="0014672E">
      <w:pPr>
        <w:ind w:left="720"/>
        <w:rPr>
          <w:rFonts w:ascii="Cambria Math" w:hAnsi="Cambria Math"/>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UnitPeakDemandSav</m:t>
              </m:r>
            </m:e>
            <m:sub>
              <m:r>
                <w:rPr>
                  <w:rFonts w:ascii="Cambria Math" w:hAnsi="Cambria Math"/>
                  <w:sz w:val="18"/>
                  <w:szCs w:val="18"/>
                </w:rPr>
                <m:t>Tons</m:t>
              </m:r>
            </m:sub>
          </m:sSub>
          <m:r>
            <w:rPr>
              <w:rFonts w:ascii="Cambria Math" w:hAns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PeakDemandSav</m:t>
                  </m:r>
                </m:e>
                <m:sub>
                  <m:r>
                    <w:rPr>
                      <w:rFonts w:ascii="Cambria Math" w:hAnsi="Cambria Math"/>
                      <w:sz w:val="18"/>
                      <w:szCs w:val="18"/>
                    </w:rPr>
                    <m:t xml:space="preserve"> </m:t>
                  </m:r>
                </m:sub>
              </m:sSub>
            </m:num>
            <m:den>
              <m:sSub>
                <m:sSubPr>
                  <m:ctrlPr>
                    <w:rPr>
                      <w:rFonts w:ascii="Cambria Math" w:hAnsi="Cambria Math"/>
                      <w:i/>
                      <w:sz w:val="18"/>
                      <w:szCs w:val="18"/>
                    </w:rPr>
                  </m:ctrlPr>
                </m:sSubPr>
                <m:e>
                  <m:r>
                    <w:rPr>
                      <w:rFonts w:ascii="Cambria Math" w:hAnsi="Cambria Math"/>
                      <w:sz w:val="18"/>
                      <w:szCs w:val="18"/>
                    </w:rPr>
                    <m:t>Cap. Tons</m:t>
                  </m:r>
                </m:e>
                <m:sub>
                  <m:r>
                    <w:rPr>
                      <w:rFonts w:ascii="Cambria Math" w:hAnsi="Cambria Math"/>
                      <w:sz w:val="18"/>
                      <w:szCs w:val="18"/>
                    </w:rPr>
                    <m:t xml:space="preserve"> </m:t>
                  </m:r>
                </m:sub>
              </m:sSub>
            </m:den>
          </m:f>
        </m:oMath>
      </m:oMathPara>
    </w:p>
    <w:p w14:paraId="413E67A4" w14:textId="77777777" w:rsidR="004505F3" w:rsidRDefault="004505F3" w:rsidP="004505F3">
      <w:pPr>
        <w:ind w:left="720"/>
        <w:rPr>
          <w:rFonts w:ascii="Cambria Math" w:hAnsi="Cambria Math"/>
          <w:i/>
          <w:sz w:val="18"/>
          <w:szCs w:val="18"/>
        </w:rPr>
      </w:pPr>
    </w:p>
    <w:p w14:paraId="121AC4DD" w14:textId="5B99C620" w:rsidR="004505F3" w:rsidRDefault="004505F3" w:rsidP="00D814B3">
      <w:pPr>
        <w:tabs>
          <w:tab w:val="left" w:pos="2970"/>
        </w:tabs>
        <w:spacing w:before="20" w:after="20"/>
        <w:ind w:left="1440"/>
        <w:rPr>
          <w:rFonts w:ascii="Cambria Math" w:hAnsi="Cambria Math"/>
          <w:i/>
          <w:sz w:val="18"/>
          <w:szCs w:val="18"/>
        </w:rPr>
      </w:pPr>
      <w:proofErr w:type="spellStart"/>
      <w:r>
        <w:rPr>
          <w:rFonts w:ascii="Cambria Math" w:hAnsi="Cambria Math"/>
          <w:i/>
          <w:sz w:val="18"/>
          <w:szCs w:val="18"/>
        </w:rPr>
        <w:t>PeakDemandSav</w:t>
      </w:r>
      <w:proofErr w:type="spellEnd"/>
      <w:r w:rsidR="002B0A4D">
        <w:rPr>
          <w:rFonts w:ascii="Cambria Math" w:hAnsi="Cambria Math"/>
          <w:i/>
          <w:sz w:val="18"/>
          <w:szCs w:val="18"/>
        </w:rPr>
        <w:t xml:space="preserve"> </w:t>
      </w:r>
      <w:r w:rsidR="002B0A4D">
        <w:rPr>
          <w:rFonts w:ascii="Cambria Math" w:hAnsi="Cambria Math"/>
          <w:i/>
          <w:sz w:val="18"/>
          <w:szCs w:val="18"/>
          <w:vertAlign w:val="subscript"/>
        </w:rPr>
        <w:t xml:space="preserve"> </w:t>
      </w:r>
      <w:r>
        <w:rPr>
          <w:rFonts w:ascii="Cambria Math" w:hAnsi="Cambria Math"/>
          <w:i/>
          <w:sz w:val="18"/>
          <w:szCs w:val="18"/>
          <w:vertAlign w:val="subscript"/>
        </w:rPr>
        <w:t xml:space="preserve"> </w:t>
      </w:r>
      <w:r w:rsidRPr="008C1EE9">
        <w:rPr>
          <w:rFonts w:ascii="Cambria Math" w:hAnsi="Cambria Math"/>
          <w:i/>
          <w:sz w:val="18"/>
          <w:szCs w:val="18"/>
        </w:rPr>
        <w:t xml:space="preserve">= </w:t>
      </w:r>
      <w:r>
        <w:rPr>
          <w:rFonts w:ascii="Cambria Math" w:hAnsi="Cambria Math"/>
          <w:i/>
          <w:sz w:val="18"/>
          <w:szCs w:val="18"/>
        </w:rPr>
        <w:tab/>
      </w:r>
      <w:r w:rsidRPr="008C1EE9">
        <w:rPr>
          <w:rFonts w:ascii="Cambria Math" w:hAnsi="Cambria Math"/>
          <w:i/>
          <w:sz w:val="18"/>
          <w:szCs w:val="18"/>
        </w:rPr>
        <w:t xml:space="preserve">Total </w:t>
      </w:r>
      <w:r>
        <w:rPr>
          <w:rFonts w:ascii="Cambria Math" w:hAnsi="Cambria Math"/>
          <w:i/>
          <w:sz w:val="18"/>
          <w:szCs w:val="18"/>
        </w:rPr>
        <w:t>peak demand reduction</w:t>
      </w:r>
      <w:r w:rsidRPr="008C1EE9">
        <w:rPr>
          <w:rFonts w:ascii="Cambria Math" w:hAnsi="Cambria Math"/>
          <w:i/>
          <w:sz w:val="18"/>
          <w:szCs w:val="18"/>
        </w:rPr>
        <w:t xml:space="preserve"> </w:t>
      </w:r>
      <w:r>
        <w:rPr>
          <w:rFonts w:ascii="Cambria Math" w:hAnsi="Cambria Math"/>
          <w:i/>
          <w:sz w:val="18"/>
          <w:szCs w:val="18"/>
        </w:rPr>
        <w:t>(kW)</w:t>
      </w:r>
    </w:p>
    <w:p w14:paraId="27FF144C" w14:textId="58C0A405" w:rsidR="004505F3" w:rsidRDefault="004505F3" w:rsidP="00D814B3">
      <w:pPr>
        <w:tabs>
          <w:tab w:val="left" w:pos="2970"/>
        </w:tabs>
        <w:spacing w:before="20" w:after="20"/>
        <w:ind w:left="1440"/>
        <w:rPr>
          <w:rFonts w:ascii="Cambria Math" w:hAnsi="Cambria Math"/>
          <w:i/>
          <w:sz w:val="18"/>
          <w:szCs w:val="18"/>
        </w:rPr>
      </w:pPr>
      <w:proofErr w:type="spellStart"/>
      <w:r>
        <w:rPr>
          <w:rFonts w:ascii="Cambria Math" w:hAnsi="Cambria Math"/>
          <w:i/>
          <w:sz w:val="18"/>
          <w:szCs w:val="18"/>
        </w:rPr>
        <w:t>PeakDemand</w:t>
      </w:r>
      <w:proofErr w:type="spellEnd"/>
      <w:r>
        <w:rPr>
          <w:rFonts w:ascii="Cambria Math" w:hAnsi="Cambria Math"/>
          <w:i/>
          <w:sz w:val="18"/>
          <w:szCs w:val="18"/>
        </w:rPr>
        <w:t xml:space="preserve"> = </w:t>
      </w:r>
      <w:r>
        <w:rPr>
          <w:rFonts w:ascii="Cambria Math" w:hAnsi="Cambria Math"/>
          <w:i/>
          <w:sz w:val="18"/>
          <w:szCs w:val="18"/>
        </w:rPr>
        <w:tab/>
        <w:t>Modeled peak demand for base case and measure case units (kW)</w:t>
      </w:r>
    </w:p>
    <w:p w14:paraId="7FBA826B" w14:textId="716131D9" w:rsidR="004505F3" w:rsidRDefault="004505F3" w:rsidP="00D814B3">
      <w:pPr>
        <w:tabs>
          <w:tab w:val="left" w:pos="2970"/>
        </w:tabs>
        <w:spacing w:before="20" w:after="20"/>
        <w:ind w:left="1440"/>
        <w:rPr>
          <w:rFonts w:ascii="Cambria Math" w:hAnsi="Cambria Math"/>
          <w:i/>
          <w:sz w:val="18"/>
          <w:szCs w:val="18"/>
        </w:rPr>
      </w:pPr>
      <w:proofErr w:type="spellStart"/>
      <w:r>
        <w:rPr>
          <w:rFonts w:ascii="Cambria Math" w:hAnsi="Cambria Math"/>
          <w:i/>
          <w:sz w:val="18"/>
          <w:szCs w:val="18"/>
        </w:rPr>
        <w:t>UnitPeakDemandSav</w:t>
      </w:r>
      <w:r w:rsidR="003964E6">
        <w:rPr>
          <w:rFonts w:ascii="Cambria Math" w:hAnsi="Cambria Math"/>
          <w:i/>
          <w:sz w:val="18"/>
          <w:szCs w:val="18"/>
          <w:vertAlign w:val="subscript"/>
        </w:rPr>
        <w:t>Ton</w:t>
      </w:r>
      <w:proofErr w:type="spellEnd"/>
      <w:r>
        <w:rPr>
          <w:rFonts w:ascii="Cambria Math" w:hAnsi="Cambria Math"/>
          <w:i/>
          <w:sz w:val="18"/>
          <w:szCs w:val="18"/>
        </w:rPr>
        <w:t xml:space="preserve"> = </w:t>
      </w:r>
      <w:r>
        <w:rPr>
          <w:rFonts w:ascii="Cambria Math" w:hAnsi="Cambria Math"/>
          <w:i/>
          <w:sz w:val="18"/>
          <w:szCs w:val="18"/>
        </w:rPr>
        <w:tab/>
        <w:t>Unit e</w:t>
      </w:r>
      <w:r w:rsidRPr="008C1EE9">
        <w:rPr>
          <w:rFonts w:ascii="Cambria Math" w:hAnsi="Cambria Math"/>
          <w:i/>
          <w:sz w:val="18"/>
          <w:szCs w:val="18"/>
        </w:rPr>
        <w:t>nergy savings (kW</w:t>
      </w:r>
      <w:r w:rsidR="002057A5">
        <w:rPr>
          <w:rFonts w:ascii="Cambria Math" w:hAnsi="Cambria Math"/>
          <w:i/>
          <w:sz w:val="18"/>
          <w:szCs w:val="18"/>
        </w:rPr>
        <w:t>/</w:t>
      </w:r>
      <w:r w:rsidR="003964E6">
        <w:rPr>
          <w:rFonts w:ascii="Cambria Math" w:hAnsi="Cambria Math"/>
          <w:i/>
          <w:sz w:val="18"/>
          <w:szCs w:val="18"/>
        </w:rPr>
        <w:t>Ton</w:t>
      </w:r>
      <w:r w:rsidRPr="008C1EE9">
        <w:rPr>
          <w:rFonts w:ascii="Cambria Math" w:hAnsi="Cambria Math"/>
          <w:i/>
          <w:sz w:val="18"/>
          <w:szCs w:val="18"/>
        </w:rPr>
        <w:t>)</w:t>
      </w:r>
    </w:p>
    <w:p w14:paraId="312A48C5" w14:textId="38C25076" w:rsidR="004505F3" w:rsidRPr="008C1EE9" w:rsidRDefault="004505F3" w:rsidP="00D814B3">
      <w:pPr>
        <w:tabs>
          <w:tab w:val="left" w:pos="2970"/>
        </w:tabs>
        <w:spacing w:before="20" w:after="20"/>
        <w:ind w:left="1440"/>
        <w:rPr>
          <w:rFonts w:ascii="Cambria Math" w:hAnsi="Cambria Math"/>
          <w:i/>
          <w:sz w:val="18"/>
          <w:szCs w:val="18"/>
        </w:rPr>
      </w:pPr>
      <w:r>
        <w:rPr>
          <w:rFonts w:ascii="Cambria Math" w:hAnsi="Cambria Math"/>
          <w:i/>
          <w:sz w:val="18"/>
          <w:szCs w:val="18"/>
        </w:rPr>
        <w:t>Cap. Tons</w:t>
      </w:r>
      <w:r>
        <w:rPr>
          <w:rFonts w:ascii="Cambria Math" w:hAnsi="Cambria Math"/>
          <w:i/>
          <w:sz w:val="18"/>
          <w:szCs w:val="18"/>
          <w:vertAlign w:val="subscript"/>
        </w:rPr>
        <w:t xml:space="preserve"> </w:t>
      </w:r>
      <w:r>
        <w:rPr>
          <w:rFonts w:ascii="Cambria Math" w:hAnsi="Cambria Math"/>
          <w:i/>
          <w:sz w:val="18"/>
          <w:szCs w:val="18"/>
        </w:rPr>
        <w:t xml:space="preserve">= </w:t>
      </w:r>
      <w:r>
        <w:rPr>
          <w:rFonts w:ascii="Cambria Math" w:hAnsi="Cambria Math"/>
          <w:i/>
          <w:sz w:val="18"/>
          <w:szCs w:val="18"/>
        </w:rPr>
        <w:tab/>
      </w:r>
      <w:r w:rsidR="002B0A4D">
        <w:rPr>
          <w:rFonts w:ascii="Cambria Math" w:hAnsi="Cambria Math"/>
          <w:i/>
          <w:sz w:val="18"/>
          <w:szCs w:val="18"/>
        </w:rPr>
        <w:t>Total cooling capacity of the model’s HVAC system (Tons)</w:t>
      </w:r>
    </w:p>
    <w:p w14:paraId="0E9D248B" w14:textId="3F99763B" w:rsidR="007D230B" w:rsidRPr="004B06E3" w:rsidRDefault="007D230B" w:rsidP="00A251C9">
      <w:pPr>
        <w:pStyle w:val="eTRMHeading3"/>
      </w:pPr>
      <w:bookmarkStart w:id="48" w:name="_Toc486490858"/>
      <w:bookmarkStart w:id="49" w:name="_Toc486580929"/>
      <w:bookmarkStart w:id="50" w:name="_Toc57018375"/>
      <w:r w:rsidRPr="004B06E3">
        <w:t xml:space="preserve">Gas </w:t>
      </w:r>
      <w:r w:rsidR="00BB46BF">
        <w:t xml:space="preserve">savings </w:t>
      </w:r>
      <w:r w:rsidR="00245AFF" w:rsidRPr="004B06E3">
        <w:t>(Therms)</w:t>
      </w:r>
      <w:bookmarkEnd w:id="48"/>
      <w:bookmarkEnd w:id="49"/>
      <w:bookmarkEnd w:id="50"/>
    </w:p>
    <w:p w14:paraId="2D1F9944" w14:textId="15CE212E" w:rsidR="00BB46BF" w:rsidRDefault="009E4DCF" w:rsidP="00B35FC3">
      <w:pPr>
        <w:jc w:val="both"/>
      </w:pPr>
      <w:bookmarkStart w:id="51" w:name="_Toc486490859"/>
      <w:bookmarkStart w:id="52" w:name="_Toc486580930"/>
      <w:r>
        <w:t xml:space="preserve">The energy model simulations for this measure reported </w:t>
      </w:r>
      <w:r w:rsidR="00DC0E9A">
        <w:t xml:space="preserve">negligible </w:t>
      </w:r>
      <w:r>
        <w:t>natural gas impacts</w:t>
      </w:r>
      <w:r w:rsidR="00DC0E9A">
        <w:t xml:space="preserve">. </w:t>
      </w:r>
      <w:r>
        <w:t>Since natural gas consumption is not expected to be impacted by this measure, no gas impacts are approved.</w:t>
      </w:r>
      <w:r w:rsidR="00FA79F5">
        <w:t xml:space="preserve"> </w:t>
      </w:r>
    </w:p>
    <w:p w14:paraId="4DDCD51F" w14:textId="7F075ED4" w:rsidR="007D230B" w:rsidRPr="004B06E3" w:rsidRDefault="00245AFF" w:rsidP="00B35FC3">
      <w:pPr>
        <w:pStyle w:val="eTRMHeading3"/>
        <w:jc w:val="both"/>
      </w:pPr>
      <w:bookmarkStart w:id="53" w:name="_Toc57018376"/>
      <w:r w:rsidRPr="004B06E3">
        <w:t>Life Cycle</w:t>
      </w:r>
      <w:bookmarkEnd w:id="53"/>
      <w:r w:rsidR="007D230B" w:rsidRPr="004B06E3">
        <w:t xml:space="preserve"> </w:t>
      </w:r>
      <w:bookmarkEnd w:id="51"/>
      <w:bookmarkEnd w:id="52"/>
    </w:p>
    <w:p w14:paraId="2E0D9450" w14:textId="3E0658B7" w:rsidR="00D32FBA" w:rsidRDefault="000924B5" w:rsidP="00B35FC3">
      <w:pPr>
        <w:jc w:val="both"/>
        <w:rPr>
          <w:rStyle w:val="eTRMFootnoteTextChar"/>
        </w:rPr>
      </w:pPr>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59FF7A28" w14:textId="4B883C73" w:rsidR="00D32FBA" w:rsidRDefault="00D32FBA" w:rsidP="00B35FC3">
      <w:pPr>
        <w:jc w:val="both"/>
        <w:rPr>
          <w:rStyle w:val="eTRMFootnoteTextChar"/>
        </w:rPr>
      </w:pPr>
      <w:r>
        <w:t>T</w:t>
      </w:r>
      <w:r>
        <w:rPr>
          <w:rFonts w:cs="Arial"/>
        </w:rPr>
        <w:t xml:space="preserve">he methodology to calculate the RUL conforms with Version </w:t>
      </w:r>
      <w:r w:rsidR="00231420">
        <w:rPr>
          <w:rFonts w:cs="Arial"/>
        </w:rPr>
        <w:t>6</w:t>
      </w:r>
      <w:r>
        <w:rPr>
          <w:rFonts w:cs="Arial"/>
        </w:rPr>
        <w:t xml:space="preserve">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8"/>
      </w:r>
      <w:r>
        <w:t xml:space="preserve"> </w:t>
      </w:r>
      <w:r w:rsidRPr="008F087F">
        <w:rPr>
          <w:rFonts w:eastAsia="Times New Roman"/>
        </w:rPr>
        <w:t>This approach provides a reasonable RUL estimate without requiring any prior knowledge about the age of the equipment being replaced.</w:t>
      </w:r>
      <w:r>
        <w:rPr>
          <w:rStyle w:val="FootnoteReference"/>
          <w:rFonts w:eastAsia="Times New Roman"/>
        </w:rPr>
        <w:footnoteReference w:id="9"/>
      </w:r>
      <w:r w:rsidRPr="008F087F">
        <w:rPr>
          <w:rFonts w:eastAsia="Times New Roman"/>
        </w:rPr>
        <w:t> </w:t>
      </w:r>
      <w:r>
        <w:rPr>
          <w:rFonts w:eastAsia="Times New Roman"/>
        </w:rPr>
        <w:t>Further, a</w:t>
      </w:r>
      <w:r w:rsidRPr="00951F20">
        <w:t>s per Resolution E-4807, the California Public Utilities Commission (CPUC) revised  add-on</w:t>
      </w:r>
      <w:r>
        <w:t xml:space="preserve"> </w:t>
      </w:r>
      <w:r w:rsidR="00040162">
        <w:t xml:space="preserve"> </w:t>
      </w:r>
      <w:r w:rsidRPr="00951F20">
        <w:t>measures so that the EUL of the measure is equal to the lower of the RUL of the modified system or equipment or the EUL of the add-on component.”</w:t>
      </w:r>
      <w:r w:rsidRPr="0008447C">
        <w:rPr>
          <w:rStyle w:val="eTRMFootnoteTextChar"/>
        </w:rPr>
        <w:t xml:space="preserve"> </w:t>
      </w:r>
      <w:r>
        <w:rPr>
          <w:rStyle w:val="FootnoteReference"/>
        </w:rPr>
        <w:footnoteReference w:id="10"/>
      </w:r>
    </w:p>
    <w:p w14:paraId="2BE8EC3E" w14:textId="22521285" w:rsidR="007D230B" w:rsidRDefault="000924B5" w:rsidP="00B35FC3">
      <w:pPr>
        <w:jc w:val="both"/>
      </w:pPr>
      <w:r>
        <w:t>The EUL and RUL specified for this measure are presented</w:t>
      </w:r>
      <w:r w:rsidR="00242EC8">
        <w:t xml:space="preserve"> </w:t>
      </w:r>
      <w:r w:rsidR="001C5B02">
        <w:t>below</w:t>
      </w:r>
      <w:r>
        <w:t>.</w:t>
      </w:r>
      <w:r w:rsidR="00D32FBA">
        <w:t xml:space="preserve"> </w:t>
      </w:r>
      <w:r w:rsidR="002B35E1">
        <w:t>The EUL for a new construction (NC) installation is set to the EUL of the equipment, while t</w:t>
      </w:r>
      <w:r w:rsidR="00DC0E9A">
        <w:t xml:space="preserve">he EUL for </w:t>
      </w:r>
      <w:r w:rsidR="002B35E1">
        <w:t>an add-on equipment (AOE) installation</w:t>
      </w:r>
      <w:r w:rsidR="00DC0E9A">
        <w:t xml:space="preserve"> is set as the RUL of the host HVAC packaged unit.</w:t>
      </w:r>
      <w:r w:rsidR="000C1E8E">
        <w:t xml:space="preserve"> </w:t>
      </w:r>
      <w:r w:rsidR="00F6695C" w:rsidRPr="00F6695C">
        <w:t xml:space="preserve">The RUL is only applicable to the first baseline period for </w:t>
      </w:r>
      <w:r w:rsidR="002B35E1">
        <w:t>an AOE offering</w:t>
      </w:r>
      <w:r w:rsidR="00F6695C" w:rsidRPr="00F6695C">
        <w:t>.</w:t>
      </w:r>
    </w:p>
    <w:p w14:paraId="6B5926E3" w14:textId="620B7FC2" w:rsidR="00D77199" w:rsidRPr="009006AC" w:rsidRDefault="00087533" w:rsidP="009C5080">
      <w:pPr>
        <w:pStyle w:val="Caption"/>
      </w:pPr>
      <w:r w:rsidRPr="009006AC">
        <w:t>Effective Useful Life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720"/>
        <w:gridCol w:w="4590"/>
      </w:tblGrid>
      <w:tr w:rsidR="00CB5975" w:rsidRPr="00C6243E" w14:paraId="5B4F4AB2" w14:textId="77777777" w:rsidTr="00A776A8">
        <w:trPr>
          <w:cantSplit/>
          <w:trHeight w:val="20"/>
        </w:trPr>
        <w:tc>
          <w:tcPr>
            <w:tcW w:w="4135" w:type="dxa"/>
            <w:shd w:val="clear" w:color="auto" w:fill="F2F2F2" w:themeFill="background1" w:themeFillShade="F2"/>
            <w:vAlign w:val="bottom"/>
          </w:tcPr>
          <w:p w14:paraId="3AD3CFBE" w14:textId="77777777" w:rsidR="00CB5975" w:rsidRPr="00C6243E" w:rsidRDefault="00CB5975" w:rsidP="00A776A8">
            <w:pPr>
              <w:keepNext/>
              <w:keepLines/>
              <w:spacing w:before="20" w:after="20"/>
              <w:jc w:val="center"/>
              <w:rPr>
                <w:rFonts w:cs="Calibri Light"/>
                <w:b/>
                <w:sz w:val="20"/>
                <w:szCs w:val="20"/>
              </w:rPr>
            </w:pPr>
            <w:r w:rsidRPr="00C6243E">
              <w:rPr>
                <w:rFonts w:cs="Calibri Light"/>
                <w:b/>
                <w:sz w:val="20"/>
                <w:szCs w:val="20"/>
              </w:rPr>
              <w:t>Parameter</w:t>
            </w:r>
          </w:p>
        </w:tc>
        <w:tc>
          <w:tcPr>
            <w:tcW w:w="720" w:type="dxa"/>
            <w:shd w:val="clear" w:color="auto" w:fill="F2F2F2" w:themeFill="background1" w:themeFillShade="F2"/>
          </w:tcPr>
          <w:p w14:paraId="6AD57800" w14:textId="77777777" w:rsidR="00CB5975" w:rsidRPr="00C6243E" w:rsidRDefault="00CB5975" w:rsidP="00A776A8">
            <w:pPr>
              <w:keepNext/>
              <w:keepLines/>
              <w:spacing w:before="20" w:after="20"/>
              <w:jc w:val="center"/>
              <w:rPr>
                <w:rFonts w:cs="Calibri Light"/>
                <w:b/>
                <w:sz w:val="20"/>
                <w:szCs w:val="20"/>
              </w:rPr>
            </w:pPr>
            <w:r w:rsidRPr="00C6243E">
              <w:rPr>
                <w:rFonts w:cs="Calibri Light"/>
                <w:b/>
                <w:sz w:val="20"/>
                <w:szCs w:val="20"/>
              </w:rPr>
              <w:t>Value</w:t>
            </w:r>
          </w:p>
        </w:tc>
        <w:tc>
          <w:tcPr>
            <w:tcW w:w="4590" w:type="dxa"/>
            <w:shd w:val="clear" w:color="auto" w:fill="F2F2F2" w:themeFill="background1" w:themeFillShade="F2"/>
          </w:tcPr>
          <w:p w14:paraId="1A6978E3" w14:textId="77777777" w:rsidR="00CB5975" w:rsidRPr="00C6243E" w:rsidRDefault="00CB5975" w:rsidP="00A776A8">
            <w:pPr>
              <w:keepNext/>
              <w:keepLines/>
              <w:spacing w:before="20" w:after="20"/>
              <w:jc w:val="center"/>
              <w:rPr>
                <w:rFonts w:cs="Calibri Light"/>
                <w:b/>
                <w:sz w:val="20"/>
                <w:szCs w:val="20"/>
              </w:rPr>
            </w:pPr>
            <w:r w:rsidRPr="00C6243E">
              <w:rPr>
                <w:rFonts w:cs="Calibri Light"/>
                <w:b/>
                <w:sz w:val="20"/>
                <w:szCs w:val="20"/>
              </w:rPr>
              <w:t>Source</w:t>
            </w:r>
          </w:p>
        </w:tc>
      </w:tr>
      <w:tr w:rsidR="00CB5975" w:rsidRPr="00C6243E" w14:paraId="53E3A59F" w14:textId="77777777" w:rsidTr="00A776A8">
        <w:trPr>
          <w:cantSplit/>
          <w:trHeight w:val="20"/>
        </w:trPr>
        <w:tc>
          <w:tcPr>
            <w:tcW w:w="4135" w:type="dxa"/>
            <w:vAlign w:val="center"/>
          </w:tcPr>
          <w:p w14:paraId="0BF16B47" w14:textId="37764B2B" w:rsidR="00CB5975" w:rsidRPr="00D62874" w:rsidRDefault="00CB5975" w:rsidP="00A776A8">
            <w:pPr>
              <w:keepNext/>
              <w:keepLines/>
              <w:spacing w:before="20" w:after="20"/>
              <w:rPr>
                <w:rFonts w:cs="Calibri Light"/>
                <w:sz w:val="18"/>
                <w:szCs w:val="20"/>
              </w:rPr>
            </w:pPr>
            <w:r w:rsidRPr="00CB5975">
              <w:rPr>
                <w:sz w:val="18"/>
              </w:rPr>
              <w:t>EUL</w:t>
            </w:r>
            <w:r w:rsidRPr="00D62874">
              <w:rPr>
                <w:sz w:val="18"/>
              </w:rPr>
              <w:t xml:space="preserve"> (</w:t>
            </w:r>
            <w:proofErr w:type="spellStart"/>
            <w:r w:rsidRPr="00D62874">
              <w:rPr>
                <w:sz w:val="18"/>
              </w:rPr>
              <w:t>yrs</w:t>
            </w:r>
            <w:proofErr w:type="spellEnd"/>
            <w:r w:rsidRPr="00D62874">
              <w:rPr>
                <w:sz w:val="18"/>
              </w:rPr>
              <w:t>) (</w:t>
            </w:r>
            <w:r w:rsidRPr="00D62874">
              <w:rPr>
                <w:i/>
                <w:sz w:val="18"/>
              </w:rPr>
              <w:t xml:space="preserve">EUL ID: </w:t>
            </w:r>
            <w:r w:rsidRPr="00CB5975">
              <w:rPr>
                <w:i/>
                <w:sz w:val="18"/>
              </w:rPr>
              <w:t>HV-</w:t>
            </w:r>
            <w:proofErr w:type="spellStart"/>
            <w:r w:rsidRPr="00CB5975">
              <w:rPr>
                <w:i/>
                <w:sz w:val="18"/>
              </w:rPr>
              <w:t>Evap</w:t>
            </w:r>
            <w:proofErr w:type="spellEnd"/>
            <w:r w:rsidRPr="00D62874">
              <w:rPr>
                <w:sz w:val="18"/>
              </w:rPr>
              <w:t>)</w:t>
            </w:r>
          </w:p>
        </w:tc>
        <w:tc>
          <w:tcPr>
            <w:tcW w:w="720" w:type="dxa"/>
            <w:vAlign w:val="center"/>
          </w:tcPr>
          <w:p w14:paraId="47AD49C0" w14:textId="09BFE53D" w:rsidR="00CB5975" w:rsidRPr="00D62874" w:rsidRDefault="00CB5975" w:rsidP="00A776A8">
            <w:pPr>
              <w:keepNext/>
              <w:keepLines/>
              <w:spacing w:before="20" w:after="20"/>
              <w:jc w:val="center"/>
              <w:rPr>
                <w:rFonts w:cs="Calibri Light"/>
                <w:sz w:val="18"/>
                <w:szCs w:val="20"/>
              </w:rPr>
            </w:pPr>
            <w:r w:rsidRPr="00D62874">
              <w:rPr>
                <w:sz w:val="18"/>
              </w:rPr>
              <w:t>1</w:t>
            </w:r>
            <w:r w:rsidR="00292761">
              <w:rPr>
                <w:sz w:val="18"/>
              </w:rPr>
              <w:t>5.0</w:t>
            </w:r>
          </w:p>
        </w:tc>
        <w:tc>
          <w:tcPr>
            <w:tcW w:w="4590" w:type="dxa"/>
            <w:vAlign w:val="center"/>
          </w:tcPr>
          <w:p w14:paraId="5DF3251D" w14:textId="77777777" w:rsidR="00CB5975" w:rsidRPr="004B2B4E" w:rsidRDefault="00CB5975" w:rsidP="00A776A8">
            <w:pPr>
              <w:keepNext/>
              <w:keepLines/>
              <w:spacing w:before="20" w:after="20"/>
              <w:jc w:val="center"/>
              <w:rPr>
                <w:rFonts w:cs="Calibri Light"/>
                <w:sz w:val="20"/>
                <w:szCs w:val="20"/>
              </w:rPr>
            </w:pPr>
            <w:r w:rsidRPr="000A4C01">
              <w:rPr>
                <w:sz w:val="18"/>
                <w:szCs w:val="18"/>
              </w:rPr>
              <w:t>California Public Utilities Commission (CPUC). 2014. “DEER2014-EUL-table-update_2014-02-05.xlsx.”</w:t>
            </w:r>
          </w:p>
        </w:tc>
      </w:tr>
      <w:tr w:rsidR="00CB5975" w:rsidRPr="00C6243E" w14:paraId="16C18D4C" w14:textId="77777777" w:rsidTr="00A776A8">
        <w:trPr>
          <w:cantSplit/>
          <w:trHeight w:val="20"/>
        </w:trPr>
        <w:tc>
          <w:tcPr>
            <w:tcW w:w="4135" w:type="dxa"/>
            <w:vAlign w:val="center"/>
          </w:tcPr>
          <w:p w14:paraId="5F55A7AA" w14:textId="25827708" w:rsidR="00CB5975" w:rsidRPr="00112455" w:rsidRDefault="00CB5975" w:rsidP="00A776A8">
            <w:pPr>
              <w:keepNext/>
              <w:keepLines/>
              <w:spacing w:before="20" w:after="20"/>
              <w:rPr>
                <w:rFonts w:cs="Calibri Light"/>
                <w:sz w:val="18"/>
                <w:szCs w:val="20"/>
              </w:rPr>
            </w:pPr>
            <w:r w:rsidRPr="00112455">
              <w:rPr>
                <w:sz w:val="18"/>
              </w:rPr>
              <w:t>RUL (</w:t>
            </w:r>
            <w:proofErr w:type="spellStart"/>
            <w:r w:rsidRPr="00112455">
              <w:rPr>
                <w:sz w:val="18"/>
              </w:rPr>
              <w:t>yrs</w:t>
            </w:r>
            <w:proofErr w:type="spellEnd"/>
            <w:r w:rsidRPr="00112455">
              <w:rPr>
                <w:sz w:val="18"/>
              </w:rPr>
              <w:t>)</w:t>
            </w:r>
            <w:r>
              <w:rPr>
                <w:sz w:val="18"/>
              </w:rPr>
              <w:t xml:space="preserve"> (RUL ID: </w:t>
            </w:r>
            <w:r w:rsidRPr="00CB5975">
              <w:rPr>
                <w:sz w:val="18"/>
              </w:rPr>
              <w:t>HV-</w:t>
            </w:r>
            <w:proofErr w:type="spellStart"/>
            <w:r w:rsidRPr="00CB5975">
              <w:rPr>
                <w:sz w:val="18"/>
              </w:rPr>
              <w:t>Evap</w:t>
            </w:r>
            <w:proofErr w:type="spellEnd"/>
            <w:r>
              <w:rPr>
                <w:sz w:val="18"/>
              </w:rPr>
              <w:t>)</w:t>
            </w:r>
          </w:p>
        </w:tc>
        <w:tc>
          <w:tcPr>
            <w:tcW w:w="720" w:type="dxa"/>
            <w:vAlign w:val="center"/>
          </w:tcPr>
          <w:p w14:paraId="740E1BF7" w14:textId="191D31CB" w:rsidR="00CB5975" w:rsidRPr="00112455" w:rsidRDefault="00E374D5" w:rsidP="00A776A8">
            <w:pPr>
              <w:keepNext/>
              <w:keepLines/>
              <w:spacing w:before="20" w:after="20"/>
              <w:jc w:val="center"/>
              <w:rPr>
                <w:rFonts w:cs="Calibri Light"/>
                <w:sz w:val="18"/>
                <w:szCs w:val="20"/>
              </w:rPr>
            </w:pPr>
            <w:r>
              <w:rPr>
                <w:rFonts w:cs="Calibri Light"/>
                <w:sz w:val="18"/>
                <w:szCs w:val="20"/>
              </w:rPr>
              <w:t>n/a</w:t>
            </w:r>
          </w:p>
        </w:tc>
        <w:tc>
          <w:tcPr>
            <w:tcW w:w="4590" w:type="dxa"/>
            <w:vAlign w:val="center"/>
          </w:tcPr>
          <w:p w14:paraId="5C53D28F" w14:textId="100C01F4" w:rsidR="00CB5975" w:rsidRPr="00D62874" w:rsidRDefault="00CB5975" w:rsidP="00A776A8">
            <w:pPr>
              <w:keepNext/>
              <w:keepLines/>
              <w:spacing w:before="20" w:after="20"/>
              <w:jc w:val="center"/>
              <w:rPr>
                <w:rFonts w:cs="Calibri Light"/>
                <w:sz w:val="20"/>
                <w:szCs w:val="20"/>
                <w:highlight w:val="yellow"/>
              </w:rPr>
            </w:pPr>
          </w:p>
        </w:tc>
      </w:tr>
      <w:tr w:rsidR="00CB5975" w:rsidRPr="00C6243E" w14:paraId="1692207A" w14:textId="77777777" w:rsidTr="00A776A8">
        <w:trPr>
          <w:cantSplit/>
          <w:trHeight w:val="20"/>
        </w:trPr>
        <w:tc>
          <w:tcPr>
            <w:tcW w:w="4135" w:type="dxa"/>
            <w:vAlign w:val="center"/>
          </w:tcPr>
          <w:p w14:paraId="1A564BD1" w14:textId="53A5CC42" w:rsidR="00CB5975" w:rsidRDefault="00CB5975" w:rsidP="00A776A8">
            <w:pPr>
              <w:keepNext/>
              <w:keepLines/>
              <w:spacing w:before="20" w:after="20"/>
              <w:rPr>
                <w:sz w:val="18"/>
              </w:rPr>
            </w:pPr>
            <w:r>
              <w:rPr>
                <w:sz w:val="18"/>
              </w:rPr>
              <w:t xml:space="preserve">Host Equipment: </w:t>
            </w:r>
            <w:r w:rsidRPr="00D62874">
              <w:rPr>
                <w:sz w:val="18"/>
              </w:rPr>
              <w:t>EUL (</w:t>
            </w:r>
            <w:proofErr w:type="spellStart"/>
            <w:r w:rsidRPr="00D62874">
              <w:rPr>
                <w:sz w:val="18"/>
              </w:rPr>
              <w:t>yrs</w:t>
            </w:r>
            <w:proofErr w:type="spellEnd"/>
            <w:r w:rsidRPr="00D62874">
              <w:rPr>
                <w:sz w:val="18"/>
              </w:rPr>
              <w:t>) (</w:t>
            </w:r>
            <w:r w:rsidRPr="00D62874">
              <w:rPr>
                <w:i/>
                <w:sz w:val="18"/>
              </w:rPr>
              <w:t xml:space="preserve">EUL ID: </w:t>
            </w:r>
            <w:r w:rsidRPr="00CB5975">
              <w:rPr>
                <w:i/>
                <w:sz w:val="18"/>
              </w:rPr>
              <w:t>HVAC-</w:t>
            </w:r>
            <w:proofErr w:type="spellStart"/>
            <w:r w:rsidRPr="00CB5975">
              <w:rPr>
                <w:i/>
                <w:sz w:val="18"/>
              </w:rPr>
              <w:t>airAC</w:t>
            </w:r>
            <w:proofErr w:type="spellEnd"/>
            <w:r w:rsidRPr="00D62874">
              <w:rPr>
                <w:sz w:val="18"/>
              </w:rPr>
              <w:t>)</w:t>
            </w:r>
          </w:p>
        </w:tc>
        <w:tc>
          <w:tcPr>
            <w:tcW w:w="720" w:type="dxa"/>
            <w:vAlign w:val="center"/>
          </w:tcPr>
          <w:p w14:paraId="7BA75508" w14:textId="33B45066" w:rsidR="00CB5975" w:rsidRDefault="00292761" w:rsidP="00A776A8">
            <w:pPr>
              <w:keepNext/>
              <w:keepLines/>
              <w:spacing w:before="20" w:after="20"/>
              <w:jc w:val="center"/>
              <w:rPr>
                <w:rFonts w:cs="Calibri Light"/>
                <w:sz w:val="18"/>
                <w:szCs w:val="20"/>
              </w:rPr>
            </w:pPr>
            <w:r w:rsidRPr="00D62874">
              <w:rPr>
                <w:sz w:val="18"/>
              </w:rPr>
              <w:t>1</w:t>
            </w:r>
            <w:r>
              <w:rPr>
                <w:sz w:val="18"/>
              </w:rPr>
              <w:t>5.0</w:t>
            </w:r>
          </w:p>
        </w:tc>
        <w:tc>
          <w:tcPr>
            <w:tcW w:w="4590" w:type="dxa"/>
            <w:vAlign w:val="center"/>
          </w:tcPr>
          <w:p w14:paraId="5D761861" w14:textId="77777777" w:rsidR="00CB5975" w:rsidRPr="000A4C01" w:rsidRDefault="00CB5975" w:rsidP="00A776A8">
            <w:pPr>
              <w:keepNext/>
              <w:keepLines/>
              <w:spacing w:before="20" w:after="20"/>
              <w:jc w:val="center"/>
              <w:rPr>
                <w:sz w:val="18"/>
                <w:szCs w:val="18"/>
              </w:rPr>
            </w:pPr>
            <w:r w:rsidRPr="000A4C01">
              <w:rPr>
                <w:sz w:val="18"/>
                <w:szCs w:val="18"/>
              </w:rPr>
              <w:t>California Public Utilities Commission (CPUC). 2014. “DEER2014-EUL-table-update_2014-02-05.xlsx.”</w:t>
            </w:r>
          </w:p>
        </w:tc>
      </w:tr>
      <w:tr w:rsidR="00CB5975" w:rsidRPr="00C6243E" w14:paraId="0040E878" w14:textId="77777777" w:rsidTr="00D814B3">
        <w:trPr>
          <w:cantSplit/>
          <w:trHeight w:val="50"/>
        </w:trPr>
        <w:tc>
          <w:tcPr>
            <w:tcW w:w="4135" w:type="dxa"/>
            <w:vAlign w:val="center"/>
          </w:tcPr>
          <w:p w14:paraId="7EF4969F" w14:textId="726797B4" w:rsidR="00CB5975" w:rsidRDefault="00CB5975" w:rsidP="00A776A8">
            <w:pPr>
              <w:keepNext/>
              <w:keepLines/>
              <w:spacing w:before="20" w:after="20"/>
              <w:rPr>
                <w:sz w:val="18"/>
              </w:rPr>
            </w:pPr>
            <w:r>
              <w:rPr>
                <w:sz w:val="18"/>
              </w:rPr>
              <w:t>Host Equipment:</w:t>
            </w:r>
            <w:r w:rsidRPr="00112455">
              <w:rPr>
                <w:sz w:val="18"/>
              </w:rPr>
              <w:t xml:space="preserve"> RUL (</w:t>
            </w:r>
            <w:proofErr w:type="spellStart"/>
            <w:r w:rsidRPr="00112455">
              <w:rPr>
                <w:sz w:val="18"/>
              </w:rPr>
              <w:t>yrs</w:t>
            </w:r>
            <w:proofErr w:type="spellEnd"/>
            <w:r w:rsidRPr="00112455">
              <w:rPr>
                <w:sz w:val="18"/>
              </w:rPr>
              <w:t>)</w:t>
            </w:r>
            <w:r>
              <w:rPr>
                <w:sz w:val="18"/>
              </w:rPr>
              <w:t xml:space="preserve"> (RUL ID: </w:t>
            </w:r>
            <w:r w:rsidRPr="00CB5975">
              <w:rPr>
                <w:i/>
                <w:sz w:val="18"/>
              </w:rPr>
              <w:t>HVAC-</w:t>
            </w:r>
            <w:proofErr w:type="spellStart"/>
            <w:r w:rsidRPr="00CB5975">
              <w:rPr>
                <w:i/>
                <w:sz w:val="18"/>
              </w:rPr>
              <w:t>airAC</w:t>
            </w:r>
            <w:proofErr w:type="spellEnd"/>
            <w:r>
              <w:rPr>
                <w:sz w:val="18"/>
              </w:rPr>
              <w:t>)</w:t>
            </w:r>
          </w:p>
        </w:tc>
        <w:tc>
          <w:tcPr>
            <w:tcW w:w="720" w:type="dxa"/>
            <w:vAlign w:val="center"/>
          </w:tcPr>
          <w:p w14:paraId="08435BB5" w14:textId="6CAD423D" w:rsidR="00CB5975" w:rsidRDefault="00292761" w:rsidP="00A776A8">
            <w:pPr>
              <w:keepNext/>
              <w:keepLines/>
              <w:spacing w:before="20" w:after="20"/>
              <w:jc w:val="center"/>
              <w:rPr>
                <w:rFonts w:cs="Calibri Light"/>
                <w:sz w:val="18"/>
                <w:szCs w:val="20"/>
              </w:rPr>
            </w:pPr>
            <w:r>
              <w:rPr>
                <w:rFonts w:cs="Calibri Light"/>
                <w:sz w:val="18"/>
                <w:szCs w:val="20"/>
              </w:rPr>
              <w:t>5.0</w:t>
            </w:r>
          </w:p>
        </w:tc>
        <w:tc>
          <w:tcPr>
            <w:tcW w:w="4590" w:type="dxa"/>
            <w:vAlign w:val="center"/>
          </w:tcPr>
          <w:p w14:paraId="1B21F1AB" w14:textId="77777777" w:rsidR="00CB5975" w:rsidRPr="000A4C01" w:rsidRDefault="00CB5975" w:rsidP="00A776A8">
            <w:pPr>
              <w:keepNext/>
              <w:keepLines/>
              <w:spacing w:before="20" w:after="20"/>
              <w:jc w:val="center"/>
              <w:rPr>
                <w:sz w:val="18"/>
                <w:szCs w:val="18"/>
              </w:rPr>
            </w:pPr>
            <w:r w:rsidRPr="000A4C01">
              <w:rPr>
                <w:sz w:val="18"/>
                <w:szCs w:val="18"/>
              </w:rPr>
              <w:t>California Public Utilities Commission (CPUC). 2014. “DEER2014-EUL-table-update_2014-02-05.xlsx.”</w:t>
            </w:r>
          </w:p>
        </w:tc>
      </w:tr>
    </w:tbl>
    <w:p w14:paraId="40453A21" w14:textId="77777777" w:rsidR="00CB5975" w:rsidRPr="00CB5975" w:rsidRDefault="00CB5975" w:rsidP="00CB5975"/>
    <w:p w14:paraId="3B14B593" w14:textId="599B62A8" w:rsidR="007D230B" w:rsidRPr="004B06E3" w:rsidRDefault="007D230B" w:rsidP="00A251C9">
      <w:pPr>
        <w:pStyle w:val="eTRMHeading3"/>
      </w:pPr>
      <w:bookmarkStart w:id="54" w:name="_Toc486490860"/>
      <w:bookmarkStart w:id="55" w:name="_Toc486580931"/>
      <w:bookmarkStart w:id="56" w:name="_Toc57018377"/>
      <w:r w:rsidRPr="006611F1">
        <w:lastRenderedPageBreak/>
        <w:t>Base Case</w:t>
      </w:r>
      <w:r w:rsidR="00642302" w:rsidRPr="006611F1">
        <w:t xml:space="preserve"> Material</w:t>
      </w:r>
      <w:r w:rsidRPr="006611F1">
        <w:t xml:space="preserve"> </w:t>
      </w:r>
      <w:r w:rsidR="004D5527" w:rsidRPr="006611F1">
        <w:t xml:space="preserve">Cost </w:t>
      </w:r>
      <w:r w:rsidRPr="006611F1">
        <w:t>($/unit)</w:t>
      </w:r>
      <w:bookmarkEnd w:id="54"/>
      <w:bookmarkEnd w:id="55"/>
      <w:bookmarkEnd w:id="56"/>
    </w:p>
    <w:p w14:paraId="149EB87B" w14:textId="72549F37" w:rsidR="00A82C38" w:rsidRPr="00FF00DE" w:rsidRDefault="004D5527" w:rsidP="00B35FC3">
      <w:pPr>
        <w:jc w:val="both"/>
        <w:rPr>
          <w:rFonts w:cstheme="minorHAnsi"/>
        </w:rPr>
      </w:pPr>
      <w:r>
        <w:rPr>
          <w:rFonts w:cstheme="minorHAnsi"/>
        </w:rPr>
        <w:t>The base case costs for both the AOE and the NC application types assume that the evaporative pre-cooler equipment is installed on an existing or new package</w:t>
      </w:r>
      <w:r w:rsidR="006C4901">
        <w:rPr>
          <w:rFonts w:cstheme="minorHAnsi"/>
        </w:rPr>
        <w:t>d</w:t>
      </w:r>
      <w:r>
        <w:rPr>
          <w:rFonts w:cstheme="minorHAnsi"/>
        </w:rPr>
        <w:t xml:space="preserve"> unit without an existing pre-cooler.</w:t>
      </w:r>
      <w:r w:rsidR="00493F85">
        <w:rPr>
          <w:rFonts w:cstheme="minorHAnsi"/>
        </w:rPr>
        <w:t xml:space="preserve"> </w:t>
      </w:r>
      <w:r w:rsidR="004E135E">
        <w:rPr>
          <w:rFonts w:cstheme="minorHAnsi"/>
        </w:rPr>
        <w:t xml:space="preserve">As such, this measure is akin to an AOE measure on a new piece of equipment. The baseline packaged unit in either case is not included in the cost. </w:t>
      </w:r>
      <w:r w:rsidR="007B28DE">
        <w:rPr>
          <w:rFonts w:cstheme="minorHAnsi"/>
        </w:rPr>
        <w:t>Therefore,</w:t>
      </w:r>
      <w:r w:rsidR="00A154D0">
        <w:rPr>
          <w:rFonts w:cstheme="minorHAnsi"/>
        </w:rPr>
        <w:t xml:space="preserve"> the base cost is $0.</w:t>
      </w:r>
    </w:p>
    <w:p w14:paraId="44E8DBEB" w14:textId="7707F42F" w:rsidR="007D230B" w:rsidRPr="004B06E3" w:rsidRDefault="007D230B" w:rsidP="00B35FC3">
      <w:pPr>
        <w:pStyle w:val="eTRMHeading3"/>
        <w:jc w:val="both"/>
      </w:pPr>
      <w:bookmarkStart w:id="57" w:name="_Toc486490861"/>
      <w:bookmarkStart w:id="58" w:name="_Toc486580932"/>
      <w:bookmarkStart w:id="59" w:name="_Toc57018378"/>
      <w:r w:rsidRPr="004B06E3">
        <w:t>Measure Case</w:t>
      </w:r>
      <w:r w:rsidR="00642302">
        <w:t xml:space="preserve"> Material</w:t>
      </w:r>
      <w:r w:rsidRPr="004B06E3">
        <w:t xml:space="preserve"> </w:t>
      </w:r>
      <w:r w:rsidR="004D5527" w:rsidRPr="004B06E3">
        <w:t>Cost</w:t>
      </w:r>
      <w:r w:rsidR="004D5527">
        <w:t xml:space="preserve"> </w:t>
      </w:r>
      <w:r w:rsidRPr="004B06E3">
        <w:t>($/unit)</w:t>
      </w:r>
      <w:bookmarkEnd w:id="57"/>
      <w:bookmarkEnd w:id="58"/>
      <w:bookmarkEnd w:id="59"/>
    </w:p>
    <w:p w14:paraId="53B64AC2" w14:textId="4EAE1A42" w:rsidR="00A82C38" w:rsidRDefault="004D5527" w:rsidP="00B35FC3">
      <w:pPr>
        <w:jc w:val="both"/>
      </w:pPr>
      <w:r>
        <w:t xml:space="preserve">The measure case </w:t>
      </w:r>
      <w:r w:rsidR="00ED44C5">
        <w:t xml:space="preserve">material </w:t>
      </w:r>
      <w:r>
        <w:t xml:space="preserve">installed costs were obtained from a confidential </w:t>
      </w:r>
      <w:r w:rsidR="00D814B3">
        <w:t xml:space="preserve">vendor </w:t>
      </w:r>
      <w:r>
        <w:t>quote</w:t>
      </w:r>
      <w:r w:rsidR="003F379B">
        <w:t xml:space="preserve"> in 2019</w:t>
      </w:r>
      <w:r>
        <w:t xml:space="preserve">. </w:t>
      </w:r>
      <w:r w:rsidR="00172745">
        <w:t xml:space="preserve">The </w:t>
      </w:r>
      <w:r w:rsidR="00830146">
        <w:t>initial costs provided</w:t>
      </w:r>
      <w:r w:rsidR="00A51F19">
        <w:t xml:space="preserve"> by vendor</w:t>
      </w:r>
      <w:r w:rsidR="00172745">
        <w:t xml:space="preserve"> </w:t>
      </w:r>
      <w:r w:rsidR="00A51F19">
        <w:t xml:space="preserve">(was aggregated and) </w:t>
      </w:r>
      <w:r w:rsidR="00172745">
        <w:t>include</w:t>
      </w:r>
      <w:r w:rsidR="000C4F04">
        <w:t>d</w:t>
      </w:r>
      <w:r w:rsidR="00172745">
        <w:t xml:space="preserve"> material, labor, and </w:t>
      </w:r>
      <w:r w:rsidR="00A51F19">
        <w:t xml:space="preserve">associated </w:t>
      </w:r>
      <w:r w:rsidR="006611F1">
        <w:t>component</w:t>
      </w:r>
      <w:r w:rsidR="00172745">
        <w:t xml:space="preserve"> costs (water piping</w:t>
      </w:r>
      <w:r w:rsidR="00830146">
        <w:t xml:space="preserve"> connection</w:t>
      </w:r>
      <w:r w:rsidR="00172745">
        <w:t xml:space="preserve">, water treatment system, booster pumps, controllers, etc.). </w:t>
      </w:r>
      <w:r w:rsidR="00AF04E3">
        <w:t>The costs were provided based on installations for single package</w:t>
      </w:r>
      <w:r w:rsidR="006C4901">
        <w:t>d</w:t>
      </w:r>
      <w:r w:rsidR="00AF04E3">
        <w:t xml:space="preserve"> units and systems with multiple package</w:t>
      </w:r>
      <w:r w:rsidR="006C4901">
        <w:t>d</w:t>
      </w:r>
      <w:r w:rsidR="00AF04E3">
        <w:t xml:space="preserve"> units. Some costs, such as piping and water treatment infrastructure, shared across multiple units result in reduced implementation costs.</w:t>
      </w:r>
      <w:r w:rsidR="00FF10F9">
        <w:t xml:space="preserve"> Costing was requested from an additional vendor but was not received. Additional costing information from a </w:t>
      </w:r>
      <w:r w:rsidR="00E138CA">
        <w:t>UC Davis Western Cooling Efficiency Center</w:t>
      </w:r>
      <w:r w:rsidR="00E138CA">
        <w:rPr>
          <w:rStyle w:val="FootnoteReference"/>
        </w:rPr>
        <w:footnoteReference w:id="11"/>
      </w:r>
      <w:r w:rsidR="00E138CA">
        <w:t xml:space="preserve"> </w:t>
      </w:r>
      <w:r w:rsidR="00CB3747">
        <w:t xml:space="preserve">for evaporative precooling </w:t>
      </w:r>
      <w:r w:rsidR="00FF10F9">
        <w:t>was reviewed</w:t>
      </w:r>
      <w:r w:rsidR="00CB3747">
        <w:t xml:space="preserve"> for reasonabl</w:t>
      </w:r>
      <w:r w:rsidR="00E138CA">
        <w:t>eness</w:t>
      </w:r>
      <w:r w:rsidR="00FF10F9">
        <w:t xml:space="preserve">, but not directly used </w:t>
      </w:r>
      <w:r w:rsidR="00E138CA">
        <w:t xml:space="preserve">in this workpaper. </w:t>
      </w:r>
      <w:r w:rsidR="00D5547F">
        <w:t>Material</w:t>
      </w:r>
      <w:r w:rsidR="00405733">
        <w:t xml:space="preserve"> costs per ton were </w:t>
      </w:r>
      <w:r w:rsidR="00176E49">
        <w:t>disaggregated</w:t>
      </w:r>
      <w:r w:rsidR="00405733">
        <w:t xml:space="preserve"> from the total cost by subtracting the labor cost per ton.</w:t>
      </w:r>
    </w:p>
    <w:p w14:paraId="74DEB280" w14:textId="5E7B9EBA" w:rsidR="00AF04E3" w:rsidRDefault="00DA7881" w:rsidP="00B35FC3">
      <w:pPr>
        <w:jc w:val="both"/>
        <w:rPr>
          <w:rFonts w:cstheme="minorHAnsi"/>
        </w:rPr>
      </w:pPr>
      <w:r>
        <w:rPr>
          <w:rFonts w:cstheme="minorHAnsi"/>
        </w:rPr>
        <w:t>The average unit capacity for large package</w:t>
      </w:r>
      <w:r w:rsidR="006C4901">
        <w:rPr>
          <w:rFonts w:cstheme="minorHAnsi"/>
        </w:rPr>
        <w:t>d</w:t>
      </w:r>
      <w:r>
        <w:rPr>
          <w:rFonts w:cstheme="minorHAnsi"/>
        </w:rPr>
        <w:t xml:space="preserve"> units (</w:t>
      </w:r>
      <w:r w:rsidRPr="00DA7881">
        <w:rPr>
          <w:rFonts w:cstheme="minorHAnsi"/>
        </w:rPr>
        <w:t>≥</w:t>
      </w:r>
      <w:r>
        <w:rPr>
          <w:rFonts w:cstheme="minorHAnsi"/>
        </w:rPr>
        <w:t xml:space="preserve">240,000 </w:t>
      </w:r>
      <w:proofErr w:type="spellStart"/>
      <w:r>
        <w:rPr>
          <w:rFonts w:cstheme="minorHAnsi"/>
        </w:rPr>
        <w:t>Btuh</w:t>
      </w:r>
      <w:proofErr w:type="spellEnd"/>
      <w:r>
        <w:rPr>
          <w:rFonts w:cstheme="minorHAnsi"/>
        </w:rPr>
        <w:t xml:space="preserve">) installed in the state of California is 29.4 Tons, according the California Commercial Saturation Survey conducted by </w:t>
      </w:r>
      <w:proofErr w:type="spellStart"/>
      <w:r>
        <w:rPr>
          <w:rFonts w:cstheme="minorHAnsi"/>
        </w:rPr>
        <w:t>Itron</w:t>
      </w:r>
      <w:proofErr w:type="spellEnd"/>
      <w:r>
        <w:rPr>
          <w:rFonts w:cstheme="minorHAnsi"/>
        </w:rPr>
        <w:t>, Inc</w:t>
      </w:r>
      <w:r>
        <w:rPr>
          <w:rStyle w:val="FootnoteReference"/>
          <w:rFonts w:cstheme="minorHAnsi"/>
        </w:rPr>
        <w:footnoteReference w:id="12"/>
      </w:r>
      <w:r>
        <w:rPr>
          <w:rFonts w:cstheme="minorHAnsi"/>
        </w:rPr>
        <w:t>. As a result, the average implementation cost for a 30-ton evaporative pre-cooler system was selected for this measure</w:t>
      </w:r>
      <w:r w:rsidR="00591445">
        <w:rPr>
          <w:rStyle w:val="FootnoteReference"/>
          <w:rFonts w:cstheme="minorHAnsi"/>
        </w:rPr>
        <w:footnoteReference w:id="13"/>
      </w:r>
      <w:r>
        <w:rPr>
          <w:rFonts w:cstheme="minorHAnsi"/>
        </w:rPr>
        <w:t>.</w:t>
      </w:r>
      <w:r w:rsidR="00C846AF" w:rsidRPr="00C846AF">
        <w:rPr>
          <w:rFonts w:cstheme="minorHAnsi"/>
        </w:rPr>
        <w:t xml:space="preserve"> </w:t>
      </w:r>
      <w:r w:rsidR="00C846AF">
        <w:rPr>
          <w:rFonts w:cstheme="minorHAnsi"/>
        </w:rPr>
        <w:t>Material costs do not include costs associated with new water line installation and other infrastructure upgrades.</w:t>
      </w:r>
    </w:p>
    <w:p w14:paraId="3F9A1F35" w14:textId="61BF2EA6" w:rsidR="00DA7881" w:rsidRDefault="006611F1" w:rsidP="00B35FC3">
      <w:pPr>
        <w:jc w:val="both"/>
        <w:rPr>
          <w:rFonts w:cstheme="minorHAnsi"/>
        </w:rPr>
      </w:pPr>
      <w:r>
        <w:rPr>
          <w:rFonts w:cstheme="minorHAnsi"/>
        </w:rPr>
        <w:t xml:space="preserve">Since the vendor quote combined material and labor costs, the labor costs described in the sections below was subtracted from the vendor cost to separate out the material costs. </w:t>
      </w:r>
      <w:r w:rsidR="00DA7881">
        <w:rPr>
          <w:rFonts w:cstheme="minorHAnsi"/>
        </w:rPr>
        <w:t>The measure case</w:t>
      </w:r>
      <w:r w:rsidR="00AA108F">
        <w:rPr>
          <w:rFonts w:cstheme="minorHAnsi"/>
        </w:rPr>
        <w:t xml:space="preserve"> material</w:t>
      </w:r>
      <w:r w:rsidR="00DA7881">
        <w:rPr>
          <w:rFonts w:cstheme="minorHAnsi"/>
        </w:rPr>
        <w:t xml:space="preserve"> cost, based on a 30-ton package</w:t>
      </w:r>
      <w:r w:rsidR="006C4901">
        <w:rPr>
          <w:rFonts w:cstheme="minorHAnsi"/>
        </w:rPr>
        <w:t>d</w:t>
      </w:r>
      <w:r w:rsidR="00DA7881">
        <w:rPr>
          <w:rFonts w:cstheme="minorHAnsi"/>
        </w:rPr>
        <w:t xml:space="preserve"> unit, is $</w:t>
      </w:r>
      <w:r w:rsidR="00830146">
        <w:rPr>
          <w:rFonts w:cstheme="minorHAnsi"/>
        </w:rPr>
        <w:t>583.80</w:t>
      </w:r>
      <w:r w:rsidR="00DA7881">
        <w:rPr>
          <w:rFonts w:cstheme="minorHAnsi"/>
        </w:rPr>
        <w:t>/ton</w:t>
      </w:r>
      <w:r w:rsidR="00344692">
        <w:rPr>
          <w:rStyle w:val="FootnoteReference"/>
          <w:rFonts w:cstheme="minorHAnsi"/>
        </w:rPr>
        <w:footnoteReference w:id="14"/>
      </w:r>
      <w:r w:rsidR="00344692">
        <w:rPr>
          <w:rFonts w:cstheme="minorHAnsi"/>
        </w:rPr>
        <w:t>.</w:t>
      </w:r>
    </w:p>
    <w:p w14:paraId="22457949" w14:textId="6249A721" w:rsidR="00BA1AFD" w:rsidRPr="004B06E3" w:rsidRDefault="00BA1AFD" w:rsidP="00B35FC3">
      <w:pPr>
        <w:pStyle w:val="eTRMHeading3"/>
        <w:jc w:val="both"/>
      </w:pPr>
      <w:bookmarkStart w:id="60" w:name="_Toc57018379"/>
      <w:r w:rsidRPr="004B06E3">
        <w:t>Base Case</w:t>
      </w:r>
      <w:r>
        <w:t xml:space="preserve"> Labor</w:t>
      </w:r>
      <w:r w:rsidRPr="004B06E3">
        <w:t xml:space="preserve"> Cost ($/unit)</w:t>
      </w:r>
      <w:bookmarkEnd w:id="60"/>
    </w:p>
    <w:p w14:paraId="5E4AA0C9" w14:textId="50C38EFA" w:rsidR="00BA1AFD" w:rsidRPr="00FF00DE" w:rsidRDefault="00BA1AFD" w:rsidP="00B35FC3">
      <w:pPr>
        <w:jc w:val="both"/>
        <w:rPr>
          <w:rFonts w:cstheme="minorHAnsi"/>
        </w:rPr>
      </w:pPr>
      <w:r>
        <w:rPr>
          <w:rFonts w:cstheme="minorHAnsi"/>
        </w:rPr>
        <w:t>The base case costs for both the AOE and the NC application types assume that the evaporative pre-cooler equipment is installed on an existing or new package</w:t>
      </w:r>
      <w:r w:rsidR="006C4901">
        <w:rPr>
          <w:rFonts w:cstheme="minorHAnsi"/>
        </w:rPr>
        <w:t>d</w:t>
      </w:r>
      <w:r>
        <w:rPr>
          <w:rFonts w:cstheme="minorHAnsi"/>
        </w:rPr>
        <w:t xml:space="preserve"> unit without an existing pre-cooler. Therefore, the base cost is $0.</w:t>
      </w:r>
    </w:p>
    <w:p w14:paraId="700732DB" w14:textId="67D6C286" w:rsidR="00BA1AFD" w:rsidRPr="004B06E3" w:rsidRDefault="00BA1AFD" w:rsidP="00B35FC3">
      <w:pPr>
        <w:pStyle w:val="eTRMHeading3"/>
        <w:jc w:val="both"/>
      </w:pPr>
      <w:bookmarkStart w:id="61" w:name="_Toc57018380"/>
      <w:r w:rsidRPr="004B06E3">
        <w:t>Measure Case</w:t>
      </w:r>
      <w:r>
        <w:t xml:space="preserve"> Labor</w:t>
      </w:r>
      <w:r w:rsidRPr="004B06E3">
        <w:t xml:space="preserve"> Cost</w:t>
      </w:r>
      <w:r>
        <w:t xml:space="preserve"> </w:t>
      </w:r>
      <w:r w:rsidRPr="004B06E3">
        <w:t>($/unit)</w:t>
      </w:r>
      <w:bookmarkEnd w:id="61"/>
    </w:p>
    <w:p w14:paraId="6ACCABA9" w14:textId="6AEA61ED" w:rsidR="00EE582B" w:rsidRPr="00F95F4B" w:rsidRDefault="00EE582B" w:rsidP="00B35FC3">
      <w:pPr>
        <w:jc w:val="both"/>
        <w:rPr>
          <w:rFonts w:cstheme="minorHAnsi"/>
        </w:rPr>
      </w:pPr>
      <w:r w:rsidRPr="006A2C5B">
        <w:t xml:space="preserve">The measure case labor costs were obtained from a confidential vendor quote in 2020 for a project located in Southern </w:t>
      </w:r>
      <w:r w:rsidRPr="006A2C5B">
        <w:rPr>
          <w:rFonts w:cstheme="minorHAnsi"/>
        </w:rPr>
        <w:t>California. The labor costs include installation labor costs for the evaporative pre-cooler system, controls installation cost, and water line connection cost. Labor costs were normalized per ton installed on this project.</w:t>
      </w:r>
      <w:r w:rsidR="00830146" w:rsidRPr="006A2C5B">
        <w:rPr>
          <w:rFonts w:cstheme="minorHAnsi"/>
        </w:rPr>
        <w:t xml:space="preserve"> Labor costs do not include labor associated with new water line installation and other infrastructure upgrades.</w:t>
      </w:r>
    </w:p>
    <w:p w14:paraId="44BAED5B" w14:textId="66A92B1B" w:rsidR="00EE582B" w:rsidRDefault="00EE582B" w:rsidP="00EE582B">
      <w:pPr>
        <w:jc w:val="both"/>
        <w:rPr>
          <w:rFonts w:cstheme="minorHAnsi"/>
        </w:rPr>
      </w:pPr>
      <w:proofErr w:type="gramStart"/>
      <w:r>
        <w:rPr>
          <w:rFonts w:cstheme="minorHAnsi"/>
        </w:rPr>
        <w:lastRenderedPageBreak/>
        <w:t>The measure case labor cost,</w:t>
      </w:r>
      <w:proofErr w:type="gramEnd"/>
      <w:r>
        <w:rPr>
          <w:rFonts w:cstheme="minorHAnsi"/>
        </w:rPr>
        <w:t xml:space="preserve"> is $102.70/ton</w:t>
      </w:r>
      <w:r>
        <w:rPr>
          <w:rStyle w:val="FootnoteReference"/>
          <w:rFonts w:cstheme="minorHAnsi"/>
        </w:rPr>
        <w:footnoteReference w:id="15"/>
      </w:r>
      <w:r>
        <w:rPr>
          <w:rFonts w:cstheme="minorHAnsi"/>
        </w:rPr>
        <w:t>.</w:t>
      </w:r>
    </w:p>
    <w:p w14:paraId="050D9183" w14:textId="1F9E9359" w:rsidR="007D230B" w:rsidRPr="004B06E3" w:rsidRDefault="004B06E3" w:rsidP="00B35FC3">
      <w:pPr>
        <w:pStyle w:val="eTRMHeading3"/>
        <w:jc w:val="both"/>
      </w:pPr>
      <w:bookmarkStart w:id="62" w:name="_Toc486490863"/>
      <w:bookmarkStart w:id="63" w:name="_Toc486580934"/>
      <w:bookmarkStart w:id="64" w:name="_Toc57018381"/>
      <w:r>
        <w:t>Net-to-Gross</w:t>
      </w:r>
      <w:bookmarkEnd w:id="62"/>
      <w:bookmarkEnd w:id="63"/>
      <w:r w:rsidR="008D4652">
        <w:t xml:space="preserve"> (NTG)</w:t>
      </w:r>
      <w:bookmarkEnd w:id="64"/>
    </w:p>
    <w:p w14:paraId="729FEA73" w14:textId="77777777" w:rsidR="0072064A" w:rsidRPr="004B06E3" w:rsidRDefault="0072064A" w:rsidP="00B35FC3">
      <w:pPr>
        <w:jc w:val="both"/>
      </w:pPr>
      <w:r w:rsidRPr="00860FEC">
        <w:t xml:space="preserve">The net-to-gross (NTG) ratio represents the portion of gross impacts that are determined to be directly attributed to a specific program intervention. </w:t>
      </w:r>
      <w:r w:rsidRPr="00AF3038">
        <w:t>These NTG values are based upon the average of all NTG ratios for all e</w:t>
      </w:r>
      <w:r>
        <w:t>valuated 2006 – 2008 commercial programs</w:t>
      </w:r>
      <w:r w:rsidRPr="00AF3038">
        <w:t xml:space="preserve">, as documented in the 2011 DEER Update Study conducted by </w:t>
      </w:r>
      <w:proofErr w:type="spellStart"/>
      <w:r w:rsidRPr="00AF3038">
        <w:t>Itron</w:t>
      </w:r>
      <w:proofErr w:type="spellEnd"/>
      <w:r w:rsidRPr="00AF3038">
        <w:t xml:space="preserve">, Inc. </w:t>
      </w:r>
      <w:r>
        <w:t>This</w:t>
      </w:r>
      <w:r w:rsidRPr="00AF3038">
        <w:t xml:space="preserve"> sector average NTG (“default NTG”) </w:t>
      </w:r>
      <w:r>
        <w:t>is</w:t>
      </w:r>
      <w:r w:rsidRPr="00AF3038">
        <w:t xml:space="preserve"> applicable </w:t>
      </w:r>
      <w:r>
        <w:t xml:space="preserve">to </w:t>
      </w:r>
      <w:r w:rsidRPr="00AF3038">
        <w:t xml:space="preserve">all energy efficiency measures that have been offered </w:t>
      </w:r>
      <w:r>
        <w:t>through</w:t>
      </w:r>
      <w:r w:rsidRPr="00AF3038">
        <w:t xml:space="preserve"> </w:t>
      </w:r>
      <w:r>
        <w:t>commercial</w:t>
      </w:r>
      <w:r w:rsidRPr="00AF3038">
        <w:t xml:space="preserve"> </w:t>
      </w:r>
      <w:r>
        <w:t xml:space="preserve">sector </w:t>
      </w:r>
      <w:r w:rsidRPr="00AF3038">
        <w:t>programs for more than two years and for which impact evaluation results are not available.</w:t>
      </w:r>
      <w:r w:rsidRPr="00765218">
        <w:t> </w:t>
      </w:r>
    </w:p>
    <w:p w14:paraId="1935C27A" w14:textId="081EF090" w:rsidR="004804FD" w:rsidRPr="0059426D" w:rsidRDefault="00B668B8" w:rsidP="009C5080">
      <w:pPr>
        <w:pStyle w:val="Caption"/>
      </w:pPr>
      <w:r w:rsidRPr="00F33C82">
        <w:t>Net-to-Gross Ratios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1710"/>
        <w:gridCol w:w="4140"/>
      </w:tblGrid>
      <w:tr w:rsidR="001A7239" w:rsidRPr="00500C4E" w14:paraId="4868F034" w14:textId="77777777" w:rsidTr="005F5BE1">
        <w:trPr>
          <w:cantSplit/>
          <w:trHeight w:val="20"/>
        </w:trPr>
        <w:tc>
          <w:tcPr>
            <w:tcW w:w="3595" w:type="dxa"/>
            <w:shd w:val="clear" w:color="auto" w:fill="F2F2F2" w:themeFill="background1" w:themeFillShade="F2"/>
            <w:vAlign w:val="center"/>
          </w:tcPr>
          <w:p w14:paraId="3E727E1D" w14:textId="77777777" w:rsidR="001A7239" w:rsidRPr="008C556F" w:rsidRDefault="001A7239" w:rsidP="00943DDC">
            <w:pPr>
              <w:keepNext/>
              <w:keepLines/>
              <w:spacing w:before="20" w:after="20"/>
              <w:rPr>
                <w:rFonts w:cs="Calibri Light"/>
                <w:b/>
                <w:sz w:val="20"/>
                <w:szCs w:val="20"/>
              </w:rPr>
            </w:pPr>
            <w:r w:rsidRPr="008C556F">
              <w:rPr>
                <w:rFonts w:cs="Calibri Light"/>
                <w:b/>
                <w:sz w:val="20"/>
                <w:szCs w:val="20"/>
              </w:rPr>
              <w:t>Parameter</w:t>
            </w:r>
          </w:p>
        </w:tc>
        <w:tc>
          <w:tcPr>
            <w:tcW w:w="1710" w:type="dxa"/>
            <w:shd w:val="clear" w:color="auto" w:fill="F2F2F2" w:themeFill="background1" w:themeFillShade="F2"/>
            <w:vAlign w:val="center"/>
          </w:tcPr>
          <w:p w14:paraId="495CF66D" w14:textId="18C9E0A5" w:rsidR="001A7239" w:rsidRPr="008C556F" w:rsidRDefault="001A7239" w:rsidP="005F5BE1">
            <w:pPr>
              <w:keepNext/>
              <w:keepLines/>
              <w:spacing w:before="20" w:after="20"/>
              <w:rPr>
                <w:rFonts w:cs="Calibri Light"/>
                <w:b/>
                <w:sz w:val="20"/>
                <w:szCs w:val="20"/>
              </w:rPr>
            </w:pPr>
            <w:r>
              <w:rPr>
                <w:rFonts w:cs="Calibri Light"/>
                <w:b/>
                <w:sz w:val="20"/>
                <w:szCs w:val="20"/>
              </w:rPr>
              <w:t>Value</w:t>
            </w:r>
          </w:p>
        </w:tc>
        <w:tc>
          <w:tcPr>
            <w:tcW w:w="4140" w:type="dxa"/>
            <w:shd w:val="clear" w:color="auto" w:fill="F2F2F2" w:themeFill="background1" w:themeFillShade="F2"/>
            <w:vAlign w:val="center"/>
          </w:tcPr>
          <w:p w14:paraId="0FABAF18" w14:textId="77777777" w:rsidR="001A7239" w:rsidRPr="008C556F" w:rsidRDefault="001A7239" w:rsidP="005F5BE1">
            <w:pPr>
              <w:keepNext/>
              <w:keepLines/>
              <w:spacing w:before="20" w:after="20"/>
              <w:rPr>
                <w:rFonts w:cs="Calibri Light"/>
                <w:b/>
                <w:sz w:val="20"/>
                <w:szCs w:val="20"/>
              </w:rPr>
            </w:pPr>
            <w:r w:rsidRPr="008C556F">
              <w:rPr>
                <w:rFonts w:cs="Calibri Light"/>
                <w:b/>
                <w:sz w:val="20"/>
                <w:szCs w:val="20"/>
              </w:rPr>
              <w:t>Source</w:t>
            </w:r>
          </w:p>
        </w:tc>
      </w:tr>
      <w:tr w:rsidR="00A36959" w:rsidRPr="00500C4E" w14:paraId="0304A20F" w14:textId="77777777" w:rsidTr="00D064F2">
        <w:trPr>
          <w:cantSplit/>
          <w:trHeight w:val="20"/>
        </w:trPr>
        <w:tc>
          <w:tcPr>
            <w:tcW w:w="3595" w:type="dxa"/>
            <w:vAlign w:val="center"/>
          </w:tcPr>
          <w:p w14:paraId="7CD3D57A" w14:textId="0A94DA8D" w:rsidR="00A36959" w:rsidRPr="00BE693E" w:rsidRDefault="004676D7" w:rsidP="00A36959">
            <w:pPr>
              <w:keepNext/>
              <w:keepLines/>
              <w:spacing w:before="20" w:after="20"/>
              <w:rPr>
                <w:rFonts w:cstheme="minorHAnsi"/>
                <w:sz w:val="20"/>
                <w:szCs w:val="20"/>
              </w:rPr>
            </w:pPr>
            <w:r>
              <w:rPr>
                <w:sz w:val="20"/>
              </w:rPr>
              <w:t xml:space="preserve">NTG – </w:t>
            </w:r>
            <w:r w:rsidRPr="008E4210">
              <w:rPr>
                <w:i/>
                <w:iCs/>
                <w:sz w:val="20"/>
              </w:rPr>
              <w:t>Agric-Default&gt;2yrs</w:t>
            </w:r>
            <w:r w:rsidDel="004676D7">
              <w:rPr>
                <w:rStyle w:val="CommentReference"/>
              </w:rPr>
              <w:t xml:space="preserve"> </w:t>
            </w:r>
          </w:p>
        </w:tc>
        <w:tc>
          <w:tcPr>
            <w:tcW w:w="1710" w:type="dxa"/>
            <w:vAlign w:val="center"/>
          </w:tcPr>
          <w:p w14:paraId="65B19A4F" w14:textId="56674AF0" w:rsidR="00A36959" w:rsidRPr="001C5B02" w:rsidRDefault="00A36959" w:rsidP="00A36959">
            <w:pPr>
              <w:keepNext/>
              <w:keepLines/>
              <w:spacing w:before="20" w:after="20"/>
              <w:jc w:val="center"/>
              <w:rPr>
                <w:sz w:val="20"/>
                <w:szCs w:val="20"/>
              </w:rPr>
            </w:pPr>
            <w:r w:rsidRPr="001C5B02">
              <w:rPr>
                <w:sz w:val="20"/>
                <w:szCs w:val="20"/>
              </w:rPr>
              <w:t>0.</w:t>
            </w:r>
            <w:r>
              <w:rPr>
                <w:sz w:val="20"/>
                <w:szCs w:val="20"/>
              </w:rPr>
              <w:t>6</w:t>
            </w:r>
            <w:r w:rsidRPr="001C5B02">
              <w:rPr>
                <w:sz w:val="20"/>
                <w:szCs w:val="20"/>
              </w:rPr>
              <w:t>0</w:t>
            </w:r>
          </w:p>
        </w:tc>
        <w:tc>
          <w:tcPr>
            <w:tcW w:w="4140" w:type="dxa"/>
            <w:vAlign w:val="center"/>
          </w:tcPr>
          <w:p w14:paraId="7F9E9D47" w14:textId="70FF45F9" w:rsidR="00A36959" w:rsidRPr="00FD4390" w:rsidRDefault="00A36959" w:rsidP="00A36959">
            <w:pPr>
              <w:keepNext/>
              <w:keepLines/>
              <w:spacing w:before="20" w:after="20"/>
              <w:rPr>
                <w:sz w:val="18"/>
                <w:szCs w:val="20"/>
              </w:rPr>
            </w:pPr>
            <w:proofErr w:type="spellStart"/>
            <w:r w:rsidRPr="00FD4390">
              <w:rPr>
                <w:sz w:val="18"/>
              </w:rPr>
              <w:t>Itron</w:t>
            </w:r>
            <w:proofErr w:type="spellEnd"/>
            <w:r w:rsidRPr="00FD4390">
              <w:rPr>
                <w:sz w:val="18"/>
              </w:rPr>
              <w:t xml:space="preserve">, Inc. 2011. </w:t>
            </w:r>
            <w:r w:rsidRPr="00377E2A">
              <w:rPr>
                <w:sz w:val="18"/>
              </w:rPr>
              <w:t>DEER Database 2011 Update Documentation.</w:t>
            </w:r>
            <w:r w:rsidRPr="00FD4390">
              <w:rPr>
                <w:sz w:val="18"/>
              </w:rPr>
              <w:t xml:space="preserve"> Prepared for the California Public Utilities Commission. Page 15-4 Table 15-3.</w:t>
            </w:r>
          </w:p>
        </w:tc>
      </w:tr>
      <w:tr w:rsidR="004676D7" w:rsidRPr="00500C4E" w14:paraId="222156C2" w14:textId="77777777" w:rsidTr="00D064F2">
        <w:trPr>
          <w:cantSplit/>
          <w:trHeight w:val="20"/>
        </w:trPr>
        <w:tc>
          <w:tcPr>
            <w:tcW w:w="3595" w:type="dxa"/>
            <w:vAlign w:val="center"/>
          </w:tcPr>
          <w:p w14:paraId="2DE9560C" w14:textId="0FA30D36" w:rsidR="004676D7" w:rsidRPr="009062D0" w:rsidRDefault="004676D7" w:rsidP="004676D7">
            <w:pPr>
              <w:keepNext/>
              <w:keepLines/>
              <w:spacing w:before="20" w:after="20"/>
              <w:rPr>
                <w:sz w:val="20"/>
              </w:rPr>
            </w:pPr>
            <w:r w:rsidRPr="009062D0">
              <w:rPr>
                <w:sz w:val="20"/>
              </w:rPr>
              <w:t xml:space="preserve">NTG – </w:t>
            </w:r>
            <w:r w:rsidRPr="00E53106">
              <w:rPr>
                <w:rFonts w:cstheme="minorHAnsi"/>
                <w:i/>
                <w:sz w:val="20"/>
                <w:szCs w:val="20"/>
              </w:rPr>
              <w:t>Com-Default&gt;2yrs</w:t>
            </w:r>
          </w:p>
        </w:tc>
        <w:tc>
          <w:tcPr>
            <w:tcW w:w="1710" w:type="dxa"/>
            <w:vAlign w:val="center"/>
          </w:tcPr>
          <w:p w14:paraId="6B96E518" w14:textId="62DFB892" w:rsidR="004676D7" w:rsidRPr="001C5B02" w:rsidRDefault="004676D7" w:rsidP="004676D7">
            <w:pPr>
              <w:keepNext/>
              <w:keepLines/>
              <w:spacing w:before="20" w:after="20"/>
              <w:jc w:val="center"/>
              <w:rPr>
                <w:sz w:val="20"/>
                <w:szCs w:val="20"/>
              </w:rPr>
            </w:pPr>
            <w:r w:rsidRPr="001C5B02">
              <w:rPr>
                <w:sz w:val="20"/>
                <w:szCs w:val="20"/>
              </w:rPr>
              <w:t>0.</w:t>
            </w:r>
            <w:r>
              <w:rPr>
                <w:sz w:val="20"/>
                <w:szCs w:val="20"/>
              </w:rPr>
              <w:t>6</w:t>
            </w:r>
            <w:r w:rsidRPr="001C5B02">
              <w:rPr>
                <w:sz w:val="20"/>
                <w:szCs w:val="20"/>
              </w:rPr>
              <w:t>0</w:t>
            </w:r>
          </w:p>
        </w:tc>
        <w:tc>
          <w:tcPr>
            <w:tcW w:w="4140" w:type="dxa"/>
            <w:vAlign w:val="center"/>
          </w:tcPr>
          <w:p w14:paraId="16DFC8A6" w14:textId="3BB898DF" w:rsidR="004676D7" w:rsidRPr="00FD4390" w:rsidRDefault="004676D7" w:rsidP="004676D7">
            <w:pPr>
              <w:keepNext/>
              <w:keepLines/>
              <w:spacing w:before="20" w:after="20"/>
              <w:rPr>
                <w:sz w:val="18"/>
              </w:rPr>
            </w:pPr>
            <w:proofErr w:type="spellStart"/>
            <w:r w:rsidRPr="00FD4390">
              <w:rPr>
                <w:sz w:val="18"/>
              </w:rPr>
              <w:t>Itron</w:t>
            </w:r>
            <w:proofErr w:type="spellEnd"/>
            <w:r w:rsidRPr="00FD4390">
              <w:rPr>
                <w:sz w:val="18"/>
              </w:rPr>
              <w:t xml:space="preserve">, Inc. 2011. </w:t>
            </w:r>
            <w:r w:rsidRPr="00377E2A">
              <w:rPr>
                <w:sz w:val="18"/>
              </w:rPr>
              <w:t>DEER Database 2011 Update Documentation.</w:t>
            </w:r>
            <w:r w:rsidRPr="00FD4390">
              <w:rPr>
                <w:sz w:val="18"/>
              </w:rPr>
              <w:t xml:space="preserve"> Prepared for the California Public Utilities Commission. Page 15-4 Table 15-3.</w:t>
            </w:r>
          </w:p>
        </w:tc>
      </w:tr>
      <w:tr w:rsidR="004676D7" w:rsidRPr="00500C4E" w14:paraId="1458F0B1" w14:textId="77777777" w:rsidTr="00D064F2">
        <w:trPr>
          <w:cantSplit/>
          <w:trHeight w:val="20"/>
        </w:trPr>
        <w:tc>
          <w:tcPr>
            <w:tcW w:w="3595" w:type="dxa"/>
            <w:vAlign w:val="center"/>
          </w:tcPr>
          <w:p w14:paraId="328F727A" w14:textId="49EDC1D8" w:rsidR="004676D7" w:rsidRPr="00E368D7" w:rsidRDefault="004676D7" w:rsidP="004676D7">
            <w:pPr>
              <w:keepNext/>
              <w:keepLines/>
              <w:spacing w:before="20" w:after="20"/>
              <w:rPr>
                <w:i/>
                <w:iCs/>
                <w:sz w:val="20"/>
              </w:rPr>
            </w:pPr>
            <w:r>
              <w:rPr>
                <w:sz w:val="20"/>
              </w:rPr>
              <w:t xml:space="preserve">NTG – </w:t>
            </w:r>
            <w:r w:rsidRPr="00E368D7">
              <w:rPr>
                <w:i/>
                <w:iCs/>
                <w:sz w:val="20"/>
              </w:rPr>
              <w:t>Ind-Default&gt;2yrs</w:t>
            </w:r>
            <w:r>
              <w:rPr>
                <w:sz w:val="20"/>
              </w:rPr>
              <w:t xml:space="preserve"> </w:t>
            </w:r>
          </w:p>
        </w:tc>
        <w:tc>
          <w:tcPr>
            <w:tcW w:w="1710" w:type="dxa"/>
            <w:vAlign w:val="center"/>
          </w:tcPr>
          <w:p w14:paraId="44278A5C" w14:textId="348E8A93" w:rsidR="004676D7" w:rsidRPr="001C5B02" w:rsidRDefault="004676D7" w:rsidP="004676D7">
            <w:pPr>
              <w:keepNext/>
              <w:keepLines/>
              <w:spacing w:before="20" w:after="20"/>
              <w:jc w:val="center"/>
              <w:rPr>
                <w:sz w:val="20"/>
                <w:szCs w:val="20"/>
              </w:rPr>
            </w:pPr>
            <w:r w:rsidRPr="001C5B02">
              <w:rPr>
                <w:sz w:val="20"/>
                <w:szCs w:val="20"/>
              </w:rPr>
              <w:t>0.</w:t>
            </w:r>
            <w:r>
              <w:rPr>
                <w:sz w:val="20"/>
                <w:szCs w:val="20"/>
              </w:rPr>
              <w:t>6</w:t>
            </w:r>
            <w:r w:rsidRPr="001C5B02">
              <w:rPr>
                <w:sz w:val="20"/>
                <w:szCs w:val="20"/>
              </w:rPr>
              <w:t>0</w:t>
            </w:r>
          </w:p>
        </w:tc>
        <w:tc>
          <w:tcPr>
            <w:tcW w:w="4140" w:type="dxa"/>
            <w:vAlign w:val="center"/>
          </w:tcPr>
          <w:p w14:paraId="3BF3D5AC" w14:textId="5B66EC9D" w:rsidR="004676D7" w:rsidRPr="00FD4390" w:rsidRDefault="004676D7" w:rsidP="004676D7">
            <w:pPr>
              <w:keepNext/>
              <w:keepLines/>
              <w:spacing w:before="20" w:after="20"/>
              <w:rPr>
                <w:sz w:val="18"/>
              </w:rPr>
            </w:pPr>
            <w:proofErr w:type="spellStart"/>
            <w:r w:rsidRPr="00FD4390">
              <w:rPr>
                <w:sz w:val="18"/>
              </w:rPr>
              <w:t>Itron</w:t>
            </w:r>
            <w:proofErr w:type="spellEnd"/>
            <w:r w:rsidRPr="00FD4390">
              <w:rPr>
                <w:sz w:val="18"/>
              </w:rPr>
              <w:t xml:space="preserve">, Inc. 2011. </w:t>
            </w:r>
            <w:r w:rsidRPr="00377E2A">
              <w:rPr>
                <w:sz w:val="18"/>
              </w:rPr>
              <w:t>DEER Database 2011 Update Documentation.</w:t>
            </w:r>
            <w:r w:rsidRPr="00FD4390">
              <w:rPr>
                <w:sz w:val="18"/>
              </w:rPr>
              <w:t xml:space="preserve"> Prepared for the California Public Utilities Commission. Page 15-4 Table 15-3.</w:t>
            </w:r>
          </w:p>
        </w:tc>
      </w:tr>
    </w:tbl>
    <w:p w14:paraId="1ECE2D51" w14:textId="77777777" w:rsidR="00995B2B" w:rsidRPr="004B06E3" w:rsidRDefault="00995B2B" w:rsidP="004142EF"/>
    <w:p w14:paraId="323B5B02" w14:textId="4C4B13DC" w:rsidR="007D230B" w:rsidRPr="004B06E3" w:rsidRDefault="00D02C36" w:rsidP="00A251C9">
      <w:pPr>
        <w:pStyle w:val="eTRMHeading3"/>
      </w:pPr>
      <w:bookmarkStart w:id="65" w:name="_Toc486490864"/>
      <w:bookmarkStart w:id="66" w:name="_Toc486580935"/>
      <w:bookmarkStart w:id="67" w:name="_Toc57018382"/>
      <w:r>
        <w:t>Gross Savings Installation Adjustment (</w:t>
      </w:r>
      <w:r w:rsidR="007D230B" w:rsidRPr="004B06E3">
        <w:t>GSIA</w:t>
      </w:r>
      <w:bookmarkEnd w:id="65"/>
      <w:bookmarkEnd w:id="66"/>
      <w:r>
        <w:t>)</w:t>
      </w:r>
      <w:bookmarkEnd w:id="67"/>
    </w:p>
    <w:p w14:paraId="2A1F1C17" w14:textId="58146490" w:rsidR="007D230B" w:rsidRDefault="00741CAD" w:rsidP="00B35FC3">
      <w:pPr>
        <w:jc w:val="both"/>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r w:rsidR="00995B2B">
        <w:t>This GSIA rate is the current default rate</w:t>
      </w:r>
      <w:r w:rsidR="00BB0517">
        <w:t>,</w:t>
      </w:r>
      <w:r w:rsidR="00995B2B">
        <w:t xml:space="preserve"> specified for measures for which an alternative GSIA has not been estimated and approved.</w:t>
      </w:r>
    </w:p>
    <w:p w14:paraId="45B83D52" w14:textId="4BF4B7D9" w:rsidR="00D77199" w:rsidRPr="0059426D" w:rsidRDefault="00B668B8" w:rsidP="009C5080">
      <w:pPr>
        <w:pStyle w:val="Caption"/>
      </w:pPr>
      <w:r w:rsidRPr="004124A9">
        <w:t>Gross Savings Installation Adjustment</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25"/>
        <w:gridCol w:w="1800"/>
        <w:gridCol w:w="5220"/>
      </w:tblGrid>
      <w:tr w:rsidR="00995B2B" w:rsidRPr="00500C4E" w14:paraId="32BE53A4" w14:textId="77777777" w:rsidTr="005F5BE1">
        <w:trPr>
          <w:cantSplit/>
          <w:trHeight w:val="20"/>
        </w:trPr>
        <w:tc>
          <w:tcPr>
            <w:tcW w:w="2425" w:type="dxa"/>
            <w:shd w:val="clear" w:color="auto" w:fill="F2F2F2" w:themeFill="background1" w:themeFillShade="F2"/>
            <w:vAlign w:val="center"/>
          </w:tcPr>
          <w:p w14:paraId="65FA4548" w14:textId="77777777" w:rsidR="00995B2B" w:rsidRPr="008C556F" w:rsidRDefault="00995B2B" w:rsidP="00943DDC">
            <w:pPr>
              <w:keepNext/>
              <w:keepLines/>
              <w:spacing w:before="20" w:after="20"/>
              <w:rPr>
                <w:rFonts w:cs="Calibri Light"/>
                <w:b/>
                <w:sz w:val="20"/>
                <w:szCs w:val="20"/>
              </w:rPr>
            </w:pPr>
            <w:bookmarkStart w:id="68" w:name="_Toc486490865"/>
            <w:bookmarkStart w:id="69" w:name="_Toc486580936"/>
            <w:r w:rsidRPr="008C556F">
              <w:rPr>
                <w:rFonts w:cs="Calibri Light"/>
                <w:b/>
                <w:sz w:val="20"/>
                <w:szCs w:val="20"/>
              </w:rPr>
              <w:t>Parameter</w:t>
            </w:r>
          </w:p>
        </w:tc>
        <w:tc>
          <w:tcPr>
            <w:tcW w:w="1800" w:type="dxa"/>
            <w:shd w:val="clear" w:color="auto" w:fill="F2F2F2" w:themeFill="background1" w:themeFillShade="F2"/>
            <w:vAlign w:val="center"/>
          </w:tcPr>
          <w:p w14:paraId="4D40B96A" w14:textId="513E20E3" w:rsidR="00995B2B" w:rsidRPr="008C556F" w:rsidRDefault="00995B2B" w:rsidP="005F5BE1">
            <w:pPr>
              <w:keepNext/>
              <w:keepLines/>
              <w:spacing w:before="20" w:after="20"/>
              <w:rPr>
                <w:rFonts w:cs="Calibri Light"/>
                <w:b/>
                <w:sz w:val="20"/>
                <w:szCs w:val="20"/>
              </w:rPr>
            </w:pPr>
            <w:r>
              <w:rPr>
                <w:rFonts w:cs="Calibri Light"/>
                <w:b/>
                <w:sz w:val="20"/>
                <w:szCs w:val="20"/>
              </w:rPr>
              <w:t>Value</w:t>
            </w:r>
          </w:p>
        </w:tc>
        <w:tc>
          <w:tcPr>
            <w:tcW w:w="5220" w:type="dxa"/>
            <w:shd w:val="clear" w:color="auto" w:fill="F2F2F2" w:themeFill="background1" w:themeFillShade="F2"/>
            <w:vAlign w:val="center"/>
          </w:tcPr>
          <w:p w14:paraId="471604AE" w14:textId="77777777" w:rsidR="00995B2B" w:rsidRPr="008C556F" w:rsidRDefault="00995B2B" w:rsidP="005F5BE1">
            <w:pPr>
              <w:keepNext/>
              <w:keepLines/>
              <w:spacing w:before="20" w:after="20"/>
              <w:rPr>
                <w:rFonts w:cs="Calibri Light"/>
                <w:b/>
                <w:sz w:val="20"/>
                <w:szCs w:val="20"/>
              </w:rPr>
            </w:pPr>
            <w:r w:rsidRPr="008C556F">
              <w:rPr>
                <w:rFonts w:cs="Calibri Light"/>
                <w:b/>
                <w:sz w:val="20"/>
                <w:szCs w:val="20"/>
              </w:rPr>
              <w:t>Source</w:t>
            </w:r>
          </w:p>
        </w:tc>
      </w:tr>
      <w:tr w:rsidR="00995B2B" w:rsidRPr="00500C4E" w14:paraId="64772E42" w14:textId="77777777" w:rsidTr="001A7239">
        <w:trPr>
          <w:cantSplit/>
          <w:trHeight w:val="20"/>
        </w:trPr>
        <w:tc>
          <w:tcPr>
            <w:tcW w:w="2425" w:type="dxa"/>
            <w:vAlign w:val="center"/>
          </w:tcPr>
          <w:p w14:paraId="4A9B788B" w14:textId="4CBCFE2F" w:rsidR="00995B2B" w:rsidRPr="00792DF8" w:rsidRDefault="00995B2B" w:rsidP="007811E2">
            <w:pPr>
              <w:keepNext/>
              <w:keepLines/>
              <w:spacing w:before="20" w:after="20"/>
              <w:rPr>
                <w:rFonts w:cstheme="minorHAnsi"/>
                <w:sz w:val="20"/>
                <w:szCs w:val="20"/>
              </w:rPr>
            </w:pPr>
            <w:r>
              <w:rPr>
                <w:rFonts w:cstheme="minorHAnsi"/>
                <w:sz w:val="20"/>
                <w:szCs w:val="20"/>
              </w:rPr>
              <w:t>GSIA</w:t>
            </w:r>
            <w:r w:rsidR="00792DF8">
              <w:rPr>
                <w:rFonts w:cstheme="minorHAnsi"/>
                <w:sz w:val="20"/>
                <w:szCs w:val="20"/>
              </w:rPr>
              <w:t xml:space="preserve"> – </w:t>
            </w:r>
            <w:r w:rsidR="00792DF8" w:rsidRPr="005F5BE1">
              <w:rPr>
                <w:rFonts w:cstheme="minorHAnsi"/>
                <w:i/>
                <w:sz w:val="20"/>
                <w:szCs w:val="20"/>
              </w:rPr>
              <w:t>Def-GSIA</w:t>
            </w:r>
          </w:p>
        </w:tc>
        <w:tc>
          <w:tcPr>
            <w:tcW w:w="1800" w:type="dxa"/>
            <w:vAlign w:val="center"/>
          </w:tcPr>
          <w:p w14:paraId="496C4EA7" w14:textId="77777777" w:rsidR="00995B2B" w:rsidRPr="007C4D58" w:rsidRDefault="00995B2B" w:rsidP="007811E2">
            <w:pPr>
              <w:keepNext/>
              <w:keepLines/>
              <w:spacing w:before="20" w:after="20"/>
              <w:jc w:val="center"/>
              <w:rPr>
                <w:sz w:val="20"/>
                <w:szCs w:val="20"/>
              </w:rPr>
            </w:pPr>
            <w:r w:rsidRPr="001C5B02">
              <w:rPr>
                <w:sz w:val="20"/>
                <w:szCs w:val="20"/>
              </w:rPr>
              <w:t>1.0</w:t>
            </w:r>
          </w:p>
        </w:tc>
        <w:tc>
          <w:tcPr>
            <w:tcW w:w="5220" w:type="dxa"/>
            <w:vAlign w:val="center"/>
          </w:tcPr>
          <w:p w14:paraId="5B12348F" w14:textId="0B4182FB" w:rsidR="00995B2B" w:rsidRPr="006842C4" w:rsidRDefault="00995B2B" w:rsidP="007811E2">
            <w:pPr>
              <w:keepNext/>
              <w:keepLines/>
              <w:spacing w:before="20" w:after="20"/>
              <w:rPr>
                <w:sz w:val="18"/>
                <w:szCs w:val="20"/>
              </w:rPr>
            </w:pPr>
            <w:r w:rsidRPr="00297B33">
              <w:rPr>
                <w:rFonts w:eastAsia="Times New Roman" w:cs="Times New Roman"/>
                <w:color w:val="000000"/>
                <w:sz w:val="18"/>
                <w:szCs w:val="18"/>
              </w:rPr>
              <w:t>CPUC, Energy Division. 20</w:t>
            </w:r>
            <w:r w:rsidR="00033AA5">
              <w:rPr>
                <w:rFonts w:eastAsia="Times New Roman" w:cs="Times New Roman"/>
                <w:color w:val="000000"/>
                <w:sz w:val="18"/>
                <w:szCs w:val="18"/>
              </w:rPr>
              <w:t>20</w:t>
            </w:r>
            <w:r w:rsidRPr="00297B33">
              <w:rPr>
                <w:rFonts w:eastAsia="Times New Roman" w:cs="Times New Roman"/>
                <w:color w:val="000000"/>
                <w:sz w:val="18"/>
                <w:szCs w:val="18"/>
              </w:rPr>
              <w:t xml:space="preserve">. </w:t>
            </w:r>
            <w:r w:rsidRPr="00297B33">
              <w:rPr>
                <w:rFonts w:eastAsia="Times New Roman" w:cs="Times New Roman"/>
                <w:i/>
                <w:color w:val="000000"/>
                <w:sz w:val="18"/>
                <w:szCs w:val="18"/>
              </w:rPr>
              <w:t xml:space="preserve">Energy Efficiency Policy Manual Version </w:t>
            </w:r>
            <w:r w:rsidR="00033AA5">
              <w:rPr>
                <w:rFonts w:eastAsia="Times New Roman" w:cs="Times New Roman"/>
                <w:i/>
                <w:color w:val="000000"/>
                <w:sz w:val="18"/>
                <w:szCs w:val="18"/>
              </w:rPr>
              <w:t>6</w:t>
            </w:r>
            <w:r w:rsidRPr="00297B33">
              <w:rPr>
                <w:rFonts w:eastAsia="Times New Roman" w:cs="Times New Roman"/>
                <w:color w:val="000000"/>
                <w:sz w:val="18"/>
                <w:szCs w:val="18"/>
              </w:rPr>
              <w:t>.</w:t>
            </w:r>
            <w:r>
              <w:rPr>
                <w:rFonts w:eastAsia="Times New Roman" w:cs="Times New Roman"/>
                <w:color w:val="000000"/>
                <w:sz w:val="18"/>
                <w:szCs w:val="18"/>
              </w:rPr>
              <w:t xml:space="preserve"> Page 3</w:t>
            </w:r>
            <w:r w:rsidR="00033AA5">
              <w:rPr>
                <w:rFonts w:eastAsia="Times New Roman" w:cs="Times New Roman"/>
                <w:color w:val="000000"/>
                <w:sz w:val="18"/>
                <w:szCs w:val="18"/>
              </w:rPr>
              <w:t>3</w:t>
            </w:r>
            <w:r>
              <w:rPr>
                <w:rFonts w:eastAsia="Times New Roman" w:cs="Times New Roman"/>
                <w:color w:val="000000"/>
                <w:sz w:val="18"/>
                <w:szCs w:val="18"/>
              </w:rPr>
              <w:t>.</w:t>
            </w:r>
          </w:p>
        </w:tc>
      </w:tr>
    </w:tbl>
    <w:p w14:paraId="5293AAB2" w14:textId="77777777" w:rsidR="00995B2B" w:rsidRPr="004B06E3" w:rsidRDefault="00995B2B" w:rsidP="00A251C9">
      <w:pPr>
        <w:pStyle w:val="eTRMHeading3"/>
      </w:pPr>
      <w:bookmarkStart w:id="70" w:name="_Toc494369270"/>
      <w:bookmarkStart w:id="71" w:name="_Toc503612232"/>
      <w:bookmarkStart w:id="72" w:name="_Toc504385308"/>
      <w:bookmarkStart w:id="73" w:name="_Toc57018383"/>
      <w:bookmarkEnd w:id="68"/>
      <w:bookmarkEnd w:id="69"/>
      <w:r w:rsidRPr="004B06E3">
        <w:t xml:space="preserve">Non-Energy </w:t>
      </w:r>
      <w:bookmarkEnd w:id="70"/>
      <w:r>
        <w:t>Impacts</w:t>
      </w:r>
      <w:bookmarkEnd w:id="71"/>
      <w:bookmarkEnd w:id="72"/>
      <w:bookmarkEnd w:id="73"/>
    </w:p>
    <w:p w14:paraId="3AB63EE9" w14:textId="356AA0CA" w:rsidR="004A17E2" w:rsidRDefault="00653032" w:rsidP="00B35FC3">
      <w:pPr>
        <w:jc w:val="both"/>
      </w:pPr>
      <w:r>
        <w:t xml:space="preserve">This measure </w:t>
      </w:r>
      <w:r w:rsidR="008E2B15">
        <w:t>achieves</w:t>
      </w:r>
      <w:r>
        <w:t xml:space="preserve"> energy savings by </w:t>
      </w:r>
      <w:r w:rsidR="004A17E2">
        <w:t>flowing water through an evaporative media in order to pre-cool air flowing through the condenser of a package</w:t>
      </w:r>
      <w:r w:rsidR="006C4901">
        <w:t>d</w:t>
      </w:r>
      <w:r w:rsidR="004A17E2">
        <w:t xml:space="preserve"> unit. As a result, the building water consumption </w:t>
      </w:r>
      <w:r w:rsidR="00DC0E9A">
        <w:t>will increase</w:t>
      </w:r>
      <w:r w:rsidR="004A17E2">
        <w:t xml:space="preserve">. </w:t>
      </w:r>
      <w:r w:rsidR="00344692">
        <w:t xml:space="preserve">Daily </w:t>
      </w:r>
      <w:r w:rsidR="004A17E2">
        <w:t>water consumption data was estimated using the 2013 case study, “</w:t>
      </w:r>
      <w:r w:rsidR="004A17E2" w:rsidRPr="00653032">
        <w:rPr>
          <w:i/>
        </w:rPr>
        <w:t>C</w:t>
      </w:r>
      <w:r w:rsidR="004A17E2">
        <w:rPr>
          <w:i/>
        </w:rPr>
        <w:t>ondenser Air Pre-Cooler Retrofits for Rooftop Units</w:t>
      </w:r>
      <w:r w:rsidR="004A17E2" w:rsidRPr="004A17E2">
        <w:t>”</w:t>
      </w:r>
      <w:r w:rsidR="004A17E2">
        <w:t xml:space="preserve"> conducted by the </w:t>
      </w:r>
      <w:r w:rsidR="00DC0E9A">
        <w:t xml:space="preserve">UC Davis </w:t>
      </w:r>
      <w:r w:rsidR="004A17E2">
        <w:t>Western Cooling Efficiency Center</w:t>
      </w:r>
      <w:r w:rsidR="004A17E2">
        <w:rPr>
          <w:rStyle w:val="FootnoteReference"/>
        </w:rPr>
        <w:footnoteReference w:id="16"/>
      </w:r>
      <w:r w:rsidR="004A17E2">
        <w:t xml:space="preserve">. </w:t>
      </w:r>
    </w:p>
    <w:p w14:paraId="06084091" w14:textId="0C2C4B1C" w:rsidR="00995B2B" w:rsidRDefault="00653032" w:rsidP="00B35FC3">
      <w:pPr>
        <w:jc w:val="both"/>
      </w:pPr>
      <w:r>
        <w:lastRenderedPageBreak/>
        <w:t xml:space="preserve">Annual non-energy impacts in the form of </w:t>
      </w:r>
      <w:r w:rsidR="00FB1D3B">
        <w:t xml:space="preserve">increased </w:t>
      </w:r>
      <w:r>
        <w:t xml:space="preserve">water consumption for this measure are </w:t>
      </w:r>
      <w:r w:rsidR="00DC0E9A">
        <w:t xml:space="preserve">expected to be </w:t>
      </w:r>
      <w:r w:rsidR="00591445">
        <w:t>169</w:t>
      </w:r>
      <w:r>
        <w:t xml:space="preserve"> gal/ton</w:t>
      </w:r>
      <w:r w:rsidR="00591445">
        <w:rPr>
          <w:rStyle w:val="FootnoteReference"/>
        </w:rPr>
        <w:footnoteReference w:id="17"/>
      </w:r>
      <w:r>
        <w:t>.</w:t>
      </w:r>
      <w:r w:rsidR="00F70DA9">
        <w:t xml:space="preserve"> Water impacts are based on usage for a 30-ton unit</w:t>
      </w:r>
      <w:r w:rsidR="00BE56AB">
        <w:t xml:space="preserve"> consistent with the unit size used to estimate the cost of the measure.</w:t>
      </w:r>
    </w:p>
    <w:p w14:paraId="6277C701" w14:textId="77777777" w:rsidR="00D77199" w:rsidRPr="004B06E3" w:rsidRDefault="00D77199" w:rsidP="00A251C9">
      <w:pPr>
        <w:pStyle w:val="eTRMHeading3"/>
      </w:pPr>
      <w:bookmarkStart w:id="74" w:name="_Toc490461312"/>
      <w:bookmarkStart w:id="75" w:name="_Toc57018384"/>
      <w:r>
        <w:t>DEER Differences Analysis</w:t>
      </w:r>
      <w:bookmarkEnd w:id="74"/>
      <w:bookmarkEnd w:id="75"/>
    </w:p>
    <w:p w14:paraId="40E13BC0" w14:textId="48661354" w:rsidR="0079649E" w:rsidRPr="0079649E" w:rsidRDefault="001C7AAA" w:rsidP="00B35FC3">
      <w:pPr>
        <w:jc w:val="both"/>
      </w:pPr>
      <w:bookmarkStart w:id="76" w:name="_Hlk526856348"/>
      <w:r w:rsidRPr="001C7AAA">
        <w:t>This section provides a summary of inputs and methods based upon the Database of Energy Efficient Resources (DEER), and the rationale for inputs and methods that are not DEER-based.</w:t>
      </w:r>
    </w:p>
    <w:bookmarkEnd w:id="76"/>
    <w:p w14:paraId="454AB59C" w14:textId="729704BD" w:rsidR="00D77199" w:rsidRPr="00920905" w:rsidRDefault="00B668B8" w:rsidP="009C5080">
      <w:pPr>
        <w:pStyle w:val="Caption"/>
      </w:pPr>
      <w:r w:rsidRPr="002F3AD3">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D77199" w:rsidRPr="00500C4E" w14:paraId="19A11D24" w14:textId="77777777" w:rsidTr="001C5B02">
        <w:trPr>
          <w:trHeight w:val="20"/>
          <w:tblHeader/>
        </w:trPr>
        <w:tc>
          <w:tcPr>
            <w:tcW w:w="1730" w:type="pct"/>
            <w:shd w:val="clear" w:color="auto" w:fill="F2F2F2" w:themeFill="background1" w:themeFillShade="F2"/>
          </w:tcPr>
          <w:p w14:paraId="5E25FEA8" w14:textId="77777777" w:rsidR="00D77199" w:rsidRPr="00EA057C" w:rsidRDefault="00D77199" w:rsidP="001C5B02">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72A75CD4" w14:textId="4DD7E783" w:rsidR="00D77199" w:rsidRPr="00EA057C" w:rsidRDefault="00D77199" w:rsidP="001C5B02">
            <w:pPr>
              <w:spacing w:before="20" w:after="20"/>
              <w:rPr>
                <w:rFonts w:cs="Arial"/>
                <w:b/>
                <w:sz w:val="20"/>
                <w:szCs w:val="20"/>
              </w:rPr>
            </w:pPr>
            <w:r>
              <w:rPr>
                <w:rFonts w:cs="Arial"/>
                <w:b/>
                <w:sz w:val="20"/>
                <w:szCs w:val="20"/>
              </w:rPr>
              <w:t xml:space="preserve">Comment </w:t>
            </w:r>
          </w:p>
        </w:tc>
      </w:tr>
      <w:tr w:rsidR="00D77199" w:rsidRPr="00500C4E" w14:paraId="7051653E" w14:textId="77777777" w:rsidTr="00501689">
        <w:trPr>
          <w:trHeight w:val="20"/>
        </w:trPr>
        <w:tc>
          <w:tcPr>
            <w:tcW w:w="1730" w:type="pct"/>
          </w:tcPr>
          <w:p w14:paraId="54E7A5C0" w14:textId="77777777" w:rsidR="00D77199" w:rsidRPr="00EA057C" w:rsidRDefault="00D77199" w:rsidP="001C5B02">
            <w:pPr>
              <w:spacing w:before="20" w:after="20"/>
              <w:rPr>
                <w:rFonts w:cs="Arial"/>
                <w:sz w:val="20"/>
                <w:szCs w:val="20"/>
              </w:rPr>
            </w:pPr>
            <w:r w:rsidRPr="00EA057C">
              <w:rPr>
                <w:rFonts w:cs="Arial"/>
                <w:sz w:val="20"/>
                <w:szCs w:val="20"/>
              </w:rPr>
              <w:t>Modified DEER methodology</w:t>
            </w:r>
          </w:p>
        </w:tc>
        <w:tc>
          <w:tcPr>
            <w:tcW w:w="3270" w:type="pct"/>
          </w:tcPr>
          <w:p w14:paraId="55CE8F04" w14:textId="0402572E" w:rsidR="00D77199" w:rsidRPr="00FC3AA9" w:rsidRDefault="007455A9" w:rsidP="001C5B02">
            <w:pPr>
              <w:spacing w:before="20" w:after="20"/>
              <w:rPr>
                <w:rFonts w:cs="Arial"/>
                <w:sz w:val="20"/>
                <w:szCs w:val="20"/>
              </w:rPr>
            </w:pPr>
            <w:r w:rsidRPr="00FC3AA9">
              <w:rPr>
                <w:rFonts w:cs="Arial"/>
                <w:sz w:val="20"/>
                <w:szCs w:val="20"/>
              </w:rPr>
              <w:t>No</w:t>
            </w:r>
          </w:p>
        </w:tc>
      </w:tr>
      <w:tr w:rsidR="00D77199" w:rsidRPr="00500C4E" w14:paraId="4553704D" w14:textId="77777777" w:rsidTr="00501689">
        <w:trPr>
          <w:trHeight w:val="20"/>
        </w:trPr>
        <w:tc>
          <w:tcPr>
            <w:tcW w:w="1730" w:type="pct"/>
          </w:tcPr>
          <w:p w14:paraId="7DA5DEBA" w14:textId="77777777" w:rsidR="00D77199" w:rsidRPr="00EA057C" w:rsidRDefault="00D77199" w:rsidP="001C5B02">
            <w:pPr>
              <w:spacing w:before="20" w:after="20"/>
              <w:rPr>
                <w:rFonts w:cs="Arial"/>
                <w:sz w:val="20"/>
                <w:szCs w:val="20"/>
              </w:rPr>
            </w:pPr>
            <w:r w:rsidRPr="00EA057C">
              <w:rPr>
                <w:rFonts w:cs="Arial"/>
                <w:sz w:val="20"/>
                <w:szCs w:val="20"/>
              </w:rPr>
              <w:t>Scaled DEER measure</w:t>
            </w:r>
          </w:p>
        </w:tc>
        <w:tc>
          <w:tcPr>
            <w:tcW w:w="3270" w:type="pct"/>
          </w:tcPr>
          <w:p w14:paraId="5F5E724A" w14:textId="68D7283F" w:rsidR="00D77199" w:rsidRPr="00FC3AA9" w:rsidRDefault="007455A9" w:rsidP="001C5B02">
            <w:pPr>
              <w:spacing w:before="20" w:after="20"/>
              <w:rPr>
                <w:rFonts w:cs="Arial"/>
                <w:sz w:val="20"/>
                <w:szCs w:val="20"/>
              </w:rPr>
            </w:pPr>
            <w:r w:rsidRPr="00FC3AA9">
              <w:rPr>
                <w:rFonts w:cs="Arial"/>
                <w:sz w:val="20"/>
                <w:szCs w:val="20"/>
              </w:rPr>
              <w:t>No</w:t>
            </w:r>
          </w:p>
        </w:tc>
      </w:tr>
      <w:tr w:rsidR="00D77199" w:rsidRPr="00500C4E" w14:paraId="7803C39B" w14:textId="77777777" w:rsidTr="00501689">
        <w:trPr>
          <w:trHeight w:val="20"/>
        </w:trPr>
        <w:tc>
          <w:tcPr>
            <w:tcW w:w="1730" w:type="pct"/>
          </w:tcPr>
          <w:p w14:paraId="2D0817A2" w14:textId="77777777" w:rsidR="00D77199" w:rsidRPr="00EA057C" w:rsidRDefault="00D77199" w:rsidP="001C5B02">
            <w:pPr>
              <w:spacing w:before="20" w:after="20"/>
              <w:rPr>
                <w:rFonts w:cs="Arial"/>
                <w:sz w:val="20"/>
                <w:szCs w:val="20"/>
              </w:rPr>
            </w:pPr>
            <w:r w:rsidRPr="00EA057C">
              <w:rPr>
                <w:rFonts w:cs="Arial"/>
                <w:sz w:val="20"/>
                <w:szCs w:val="20"/>
              </w:rPr>
              <w:t>DEER Base Case</w:t>
            </w:r>
          </w:p>
        </w:tc>
        <w:tc>
          <w:tcPr>
            <w:tcW w:w="3270" w:type="pct"/>
          </w:tcPr>
          <w:p w14:paraId="2A7F7DA4" w14:textId="212FDCFE" w:rsidR="00D77199" w:rsidRPr="00FC3AA9" w:rsidRDefault="007455A9" w:rsidP="001C5B02">
            <w:pPr>
              <w:spacing w:before="20" w:after="20"/>
              <w:rPr>
                <w:rFonts w:cs="Arial"/>
                <w:sz w:val="20"/>
                <w:szCs w:val="20"/>
              </w:rPr>
            </w:pPr>
            <w:r w:rsidRPr="00FC3AA9">
              <w:rPr>
                <w:rFonts w:cs="Arial"/>
                <w:sz w:val="20"/>
                <w:szCs w:val="20"/>
              </w:rPr>
              <w:t>No</w:t>
            </w:r>
          </w:p>
        </w:tc>
      </w:tr>
      <w:tr w:rsidR="00D77199" w:rsidRPr="00500C4E" w14:paraId="302540AB" w14:textId="77777777" w:rsidTr="00501689">
        <w:trPr>
          <w:trHeight w:val="20"/>
        </w:trPr>
        <w:tc>
          <w:tcPr>
            <w:tcW w:w="1730" w:type="pct"/>
          </w:tcPr>
          <w:p w14:paraId="43741901" w14:textId="77777777" w:rsidR="00D77199" w:rsidRPr="00EA057C" w:rsidRDefault="00D77199" w:rsidP="001C5B02">
            <w:pPr>
              <w:spacing w:before="20" w:after="20"/>
              <w:rPr>
                <w:rFonts w:cs="Arial"/>
                <w:sz w:val="20"/>
                <w:szCs w:val="20"/>
              </w:rPr>
            </w:pPr>
            <w:r w:rsidRPr="00EA057C">
              <w:rPr>
                <w:rFonts w:cs="Arial"/>
                <w:sz w:val="20"/>
                <w:szCs w:val="20"/>
              </w:rPr>
              <w:t>DEER Measure Case</w:t>
            </w:r>
          </w:p>
        </w:tc>
        <w:tc>
          <w:tcPr>
            <w:tcW w:w="3270" w:type="pct"/>
          </w:tcPr>
          <w:p w14:paraId="57F01367" w14:textId="443DC986" w:rsidR="00D77199" w:rsidRPr="00FC3AA9" w:rsidRDefault="007455A9" w:rsidP="001C5B02">
            <w:pPr>
              <w:spacing w:before="20" w:after="20"/>
              <w:rPr>
                <w:rFonts w:cs="Arial"/>
                <w:sz w:val="20"/>
                <w:szCs w:val="20"/>
              </w:rPr>
            </w:pPr>
            <w:r w:rsidRPr="00FC3AA9">
              <w:rPr>
                <w:rFonts w:cs="Arial"/>
                <w:sz w:val="20"/>
                <w:szCs w:val="20"/>
              </w:rPr>
              <w:t>No</w:t>
            </w:r>
          </w:p>
        </w:tc>
      </w:tr>
      <w:tr w:rsidR="00D77199" w:rsidRPr="00500C4E" w14:paraId="0549594D" w14:textId="77777777" w:rsidTr="00501689">
        <w:trPr>
          <w:trHeight w:val="20"/>
        </w:trPr>
        <w:tc>
          <w:tcPr>
            <w:tcW w:w="1730" w:type="pct"/>
          </w:tcPr>
          <w:p w14:paraId="202EA954" w14:textId="77777777" w:rsidR="00D77199" w:rsidRPr="00EA057C" w:rsidRDefault="00D77199" w:rsidP="001C5B02">
            <w:pPr>
              <w:spacing w:before="20" w:after="20"/>
              <w:rPr>
                <w:rFonts w:cs="Arial"/>
                <w:sz w:val="20"/>
                <w:szCs w:val="20"/>
              </w:rPr>
            </w:pPr>
            <w:r w:rsidRPr="00EA057C">
              <w:rPr>
                <w:rFonts w:cs="Arial"/>
                <w:sz w:val="20"/>
                <w:szCs w:val="20"/>
              </w:rPr>
              <w:t>DEER Building Types</w:t>
            </w:r>
          </w:p>
        </w:tc>
        <w:tc>
          <w:tcPr>
            <w:tcW w:w="3270" w:type="pct"/>
          </w:tcPr>
          <w:p w14:paraId="3922C0C0" w14:textId="1168FDF0" w:rsidR="00D77199" w:rsidRPr="00FC3AA9" w:rsidRDefault="007455A9" w:rsidP="001C5B02">
            <w:pPr>
              <w:spacing w:before="20" w:after="20"/>
              <w:rPr>
                <w:rFonts w:cs="Arial"/>
                <w:sz w:val="20"/>
                <w:szCs w:val="20"/>
              </w:rPr>
            </w:pPr>
            <w:r w:rsidRPr="00FC3AA9">
              <w:rPr>
                <w:rFonts w:cs="Arial"/>
                <w:sz w:val="20"/>
                <w:szCs w:val="20"/>
              </w:rPr>
              <w:t>Yes</w:t>
            </w:r>
          </w:p>
        </w:tc>
      </w:tr>
      <w:tr w:rsidR="00D77199" w:rsidRPr="00500C4E" w14:paraId="0BB4C085" w14:textId="77777777" w:rsidTr="00501689">
        <w:trPr>
          <w:trHeight w:val="20"/>
        </w:trPr>
        <w:tc>
          <w:tcPr>
            <w:tcW w:w="1730" w:type="pct"/>
          </w:tcPr>
          <w:p w14:paraId="69F38063" w14:textId="77777777" w:rsidR="00D77199" w:rsidRPr="00EA057C" w:rsidRDefault="00D77199" w:rsidP="001C5B02">
            <w:pPr>
              <w:spacing w:before="20" w:after="20"/>
              <w:rPr>
                <w:rFonts w:cs="Arial"/>
                <w:sz w:val="20"/>
                <w:szCs w:val="20"/>
              </w:rPr>
            </w:pPr>
            <w:r w:rsidRPr="00EA057C">
              <w:rPr>
                <w:rFonts w:cs="Arial"/>
                <w:sz w:val="20"/>
                <w:szCs w:val="20"/>
              </w:rPr>
              <w:t>DEER Operating Hours</w:t>
            </w:r>
          </w:p>
        </w:tc>
        <w:tc>
          <w:tcPr>
            <w:tcW w:w="3270" w:type="pct"/>
          </w:tcPr>
          <w:p w14:paraId="3D91569E" w14:textId="03E29504" w:rsidR="00D77199" w:rsidRPr="00FC3AA9" w:rsidRDefault="007455A9" w:rsidP="001C5B02">
            <w:pPr>
              <w:spacing w:before="20" w:after="20"/>
              <w:rPr>
                <w:rFonts w:cs="Arial"/>
                <w:sz w:val="20"/>
                <w:szCs w:val="20"/>
              </w:rPr>
            </w:pPr>
            <w:r w:rsidRPr="00FC3AA9">
              <w:rPr>
                <w:rFonts w:cs="Arial"/>
                <w:sz w:val="20"/>
                <w:szCs w:val="20"/>
              </w:rPr>
              <w:t>Yes</w:t>
            </w:r>
          </w:p>
        </w:tc>
      </w:tr>
      <w:tr w:rsidR="00D77199" w:rsidRPr="00500C4E" w14:paraId="684C0104" w14:textId="77777777" w:rsidTr="00501689">
        <w:trPr>
          <w:trHeight w:val="20"/>
        </w:trPr>
        <w:tc>
          <w:tcPr>
            <w:tcW w:w="1730" w:type="pct"/>
          </w:tcPr>
          <w:p w14:paraId="304A6EFB" w14:textId="044A20C9" w:rsidR="00D77199" w:rsidRPr="00EA057C" w:rsidRDefault="00D77199" w:rsidP="001C5B02">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329063A8" w14:textId="39577B19" w:rsidR="00D77199" w:rsidRPr="00FC3AA9" w:rsidDel="00505CEC" w:rsidRDefault="00FD4390" w:rsidP="001C5B02">
            <w:pPr>
              <w:spacing w:before="20" w:after="20"/>
              <w:rPr>
                <w:rFonts w:cs="Arial"/>
                <w:sz w:val="20"/>
                <w:szCs w:val="20"/>
              </w:rPr>
            </w:pPr>
            <w:r>
              <w:rPr>
                <w:rFonts w:cs="Arial"/>
                <w:sz w:val="20"/>
                <w:szCs w:val="20"/>
              </w:rPr>
              <w:t>Yes (</w:t>
            </w:r>
            <w:proofErr w:type="spellStart"/>
            <w:r w:rsidRPr="00FC3AA9">
              <w:rPr>
                <w:rFonts w:cs="Arial"/>
                <w:sz w:val="20"/>
                <w:szCs w:val="20"/>
              </w:rPr>
              <w:t>MASControl</w:t>
            </w:r>
            <w:proofErr w:type="spellEnd"/>
            <w:r w:rsidRPr="00FC3AA9">
              <w:rPr>
                <w:rFonts w:cs="Arial"/>
                <w:sz w:val="20"/>
                <w:szCs w:val="20"/>
              </w:rPr>
              <w:t xml:space="preserve"> version </w:t>
            </w:r>
            <w:r>
              <w:rPr>
                <w:rFonts w:cs="Arial"/>
                <w:sz w:val="20"/>
                <w:szCs w:val="20"/>
              </w:rPr>
              <w:t>3</w:t>
            </w:r>
            <w:r w:rsidRPr="00FC3AA9">
              <w:rPr>
                <w:rFonts w:cs="Arial"/>
                <w:sz w:val="20"/>
                <w:szCs w:val="20"/>
              </w:rPr>
              <w:t xml:space="preserve"> for </w:t>
            </w:r>
            <w:r w:rsidR="00E6640E">
              <w:rPr>
                <w:rFonts w:cs="Arial"/>
                <w:sz w:val="20"/>
                <w:szCs w:val="20"/>
              </w:rPr>
              <w:t>existing vintage</w:t>
            </w:r>
            <w:r>
              <w:rPr>
                <w:rFonts w:cs="Arial"/>
                <w:sz w:val="20"/>
                <w:szCs w:val="20"/>
              </w:rPr>
              <w:t>)</w:t>
            </w:r>
          </w:p>
        </w:tc>
      </w:tr>
      <w:tr w:rsidR="00D77199" w:rsidRPr="00500C4E" w14:paraId="7B519178" w14:textId="77777777" w:rsidTr="00501689">
        <w:trPr>
          <w:trHeight w:val="180"/>
        </w:trPr>
        <w:tc>
          <w:tcPr>
            <w:tcW w:w="1730" w:type="pct"/>
          </w:tcPr>
          <w:p w14:paraId="46CFE040" w14:textId="77777777" w:rsidR="00D77199" w:rsidRPr="00EA057C" w:rsidRDefault="00D77199" w:rsidP="001C5B02">
            <w:pPr>
              <w:spacing w:before="20" w:after="20"/>
              <w:rPr>
                <w:rFonts w:cs="Arial"/>
                <w:sz w:val="20"/>
                <w:szCs w:val="20"/>
              </w:rPr>
            </w:pPr>
            <w:r w:rsidRPr="00EA057C">
              <w:rPr>
                <w:rFonts w:cs="Arial"/>
                <w:sz w:val="20"/>
                <w:szCs w:val="20"/>
              </w:rPr>
              <w:t>DEER Version</w:t>
            </w:r>
          </w:p>
        </w:tc>
        <w:tc>
          <w:tcPr>
            <w:tcW w:w="3270" w:type="pct"/>
          </w:tcPr>
          <w:p w14:paraId="2FDAE35F" w14:textId="5461C0BA" w:rsidR="00D77199" w:rsidRPr="00FC3AA9" w:rsidRDefault="00FD4390" w:rsidP="001C5B02">
            <w:pPr>
              <w:spacing w:before="20" w:after="20"/>
              <w:rPr>
                <w:rFonts w:cs="Arial"/>
                <w:sz w:val="20"/>
                <w:szCs w:val="20"/>
              </w:rPr>
            </w:pPr>
            <w:r w:rsidRPr="00FC3AA9">
              <w:rPr>
                <w:rFonts w:cs="Arial"/>
                <w:sz w:val="20"/>
                <w:szCs w:val="20"/>
              </w:rPr>
              <w:t>n/a</w:t>
            </w:r>
          </w:p>
        </w:tc>
      </w:tr>
      <w:tr w:rsidR="00D77199" w:rsidRPr="00500C4E" w14:paraId="63C96962" w14:textId="77777777" w:rsidTr="00501689">
        <w:trPr>
          <w:trHeight w:val="20"/>
        </w:trPr>
        <w:tc>
          <w:tcPr>
            <w:tcW w:w="1730" w:type="pct"/>
          </w:tcPr>
          <w:p w14:paraId="0346A042" w14:textId="77777777" w:rsidR="00D77199" w:rsidRPr="00EA057C" w:rsidRDefault="00D77199" w:rsidP="001C5B02">
            <w:pPr>
              <w:spacing w:before="20" w:after="20"/>
              <w:rPr>
                <w:rFonts w:cs="Arial"/>
                <w:sz w:val="20"/>
                <w:szCs w:val="20"/>
              </w:rPr>
            </w:pPr>
            <w:r w:rsidRPr="00EA057C">
              <w:rPr>
                <w:rFonts w:cs="Arial"/>
                <w:sz w:val="20"/>
                <w:szCs w:val="20"/>
              </w:rPr>
              <w:t>Reason for Deviation from DEER</w:t>
            </w:r>
          </w:p>
        </w:tc>
        <w:tc>
          <w:tcPr>
            <w:tcW w:w="3270" w:type="pct"/>
          </w:tcPr>
          <w:p w14:paraId="477EBA99" w14:textId="27476721" w:rsidR="00D77199" w:rsidRPr="00FC3AA9" w:rsidRDefault="007455A9" w:rsidP="001C5B02">
            <w:pPr>
              <w:spacing w:before="20" w:after="20"/>
              <w:rPr>
                <w:rFonts w:cs="Arial"/>
                <w:sz w:val="20"/>
                <w:szCs w:val="20"/>
              </w:rPr>
            </w:pPr>
            <w:r w:rsidRPr="00FC3AA9">
              <w:rPr>
                <w:rFonts w:cs="Arial"/>
                <w:sz w:val="20"/>
                <w:szCs w:val="20"/>
              </w:rPr>
              <w:t>n/a</w:t>
            </w:r>
          </w:p>
        </w:tc>
      </w:tr>
      <w:tr w:rsidR="00D77199" w:rsidRPr="00500C4E" w14:paraId="57EC1255" w14:textId="77777777" w:rsidTr="00501689">
        <w:trPr>
          <w:trHeight w:val="20"/>
        </w:trPr>
        <w:tc>
          <w:tcPr>
            <w:tcW w:w="1730" w:type="pct"/>
          </w:tcPr>
          <w:p w14:paraId="40DCB15D" w14:textId="77777777" w:rsidR="00D77199" w:rsidRPr="00EA057C" w:rsidRDefault="00D77199" w:rsidP="001C5B02">
            <w:pPr>
              <w:spacing w:before="20" w:after="20"/>
              <w:rPr>
                <w:rFonts w:cs="Arial"/>
                <w:sz w:val="20"/>
                <w:szCs w:val="20"/>
              </w:rPr>
            </w:pPr>
            <w:r w:rsidRPr="00EA057C">
              <w:rPr>
                <w:rFonts w:cs="Arial"/>
                <w:sz w:val="20"/>
                <w:szCs w:val="20"/>
              </w:rPr>
              <w:t>DEER Measure IDs Used</w:t>
            </w:r>
          </w:p>
        </w:tc>
        <w:tc>
          <w:tcPr>
            <w:tcW w:w="3270" w:type="pct"/>
          </w:tcPr>
          <w:p w14:paraId="6D8D11AD" w14:textId="794C35B3" w:rsidR="00D77199" w:rsidRPr="00FC3AA9" w:rsidRDefault="007455A9" w:rsidP="001C5B02">
            <w:pPr>
              <w:spacing w:before="20" w:after="20"/>
              <w:rPr>
                <w:rFonts w:cs="Arial"/>
                <w:sz w:val="20"/>
                <w:szCs w:val="20"/>
              </w:rPr>
            </w:pPr>
            <w:r w:rsidRPr="00FC3AA9">
              <w:rPr>
                <w:rFonts w:cs="Arial"/>
                <w:sz w:val="20"/>
                <w:szCs w:val="20"/>
              </w:rPr>
              <w:t>n/a</w:t>
            </w:r>
          </w:p>
        </w:tc>
      </w:tr>
      <w:tr w:rsidR="00D77199" w:rsidRPr="00500C4E" w14:paraId="4326A0F8" w14:textId="77777777" w:rsidTr="00501689">
        <w:trPr>
          <w:trHeight w:val="20"/>
        </w:trPr>
        <w:tc>
          <w:tcPr>
            <w:tcW w:w="1730" w:type="pct"/>
          </w:tcPr>
          <w:p w14:paraId="168823B8" w14:textId="77777777" w:rsidR="00D77199" w:rsidRPr="00EA057C" w:rsidRDefault="00D77199" w:rsidP="001C5B02">
            <w:pPr>
              <w:spacing w:before="20" w:after="20"/>
              <w:rPr>
                <w:rFonts w:cs="Arial"/>
                <w:sz w:val="20"/>
                <w:szCs w:val="20"/>
              </w:rPr>
            </w:pPr>
            <w:r>
              <w:rPr>
                <w:rFonts w:cs="Arial"/>
                <w:sz w:val="20"/>
                <w:szCs w:val="20"/>
              </w:rPr>
              <w:t>NTG</w:t>
            </w:r>
          </w:p>
        </w:tc>
        <w:tc>
          <w:tcPr>
            <w:tcW w:w="3270" w:type="pct"/>
          </w:tcPr>
          <w:p w14:paraId="7FCEFF57" w14:textId="2DB57912" w:rsidR="00D77199" w:rsidRPr="00E368D7" w:rsidRDefault="0072064A" w:rsidP="001C5B02">
            <w:pPr>
              <w:spacing w:before="20" w:after="20"/>
              <w:rPr>
                <w:rFonts w:cs="Arial"/>
                <w:i/>
                <w:sz w:val="20"/>
                <w:szCs w:val="20"/>
              </w:rPr>
            </w:pPr>
            <w:r w:rsidRPr="00FC3AA9">
              <w:rPr>
                <w:rFonts w:cs="Arial"/>
                <w:sz w:val="20"/>
                <w:szCs w:val="20"/>
              </w:rPr>
              <w:t>Source: DEER2011 (DEER2011_NTGR_2012-05-16.xls).  Value of 0.</w:t>
            </w:r>
            <w:r>
              <w:rPr>
                <w:rFonts w:cs="Arial"/>
                <w:sz w:val="20"/>
                <w:szCs w:val="20"/>
              </w:rPr>
              <w:t>6</w:t>
            </w:r>
            <w:r w:rsidRPr="00FC3AA9">
              <w:rPr>
                <w:rFonts w:cs="Arial"/>
                <w:sz w:val="20"/>
                <w:szCs w:val="20"/>
              </w:rPr>
              <w:t>0 is associated with NTG ID</w:t>
            </w:r>
            <w:r w:rsidR="004676D7">
              <w:rPr>
                <w:rFonts w:cs="Arial"/>
                <w:sz w:val="20"/>
                <w:szCs w:val="20"/>
              </w:rPr>
              <w:t>s</w:t>
            </w:r>
            <w:r w:rsidRPr="00FC3AA9">
              <w:rPr>
                <w:rFonts w:cs="Arial"/>
                <w:sz w:val="20"/>
                <w:szCs w:val="20"/>
              </w:rPr>
              <w:t xml:space="preserve">: </w:t>
            </w:r>
            <w:r w:rsidR="004676D7" w:rsidRPr="00E368D7">
              <w:rPr>
                <w:rFonts w:cs="Arial"/>
                <w:i/>
                <w:iCs/>
                <w:sz w:val="20"/>
                <w:szCs w:val="20"/>
              </w:rPr>
              <w:t>Agric-Default&gt;2yrs</w:t>
            </w:r>
            <w:r w:rsidR="004676D7">
              <w:rPr>
                <w:rFonts w:cs="Arial"/>
                <w:sz w:val="20"/>
                <w:szCs w:val="20"/>
              </w:rPr>
              <w:t>,</w:t>
            </w:r>
            <w:r w:rsidR="004676D7" w:rsidRPr="004676D7">
              <w:rPr>
                <w:rFonts w:cs="Arial"/>
                <w:sz w:val="20"/>
                <w:szCs w:val="20"/>
              </w:rPr>
              <w:t xml:space="preserve"> </w:t>
            </w:r>
            <w:r w:rsidRPr="00E53106">
              <w:rPr>
                <w:rFonts w:cs="Arial"/>
                <w:i/>
                <w:sz w:val="20"/>
                <w:szCs w:val="20"/>
              </w:rPr>
              <w:t>Com-Default&gt;2yrs</w:t>
            </w:r>
            <w:r w:rsidR="004676D7">
              <w:rPr>
                <w:rFonts w:cs="Arial"/>
                <w:iCs/>
                <w:sz w:val="20"/>
                <w:szCs w:val="20"/>
              </w:rPr>
              <w:t>,</w:t>
            </w:r>
            <w:r w:rsidR="004676D7">
              <w:rPr>
                <w:rFonts w:cs="Arial"/>
                <w:i/>
                <w:sz w:val="20"/>
                <w:szCs w:val="20"/>
              </w:rPr>
              <w:t xml:space="preserve"> </w:t>
            </w:r>
            <w:r w:rsidR="004676D7" w:rsidRPr="004676D7">
              <w:rPr>
                <w:rFonts w:cs="Arial"/>
                <w:i/>
                <w:sz w:val="20"/>
                <w:szCs w:val="20"/>
              </w:rPr>
              <w:t>Ind-Default&gt;2yrs</w:t>
            </w:r>
          </w:p>
        </w:tc>
      </w:tr>
      <w:tr w:rsidR="00D77199" w:rsidRPr="00500C4E" w14:paraId="64BA3D7F" w14:textId="77777777" w:rsidTr="00501689">
        <w:trPr>
          <w:trHeight w:val="20"/>
        </w:trPr>
        <w:tc>
          <w:tcPr>
            <w:tcW w:w="1730" w:type="pct"/>
          </w:tcPr>
          <w:p w14:paraId="3BFA2761" w14:textId="77777777" w:rsidR="00D77199" w:rsidRDefault="00D77199" w:rsidP="001C5B02">
            <w:pPr>
              <w:spacing w:before="20" w:after="20"/>
              <w:rPr>
                <w:rFonts w:cs="Arial"/>
                <w:sz w:val="20"/>
                <w:szCs w:val="20"/>
              </w:rPr>
            </w:pPr>
            <w:r>
              <w:rPr>
                <w:rFonts w:cs="Arial"/>
                <w:sz w:val="20"/>
                <w:szCs w:val="20"/>
              </w:rPr>
              <w:t>GSIA</w:t>
            </w:r>
          </w:p>
        </w:tc>
        <w:tc>
          <w:tcPr>
            <w:tcW w:w="3270" w:type="pct"/>
          </w:tcPr>
          <w:p w14:paraId="06C5938D" w14:textId="52C37D82" w:rsidR="00D77199" w:rsidRPr="00FC3AA9" w:rsidRDefault="00251BFB" w:rsidP="001C5B02">
            <w:pPr>
              <w:spacing w:before="20" w:after="20"/>
              <w:rPr>
                <w:rFonts w:cs="Arial"/>
                <w:sz w:val="20"/>
                <w:szCs w:val="20"/>
              </w:rPr>
            </w:pPr>
            <w:r w:rsidRPr="00FC3AA9">
              <w:rPr>
                <w:rFonts w:cs="Arial"/>
                <w:sz w:val="20"/>
                <w:szCs w:val="20"/>
              </w:rPr>
              <w:t xml:space="preserve">Source: DEER READI. The value of 1.0 is associated with GSIA ID: </w:t>
            </w:r>
            <w:r w:rsidRPr="003D7842">
              <w:rPr>
                <w:rFonts w:cs="Arial"/>
                <w:i/>
                <w:sz w:val="20"/>
                <w:szCs w:val="20"/>
              </w:rPr>
              <w:t>def-GSIA</w:t>
            </w:r>
          </w:p>
        </w:tc>
      </w:tr>
      <w:tr w:rsidR="00D77199" w:rsidRPr="00500C4E" w14:paraId="3424C2F7" w14:textId="77777777" w:rsidTr="00501689">
        <w:trPr>
          <w:trHeight w:val="20"/>
        </w:trPr>
        <w:tc>
          <w:tcPr>
            <w:tcW w:w="1730" w:type="pct"/>
          </w:tcPr>
          <w:p w14:paraId="57D61098" w14:textId="77777777" w:rsidR="00D77199" w:rsidRDefault="00D77199" w:rsidP="001C5B02">
            <w:pPr>
              <w:spacing w:before="20" w:after="20"/>
              <w:rPr>
                <w:rFonts w:cs="Arial"/>
                <w:sz w:val="20"/>
                <w:szCs w:val="20"/>
              </w:rPr>
            </w:pPr>
            <w:r>
              <w:rPr>
                <w:rFonts w:cs="Arial"/>
                <w:sz w:val="20"/>
                <w:szCs w:val="20"/>
              </w:rPr>
              <w:t>EUL/RUL</w:t>
            </w:r>
          </w:p>
        </w:tc>
        <w:tc>
          <w:tcPr>
            <w:tcW w:w="3270" w:type="pct"/>
          </w:tcPr>
          <w:p w14:paraId="449575FB" w14:textId="614FF6E7" w:rsidR="00B00FC2" w:rsidRPr="00B00FC2" w:rsidRDefault="00B00FC2" w:rsidP="00B00FC2">
            <w:pPr>
              <w:spacing w:before="20" w:after="20"/>
              <w:rPr>
                <w:rFonts w:cs="Arial"/>
                <w:sz w:val="20"/>
                <w:szCs w:val="20"/>
              </w:rPr>
            </w:pPr>
            <w:r w:rsidRPr="00B00FC2">
              <w:rPr>
                <w:rFonts w:cs="Arial"/>
                <w:sz w:val="20"/>
                <w:szCs w:val="20"/>
              </w:rPr>
              <w:t>Source: DEER. The EUL value of 1</w:t>
            </w:r>
            <w:r>
              <w:rPr>
                <w:rFonts w:cs="Arial"/>
                <w:sz w:val="20"/>
                <w:szCs w:val="20"/>
              </w:rPr>
              <w:t>5.0</w:t>
            </w:r>
            <w:r w:rsidRPr="00B00FC2">
              <w:rPr>
                <w:rFonts w:cs="Arial"/>
                <w:sz w:val="20"/>
                <w:szCs w:val="20"/>
              </w:rPr>
              <w:t xml:space="preserve"> years with EUL ID: </w:t>
            </w:r>
            <w:r>
              <w:rPr>
                <w:rFonts w:cs="Arial"/>
                <w:sz w:val="20"/>
                <w:szCs w:val="20"/>
              </w:rPr>
              <w:t>HV-</w:t>
            </w:r>
            <w:proofErr w:type="spellStart"/>
            <w:r>
              <w:rPr>
                <w:rFonts w:cs="Arial"/>
                <w:sz w:val="20"/>
                <w:szCs w:val="20"/>
              </w:rPr>
              <w:t>Evap</w:t>
            </w:r>
            <w:proofErr w:type="spellEnd"/>
          </w:p>
          <w:p w14:paraId="34DBEBCF" w14:textId="73ADD4E7" w:rsidR="00B00FC2" w:rsidRPr="00B00FC2" w:rsidRDefault="00B00FC2" w:rsidP="00B00FC2">
            <w:pPr>
              <w:spacing w:before="20" w:after="20"/>
              <w:rPr>
                <w:rFonts w:cs="Arial"/>
                <w:sz w:val="20"/>
                <w:szCs w:val="20"/>
              </w:rPr>
            </w:pPr>
            <w:r w:rsidRPr="00B00FC2">
              <w:rPr>
                <w:rFonts w:cs="Arial"/>
                <w:sz w:val="20"/>
                <w:szCs w:val="20"/>
              </w:rPr>
              <w:t xml:space="preserve">Source: DEER. The </w:t>
            </w:r>
            <w:r>
              <w:rPr>
                <w:rFonts w:cs="Arial"/>
                <w:sz w:val="20"/>
                <w:szCs w:val="20"/>
              </w:rPr>
              <w:t>E</w:t>
            </w:r>
            <w:r w:rsidRPr="00B00FC2">
              <w:rPr>
                <w:rFonts w:cs="Arial"/>
                <w:sz w:val="20"/>
                <w:szCs w:val="20"/>
              </w:rPr>
              <w:t xml:space="preserve">UL value of </w:t>
            </w:r>
            <w:r>
              <w:rPr>
                <w:rFonts w:cs="Arial"/>
                <w:sz w:val="20"/>
                <w:szCs w:val="20"/>
              </w:rPr>
              <w:t xml:space="preserve">15.0 </w:t>
            </w:r>
            <w:r w:rsidRPr="00B00FC2">
              <w:rPr>
                <w:rFonts w:cs="Arial"/>
                <w:sz w:val="20"/>
                <w:szCs w:val="20"/>
              </w:rPr>
              <w:t>years with RUL ID: HVAC-</w:t>
            </w:r>
            <w:proofErr w:type="spellStart"/>
            <w:r w:rsidRPr="00B00FC2">
              <w:rPr>
                <w:rFonts w:cs="Arial"/>
                <w:sz w:val="20"/>
                <w:szCs w:val="20"/>
              </w:rPr>
              <w:t>airAC</w:t>
            </w:r>
            <w:proofErr w:type="spellEnd"/>
          </w:p>
          <w:p w14:paraId="4A4780CB" w14:textId="1FC92AA0" w:rsidR="001F1256" w:rsidRPr="00FC3AA9" w:rsidRDefault="00B00FC2" w:rsidP="001C5B02">
            <w:pPr>
              <w:spacing w:before="20" w:after="20"/>
              <w:rPr>
                <w:rFonts w:cs="Arial"/>
                <w:sz w:val="20"/>
                <w:szCs w:val="20"/>
              </w:rPr>
            </w:pPr>
            <w:r w:rsidRPr="00B00FC2">
              <w:rPr>
                <w:rFonts w:cs="Arial"/>
                <w:sz w:val="20"/>
                <w:szCs w:val="20"/>
              </w:rPr>
              <w:t xml:space="preserve">Source: DEER. The RUL value of </w:t>
            </w:r>
            <w:r>
              <w:rPr>
                <w:rFonts w:cs="Arial"/>
                <w:sz w:val="20"/>
                <w:szCs w:val="20"/>
              </w:rPr>
              <w:t>5.0</w:t>
            </w:r>
            <w:r w:rsidRPr="00B00FC2">
              <w:rPr>
                <w:rFonts w:cs="Arial"/>
                <w:sz w:val="20"/>
                <w:szCs w:val="20"/>
              </w:rPr>
              <w:t xml:space="preserve"> years with RUL ID: HVAC-</w:t>
            </w:r>
            <w:proofErr w:type="spellStart"/>
            <w:r w:rsidRPr="00B00FC2">
              <w:rPr>
                <w:rFonts w:cs="Arial"/>
                <w:sz w:val="20"/>
                <w:szCs w:val="20"/>
              </w:rPr>
              <w:t>airAC</w:t>
            </w:r>
            <w:proofErr w:type="spellEnd"/>
            <w:r w:rsidRPr="00B00FC2" w:rsidDel="00B00FC2">
              <w:rPr>
                <w:rFonts w:cs="Arial"/>
                <w:sz w:val="20"/>
                <w:szCs w:val="20"/>
              </w:rPr>
              <w:t xml:space="preserve"> </w:t>
            </w:r>
          </w:p>
        </w:tc>
      </w:tr>
    </w:tbl>
    <w:p w14:paraId="31DCF37A" w14:textId="77777777" w:rsidR="00D77199" w:rsidRPr="004B06E3" w:rsidRDefault="00D77199" w:rsidP="00D77199"/>
    <w:p w14:paraId="241F4960" w14:textId="77777777" w:rsidR="008866C9" w:rsidRDefault="008866C9" w:rsidP="00A251C9">
      <w:pPr>
        <w:pStyle w:val="eTRMHeading3"/>
      </w:pPr>
      <w:bookmarkStart w:id="77" w:name="_Toc486490866"/>
      <w:bookmarkStart w:id="78" w:name="_Toc486580937"/>
      <w:bookmarkStart w:id="79" w:name="_Toc515951877"/>
      <w:bookmarkStart w:id="80" w:name="_Toc57018385"/>
      <w:bookmarkStart w:id="81" w:name="_Hlk516047558"/>
      <w:r w:rsidRPr="004B06E3">
        <w:lastRenderedPageBreak/>
        <w:t>Revision History</w:t>
      </w:r>
      <w:bookmarkEnd w:id="77"/>
      <w:bookmarkEnd w:id="78"/>
      <w:bookmarkEnd w:id="79"/>
      <w:bookmarkEnd w:id="80"/>
    </w:p>
    <w:p w14:paraId="5F4EAC82" w14:textId="03671D00" w:rsidR="008866C9" w:rsidRPr="00D96541" w:rsidRDefault="008866C9" w:rsidP="009C5080">
      <w:pPr>
        <w:pStyle w:val="Caption"/>
      </w:pPr>
      <w:bookmarkStart w:id="82" w:name="_Hlk515959178"/>
      <w:r w:rsidRPr="00D96541">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216"/>
        <w:gridCol w:w="1889"/>
        <w:gridCol w:w="5305"/>
      </w:tblGrid>
      <w:tr w:rsidR="008866C9" w:rsidRPr="00500C4E" w14:paraId="637DAFB3" w14:textId="77777777" w:rsidTr="005F5BE1">
        <w:trPr>
          <w:trHeight w:val="20"/>
        </w:trPr>
        <w:tc>
          <w:tcPr>
            <w:tcW w:w="503" w:type="pct"/>
            <w:shd w:val="clear" w:color="auto" w:fill="F2F2F2" w:themeFill="background1" w:themeFillShade="F2"/>
            <w:vAlign w:val="center"/>
          </w:tcPr>
          <w:p w14:paraId="683CDFC0" w14:textId="77777777" w:rsidR="008866C9" w:rsidRPr="00EA057C" w:rsidRDefault="008866C9" w:rsidP="00943DDC">
            <w:pPr>
              <w:keepNext/>
              <w:keepLines/>
              <w:tabs>
                <w:tab w:val="right" w:pos="2957"/>
              </w:tabs>
              <w:spacing w:before="20" w:after="20"/>
              <w:rPr>
                <w:rFonts w:cs="Arial"/>
                <w:b/>
                <w:sz w:val="20"/>
                <w:szCs w:val="20"/>
              </w:rPr>
            </w:pPr>
            <w:r>
              <w:rPr>
                <w:rFonts w:cs="Arial"/>
                <w:b/>
                <w:sz w:val="20"/>
                <w:szCs w:val="20"/>
              </w:rPr>
              <w:t>Revision Number</w:t>
            </w:r>
          </w:p>
        </w:tc>
        <w:tc>
          <w:tcPr>
            <w:tcW w:w="650" w:type="pct"/>
            <w:shd w:val="clear" w:color="auto" w:fill="F2F2F2" w:themeFill="background1" w:themeFillShade="F2"/>
            <w:vAlign w:val="center"/>
          </w:tcPr>
          <w:p w14:paraId="0260B181" w14:textId="77777777" w:rsidR="008866C9" w:rsidRPr="00EA057C" w:rsidRDefault="008866C9" w:rsidP="00943DDC">
            <w:pPr>
              <w:keepNext/>
              <w:keepLines/>
              <w:spacing w:before="20" w:after="20"/>
              <w:rPr>
                <w:rFonts w:cs="Arial"/>
                <w:b/>
                <w:sz w:val="20"/>
                <w:szCs w:val="20"/>
              </w:rPr>
            </w:pPr>
            <w:r>
              <w:rPr>
                <w:rFonts w:cs="Arial"/>
                <w:b/>
                <w:sz w:val="20"/>
                <w:szCs w:val="20"/>
              </w:rPr>
              <w:t>Date</w:t>
            </w:r>
          </w:p>
        </w:tc>
        <w:tc>
          <w:tcPr>
            <w:tcW w:w="1010" w:type="pct"/>
            <w:shd w:val="clear" w:color="auto" w:fill="F2F2F2" w:themeFill="background1" w:themeFillShade="F2"/>
            <w:vAlign w:val="center"/>
          </w:tcPr>
          <w:p w14:paraId="528652CA" w14:textId="77777777" w:rsidR="008866C9" w:rsidRDefault="008866C9" w:rsidP="00943DDC">
            <w:pPr>
              <w:keepNext/>
              <w:keepLines/>
              <w:spacing w:before="20" w:after="20"/>
              <w:rPr>
                <w:rFonts w:cs="Arial"/>
                <w:b/>
                <w:sz w:val="20"/>
                <w:szCs w:val="20"/>
              </w:rPr>
            </w:pPr>
            <w:r>
              <w:rPr>
                <w:rFonts w:cs="Arial"/>
                <w:b/>
                <w:sz w:val="20"/>
                <w:szCs w:val="20"/>
              </w:rPr>
              <w:t>Primary Author, Title, Organization</w:t>
            </w:r>
          </w:p>
        </w:tc>
        <w:tc>
          <w:tcPr>
            <w:tcW w:w="2837" w:type="pct"/>
            <w:shd w:val="clear" w:color="auto" w:fill="F2F2F2" w:themeFill="background1" w:themeFillShade="F2"/>
            <w:vAlign w:val="center"/>
          </w:tcPr>
          <w:p w14:paraId="062300AE" w14:textId="77777777" w:rsidR="008866C9" w:rsidRDefault="008866C9" w:rsidP="00943DDC">
            <w:pPr>
              <w:keepNext/>
              <w:keepLines/>
              <w:spacing w:before="20" w:after="20"/>
              <w:rPr>
                <w:rFonts w:cs="Arial"/>
                <w:b/>
                <w:sz w:val="20"/>
                <w:szCs w:val="20"/>
              </w:rPr>
            </w:pPr>
            <w:r>
              <w:rPr>
                <w:rFonts w:cs="Arial"/>
                <w:b/>
                <w:sz w:val="20"/>
                <w:szCs w:val="20"/>
              </w:rPr>
              <w:t>Revision Summary and Rationale for Revision</w:t>
            </w:r>
          </w:p>
          <w:p w14:paraId="07DDCFE8" w14:textId="77777777" w:rsidR="008866C9" w:rsidRDefault="008866C9" w:rsidP="00943DDC">
            <w:pPr>
              <w:keepNext/>
              <w:keepLines/>
              <w:spacing w:before="20" w:after="20"/>
              <w:rPr>
                <w:rFonts w:cs="Arial"/>
                <w:b/>
                <w:sz w:val="20"/>
                <w:szCs w:val="20"/>
              </w:rPr>
            </w:pPr>
            <w:r>
              <w:rPr>
                <w:rFonts w:cs="Arial"/>
                <w:b/>
                <w:sz w:val="20"/>
                <w:szCs w:val="20"/>
              </w:rPr>
              <w:t>Effective Date and Approved By</w:t>
            </w:r>
          </w:p>
        </w:tc>
      </w:tr>
      <w:tr w:rsidR="00CD6DB5" w:rsidRPr="00CA1CB3" w14:paraId="08C96E33" w14:textId="77777777" w:rsidTr="00377E2A">
        <w:trPr>
          <w:trHeight w:val="20"/>
        </w:trPr>
        <w:tc>
          <w:tcPr>
            <w:tcW w:w="503" w:type="pct"/>
          </w:tcPr>
          <w:p w14:paraId="2B8C1717" w14:textId="77777777" w:rsidR="00CD6DB5" w:rsidRPr="008866C9" w:rsidRDefault="00CD6DB5" w:rsidP="00CD6DB5">
            <w:pPr>
              <w:keepNext/>
              <w:keepLines/>
              <w:spacing w:before="20" w:after="20"/>
              <w:rPr>
                <w:rFonts w:cs="Arial"/>
                <w:sz w:val="20"/>
                <w:szCs w:val="20"/>
              </w:rPr>
            </w:pPr>
            <w:r w:rsidRPr="008866C9">
              <w:rPr>
                <w:rFonts w:cs="Arial"/>
                <w:sz w:val="20"/>
                <w:szCs w:val="20"/>
              </w:rPr>
              <w:t>01</w:t>
            </w:r>
          </w:p>
        </w:tc>
        <w:tc>
          <w:tcPr>
            <w:tcW w:w="650" w:type="pct"/>
          </w:tcPr>
          <w:p w14:paraId="385E9CC8" w14:textId="674CA60E" w:rsidR="00CD6DB5" w:rsidRPr="008866C9" w:rsidRDefault="00E6640E" w:rsidP="00CD6DB5">
            <w:pPr>
              <w:keepNext/>
              <w:keepLines/>
              <w:spacing w:before="20" w:after="20"/>
              <w:rPr>
                <w:rFonts w:cs="Arial"/>
                <w:sz w:val="20"/>
                <w:szCs w:val="20"/>
              </w:rPr>
            </w:pPr>
            <w:r>
              <w:rPr>
                <w:rFonts w:cs="Arial"/>
                <w:sz w:val="20"/>
                <w:szCs w:val="20"/>
              </w:rPr>
              <w:t>11/20</w:t>
            </w:r>
            <w:r w:rsidR="00CD6DB5">
              <w:rPr>
                <w:rFonts w:cs="Arial"/>
                <w:sz w:val="20"/>
                <w:szCs w:val="20"/>
              </w:rPr>
              <w:t>/2019</w:t>
            </w:r>
          </w:p>
        </w:tc>
        <w:tc>
          <w:tcPr>
            <w:tcW w:w="1010" w:type="pct"/>
          </w:tcPr>
          <w:p w14:paraId="72FAC2B3" w14:textId="77777777" w:rsidR="00CD6DB5" w:rsidRDefault="00CD6DB5" w:rsidP="00CD6DB5">
            <w:pPr>
              <w:keepNext/>
              <w:keepLines/>
              <w:spacing w:before="20" w:after="20"/>
              <w:rPr>
                <w:rFonts w:cs="Arial"/>
                <w:sz w:val="20"/>
                <w:szCs w:val="20"/>
              </w:rPr>
            </w:pPr>
            <w:r>
              <w:rPr>
                <w:rFonts w:cs="Arial"/>
                <w:sz w:val="20"/>
                <w:szCs w:val="20"/>
              </w:rPr>
              <w:t>Sergio Corona,</w:t>
            </w:r>
          </w:p>
          <w:p w14:paraId="190C35C8" w14:textId="3CC91A2B" w:rsidR="00CD6DB5" w:rsidRDefault="00CD6DB5" w:rsidP="00CD6DB5">
            <w:pPr>
              <w:keepNext/>
              <w:keepLines/>
              <w:spacing w:before="20" w:after="20"/>
              <w:rPr>
                <w:rFonts w:cs="Arial"/>
                <w:sz w:val="20"/>
                <w:szCs w:val="20"/>
              </w:rPr>
            </w:pPr>
            <w:r>
              <w:rPr>
                <w:rFonts w:cs="Arial"/>
                <w:sz w:val="20"/>
                <w:szCs w:val="20"/>
              </w:rPr>
              <w:t>Lake Cas</w:t>
            </w:r>
            <w:r w:rsidR="00455AFD">
              <w:rPr>
                <w:rFonts w:cs="Arial"/>
                <w:sz w:val="20"/>
                <w:szCs w:val="20"/>
              </w:rPr>
              <w:t>co</w:t>
            </w:r>
            <w:r>
              <w:rPr>
                <w:rFonts w:cs="Arial"/>
                <w:sz w:val="20"/>
                <w:szCs w:val="20"/>
              </w:rPr>
              <w:t xml:space="preserve"> PE</w:t>
            </w:r>
          </w:p>
          <w:p w14:paraId="51A83E54" w14:textId="0477EABD" w:rsidR="00CD6DB5" w:rsidRPr="008866C9" w:rsidRDefault="00CD6DB5" w:rsidP="00CD6DB5">
            <w:pPr>
              <w:keepNext/>
              <w:keepLines/>
              <w:spacing w:before="20" w:after="20"/>
              <w:rPr>
                <w:rFonts w:cs="Arial"/>
                <w:sz w:val="20"/>
                <w:szCs w:val="20"/>
              </w:rPr>
            </w:pPr>
            <w:r>
              <w:rPr>
                <w:rFonts w:cs="Arial"/>
                <w:sz w:val="20"/>
                <w:szCs w:val="20"/>
              </w:rPr>
              <w:t xml:space="preserve">TRC </w:t>
            </w:r>
          </w:p>
        </w:tc>
        <w:tc>
          <w:tcPr>
            <w:tcW w:w="2837" w:type="pct"/>
          </w:tcPr>
          <w:p w14:paraId="17E0D746" w14:textId="49CF44A8" w:rsidR="00CD6DB5" w:rsidRDefault="002057A5" w:rsidP="00CD6DB5">
            <w:pPr>
              <w:keepNext/>
              <w:keepLines/>
              <w:spacing w:before="20" w:after="20"/>
              <w:rPr>
                <w:rFonts w:cs="Arial"/>
                <w:sz w:val="20"/>
                <w:szCs w:val="20"/>
              </w:rPr>
            </w:pPr>
            <w:r>
              <w:rPr>
                <w:rFonts w:cs="Arial"/>
                <w:sz w:val="20"/>
                <w:szCs w:val="20"/>
              </w:rPr>
              <w:t>First d</w:t>
            </w:r>
            <w:r w:rsidR="006B7345">
              <w:rPr>
                <w:rFonts w:cs="Arial"/>
                <w:sz w:val="20"/>
                <w:szCs w:val="20"/>
              </w:rPr>
              <w:t>raft of consolidated text for this statewide measure is based upon:</w:t>
            </w:r>
          </w:p>
          <w:p w14:paraId="759FA6A8" w14:textId="4E6C1FC7" w:rsidR="006B7345" w:rsidRPr="00CA1CB3" w:rsidRDefault="00E6640E" w:rsidP="00B876A7">
            <w:pPr>
              <w:keepNext/>
              <w:keepLines/>
              <w:spacing w:before="20" w:after="20"/>
              <w:rPr>
                <w:rFonts w:cs="Arial"/>
                <w:sz w:val="20"/>
                <w:szCs w:val="20"/>
              </w:rPr>
            </w:pPr>
            <w:r w:rsidRPr="00E6640E">
              <w:rPr>
                <w:rFonts w:cs="Arial"/>
                <w:sz w:val="20"/>
                <w:szCs w:val="20"/>
              </w:rPr>
              <w:t xml:space="preserve">ET15SCE1250 </w:t>
            </w:r>
            <w:r w:rsidR="006B7345">
              <w:rPr>
                <w:rFonts w:cs="Arial"/>
                <w:sz w:val="20"/>
                <w:szCs w:val="20"/>
              </w:rPr>
              <w:t>(</w:t>
            </w:r>
            <w:r>
              <w:rPr>
                <w:rFonts w:cs="Arial"/>
                <w:sz w:val="20"/>
                <w:szCs w:val="20"/>
              </w:rPr>
              <w:t>March 2018</w:t>
            </w:r>
            <w:r w:rsidR="006B7345">
              <w:rPr>
                <w:rFonts w:cs="Arial"/>
                <w:sz w:val="20"/>
                <w:szCs w:val="20"/>
              </w:rPr>
              <w:t>)</w:t>
            </w:r>
            <w:r w:rsidR="002057A5" w:rsidDel="002057A5">
              <w:rPr>
                <w:rFonts w:cs="Arial"/>
                <w:sz w:val="20"/>
                <w:szCs w:val="20"/>
              </w:rPr>
              <w:t xml:space="preserve"> </w:t>
            </w:r>
          </w:p>
        </w:tc>
      </w:tr>
      <w:tr w:rsidR="0072064A" w:rsidRPr="00CA1CB3" w14:paraId="26DBB406" w14:textId="77777777" w:rsidTr="00377E2A">
        <w:trPr>
          <w:trHeight w:val="20"/>
        </w:trPr>
        <w:tc>
          <w:tcPr>
            <w:tcW w:w="503" w:type="pct"/>
          </w:tcPr>
          <w:p w14:paraId="529FBB80" w14:textId="22771B60" w:rsidR="0072064A" w:rsidRPr="008866C9" w:rsidRDefault="0072064A" w:rsidP="0072064A">
            <w:pPr>
              <w:keepNext/>
              <w:keepLines/>
              <w:spacing w:before="20" w:after="20"/>
              <w:rPr>
                <w:rFonts w:cs="Arial"/>
                <w:sz w:val="20"/>
                <w:szCs w:val="20"/>
              </w:rPr>
            </w:pPr>
            <w:r>
              <w:rPr>
                <w:rFonts w:cs="Arial"/>
                <w:sz w:val="20"/>
                <w:szCs w:val="20"/>
              </w:rPr>
              <w:t>02</w:t>
            </w:r>
          </w:p>
        </w:tc>
        <w:tc>
          <w:tcPr>
            <w:tcW w:w="650" w:type="pct"/>
          </w:tcPr>
          <w:p w14:paraId="54E8EFD8" w14:textId="25F285E0" w:rsidR="0072064A" w:rsidRDefault="0072064A" w:rsidP="0072064A">
            <w:pPr>
              <w:keepNext/>
              <w:keepLines/>
              <w:spacing w:before="20" w:after="20"/>
              <w:rPr>
                <w:rFonts w:cs="Arial"/>
                <w:sz w:val="20"/>
                <w:szCs w:val="20"/>
              </w:rPr>
            </w:pPr>
            <w:r>
              <w:rPr>
                <w:rFonts w:cs="Arial"/>
                <w:sz w:val="20"/>
                <w:szCs w:val="20"/>
              </w:rPr>
              <w:t>11/</w:t>
            </w:r>
            <w:r w:rsidR="00BE56AB">
              <w:rPr>
                <w:rFonts w:cs="Arial"/>
                <w:sz w:val="20"/>
                <w:szCs w:val="20"/>
              </w:rPr>
              <w:t>20</w:t>
            </w:r>
            <w:r>
              <w:rPr>
                <w:rFonts w:cs="Arial"/>
                <w:sz w:val="20"/>
                <w:szCs w:val="20"/>
              </w:rPr>
              <w:t>/2020</w:t>
            </w:r>
          </w:p>
        </w:tc>
        <w:tc>
          <w:tcPr>
            <w:tcW w:w="1010" w:type="pct"/>
          </w:tcPr>
          <w:p w14:paraId="48FD3314" w14:textId="77777777" w:rsidR="0072064A" w:rsidRDefault="0072064A" w:rsidP="0072064A">
            <w:pPr>
              <w:keepNext/>
              <w:keepLines/>
              <w:spacing w:before="20" w:after="20"/>
              <w:rPr>
                <w:rFonts w:cs="Arial"/>
                <w:sz w:val="20"/>
                <w:szCs w:val="20"/>
              </w:rPr>
            </w:pPr>
            <w:r>
              <w:rPr>
                <w:rFonts w:cs="Arial"/>
                <w:sz w:val="20"/>
                <w:szCs w:val="20"/>
              </w:rPr>
              <w:t>Sergio Corona PE,</w:t>
            </w:r>
          </w:p>
          <w:p w14:paraId="349D7220" w14:textId="53BD3164" w:rsidR="0072064A" w:rsidRDefault="0072064A" w:rsidP="0072064A">
            <w:pPr>
              <w:keepNext/>
              <w:keepLines/>
              <w:spacing w:before="20" w:after="20"/>
              <w:rPr>
                <w:rFonts w:cs="Arial"/>
                <w:sz w:val="20"/>
                <w:szCs w:val="20"/>
              </w:rPr>
            </w:pPr>
            <w:r>
              <w:rPr>
                <w:rFonts w:cs="Arial"/>
                <w:sz w:val="20"/>
                <w:szCs w:val="20"/>
              </w:rPr>
              <w:t>Lake Casco PE,</w:t>
            </w:r>
          </w:p>
          <w:p w14:paraId="07462337" w14:textId="17300E58" w:rsidR="0072064A" w:rsidRDefault="0072064A" w:rsidP="0072064A">
            <w:pPr>
              <w:keepNext/>
              <w:keepLines/>
              <w:spacing w:before="20" w:after="20"/>
              <w:rPr>
                <w:rFonts w:cs="Arial"/>
                <w:sz w:val="20"/>
                <w:szCs w:val="20"/>
              </w:rPr>
            </w:pPr>
            <w:r>
              <w:rPr>
                <w:rFonts w:cs="Arial"/>
                <w:sz w:val="20"/>
                <w:szCs w:val="20"/>
              </w:rPr>
              <w:t>TRC</w:t>
            </w:r>
          </w:p>
        </w:tc>
        <w:tc>
          <w:tcPr>
            <w:tcW w:w="2837" w:type="pct"/>
          </w:tcPr>
          <w:p w14:paraId="6E9AC188" w14:textId="46C48666" w:rsidR="0072064A" w:rsidRDefault="0072064A" w:rsidP="0072064A">
            <w:pPr>
              <w:keepNext/>
              <w:keepLines/>
              <w:spacing w:before="20" w:after="20"/>
              <w:rPr>
                <w:rFonts w:cs="Arial"/>
                <w:sz w:val="20"/>
                <w:szCs w:val="20"/>
              </w:rPr>
            </w:pPr>
            <w:r>
              <w:rPr>
                <w:rFonts w:cs="Arial"/>
                <w:sz w:val="20"/>
                <w:szCs w:val="20"/>
              </w:rPr>
              <w:t>Updat</w:t>
            </w:r>
            <w:r w:rsidR="003E16A0">
              <w:rPr>
                <w:rFonts w:cs="Arial"/>
                <w:sz w:val="20"/>
                <w:szCs w:val="20"/>
              </w:rPr>
              <w:t xml:space="preserve">ed </w:t>
            </w:r>
            <w:r>
              <w:rPr>
                <w:rFonts w:cs="Arial"/>
                <w:sz w:val="20"/>
                <w:szCs w:val="20"/>
              </w:rPr>
              <w:t xml:space="preserve">energy savings based on </w:t>
            </w:r>
            <w:r w:rsidR="003E16A0">
              <w:rPr>
                <w:rFonts w:cs="Arial"/>
                <w:sz w:val="20"/>
                <w:szCs w:val="20"/>
              </w:rPr>
              <w:t xml:space="preserve">latest </w:t>
            </w:r>
            <w:r>
              <w:rPr>
                <w:rFonts w:cs="Arial"/>
                <w:sz w:val="20"/>
                <w:szCs w:val="20"/>
              </w:rPr>
              <w:t>DEER2022 weather files and updated system activation set points.</w:t>
            </w:r>
          </w:p>
          <w:p w14:paraId="7D8C1A0A" w14:textId="6406B026" w:rsidR="0072064A" w:rsidRDefault="0072064A" w:rsidP="0072064A">
            <w:pPr>
              <w:keepNext/>
              <w:keepLines/>
              <w:spacing w:before="20" w:after="20"/>
              <w:rPr>
                <w:rFonts w:cs="Arial"/>
                <w:sz w:val="20"/>
                <w:szCs w:val="20"/>
              </w:rPr>
            </w:pPr>
            <w:r>
              <w:rPr>
                <w:rFonts w:cs="Arial"/>
                <w:sz w:val="20"/>
                <w:szCs w:val="20"/>
              </w:rPr>
              <w:t>Updat</w:t>
            </w:r>
            <w:r w:rsidRPr="001A28D3">
              <w:rPr>
                <w:rFonts w:cs="Arial"/>
                <w:sz w:val="20"/>
                <w:szCs w:val="20"/>
              </w:rPr>
              <w:t xml:space="preserve">ed NTG ID for offerings to </w:t>
            </w:r>
            <w:r w:rsidR="001A28D3" w:rsidRPr="00E368D7">
              <w:rPr>
                <w:rFonts w:cs="Arial"/>
                <w:sz w:val="20"/>
                <w:szCs w:val="20"/>
              </w:rPr>
              <w:t xml:space="preserve">sector specific </w:t>
            </w:r>
            <w:r w:rsidRPr="00E368D7">
              <w:rPr>
                <w:rFonts w:cs="Arial"/>
                <w:sz w:val="20"/>
                <w:szCs w:val="20"/>
              </w:rPr>
              <w:t>Default&gt;2yrs</w:t>
            </w:r>
            <w:r w:rsidR="001A28D3" w:rsidRPr="00E368D7">
              <w:rPr>
                <w:rFonts w:cs="Arial"/>
                <w:sz w:val="20"/>
                <w:szCs w:val="20"/>
              </w:rPr>
              <w:t xml:space="preserve"> values</w:t>
            </w:r>
          </w:p>
          <w:p w14:paraId="3439A91E" w14:textId="1335C9EB" w:rsidR="00DB7BB8" w:rsidRDefault="00DB7BB8" w:rsidP="0072064A">
            <w:pPr>
              <w:keepNext/>
              <w:keepLines/>
              <w:spacing w:before="20" w:after="20"/>
              <w:rPr>
                <w:rFonts w:cs="Arial"/>
                <w:sz w:val="20"/>
                <w:szCs w:val="20"/>
              </w:rPr>
            </w:pPr>
            <w:r>
              <w:rPr>
                <w:rFonts w:cs="Arial"/>
                <w:sz w:val="20"/>
                <w:szCs w:val="20"/>
              </w:rPr>
              <w:t xml:space="preserve">Addition of Climate Zones CZ12 and CZ13. </w:t>
            </w:r>
          </w:p>
          <w:p w14:paraId="28C19E1E" w14:textId="68CCE8D9" w:rsidR="00BE56AB" w:rsidRDefault="00BE56AB" w:rsidP="0072064A">
            <w:pPr>
              <w:keepNext/>
              <w:keepLines/>
              <w:spacing w:before="20" w:after="20"/>
              <w:rPr>
                <w:rFonts w:cs="Arial"/>
                <w:sz w:val="20"/>
                <w:szCs w:val="20"/>
              </w:rPr>
            </w:pPr>
            <w:r>
              <w:rPr>
                <w:rFonts w:cs="Arial"/>
                <w:sz w:val="20"/>
                <w:szCs w:val="20"/>
              </w:rPr>
              <w:t xml:space="preserve">Updated costs to </w:t>
            </w:r>
            <w:r w:rsidR="003E16A0">
              <w:rPr>
                <w:rFonts w:cs="Arial"/>
                <w:sz w:val="20"/>
                <w:szCs w:val="20"/>
              </w:rPr>
              <w:t>desegregate</w:t>
            </w:r>
            <w:r>
              <w:rPr>
                <w:rFonts w:cs="Arial"/>
                <w:sz w:val="20"/>
                <w:szCs w:val="20"/>
              </w:rPr>
              <w:t xml:space="preserve"> material and labor costs. </w:t>
            </w:r>
          </w:p>
        </w:tc>
      </w:tr>
      <w:bookmarkEnd w:id="81"/>
      <w:bookmarkEnd w:id="82"/>
    </w:tbl>
    <w:p w14:paraId="1EBEB8ED" w14:textId="77777777" w:rsidR="008866C9" w:rsidRPr="00462BB6" w:rsidRDefault="008866C9" w:rsidP="00197F09"/>
    <w:sectPr w:rsidR="008866C9" w:rsidRPr="00462BB6"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CEFAA" w14:textId="77777777" w:rsidR="0014672E" w:rsidRDefault="0014672E" w:rsidP="00A2690C">
      <w:r>
        <w:separator/>
      </w:r>
    </w:p>
    <w:p w14:paraId="20F32660" w14:textId="77777777" w:rsidR="0014672E" w:rsidRDefault="0014672E"/>
  </w:endnote>
  <w:endnote w:type="continuationSeparator" w:id="0">
    <w:p w14:paraId="36909255" w14:textId="77777777" w:rsidR="0014672E" w:rsidRDefault="0014672E" w:rsidP="00A2690C">
      <w:r>
        <w:continuationSeparator/>
      </w:r>
    </w:p>
    <w:p w14:paraId="634A93FA" w14:textId="77777777" w:rsidR="0014672E" w:rsidRDefault="001467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Times New Roman"/>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231420" w:rsidRDefault="00231420"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231420" w:rsidRPr="00B837C1" w:rsidRDefault="00231420"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231420" w:rsidRDefault="00231420"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45927228" w:rsidR="00231420" w:rsidRPr="00B837C1" w:rsidRDefault="00231420"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16</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231420" w:rsidRDefault="00231420"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EBF764A" w:rsidR="00231420" w:rsidRPr="005F505E" w:rsidRDefault="00231420"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BEEC1" w14:textId="77777777" w:rsidR="0014672E" w:rsidRDefault="0014672E" w:rsidP="00A2690C">
      <w:r>
        <w:separator/>
      </w:r>
    </w:p>
    <w:p w14:paraId="20B31E82" w14:textId="77777777" w:rsidR="0014672E" w:rsidRDefault="0014672E"/>
  </w:footnote>
  <w:footnote w:type="continuationSeparator" w:id="0">
    <w:p w14:paraId="0AC5346D" w14:textId="77777777" w:rsidR="0014672E" w:rsidRDefault="0014672E" w:rsidP="00A2690C">
      <w:r>
        <w:continuationSeparator/>
      </w:r>
    </w:p>
    <w:p w14:paraId="4A78E7AE" w14:textId="77777777" w:rsidR="0014672E" w:rsidRDefault="0014672E"/>
  </w:footnote>
  <w:footnote w:id="1">
    <w:p w14:paraId="2461E172" w14:textId="5A1BED06" w:rsidR="00231420" w:rsidRPr="00AB2475" w:rsidRDefault="00231420">
      <w:pPr>
        <w:pStyle w:val="FootnoteText"/>
      </w:pPr>
      <w:r>
        <w:rPr>
          <w:rStyle w:val="FootnoteReference"/>
        </w:rPr>
        <w:footnoteRef/>
      </w:r>
      <w:r>
        <w:t xml:space="preserve"> </w:t>
      </w:r>
      <w:proofErr w:type="spellStart"/>
      <w:r>
        <w:t>Itron</w:t>
      </w:r>
      <w:proofErr w:type="spellEnd"/>
      <w:r>
        <w:t xml:space="preserve">, California Energy Commission. 2006. </w:t>
      </w:r>
      <w:r>
        <w:rPr>
          <w:i/>
        </w:rPr>
        <w:t>California Commercial End-Use Survey</w:t>
      </w:r>
      <w:r>
        <w:t>.</w:t>
      </w:r>
    </w:p>
  </w:footnote>
  <w:footnote w:id="2">
    <w:p w14:paraId="63BCCC95" w14:textId="08986041" w:rsidR="00231420" w:rsidRPr="00AD07FE" w:rsidRDefault="00231420">
      <w:pPr>
        <w:pStyle w:val="FootnoteText"/>
        <w:rPr>
          <w:i/>
        </w:rPr>
      </w:pPr>
      <w:r>
        <w:rPr>
          <w:rStyle w:val="FootnoteReference"/>
        </w:rPr>
        <w:footnoteRef/>
      </w:r>
      <w:r>
        <w:t xml:space="preserve"> Emerging Technologies Coordinating Council. 2018. </w:t>
      </w:r>
      <w:r w:rsidRPr="00AD07FE">
        <w:rPr>
          <w:i/>
        </w:rPr>
        <w:t>Laboratory and Field Testing of RTU Optimization Package Combining a Condenser-Air Pre-Cooler with Compressor Speed Reduction</w:t>
      </w:r>
      <w:r>
        <w:rPr>
          <w:i/>
        </w:rPr>
        <w:t>.</w:t>
      </w:r>
    </w:p>
  </w:footnote>
  <w:footnote w:id="3">
    <w:p w14:paraId="3AFE5D95" w14:textId="77777777" w:rsidR="00231420" w:rsidRDefault="00231420" w:rsidP="00223F26">
      <w:pPr>
        <w:pStyle w:val="FootnoteText"/>
      </w:pPr>
      <w:r>
        <w:rPr>
          <w:rStyle w:val="FootnoteReference"/>
        </w:rPr>
        <w:footnoteRef/>
      </w:r>
      <w:r>
        <w:t xml:space="preserve"> Emerging Technologies Coordinating Council. 2018. </w:t>
      </w:r>
      <w:r w:rsidRPr="00AD07FE">
        <w:rPr>
          <w:i/>
        </w:rPr>
        <w:t>Laboratory and Field Testing of RTU Optimization Package Combining a Condenser-Air Pre-Cooler with Compressor Speed Reduction</w:t>
      </w:r>
      <w:r>
        <w:rPr>
          <w:i/>
        </w:rPr>
        <w:t>.</w:t>
      </w:r>
    </w:p>
  </w:footnote>
  <w:footnote w:id="4">
    <w:p w14:paraId="360676A7" w14:textId="42423947" w:rsidR="00231420" w:rsidRDefault="00231420">
      <w:pPr>
        <w:pStyle w:val="FootnoteText"/>
      </w:pPr>
      <w:r>
        <w:rPr>
          <w:rStyle w:val="FootnoteReference"/>
        </w:rPr>
        <w:footnoteRef/>
      </w:r>
      <w:r>
        <w:t xml:space="preserve"> Emerging Technologies Coordinating Council. 2018. </w:t>
      </w:r>
      <w:r w:rsidRPr="00AD07FE">
        <w:rPr>
          <w:i/>
        </w:rPr>
        <w:t>Laboratory and Field Testing of RTU Optimization Package Combining a Condenser-Air Pre-Cooler with Compressor Speed Reduction</w:t>
      </w:r>
      <w:r>
        <w:rPr>
          <w:i/>
        </w:rPr>
        <w:t>.</w:t>
      </w:r>
    </w:p>
  </w:footnote>
  <w:footnote w:id="5">
    <w:p w14:paraId="778AF899" w14:textId="0FB234A7" w:rsidR="00231420" w:rsidRPr="00F43F24" w:rsidRDefault="00231420" w:rsidP="00C71F59">
      <w:pPr>
        <w:pStyle w:val="FootnoteText"/>
      </w:pPr>
      <w:r>
        <w:rPr>
          <w:rStyle w:val="FootnoteReference"/>
        </w:rPr>
        <w:footnoteRef/>
      </w:r>
      <w:r>
        <w:t xml:space="preserve"> Emerging Technologies Coordinating Council. 2018. </w:t>
      </w:r>
      <w:r w:rsidRPr="00AD07FE">
        <w:rPr>
          <w:i/>
        </w:rPr>
        <w:t>Laboratory and Field Testing of RTU Optimization Package Combining a Condenser-Air Pre-Cooler with Compressor Speed Reduction</w:t>
      </w:r>
      <w:r>
        <w:rPr>
          <w:i/>
        </w:rPr>
        <w:t>.</w:t>
      </w:r>
    </w:p>
  </w:footnote>
  <w:footnote w:id="6">
    <w:p w14:paraId="5F4975E5" w14:textId="7DD356A8" w:rsidR="00231420" w:rsidRDefault="00231420" w:rsidP="002004F3">
      <w:pPr>
        <w:pStyle w:val="FootnoteText"/>
      </w:pPr>
      <w:r>
        <w:rPr>
          <w:rStyle w:val="FootnoteReference"/>
        </w:rPr>
        <w:footnoteRef/>
      </w:r>
      <w:r>
        <w:rPr>
          <w:szCs w:val="18"/>
        </w:rPr>
        <w:t>Southern California Edison (SCE). 2020.</w:t>
      </w:r>
      <w:r>
        <w:t xml:space="preserve"> “SWHC042-02</w:t>
      </w:r>
      <w:r w:rsidRPr="008F1768">
        <w:t xml:space="preserve"> Energy Savings</w:t>
      </w:r>
      <w:r>
        <w:t>.xlsx”</w:t>
      </w:r>
    </w:p>
  </w:footnote>
  <w:footnote w:id="7">
    <w:p w14:paraId="13FD6DD6" w14:textId="349DF525" w:rsidR="00231420" w:rsidRDefault="00231420" w:rsidP="00A8239D">
      <w:pPr>
        <w:pStyle w:val="FootnoteText"/>
      </w:pPr>
      <w:r>
        <w:rPr>
          <w:rStyle w:val="FootnoteReference"/>
        </w:rPr>
        <w:footnoteRef/>
      </w:r>
      <w:r>
        <w:t xml:space="preserve"> </w:t>
      </w:r>
      <w:r w:rsidRPr="006611F1">
        <w:t>SWHC042-02 CZ2022 Peak Period_11_19_2020.xlsm</w:t>
      </w:r>
    </w:p>
  </w:footnote>
  <w:footnote w:id="8">
    <w:p w14:paraId="38FE3A1B" w14:textId="3F50EAE7" w:rsidR="00231420" w:rsidRDefault="00231420" w:rsidP="00D32FBA">
      <w:pPr>
        <w:pStyle w:val="FootnoteText"/>
      </w:pPr>
      <w:r>
        <w:rPr>
          <w:rStyle w:val="FootnoteReference"/>
        </w:rPr>
        <w:footnoteRef/>
      </w:r>
      <w:r>
        <w:t xml:space="preserve"> </w:t>
      </w:r>
      <w:r w:rsidRPr="00C554DF">
        <w:t>California Public Utilities Commission, Energy Division. 201</w:t>
      </w:r>
      <w:r w:rsidR="00033AA5">
        <w:t>20</w:t>
      </w:r>
      <w:r w:rsidRPr="00C554DF">
        <w:t xml:space="preserve">. </w:t>
      </w:r>
      <w:r w:rsidRPr="00C554DF">
        <w:rPr>
          <w:i/>
        </w:rPr>
        <w:t xml:space="preserve">Energy Efficiency Policy Manual Version </w:t>
      </w:r>
      <w:r w:rsidR="00033AA5">
        <w:rPr>
          <w:i/>
        </w:rPr>
        <w:t>6</w:t>
      </w:r>
      <w:r w:rsidRPr="00C554DF">
        <w:t>. Page 3</w:t>
      </w:r>
      <w:r w:rsidR="00033AA5">
        <w:t>4</w:t>
      </w:r>
      <w:r w:rsidRPr="00C554DF">
        <w:t>.</w:t>
      </w:r>
    </w:p>
  </w:footnote>
  <w:footnote w:id="9">
    <w:p w14:paraId="0C07F507" w14:textId="77777777" w:rsidR="00231420" w:rsidRDefault="00231420" w:rsidP="00D32FBA">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10">
    <w:p w14:paraId="284FD181" w14:textId="5FEA0568" w:rsidR="00231420" w:rsidRPr="00F049E6" w:rsidRDefault="00231420" w:rsidP="00D32FBA">
      <w:pPr>
        <w:pStyle w:val="FootnoteText"/>
      </w:pPr>
      <w:r w:rsidRPr="00F049E6">
        <w:rPr>
          <w:rStyle w:val="FootnoteReference"/>
        </w:rPr>
        <w:footnoteRef/>
      </w:r>
      <w:r w:rsidRPr="00F049E6">
        <w:t xml:space="preserve"> California Public Utilities Commission. 2016. Resolution E-4807. December 16. </w:t>
      </w:r>
      <w:r w:rsidRPr="00F049E6">
        <w:rPr>
          <w:rStyle w:val="eTRMFootnoteTextChar"/>
        </w:rPr>
        <w:t>Page 13.  </w:t>
      </w:r>
    </w:p>
  </w:footnote>
  <w:footnote w:id="11">
    <w:p w14:paraId="61AD1976" w14:textId="77777777" w:rsidR="00231420" w:rsidRPr="00653032" w:rsidRDefault="00231420" w:rsidP="00E138CA">
      <w:pPr>
        <w:pStyle w:val="FootnoteText"/>
      </w:pPr>
      <w:r>
        <w:rPr>
          <w:rStyle w:val="FootnoteReference"/>
        </w:rPr>
        <w:footnoteRef/>
      </w:r>
      <w:r>
        <w:t xml:space="preserve"> UC Davis Western Cooling Efficiency Center. 2013. </w:t>
      </w:r>
      <w:r w:rsidRPr="00653032">
        <w:rPr>
          <w:i/>
        </w:rPr>
        <w:t>C</w:t>
      </w:r>
      <w:r>
        <w:rPr>
          <w:i/>
        </w:rPr>
        <w:t>ondenser Air Pre-Cooler Retrofits for Rooftop Units.</w:t>
      </w:r>
      <w:r>
        <w:t xml:space="preserve"> Page 4.</w:t>
      </w:r>
    </w:p>
  </w:footnote>
  <w:footnote w:id="12">
    <w:p w14:paraId="1E1909DB" w14:textId="31CF131C" w:rsidR="00231420" w:rsidRPr="00DA7881" w:rsidRDefault="00231420">
      <w:pPr>
        <w:pStyle w:val="FootnoteText"/>
      </w:pPr>
      <w:r>
        <w:rPr>
          <w:rStyle w:val="FootnoteReference"/>
        </w:rPr>
        <w:footnoteRef/>
      </w:r>
      <w:r>
        <w:t xml:space="preserve"> </w:t>
      </w:r>
      <w:proofErr w:type="spellStart"/>
      <w:r>
        <w:t>Itron</w:t>
      </w:r>
      <w:proofErr w:type="spellEnd"/>
      <w:r>
        <w:t xml:space="preserve">, Inc. 2014. </w:t>
      </w:r>
      <w:r>
        <w:rPr>
          <w:i/>
        </w:rPr>
        <w:t>California Commercial Saturation Survey.</w:t>
      </w:r>
      <w:r>
        <w:t xml:space="preserve"> Page 9-22</w:t>
      </w:r>
    </w:p>
  </w:footnote>
  <w:footnote w:id="13">
    <w:p w14:paraId="0D7D9AA7" w14:textId="4B8BB455" w:rsidR="00231420" w:rsidRDefault="00231420">
      <w:pPr>
        <w:pStyle w:val="FootnoteText"/>
      </w:pPr>
      <w:r>
        <w:rPr>
          <w:rStyle w:val="FootnoteReference"/>
        </w:rPr>
        <w:footnoteRef/>
      </w:r>
      <w:r>
        <w:t xml:space="preserve"> </w:t>
      </w:r>
      <w:r>
        <w:rPr>
          <w:szCs w:val="18"/>
        </w:rPr>
        <w:t>Southern California Edison (SCE). 2020. "</w:t>
      </w:r>
      <w:r w:rsidRPr="009F065B">
        <w:t xml:space="preserve"> </w:t>
      </w:r>
      <w:r>
        <w:t>SWHC042-02</w:t>
      </w:r>
      <w:r w:rsidRPr="00591445">
        <w:t xml:space="preserve"> MeasureDataSpec</w:t>
      </w:r>
      <w:r>
        <w:t xml:space="preserve">.xlsm”, </w:t>
      </w:r>
      <w:r w:rsidRPr="00591445">
        <w:t xml:space="preserve">Measure Specific Constants </w:t>
      </w:r>
      <w:r>
        <w:t>Tab</w:t>
      </w:r>
    </w:p>
  </w:footnote>
  <w:footnote w:id="14">
    <w:p w14:paraId="3F9C4FF9" w14:textId="571DEEFE" w:rsidR="00231420" w:rsidRDefault="00231420" w:rsidP="00344692">
      <w:pPr>
        <w:pStyle w:val="FootnoteText"/>
      </w:pPr>
      <w:r>
        <w:rPr>
          <w:rStyle w:val="FootnoteReference"/>
        </w:rPr>
        <w:footnoteRef/>
      </w:r>
      <w:r>
        <w:t xml:space="preserve"> </w:t>
      </w:r>
      <w:r>
        <w:rPr>
          <w:szCs w:val="18"/>
        </w:rPr>
        <w:t>Southern California Edison (SCE). 2020. "</w:t>
      </w:r>
      <w:r w:rsidRPr="009F065B">
        <w:t xml:space="preserve"> </w:t>
      </w:r>
      <w:r>
        <w:t>SWHC042-02</w:t>
      </w:r>
      <w:r w:rsidRPr="00591445">
        <w:t xml:space="preserve"> MeasureDataSpec</w:t>
      </w:r>
      <w:r>
        <w:t xml:space="preserve">.xlsm”, </w:t>
      </w:r>
      <w:r w:rsidRPr="00591445">
        <w:t xml:space="preserve">Measure Specific Constants </w:t>
      </w:r>
      <w:r>
        <w:t>Tab</w:t>
      </w:r>
    </w:p>
  </w:footnote>
  <w:footnote w:id="15">
    <w:p w14:paraId="2EA296D4" w14:textId="77777777" w:rsidR="00231420" w:rsidRDefault="00231420" w:rsidP="00EE582B">
      <w:pPr>
        <w:pStyle w:val="FootnoteText"/>
      </w:pPr>
      <w:r>
        <w:rPr>
          <w:rStyle w:val="FootnoteReference"/>
        </w:rPr>
        <w:footnoteRef/>
      </w:r>
      <w:r>
        <w:t xml:space="preserve"> </w:t>
      </w:r>
      <w:r>
        <w:rPr>
          <w:szCs w:val="18"/>
        </w:rPr>
        <w:t>Southern California Edison (SCE). 2020. "</w:t>
      </w:r>
      <w:r w:rsidRPr="009F065B">
        <w:t xml:space="preserve"> </w:t>
      </w:r>
      <w:r>
        <w:t>SWHC042-02</w:t>
      </w:r>
      <w:r w:rsidRPr="00591445">
        <w:t xml:space="preserve"> MeasureDataSpec</w:t>
      </w:r>
      <w:r>
        <w:t xml:space="preserve">.xlsm”, </w:t>
      </w:r>
      <w:r w:rsidRPr="00591445">
        <w:t xml:space="preserve">Measure Specific Constants </w:t>
      </w:r>
      <w:r>
        <w:t>Tab</w:t>
      </w:r>
    </w:p>
  </w:footnote>
  <w:footnote w:id="16">
    <w:p w14:paraId="795C5810" w14:textId="77777777" w:rsidR="00231420" w:rsidRPr="00653032" w:rsidRDefault="00231420" w:rsidP="004A17E2">
      <w:pPr>
        <w:pStyle w:val="FootnoteText"/>
      </w:pPr>
      <w:r>
        <w:rPr>
          <w:rStyle w:val="FootnoteReference"/>
        </w:rPr>
        <w:footnoteRef/>
      </w:r>
      <w:r>
        <w:t xml:space="preserve"> UC Davis Western Cooling Efficiency Center. 2013. </w:t>
      </w:r>
      <w:r w:rsidRPr="00653032">
        <w:rPr>
          <w:i/>
        </w:rPr>
        <w:t>C</w:t>
      </w:r>
      <w:r>
        <w:rPr>
          <w:i/>
        </w:rPr>
        <w:t>ondenser Air Pre-Cooler Retrofits for Rooftop Units.</w:t>
      </w:r>
      <w:r>
        <w:t xml:space="preserve"> Page 4.</w:t>
      </w:r>
    </w:p>
  </w:footnote>
  <w:footnote w:id="17">
    <w:p w14:paraId="41DF2169" w14:textId="7A67A618" w:rsidR="00231420" w:rsidRDefault="00231420">
      <w:pPr>
        <w:pStyle w:val="FootnoteText"/>
      </w:pPr>
      <w:r>
        <w:rPr>
          <w:rStyle w:val="FootnoteReference"/>
        </w:rPr>
        <w:footnoteRef/>
      </w:r>
      <w:r>
        <w:t xml:space="preserve"> </w:t>
      </w:r>
      <w:r>
        <w:rPr>
          <w:szCs w:val="18"/>
        </w:rPr>
        <w:t>Southern California Edison (SCE). 2020. "</w:t>
      </w:r>
      <w:r w:rsidRPr="009F065B">
        <w:t xml:space="preserve"> </w:t>
      </w:r>
      <w:r>
        <w:t>SWHC042-02</w:t>
      </w:r>
      <w:r w:rsidRPr="00591445">
        <w:t xml:space="preserve"> MeasureDataSpec</w:t>
      </w:r>
      <w:r>
        <w:t xml:space="preserve">.xlsm”, </w:t>
      </w:r>
      <w:r w:rsidRPr="00591445">
        <w:t xml:space="preserve">Activation </w:t>
      </w:r>
      <w:proofErr w:type="spellStart"/>
      <w:r w:rsidRPr="00591445">
        <w:t>pt</w:t>
      </w:r>
      <w:proofErr w:type="spellEnd"/>
      <w:r w:rsidRPr="00591445">
        <w:t xml:space="preserve"> and Water Calcs</w:t>
      </w:r>
      <w:r>
        <w:t xml:space="preserve"> Tab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231420" w:rsidRPr="000220A0" w:rsidRDefault="00231420"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3EE2B5E9" w:rsidR="00231420" w:rsidRDefault="00231420">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1.02</w:t>
    </w:r>
    <w:r w:rsidRPr="000220A0">
      <w:rPr>
        <w:rFonts w:ascii="Calibri Light" w:hAnsi="Calibri Light"/>
        <w:b/>
      </w:rPr>
      <w:t xml:space="preserve"> </w:t>
    </w:r>
    <w:r>
      <w:rPr>
        <w:rFonts w:ascii="Calibri Light" w:hAnsi="Calibri Light"/>
        <w:b/>
      </w:rPr>
      <w:t xml:space="preserve"> No-Heat Low-Heat Doors</w:t>
    </w:r>
  </w:p>
  <w:p w14:paraId="0BBA2503" w14:textId="77777777" w:rsidR="00231420" w:rsidRDefault="002314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231420" w:rsidRDefault="00231420" w:rsidP="00BD221D">
    <w:pPr>
      <w:jc w:val="center"/>
    </w:pPr>
  </w:p>
  <w:p w14:paraId="342310D5" w14:textId="5BACBCD8" w:rsidR="00231420" w:rsidRDefault="00231420" w:rsidP="00BD221D">
    <w:pPr>
      <w:jc w:val="center"/>
    </w:pPr>
    <w:r>
      <w:rPr>
        <w:noProof/>
      </w:rPr>
      <w:drawing>
        <wp:inline distT="0" distB="0" distL="0" distR="0" wp14:anchorId="4B2AF0A8" wp14:editId="7258E71E">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5EBBF8D6" w:rsidR="00231420" w:rsidRDefault="00231420"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sidRPr="000D3CD5">
      <w:rPr>
        <w:rFonts w:ascii="Calibri Light" w:hAnsi="Calibri Light"/>
        <w:b/>
      </w:rPr>
      <w:t>EVAPORATIVE PRE-COOLER SYSTEM AND CONTROLS FOR PACKAGED HVAC UNIT</w:t>
    </w:r>
  </w:p>
  <w:p w14:paraId="2AC97B25" w14:textId="77777777" w:rsidR="00231420" w:rsidRDefault="002314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231420" w:rsidRDefault="002314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71DE0"/>
    <w:multiLevelType w:val="hybridMultilevel"/>
    <w:tmpl w:val="FA80A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C5850"/>
    <w:multiLevelType w:val="hybridMultilevel"/>
    <w:tmpl w:val="7DB4D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082BFA"/>
    <w:multiLevelType w:val="hybridMultilevel"/>
    <w:tmpl w:val="ACB2B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92CF1"/>
    <w:multiLevelType w:val="hybridMultilevel"/>
    <w:tmpl w:val="F9D624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BE4AE5"/>
    <w:multiLevelType w:val="hybridMultilevel"/>
    <w:tmpl w:val="15304B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33BFD"/>
    <w:multiLevelType w:val="multilevel"/>
    <w:tmpl w:val="2F74DB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BAE352B"/>
    <w:multiLevelType w:val="hybridMultilevel"/>
    <w:tmpl w:val="355803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346E05"/>
    <w:multiLevelType w:val="hybridMultilevel"/>
    <w:tmpl w:val="FE6C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933568"/>
    <w:multiLevelType w:val="hybridMultilevel"/>
    <w:tmpl w:val="2542C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7B745E"/>
    <w:multiLevelType w:val="hybridMultilevel"/>
    <w:tmpl w:val="8D64C7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4" w15:restartNumberingAfterBreak="0">
    <w:nsid w:val="5D401C96"/>
    <w:multiLevelType w:val="hybridMultilevel"/>
    <w:tmpl w:val="6F6287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7"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8" w15:restartNumberingAfterBreak="0">
    <w:nsid w:val="7C1755C7"/>
    <w:multiLevelType w:val="hybridMultilevel"/>
    <w:tmpl w:val="E716CE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7"/>
  </w:num>
  <w:num w:numId="3">
    <w:abstractNumId w:val="13"/>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5"/>
  </w:num>
  <w:num w:numId="5">
    <w:abstractNumId w:val="6"/>
  </w:num>
  <w:num w:numId="6">
    <w:abstractNumId w:val="4"/>
  </w:num>
  <w:num w:numId="7">
    <w:abstractNumId w:val="11"/>
  </w:num>
  <w:num w:numId="8">
    <w:abstractNumId w:val="10"/>
  </w:num>
  <w:num w:numId="9">
    <w:abstractNumId w:val="18"/>
  </w:num>
  <w:num w:numId="10">
    <w:abstractNumId w:val="8"/>
  </w:num>
  <w:num w:numId="11">
    <w:abstractNumId w:val="0"/>
  </w:num>
  <w:num w:numId="12">
    <w:abstractNumId w:val="14"/>
  </w:num>
  <w:num w:numId="13">
    <w:abstractNumId w:val="12"/>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
  </w:num>
  <w:num w:numId="1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3163"/>
    <w:rsid w:val="00003ED9"/>
    <w:rsid w:val="0000481D"/>
    <w:rsid w:val="00005B06"/>
    <w:rsid w:val="00006382"/>
    <w:rsid w:val="000063B0"/>
    <w:rsid w:val="00006633"/>
    <w:rsid w:val="0000694A"/>
    <w:rsid w:val="000110D9"/>
    <w:rsid w:val="000111AF"/>
    <w:rsid w:val="00011529"/>
    <w:rsid w:val="00011962"/>
    <w:rsid w:val="00013800"/>
    <w:rsid w:val="0001573B"/>
    <w:rsid w:val="00016928"/>
    <w:rsid w:val="000176AA"/>
    <w:rsid w:val="00020888"/>
    <w:rsid w:val="000220A0"/>
    <w:rsid w:val="0002389A"/>
    <w:rsid w:val="00024745"/>
    <w:rsid w:val="000248BD"/>
    <w:rsid w:val="00026D58"/>
    <w:rsid w:val="000302DF"/>
    <w:rsid w:val="00031184"/>
    <w:rsid w:val="00033AA5"/>
    <w:rsid w:val="000344DE"/>
    <w:rsid w:val="000345DE"/>
    <w:rsid w:val="00036715"/>
    <w:rsid w:val="00037A06"/>
    <w:rsid w:val="00040162"/>
    <w:rsid w:val="000410E5"/>
    <w:rsid w:val="000420FC"/>
    <w:rsid w:val="000425AD"/>
    <w:rsid w:val="00044F5E"/>
    <w:rsid w:val="000459F5"/>
    <w:rsid w:val="00045B80"/>
    <w:rsid w:val="00046BB0"/>
    <w:rsid w:val="00051DBB"/>
    <w:rsid w:val="00052C95"/>
    <w:rsid w:val="00055129"/>
    <w:rsid w:val="00061297"/>
    <w:rsid w:val="00061D34"/>
    <w:rsid w:val="00063957"/>
    <w:rsid w:val="00064994"/>
    <w:rsid w:val="00065389"/>
    <w:rsid w:val="00065D6A"/>
    <w:rsid w:val="000672E5"/>
    <w:rsid w:val="00067470"/>
    <w:rsid w:val="00074E3E"/>
    <w:rsid w:val="00075DD3"/>
    <w:rsid w:val="000767E9"/>
    <w:rsid w:val="0007785E"/>
    <w:rsid w:val="0008078A"/>
    <w:rsid w:val="0008108C"/>
    <w:rsid w:val="0008393B"/>
    <w:rsid w:val="00083D86"/>
    <w:rsid w:val="000841AA"/>
    <w:rsid w:val="00087533"/>
    <w:rsid w:val="00090BBF"/>
    <w:rsid w:val="000910B7"/>
    <w:rsid w:val="00091581"/>
    <w:rsid w:val="00091656"/>
    <w:rsid w:val="000924B5"/>
    <w:rsid w:val="000927CC"/>
    <w:rsid w:val="00094517"/>
    <w:rsid w:val="00094EAC"/>
    <w:rsid w:val="0009532A"/>
    <w:rsid w:val="00096485"/>
    <w:rsid w:val="000978C8"/>
    <w:rsid w:val="000A09A6"/>
    <w:rsid w:val="000A0EAA"/>
    <w:rsid w:val="000A27FD"/>
    <w:rsid w:val="000A2BB0"/>
    <w:rsid w:val="000A3B36"/>
    <w:rsid w:val="000A4D3A"/>
    <w:rsid w:val="000A62EF"/>
    <w:rsid w:val="000A66B7"/>
    <w:rsid w:val="000A6E42"/>
    <w:rsid w:val="000A7058"/>
    <w:rsid w:val="000A7C78"/>
    <w:rsid w:val="000B5F64"/>
    <w:rsid w:val="000B6004"/>
    <w:rsid w:val="000B70EA"/>
    <w:rsid w:val="000C0269"/>
    <w:rsid w:val="000C1E8E"/>
    <w:rsid w:val="000C36B4"/>
    <w:rsid w:val="000C3D6A"/>
    <w:rsid w:val="000C4F04"/>
    <w:rsid w:val="000C72C1"/>
    <w:rsid w:val="000C7363"/>
    <w:rsid w:val="000D085E"/>
    <w:rsid w:val="000D25D0"/>
    <w:rsid w:val="000D26AC"/>
    <w:rsid w:val="000D3967"/>
    <w:rsid w:val="000D3CD5"/>
    <w:rsid w:val="000D541D"/>
    <w:rsid w:val="000D5508"/>
    <w:rsid w:val="000D6582"/>
    <w:rsid w:val="000E36EE"/>
    <w:rsid w:val="000E52B1"/>
    <w:rsid w:val="000E5ACA"/>
    <w:rsid w:val="000E6582"/>
    <w:rsid w:val="000E7B20"/>
    <w:rsid w:val="000F1833"/>
    <w:rsid w:val="000F553C"/>
    <w:rsid w:val="00101BEA"/>
    <w:rsid w:val="00102D70"/>
    <w:rsid w:val="00103399"/>
    <w:rsid w:val="00104933"/>
    <w:rsid w:val="001062A9"/>
    <w:rsid w:val="001115DE"/>
    <w:rsid w:val="00111A53"/>
    <w:rsid w:val="00113824"/>
    <w:rsid w:val="0011498C"/>
    <w:rsid w:val="001173D0"/>
    <w:rsid w:val="00120592"/>
    <w:rsid w:val="001217DF"/>
    <w:rsid w:val="0012187D"/>
    <w:rsid w:val="00124BFE"/>
    <w:rsid w:val="00126566"/>
    <w:rsid w:val="00126809"/>
    <w:rsid w:val="00131233"/>
    <w:rsid w:val="00131C5A"/>
    <w:rsid w:val="00132524"/>
    <w:rsid w:val="00133816"/>
    <w:rsid w:val="0013414A"/>
    <w:rsid w:val="001347C7"/>
    <w:rsid w:val="00142633"/>
    <w:rsid w:val="00142D3C"/>
    <w:rsid w:val="00143B20"/>
    <w:rsid w:val="00144612"/>
    <w:rsid w:val="00144D78"/>
    <w:rsid w:val="001464C8"/>
    <w:rsid w:val="0014672E"/>
    <w:rsid w:val="00147188"/>
    <w:rsid w:val="0015022A"/>
    <w:rsid w:val="00151B9F"/>
    <w:rsid w:val="00154391"/>
    <w:rsid w:val="00155B58"/>
    <w:rsid w:val="001564FC"/>
    <w:rsid w:val="00161DF1"/>
    <w:rsid w:val="001648F6"/>
    <w:rsid w:val="00166489"/>
    <w:rsid w:val="00171BB8"/>
    <w:rsid w:val="00172745"/>
    <w:rsid w:val="00174584"/>
    <w:rsid w:val="00174707"/>
    <w:rsid w:val="001761EA"/>
    <w:rsid w:val="00176E49"/>
    <w:rsid w:val="00180DAD"/>
    <w:rsid w:val="00181672"/>
    <w:rsid w:val="00181E01"/>
    <w:rsid w:val="00183521"/>
    <w:rsid w:val="001837BA"/>
    <w:rsid w:val="0018427F"/>
    <w:rsid w:val="00184BEA"/>
    <w:rsid w:val="00185425"/>
    <w:rsid w:val="001864F9"/>
    <w:rsid w:val="001870DB"/>
    <w:rsid w:val="001931FF"/>
    <w:rsid w:val="0019324D"/>
    <w:rsid w:val="001943AE"/>
    <w:rsid w:val="001944A0"/>
    <w:rsid w:val="00194A48"/>
    <w:rsid w:val="001959B3"/>
    <w:rsid w:val="00195B03"/>
    <w:rsid w:val="00196649"/>
    <w:rsid w:val="00197038"/>
    <w:rsid w:val="00197A1C"/>
    <w:rsid w:val="00197F09"/>
    <w:rsid w:val="001A28D3"/>
    <w:rsid w:val="001A4BD8"/>
    <w:rsid w:val="001A4BE1"/>
    <w:rsid w:val="001A654A"/>
    <w:rsid w:val="001A7239"/>
    <w:rsid w:val="001A7482"/>
    <w:rsid w:val="001A7A21"/>
    <w:rsid w:val="001B1D23"/>
    <w:rsid w:val="001B2EC5"/>
    <w:rsid w:val="001B3E27"/>
    <w:rsid w:val="001B4393"/>
    <w:rsid w:val="001B6627"/>
    <w:rsid w:val="001B690D"/>
    <w:rsid w:val="001B6E0C"/>
    <w:rsid w:val="001C1617"/>
    <w:rsid w:val="001C2ACE"/>
    <w:rsid w:val="001C30F4"/>
    <w:rsid w:val="001C3A9A"/>
    <w:rsid w:val="001C5B02"/>
    <w:rsid w:val="001C61A0"/>
    <w:rsid w:val="001C6533"/>
    <w:rsid w:val="001C6C9B"/>
    <w:rsid w:val="001C7134"/>
    <w:rsid w:val="001C75BB"/>
    <w:rsid w:val="001C7AAA"/>
    <w:rsid w:val="001D2576"/>
    <w:rsid w:val="001D5CDC"/>
    <w:rsid w:val="001D65A6"/>
    <w:rsid w:val="001D7A57"/>
    <w:rsid w:val="001D7F62"/>
    <w:rsid w:val="001E19A3"/>
    <w:rsid w:val="001E31E0"/>
    <w:rsid w:val="001E3B4A"/>
    <w:rsid w:val="001E4C3F"/>
    <w:rsid w:val="001E67F3"/>
    <w:rsid w:val="001E7EE2"/>
    <w:rsid w:val="001F1256"/>
    <w:rsid w:val="001F1E86"/>
    <w:rsid w:val="001F521F"/>
    <w:rsid w:val="001F533F"/>
    <w:rsid w:val="001F735E"/>
    <w:rsid w:val="002004F3"/>
    <w:rsid w:val="002005A8"/>
    <w:rsid w:val="00200668"/>
    <w:rsid w:val="002006B6"/>
    <w:rsid w:val="00201BE7"/>
    <w:rsid w:val="00205245"/>
    <w:rsid w:val="002057A5"/>
    <w:rsid w:val="00205BAF"/>
    <w:rsid w:val="00206E56"/>
    <w:rsid w:val="00207F85"/>
    <w:rsid w:val="00210369"/>
    <w:rsid w:val="0021226A"/>
    <w:rsid w:val="00216527"/>
    <w:rsid w:val="002225E6"/>
    <w:rsid w:val="00223F26"/>
    <w:rsid w:val="00225142"/>
    <w:rsid w:val="00226A69"/>
    <w:rsid w:val="002279B5"/>
    <w:rsid w:val="00227BDD"/>
    <w:rsid w:val="00231172"/>
    <w:rsid w:val="00231420"/>
    <w:rsid w:val="002318A4"/>
    <w:rsid w:val="002335FF"/>
    <w:rsid w:val="00233D87"/>
    <w:rsid w:val="00233F71"/>
    <w:rsid w:val="00235BFA"/>
    <w:rsid w:val="0023666C"/>
    <w:rsid w:val="00236E0A"/>
    <w:rsid w:val="00237964"/>
    <w:rsid w:val="002402D5"/>
    <w:rsid w:val="00241DA4"/>
    <w:rsid w:val="00242256"/>
    <w:rsid w:val="002426DB"/>
    <w:rsid w:val="00242EC8"/>
    <w:rsid w:val="00242ED1"/>
    <w:rsid w:val="002434DE"/>
    <w:rsid w:val="00244094"/>
    <w:rsid w:val="00245AFF"/>
    <w:rsid w:val="0024628D"/>
    <w:rsid w:val="0024632D"/>
    <w:rsid w:val="0024690E"/>
    <w:rsid w:val="0024705B"/>
    <w:rsid w:val="00251ABC"/>
    <w:rsid w:val="00251BFB"/>
    <w:rsid w:val="00252345"/>
    <w:rsid w:val="002524CF"/>
    <w:rsid w:val="00253703"/>
    <w:rsid w:val="00254B69"/>
    <w:rsid w:val="00256400"/>
    <w:rsid w:val="002569F1"/>
    <w:rsid w:val="002608E3"/>
    <w:rsid w:val="002634F8"/>
    <w:rsid w:val="00266366"/>
    <w:rsid w:val="00270718"/>
    <w:rsid w:val="00274E0C"/>
    <w:rsid w:val="00276F9B"/>
    <w:rsid w:val="00280945"/>
    <w:rsid w:val="002824F9"/>
    <w:rsid w:val="00282606"/>
    <w:rsid w:val="00283398"/>
    <w:rsid w:val="00285E57"/>
    <w:rsid w:val="00290147"/>
    <w:rsid w:val="00291F73"/>
    <w:rsid w:val="00292761"/>
    <w:rsid w:val="002936EB"/>
    <w:rsid w:val="002942B0"/>
    <w:rsid w:val="00294FE5"/>
    <w:rsid w:val="0029554D"/>
    <w:rsid w:val="0029555D"/>
    <w:rsid w:val="0029781E"/>
    <w:rsid w:val="00297845"/>
    <w:rsid w:val="002A21DD"/>
    <w:rsid w:val="002A23E0"/>
    <w:rsid w:val="002A2471"/>
    <w:rsid w:val="002A2A94"/>
    <w:rsid w:val="002B0A4D"/>
    <w:rsid w:val="002B107C"/>
    <w:rsid w:val="002B2C97"/>
    <w:rsid w:val="002B35E1"/>
    <w:rsid w:val="002B3BF4"/>
    <w:rsid w:val="002B44BC"/>
    <w:rsid w:val="002B6DED"/>
    <w:rsid w:val="002B6F2A"/>
    <w:rsid w:val="002C06FC"/>
    <w:rsid w:val="002C1117"/>
    <w:rsid w:val="002C2F28"/>
    <w:rsid w:val="002C4B25"/>
    <w:rsid w:val="002C5126"/>
    <w:rsid w:val="002C5CF8"/>
    <w:rsid w:val="002C67DF"/>
    <w:rsid w:val="002C7FC1"/>
    <w:rsid w:val="002C7FF0"/>
    <w:rsid w:val="002D0036"/>
    <w:rsid w:val="002D1CBC"/>
    <w:rsid w:val="002D201C"/>
    <w:rsid w:val="002D27C9"/>
    <w:rsid w:val="002D29F8"/>
    <w:rsid w:val="002D2E98"/>
    <w:rsid w:val="002D3966"/>
    <w:rsid w:val="002D40EE"/>
    <w:rsid w:val="002D4993"/>
    <w:rsid w:val="002D50E9"/>
    <w:rsid w:val="002D5726"/>
    <w:rsid w:val="002D5CFA"/>
    <w:rsid w:val="002D623D"/>
    <w:rsid w:val="002E1F20"/>
    <w:rsid w:val="002E2DBB"/>
    <w:rsid w:val="002E7FD0"/>
    <w:rsid w:val="002F01D2"/>
    <w:rsid w:val="002F46D4"/>
    <w:rsid w:val="002F54BC"/>
    <w:rsid w:val="002F5BDB"/>
    <w:rsid w:val="002F685A"/>
    <w:rsid w:val="002F7C46"/>
    <w:rsid w:val="003003B4"/>
    <w:rsid w:val="003009E0"/>
    <w:rsid w:val="0030270C"/>
    <w:rsid w:val="003029C0"/>
    <w:rsid w:val="00302A82"/>
    <w:rsid w:val="00304B58"/>
    <w:rsid w:val="00306A22"/>
    <w:rsid w:val="0030728B"/>
    <w:rsid w:val="003103FB"/>
    <w:rsid w:val="00312102"/>
    <w:rsid w:val="00313619"/>
    <w:rsid w:val="00313E1D"/>
    <w:rsid w:val="00315D04"/>
    <w:rsid w:val="00316EBC"/>
    <w:rsid w:val="003247FA"/>
    <w:rsid w:val="003256A8"/>
    <w:rsid w:val="00326D70"/>
    <w:rsid w:val="003309DA"/>
    <w:rsid w:val="00333809"/>
    <w:rsid w:val="003338AD"/>
    <w:rsid w:val="00336313"/>
    <w:rsid w:val="00337D1D"/>
    <w:rsid w:val="003430E2"/>
    <w:rsid w:val="00344692"/>
    <w:rsid w:val="00347067"/>
    <w:rsid w:val="0035011F"/>
    <w:rsid w:val="0035060F"/>
    <w:rsid w:val="00352864"/>
    <w:rsid w:val="003530E0"/>
    <w:rsid w:val="00356526"/>
    <w:rsid w:val="003600E3"/>
    <w:rsid w:val="00361897"/>
    <w:rsid w:val="00362F9E"/>
    <w:rsid w:val="00363BE8"/>
    <w:rsid w:val="00365BFE"/>
    <w:rsid w:val="00370735"/>
    <w:rsid w:val="00370F3A"/>
    <w:rsid w:val="00371BEC"/>
    <w:rsid w:val="00372F61"/>
    <w:rsid w:val="003732E9"/>
    <w:rsid w:val="003755BA"/>
    <w:rsid w:val="0037778F"/>
    <w:rsid w:val="00377E2A"/>
    <w:rsid w:val="003815BA"/>
    <w:rsid w:val="00383F74"/>
    <w:rsid w:val="00385069"/>
    <w:rsid w:val="00385C5F"/>
    <w:rsid w:val="00385E8A"/>
    <w:rsid w:val="00392097"/>
    <w:rsid w:val="00392684"/>
    <w:rsid w:val="00394559"/>
    <w:rsid w:val="00394EC6"/>
    <w:rsid w:val="003964E6"/>
    <w:rsid w:val="003A05A1"/>
    <w:rsid w:val="003A34AF"/>
    <w:rsid w:val="003A516B"/>
    <w:rsid w:val="003A564C"/>
    <w:rsid w:val="003B0470"/>
    <w:rsid w:val="003B1A0C"/>
    <w:rsid w:val="003B7610"/>
    <w:rsid w:val="003C2CC3"/>
    <w:rsid w:val="003C40A0"/>
    <w:rsid w:val="003C4EB1"/>
    <w:rsid w:val="003C5F5A"/>
    <w:rsid w:val="003C6FD9"/>
    <w:rsid w:val="003C7721"/>
    <w:rsid w:val="003C78F4"/>
    <w:rsid w:val="003C7E79"/>
    <w:rsid w:val="003D1B97"/>
    <w:rsid w:val="003D1FB8"/>
    <w:rsid w:val="003D7104"/>
    <w:rsid w:val="003D7842"/>
    <w:rsid w:val="003E123C"/>
    <w:rsid w:val="003E16A0"/>
    <w:rsid w:val="003E4247"/>
    <w:rsid w:val="003E5605"/>
    <w:rsid w:val="003E6DE8"/>
    <w:rsid w:val="003F269E"/>
    <w:rsid w:val="003F3000"/>
    <w:rsid w:val="003F310F"/>
    <w:rsid w:val="003F379B"/>
    <w:rsid w:val="003F3944"/>
    <w:rsid w:val="003F4964"/>
    <w:rsid w:val="003F6022"/>
    <w:rsid w:val="003F63D6"/>
    <w:rsid w:val="003F65F3"/>
    <w:rsid w:val="003F65FF"/>
    <w:rsid w:val="003F790A"/>
    <w:rsid w:val="00401C43"/>
    <w:rsid w:val="00403FC0"/>
    <w:rsid w:val="004046FF"/>
    <w:rsid w:val="00405733"/>
    <w:rsid w:val="0040737E"/>
    <w:rsid w:val="00410790"/>
    <w:rsid w:val="00411BE7"/>
    <w:rsid w:val="00411EF4"/>
    <w:rsid w:val="00412F9F"/>
    <w:rsid w:val="004133BB"/>
    <w:rsid w:val="004142EF"/>
    <w:rsid w:val="0042023D"/>
    <w:rsid w:val="00420958"/>
    <w:rsid w:val="00420EF1"/>
    <w:rsid w:val="00421920"/>
    <w:rsid w:val="00422957"/>
    <w:rsid w:val="004249A0"/>
    <w:rsid w:val="004275DF"/>
    <w:rsid w:val="00427620"/>
    <w:rsid w:val="00432D49"/>
    <w:rsid w:val="00433658"/>
    <w:rsid w:val="004339EA"/>
    <w:rsid w:val="00433E8F"/>
    <w:rsid w:val="004342FF"/>
    <w:rsid w:val="00440082"/>
    <w:rsid w:val="00443B60"/>
    <w:rsid w:val="0044577B"/>
    <w:rsid w:val="004474B2"/>
    <w:rsid w:val="00447D55"/>
    <w:rsid w:val="004505F3"/>
    <w:rsid w:val="00450CC4"/>
    <w:rsid w:val="004517F1"/>
    <w:rsid w:val="00455AFD"/>
    <w:rsid w:val="00455F15"/>
    <w:rsid w:val="00456115"/>
    <w:rsid w:val="00457056"/>
    <w:rsid w:val="00460A0F"/>
    <w:rsid w:val="0046125A"/>
    <w:rsid w:val="00461AE3"/>
    <w:rsid w:val="0046265E"/>
    <w:rsid w:val="004642AF"/>
    <w:rsid w:val="0046435B"/>
    <w:rsid w:val="004648A5"/>
    <w:rsid w:val="00464A63"/>
    <w:rsid w:val="00465B42"/>
    <w:rsid w:val="00466DD6"/>
    <w:rsid w:val="004676D7"/>
    <w:rsid w:val="00470670"/>
    <w:rsid w:val="004706E6"/>
    <w:rsid w:val="00472286"/>
    <w:rsid w:val="00472D3F"/>
    <w:rsid w:val="004733FD"/>
    <w:rsid w:val="00473D62"/>
    <w:rsid w:val="0047414A"/>
    <w:rsid w:val="00475A47"/>
    <w:rsid w:val="00475C74"/>
    <w:rsid w:val="004769EB"/>
    <w:rsid w:val="00476BA9"/>
    <w:rsid w:val="004804FD"/>
    <w:rsid w:val="004818E5"/>
    <w:rsid w:val="00484536"/>
    <w:rsid w:val="00484D67"/>
    <w:rsid w:val="00486585"/>
    <w:rsid w:val="004919B8"/>
    <w:rsid w:val="004937E5"/>
    <w:rsid w:val="00493F85"/>
    <w:rsid w:val="00495AB2"/>
    <w:rsid w:val="00496046"/>
    <w:rsid w:val="00497289"/>
    <w:rsid w:val="004979D2"/>
    <w:rsid w:val="004A0610"/>
    <w:rsid w:val="004A06AE"/>
    <w:rsid w:val="004A17E2"/>
    <w:rsid w:val="004A4334"/>
    <w:rsid w:val="004A510D"/>
    <w:rsid w:val="004B05BE"/>
    <w:rsid w:val="004B06E3"/>
    <w:rsid w:val="004B31A9"/>
    <w:rsid w:val="004B35DC"/>
    <w:rsid w:val="004B38C8"/>
    <w:rsid w:val="004B5137"/>
    <w:rsid w:val="004B5888"/>
    <w:rsid w:val="004C0BBD"/>
    <w:rsid w:val="004C1AEE"/>
    <w:rsid w:val="004C2A36"/>
    <w:rsid w:val="004C306D"/>
    <w:rsid w:val="004C3663"/>
    <w:rsid w:val="004C418D"/>
    <w:rsid w:val="004C421E"/>
    <w:rsid w:val="004C57EC"/>
    <w:rsid w:val="004C60C9"/>
    <w:rsid w:val="004C69F2"/>
    <w:rsid w:val="004C76CB"/>
    <w:rsid w:val="004D0B57"/>
    <w:rsid w:val="004D1461"/>
    <w:rsid w:val="004D15FA"/>
    <w:rsid w:val="004D3A71"/>
    <w:rsid w:val="004D3CE4"/>
    <w:rsid w:val="004D51FA"/>
    <w:rsid w:val="004D5527"/>
    <w:rsid w:val="004D7E51"/>
    <w:rsid w:val="004E04EE"/>
    <w:rsid w:val="004E135E"/>
    <w:rsid w:val="004E1B37"/>
    <w:rsid w:val="004E2704"/>
    <w:rsid w:val="004E36C2"/>
    <w:rsid w:val="004E4D01"/>
    <w:rsid w:val="004E7138"/>
    <w:rsid w:val="004F0CFB"/>
    <w:rsid w:val="004F0F59"/>
    <w:rsid w:val="004F458B"/>
    <w:rsid w:val="005006AC"/>
    <w:rsid w:val="00500964"/>
    <w:rsid w:val="00500C66"/>
    <w:rsid w:val="00500F95"/>
    <w:rsid w:val="00501689"/>
    <w:rsid w:val="00501713"/>
    <w:rsid w:val="00502B4A"/>
    <w:rsid w:val="005039F4"/>
    <w:rsid w:val="00505B94"/>
    <w:rsid w:val="00512E95"/>
    <w:rsid w:val="005130EC"/>
    <w:rsid w:val="005146E6"/>
    <w:rsid w:val="00520247"/>
    <w:rsid w:val="005202F9"/>
    <w:rsid w:val="00520F07"/>
    <w:rsid w:val="005242AB"/>
    <w:rsid w:val="00525E7F"/>
    <w:rsid w:val="005335D0"/>
    <w:rsid w:val="0053534A"/>
    <w:rsid w:val="00535A42"/>
    <w:rsid w:val="00536A59"/>
    <w:rsid w:val="0053748E"/>
    <w:rsid w:val="00542518"/>
    <w:rsid w:val="005449C6"/>
    <w:rsid w:val="0055207B"/>
    <w:rsid w:val="00554DC5"/>
    <w:rsid w:val="00555289"/>
    <w:rsid w:val="005569D4"/>
    <w:rsid w:val="00557C28"/>
    <w:rsid w:val="00561E99"/>
    <w:rsid w:val="005637E3"/>
    <w:rsid w:val="00563A97"/>
    <w:rsid w:val="005661AE"/>
    <w:rsid w:val="005667B7"/>
    <w:rsid w:val="00566B42"/>
    <w:rsid w:val="00570EFA"/>
    <w:rsid w:val="0057165C"/>
    <w:rsid w:val="00571E16"/>
    <w:rsid w:val="005722C6"/>
    <w:rsid w:val="00574729"/>
    <w:rsid w:val="00576F0D"/>
    <w:rsid w:val="00580FF8"/>
    <w:rsid w:val="0058170A"/>
    <w:rsid w:val="00582097"/>
    <w:rsid w:val="00585C8D"/>
    <w:rsid w:val="0058624A"/>
    <w:rsid w:val="005862CC"/>
    <w:rsid w:val="00586782"/>
    <w:rsid w:val="00586997"/>
    <w:rsid w:val="005911FE"/>
    <w:rsid w:val="00591445"/>
    <w:rsid w:val="0059312F"/>
    <w:rsid w:val="00595758"/>
    <w:rsid w:val="00595B94"/>
    <w:rsid w:val="00595CB0"/>
    <w:rsid w:val="00596081"/>
    <w:rsid w:val="005A3860"/>
    <w:rsid w:val="005A3943"/>
    <w:rsid w:val="005A3964"/>
    <w:rsid w:val="005A51E6"/>
    <w:rsid w:val="005A632E"/>
    <w:rsid w:val="005B0002"/>
    <w:rsid w:val="005B32FD"/>
    <w:rsid w:val="005B3D9A"/>
    <w:rsid w:val="005B4EFF"/>
    <w:rsid w:val="005B69F6"/>
    <w:rsid w:val="005B7418"/>
    <w:rsid w:val="005C03A9"/>
    <w:rsid w:val="005C15F5"/>
    <w:rsid w:val="005C2BFC"/>
    <w:rsid w:val="005C324B"/>
    <w:rsid w:val="005C43E2"/>
    <w:rsid w:val="005C454A"/>
    <w:rsid w:val="005C4CBB"/>
    <w:rsid w:val="005C74C9"/>
    <w:rsid w:val="005D08A5"/>
    <w:rsid w:val="005D1B14"/>
    <w:rsid w:val="005D24BB"/>
    <w:rsid w:val="005D257B"/>
    <w:rsid w:val="005D2CF6"/>
    <w:rsid w:val="005D4FBA"/>
    <w:rsid w:val="005D526C"/>
    <w:rsid w:val="005E06F4"/>
    <w:rsid w:val="005E1D5C"/>
    <w:rsid w:val="005E2277"/>
    <w:rsid w:val="005E25DC"/>
    <w:rsid w:val="005E2AB7"/>
    <w:rsid w:val="005E2CFB"/>
    <w:rsid w:val="005E41C3"/>
    <w:rsid w:val="005E52AE"/>
    <w:rsid w:val="005E5607"/>
    <w:rsid w:val="005E567C"/>
    <w:rsid w:val="005F1487"/>
    <w:rsid w:val="005F1955"/>
    <w:rsid w:val="005F3432"/>
    <w:rsid w:val="005F4B51"/>
    <w:rsid w:val="005F505E"/>
    <w:rsid w:val="005F5BE1"/>
    <w:rsid w:val="005F7271"/>
    <w:rsid w:val="005F7DD2"/>
    <w:rsid w:val="006025E7"/>
    <w:rsid w:val="00602976"/>
    <w:rsid w:val="0060388D"/>
    <w:rsid w:val="00604231"/>
    <w:rsid w:val="00610C2F"/>
    <w:rsid w:val="00613133"/>
    <w:rsid w:val="006134D2"/>
    <w:rsid w:val="00616111"/>
    <w:rsid w:val="00616E42"/>
    <w:rsid w:val="00617C41"/>
    <w:rsid w:val="006219D0"/>
    <w:rsid w:val="00623495"/>
    <w:rsid w:val="006237C2"/>
    <w:rsid w:val="006244BE"/>
    <w:rsid w:val="00625805"/>
    <w:rsid w:val="00627AC4"/>
    <w:rsid w:val="00630FB2"/>
    <w:rsid w:val="00631686"/>
    <w:rsid w:val="0063253B"/>
    <w:rsid w:val="006325D4"/>
    <w:rsid w:val="00636336"/>
    <w:rsid w:val="006363C8"/>
    <w:rsid w:val="00637AB8"/>
    <w:rsid w:val="00641996"/>
    <w:rsid w:val="00642302"/>
    <w:rsid w:val="0064370D"/>
    <w:rsid w:val="00643771"/>
    <w:rsid w:val="00643B0D"/>
    <w:rsid w:val="00644131"/>
    <w:rsid w:val="00644946"/>
    <w:rsid w:val="0064554D"/>
    <w:rsid w:val="00646AB8"/>
    <w:rsid w:val="00647BD9"/>
    <w:rsid w:val="006501AD"/>
    <w:rsid w:val="00653032"/>
    <w:rsid w:val="00654A3E"/>
    <w:rsid w:val="00656A6D"/>
    <w:rsid w:val="0066040F"/>
    <w:rsid w:val="006607CE"/>
    <w:rsid w:val="006611F1"/>
    <w:rsid w:val="0066186C"/>
    <w:rsid w:val="006624A7"/>
    <w:rsid w:val="0066515F"/>
    <w:rsid w:val="0066606F"/>
    <w:rsid w:val="006668AF"/>
    <w:rsid w:val="00670339"/>
    <w:rsid w:val="006707D1"/>
    <w:rsid w:val="00683A3B"/>
    <w:rsid w:val="00685B6F"/>
    <w:rsid w:val="00686439"/>
    <w:rsid w:val="006927FC"/>
    <w:rsid w:val="0069373C"/>
    <w:rsid w:val="006957C6"/>
    <w:rsid w:val="006A07CB"/>
    <w:rsid w:val="006A2C5B"/>
    <w:rsid w:val="006A322C"/>
    <w:rsid w:val="006A6051"/>
    <w:rsid w:val="006A7DA7"/>
    <w:rsid w:val="006B31D9"/>
    <w:rsid w:val="006B3494"/>
    <w:rsid w:val="006B360A"/>
    <w:rsid w:val="006B7230"/>
    <w:rsid w:val="006B7345"/>
    <w:rsid w:val="006C0102"/>
    <w:rsid w:val="006C07D4"/>
    <w:rsid w:val="006C41AD"/>
    <w:rsid w:val="006C4901"/>
    <w:rsid w:val="006D04AD"/>
    <w:rsid w:val="006D04BD"/>
    <w:rsid w:val="006D0993"/>
    <w:rsid w:val="006D09F3"/>
    <w:rsid w:val="006D5662"/>
    <w:rsid w:val="006D599C"/>
    <w:rsid w:val="006D5B1C"/>
    <w:rsid w:val="006D7180"/>
    <w:rsid w:val="006E1412"/>
    <w:rsid w:val="006E433B"/>
    <w:rsid w:val="006E4A18"/>
    <w:rsid w:val="006E4A46"/>
    <w:rsid w:val="006E4C2D"/>
    <w:rsid w:val="006E5523"/>
    <w:rsid w:val="006E7899"/>
    <w:rsid w:val="006E7C78"/>
    <w:rsid w:val="006F2773"/>
    <w:rsid w:val="006F27F4"/>
    <w:rsid w:val="006F2E23"/>
    <w:rsid w:val="006F4766"/>
    <w:rsid w:val="006F6D9E"/>
    <w:rsid w:val="006F7024"/>
    <w:rsid w:val="00703766"/>
    <w:rsid w:val="00703A7C"/>
    <w:rsid w:val="0070408B"/>
    <w:rsid w:val="007047FE"/>
    <w:rsid w:val="0070654D"/>
    <w:rsid w:val="007076DA"/>
    <w:rsid w:val="00707860"/>
    <w:rsid w:val="007106F3"/>
    <w:rsid w:val="00712C56"/>
    <w:rsid w:val="0071414D"/>
    <w:rsid w:val="007159F3"/>
    <w:rsid w:val="0072064A"/>
    <w:rsid w:val="007207BF"/>
    <w:rsid w:val="00720DD3"/>
    <w:rsid w:val="0072137E"/>
    <w:rsid w:val="00725CB0"/>
    <w:rsid w:val="007269BF"/>
    <w:rsid w:val="007277BB"/>
    <w:rsid w:val="0073517D"/>
    <w:rsid w:val="00735387"/>
    <w:rsid w:val="0073685C"/>
    <w:rsid w:val="00737EA5"/>
    <w:rsid w:val="007400AE"/>
    <w:rsid w:val="00741CAD"/>
    <w:rsid w:val="00741F3E"/>
    <w:rsid w:val="007424B4"/>
    <w:rsid w:val="00742548"/>
    <w:rsid w:val="00743461"/>
    <w:rsid w:val="00743AA8"/>
    <w:rsid w:val="007455A9"/>
    <w:rsid w:val="00750840"/>
    <w:rsid w:val="00757617"/>
    <w:rsid w:val="00763AD8"/>
    <w:rsid w:val="00765016"/>
    <w:rsid w:val="0076666A"/>
    <w:rsid w:val="00767EDE"/>
    <w:rsid w:val="00770E9A"/>
    <w:rsid w:val="0077100C"/>
    <w:rsid w:val="00771CD3"/>
    <w:rsid w:val="007732A9"/>
    <w:rsid w:val="00775790"/>
    <w:rsid w:val="00776C39"/>
    <w:rsid w:val="00776DF1"/>
    <w:rsid w:val="00777618"/>
    <w:rsid w:val="007811E2"/>
    <w:rsid w:val="00781D00"/>
    <w:rsid w:val="0078375D"/>
    <w:rsid w:val="007858DF"/>
    <w:rsid w:val="00786DC5"/>
    <w:rsid w:val="007900F3"/>
    <w:rsid w:val="007917DA"/>
    <w:rsid w:val="00791B69"/>
    <w:rsid w:val="00791D82"/>
    <w:rsid w:val="00792DF8"/>
    <w:rsid w:val="00793555"/>
    <w:rsid w:val="0079498E"/>
    <w:rsid w:val="00794B0D"/>
    <w:rsid w:val="0079649E"/>
    <w:rsid w:val="00796F10"/>
    <w:rsid w:val="007A0913"/>
    <w:rsid w:val="007A4E0A"/>
    <w:rsid w:val="007A6AB5"/>
    <w:rsid w:val="007B28DE"/>
    <w:rsid w:val="007B2B46"/>
    <w:rsid w:val="007B30F2"/>
    <w:rsid w:val="007B377F"/>
    <w:rsid w:val="007B3EA5"/>
    <w:rsid w:val="007B4274"/>
    <w:rsid w:val="007B5117"/>
    <w:rsid w:val="007B599D"/>
    <w:rsid w:val="007B6A74"/>
    <w:rsid w:val="007B7A66"/>
    <w:rsid w:val="007C2DC8"/>
    <w:rsid w:val="007D0606"/>
    <w:rsid w:val="007D097E"/>
    <w:rsid w:val="007D1789"/>
    <w:rsid w:val="007D230B"/>
    <w:rsid w:val="007D2D80"/>
    <w:rsid w:val="007D3681"/>
    <w:rsid w:val="007D3824"/>
    <w:rsid w:val="007D46AC"/>
    <w:rsid w:val="007D49A1"/>
    <w:rsid w:val="007D59DD"/>
    <w:rsid w:val="007E1F66"/>
    <w:rsid w:val="007E3A33"/>
    <w:rsid w:val="007E41FB"/>
    <w:rsid w:val="007E4C10"/>
    <w:rsid w:val="007E4F31"/>
    <w:rsid w:val="007E6501"/>
    <w:rsid w:val="007E6C25"/>
    <w:rsid w:val="007E6CF5"/>
    <w:rsid w:val="007F0C82"/>
    <w:rsid w:val="007F32D7"/>
    <w:rsid w:val="007F3F95"/>
    <w:rsid w:val="007F421D"/>
    <w:rsid w:val="00800317"/>
    <w:rsid w:val="00800EE0"/>
    <w:rsid w:val="008011D0"/>
    <w:rsid w:val="00801632"/>
    <w:rsid w:val="00801BA9"/>
    <w:rsid w:val="008049CF"/>
    <w:rsid w:val="0080518A"/>
    <w:rsid w:val="0080520B"/>
    <w:rsid w:val="008053E1"/>
    <w:rsid w:val="0080675C"/>
    <w:rsid w:val="00807B3E"/>
    <w:rsid w:val="00810009"/>
    <w:rsid w:val="0081032C"/>
    <w:rsid w:val="00810D4A"/>
    <w:rsid w:val="00810DB1"/>
    <w:rsid w:val="00811136"/>
    <w:rsid w:val="008123AC"/>
    <w:rsid w:val="00812637"/>
    <w:rsid w:val="0081286D"/>
    <w:rsid w:val="00812F82"/>
    <w:rsid w:val="008146FD"/>
    <w:rsid w:val="00816AAB"/>
    <w:rsid w:val="008202AB"/>
    <w:rsid w:val="00820402"/>
    <w:rsid w:val="00821A01"/>
    <w:rsid w:val="008243B2"/>
    <w:rsid w:val="00824F08"/>
    <w:rsid w:val="008276D5"/>
    <w:rsid w:val="00827B1A"/>
    <w:rsid w:val="00830146"/>
    <w:rsid w:val="008310DF"/>
    <w:rsid w:val="00831105"/>
    <w:rsid w:val="008333E2"/>
    <w:rsid w:val="00835363"/>
    <w:rsid w:val="00835487"/>
    <w:rsid w:val="00836103"/>
    <w:rsid w:val="0083629A"/>
    <w:rsid w:val="008422D3"/>
    <w:rsid w:val="00844429"/>
    <w:rsid w:val="00844A4B"/>
    <w:rsid w:val="00846921"/>
    <w:rsid w:val="00847017"/>
    <w:rsid w:val="00854676"/>
    <w:rsid w:val="00856F1C"/>
    <w:rsid w:val="00861118"/>
    <w:rsid w:val="00863B70"/>
    <w:rsid w:val="00864EA0"/>
    <w:rsid w:val="00865296"/>
    <w:rsid w:val="00866593"/>
    <w:rsid w:val="00867086"/>
    <w:rsid w:val="008742AF"/>
    <w:rsid w:val="00874663"/>
    <w:rsid w:val="008778E0"/>
    <w:rsid w:val="00877CB7"/>
    <w:rsid w:val="00881B95"/>
    <w:rsid w:val="008831CA"/>
    <w:rsid w:val="00884680"/>
    <w:rsid w:val="008866C9"/>
    <w:rsid w:val="00891280"/>
    <w:rsid w:val="0089272A"/>
    <w:rsid w:val="00894890"/>
    <w:rsid w:val="00895A40"/>
    <w:rsid w:val="00895F5B"/>
    <w:rsid w:val="00897247"/>
    <w:rsid w:val="00897BCD"/>
    <w:rsid w:val="008A0E7A"/>
    <w:rsid w:val="008B08F0"/>
    <w:rsid w:val="008B1809"/>
    <w:rsid w:val="008B262C"/>
    <w:rsid w:val="008B5427"/>
    <w:rsid w:val="008B6987"/>
    <w:rsid w:val="008B6FC8"/>
    <w:rsid w:val="008C14EC"/>
    <w:rsid w:val="008C19E9"/>
    <w:rsid w:val="008C2594"/>
    <w:rsid w:val="008C26E9"/>
    <w:rsid w:val="008C5297"/>
    <w:rsid w:val="008C5B66"/>
    <w:rsid w:val="008C774E"/>
    <w:rsid w:val="008D3EE7"/>
    <w:rsid w:val="008D42A1"/>
    <w:rsid w:val="008D4652"/>
    <w:rsid w:val="008D6D9D"/>
    <w:rsid w:val="008E2B15"/>
    <w:rsid w:val="008E36B8"/>
    <w:rsid w:val="008E4E8F"/>
    <w:rsid w:val="008F14CC"/>
    <w:rsid w:val="008F1691"/>
    <w:rsid w:val="008F1768"/>
    <w:rsid w:val="008F1AFD"/>
    <w:rsid w:val="008F22E2"/>
    <w:rsid w:val="008F254E"/>
    <w:rsid w:val="008F2AB8"/>
    <w:rsid w:val="008F31B6"/>
    <w:rsid w:val="008F4019"/>
    <w:rsid w:val="008F5698"/>
    <w:rsid w:val="008F5E12"/>
    <w:rsid w:val="008F639E"/>
    <w:rsid w:val="008F745E"/>
    <w:rsid w:val="009006AC"/>
    <w:rsid w:val="009012BB"/>
    <w:rsid w:val="00901EF2"/>
    <w:rsid w:val="00902A71"/>
    <w:rsid w:val="00903CE0"/>
    <w:rsid w:val="00903EB6"/>
    <w:rsid w:val="00904514"/>
    <w:rsid w:val="009073EA"/>
    <w:rsid w:val="009079D0"/>
    <w:rsid w:val="00913D0A"/>
    <w:rsid w:val="009141C4"/>
    <w:rsid w:val="009148A1"/>
    <w:rsid w:val="00915235"/>
    <w:rsid w:val="00916BB9"/>
    <w:rsid w:val="00916DCA"/>
    <w:rsid w:val="00917E31"/>
    <w:rsid w:val="009216A7"/>
    <w:rsid w:val="009231F1"/>
    <w:rsid w:val="0092418F"/>
    <w:rsid w:val="00924972"/>
    <w:rsid w:val="00924BBA"/>
    <w:rsid w:val="00932E1E"/>
    <w:rsid w:val="00934068"/>
    <w:rsid w:val="00934A1D"/>
    <w:rsid w:val="00935611"/>
    <w:rsid w:val="00937854"/>
    <w:rsid w:val="00943DDC"/>
    <w:rsid w:val="00943F16"/>
    <w:rsid w:val="009458E5"/>
    <w:rsid w:val="00945A20"/>
    <w:rsid w:val="009469E0"/>
    <w:rsid w:val="00951A9D"/>
    <w:rsid w:val="00951B9B"/>
    <w:rsid w:val="00951C4D"/>
    <w:rsid w:val="00952E03"/>
    <w:rsid w:val="0095398F"/>
    <w:rsid w:val="009547E2"/>
    <w:rsid w:val="00954D5A"/>
    <w:rsid w:val="00954F44"/>
    <w:rsid w:val="00955CE0"/>
    <w:rsid w:val="00956488"/>
    <w:rsid w:val="00956C0E"/>
    <w:rsid w:val="00956F5F"/>
    <w:rsid w:val="00956FA2"/>
    <w:rsid w:val="009610DC"/>
    <w:rsid w:val="00963957"/>
    <w:rsid w:val="0097147D"/>
    <w:rsid w:val="0097154F"/>
    <w:rsid w:val="00972945"/>
    <w:rsid w:val="009745CC"/>
    <w:rsid w:val="00974D90"/>
    <w:rsid w:val="00975B18"/>
    <w:rsid w:val="0097703D"/>
    <w:rsid w:val="0098401D"/>
    <w:rsid w:val="00985996"/>
    <w:rsid w:val="00985AAB"/>
    <w:rsid w:val="00986978"/>
    <w:rsid w:val="009927B0"/>
    <w:rsid w:val="009929A5"/>
    <w:rsid w:val="00993E76"/>
    <w:rsid w:val="00994F74"/>
    <w:rsid w:val="0099507B"/>
    <w:rsid w:val="0099528D"/>
    <w:rsid w:val="0099563A"/>
    <w:rsid w:val="00995B2B"/>
    <w:rsid w:val="009A06D2"/>
    <w:rsid w:val="009A13F4"/>
    <w:rsid w:val="009A28DF"/>
    <w:rsid w:val="009A44BE"/>
    <w:rsid w:val="009A61E6"/>
    <w:rsid w:val="009A6A4F"/>
    <w:rsid w:val="009B029F"/>
    <w:rsid w:val="009B0A0C"/>
    <w:rsid w:val="009B27F8"/>
    <w:rsid w:val="009B30E8"/>
    <w:rsid w:val="009B356F"/>
    <w:rsid w:val="009B363B"/>
    <w:rsid w:val="009B4A23"/>
    <w:rsid w:val="009B4A8B"/>
    <w:rsid w:val="009B74FB"/>
    <w:rsid w:val="009B7D75"/>
    <w:rsid w:val="009C0660"/>
    <w:rsid w:val="009C100F"/>
    <w:rsid w:val="009C2573"/>
    <w:rsid w:val="009C2D38"/>
    <w:rsid w:val="009C3929"/>
    <w:rsid w:val="009C3C68"/>
    <w:rsid w:val="009C4845"/>
    <w:rsid w:val="009C5080"/>
    <w:rsid w:val="009C557C"/>
    <w:rsid w:val="009C7314"/>
    <w:rsid w:val="009C733E"/>
    <w:rsid w:val="009C7805"/>
    <w:rsid w:val="009C7D4B"/>
    <w:rsid w:val="009D393C"/>
    <w:rsid w:val="009D5D9F"/>
    <w:rsid w:val="009E0FA2"/>
    <w:rsid w:val="009E2244"/>
    <w:rsid w:val="009E260D"/>
    <w:rsid w:val="009E2BBC"/>
    <w:rsid w:val="009E2C6B"/>
    <w:rsid w:val="009E4DCF"/>
    <w:rsid w:val="009E56F5"/>
    <w:rsid w:val="009E5982"/>
    <w:rsid w:val="009E7FAF"/>
    <w:rsid w:val="009F22CD"/>
    <w:rsid w:val="009F57FD"/>
    <w:rsid w:val="009F6F91"/>
    <w:rsid w:val="009F70EF"/>
    <w:rsid w:val="009F7F9F"/>
    <w:rsid w:val="00A00CFE"/>
    <w:rsid w:val="00A01E02"/>
    <w:rsid w:val="00A02E26"/>
    <w:rsid w:val="00A03D24"/>
    <w:rsid w:val="00A05BA0"/>
    <w:rsid w:val="00A10CAD"/>
    <w:rsid w:val="00A10F9C"/>
    <w:rsid w:val="00A154D0"/>
    <w:rsid w:val="00A159C9"/>
    <w:rsid w:val="00A167FB"/>
    <w:rsid w:val="00A20D6D"/>
    <w:rsid w:val="00A21B70"/>
    <w:rsid w:val="00A21D02"/>
    <w:rsid w:val="00A21DDB"/>
    <w:rsid w:val="00A23CF6"/>
    <w:rsid w:val="00A241C3"/>
    <w:rsid w:val="00A24C40"/>
    <w:rsid w:val="00A251C9"/>
    <w:rsid w:val="00A2690C"/>
    <w:rsid w:val="00A26E82"/>
    <w:rsid w:val="00A2792F"/>
    <w:rsid w:val="00A30619"/>
    <w:rsid w:val="00A30970"/>
    <w:rsid w:val="00A30A72"/>
    <w:rsid w:val="00A315E4"/>
    <w:rsid w:val="00A31D96"/>
    <w:rsid w:val="00A31FEE"/>
    <w:rsid w:val="00A3399B"/>
    <w:rsid w:val="00A33C55"/>
    <w:rsid w:val="00A34237"/>
    <w:rsid w:val="00A36198"/>
    <w:rsid w:val="00A36959"/>
    <w:rsid w:val="00A36D8F"/>
    <w:rsid w:val="00A37454"/>
    <w:rsid w:val="00A40D75"/>
    <w:rsid w:val="00A42875"/>
    <w:rsid w:val="00A44549"/>
    <w:rsid w:val="00A44DC1"/>
    <w:rsid w:val="00A45A50"/>
    <w:rsid w:val="00A45E0E"/>
    <w:rsid w:val="00A46C3F"/>
    <w:rsid w:val="00A47A98"/>
    <w:rsid w:val="00A47EE7"/>
    <w:rsid w:val="00A50B43"/>
    <w:rsid w:val="00A50F89"/>
    <w:rsid w:val="00A51C87"/>
    <w:rsid w:val="00A51F19"/>
    <w:rsid w:val="00A52324"/>
    <w:rsid w:val="00A53338"/>
    <w:rsid w:val="00A54197"/>
    <w:rsid w:val="00A60E7E"/>
    <w:rsid w:val="00A611EC"/>
    <w:rsid w:val="00A61821"/>
    <w:rsid w:val="00A6428F"/>
    <w:rsid w:val="00A65877"/>
    <w:rsid w:val="00A66366"/>
    <w:rsid w:val="00A66BAE"/>
    <w:rsid w:val="00A67CA5"/>
    <w:rsid w:val="00A70BAE"/>
    <w:rsid w:val="00A72084"/>
    <w:rsid w:val="00A744A4"/>
    <w:rsid w:val="00A75CCD"/>
    <w:rsid w:val="00A776A8"/>
    <w:rsid w:val="00A77BC9"/>
    <w:rsid w:val="00A80506"/>
    <w:rsid w:val="00A806AE"/>
    <w:rsid w:val="00A8118F"/>
    <w:rsid w:val="00A82278"/>
    <w:rsid w:val="00A8239D"/>
    <w:rsid w:val="00A82423"/>
    <w:rsid w:val="00A825D4"/>
    <w:rsid w:val="00A82C38"/>
    <w:rsid w:val="00A833C2"/>
    <w:rsid w:val="00A83458"/>
    <w:rsid w:val="00A8369C"/>
    <w:rsid w:val="00A85542"/>
    <w:rsid w:val="00A86C41"/>
    <w:rsid w:val="00A87631"/>
    <w:rsid w:val="00A90148"/>
    <w:rsid w:val="00A917F8"/>
    <w:rsid w:val="00A938FD"/>
    <w:rsid w:val="00A94B78"/>
    <w:rsid w:val="00A966DF"/>
    <w:rsid w:val="00AA0D8C"/>
    <w:rsid w:val="00AA0F6B"/>
    <w:rsid w:val="00AA0FB1"/>
    <w:rsid w:val="00AA108F"/>
    <w:rsid w:val="00AA25BC"/>
    <w:rsid w:val="00AA3077"/>
    <w:rsid w:val="00AA32D0"/>
    <w:rsid w:val="00AA3459"/>
    <w:rsid w:val="00AA3FD8"/>
    <w:rsid w:val="00AA46AF"/>
    <w:rsid w:val="00AB1223"/>
    <w:rsid w:val="00AB1596"/>
    <w:rsid w:val="00AB15E3"/>
    <w:rsid w:val="00AB1A41"/>
    <w:rsid w:val="00AB2475"/>
    <w:rsid w:val="00AB2C76"/>
    <w:rsid w:val="00AB390F"/>
    <w:rsid w:val="00AB4E9E"/>
    <w:rsid w:val="00AB53BE"/>
    <w:rsid w:val="00AB6C99"/>
    <w:rsid w:val="00AC0E50"/>
    <w:rsid w:val="00AC11D5"/>
    <w:rsid w:val="00AC15E5"/>
    <w:rsid w:val="00AC22BB"/>
    <w:rsid w:val="00AC4080"/>
    <w:rsid w:val="00AC4B53"/>
    <w:rsid w:val="00AC5A6D"/>
    <w:rsid w:val="00AC5A73"/>
    <w:rsid w:val="00AC5D73"/>
    <w:rsid w:val="00AC73AD"/>
    <w:rsid w:val="00AD07FE"/>
    <w:rsid w:val="00AD0A36"/>
    <w:rsid w:val="00AD1DE6"/>
    <w:rsid w:val="00AD1F3F"/>
    <w:rsid w:val="00AD705A"/>
    <w:rsid w:val="00AD78F9"/>
    <w:rsid w:val="00AD7E8C"/>
    <w:rsid w:val="00AE008D"/>
    <w:rsid w:val="00AE30E0"/>
    <w:rsid w:val="00AE346F"/>
    <w:rsid w:val="00AE3A20"/>
    <w:rsid w:val="00AE3AD5"/>
    <w:rsid w:val="00AE6D75"/>
    <w:rsid w:val="00AF04E3"/>
    <w:rsid w:val="00AF2329"/>
    <w:rsid w:val="00AF3660"/>
    <w:rsid w:val="00AF687E"/>
    <w:rsid w:val="00AF7A20"/>
    <w:rsid w:val="00B00FC2"/>
    <w:rsid w:val="00B01312"/>
    <w:rsid w:val="00B02D98"/>
    <w:rsid w:val="00B02F11"/>
    <w:rsid w:val="00B04019"/>
    <w:rsid w:val="00B0603F"/>
    <w:rsid w:val="00B1395A"/>
    <w:rsid w:val="00B15D2F"/>
    <w:rsid w:val="00B16399"/>
    <w:rsid w:val="00B168FD"/>
    <w:rsid w:val="00B1760F"/>
    <w:rsid w:val="00B17741"/>
    <w:rsid w:val="00B17CF8"/>
    <w:rsid w:val="00B17FF7"/>
    <w:rsid w:val="00B22745"/>
    <w:rsid w:val="00B2586D"/>
    <w:rsid w:val="00B25AE4"/>
    <w:rsid w:val="00B264C6"/>
    <w:rsid w:val="00B26909"/>
    <w:rsid w:val="00B27664"/>
    <w:rsid w:val="00B31169"/>
    <w:rsid w:val="00B311C6"/>
    <w:rsid w:val="00B31828"/>
    <w:rsid w:val="00B31E0C"/>
    <w:rsid w:val="00B334B9"/>
    <w:rsid w:val="00B34575"/>
    <w:rsid w:val="00B35FC3"/>
    <w:rsid w:val="00B376AF"/>
    <w:rsid w:val="00B42BEE"/>
    <w:rsid w:val="00B42DC4"/>
    <w:rsid w:val="00B43DB9"/>
    <w:rsid w:val="00B452B7"/>
    <w:rsid w:val="00B458E3"/>
    <w:rsid w:val="00B4710D"/>
    <w:rsid w:val="00B50B5F"/>
    <w:rsid w:val="00B518FF"/>
    <w:rsid w:val="00B52DF0"/>
    <w:rsid w:val="00B52F5C"/>
    <w:rsid w:val="00B532BA"/>
    <w:rsid w:val="00B54930"/>
    <w:rsid w:val="00B54F17"/>
    <w:rsid w:val="00B561EE"/>
    <w:rsid w:val="00B57974"/>
    <w:rsid w:val="00B57D47"/>
    <w:rsid w:val="00B618B3"/>
    <w:rsid w:val="00B6210E"/>
    <w:rsid w:val="00B632E3"/>
    <w:rsid w:val="00B64A4B"/>
    <w:rsid w:val="00B64DC8"/>
    <w:rsid w:val="00B655CD"/>
    <w:rsid w:val="00B668B8"/>
    <w:rsid w:val="00B70688"/>
    <w:rsid w:val="00B70E24"/>
    <w:rsid w:val="00B77091"/>
    <w:rsid w:val="00B837C1"/>
    <w:rsid w:val="00B83FFE"/>
    <w:rsid w:val="00B841E0"/>
    <w:rsid w:val="00B848A9"/>
    <w:rsid w:val="00B860BA"/>
    <w:rsid w:val="00B865F5"/>
    <w:rsid w:val="00B870A0"/>
    <w:rsid w:val="00B876A7"/>
    <w:rsid w:val="00B910FC"/>
    <w:rsid w:val="00B91693"/>
    <w:rsid w:val="00B91DFE"/>
    <w:rsid w:val="00B920F7"/>
    <w:rsid w:val="00B949A9"/>
    <w:rsid w:val="00B94CA5"/>
    <w:rsid w:val="00B966E9"/>
    <w:rsid w:val="00B96BC7"/>
    <w:rsid w:val="00B97229"/>
    <w:rsid w:val="00BA08A3"/>
    <w:rsid w:val="00BA1AFD"/>
    <w:rsid w:val="00BA3457"/>
    <w:rsid w:val="00BA5AB3"/>
    <w:rsid w:val="00BB0517"/>
    <w:rsid w:val="00BB0E25"/>
    <w:rsid w:val="00BB196A"/>
    <w:rsid w:val="00BB1F8B"/>
    <w:rsid w:val="00BB227E"/>
    <w:rsid w:val="00BB46BF"/>
    <w:rsid w:val="00BB6839"/>
    <w:rsid w:val="00BB77A6"/>
    <w:rsid w:val="00BB7E3D"/>
    <w:rsid w:val="00BC3542"/>
    <w:rsid w:val="00BC3CD1"/>
    <w:rsid w:val="00BC5EC6"/>
    <w:rsid w:val="00BC5F0E"/>
    <w:rsid w:val="00BC6D33"/>
    <w:rsid w:val="00BD1643"/>
    <w:rsid w:val="00BD1CBE"/>
    <w:rsid w:val="00BD1E1D"/>
    <w:rsid w:val="00BD2211"/>
    <w:rsid w:val="00BD221D"/>
    <w:rsid w:val="00BD3E65"/>
    <w:rsid w:val="00BD4B5C"/>
    <w:rsid w:val="00BD5934"/>
    <w:rsid w:val="00BD5FDC"/>
    <w:rsid w:val="00BD7785"/>
    <w:rsid w:val="00BE0078"/>
    <w:rsid w:val="00BE162A"/>
    <w:rsid w:val="00BE2B01"/>
    <w:rsid w:val="00BE3B2E"/>
    <w:rsid w:val="00BE56AB"/>
    <w:rsid w:val="00BE5BC9"/>
    <w:rsid w:val="00BE65CA"/>
    <w:rsid w:val="00BE7D63"/>
    <w:rsid w:val="00BF1CBD"/>
    <w:rsid w:val="00BF52C4"/>
    <w:rsid w:val="00BF7578"/>
    <w:rsid w:val="00BF7896"/>
    <w:rsid w:val="00C006BE"/>
    <w:rsid w:val="00C01010"/>
    <w:rsid w:val="00C01229"/>
    <w:rsid w:val="00C04E40"/>
    <w:rsid w:val="00C05B8E"/>
    <w:rsid w:val="00C062D8"/>
    <w:rsid w:val="00C1063D"/>
    <w:rsid w:val="00C11303"/>
    <w:rsid w:val="00C117E2"/>
    <w:rsid w:val="00C1246B"/>
    <w:rsid w:val="00C15E0E"/>
    <w:rsid w:val="00C17165"/>
    <w:rsid w:val="00C17B8E"/>
    <w:rsid w:val="00C20C66"/>
    <w:rsid w:val="00C22AB2"/>
    <w:rsid w:val="00C22B5E"/>
    <w:rsid w:val="00C22FB6"/>
    <w:rsid w:val="00C23F47"/>
    <w:rsid w:val="00C23FB5"/>
    <w:rsid w:val="00C24139"/>
    <w:rsid w:val="00C24A1A"/>
    <w:rsid w:val="00C31AA8"/>
    <w:rsid w:val="00C31BC9"/>
    <w:rsid w:val="00C331BB"/>
    <w:rsid w:val="00C33835"/>
    <w:rsid w:val="00C351D0"/>
    <w:rsid w:val="00C35F64"/>
    <w:rsid w:val="00C37840"/>
    <w:rsid w:val="00C401F6"/>
    <w:rsid w:val="00C4060D"/>
    <w:rsid w:val="00C41652"/>
    <w:rsid w:val="00C41A08"/>
    <w:rsid w:val="00C422B9"/>
    <w:rsid w:val="00C4241E"/>
    <w:rsid w:val="00C44479"/>
    <w:rsid w:val="00C46326"/>
    <w:rsid w:val="00C50EFE"/>
    <w:rsid w:val="00C50F21"/>
    <w:rsid w:val="00C51F5F"/>
    <w:rsid w:val="00C57D34"/>
    <w:rsid w:val="00C615A3"/>
    <w:rsid w:val="00C635DA"/>
    <w:rsid w:val="00C639E7"/>
    <w:rsid w:val="00C64BFA"/>
    <w:rsid w:val="00C659BE"/>
    <w:rsid w:val="00C677DA"/>
    <w:rsid w:val="00C7099D"/>
    <w:rsid w:val="00C71F59"/>
    <w:rsid w:val="00C74539"/>
    <w:rsid w:val="00C757CE"/>
    <w:rsid w:val="00C80300"/>
    <w:rsid w:val="00C80D66"/>
    <w:rsid w:val="00C80DCA"/>
    <w:rsid w:val="00C80F91"/>
    <w:rsid w:val="00C81C27"/>
    <w:rsid w:val="00C82307"/>
    <w:rsid w:val="00C846AF"/>
    <w:rsid w:val="00C8613B"/>
    <w:rsid w:val="00C92622"/>
    <w:rsid w:val="00C947F1"/>
    <w:rsid w:val="00C94A95"/>
    <w:rsid w:val="00C95A2E"/>
    <w:rsid w:val="00C95D04"/>
    <w:rsid w:val="00C97228"/>
    <w:rsid w:val="00C9780D"/>
    <w:rsid w:val="00CA02DA"/>
    <w:rsid w:val="00CA0B2A"/>
    <w:rsid w:val="00CA1A54"/>
    <w:rsid w:val="00CA4535"/>
    <w:rsid w:val="00CB0CE4"/>
    <w:rsid w:val="00CB2AF3"/>
    <w:rsid w:val="00CB3747"/>
    <w:rsid w:val="00CB3A99"/>
    <w:rsid w:val="00CB5975"/>
    <w:rsid w:val="00CB6F0E"/>
    <w:rsid w:val="00CC0022"/>
    <w:rsid w:val="00CC11C3"/>
    <w:rsid w:val="00CC46B2"/>
    <w:rsid w:val="00CC5718"/>
    <w:rsid w:val="00CC7F62"/>
    <w:rsid w:val="00CD1352"/>
    <w:rsid w:val="00CD1CBE"/>
    <w:rsid w:val="00CD1E3E"/>
    <w:rsid w:val="00CD32E2"/>
    <w:rsid w:val="00CD39C3"/>
    <w:rsid w:val="00CD4B0B"/>
    <w:rsid w:val="00CD6698"/>
    <w:rsid w:val="00CD6DB5"/>
    <w:rsid w:val="00CE0317"/>
    <w:rsid w:val="00CE1E5B"/>
    <w:rsid w:val="00CE25BE"/>
    <w:rsid w:val="00CE6D6E"/>
    <w:rsid w:val="00CF1D92"/>
    <w:rsid w:val="00CF2FD3"/>
    <w:rsid w:val="00CF3847"/>
    <w:rsid w:val="00CF48C1"/>
    <w:rsid w:val="00CF5D91"/>
    <w:rsid w:val="00CF71F8"/>
    <w:rsid w:val="00CF7210"/>
    <w:rsid w:val="00D0025C"/>
    <w:rsid w:val="00D01A76"/>
    <w:rsid w:val="00D02C36"/>
    <w:rsid w:val="00D046A2"/>
    <w:rsid w:val="00D064F2"/>
    <w:rsid w:val="00D12172"/>
    <w:rsid w:val="00D12B8C"/>
    <w:rsid w:val="00D12F78"/>
    <w:rsid w:val="00D14DF9"/>
    <w:rsid w:val="00D1554D"/>
    <w:rsid w:val="00D200F6"/>
    <w:rsid w:val="00D21347"/>
    <w:rsid w:val="00D21646"/>
    <w:rsid w:val="00D21FCE"/>
    <w:rsid w:val="00D228EB"/>
    <w:rsid w:val="00D241E7"/>
    <w:rsid w:val="00D30790"/>
    <w:rsid w:val="00D30B7F"/>
    <w:rsid w:val="00D32ADB"/>
    <w:rsid w:val="00D32AEC"/>
    <w:rsid w:val="00D32FBA"/>
    <w:rsid w:val="00D36A3A"/>
    <w:rsid w:val="00D42280"/>
    <w:rsid w:val="00D42D0E"/>
    <w:rsid w:val="00D454F2"/>
    <w:rsid w:val="00D47CE9"/>
    <w:rsid w:val="00D52995"/>
    <w:rsid w:val="00D53211"/>
    <w:rsid w:val="00D5547F"/>
    <w:rsid w:val="00D577AC"/>
    <w:rsid w:val="00D60397"/>
    <w:rsid w:val="00D61490"/>
    <w:rsid w:val="00D6225D"/>
    <w:rsid w:val="00D6651F"/>
    <w:rsid w:val="00D67698"/>
    <w:rsid w:val="00D7078E"/>
    <w:rsid w:val="00D72ADE"/>
    <w:rsid w:val="00D72B37"/>
    <w:rsid w:val="00D74003"/>
    <w:rsid w:val="00D7404C"/>
    <w:rsid w:val="00D75233"/>
    <w:rsid w:val="00D76FE9"/>
    <w:rsid w:val="00D77199"/>
    <w:rsid w:val="00D7728F"/>
    <w:rsid w:val="00D77696"/>
    <w:rsid w:val="00D81386"/>
    <w:rsid w:val="00D814B3"/>
    <w:rsid w:val="00D81CC4"/>
    <w:rsid w:val="00D82271"/>
    <w:rsid w:val="00D84A0D"/>
    <w:rsid w:val="00D90379"/>
    <w:rsid w:val="00D91F10"/>
    <w:rsid w:val="00D943AF"/>
    <w:rsid w:val="00D96541"/>
    <w:rsid w:val="00D9765E"/>
    <w:rsid w:val="00DA077B"/>
    <w:rsid w:val="00DA0962"/>
    <w:rsid w:val="00DA1C06"/>
    <w:rsid w:val="00DA4591"/>
    <w:rsid w:val="00DA56F3"/>
    <w:rsid w:val="00DA6430"/>
    <w:rsid w:val="00DA7881"/>
    <w:rsid w:val="00DA7897"/>
    <w:rsid w:val="00DB0939"/>
    <w:rsid w:val="00DB21F1"/>
    <w:rsid w:val="00DB2B2C"/>
    <w:rsid w:val="00DB3B8C"/>
    <w:rsid w:val="00DB5C68"/>
    <w:rsid w:val="00DB63DB"/>
    <w:rsid w:val="00DB7824"/>
    <w:rsid w:val="00DB7BB8"/>
    <w:rsid w:val="00DB7EBB"/>
    <w:rsid w:val="00DC0E9A"/>
    <w:rsid w:val="00DC113F"/>
    <w:rsid w:val="00DC211F"/>
    <w:rsid w:val="00DC308E"/>
    <w:rsid w:val="00DC7F73"/>
    <w:rsid w:val="00DD0046"/>
    <w:rsid w:val="00DD3B9B"/>
    <w:rsid w:val="00DD3C29"/>
    <w:rsid w:val="00DD6F61"/>
    <w:rsid w:val="00DE191A"/>
    <w:rsid w:val="00DE3123"/>
    <w:rsid w:val="00DE339F"/>
    <w:rsid w:val="00DE4358"/>
    <w:rsid w:val="00DE6E5B"/>
    <w:rsid w:val="00DF1535"/>
    <w:rsid w:val="00DF23C6"/>
    <w:rsid w:val="00DF49EE"/>
    <w:rsid w:val="00DF53F5"/>
    <w:rsid w:val="00DF5CAD"/>
    <w:rsid w:val="00DF61FD"/>
    <w:rsid w:val="00DF6801"/>
    <w:rsid w:val="00DF6D25"/>
    <w:rsid w:val="00E0375A"/>
    <w:rsid w:val="00E03C6D"/>
    <w:rsid w:val="00E10AE6"/>
    <w:rsid w:val="00E11EE3"/>
    <w:rsid w:val="00E12D48"/>
    <w:rsid w:val="00E135F9"/>
    <w:rsid w:val="00E138CA"/>
    <w:rsid w:val="00E14349"/>
    <w:rsid w:val="00E14CDC"/>
    <w:rsid w:val="00E179AF"/>
    <w:rsid w:val="00E20C28"/>
    <w:rsid w:val="00E20C8A"/>
    <w:rsid w:val="00E22A77"/>
    <w:rsid w:val="00E22E84"/>
    <w:rsid w:val="00E23073"/>
    <w:rsid w:val="00E24B18"/>
    <w:rsid w:val="00E266FD"/>
    <w:rsid w:val="00E3016C"/>
    <w:rsid w:val="00E348BC"/>
    <w:rsid w:val="00E35DEB"/>
    <w:rsid w:val="00E368D7"/>
    <w:rsid w:val="00E374D5"/>
    <w:rsid w:val="00E4062E"/>
    <w:rsid w:val="00E4253A"/>
    <w:rsid w:val="00E4318F"/>
    <w:rsid w:val="00E4392E"/>
    <w:rsid w:val="00E45232"/>
    <w:rsid w:val="00E45914"/>
    <w:rsid w:val="00E4688B"/>
    <w:rsid w:val="00E513BB"/>
    <w:rsid w:val="00E5249A"/>
    <w:rsid w:val="00E52D44"/>
    <w:rsid w:val="00E54395"/>
    <w:rsid w:val="00E54741"/>
    <w:rsid w:val="00E55415"/>
    <w:rsid w:val="00E568E5"/>
    <w:rsid w:val="00E61A56"/>
    <w:rsid w:val="00E62DD4"/>
    <w:rsid w:val="00E6453F"/>
    <w:rsid w:val="00E659EF"/>
    <w:rsid w:val="00E6640E"/>
    <w:rsid w:val="00E70CBD"/>
    <w:rsid w:val="00E717E8"/>
    <w:rsid w:val="00E71EF3"/>
    <w:rsid w:val="00E73D81"/>
    <w:rsid w:val="00E74A4F"/>
    <w:rsid w:val="00E754F4"/>
    <w:rsid w:val="00E805BB"/>
    <w:rsid w:val="00E80E6E"/>
    <w:rsid w:val="00E82790"/>
    <w:rsid w:val="00E85E68"/>
    <w:rsid w:val="00E904AF"/>
    <w:rsid w:val="00E915C6"/>
    <w:rsid w:val="00E95C30"/>
    <w:rsid w:val="00EA0563"/>
    <w:rsid w:val="00EA136D"/>
    <w:rsid w:val="00EA2D3D"/>
    <w:rsid w:val="00EA5B84"/>
    <w:rsid w:val="00EA752D"/>
    <w:rsid w:val="00EB20F9"/>
    <w:rsid w:val="00EB24EB"/>
    <w:rsid w:val="00EB2CDD"/>
    <w:rsid w:val="00EB475B"/>
    <w:rsid w:val="00EB702D"/>
    <w:rsid w:val="00EB7E59"/>
    <w:rsid w:val="00EC7235"/>
    <w:rsid w:val="00ED06CC"/>
    <w:rsid w:val="00ED22C4"/>
    <w:rsid w:val="00ED2C8E"/>
    <w:rsid w:val="00ED2DE5"/>
    <w:rsid w:val="00ED3450"/>
    <w:rsid w:val="00ED379E"/>
    <w:rsid w:val="00ED44C5"/>
    <w:rsid w:val="00ED50A5"/>
    <w:rsid w:val="00ED75FE"/>
    <w:rsid w:val="00ED7680"/>
    <w:rsid w:val="00EE0424"/>
    <w:rsid w:val="00EE0D47"/>
    <w:rsid w:val="00EE25E9"/>
    <w:rsid w:val="00EE5358"/>
    <w:rsid w:val="00EE582B"/>
    <w:rsid w:val="00EE60A6"/>
    <w:rsid w:val="00EE7635"/>
    <w:rsid w:val="00EF14B8"/>
    <w:rsid w:val="00EF28C3"/>
    <w:rsid w:val="00EF71E9"/>
    <w:rsid w:val="00F006D2"/>
    <w:rsid w:val="00F00BD1"/>
    <w:rsid w:val="00F01FD9"/>
    <w:rsid w:val="00F049E6"/>
    <w:rsid w:val="00F04B07"/>
    <w:rsid w:val="00F05BA8"/>
    <w:rsid w:val="00F10190"/>
    <w:rsid w:val="00F1027B"/>
    <w:rsid w:val="00F11D86"/>
    <w:rsid w:val="00F125D7"/>
    <w:rsid w:val="00F16165"/>
    <w:rsid w:val="00F16853"/>
    <w:rsid w:val="00F16F13"/>
    <w:rsid w:val="00F17780"/>
    <w:rsid w:val="00F17CBB"/>
    <w:rsid w:val="00F17D26"/>
    <w:rsid w:val="00F23E9A"/>
    <w:rsid w:val="00F242D9"/>
    <w:rsid w:val="00F274AB"/>
    <w:rsid w:val="00F30DE3"/>
    <w:rsid w:val="00F34952"/>
    <w:rsid w:val="00F3605B"/>
    <w:rsid w:val="00F364AA"/>
    <w:rsid w:val="00F3715D"/>
    <w:rsid w:val="00F42010"/>
    <w:rsid w:val="00F43F24"/>
    <w:rsid w:val="00F44B62"/>
    <w:rsid w:val="00F5072C"/>
    <w:rsid w:val="00F50C72"/>
    <w:rsid w:val="00F50F24"/>
    <w:rsid w:val="00F51CBF"/>
    <w:rsid w:val="00F5270E"/>
    <w:rsid w:val="00F5411D"/>
    <w:rsid w:val="00F5601B"/>
    <w:rsid w:val="00F5604A"/>
    <w:rsid w:val="00F563D9"/>
    <w:rsid w:val="00F56D03"/>
    <w:rsid w:val="00F56D2B"/>
    <w:rsid w:val="00F57D2D"/>
    <w:rsid w:val="00F61882"/>
    <w:rsid w:val="00F62A49"/>
    <w:rsid w:val="00F64F0D"/>
    <w:rsid w:val="00F6695C"/>
    <w:rsid w:val="00F67FC3"/>
    <w:rsid w:val="00F7026A"/>
    <w:rsid w:val="00F70DA9"/>
    <w:rsid w:val="00F70EEA"/>
    <w:rsid w:val="00F71826"/>
    <w:rsid w:val="00F718F3"/>
    <w:rsid w:val="00F72B45"/>
    <w:rsid w:val="00F73B00"/>
    <w:rsid w:val="00F7785A"/>
    <w:rsid w:val="00F8088E"/>
    <w:rsid w:val="00F827F1"/>
    <w:rsid w:val="00F84737"/>
    <w:rsid w:val="00F85387"/>
    <w:rsid w:val="00F87B69"/>
    <w:rsid w:val="00F87ED6"/>
    <w:rsid w:val="00F90C95"/>
    <w:rsid w:val="00F9103E"/>
    <w:rsid w:val="00F95923"/>
    <w:rsid w:val="00F95F4B"/>
    <w:rsid w:val="00F96A39"/>
    <w:rsid w:val="00F97463"/>
    <w:rsid w:val="00FA1F37"/>
    <w:rsid w:val="00FA30C9"/>
    <w:rsid w:val="00FA4DC6"/>
    <w:rsid w:val="00FA5D99"/>
    <w:rsid w:val="00FA65C3"/>
    <w:rsid w:val="00FA79F5"/>
    <w:rsid w:val="00FB030E"/>
    <w:rsid w:val="00FB103B"/>
    <w:rsid w:val="00FB1D3B"/>
    <w:rsid w:val="00FB571F"/>
    <w:rsid w:val="00FB6D8E"/>
    <w:rsid w:val="00FB6F09"/>
    <w:rsid w:val="00FC3AA9"/>
    <w:rsid w:val="00FC42BA"/>
    <w:rsid w:val="00FC47F4"/>
    <w:rsid w:val="00FC508A"/>
    <w:rsid w:val="00FC6166"/>
    <w:rsid w:val="00FD08C1"/>
    <w:rsid w:val="00FD121C"/>
    <w:rsid w:val="00FD4390"/>
    <w:rsid w:val="00FD5254"/>
    <w:rsid w:val="00FD7A7A"/>
    <w:rsid w:val="00FE10C1"/>
    <w:rsid w:val="00FE190E"/>
    <w:rsid w:val="00FE20A9"/>
    <w:rsid w:val="00FE41AD"/>
    <w:rsid w:val="00FE48A9"/>
    <w:rsid w:val="00FE4AF1"/>
    <w:rsid w:val="00FE4DC6"/>
    <w:rsid w:val="00FE5E2B"/>
    <w:rsid w:val="00FE79E3"/>
    <w:rsid w:val="00FF08B7"/>
    <w:rsid w:val="00FF10F9"/>
    <w:rsid w:val="00FF12B8"/>
    <w:rsid w:val="00FF14C2"/>
    <w:rsid w:val="00FF2088"/>
    <w:rsid w:val="00FF3358"/>
    <w:rsid w:val="00FF37EC"/>
    <w:rsid w:val="00FF521D"/>
    <w:rsid w:val="00FF65D4"/>
    <w:rsid w:val="00FF68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9C5080"/>
    <w:pPr>
      <w:keepNext/>
      <w:keepLines/>
      <w:spacing w:before="280" w:after="80"/>
    </w:pPr>
    <w:rPr>
      <w:rFonts w:cs="Calibri Light"/>
      <w:b/>
      <w:noProof/>
      <w:color w:val="000000"/>
      <w:szCs w:val="18"/>
      <w14:textFill>
        <w14:solidFill>
          <w14:srgbClr w14:val="000000">
            <w14:lumMod w14:val="50000"/>
          </w14:srgbClr>
        </w14:solidFill>
      </w14:textFill>
    </w:rPr>
  </w:style>
  <w:style w:type="character" w:customStyle="1" w:styleId="CaptionChar">
    <w:name w:val="Caption Char"/>
    <w:aliases w:val="eTRM Caption Char"/>
    <w:link w:val="Caption"/>
    <w:locked/>
    <w:rsid w:val="009C5080"/>
    <w:rPr>
      <w:rFonts w:ascii="Calibri Light" w:hAnsi="Calibri Light" w:cs="Calibri Light"/>
      <w:b/>
      <w:noProof/>
      <w:color w:val="000000"/>
      <w:sz w:val="22"/>
      <w:szCs w:val="18"/>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B35FC3"/>
    <w:pPr>
      <w:jc w:val="both"/>
    </w:pPr>
  </w:style>
  <w:style w:type="character" w:customStyle="1" w:styleId="FigureCaptionChar">
    <w:name w:val="Figure Caption Char"/>
    <w:basedOn w:val="CaptionChar"/>
    <w:link w:val="FigureCaption"/>
    <w:rsid w:val="00B35FC3"/>
    <w:rPr>
      <w:rFonts w:ascii="Calibri Light" w:hAnsi="Calibri Light" w:cs="Calibri Light"/>
      <w:b/>
      <w:noProof/>
      <w:color w:val="000000"/>
      <w:sz w:val="22"/>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BD1CBE"/>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7159F3"/>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7159F3"/>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Table Contemporary Black Header"/>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C17B8E"/>
    <w:pPr>
      <w:keepNext/>
      <w:keepLines/>
      <w:spacing w:line="360" w:lineRule="exact"/>
      <w:jc w:val="center"/>
      <w:outlineLvl w:val="1"/>
    </w:pPr>
    <w:rPr>
      <w:rFonts w:eastAsiaTheme="majorEastAsia" w:cstheme="majorBidi"/>
      <w:caps/>
      <w:color w:val="FFFFFF" w:themeColor="background1"/>
      <w:spacing w:val="60"/>
      <w:sz w:val="28"/>
      <w:szCs w:val="28"/>
    </w:rPr>
  </w:style>
  <w:style w:type="character" w:customStyle="1" w:styleId="eTRMHeading2Char">
    <w:name w:val="eTRM Heading 2 Char"/>
    <w:basedOn w:val="DefaultParagraphFont"/>
    <w:link w:val="eTRMHeading2"/>
    <w:rsid w:val="00C17B8E"/>
    <w:rPr>
      <w:rFonts w:ascii="Calibri Light" w:eastAsiaTheme="majorEastAsia" w:hAnsi="Calibri Light" w:cstheme="majorBidi"/>
      <w:caps/>
      <w:color w:val="FFFFFF" w:themeColor="background1"/>
      <w:spacing w:val="60"/>
      <w:sz w:val="28"/>
      <w:szCs w:val="28"/>
    </w:rPr>
  </w:style>
  <w:style w:type="paragraph" w:customStyle="1" w:styleId="eTRMHeading3">
    <w:name w:val="eTRM Heading 3"/>
    <w:basedOn w:val="Heading3"/>
    <w:link w:val="eTRMHeading3Char"/>
    <w:autoRedefine/>
    <w:qFormat/>
    <w:rsid w:val="00A251C9"/>
    <w:pPr>
      <w:spacing w:before="240"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A251C9"/>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4B31A9"/>
    <w:pPr>
      <w:keepNext/>
      <w:keepLines/>
      <w:spacing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4B31A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paragraph" w:customStyle="1" w:styleId="reminders">
    <w:name w:val="reminders"/>
    <w:basedOn w:val="Normal"/>
    <w:rsid w:val="00D12F78"/>
    <w:pPr>
      <w:spacing w:before="100" w:beforeAutospacing="1" w:after="100" w:afterAutospacing="1" w:line="240" w:lineRule="auto"/>
    </w:pPr>
    <w:rPr>
      <w:rFonts w:ascii="Times New Roman" w:hAnsi="Times New Roman" w:cs="Times New Roman"/>
      <w:sz w:val="24"/>
    </w:rPr>
  </w:style>
  <w:style w:type="paragraph" w:customStyle="1" w:styleId="Reminders0">
    <w:name w:val="Reminders"/>
    <w:basedOn w:val="Normal"/>
    <w:link w:val="RemindersChar"/>
    <w:rsid w:val="00536A59"/>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0"/>
    <w:rsid w:val="00536A59"/>
    <w:rPr>
      <w:rFonts w:ascii="Trebuchet MS" w:eastAsia="Times New Roman" w:hAnsi="Trebuchet MS" w:cs="Times New Roman"/>
      <w:i/>
      <w:color w:val="FF0000"/>
      <w:sz w:val="22"/>
    </w:rPr>
  </w:style>
  <w:style w:type="table" w:customStyle="1" w:styleId="TableGrid1">
    <w:name w:val="Table Grid1"/>
    <w:basedOn w:val="TableNormal"/>
    <w:next w:val="TableGrid"/>
    <w:rsid w:val="00536A59"/>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870DB"/>
    <w:rPr>
      <w:sz w:val="18"/>
      <w:szCs w:val="18"/>
    </w:rPr>
  </w:style>
  <w:style w:type="paragraph" w:styleId="CommentText">
    <w:name w:val="annotation text"/>
    <w:basedOn w:val="Normal"/>
    <w:link w:val="CommentTextChar"/>
    <w:uiPriority w:val="99"/>
    <w:unhideWhenUsed/>
    <w:rsid w:val="001870DB"/>
    <w:pPr>
      <w:spacing w:line="240" w:lineRule="auto"/>
    </w:pPr>
    <w:rPr>
      <w:sz w:val="24"/>
    </w:rPr>
  </w:style>
  <w:style w:type="character" w:customStyle="1" w:styleId="CommentTextChar">
    <w:name w:val="Comment Text Char"/>
    <w:basedOn w:val="DefaultParagraphFont"/>
    <w:link w:val="CommentText"/>
    <w:uiPriority w:val="99"/>
    <w:rsid w:val="001870DB"/>
    <w:rPr>
      <w:rFonts w:ascii="Calibri Light" w:hAnsi="Calibri Light"/>
    </w:rPr>
  </w:style>
  <w:style w:type="paragraph" w:styleId="CommentSubject">
    <w:name w:val="annotation subject"/>
    <w:basedOn w:val="CommentText"/>
    <w:next w:val="CommentText"/>
    <w:link w:val="CommentSubjectChar"/>
    <w:uiPriority w:val="99"/>
    <w:semiHidden/>
    <w:unhideWhenUsed/>
    <w:rsid w:val="001870DB"/>
    <w:rPr>
      <w:b/>
      <w:bCs/>
      <w:sz w:val="20"/>
      <w:szCs w:val="20"/>
    </w:rPr>
  </w:style>
  <w:style w:type="character" w:customStyle="1" w:styleId="CommentSubjectChar">
    <w:name w:val="Comment Subject Char"/>
    <w:basedOn w:val="CommentTextChar"/>
    <w:link w:val="CommentSubject"/>
    <w:uiPriority w:val="99"/>
    <w:semiHidden/>
    <w:rsid w:val="001870DB"/>
    <w:rPr>
      <w:rFonts w:ascii="Calibri Light" w:hAnsi="Calibri Light"/>
      <w:b/>
      <w:bCs/>
      <w:sz w:val="20"/>
      <w:szCs w:val="20"/>
    </w:rPr>
  </w:style>
  <w:style w:type="paragraph" w:styleId="BalloonText">
    <w:name w:val="Balloon Text"/>
    <w:basedOn w:val="Normal"/>
    <w:link w:val="BalloonTextChar"/>
    <w:uiPriority w:val="99"/>
    <w:semiHidden/>
    <w:unhideWhenUsed/>
    <w:rsid w:val="001870DB"/>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870DB"/>
    <w:rPr>
      <w:rFonts w:ascii="Times New Roman" w:hAnsi="Times New Roman" w:cs="Times New Roman"/>
      <w:sz w:val="18"/>
      <w:szCs w:val="18"/>
    </w:rPr>
  </w:style>
  <w:style w:type="paragraph" w:customStyle="1" w:styleId="p1">
    <w:name w:val="p1"/>
    <w:basedOn w:val="Normal"/>
    <w:rsid w:val="00844429"/>
    <w:pPr>
      <w:spacing w:before="0" w:after="0" w:line="240" w:lineRule="auto"/>
    </w:pPr>
    <w:rPr>
      <w:rFonts w:ascii="Helvetica" w:hAnsi="Helvetica" w:cs="Times New Roman"/>
      <w:color w:val="936C00"/>
      <w:sz w:val="18"/>
      <w:szCs w:val="18"/>
    </w:rPr>
  </w:style>
  <w:style w:type="table" w:styleId="MediumList1">
    <w:name w:val="Medium List 1"/>
    <w:basedOn w:val="TableNormal"/>
    <w:uiPriority w:val="65"/>
    <w:rsid w:val="00251BFB"/>
    <w:rPr>
      <w:rFonts w:eastAsiaTheme="minorHAnsi"/>
      <w:color w:val="191919" w:themeColor="text1"/>
      <w:sz w:val="22"/>
      <w:szCs w:val="22"/>
    </w:rPr>
    <w:tblPr>
      <w:tblStyleRowBandSize w:val="1"/>
      <w:tblStyleColBandSize w:val="1"/>
      <w:tblBorders>
        <w:top w:val="single" w:sz="8" w:space="0" w:color="191919" w:themeColor="text1"/>
        <w:bottom w:val="single" w:sz="8" w:space="0" w:color="191919" w:themeColor="text1"/>
      </w:tblBorders>
    </w:tblPr>
    <w:tblStylePr w:type="firstRow">
      <w:rPr>
        <w:rFonts w:asciiTheme="majorHAnsi" w:eastAsiaTheme="majorEastAsia" w:hAnsiTheme="majorHAnsi" w:cstheme="majorBidi"/>
      </w:rPr>
      <w:tblPr/>
      <w:tcPr>
        <w:tcBorders>
          <w:top w:val="nil"/>
          <w:bottom w:val="single" w:sz="8" w:space="0" w:color="191919" w:themeColor="text1"/>
        </w:tcBorders>
      </w:tcPr>
    </w:tblStylePr>
    <w:tblStylePr w:type="lastRow">
      <w:rPr>
        <w:b/>
        <w:bCs/>
        <w:color w:val="ECECEF" w:themeColor="text2"/>
      </w:rPr>
      <w:tblPr/>
      <w:tcPr>
        <w:tcBorders>
          <w:top w:val="single" w:sz="8" w:space="0" w:color="191919" w:themeColor="text1"/>
          <w:bottom w:val="single" w:sz="8" w:space="0" w:color="191919" w:themeColor="text1"/>
        </w:tcBorders>
      </w:tcPr>
    </w:tblStylePr>
    <w:tblStylePr w:type="firstCol">
      <w:rPr>
        <w:b/>
        <w:bCs/>
      </w:rPr>
    </w:tblStylePr>
    <w:tblStylePr w:type="lastCol">
      <w:rPr>
        <w:b/>
        <w:bCs/>
      </w:rPr>
      <w:tblPr/>
      <w:tcPr>
        <w:tcBorders>
          <w:top w:val="single" w:sz="8" w:space="0" w:color="191919" w:themeColor="text1"/>
          <w:bottom w:val="single" w:sz="8" w:space="0" w:color="191919" w:themeColor="text1"/>
        </w:tcBorders>
      </w:tcPr>
    </w:tblStylePr>
    <w:tblStylePr w:type="band1Vert">
      <w:tblPr/>
      <w:tcPr>
        <w:shd w:val="clear" w:color="auto" w:fill="C6C6C6" w:themeFill="text1" w:themeFillTint="3F"/>
      </w:tcPr>
    </w:tblStylePr>
    <w:tblStylePr w:type="band1Horz">
      <w:tblPr/>
      <w:tcPr>
        <w:shd w:val="clear" w:color="auto" w:fill="C6C6C6" w:themeFill="text1" w:themeFillTint="3F"/>
      </w:tcPr>
    </w:tblStylePr>
  </w:style>
  <w:style w:type="character" w:customStyle="1" w:styleId="UnresolvedMention1">
    <w:name w:val="Unresolved Mention1"/>
    <w:basedOn w:val="DefaultParagraphFont"/>
    <w:uiPriority w:val="99"/>
    <w:rsid w:val="00BD4B5C"/>
    <w:rPr>
      <w:color w:val="808080"/>
      <w:shd w:val="clear" w:color="auto" w:fill="E6E6E6"/>
    </w:rPr>
  </w:style>
  <w:style w:type="character" w:styleId="PlaceholderText">
    <w:name w:val="Placeholder Text"/>
    <w:basedOn w:val="DefaultParagraphFont"/>
    <w:uiPriority w:val="99"/>
    <w:semiHidden/>
    <w:rsid w:val="004505F3"/>
    <w:rPr>
      <w:color w:val="808080"/>
    </w:rPr>
  </w:style>
  <w:style w:type="character" w:customStyle="1" w:styleId="normaltextrun1">
    <w:name w:val="normaltextrun1"/>
    <w:basedOn w:val="DefaultParagraphFont"/>
    <w:rsid w:val="006B7345"/>
  </w:style>
  <w:style w:type="character" w:customStyle="1" w:styleId="eop">
    <w:name w:val="eop"/>
    <w:basedOn w:val="DefaultParagraphFont"/>
    <w:rsid w:val="006B7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007677">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04942">
      <w:bodyDiv w:val="1"/>
      <w:marLeft w:val="0"/>
      <w:marRight w:val="0"/>
      <w:marTop w:val="0"/>
      <w:marBottom w:val="0"/>
      <w:divBdr>
        <w:top w:val="none" w:sz="0" w:space="0" w:color="auto"/>
        <w:left w:val="none" w:sz="0" w:space="0" w:color="auto"/>
        <w:bottom w:val="none" w:sz="0" w:space="0" w:color="auto"/>
        <w:right w:val="none" w:sz="0" w:space="0" w:color="auto"/>
      </w:divBdr>
    </w:div>
    <w:div w:id="166948772">
      <w:bodyDiv w:val="1"/>
      <w:marLeft w:val="0"/>
      <w:marRight w:val="0"/>
      <w:marTop w:val="0"/>
      <w:marBottom w:val="0"/>
      <w:divBdr>
        <w:top w:val="none" w:sz="0" w:space="0" w:color="auto"/>
        <w:left w:val="none" w:sz="0" w:space="0" w:color="auto"/>
        <w:bottom w:val="none" w:sz="0" w:space="0" w:color="auto"/>
        <w:right w:val="none" w:sz="0" w:space="0" w:color="auto"/>
      </w:divBdr>
    </w:div>
    <w:div w:id="179205576">
      <w:bodyDiv w:val="1"/>
      <w:marLeft w:val="0"/>
      <w:marRight w:val="0"/>
      <w:marTop w:val="0"/>
      <w:marBottom w:val="0"/>
      <w:divBdr>
        <w:top w:val="none" w:sz="0" w:space="0" w:color="auto"/>
        <w:left w:val="none" w:sz="0" w:space="0" w:color="auto"/>
        <w:bottom w:val="none" w:sz="0" w:space="0" w:color="auto"/>
        <w:right w:val="none" w:sz="0" w:space="0" w:color="auto"/>
      </w:divBdr>
    </w:div>
    <w:div w:id="332534727">
      <w:bodyDiv w:val="1"/>
      <w:marLeft w:val="0"/>
      <w:marRight w:val="0"/>
      <w:marTop w:val="0"/>
      <w:marBottom w:val="0"/>
      <w:divBdr>
        <w:top w:val="none" w:sz="0" w:space="0" w:color="auto"/>
        <w:left w:val="none" w:sz="0" w:space="0" w:color="auto"/>
        <w:bottom w:val="none" w:sz="0" w:space="0" w:color="auto"/>
        <w:right w:val="none" w:sz="0" w:space="0" w:color="auto"/>
      </w:divBdr>
    </w:div>
    <w:div w:id="588347127">
      <w:bodyDiv w:val="1"/>
      <w:marLeft w:val="0"/>
      <w:marRight w:val="0"/>
      <w:marTop w:val="0"/>
      <w:marBottom w:val="0"/>
      <w:divBdr>
        <w:top w:val="none" w:sz="0" w:space="0" w:color="auto"/>
        <w:left w:val="none" w:sz="0" w:space="0" w:color="auto"/>
        <w:bottom w:val="none" w:sz="0" w:space="0" w:color="auto"/>
        <w:right w:val="none" w:sz="0" w:space="0" w:color="auto"/>
      </w:divBdr>
    </w:div>
    <w:div w:id="756558895">
      <w:bodyDiv w:val="1"/>
      <w:marLeft w:val="0"/>
      <w:marRight w:val="0"/>
      <w:marTop w:val="0"/>
      <w:marBottom w:val="0"/>
      <w:divBdr>
        <w:top w:val="none" w:sz="0" w:space="0" w:color="auto"/>
        <w:left w:val="none" w:sz="0" w:space="0" w:color="auto"/>
        <w:bottom w:val="none" w:sz="0" w:space="0" w:color="auto"/>
        <w:right w:val="none" w:sz="0" w:space="0" w:color="auto"/>
      </w:divBdr>
    </w:div>
    <w:div w:id="811560166">
      <w:bodyDiv w:val="1"/>
      <w:marLeft w:val="0"/>
      <w:marRight w:val="0"/>
      <w:marTop w:val="0"/>
      <w:marBottom w:val="0"/>
      <w:divBdr>
        <w:top w:val="none" w:sz="0" w:space="0" w:color="auto"/>
        <w:left w:val="none" w:sz="0" w:space="0" w:color="auto"/>
        <w:bottom w:val="none" w:sz="0" w:space="0" w:color="auto"/>
        <w:right w:val="none" w:sz="0" w:space="0" w:color="auto"/>
      </w:divBdr>
    </w:div>
    <w:div w:id="835073112">
      <w:bodyDiv w:val="1"/>
      <w:marLeft w:val="0"/>
      <w:marRight w:val="0"/>
      <w:marTop w:val="0"/>
      <w:marBottom w:val="0"/>
      <w:divBdr>
        <w:top w:val="none" w:sz="0" w:space="0" w:color="auto"/>
        <w:left w:val="none" w:sz="0" w:space="0" w:color="auto"/>
        <w:bottom w:val="none" w:sz="0" w:space="0" w:color="auto"/>
        <w:right w:val="none" w:sz="0" w:space="0" w:color="auto"/>
      </w:divBdr>
    </w:div>
    <w:div w:id="898370570">
      <w:bodyDiv w:val="1"/>
      <w:marLeft w:val="0"/>
      <w:marRight w:val="0"/>
      <w:marTop w:val="0"/>
      <w:marBottom w:val="0"/>
      <w:divBdr>
        <w:top w:val="none" w:sz="0" w:space="0" w:color="auto"/>
        <w:left w:val="none" w:sz="0" w:space="0" w:color="auto"/>
        <w:bottom w:val="none" w:sz="0" w:space="0" w:color="auto"/>
        <w:right w:val="none" w:sz="0" w:space="0" w:color="auto"/>
      </w:divBdr>
    </w:div>
    <w:div w:id="900873827">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4622">
      <w:bodyDiv w:val="1"/>
      <w:marLeft w:val="0"/>
      <w:marRight w:val="0"/>
      <w:marTop w:val="0"/>
      <w:marBottom w:val="0"/>
      <w:divBdr>
        <w:top w:val="none" w:sz="0" w:space="0" w:color="auto"/>
        <w:left w:val="none" w:sz="0" w:space="0" w:color="auto"/>
        <w:bottom w:val="none" w:sz="0" w:space="0" w:color="auto"/>
        <w:right w:val="none" w:sz="0" w:space="0" w:color="auto"/>
      </w:divBdr>
      <w:divsChild>
        <w:div w:id="442775454">
          <w:marLeft w:val="0"/>
          <w:marRight w:val="0"/>
          <w:marTop w:val="0"/>
          <w:marBottom w:val="0"/>
          <w:divBdr>
            <w:top w:val="none" w:sz="0" w:space="0" w:color="auto"/>
            <w:left w:val="none" w:sz="0" w:space="0" w:color="auto"/>
            <w:bottom w:val="none" w:sz="0" w:space="0" w:color="auto"/>
            <w:right w:val="none" w:sz="0" w:space="0" w:color="auto"/>
          </w:divBdr>
        </w:div>
        <w:div w:id="1193835314">
          <w:marLeft w:val="0"/>
          <w:marRight w:val="0"/>
          <w:marTop w:val="0"/>
          <w:marBottom w:val="0"/>
          <w:divBdr>
            <w:top w:val="none" w:sz="0" w:space="0" w:color="auto"/>
            <w:left w:val="none" w:sz="0" w:space="0" w:color="auto"/>
            <w:bottom w:val="none" w:sz="0" w:space="0" w:color="auto"/>
            <w:right w:val="none" w:sz="0" w:space="0" w:color="auto"/>
          </w:divBdr>
        </w:div>
      </w:divsChild>
    </w:div>
    <w:div w:id="156421352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52175490">
      <w:bodyDiv w:val="1"/>
      <w:marLeft w:val="0"/>
      <w:marRight w:val="0"/>
      <w:marTop w:val="0"/>
      <w:marBottom w:val="0"/>
      <w:divBdr>
        <w:top w:val="none" w:sz="0" w:space="0" w:color="auto"/>
        <w:left w:val="none" w:sz="0" w:space="0" w:color="auto"/>
        <w:bottom w:val="none" w:sz="0" w:space="0" w:color="auto"/>
        <w:right w:val="none" w:sz="0" w:space="0" w:color="auto"/>
      </w:divBdr>
    </w:div>
    <w:div w:id="1687831815">
      <w:bodyDiv w:val="1"/>
      <w:marLeft w:val="0"/>
      <w:marRight w:val="0"/>
      <w:marTop w:val="0"/>
      <w:marBottom w:val="0"/>
      <w:divBdr>
        <w:top w:val="none" w:sz="0" w:space="0" w:color="auto"/>
        <w:left w:val="none" w:sz="0" w:space="0" w:color="auto"/>
        <w:bottom w:val="none" w:sz="0" w:space="0" w:color="auto"/>
        <w:right w:val="none" w:sz="0" w:space="0" w:color="auto"/>
      </w:divBdr>
    </w:div>
    <w:div w:id="1721896742">
      <w:bodyDiv w:val="1"/>
      <w:marLeft w:val="0"/>
      <w:marRight w:val="0"/>
      <w:marTop w:val="0"/>
      <w:marBottom w:val="0"/>
      <w:divBdr>
        <w:top w:val="none" w:sz="0" w:space="0" w:color="auto"/>
        <w:left w:val="none" w:sz="0" w:space="0" w:color="auto"/>
        <w:bottom w:val="none" w:sz="0" w:space="0" w:color="auto"/>
        <w:right w:val="none" w:sz="0" w:space="0" w:color="auto"/>
      </w:divBdr>
    </w:div>
    <w:div w:id="1750810179">
      <w:bodyDiv w:val="1"/>
      <w:marLeft w:val="0"/>
      <w:marRight w:val="0"/>
      <w:marTop w:val="0"/>
      <w:marBottom w:val="0"/>
      <w:divBdr>
        <w:top w:val="none" w:sz="0" w:space="0" w:color="auto"/>
        <w:left w:val="none" w:sz="0" w:space="0" w:color="auto"/>
        <w:bottom w:val="none" w:sz="0" w:space="0" w:color="auto"/>
        <w:right w:val="none" w:sz="0" w:space="0" w:color="auto"/>
      </w:divBdr>
    </w:div>
    <w:div w:id="1872835874">
      <w:bodyDiv w:val="1"/>
      <w:marLeft w:val="0"/>
      <w:marRight w:val="0"/>
      <w:marTop w:val="0"/>
      <w:marBottom w:val="0"/>
      <w:divBdr>
        <w:top w:val="none" w:sz="0" w:space="0" w:color="auto"/>
        <w:left w:val="none" w:sz="0" w:space="0" w:color="auto"/>
        <w:bottom w:val="none" w:sz="0" w:space="0" w:color="auto"/>
        <w:right w:val="none" w:sz="0" w:space="0" w:color="auto"/>
      </w:divBdr>
    </w:div>
    <w:div w:id="1902328907">
      <w:bodyDiv w:val="1"/>
      <w:marLeft w:val="0"/>
      <w:marRight w:val="0"/>
      <w:marTop w:val="0"/>
      <w:marBottom w:val="0"/>
      <w:divBdr>
        <w:top w:val="none" w:sz="0" w:space="0" w:color="auto"/>
        <w:left w:val="none" w:sz="0" w:space="0" w:color="auto"/>
        <w:bottom w:val="none" w:sz="0" w:space="0" w:color="auto"/>
        <w:right w:val="none" w:sz="0" w:space="0" w:color="auto"/>
      </w:divBdr>
    </w:div>
    <w:div w:id="21057598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1F656856-95D3-45B7-B94B-6BF58E81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776</TotalTime>
  <Pages>15</Pages>
  <Words>3722</Words>
  <Characters>21219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24892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8</cp:revision>
  <cp:lastPrinted>2018-02-11T02:49:00Z</cp:lastPrinted>
  <dcterms:created xsi:type="dcterms:W3CDTF">2020-11-29T17:36:00Z</dcterms:created>
  <dcterms:modified xsi:type="dcterms:W3CDTF">2021-01-20T17:11:00Z</dcterms:modified>
  <cp:category/>
</cp:coreProperties>
</file>