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5BD15B" w14:textId="77777777" w:rsidR="007E4447" w:rsidRDefault="004C6125">
      <w:pPr>
        <w:pStyle w:val="BodyText"/>
        <w:ind w:left="4040"/>
        <w:rPr>
          <w:rFonts w:ascii="Times New Roman"/>
          <w:sz w:val="20"/>
        </w:rPr>
      </w:pPr>
      <w:r>
        <w:rPr>
          <w:rFonts w:ascii="Times New Roman"/>
          <w:noProof/>
          <w:sz w:val="20"/>
        </w:rPr>
        <w:drawing>
          <wp:inline distT="0" distB="0" distL="0" distR="0" wp14:anchorId="56629D56" wp14:editId="203ACDBA">
            <wp:extent cx="874473"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874473" cy="1399031"/>
                    </a:xfrm>
                    <a:prstGeom prst="rect">
                      <a:avLst/>
                    </a:prstGeom>
                  </pic:spPr>
                </pic:pic>
              </a:graphicData>
            </a:graphic>
          </wp:inline>
        </w:drawing>
      </w:r>
    </w:p>
    <w:p w14:paraId="477B7CDB" w14:textId="77777777" w:rsidR="007E4447" w:rsidRDefault="00193F71">
      <w:pPr>
        <w:pStyle w:val="BodyText"/>
        <w:spacing w:before="10"/>
        <w:rPr>
          <w:rFonts w:ascii="Times New Roman"/>
          <w:sz w:val="9"/>
        </w:rPr>
      </w:pPr>
      <w:r>
        <w:rPr>
          <w:noProof/>
        </w:rPr>
        <mc:AlternateContent>
          <mc:Choice Requires="wps">
            <w:drawing>
              <wp:anchor distT="0" distB="0" distL="0" distR="0" simplePos="0" relativeHeight="251658240" behindDoc="1" locked="0" layoutInCell="1" allowOverlap="1" wp14:anchorId="0AF3181D" wp14:editId="2AF0C536">
                <wp:simplePos x="0" y="0"/>
                <wp:positionH relativeFrom="page">
                  <wp:posOffset>1076325</wp:posOffset>
                </wp:positionH>
                <wp:positionV relativeFrom="paragraph">
                  <wp:posOffset>87630</wp:posOffset>
                </wp:positionV>
                <wp:extent cx="5783580" cy="1165225"/>
                <wp:effectExtent l="0" t="0" r="0" b="0"/>
                <wp:wrapTopAndBottom/>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1165225"/>
                        </a:xfrm>
                        <a:prstGeom prst="rect">
                          <a:avLst/>
                        </a:prstGeom>
                        <a:solidFill>
                          <a:srgbClr val="8DC5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EC9138" w14:textId="77777777" w:rsidR="007E4447" w:rsidRDefault="004C6125">
                            <w:pPr>
                              <w:spacing w:before="110"/>
                              <w:ind w:left="425" w:right="484"/>
                              <w:jc w:val="center"/>
                              <w:rPr>
                                <w:rFonts w:ascii="Calibri"/>
                                <w:b/>
                                <w:sz w:val="28"/>
                              </w:rPr>
                            </w:pPr>
                            <w:r>
                              <w:rPr>
                                <w:rFonts w:ascii="Calibri"/>
                                <w:b/>
                                <w:color w:val="FFFFFF"/>
                                <w:sz w:val="28"/>
                              </w:rPr>
                              <w:t>H V A C</w:t>
                            </w:r>
                          </w:p>
                          <w:p w14:paraId="0E8BD0BD" w14:textId="77777777" w:rsidR="007E4447" w:rsidRDefault="004C6125">
                            <w:pPr>
                              <w:spacing w:before="117" w:line="220" w:lineRule="auto"/>
                              <w:ind w:left="425" w:right="489"/>
                              <w:jc w:val="center"/>
                              <w:rPr>
                                <w:sz w:val="32"/>
                              </w:rPr>
                            </w:pPr>
                            <w:r>
                              <w:rPr>
                                <w:color w:val="FFFFFF"/>
                                <w:sz w:val="32"/>
                              </w:rPr>
                              <w:t>S</w:t>
                            </w:r>
                            <w:r>
                              <w:rPr>
                                <w:color w:val="FFFFFF"/>
                                <w:spacing w:val="-15"/>
                                <w:sz w:val="32"/>
                              </w:rPr>
                              <w:t xml:space="preserve"> </w:t>
                            </w:r>
                            <w:r>
                              <w:rPr>
                                <w:color w:val="FFFFFF"/>
                                <w:sz w:val="32"/>
                              </w:rPr>
                              <w:t>O</w:t>
                            </w:r>
                            <w:r>
                              <w:rPr>
                                <w:color w:val="FFFFFF"/>
                                <w:spacing w:val="-13"/>
                                <w:sz w:val="32"/>
                              </w:rPr>
                              <w:t xml:space="preserve"> </w:t>
                            </w:r>
                            <w:r>
                              <w:rPr>
                                <w:color w:val="FFFFFF"/>
                                <w:sz w:val="32"/>
                              </w:rPr>
                              <w:t>F</w:t>
                            </w:r>
                            <w:r>
                              <w:rPr>
                                <w:color w:val="FFFFFF"/>
                                <w:spacing w:val="-14"/>
                                <w:sz w:val="32"/>
                              </w:rPr>
                              <w:t xml:space="preserve"> </w:t>
                            </w:r>
                            <w:r>
                              <w:rPr>
                                <w:color w:val="FFFFFF"/>
                                <w:sz w:val="32"/>
                              </w:rPr>
                              <w:t>T</w:t>
                            </w:r>
                            <w:r>
                              <w:rPr>
                                <w:color w:val="FFFFFF"/>
                                <w:spacing w:val="-11"/>
                                <w:sz w:val="32"/>
                              </w:rPr>
                              <w:t xml:space="preserve"> </w:t>
                            </w:r>
                            <w:r>
                              <w:rPr>
                                <w:color w:val="FFFFFF"/>
                                <w:sz w:val="32"/>
                              </w:rPr>
                              <w:t>W</w:t>
                            </w:r>
                            <w:r>
                              <w:rPr>
                                <w:color w:val="FFFFFF"/>
                                <w:spacing w:val="-13"/>
                                <w:sz w:val="32"/>
                              </w:rPr>
                              <w:t xml:space="preserve"> </w:t>
                            </w:r>
                            <w:r>
                              <w:rPr>
                                <w:color w:val="FFFFFF"/>
                                <w:sz w:val="32"/>
                              </w:rPr>
                              <w:t>A</w:t>
                            </w:r>
                            <w:r>
                              <w:rPr>
                                <w:color w:val="FFFFFF"/>
                                <w:spacing w:val="-14"/>
                                <w:sz w:val="32"/>
                              </w:rPr>
                              <w:t xml:space="preserve"> </w:t>
                            </w:r>
                            <w:r>
                              <w:rPr>
                                <w:color w:val="FFFFFF"/>
                                <w:sz w:val="32"/>
                              </w:rPr>
                              <w:t>R</w:t>
                            </w:r>
                            <w:r>
                              <w:rPr>
                                <w:color w:val="FFFFFF"/>
                                <w:spacing w:val="-13"/>
                                <w:sz w:val="32"/>
                              </w:rPr>
                              <w:t xml:space="preserve"> </w:t>
                            </w:r>
                            <w:r>
                              <w:rPr>
                                <w:color w:val="FFFFFF"/>
                                <w:sz w:val="32"/>
                              </w:rPr>
                              <w:t>E</w:t>
                            </w:r>
                            <w:r>
                              <w:rPr>
                                <w:color w:val="FFFFFF"/>
                                <w:spacing w:val="-11"/>
                                <w:sz w:val="32"/>
                              </w:rPr>
                              <w:t xml:space="preserve"> </w:t>
                            </w:r>
                            <w:r>
                              <w:rPr>
                                <w:color w:val="FFFFFF"/>
                                <w:sz w:val="32"/>
                              </w:rPr>
                              <w:t>-</w:t>
                            </w:r>
                            <w:r>
                              <w:rPr>
                                <w:color w:val="FFFFFF"/>
                                <w:spacing w:val="-12"/>
                                <w:sz w:val="32"/>
                              </w:rPr>
                              <w:t xml:space="preserve"> </w:t>
                            </w:r>
                            <w:r>
                              <w:rPr>
                                <w:color w:val="FFFFFF"/>
                                <w:sz w:val="32"/>
                              </w:rPr>
                              <w:t>C</w:t>
                            </w:r>
                            <w:r>
                              <w:rPr>
                                <w:color w:val="FFFFFF"/>
                                <w:spacing w:val="-11"/>
                                <w:sz w:val="32"/>
                              </w:rPr>
                              <w:t xml:space="preserve"> </w:t>
                            </w:r>
                            <w:r>
                              <w:rPr>
                                <w:color w:val="FFFFFF"/>
                                <w:sz w:val="32"/>
                              </w:rPr>
                              <w:t>O</w:t>
                            </w:r>
                            <w:r>
                              <w:rPr>
                                <w:color w:val="FFFFFF"/>
                                <w:spacing w:val="-14"/>
                                <w:sz w:val="32"/>
                              </w:rPr>
                              <w:t xml:space="preserve"> </w:t>
                            </w:r>
                            <w:r>
                              <w:rPr>
                                <w:color w:val="FFFFFF"/>
                                <w:sz w:val="32"/>
                              </w:rPr>
                              <w:t>N</w:t>
                            </w:r>
                            <w:r>
                              <w:rPr>
                                <w:color w:val="FFFFFF"/>
                                <w:spacing w:val="-13"/>
                                <w:sz w:val="32"/>
                              </w:rPr>
                              <w:t xml:space="preserve"> </w:t>
                            </w:r>
                            <w:r>
                              <w:rPr>
                                <w:color w:val="FFFFFF"/>
                                <w:sz w:val="32"/>
                              </w:rPr>
                              <w:t>T</w:t>
                            </w:r>
                            <w:r>
                              <w:rPr>
                                <w:color w:val="FFFFFF"/>
                                <w:spacing w:val="-15"/>
                                <w:sz w:val="32"/>
                              </w:rPr>
                              <w:t xml:space="preserve"> </w:t>
                            </w:r>
                            <w:r>
                              <w:rPr>
                                <w:color w:val="FFFFFF"/>
                                <w:sz w:val="32"/>
                              </w:rPr>
                              <w:t>R</w:t>
                            </w:r>
                            <w:r>
                              <w:rPr>
                                <w:color w:val="FFFFFF"/>
                                <w:spacing w:val="-13"/>
                                <w:sz w:val="32"/>
                              </w:rPr>
                              <w:t xml:space="preserve"> </w:t>
                            </w:r>
                            <w:r>
                              <w:rPr>
                                <w:color w:val="FFFFFF"/>
                                <w:sz w:val="32"/>
                              </w:rPr>
                              <w:t>O</w:t>
                            </w:r>
                            <w:r>
                              <w:rPr>
                                <w:color w:val="FFFFFF"/>
                                <w:spacing w:val="-13"/>
                                <w:sz w:val="32"/>
                              </w:rPr>
                              <w:t xml:space="preserve"> </w:t>
                            </w:r>
                            <w:r>
                              <w:rPr>
                                <w:color w:val="FFFFFF"/>
                                <w:sz w:val="32"/>
                              </w:rPr>
                              <w:t>L</w:t>
                            </w:r>
                            <w:r>
                              <w:rPr>
                                <w:color w:val="FFFFFF"/>
                                <w:spacing w:val="-13"/>
                                <w:sz w:val="32"/>
                              </w:rPr>
                              <w:t xml:space="preserve"> </w:t>
                            </w:r>
                            <w:r>
                              <w:rPr>
                                <w:color w:val="FFFFFF"/>
                                <w:sz w:val="32"/>
                              </w:rPr>
                              <w:t>L</w:t>
                            </w:r>
                            <w:r>
                              <w:rPr>
                                <w:color w:val="FFFFFF"/>
                                <w:spacing w:val="-12"/>
                                <w:sz w:val="32"/>
                              </w:rPr>
                              <w:t xml:space="preserve"> </w:t>
                            </w:r>
                            <w:r>
                              <w:rPr>
                                <w:color w:val="FFFFFF"/>
                                <w:sz w:val="32"/>
                              </w:rPr>
                              <w:t>E</w:t>
                            </w:r>
                            <w:r>
                              <w:rPr>
                                <w:color w:val="FFFFFF"/>
                                <w:spacing w:val="-13"/>
                                <w:sz w:val="32"/>
                              </w:rPr>
                              <w:t xml:space="preserve"> </w:t>
                            </w:r>
                            <w:r>
                              <w:rPr>
                                <w:color w:val="FFFFFF"/>
                                <w:sz w:val="32"/>
                              </w:rPr>
                              <w:t>D</w:t>
                            </w:r>
                            <w:r>
                              <w:rPr>
                                <w:color w:val="FFFFFF"/>
                                <w:spacing w:val="46"/>
                                <w:sz w:val="32"/>
                              </w:rPr>
                              <w:t xml:space="preserve"> </w:t>
                            </w:r>
                            <w:r>
                              <w:rPr>
                                <w:color w:val="FFFFFF"/>
                                <w:sz w:val="32"/>
                              </w:rPr>
                              <w:t>S</w:t>
                            </w:r>
                            <w:r>
                              <w:rPr>
                                <w:color w:val="FFFFFF"/>
                                <w:spacing w:val="-12"/>
                                <w:sz w:val="32"/>
                              </w:rPr>
                              <w:t xml:space="preserve"> </w:t>
                            </w:r>
                            <w:r>
                              <w:rPr>
                                <w:color w:val="FFFFFF"/>
                                <w:sz w:val="32"/>
                              </w:rPr>
                              <w:t>W</w:t>
                            </w:r>
                            <w:r>
                              <w:rPr>
                                <w:color w:val="FFFFFF"/>
                                <w:spacing w:val="-13"/>
                                <w:sz w:val="32"/>
                              </w:rPr>
                              <w:t xml:space="preserve"> </w:t>
                            </w:r>
                            <w:r>
                              <w:rPr>
                                <w:color w:val="FFFFFF"/>
                                <w:sz w:val="32"/>
                              </w:rPr>
                              <w:t>I</w:t>
                            </w:r>
                            <w:r>
                              <w:rPr>
                                <w:color w:val="FFFFFF"/>
                                <w:spacing w:val="-15"/>
                                <w:sz w:val="32"/>
                              </w:rPr>
                              <w:t xml:space="preserve"> </w:t>
                            </w:r>
                            <w:r>
                              <w:rPr>
                                <w:color w:val="FFFFFF"/>
                                <w:sz w:val="32"/>
                              </w:rPr>
                              <w:t>T</w:t>
                            </w:r>
                            <w:r>
                              <w:rPr>
                                <w:color w:val="FFFFFF"/>
                                <w:spacing w:val="-11"/>
                                <w:sz w:val="32"/>
                              </w:rPr>
                              <w:t xml:space="preserve"> </w:t>
                            </w:r>
                            <w:r>
                              <w:rPr>
                                <w:color w:val="FFFFFF"/>
                                <w:sz w:val="32"/>
                              </w:rPr>
                              <w:t>C</w:t>
                            </w:r>
                            <w:r>
                              <w:rPr>
                                <w:color w:val="FFFFFF"/>
                                <w:spacing w:val="-14"/>
                                <w:sz w:val="32"/>
                              </w:rPr>
                              <w:t xml:space="preserve"> </w:t>
                            </w:r>
                            <w:r>
                              <w:rPr>
                                <w:color w:val="FFFFFF"/>
                                <w:sz w:val="32"/>
                              </w:rPr>
                              <w:t>H</w:t>
                            </w:r>
                            <w:r>
                              <w:rPr>
                                <w:color w:val="FFFFFF"/>
                                <w:spacing w:val="47"/>
                                <w:sz w:val="32"/>
                              </w:rPr>
                              <w:t xml:space="preserve"> </w:t>
                            </w:r>
                            <w:r>
                              <w:rPr>
                                <w:color w:val="FFFFFF"/>
                                <w:sz w:val="32"/>
                              </w:rPr>
                              <w:t>R</w:t>
                            </w:r>
                            <w:r>
                              <w:rPr>
                                <w:color w:val="FFFFFF"/>
                                <w:spacing w:val="-14"/>
                                <w:sz w:val="32"/>
                              </w:rPr>
                              <w:t xml:space="preserve"> </w:t>
                            </w:r>
                            <w:r>
                              <w:rPr>
                                <w:color w:val="FFFFFF"/>
                                <w:sz w:val="32"/>
                              </w:rPr>
                              <w:t>E</w:t>
                            </w:r>
                            <w:r>
                              <w:rPr>
                                <w:color w:val="FFFFFF"/>
                                <w:spacing w:val="-7"/>
                                <w:sz w:val="32"/>
                              </w:rPr>
                              <w:t xml:space="preserve"> </w:t>
                            </w:r>
                            <w:r>
                              <w:rPr>
                                <w:color w:val="FFFFFF"/>
                                <w:sz w:val="32"/>
                              </w:rPr>
                              <w:t>L</w:t>
                            </w:r>
                            <w:r>
                              <w:rPr>
                                <w:color w:val="FFFFFF"/>
                                <w:spacing w:val="-12"/>
                                <w:sz w:val="32"/>
                              </w:rPr>
                              <w:t xml:space="preserve"> </w:t>
                            </w:r>
                            <w:r>
                              <w:rPr>
                                <w:color w:val="FFFFFF"/>
                                <w:sz w:val="32"/>
                              </w:rPr>
                              <w:t>U</w:t>
                            </w:r>
                            <w:r>
                              <w:rPr>
                                <w:color w:val="FFFFFF"/>
                                <w:spacing w:val="-13"/>
                                <w:sz w:val="32"/>
                              </w:rPr>
                              <w:t xml:space="preserve"> </w:t>
                            </w:r>
                            <w:r>
                              <w:rPr>
                                <w:color w:val="FFFFFF"/>
                                <w:sz w:val="32"/>
                              </w:rPr>
                              <w:t>C</w:t>
                            </w:r>
                            <w:r>
                              <w:rPr>
                                <w:color w:val="FFFFFF"/>
                                <w:spacing w:val="-11"/>
                                <w:sz w:val="32"/>
                              </w:rPr>
                              <w:t xml:space="preserve"> </w:t>
                            </w:r>
                            <w:r>
                              <w:rPr>
                                <w:color w:val="FFFFFF"/>
                                <w:sz w:val="32"/>
                              </w:rPr>
                              <w:t>T</w:t>
                            </w:r>
                            <w:r>
                              <w:rPr>
                                <w:color w:val="FFFFFF"/>
                                <w:spacing w:val="-15"/>
                                <w:sz w:val="32"/>
                              </w:rPr>
                              <w:t xml:space="preserve"> </w:t>
                            </w:r>
                            <w:r>
                              <w:rPr>
                                <w:color w:val="FFFFFF"/>
                                <w:sz w:val="32"/>
                              </w:rPr>
                              <w:t>A</w:t>
                            </w:r>
                            <w:r>
                              <w:rPr>
                                <w:color w:val="FFFFFF"/>
                                <w:spacing w:val="-13"/>
                                <w:sz w:val="32"/>
                              </w:rPr>
                              <w:t xml:space="preserve"> </w:t>
                            </w:r>
                            <w:r>
                              <w:rPr>
                                <w:color w:val="FFFFFF"/>
                                <w:sz w:val="32"/>
                              </w:rPr>
                              <w:t>N</w:t>
                            </w:r>
                            <w:r>
                              <w:rPr>
                                <w:color w:val="FFFFFF"/>
                                <w:spacing w:val="-13"/>
                                <w:sz w:val="32"/>
                              </w:rPr>
                              <w:t xml:space="preserve"> </w:t>
                            </w:r>
                            <w:r>
                              <w:rPr>
                                <w:color w:val="FFFFFF"/>
                                <w:sz w:val="32"/>
                              </w:rPr>
                              <w:t>C</w:t>
                            </w:r>
                            <w:r>
                              <w:rPr>
                                <w:color w:val="FFFFFF"/>
                                <w:spacing w:val="-15"/>
                                <w:sz w:val="32"/>
                              </w:rPr>
                              <w:t xml:space="preserve"> </w:t>
                            </w:r>
                            <w:r>
                              <w:rPr>
                                <w:color w:val="FFFFFF"/>
                                <w:sz w:val="32"/>
                              </w:rPr>
                              <w:t>E M O T O</w:t>
                            </w:r>
                            <w:r>
                              <w:rPr>
                                <w:color w:val="FFFFFF"/>
                                <w:spacing w:val="-52"/>
                                <w:sz w:val="32"/>
                              </w:rPr>
                              <w:t xml:space="preserve"> </w:t>
                            </w:r>
                            <w:r>
                              <w:rPr>
                                <w:color w:val="FFFFFF"/>
                                <w:sz w:val="32"/>
                              </w:rPr>
                              <w:t>R</w:t>
                            </w:r>
                          </w:p>
                          <w:p w14:paraId="24D38967" w14:textId="77777777" w:rsidR="007E4447" w:rsidRDefault="004C6125">
                            <w:pPr>
                              <w:spacing w:before="136"/>
                              <w:ind w:left="425" w:right="425"/>
                              <w:jc w:val="center"/>
                              <w:rPr>
                                <w:sz w:val="28"/>
                              </w:rPr>
                            </w:pPr>
                            <w:r>
                              <w:rPr>
                                <w:color w:val="FFFFFF"/>
                                <w:sz w:val="28"/>
                              </w:rPr>
                              <w:t>SWHC041-0</w:t>
                            </w:r>
                            <w:r w:rsidR="00F91481">
                              <w:rPr>
                                <w:color w:val="FFFFFF"/>
                                <w:sz w:val="2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84.75pt;margin-top:6.9pt;width:455.4pt;height:91.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" fillcolor="#8dc53e" stroked="f">
                <v:textbox inset="0,0,0,0">
                  <w:txbxContent>
                    <w:p w:rsidR="007E4447" w:rsidRDefault="004C6125">
                      <w:pPr>
                        <w:spacing w:before="110"/>
                        <w:ind w:left="425" w:right="484"/>
                        <w:jc w:val="center"/>
                        <w:rPr>
                          <w:rFonts w:ascii="Calibri"/>
                          <w:b/>
                          <w:sz w:val="28"/>
                        </w:rPr>
                      </w:pPr>
                      <w:r>
                        <w:rPr>
                          <w:rFonts w:ascii="Calibri"/>
                          <w:b/>
                          <w:color w:val="FFFFFF"/>
                          <w:sz w:val="28"/>
                        </w:rPr>
                        <w:t>H V A C</w:t>
                      </w:r>
                    </w:p>
                    <w:p w:rsidR="007E4447" w:rsidRDefault="004C6125">
                      <w:pPr>
                        <w:spacing w:before="117" w:line="220" w:lineRule="auto"/>
                        <w:ind w:left="425" w:right="489"/>
                        <w:jc w:val="center"/>
                        <w:rPr>
                          <w:sz w:val="32"/>
                        </w:rPr>
                      </w:pPr>
                      <w:r>
                        <w:rPr>
                          <w:color w:val="FFFFFF"/>
                          <w:sz w:val="32"/>
                        </w:rPr>
                        <w:t>S</w:t>
                      </w:r>
                      <w:r>
                        <w:rPr>
                          <w:color w:val="FFFFFF"/>
                          <w:spacing w:val="-15"/>
                          <w:sz w:val="32"/>
                        </w:rPr>
                        <w:t xml:space="preserve"> </w:t>
                      </w:r>
                      <w:r>
                        <w:rPr>
                          <w:color w:val="FFFFFF"/>
                          <w:sz w:val="32"/>
                        </w:rPr>
                        <w:t>O</w:t>
                      </w:r>
                      <w:r>
                        <w:rPr>
                          <w:color w:val="FFFFFF"/>
                          <w:spacing w:val="-13"/>
                          <w:sz w:val="32"/>
                        </w:rPr>
                        <w:t xml:space="preserve"> </w:t>
                      </w:r>
                      <w:r>
                        <w:rPr>
                          <w:color w:val="FFFFFF"/>
                          <w:sz w:val="32"/>
                        </w:rPr>
                        <w:t>F</w:t>
                      </w:r>
                      <w:r>
                        <w:rPr>
                          <w:color w:val="FFFFFF"/>
                          <w:spacing w:val="-14"/>
                          <w:sz w:val="32"/>
                        </w:rPr>
                        <w:t xml:space="preserve"> </w:t>
                      </w:r>
                      <w:r>
                        <w:rPr>
                          <w:color w:val="FFFFFF"/>
                          <w:sz w:val="32"/>
                        </w:rPr>
                        <w:t>T</w:t>
                      </w:r>
                      <w:r>
                        <w:rPr>
                          <w:color w:val="FFFFFF"/>
                          <w:spacing w:val="-11"/>
                          <w:sz w:val="32"/>
                        </w:rPr>
                        <w:t xml:space="preserve"> </w:t>
                      </w:r>
                      <w:r>
                        <w:rPr>
                          <w:color w:val="FFFFFF"/>
                          <w:sz w:val="32"/>
                        </w:rPr>
                        <w:t>W</w:t>
                      </w:r>
                      <w:r>
                        <w:rPr>
                          <w:color w:val="FFFFFF"/>
                          <w:spacing w:val="-13"/>
                          <w:sz w:val="32"/>
                        </w:rPr>
                        <w:t xml:space="preserve"> </w:t>
                      </w:r>
                      <w:r>
                        <w:rPr>
                          <w:color w:val="FFFFFF"/>
                          <w:sz w:val="32"/>
                        </w:rPr>
                        <w:t>A</w:t>
                      </w:r>
                      <w:r>
                        <w:rPr>
                          <w:color w:val="FFFFFF"/>
                          <w:spacing w:val="-14"/>
                          <w:sz w:val="32"/>
                        </w:rPr>
                        <w:t xml:space="preserve"> </w:t>
                      </w:r>
                      <w:r>
                        <w:rPr>
                          <w:color w:val="FFFFFF"/>
                          <w:sz w:val="32"/>
                        </w:rPr>
                        <w:t>R</w:t>
                      </w:r>
                      <w:r>
                        <w:rPr>
                          <w:color w:val="FFFFFF"/>
                          <w:spacing w:val="-13"/>
                          <w:sz w:val="32"/>
                        </w:rPr>
                        <w:t xml:space="preserve"> </w:t>
                      </w:r>
                      <w:r>
                        <w:rPr>
                          <w:color w:val="FFFFFF"/>
                          <w:sz w:val="32"/>
                        </w:rPr>
                        <w:t>E</w:t>
                      </w:r>
                      <w:r>
                        <w:rPr>
                          <w:color w:val="FFFFFF"/>
                          <w:spacing w:val="-11"/>
                          <w:sz w:val="32"/>
                        </w:rPr>
                        <w:t xml:space="preserve"> </w:t>
                      </w:r>
                      <w:r>
                        <w:rPr>
                          <w:color w:val="FFFFFF"/>
                          <w:sz w:val="32"/>
                        </w:rPr>
                        <w:t>-</w:t>
                      </w:r>
                      <w:r>
                        <w:rPr>
                          <w:color w:val="FFFFFF"/>
                          <w:spacing w:val="-12"/>
                          <w:sz w:val="32"/>
                        </w:rPr>
                        <w:t xml:space="preserve"> </w:t>
                      </w:r>
                      <w:r>
                        <w:rPr>
                          <w:color w:val="FFFFFF"/>
                          <w:sz w:val="32"/>
                        </w:rPr>
                        <w:t>C</w:t>
                      </w:r>
                      <w:r>
                        <w:rPr>
                          <w:color w:val="FFFFFF"/>
                          <w:spacing w:val="-11"/>
                          <w:sz w:val="32"/>
                        </w:rPr>
                        <w:t xml:space="preserve"> </w:t>
                      </w:r>
                      <w:r>
                        <w:rPr>
                          <w:color w:val="FFFFFF"/>
                          <w:sz w:val="32"/>
                        </w:rPr>
                        <w:t>O</w:t>
                      </w:r>
                      <w:r>
                        <w:rPr>
                          <w:color w:val="FFFFFF"/>
                          <w:spacing w:val="-14"/>
                          <w:sz w:val="32"/>
                        </w:rPr>
                        <w:t xml:space="preserve"> </w:t>
                      </w:r>
                      <w:r>
                        <w:rPr>
                          <w:color w:val="FFFFFF"/>
                          <w:sz w:val="32"/>
                        </w:rPr>
                        <w:t>N</w:t>
                      </w:r>
                      <w:r>
                        <w:rPr>
                          <w:color w:val="FFFFFF"/>
                          <w:spacing w:val="-13"/>
                          <w:sz w:val="32"/>
                        </w:rPr>
                        <w:t xml:space="preserve"> </w:t>
                      </w:r>
                      <w:r>
                        <w:rPr>
                          <w:color w:val="FFFFFF"/>
                          <w:sz w:val="32"/>
                        </w:rPr>
                        <w:t>T</w:t>
                      </w:r>
                      <w:r>
                        <w:rPr>
                          <w:color w:val="FFFFFF"/>
                          <w:spacing w:val="-15"/>
                          <w:sz w:val="32"/>
                        </w:rPr>
                        <w:t xml:space="preserve"> </w:t>
                      </w:r>
                      <w:r>
                        <w:rPr>
                          <w:color w:val="FFFFFF"/>
                          <w:sz w:val="32"/>
                        </w:rPr>
                        <w:t>R</w:t>
                      </w:r>
                      <w:r>
                        <w:rPr>
                          <w:color w:val="FFFFFF"/>
                          <w:spacing w:val="-13"/>
                          <w:sz w:val="32"/>
                        </w:rPr>
                        <w:t xml:space="preserve"> </w:t>
                      </w:r>
                      <w:r>
                        <w:rPr>
                          <w:color w:val="FFFFFF"/>
                          <w:sz w:val="32"/>
                        </w:rPr>
                        <w:t>O</w:t>
                      </w:r>
                      <w:r>
                        <w:rPr>
                          <w:color w:val="FFFFFF"/>
                          <w:spacing w:val="-13"/>
                          <w:sz w:val="32"/>
                        </w:rPr>
                        <w:t xml:space="preserve"> </w:t>
                      </w:r>
                      <w:r>
                        <w:rPr>
                          <w:color w:val="FFFFFF"/>
                          <w:sz w:val="32"/>
                        </w:rPr>
                        <w:t>L</w:t>
                      </w:r>
                      <w:r>
                        <w:rPr>
                          <w:color w:val="FFFFFF"/>
                          <w:spacing w:val="-13"/>
                          <w:sz w:val="32"/>
                        </w:rPr>
                        <w:t xml:space="preserve"> </w:t>
                      </w:r>
                      <w:r>
                        <w:rPr>
                          <w:color w:val="FFFFFF"/>
                          <w:sz w:val="32"/>
                        </w:rPr>
                        <w:t>L</w:t>
                      </w:r>
                      <w:r>
                        <w:rPr>
                          <w:color w:val="FFFFFF"/>
                          <w:spacing w:val="-12"/>
                          <w:sz w:val="32"/>
                        </w:rPr>
                        <w:t xml:space="preserve"> </w:t>
                      </w:r>
                      <w:r>
                        <w:rPr>
                          <w:color w:val="FFFFFF"/>
                          <w:sz w:val="32"/>
                        </w:rPr>
                        <w:t>E</w:t>
                      </w:r>
                      <w:r>
                        <w:rPr>
                          <w:color w:val="FFFFFF"/>
                          <w:spacing w:val="-13"/>
                          <w:sz w:val="32"/>
                        </w:rPr>
                        <w:t xml:space="preserve"> </w:t>
                      </w:r>
                      <w:r>
                        <w:rPr>
                          <w:color w:val="FFFFFF"/>
                          <w:sz w:val="32"/>
                        </w:rPr>
                        <w:t>D</w:t>
                      </w:r>
                      <w:r>
                        <w:rPr>
                          <w:color w:val="FFFFFF"/>
                          <w:spacing w:val="46"/>
                          <w:sz w:val="32"/>
                        </w:rPr>
                        <w:t xml:space="preserve"> </w:t>
                      </w:r>
                      <w:r>
                        <w:rPr>
                          <w:color w:val="FFFFFF"/>
                          <w:sz w:val="32"/>
                        </w:rPr>
                        <w:t>S</w:t>
                      </w:r>
                      <w:r>
                        <w:rPr>
                          <w:color w:val="FFFFFF"/>
                          <w:spacing w:val="-12"/>
                          <w:sz w:val="32"/>
                        </w:rPr>
                        <w:t xml:space="preserve"> </w:t>
                      </w:r>
                      <w:r>
                        <w:rPr>
                          <w:color w:val="FFFFFF"/>
                          <w:sz w:val="32"/>
                        </w:rPr>
                        <w:t>W</w:t>
                      </w:r>
                      <w:r>
                        <w:rPr>
                          <w:color w:val="FFFFFF"/>
                          <w:spacing w:val="-13"/>
                          <w:sz w:val="32"/>
                        </w:rPr>
                        <w:t xml:space="preserve"> </w:t>
                      </w:r>
                      <w:r>
                        <w:rPr>
                          <w:color w:val="FFFFFF"/>
                          <w:sz w:val="32"/>
                        </w:rPr>
                        <w:t>I</w:t>
                      </w:r>
                      <w:r>
                        <w:rPr>
                          <w:color w:val="FFFFFF"/>
                          <w:spacing w:val="-15"/>
                          <w:sz w:val="32"/>
                        </w:rPr>
                        <w:t xml:space="preserve"> </w:t>
                      </w:r>
                      <w:r>
                        <w:rPr>
                          <w:color w:val="FFFFFF"/>
                          <w:sz w:val="32"/>
                        </w:rPr>
                        <w:t>T</w:t>
                      </w:r>
                      <w:r>
                        <w:rPr>
                          <w:color w:val="FFFFFF"/>
                          <w:spacing w:val="-11"/>
                          <w:sz w:val="32"/>
                        </w:rPr>
                        <w:t xml:space="preserve"> </w:t>
                      </w:r>
                      <w:r>
                        <w:rPr>
                          <w:color w:val="FFFFFF"/>
                          <w:sz w:val="32"/>
                        </w:rPr>
                        <w:t>C</w:t>
                      </w:r>
                      <w:r>
                        <w:rPr>
                          <w:color w:val="FFFFFF"/>
                          <w:spacing w:val="-14"/>
                          <w:sz w:val="32"/>
                        </w:rPr>
                        <w:t xml:space="preserve"> </w:t>
                      </w:r>
                      <w:r>
                        <w:rPr>
                          <w:color w:val="FFFFFF"/>
                          <w:sz w:val="32"/>
                        </w:rPr>
                        <w:t>H</w:t>
                      </w:r>
                      <w:r>
                        <w:rPr>
                          <w:color w:val="FFFFFF"/>
                          <w:spacing w:val="47"/>
                          <w:sz w:val="32"/>
                        </w:rPr>
                        <w:t xml:space="preserve"> </w:t>
                      </w:r>
                      <w:r>
                        <w:rPr>
                          <w:color w:val="FFFFFF"/>
                          <w:sz w:val="32"/>
                        </w:rPr>
                        <w:t>R</w:t>
                      </w:r>
                      <w:r>
                        <w:rPr>
                          <w:color w:val="FFFFFF"/>
                          <w:spacing w:val="-14"/>
                          <w:sz w:val="32"/>
                        </w:rPr>
                        <w:t xml:space="preserve"> </w:t>
                      </w:r>
                      <w:r>
                        <w:rPr>
                          <w:color w:val="FFFFFF"/>
                          <w:sz w:val="32"/>
                        </w:rPr>
                        <w:t>E</w:t>
                      </w:r>
                      <w:r>
                        <w:rPr>
                          <w:color w:val="FFFFFF"/>
                          <w:spacing w:val="-7"/>
                          <w:sz w:val="32"/>
                        </w:rPr>
                        <w:t xml:space="preserve"> </w:t>
                      </w:r>
                      <w:r>
                        <w:rPr>
                          <w:color w:val="FFFFFF"/>
                          <w:sz w:val="32"/>
                        </w:rPr>
                        <w:t>L</w:t>
                      </w:r>
                      <w:r>
                        <w:rPr>
                          <w:color w:val="FFFFFF"/>
                          <w:spacing w:val="-12"/>
                          <w:sz w:val="32"/>
                        </w:rPr>
                        <w:t xml:space="preserve"> </w:t>
                      </w:r>
                      <w:r>
                        <w:rPr>
                          <w:color w:val="FFFFFF"/>
                          <w:sz w:val="32"/>
                        </w:rPr>
                        <w:t>U</w:t>
                      </w:r>
                      <w:r>
                        <w:rPr>
                          <w:color w:val="FFFFFF"/>
                          <w:spacing w:val="-13"/>
                          <w:sz w:val="32"/>
                        </w:rPr>
                        <w:t xml:space="preserve"> </w:t>
                      </w:r>
                      <w:r>
                        <w:rPr>
                          <w:color w:val="FFFFFF"/>
                          <w:sz w:val="32"/>
                        </w:rPr>
                        <w:t>C</w:t>
                      </w:r>
                      <w:r>
                        <w:rPr>
                          <w:color w:val="FFFFFF"/>
                          <w:spacing w:val="-11"/>
                          <w:sz w:val="32"/>
                        </w:rPr>
                        <w:t xml:space="preserve"> </w:t>
                      </w:r>
                      <w:r>
                        <w:rPr>
                          <w:color w:val="FFFFFF"/>
                          <w:sz w:val="32"/>
                        </w:rPr>
                        <w:t>T</w:t>
                      </w:r>
                      <w:r>
                        <w:rPr>
                          <w:color w:val="FFFFFF"/>
                          <w:spacing w:val="-15"/>
                          <w:sz w:val="32"/>
                        </w:rPr>
                        <w:t xml:space="preserve"> </w:t>
                      </w:r>
                      <w:r>
                        <w:rPr>
                          <w:color w:val="FFFFFF"/>
                          <w:sz w:val="32"/>
                        </w:rPr>
                        <w:t>A</w:t>
                      </w:r>
                      <w:r>
                        <w:rPr>
                          <w:color w:val="FFFFFF"/>
                          <w:spacing w:val="-13"/>
                          <w:sz w:val="32"/>
                        </w:rPr>
                        <w:t xml:space="preserve"> </w:t>
                      </w:r>
                      <w:r>
                        <w:rPr>
                          <w:color w:val="FFFFFF"/>
                          <w:sz w:val="32"/>
                        </w:rPr>
                        <w:t>N</w:t>
                      </w:r>
                      <w:r>
                        <w:rPr>
                          <w:color w:val="FFFFFF"/>
                          <w:spacing w:val="-13"/>
                          <w:sz w:val="32"/>
                        </w:rPr>
                        <w:t xml:space="preserve"> </w:t>
                      </w:r>
                      <w:r>
                        <w:rPr>
                          <w:color w:val="FFFFFF"/>
                          <w:sz w:val="32"/>
                        </w:rPr>
                        <w:t>C</w:t>
                      </w:r>
                      <w:r>
                        <w:rPr>
                          <w:color w:val="FFFFFF"/>
                          <w:spacing w:val="-15"/>
                          <w:sz w:val="32"/>
                        </w:rPr>
                        <w:t xml:space="preserve"> </w:t>
                      </w:r>
                      <w:r>
                        <w:rPr>
                          <w:color w:val="FFFFFF"/>
                          <w:sz w:val="32"/>
                        </w:rPr>
                        <w:t>E M O T O</w:t>
                      </w:r>
                      <w:r>
                        <w:rPr>
                          <w:color w:val="FFFFFF"/>
                          <w:spacing w:val="-52"/>
                          <w:sz w:val="32"/>
                        </w:rPr>
                        <w:t xml:space="preserve"> </w:t>
                      </w:r>
                      <w:r>
                        <w:rPr>
                          <w:color w:val="FFFFFF"/>
                          <w:sz w:val="32"/>
                        </w:rPr>
                        <w:t>R</w:t>
                      </w:r>
                    </w:p>
                    <w:p w:rsidR="007E4447" w:rsidRDefault="004C6125">
                      <w:pPr>
                        <w:spacing w:before="136"/>
                        <w:ind w:left="425" w:right="425"/>
                        <w:jc w:val="center"/>
                        <w:rPr>
                          <w:sz w:val="28"/>
                        </w:rPr>
                      </w:pPr>
                      <w:r>
                        <w:rPr>
                          <w:color w:val="FFFFFF"/>
                          <w:sz w:val="28"/>
                        </w:rPr>
                        <w:t>SWHC041-0</w:t>
                      </w:r>
                      <w:r w:rsidR="00F91481">
                        <w:rPr>
                          <w:color w:val="FFFFFF"/>
                          <w:sz w:val="28"/>
                        </w:rPr>
                        <w:t>2</w:t>
                      </w:r>
                    </w:p>
                  </w:txbxContent>
                </v:textbox>
                <w10:wrap type="topAndBottom" anchorx="page"/>
              </v:shape>
            </w:pict>
          </mc:Fallback>
        </mc:AlternateContent>
      </w:r>
    </w:p>
    <w:p w14:paraId="6771AD81" w14:textId="77777777" w:rsidR="007E4447" w:rsidRDefault="007E4447">
      <w:pPr>
        <w:pStyle w:val="BodyText"/>
        <w:rPr>
          <w:rFonts w:ascii="Times New Roman"/>
          <w:sz w:val="20"/>
        </w:rPr>
      </w:pPr>
    </w:p>
    <w:p w14:paraId="0F1A26CD" w14:textId="77777777" w:rsidR="007E4447" w:rsidRDefault="007E4447">
      <w:pPr>
        <w:pStyle w:val="BodyText"/>
        <w:spacing w:before="1"/>
        <w:rPr>
          <w:rFonts w:ascii="Times New Roman"/>
          <w:sz w:val="19"/>
        </w:rPr>
      </w:pPr>
    </w:p>
    <w:p w14:paraId="794F4064" w14:textId="77777777" w:rsidR="007E4447" w:rsidRDefault="004C6125">
      <w:pPr>
        <w:spacing w:before="44"/>
        <w:ind w:left="3887" w:right="5304"/>
        <w:jc w:val="center"/>
        <w:rPr>
          <w:sz w:val="28"/>
        </w:rPr>
      </w:pPr>
      <w:r>
        <w:rPr>
          <w:sz w:val="28"/>
        </w:rPr>
        <w:t>C O N T E N T S</w:t>
      </w:r>
    </w:p>
    <w:sdt>
      <w:sdtPr>
        <w:id w:val="606705003"/>
        <w:docPartObj>
          <w:docPartGallery w:val="Table of Contents"/>
          <w:docPartUnique/>
        </w:docPartObj>
      </w:sdtPr>
      <w:sdtEndPr/>
      <w:sdtContent>
        <w:p w14:paraId="706625D3" w14:textId="77777777" w:rsidR="007E4447" w:rsidRDefault="004C6125">
          <w:pPr>
            <w:pStyle w:val="TOC1"/>
            <w:tabs>
              <w:tab w:val="right" w:leader="dot" w:pos="9449"/>
            </w:tabs>
            <w:spacing w:before="116"/>
          </w:pPr>
          <w:r>
            <w:fldChar w:fldCharType="begin"/>
          </w:r>
          <w:r>
            <w:instrText xml:space="preserve">TOC \o "1-1" \h \z \u </w:instrText>
          </w:r>
          <w:r>
            <w:fldChar w:fldCharType="separate"/>
          </w:r>
          <w:hyperlink w:anchor="_TOC_250023" w:history="1">
            <w:r>
              <w:t>Measure</w:t>
            </w:r>
            <w:r>
              <w:rPr>
                <w:spacing w:val="-3"/>
              </w:rPr>
              <w:t xml:space="preserve"> </w:t>
            </w:r>
            <w:r>
              <w:t>Name</w:t>
            </w:r>
            <w:r>
              <w:tab/>
              <w:t>2</w:t>
            </w:r>
          </w:hyperlink>
        </w:p>
        <w:p w14:paraId="19C60644" w14:textId="77777777" w:rsidR="007E4447" w:rsidRDefault="00823FE3">
          <w:pPr>
            <w:pStyle w:val="TOC1"/>
            <w:tabs>
              <w:tab w:val="right" w:leader="dot" w:pos="9449"/>
            </w:tabs>
          </w:pPr>
          <w:hyperlink w:anchor="_TOC_250022" w:history="1">
            <w:r w:rsidR="004C6125">
              <w:t>Statewide</w:t>
            </w:r>
            <w:r w:rsidR="004C6125">
              <w:rPr>
                <w:spacing w:val="-2"/>
              </w:rPr>
              <w:t xml:space="preserve"> </w:t>
            </w:r>
            <w:r w:rsidR="004C6125">
              <w:t>Measure</w:t>
            </w:r>
            <w:r w:rsidR="004C6125">
              <w:rPr>
                <w:spacing w:val="-1"/>
              </w:rPr>
              <w:t xml:space="preserve"> </w:t>
            </w:r>
            <w:r w:rsidR="004C6125">
              <w:t>ID</w:t>
            </w:r>
            <w:r w:rsidR="004C6125">
              <w:tab/>
              <w:t>2</w:t>
            </w:r>
          </w:hyperlink>
        </w:p>
        <w:p w14:paraId="5CEB26DC" w14:textId="77777777" w:rsidR="007E4447" w:rsidRDefault="00823FE3">
          <w:pPr>
            <w:pStyle w:val="TOC1"/>
            <w:tabs>
              <w:tab w:val="right" w:leader="dot" w:pos="9449"/>
            </w:tabs>
          </w:pPr>
          <w:hyperlink w:anchor="_TOC_250021" w:history="1">
            <w:r w:rsidR="004C6125">
              <w:t>Technology</w:t>
            </w:r>
            <w:r w:rsidR="004C6125">
              <w:rPr>
                <w:spacing w:val="-3"/>
              </w:rPr>
              <w:t xml:space="preserve"> </w:t>
            </w:r>
            <w:r w:rsidR="004C6125">
              <w:t>Summary</w:t>
            </w:r>
            <w:r w:rsidR="004C6125">
              <w:tab/>
              <w:t>2</w:t>
            </w:r>
          </w:hyperlink>
        </w:p>
        <w:p w14:paraId="443E9CB0" w14:textId="77777777" w:rsidR="007E4447" w:rsidRDefault="00823FE3">
          <w:pPr>
            <w:pStyle w:val="TOC1"/>
            <w:tabs>
              <w:tab w:val="right" w:leader="dot" w:pos="9449"/>
            </w:tabs>
            <w:spacing w:before="1"/>
          </w:pPr>
          <w:hyperlink w:anchor="_TOC_250020" w:history="1">
            <w:r w:rsidR="004C6125">
              <w:t>Measure</w:t>
            </w:r>
            <w:r w:rsidR="004C6125">
              <w:rPr>
                <w:spacing w:val="-2"/>
              </w:rPr>
              <w:t xml:space="preserve"> </w:t>
            </w:r>
            <w:r w:rsidR="004C6125">
              <w:t>Case</w:t>
            </w:r>
            <w:r w:rsidR="004C6125">
              <w:rPr>
                <w:spacing w:val="-1"/>
              </w:rPr>
              <w:t xml:space="preserve"> </w:t>
            </w:r>
            <w:r w:rsidR="004C6125">
              <w:t>Description</w:t>
            </w:r>
            <w:r w:rsidR="004C6125">
              <w:tab/>
              <w:t>2</w:t>
            </w:r>
          </w:hyperlink>
        </w:p>
        <w:p w14:paraId="310DF2D1" w14:textId="77777777" w:rsidR="007E4447" w:rsidRDefault="00823FE3">
          <w:pPr>
            <w:pStyle w:val="TOC1"/>
            <w:tabs>
              <w:tab w:val="right" w:leader="dot" w:pos="9449"/>
            </w:tabs>
          </w:pPr>
          <w:hyperlink w:anchor="_TOC_250019" w:history="1">
            <w:r w:rsidR="004C6125">
              <w:t>Base</w:t>
            </w:r>
            <w:r w:rsidR="004C6125">
              <w:rPr>
                <w:spacing w:val="-2"/>
              </w:rPr>
              <w:t xml:space="preserve"> </w:t>
            </w:r>
            <w:r w:rsidR="004C6125">
              <w:t>Case</w:t>
            </w:r>
            <w:r w:rsidR="004C6125">
              <w:rPr>
                <w:spacing w:val="-1"/>
              </w:rPr>
              <w:t xml:space="preserve"> </w:t>
            </w:r>
            <w:r w:rsidR="004C6125">
              <w:t>Description</w:t>
            </w:r>
            <w:r w:rsidR="004C6125">
              <w:tab/>
              <w:t>3</w:t>
            </w:r>
          </w:hyperlink>
        </w:p>
        <w:p w14:paraId="7F28FE75" w14:textId="77777777" w:rsidR="007E4447" w:rsidRDefault="00823FE3">
          <w:pPr>
            <w:pStyle w:val="TOC1"/>
            <w:tabs>
              <w:tab w:val="right" w:leader="dot" w:pos="9449"/>
            </w:tabs>
          </w:pPr>
          <w:hyperlink w:anchor="_TOC_250018" w:history="1">
            <w:r w:rsidR="004C6125">
              <w:t>Code</w:t>
            </w:r>
            <w:r w:rsidR="004C6125">
              <w:rPr>
                <w:spacing w:val="-2"/>
              </w:rPr>
              <w:t xml:space="preserve"> </w:t>
            </w:r>
            <w:r w:rsidR="004C6125">
              <w:t>Requirements</w:t>
            </w:r>
            <w:r w:rsidR="004C6125">
              <w:tab/>
              <w:t>3</w:t>
            </w:r>
          </w:hyperlink>
        </w:p>
        <w:p w14:paraId="62B6DA18" w14:textId="77777777" w:rsidR="007E4447" w:rsidRDefault="00823FE3">
          <w:pPr>
            <w:pStyle w:val="TOC1"/>
            <w:tabs>
              <w:tab w:val="right" w:leader="dot" w:pos="9449"/>
            </w:tabs>
          </w:pPr>
          <w:hyperlink w:anchor="_TOC_250017" w:history="1">
            <w:r w:rsidR="004C6125">
              <w:t>Normalizing</w:t>
            </w:r>
            <w:r w:rsidR="004C6125">
              <w:rPr>
                <w:spacing w:val="-1"/>
              </w:rPr>
              <w:t xml:space="preserve"> </w:t>
            </w:r>
            <w:r w:rsidR="004C6125">
              <w:t>Unit</w:t>
            </w:r>
            <w:r w:rsidR="004C6125">
              <w:tab/>
              <w:t>4</w:t>
            </w:r>
          </w:hyperlink>
        </w:p>
        <w:p w14:paraId="1BD9B3D8" w14:textId="77777777" w:rsidR="007E4447" w:rsidRDefault="00823FE3">
          <w:pPr>
            <w:pStyle w:val="TOC1"/>
            <w:tabs>
              <w:tab w:val="right" w:leader="dot" w:pos="9449"/>
            </w:tabs>
            <w:spacing w:before="1"/>
          </w:pPr>
          <w:hyperlink w:anchor="_TOC_250016" w:history="1">
            <w:r w:rsidR="004C6125">
              <w:t>Program Requirements</w:t>
            </w:r>
            <w:r w:rsidR="004C6125">
              <w:tab/>
              <w:t>4</w:t>
            </w:r>
          </w:hyperlink>
        </w:p>
        <w:p w14:paraId="09D5393E" w14:textId="77777777" w:rsidR="007E4447" w:rsidRDefault="00823FE3">
          <w:pPr>
            <w:pStyle w:val="TOC1"/>
            <w:tabs>
              <w:tab w:val="right" w:leader="dot" w:pos="9449"/>
            </w:tabs>
          </w:pPr>
          <w:hyperlink w:anchor="_TOC_250015" w:history="1">
            <w:r w:rsidR="004C6125">
              <w:t>Program Exclusions</w:t>
            </w:r>
            <w:r w:rsidR="004C6125">
              <w:tab/>
              <w:t>5</w:t>
            </w:r>
          </w:hyperlink>
        </w:p>
        <w:p w14:paraId="5401B5D8" w14:textId="77777777" w:rsidR="007E4447" w:rsidRDefault="00823FE3">
          <w:pPr>
            <w:pStyle w:val="TOC1"/>
            <w:tabs>
              <w:tab w:val="right" w:leader="dot" w:pos="9449"/>
            </w:tabs>
            <w:spacing w:before="1" w:line="267" w:lineRule="exact"/>
          </w:pPr>
          <w:hyperlink w:anchor="_TOC_250014" w:history="1">
            <w:r w:rsidR="004C6125">
              <w:t>Data</w:t>
            </w:r>
            <w:r w:rsidR="004C6125">
              <w:rPr>
                <w:spacing w:val="-2"/>
              </w:rPr>
              <w:t xml:space="preserve"> </w:t>
            </w:r>
            <w:r w:rsidR="004C6125">
              <w:t>Collection Requirements</w:t>
            </w:r>
            <w:r w:rsidR="004C6125">
              <w:tab/>
              <w:t>5</w:t>
            </w:r>
          </w:hyperlink>
        </w:p>
        <w:p w14:paraId="60AA13C1" w14:textId="77777777" w:rsidR="007E4447" w:rsidRDefault="00823FE3">
          <w:pPr>
            <w:pStyle w:val="TOC1"/>
            <w:tabs>
              <w:tab w:val="right" w:leader="dot" w:pos="9449"/>
            </w:tabs>
            <w:spacing w:line="267" w:lineRule="exact"/>
          </w:pPr>
          <w:hyperlink w:anchor="_TOC_250013" w:history="1">
            <w:r w:rsidR="004C6125">
              <w:t>Use</w:t>
            </w:r>
            <w:r w:rsidR="004C6125">
              <w:rPr>
                <w:spacing w:val="-1"/>
              </w:rPr>
              <w:t xml:space="preserve"> </w:t>
            </w:r>
            <w:r w:rsidR="004C6125">
              <w:t>Category</w:t>
            </w:r>
            <w:r w:rsidR="004C6125">
              <w:tab/>
              <w:t>6</w:t>
            </w:r>
          </w:hyperlink>
        </w:p>
        <w:p w14:paraId="77C4CFB7" w14:textId="77777777" w:rsidR="007E4447" w:rsidRDefault="00823FE3">
          <w:pPr>
            <w:pStyle w:val="TOC1"/>
            <w:tabs>
              <w:tab w:val="right" w:leader="dot" w:pos="9449"/>
            </w:tabs>
          </w:pPr>
          <w:hyperlink w:anchor="_TOC_250012" w:history="1">
            <w:r w:rsidR="004C6125">
              <w:t>Electric</w:t>
            </w:r>
            <w:r w:rsidR="004C6125">
              <w:rPr>
                <w:spacing w:val="-1"/>
              </w:rPr>
              <w:t xml:space="preserve"> </w:t>
            </w:r>
            <w:r w:rsidR="004C6125">
              <w:t>Savings</w:t>
            </w:r>
            <w:r w:rsidR="004C6125">
              <w:rPr>
                <w:spacing w:val="-2"/>
              </w:rPr>
              <w:t xml:space="preserve"> </w:t>
            </w:r>
            <w:r w:rsidR="004C6125">
              <w:t>(kWh)</w:t>
            </w:r>
            <w:r w:rsidR="004C6125">
              <w:tab/>
              <w:t>6</w:t>
            </w:r>
          </w:hyperlink>
        </w:p>
        <w:p w14:paraId="5461A24E" w14:textId="77777777" w:rsidR="007E4447" w:rsidRDefault="00823FE3">
          <w:pPr>
            <w:pStyle w:val="TOC1"/>
            <w:tabs>
              <w:tab w:val="right" w:leader="dot" w:pos="9449"/>
            </w:tabs>
          </w:pPr>
          <w:hyperlink w:anchor="_TOC_250011" w:history="1">
            <w:r w:rsidR="004C6125">
              <w:t>Peak Electric Demand Reduction (kW)</w:t>
            </w:r>
            <w:r w:rsidR="004C6125">
              <w:tab/>
              <w:t>8</w:t>
            </w:r>
          </w:hyperlink>
        </w:p>
        <w:p w14:paraId="409C69DF" w14:textId="77777777" w:rsidR="007E4447" w:rsidRDefault="00823FE3">
          <w:pPr>
            <w:pStyle w:val="TOC1"/>
            <w:tabs>
              <w:tab w:val="right" w:leader="dot" w:pos="9449"/>
            </w:tabs>
          </w:pPr>
          <w:hyperlink w:anchor="_TOC_250010" w:history="1">
            <w:r w:rsidR="004C6125">
              <w:t>Gas</w:t>
            </w:r>
            <w:r w:rsidR="004C6125">
              <w:rPr>
                <w:spacing w:val="-3"/>
              </w:rPr>
              <w:t xml:space="preserve"> </w:t>
            </w:r>
            <w:r w:rsidR="004C6125">
              <w:t>Savings</w:t>
            </w:r>
            <w:r w:rsidR="004C6125">
              <w:rPr>
                <w:spacing w:val="-2"/>
              </w:rPr>
              <w:t xml:space="preserve"> </w:t>
            </w:r>
            <w:r w:rsidR="004C6125">
              <w:t>(Therms)</w:t>
            </w:r>
            <w:r w:rsidR="004C6125">
              <w:tab/>
              <w:t>8</w:t>
            </w:r>
          </w:hyperlink>
        </w:p>
        <w:p w14:paraId="4B965A31" w14:textId="77777777" w:rsidR="007E4447" w:rsidRDefault="00823FE3">
          <w:pPr>
            <w:pStyle w:val="TOC1"/>
            <w:tabs>
              <w:tab w:val="right" w:leader="dot" w:pos="9449"/>
            </w:tabs>
            <w:spacing w:before="1"/>
          </w:pPr>
          <w:hyperlink w:anchor="_TOC_250009" w:history="1">
            <w:r w:rsidR="004C6125">
              <w:t>Life</w:t>
            </w:r>
            <w:r w:rsidR="004C6125">
              <w:rPr>
                <w:spacing w:val="-2"/>
              </w:rPr>
              <w:t xml:space="preserve"> </w:t>
            </w:r>
            <w:r w:rsidR="004C6125">
              <w:t>Cycle</w:t>
            </w:r>
            <w:r w:rsidR="004C6125">
              <w:tab/>
              <w:t>8</w:t>
            </w:r>
          </w:hyperlink>
        </w:p>
        <w:p w14:paraId="620EDCE5" w14:textId="77777777" w:rsidR="007E4447" w:rsidRDefault="00823FE3">
          <w:pPr>
            <w:pStyle w:val="TOC1"/>
            <w:tabs>
              <w:tab w:val="right" w:leader="dot" w:pos="9449"/>
            </w:tabs>
          </w:pPr>
          <w:hyperlink w:anchor="_TOC_250008" w:history="1">
            <w:r w:rsidR="004C6125">
              <w:t>Base Case Material</w:t>
            </w:r>
            <w:r w:rsidR="004C6125">
              <w:rPr>
                <w:spacing w:val="-4"/>
              </w:rPr>
              <w:t xml:space="preserve"> </w:t>
            </w:r>
            <w:r w:rsidR="004C6125">
              <w:t>Cost</w:t>
            </w:r>
            <w:r w:rsidR="004C6125">
              <w:rPr>
                <w:spacing w:val="-3"/>
              </w:rPr>
              <w:t xml:space="preserve"> </w:t>
            </w:r>
            <w:r w:rsidR="004C6125">
              <w:t>($/unit)</w:t>
            </w:r>
            <w:r w:rsidR="004C6125">
              <w:tab/>
              <w:t>9</w:t>
            </w:r>
          </w:hyperlink>
        </w:p>
        <w:p w14:paraId="6F3D27E3" w14:textId="77777777" w:rsidR="007E4447" w:rsidRDefault="00823FE3">
          <w:pPr>
            <w:pStyle w:val="TOC1"/>
            <w:tabs>
              <w:tab w:val="right" w:leader="dot" w:pos="9449"/>
            </w:tabs>
          </w:pPr>
          <w:hyperlink w:anchor="_TOC_250007" w:history="1">
            <w:r w:rsidR="004C6125">
              <w:t>Measure Case Material</w:t>
            </w:r>
            <w:r w:rsidR="004C6125">
              <w:rPr>
                <w:spacing w:val="-4"/>
              </w:rPr>
              <w:t xml:space="preserve"> </w:t>
            </w:r>
            <w:r w:rsidR="004C6125">
              <w:t>Cost ($/unit)</w:t>
            </w:r>
            <w:r w:rsidR="004C6125">
              <w:tab/>
              <w:t>9</w:t>
            </w:r>
          </w:hyperlink>
        </w:p>
        <w:p w14:paraId="1830227C" w14:textId="77777777" w:rsidR="007E4447" w:rsidRDefault="00823FE3">
          <w:pPr>
            <w:pStyle w:val="TOC1"/>
            <w:tabs>
              <w:tab w:val="right" w:leader="dot" w:pos="9449"/>
            </w:tabs>
          </w:pPr>
          <w:hyperlink w:anchor="_TOC_250006" w:history="1">
            <w:r w:rsidR="004C6125">
              <w:t>Base Case Labor</w:t>
            </w:r>
            <w:r w:rsidR="004C6125">
              <w:rPr>
                <w:spacing w:val="-3"/>
              </w:rPr>
              <w:t xml:space="preserve"> </w:t>
            </w:r>
            <w:r w:rsidR="004C6125">
              <w:t>Cost</w:t>
            </w:r>
            <w:r w:rsidR="004C6125">
              <w:rPr>
                <w:spacing w:val="-1"/>
              </w:rPr>
              <w:t xml:space="preserve"> </w:t>
            </w:r>
            <w:r w:rsidR="004C6125">
              <w:t>($/unit)</w:t>
            </w:r>
            <w:r w:rsidR="004C6125">
              <w:tab/>
              <w:t>9</w:t>
            </w:r>
          </w:hyperlink>
        </w:p>
        <w:p w14:paraId="09A79BA2" w14:textId="77777777" w:rsidR="007E4447" w:rsidRDefault="00823FE3">
          <w:pPr>
            <w:pStyle w:val="TOC1"/>
            <w:tabs>
              <w:tab w:val="right" w:leader="dot" w:pos="9450"/>
            </w:tabs>
            <w:spacing w:before="1"/>
          </w:pPr>
          <w:hyperlink w:anchor="_TOC_250005" w:history="1">
            <w:r w:rsidR="004C6125">
              <w:t>Measure Case Labor</w:t>
            </w:r>
            <w:r w:rsidR="004C6125">
              <w:rPr>
                <w:spacing w:val="-2"/>
              </w:rPr>
              <w:t xml:space="preserve"> </w:t>
            </w:r>
            <w:r w:rsidR="004C6125">
              <w:t>Cost</w:t>
            </w:r>
            <w:r w:rsidR="004C6125">
              <w:rPr>
                <w:spacing w:val="-3"/>
              </w:rPr>
              <w:t xml:space="preserve"> </w:t>
            </w:r>
            <w:r w:rsidR="004C6125">
              <w:t>($/unit)</w:t>
            </w:r>
            <w:r w:rsidR="004C6125">
              <w:tab/>
              <w:t>10</w:t>
            </w:r>
          </w:hyperlink>
        </w:p>
        <w:p w14:paraId="7E0A4C3F" w14:textId="77777777" w:rsidR="007E4447" w:rsidRDefault="00823FE3">
          <w:pPr>
            <w:pStyle w:val="TOC1"/>
            <w:tabs>
              <w:tab w:val="right" w:leader="dot" w:pos="9450"/>
            </w:tabs>
            <w:spacing w:line="268" w:lineRule="exact"/>
          </w:pPr>
          <w:hyperlink w:anchor="_TOC_250004" w:history="1">
            <w:r w:rsidR="004C6125">
              <w:t>Net-to-Gross</w:t>
            </w:r>
            <w:r w:rsidR="004C6125">
              <w:rPr>
                <w:spacing w:val="-3"/>
              </w:rPr>
              <w:t xml:space="preserve"> </w:t>
            </w:r>
            <w:r w:rsidR="004C6125">
              <w:t>(NTG)</w:t>
            </w:r>
            <w:r w:rsidR="004C6125">
              <w:tab/>
              <w:t>10</w:t>
            </w:r>
          </w:hyperlink>
        </w:p>
        <w:p w14:paraId="6C1C0824" w14:textId="77777777" w:rsidR="007E4447" w:rsidRDefault="00823FE3">
          <w:pPr>
            <w:pStyle w:val="TOC1"/>
            <w:tabs>
              <w:tab w:val="right" w:leader="dot" w:pos="9450"/>
            </w:tabs>
            <w:spacing w:line="268" w:lineRule="exact"/>
          </w:pPr>
          <w:hyperlink w:anchor="_TOC_250003" w:history="1">
            <w:r w:rsidR="004C6125">
              <w:t>Gross Savings Installation</w:t>
            </w:r>
            <w:r w:rsidR="004C6125">
              <w:rPr>
                <w:spacing w:val="-3"/>
              </w:rPr>
              <w:t xml:space="preserve"> </w:t>
            </w:r>
            <w:r w:rsidR="004C6125">
              <w:t>Adjustment</w:t>
            </w:r>
            <w:r w:rsidR="004C6125">
              <w:rPr>
                <w:spacing w:val="-1"/>
              </w:rPr>
              <w:t xml:space="preserve"> </w:t>
            </w:r>
            <w:r w:rsidR="004C6125">
              <w:t>(GSIA)</w:t>
            </w:r>
            <w:r w:rsidR="004C6125">
              <w:tab/>
              <w:t>10</w:t>
            </w:r>
          </w:hyperlink>
        </w:p>
        <w:p w14:paraId="0A7145A4" w14:textId="77777777" w:rsidR="007E4447" w:rsidRDefault="00823FE3">
          <w:pPr>
            <w:pStyle w:val="TOC1"/>
            <w:tabs>
              <w:tab w:val="right" w:leader="dot" w:pos="9450"/>
            </w:tabs>
          </w:pPr>
          <w:hyperlink w:anchor="_TOC_250002" w:history="1">
            <w:r w:rsidR="004C6125">
              <w:t>Non-Energy</w:t>
            </w:r>
            <w:r w:rsidR="004C6125">
              <w:rPr>
                <w:spacing w:val="-2"/>
              </w:rPr>
              <w:t xml:space="preserve"> </w:t>
            </w:r>
            <w:r w:rsidR="004C6125">
              <w:t>Impacts</w:t>
            </w:r>
            <w:r w:rsidR="004C6125">
              <w:tab/>
              <w:t>10</w:t>
            </w:r>
          </w:hyperlink>
        </w:p>
        <w:p w14:paraId="36896218" w14:textId="77777777" w:rsidR="007E4447" w:rsidRDefault="00823FE3">
          <w:pPr>
            <w:pStyle w:val="TOC1"/>
            <w:tabs>
              <w:tab w:val="right" w:leader="dot" w:pos="9450"/>
            </w:tabs>
          </w:pPr>
          <w:hyperlink w:anchor="_TOC_250001" w:history="1">
            <w:r w:rsidR="004C6125">
              <w:t>DEER</w:t>
            </w:r>
            <w:r w:rsidR="004C6125">
              <w:rPr>
                <w:spacing w:val="-3"/>
              </w:rPr>
              <w:t xml:space="preserve"> </w:t>
            </w:r>
            <w:r w:rsidR="004C6125">
              <w:t>Differences</w:t>
            </w:r>
            <w:r w:rsidR="004C6125">
              <w:rPr>
                <w:spacing w:val="-2"/>
              </w:rPr>
              <w:t xml:space="preserve"> </w:t>
            </w:r>
            <w:r w:rsidR="004C6125">
              <w:t>Analysis</w:t>
            </w:r>
            <w:r w:rsidR="004C6125">
              <w:tab/>
              <w:t>10</w:t>
            </w:r>
          </w:hyperlink>
        </w:p>
        <w:p w14:paraId="4F85116D" w14:textId="77777777" w:rsidR="007E4447" w:rsidRDefault="00823FE3">
          <w:pPr>
            <w:pStyle w:val="TOC1"/>
            <w:tabs>
              <w:tab w:val="right" w:leader="dot" w:pos="9450"/>
            </w:tabs>
            <w:spacing w:before="1"/>
          </w:pPr>
          <w:hyperlink w:anchor="_TOC_250000" w:history="1">
            <w:r w:rsidR="004C6125">
              <w:t>Revision</w:t>
            </w:r>
            <w:r w:rsidR="004C6125">
              <w:rPr>
                <w:spacing w:val="-1"/>
              </w:rPr>
              <w:t xml:space="preserve"> </w:t>
            </w:r>
            <w:r w:rsidR="004C6125">
              <w:t>History</w:t>
            </w:r>
            <w:r w:rsidR="004C6125">
              <w:tab/>
              <w:t>11</w:t>
            </w:r>
          </w:hyperlink>
        </w:p>
        <w:p w14:paraId="3EFA7337" w14:textId="77777777" w:rsidR="007E4447" w:rsidRDefault="004C6125">
          <w:r>
            <w:fldChar w:fldCharType="end"/>
          </w:r>
        </w:p>
      </w:sdtContent>
    </w:sdt>
    <w:p w14:paraId="2922DF0C" w14:textId="77777777" w:rsidR="007E4447" w:rsidRDefault="007E4447">
      <w:pPr>
        <w:sectPr w:rsidR="007E4447">
          <w:footerReference w:type="default" r:id="rId8"/>
          <w:type w:val="continuous"/>
          <w:pgSz w:w="12240" w:h="15840"/>
          <w:pgMar w:top="1220" w:right="0" w:bottom="1320" w:left="1340" w:header="720" w:footer="1129" w:gutter="0"/>
          <w:pgNumType w:start="1"/>
          <w:cols w:space="720"/>
        </w:sectPr>
      </w:pPr>
    </w:p>
    <w:p w14:paraId="39D38F93" w14:textId="77777777" w:rsidR="007E4447" w:rsidRDefault="007E4447">
      <w:pPr>
        <w:pStyle w:val="BodyText"/>
        <w:spacing w:before="5"/>
        <w:rPr>
          <w:sz w:val="25"/>
        </w:rPr>
      </w:pPr>
    </w:p>
    <w:p w14:paraId="0437C76F" w14:textId="77777777" w:rsidR="007E4447" w:rsidRDefault="004C6125">
      <w:pPr>
        <w:pStyle w:val="Heading1"/>
        <w:spacing w:before="1"/>
      </w:pPr>
      <w:bookmarkStart w:id="0" w:name="_TOC_250023"/>
      <w:bookmarkEnd w:id="0"/>
      <w:r>
        <w:rPr>
          <w:color w:val="CFAB79"/>
        </w:rPr>
        <w:t>MEASURE NAME</w:t>
      </w:r>
    </w:p>
    <w:p w14:paraId="6AEA964F" w14:textId="77777777" w:rsidR="007E4447" w:rsidRDefault="004C6125">
      <w:pPr>
        <w:pStyle w:val="BodyText"/>
        <w:spacing w:before="131"/>
        <w:ind w:left="100"/>
      </w:pPr>
      <w:r>
        <w:t>Software-Controlled Switch Reluctance Motor</w:t>
      </w:r>
    </w:p>
    <w:p w14:paraId="44953C40" w14:textId="77777777" w:rsidR="007E4447" w:rsidRDefault="007E4447">
      <w:pPr>
        <w:pStyle w:val="BodyText"/>
      </w:pPr>
    </w:p>
    <w:p w14:paraId="2C353E4A" w14:textId="77777777" w:rsidR="007E4447" w:rsidRDefault="004C6125">
      <w:pPr>
        <w:pStyle w:val="Heading1"/>
        <w:spacing w:before="157"/>
      </w:pPr>
      <w:bookmarkStart w:id="1" w:name="_TOC_250022"/>
      <w:bookmarkEnd w:id="1"/>
      <w:r>
        <w:rPr>
          <w:color w:val="CFAB79"/>
        </w:rPr>
        <w:t>STATEWIDE MEASURE ID</w:t>
      </w:r>
    </w:p>
    <w:p w14:paraId="11A36AF6" w14:textId="77777777" w:rsidR="007E4447" w:rsidRDefault="004C6125">
      <w:pPr>
        <w:pStyle w:val="BodyText"/>
        <w:spacing w:before="115"/>
        <w:ind w:left="100"/>
      </w:pPr>
      <w:r>
        <w:t>SWHC041-0</w:t>
      </w:r>
      <w:r w:rsidR="005F78A6">
        <w:t>2</w:t>
      </w:r>
    </w:p>
    <w:p w14:paraId="454B1D2F" w14:textId="77777777" w:rsidR="007E4447" w:rsidRDefault="007E4447">
      <w:pPr>
        <w:pStyle w:val="BodyText"/>
      </w:pPr>
    </w:p>
    <w:p w14:paraId="6DAB684B" w14:textId="77777777" w:rsidR="007E4447" w:rsidRDefault="007E4447">
      <w:pPr>
        <w:pStyle w:val="BodyText"/>
        <w:spacing w:before="11"/>
        <w:rPr>
          <w:sz w:val="20"/>
        </w:rPr>
      </w:pPr>
    </w:p>
    <w:p w14:paraId="63CCE561" w14:textId="77777777" w:rsidR="007E4447" w:rsidRDefault="004C6125">
      <w:pPr>
        <w:pStyle w:val="Heading1"/>
      </w:pPr>
      <w:bookmarkStart w:id="2" w:name="_TOC_250021"/>
      <w:bookmarkEnd w:id="2"/>
      <w:r>
        <w:rPr>
          <w:color w:val="CFAB79"/>
        </w:rPr>
        <w:t>TECHNOLOGY SUMMARY</w:t>
      </w:r>
    </w:p>
    <w:p w14:paraId="468895E0" w14:textId="77777777" w:rsidR="007E4447" w:rsidRDefault="004C6125">
      <w:pPr>
        <w:pStyle w:val="BodyText"/>
        <w:spacing w:before="112"/>
        <w:ind w:left="100" w:right="1456"/>
      </w:pPr>
      <w:r>
        <w:t>This measure is defined as a software-controlled switch reluctance motor (SRM) for a fan in a packaged HVAC system. SRMs have been used in industrial applications since the 1850s. The potential for wider use has been realized more recently with the increased availability of cheaper and reliable solid-state switching devices.</w:t>
      </w:r>
    </w:p>
    <w:p w14:paraId="00EA91D6" w14:textId="77777777" w:rsidR="007E4447" w:rsidRDefault="004C6125">
      <w:pPr>
        <w:pStyle w:val="BodyText"/>
        <w:spacing w:before="119"/>
        <w:ind w:left="100" w:right="1423"/>
      </w:pPr>
      <w:proofErr w:type="gramStart"/>
      <w:r>
        <w:t>A</w:t>
      </w:r>
      <w:proofErr w:type="gramEnd"/>
      <w:r>
        <w:t xml:space="preserve"> SRM operates on the principle of minimizing the magnetic reluctance between the rotor pole and stator coil. The stator windings are switched ON and OFF by the controller to pull the rotor towards the next activated winding. This minimizes the magnetic reluctance and creates torque around the motor shaft.</w:t>
      </w:r>
    </w:p>
    <w:p w14:paraId="41E981F4" w14:textId="77777777" w:rsidR="007E4447" w:rsidRDefault="004C6125">
      <w:pPr>
        <w:pStyle w:val="BodyText"/>
        <w:spacing w:before="1"/>
        <w:ind w:left="100" w:right="1470"/>
      </w:pPr>
      <w:r>
        <w:rPr>
          <w:i/>
        </w:rPr>
        <w:t xml:space="preserve">High rotor pole SRMs </w:t>
      </w:r>
      <w:r>
        <w:t>have non-traditional ratios of stator poles to rotor poles (6/10 versus 6/4). Using a non-traditional ratio will reduce rotational travel per excitation and will increase static torque production.</w:t>
      </w:r>
    </w:p>
    <w:p w14:paraId="362B44DC" w14:textId="77777777" w:rsidR="007E4447" w:rsidRDefault="004C6125">
      <w:pPr>
        <w:pStyle w:val="BodyText"/>
        <w:spacing w:before="121"/>
        <w:ind w:left="100" w:right="1671"/>
      </w:pPr>
      <w:r>
        <w:t xml:space="preserve">Additionally, SRMs are inherently variable-speed motors. Variable speed drives (VSDs) on induction motors have a small percentage of efficiency loss. A high rotor pole SRM packaged with an inverter and patented control system, which define a </w:t>
      </w:r>
      <w:proofErr w:type="gramStart"/>
      <w:r>
        <w:t>software-controlled</w:t>
      </w:r>
      <w:proofErr w:type="gramEnd"/>
      <w:r>
        <w:t xml:space="preserve"> SRM, will reduce the efficiency loss from VSD.</w:t>
      </w:r>
    </w:p>
    <w:p w14:paraId="34FD7B59" w14:textId="77777777" w:rsidR="007E4447" w:rsidRDefault="004C6125">
      <w:pPr>
        <w:pStyle w:val="BodyText"/>
        <w:spacing w:before="118"/>
        <w:ind w:left="100" w:right="1489"/>
      </w:pPr>
      <w:proofErr w:type="gramStart"/>
      <w:r>
        <w:t>A</w:t>
      </w:r>
      <w:proofErr w:type="gramEnd"/>
      <w:r>
        <w:t xml:space="preserve"> SRM will outperform a National Electrical Manufacturers Association (NEMA) Premium ® motor at design and part loads. An induction motor is the most common type of NEMA premium-rated motor. The Southern California Edison (SCE) Emerging Products group tested and compared the SRM technology against a standard induction motor in both laboratory and field settings.</w:t>
      </w:r>
      <w:r>
        <w:rPr>
          <w:vertAlign w:val="superscript"/>
        </w:rPr>
        <w:t>1</w:t>
      </w:r>
      <w:r>
        <w:t xml:space="preserve"> This study found that software- controlled SRM saves 11% energy compared to an Induction motor with VSD with a few assumed operating conditions. The results from this study were not directly used in this workpaper because the study was limited to one site and climate zone, whereas the savings from the fan system are highly dependent upon cooling loads which vary by climate zone and building type. Instead, the motor efficiencies published in SRM data sheets were used, along with DEER building prototypes for savings analysis in this workpaper</w:t>
      </w:r>
    </w:p>
    <w:p w14:paraId="7B71CD7C" w14:textId="77777777" w:rsidR="007E4447" w:rsidRDefault="004C6125">
      <w:pPr>
        <w:pStyle w:val="Heading1"/>
        <w:spacing w:before="135"/>
      </w:pPr>
      <w:bookmarkStart w:id="3" w:name="_TOC_250020"/>
      <w:bookmarkEnd w:id="3"/>
      <w:r>
        <w:rPr>
          <w:color w:val="CFAB79"/>
        </w:rPr>
        <w:t>MEASURE CASE DESCRIPTION</w:t>
      </w:r>
    </w:p>
    <w:p w14:paraId="57E50B2D" w14:textId="77777777" w:rsidR="007E4447" w:rsidRDefault="004C6125">
      <w:pPr>
        <w:pStyle w:val="BodyText"/>
        <w:spacing w:before="113"/>
        <w:ind w:left="100" w:right="1825"/>
      </w:pPr>
      <w:r>
        <w:t xml:space="preserve">The measure case is defined as the replacement of an existing supply fan induction motor and VFD controller with a </w:t>
      </w:r>
      <w:proofErr w:type="gramStart"/>
      <w:r>
        <w:t>software-controlled</w:t>
      </w:r>
      <w:proofErr w:type="gramEnd"/>
      <w:r>
        <w:t xml:space="preserve"> SRM in a HVAC packaged unit used in a commercial or industrial building. The measure is applicable to fan motors between 1 to 3 hp (nameplate).</w:t>
      </w:r>
    </w:p>
    <w:p w14:paraId="08EAA461" w14:textId="77777777" w:rsidR="007E4447" w:rsidRDefault="007E4447">
      <w:pPr>
        <w:pStyle w:val="BodyText"/>
        <w:rPr>
          <w:sz w:val="20"/>
        </w:rPr>
      </w:pPr>
    </w:p>
    <w:p w14:paraId="2CB0C759" w14:textId="77777777" w:rsidR="007E4447" w:rsidRDefault="007E4447">
      <w:pPr>
        <w:pStyle w:val="BodyText"/>
        <w:rPr>
          <w:sz w:val="20"/>
        </w:rPr>
      </w:pPr>
    </w:p>
    <w:p w14:paraId="14DC7E52" w14:textId="77777777" w:rsidR="007E4447" w:rsidRDefault="007E4447">
      <w:pPr>
        <w:pStyle w:val="BodyText"/>
        <w:rPr>
          <w:sz w:val="20"/>
        </w:rPr>
      </w:pPr>
    </w:p>
    <w:p w14:paraId="69E6D339" w14:textId="77777777" w:rsidR="007E4447" w:rsidRDefault="00193F71">
      <w:pPr>
        <w:pStyle w:val="BodyText"/>
        <w:spacing w:before="4"/>
        <w:rPr>
          <w:sz w:val="15"/>
        </w:rPr>
      </w:pPr>
      <w:r>
        <w:rPr>
          <w:noProof/>
        </w:rPr>
        <mc:AlternateContent>
          <mc:Choice Requires="wps">
            <w:drawing>
              <wp:anchor distT="0" distB="0" distL="0" distR="0" simplePos="0" relativeHeight="251659264" behindDoc="1" locked="0" layoutInCell="1" allowOverlap="1" wp14:anchorId="71CA76B1" wp14:editId="7F38487A">
                <wp:simplePos x="0" y="0"/>
                <wp:positionH relativeFrom="page">
                  <wp:posOffset>914400</wp:posOffset>
                </wp:positionH>
                <wp:positionV relativeFrom="paragraph">
                  <wp:posOffset>148590</wp:posOffset>
                </wp:positionV>
                <wp:extent cx="1829435" cy="1270"/>
                <wp:effectExtent l="0" t="0" r="0" b="0"/>
                <wp:wrapTopAndBottom/>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53522" id="Freeform 7" o:spid="_x0000_s1026" style="position:absolute;margin-left:1in;margin-top:11.7pt;width:144.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" path="m,l2881,e" filled="f" strokeweight=".72pt">
                <v:path arrowok="t" o:connecttype="custom" o:connectlocs="0,0;1829435,0" o:connectangles="0,0"/>
                <w10:wrap type="topAndBottom" anchorx="page"/>
              </v:shape>
            </w:pict>
          </mc:Fallback>
        </mc:AlternateContent>
      </w:r>
    </w:p>
    <w:p w14:paraId="57421DD4" w14:textId="77777777" w:rsidR="007E4447" w:rsidRDefault="007E4447">
      <w:pPr>
        <w:pStyle w:val="BodyText"/>
        <w:rPr>
          <w:sz w:val="20"/>
        </w:rPr>
      </w:pPr>
    </w:p>
    <w:p w14:paraId="1E7F2BFA" w14:textId="77777777" w:rsidR="007E4447" w:rsidRDefault="007E4447">
      <w:pPr>
        <w:pStyle w:val="BodyText"/>
        <w:rPr>
          <w:sz w:val="20"/>
        </w:rPr>
      </w:pPr>
    </w:p>
    <w:p w14:paraId="0FC6E71F" w14:textId="77777777" w:rsidR="007E4447" w:rsidRDefault="007E4447">
      <w:pPr>
        <w:pStyle w:val="BodyText"/>
        <w:spacing w:before="5"/>
        <w:rPr>
          <w:sz w:val="17"/>
        </w:rPr>
      </w:pPr>
    </w:p>
    <w:p w14:paraId="5C9D46CF" w14:textId="77777777" w:rsidR="007E4447" w:rsidRDefault="004C6125">
      <w:pPr>
        <w:ind w:left="100" w:right="2277"/>
        <w:rPr>
          <w:sz w:val="18"/>
        </w:rPr>
      </w:pPr>
      <w:r>
        <w:rPr>
          <w:position w:val="5"/>
          <w:sz w:val="12"/>
        </w:rPr>
        <w:t xml:space="preserve">1 </w:t>
      </w:r>
      <w:r>
        <w:rPr>
          <w:sz w:val="18"/>
        </w:rPr>
        <w:t xml:space="preserve">Southern California Edison (SCE), Emerging Products. 2018. </w:t>
      </w:r>
      <w:r>
        <w:rPr>
          <w:i/>
          <w:sz w:val="18"/>
        </w:rPr>
        <w:t xml:space="preserve">Software Controlled Switch Reluctance Motors. </w:t>
      </w:r>
      <w:r>
        <w:rPr>
          <w:sz w:val="18"/>
        </w:rPr>
        <w:t>Emerging Technologies Report ET15SCE1330. August.</w:t>
      </w:r>
    </w:p>
    <w:p w14:paraId="18B25608" w14:textId="77777777" w:rsidR="007E4447" w:rsidRDefault="007E4447">
      <w:pPr>
        <w:rPr>
          <w:sz w:val="18"/>
        </w:rPr>
        <w:sectPr w:rsidR="007E4447">
          <w:headerReference w:type="default" r:id="rId9"/>
          <w:footerReference w:type="default" r:id="rId10"/>
          <w:pgSz w:w="12240" w:h="15840"/>
          <w:pgMar w:top="1220" w:right="0" w:bottom="1320" w:left="1340" w:header="855" w:footer="1129" w:gutter="0"/>
          <w:pgNumType w:start="2"/>
          <w:cols w:space="720"/>
        </w:sectPr>
      </w:pPr>
    </w:p>
    <w:p w14:paraId="0C9B3ACA" w14:textId="77777777" w:rsidR="007E4447" w:rsidRDefault="007E4447">
      <w:pPr>
        <w:pStyle w:val="BodyText"/>
        <w:spacing w:before="3"/>
        <w:rPr>
          <w:sz w:val="21"/>
        </w:rPr>
      </w:pPr>
    </w:p>
    <w:p w14:paraId="3A2B0E9B" w14:textId="77777777" w:rsidR="007E4447" w:rsidRDefault="004C6125">
      <w:pPr>
        <w:pStyle w:val="Heading1"/>
        <w:spacing w:before="51"/>
        <w:jc w:val="both"/>
      </w:pPr>
      <w:bookmarkStart w:id="4" w:name="_TOC_250019"/>
      <w:bookmarkEnd w:id="4"/>
      <w:r>
        <w:rPr>
          <w:color w:val="CFAB79"/>
        </w:rPr>
        <w:t>BASE CASE DESCRIPTION</w:t>
      </w:r>
    </w:p>
    <w:p w14:paraId="20DC2521" w14:textId="77777777" w:rsidR="007E4447" w:rsidRDefault="004C6125">
      <w:pPr>
        <w:pStyle w:val="BodyText"/>
        <w:spacing w:before="113"/>
        <w:ind w:left="100" w:right="1475"/>
        <w:jc w:val="both"/>
      </w:pPr>
      <w:r>
        <w:t>The base case is defined as an existing supply fan induction motor and VFD controller in a HVAC packaged unit that meets the California Building Energy Efficiency Standards (Title 24, see Code Requirements). The base case fan motor is an induction NEMA Premium® efficiency motor with variable speed controls.</w:t>
      </w:r>
    </w:p>
    <w:p w14:paraId="38892E24" w14:textId="77777777" w:rsidR="007E4447" w:rsidRDefault="004C6125">
      <w:pPr>
        <w:pStyle w:val="BodyText"/>
        <w:spacing w:before="121"/>
        <w:ind w:left="100"/>
        <w:jc w:val="both"/>
      </w:pPr>
      <w:r>
        <w:t>Base, Standard, and Measure Cases</w:t>
      </w:r>
    </w:p>
    <w:p w14:paraId="01BBFC0A" w14:textId="77777777" w:rsidR="007E4447" w:rsidRDefault="007E4447">
      <w:pPr>
        <w:pStyle w:val="BodyText"/>
        <w:spacing w:before="1"/>
        <w:rPr>
          <w:sz w:val="10"/>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11"/>
        <w:gridCol w:w="6541"/>
      </w:tblGrid>
      <w:tr w:rsidR="007E4447" w14:paraId="51337674" w14:textId="77777777">
        <w:trPr>
          <w:trHeight w:val="244"/>
        </w:trPr>
        <w:tc>
          <w:tcPr>
            <w:tcW w:w="2811" w:type="dxa"/>
            <w:shd w:val="clear" w:color="auto" w:fill="F1F1F1"/>
          </w:tcPr>
          <w:p w14:paraId="23C0C0C2" w14:textId="77777777" w:rsidR="007E4447" w:rsidRDefault="004C6125">
            <w:pPr>
              <w:pStyle w:val="TableParagraph"/>
              <w:spacing w:before="0" w:line="224" w:lineRule="exact"/>
              <w:ind w:left="107"/>
              <w:rPr>
                <w:sz w:val="20"/>
              </w:rPr>
            </w:pPr>
            <w:r>
              <w:rPr>
                <w:sz w:val="20"/>
              </w:rPr>
              <w:t>Case</w:t>
            </w:r>
          </w:p>
        </w:tc>
        <w:tc>
          <w:tcPr>
            <w:tcW w:w="6541" w:type="dxa"/>
            <w:shd w:val="clear" w:color="auto" w:fill="F1F1F1"/>
          </w:tcPr>
          <w:p w14:paraId="34AFA400" w14:textId="77777777" w:rsidR="007E4447" w:rsidRDefault="004C6125">
            <w:pPr>
              <w:pStyle w:val="TableParagraph"/>
              <w:spacing w:before="0" w:line="224" w:lineRule="exact"/>
              <w:ind w:left="105"/>
              <w:rPr>
                <w:sz w:val="20"/>
              </w:rPr>
            </w:pPr>
            <w:r>
              <w:rPr>
                <w:sz w:val="20"/>
              </w:rPr>
              <w:t>Description of Typical Scenario</w:t>
            </w:r>
          </w:p>
        </w:tc>
      </w:tr>
      <w:tr w:rsidR="007E4447" w14:paraId="317B601E" w14:textId="77777777">
        <w:trPr>
          <w:trHeight w:val="244"/>
        </w:trPr>
        <w:tc>
          <w:tcPr>
            <w:tcW w:w="2811" w:type="dxa"/>
          </w:tcPr>
          <w:p w14:paraId="3E5433E8" w14:textId="77777777" w:rsidR="007E4447" w:rsidRDefault="004C6125">
            <w:pPr>
              <w:pStyle w:val="TableParagraph"/>
              <w:spacing w:before="0" w:line="224" w:lineRule="exact"/>
              <w:ind w:left="107"/>
              <w:rPr>
                <w:sz w:val="20"/>
              </w:rPr>
            </w:pPr>
            <w:r>
              <w:rPr>
                <w:sz w:val="20"/>
              </w:rPr>
              <w:t>Measure</w:t>
            </w:r>
          </w:p>
        </w:tc>
        <w:tc>
          <w:tcPr>
            <w:tcW w:w="6541" w:type="dxa"/>
          </w:tcPr>
          <w:p w14:paraId="3F58171C" w14:textId="77777777" w:rsidR="007E4447" w:rsidRDefault="004C6125">
            <w:pPr>
              <w:pStyle w:val="TableParagraph"/>
              <w:spacing w:before="0" w:line="224" w:lineRule="exact"/>
              <w:ind w:left="105"/>
              <w:rPr>
                <w:sz w:val="20"/>
              </w:rPr>
            </w:pPr>
            <w:r>
              <w:rPr>
                <w:sz w:val="20"/>
              </w:rPr>
              <w:t>Software-controlled switch reluctance motor (SRM)</w:t>
            </w:r>
          </w:p>
        </w:tc>
      </w:tr>
      <w:tr w:rsidR="007E4447" w14:paraId="121CC402" w14:textId="77777777">
        <w:trPr>
          <w:trHeight w:val="244"/>
        </w:trPr>
        <w:tc>
          <w:tcPr>
            <w:tcW w:w="2811" w:type="dxa"/>
          </w:tcPr>
          <w:p w14:paraId="65233BA8" w14:textId="77777777" w:rsidR="007E4447" w:rsidRDefault="004C6125">
            <w:pPr>
              <w:pStyle w:val="TableParagraph"/>
              <w:spacing w:before="0" w:line="224" w:lineRule="exact"/>
              <w:ind w:left="107"/>
              <w:rPr>
                <w:sz w:val="20"/>
              </w:rPr>
            </w:pPr>
            <w:r>
              <w:rPr>
                <w:sz w:val="20"/>
              </w:rPr>
              <w:t>Existing Condition</w:t>
            </w:r>
          </w:p>
        </w:tc>
        <w:tc>
          <w:tcPr>
            <w:tcW w:w="6541" w:type="dxa"/>
          </w:tcPr>
          <w:p w14:paraId="13B4974B" w14:textId="77777777" w:rsidR="007E4447" w:rsidRDefault="004C6125">
            <w:pPr>
              <w:pStyle w:val="TableParagraph"/>
              <w:spacing w:before="0" w:line="224" w:lineRule="exact"/>
              <w:ind w:left="105"/>
              <w:rPr>
                <w:i/>
                <w:sz w:val="20"/>
              </w:rPr>
            </w:pPr>
            <w:r>
              <w:rPr>
                <w:sz w:val="20"/>
              </w:rPr>
              <w:t xml:space="preserve">NEMA Premium efficiency motor  </w:t>
            </w:r>
            <w:r>
              <w:rPr>
                <w:i/>
                <w:w w:val="99"/>
                <w:sz w:val="20"/>
              </w:rPr>
              <w:t xml:space="preserve"> </w:t>
            </w:r>
          </w:p>
        </w:tc>
      </w:tr>
      <w:tr w:rsidR="007E4447" w14:paraId="71AC797A" w14:textId="77777777">
        <w:trPr>
          <w:trHeight w:val="241"/>
        </w:trPr>
        <w:tc>
          <w:tcPr>
            <w:tcW w:w="2811" w:type="dxa"/>
          </w:tcPr>
          <w:p w14:paraId="74983732" w14:textId="77777777" w:rsidR="007E4447" w:rsidRDefault="004C6125">
            <w:pPr>
              <w:pStyle w:val="TableParagraph"/>
              <w:spacing w:before="0" w:line="222" w:lineRule="exact"/>
              <w:ind w:left="107"/>
              <w:rPr>
                <w:sz w:val="20"/>
              </w:rPr>
            </w:pPr>
            <w:r>
              <w:rPr>
                <w:sz w:val="20"/>
              </w:rPr>
              <w:t>Code/Standard</w:t>
            </w:r>
          </w:p>
        </w:tc>
        <w:tc>
          <w:tcPr>
            <w:tcW w:w="6541" w:type="dxa"/>
          </w:tcPr>
          <w:p w14:paraId="0E8A7B65" w14:textId="77777777" w:rsidR="007E4447" w:rsidRDefault="004C6125">
            <w:pPr>
              <w:pStyle w:val="TableParagraph"/>
              <w:spacing w:before="0" w:line="222" w:lineRule="exact"/>
              <w:ind w:left="105"/>
              <w:rPr>
                <w:sz w:val="20"/>
              </w:rPr>
            </w:pPr>
            <w:r>
              <w:rPr>
                <w:sz w:val="20"/>
              </w:rPr>
              <w:t>NEMA Premium efficiency motor</w:t>
            </w:r>
          </w:p>
        </w:tc>
      </w:tr>
      <w:tr w:rsidR="007E4447" w14:paraId="1A8B4D8E" w14:textId="77777777">
        <w:trPr>
          <w:trHeight w:val="246"/>
        </w:trPr>
        <w:tc>
          <w:tcPr>
            <w:tcW w:w="2811" w:type="dxa"/>
          </w:tcPr>
          <w:p w14:paraId="00BD2879" w14:textId="77777777" w:rsidR="007E4447" w:rsidRDefault="004C6125">
            <w:pPr>
              <w:pStyle w:val="TableParagraph"/>
              <w:spacing w:before="1" w:line="225" w:lineRule="exact"/>
              <w:ind w:left="107"/>
              <w:rPr>
                <w:sz w:val="20"/>
              </w:rPr>
            </w:pPr>
            <w:r>
              <w:rPr>
                <w:sz w:val="20"/>
              </w:rPr>
              <w:t>Industry Standard Practice (ISP)</w:t>
            </w:r>
          </w:p>
        </w:tc>
        <w:tc>
          <w:tcPr>
            <w:tcW w:w="6541" w:type="dxa"/>
          </w:tcPr>
          <w:p w14:paraId="73C653D7" w14:textId="77777777" w:rsidR="007E4447" w:rsidRDefault="004C6125">
            <w:pPr>
              <w:pStyle w:val="TableParagraph"/>
              <w:spacing w:before="1" w:line="225" w:lineRule="exact"/>
              <w:ind w:left="105"/>
              <w:rPr>
                <w:i/>
                <w:sz w:val="20"/>
              </w:rPr>
            </w:pPr>
            <w:r>
              <w:rPr>
                <w:sz w:val="20"/>
              </w:rPr>
              <w:t xml:space="preserve">NEMA Premium efficiency motor  </w:t>
            </w:r>
            <w:r>
              <w:rPr>
                <w:i/>
                <w:w w:val="99"/>
                <w:sz w:val="20"/>
              </w:rPr>
              <w:t xml:space="preserve"> </w:t>
            </w:r>
          </w:p>
        </w:tc>
      </w:tr>
    </w:tbl>
    <w:p w14:paraId="6D2AF58F" w14:textId="77777777" w:rsidR="007E4447" w:rsidRDefault="007E4447">
      <w:pPr>
        <w:pStyle w:val="BodyText"/>
      </w:pPr>
    </w:p>
    <w:p w14:paraId="241B58E6" w14:textId="77777777" w:rsidR="007E4447" w:rsidRDefault="007E4447">
      <w:pPr>
        <w:pStyle w:val="BodyText"/>
        <w:spacing w:before="5"/>
        <w:rPr>
          <w:sz w:val="20"/>
        </w:rPr>
      </w:pPr>
    </w:p>
    <w:p w14:paraId="482E4366" w14:textId="77777777" w:rsidR="007E4447" w:rsidRDefault="004C6125">
      <w:pPr>
        <w:pStyle w:val="Heading1"/>
        <w:jc w:val="both"/>
      </w:pPr>
      <w:bookmarkStart w:id="5" w:name="_TOC_250018"/>
      <w:bookmarkEnd w:id="5"/>
      <w:r>
        <w:rPr>
          <w:color w:val="CFAB79"/>
        </w:rPr>
        <w:t>CODE REQUIREMENTS</w:t>
      </w:r>
    </w:p>
    <w:p w14:paraId="31DC83B6" w14:textId="77777777" w:rsidR="007E4447" w:rsidRDefault="004C6125">
      <w:pPr>
        <w:pStyle w:val="BodyText"/>
        <w:spacing w:before="113"/>
        <w:ind w:left="100"/>
        <w:jc w:val="both"/>
      </w:pPr>
      <w:r>
        <w:t>The equipment that is the subject of this measure is governed by federal code and California standards.</w:t>
      </w:r>
    </w:p>
    <w:p w14:paraId="73B5A6EB" w14:textId="77777777" w:rsidR="007E4447" w:rsidRDefault="007E4447">
      <w:pPr>
        <w:pStyle w:val="BodyText"/>
        <w:spacing w:before="2"/>
        <w:rPr>
          <w:sz w:val="23"/>
        </w:rPr>
      </w:pPr>
    </w:p>
    <w:p w14:paraId="1AD1825B" w14:textId="77777777" w:rsidR="007E4447" w:rsidRDefault="004C6125">
      <w:pPr>
        <w:ind w:left="100"/>
        <w:jc w:val="both"/>
        <w:rPr>
          <w:sz w:val="20"/>
        </w:rPr>
      </w:pPr>
      <w:r>
        <w:rPr>
          <w:sz w:val="20"/>
        </w:rPr>
        <w:t>Applicable State and Federal Codes and Standards</w:t>
      </w:r>
    </w:p>
    <w:p w14:paraId="72828FA2" w14:textId="77777777" w:rsidR="007E4447" w:rsidRDefault="007E4447">
      <w:pPr>
        <w:pStyle w:val="BodyText"/>
        <w:spacing w:before="8"/>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596"/>
        <w:gridCol w:w="4321"/>
        <w:gridCol w:w="1620"/>
      </w:tblGrid>
      <w:tr w:rsidR="007E4447" w14:paraId="5FB6290C" w14:textId="77777777">
        <w:trPr>
          <w:trHeight w:val="285"/>
        </w:trPr>
        <w:tc>
          <w:tcPr>
            <w:tcW w:w="3596" w:type="dxa"/>
            <w:shd w:val="clear" w:color="auto" w:fill="F1F1F1"/>
          </w:tcPr>
          <w:p w14:paraId="15CD2AFF" w14:textId="77777777" w:rsidR="007E4447" w:rsidRDefault="004C6125">
            <w:pPr>
              <w:pStyle w:val="TableParagraph"/>
              <w:ind w:left="107"/>
              <w:rPr>
                <w:sz w:val="20"/>
              </w:rPr>
            </w:pPr>
            <w:r>
              <w:rPr>
                <w:sz w:val="20"/>
              </w:rPr>
              <w:t>Code</w:t>
            </w:r>
          </w:p>
        </w:tc>
        <w:tc>
          <w:tcPr>
            <w:tcW w:w="4321" w:type="dxa"/>
            <w:shd w:val="clear" w:color="auto" w:fill="F1F1F1"/>
          </w:tcPr>
          <w:p w14:paraId="7AF736E6" w14:textId="77777777" w:rsidR="007E4447" w:rsidRDefault="004C6125">
            <w:pPr>
              <w:pStyle w:val="TableParagraph"/>
              <w:ind w:left="1099"/>
              <w:rPr>
                <w:sz w:val="20"/>
              </w:rPr>
            </w:pPr>
            <w:r>
              <w:rPr>
                <w:sz w:val="20"/>
              </w:rPr>
              <w:t>Applicable Code Reference</w:t>
            </w:r>
          </w:p>
        </w:tc>
        <w:tc>
          <w:tcPr>
            <w:tcW w:w="1620" w:type="dxa"/>
            <w:shd w:val="clear" w:color="auto" w:fill="F1F1F1"/>
          </w:tcPr>
          <w:p w14:paraId="79021395" w14:textId="77777777" w:rsidR="007E4447" w:rsidRDefault="004C6125">
            <w:pPr>
              <w:pStyle w:val="TableParagraph"/>
              <w:ind w:left="258"/>
              <w:rPr>
                <w:sz w:val="20"/>
              </w:rPr>
            </w:pPr>
            <w:r>
              <w:rPr>
                <w:sz w:val="20"/>
              </w:rPr>
              <w:t>Effective Date</w:t>
            </w:r>
          </w:p>
        </w:tc>
      </w:tr>
      <w:tr w:rsidR="007E4447" w14:paraId="5518FC42" w14:textId="77777777">
        <w:trPr>
          <w:trHeight w:val="527"/>
        </w:trPr>
        <w:tc>
          <w:tcPr>
            <w:tcW w:w="3596" w:type="dxa"/>
          </w:tcPr>
          <w:p w14:paraId="6A519D2E" w14:textId="77777777" w:rsidR="007E4447" w:rsidRDefault="004C6125">
            <w:pPr>
              <w:pStyle w:val="TableParagraph"/>
              <w:spacing w:line="240" w:lineRule="atLeast"/>
              <w:ind w:left="107" w:right="464"/>
              <w:rPr>
                <w:sz w:val="20"/>
              </w:rPr>
            </w:pPr>
            <w:r>
              <w:rPr>
                <w:sz w:val="20"/>
              </w:rPr>
              <w:t>CA Appliance Efficiency Regulations – Title 20</w:t>
            </w:r>
          </w:p>
        </w:tc>
        <w:tc>
          <w:tcPr>
            <w:tcW w:w="4321" w:type="dxa"/>
          </w:tcPr>
          <w:p w14:paraId="5807D629" w14:textId="77777777" w:rsidR="007E4447" w:rsidRDefault="004C6125">
            <w:pPr>
              <w:pStyle w:val="TableParagraph"/>
              <w:ind w:left="107"/>
              <w:rPr>
                <w:sz w:val="20"/>
              </w:rPr>
            </w:pPr>
            <w:r>
              <w:rPr>
                <w:sz w:val="20"/>
              </w:rPr>
              <w:t>None</w:t>
            </w:r>
          </w:p>
        </w:tc>
        <w:tc>
          <w:tcPr>
            <w:tcW w:w="1620" w:type="dxa"/>
          </w:tcPr>
          <w:p w14:paraId="3FAFC4AD" w14:textId="77777777" w:rsidR="007E4447" w:rsidRDefault="004C6125">
            <w:pPr>
              <w:pStyle w:val="TableParagraph"/>
              <w:ind w:left="107"/>
              <w:rPr>
                <w:sz w:val="20"/>
              </w:rPr>
            </w:pPr>
            <w:r>
              <w:rPr>
                <w:sz w:val="20"/>
              </w:rPr>
              <w:t>n/a</w:t>
            </w:r>
          </w:p>
        </w:tc>
      </w:tr>
      <w:tr w:rsidR="007E4447" w14:paraId="5FC77322" w14:textId="77777777">
        <w:trPr>
          <w:trHeight w:val="527"/>
        </w:trPr>
        <w:tc>
          <w:tcPr>
            <w:tcW w:w="3596" w:type="dxa"/>
          </w:tcPr>
          <w:p w14:paraId="3A9260E5" w14:textId="77777777" w:rsidR="007E4447" w:rsidRDefault="004C6125">
            <w:pPr>
              <w:pStyle w:val="TableParagraph"/>
              <w:spacing w:line="240" w:lineRule="atLeast"/>
              <w:ind w:left="107" w:right="148"/>
              <w:rPr>
                <w:sz w:val="20"/>
              </w:rPr>
            </w:pPr>
            <w:r>
              <w:rPr>
                <w:sz w:val="20"/>
              </w:rPr>
              <w:t>CA Building Energy Efficiency Standards – Title 24 (2019)</w:t>
            </w:r>
          </w:p>
        </w:tc>
        <w:tc>
          <w:tcPr>
            <w:tcW w:w="4321" w:type="dxa"/>
          </w:tcPr>
          <w:p w14:paraId="1C9C00C5" w14:textId="77777777" w:rsidR="007E4447" w:rsidRDefault="004C6125">
            <w:pPr>
              <w:pStyle w:val="TableParagraph"/>
              <w:ind w:left="107"/>
              <w:rPr>
                <w:sz w:val="20"/>
              </w:rPr>
            </w:pPr>
            <w:r>
              <w:rPr>
                <w:sz w:val="20"/>
              </w:rPr>
              <w:t>Sections 140.4 (a) 5, 140.4 (c) 1, 140.4 (c) 3</w:t>
            </w:r>
          </w:p>
        </w:tc>
        <w:tc>
          <w:tcPr>
            <w:tcW w:w="1620" w:type="dxa"/>
          </w:tcPr>
          <w:p w14:paraId="27D6354C" w14:textId="77777777" w:rsidR="007E4447" w:rsidRDefault="004C6125">
            <w:pPr>
              <w:pStyle w:val="TableParagraph"/>
              <w:ind w:left="107"/>
              <w:rPr>
                <w:sz w:val="20"/>
              </w:rPr>
            </w:pPr>
            <w:r>
              <w:rPr>
                <w:sz w:val="20"/>
              </w:rPr>
              <w:t>January 1, 2020</w:t>
            </w:r>
          </w:p>
        </w:tc>
      </w:tr>
      <w:tr w:rsidR="007E4447" w14:paraId="7C78CECF" w14:textId="77777777">
        <w:trPr>
          <w:trHeight w:val="597"/>
        </w:trPr>
        <w:tc>
          <w:tcPr>
            <w:tcW w:w="3596" w:type="dxa"/>
          </w:tcPr>
          <w:p w14:paraId="0198C6FB" w14:textId="77777777" w:rsidR="007E4447" w:rsidRDefault="004C6125">
            <w:pPr>
              <w:pStyle w:val="TableParagraph"/>
              <w:ind w:left="107"/>
              <w:rPr>
                <w:sz w:val="20"/>
              </w:rPr>
            </w:pPr>
            <w:r>
              <w:rPr>
                <w:sz w:val="20"/>
              </w:rPr>
              <w:t>Federal Standards (Title 10)</w:t>
            </w:r>
          </w:p>
        </w:tc>
        <w:tc>
          <w:tcPr>
            <w:tcW w:w="4321" w:type="dxa"/>
          </w:tcPr>
          <w:p w14:paraId="5D1646AD" w14:textId="77777777" w:rsidR="007E4447" w:rsidRDefault="004C6125">
            <w:pPr>
              <w:pStyle w:val="TableParagraph"/>
              <w:spacing w:before="18"/>
              <w:ind w:left="107"/>
            </w:pPr>
            <w:r>
              <w:t>Subpart B 431.25 (h)</w:t>
            </w:r>
          </w:p>
          <w:p w14:paraId="3AA23D3B" w14:textId="77777777" w:rsidR="007E4447" w:rsidRDefault="004C6125">
            <w:pPr>
              <w:pStyle w:val="TableParagraph"/>
              <w:spacing w:before="22"/>
              <w:ind w:left="107"/>
            </w:pPr>
            <w:r>
              <w:t>Subpart X section 431.446 (a)</w:t>
            </w:r>
          </w:p>
        </w:tc>
        <w:tc>
          <w:tcPr>
            <w:tcW w:w="1620" w:type="dxa"/>
          </w:tcPr>
          <w:p w14:paraId="7D13D254" w14:textId="77777777" w:rsidR="007E4447" w:rsidRDefault="004C6125">
            <w:pPr>
              <w:pStyle w:val="TableParagraph"/>
              <w:ind w:left="107"/>
              <w:rPr>
                <w:sz w:val="20"/>
              </w:rPr>
            </w:pPr>
            <w:r>
              <w:rPr>
                <w:sz w:val="20"/>
              </w:rPr>
              <w:t>January 1, 2019</w:t>
            </w:r>
          </w:p>
        </w:tc>
      </w:tr>
    </w:tbl>
    <w:p w14:paraId="41A2C36D" w14:textId="77777777" w:rsidR="007E4447" w:rsidRDefault="007E4447">
      <w:pPr>
        <w:pStyle w:val="BodyText"/>
        <w:rPr>
          <w:sz w:val="20"/>
        </w:rPr>
      </w:pPr>
    </w:p>
    <w:p w14:paraId="1C2FF98D" w14:textId="77777777" w:rsidR="007E4447" w:rsidRDefault="007E4447">
      <w:pPr>
        <w:pStyle w:val="BodyText"/>
        <w:spacing w:before="5"/>
        <w:rPr>
          <w:sz w:val="21"/>
        </w:rPr>
      </w:pPr>
    </w:p>
    <w:p w14:paraId="77855E9A" w14:textId="77777777" w:rsidR="007E4447" w:rsidRDefault="004C6125">
      <w:pPr>
        <w:pStyle w:val="BodyText"/>
        <w:spacing w:before="1"/>
        <w:ind w:left="100" w:right="1655"/>
      </w:pPr>
      <w:r>
        <w:t>Title 10 of the Code for Federal Regulations, Subpart B 431.25 (h)</w:t>
      </w:r>
      <w:r>
        <w:rPr>
          <w:vertAlign w:val="superscript"/>
        </w:rPr>
        <w:t>2</w:t>
      </w:r>
      <w:r>
        <w:t xml:space="preserve"> specifies the nominal full load efficiencies for NEMA Design A, Design B and Design C motors for motor power rating of 1 hp to 200 hp manufactured after June 1, 2016.</w:t>
      </w:r>
    </w:p>
    <w:p w14:paraId="528B259E" w14:textId="77777777" w:rsidR="007E4447" w:rsidRDefault="004C6125">
      <w:pPr>
        <w:pStyle w:val="BodyText"/>
        <w:spacing w:before="120"/>
        <w:ind w:left="100" w:right="1788"/>
      </w:pPr>
      <w:r>
        <w:t>Design B motors account for most of the induction motors sold. A portion of Table 5 from CFR Title 10 Subpart B 431.25 (h) is provided below.</w:t>
      </w:r>
    </w:p>
    <w:p w14:paraId="3F2EF8FD" w14:textId="77777777" w:rsidR="007E4447" w:rsidRDefault="007E4447">
      <w:pPr>
        <w:pStyle w:val="BodyText"/>
        <w:rPr>
          <w:sz w:val="20"/>
        </w:rPr>
      </w:pPr>
    </w:p>
    <w:p w14:paraId="0812CC8B" w14:textId="77777777" w:rsidR="007E4447" w:rsidRDefault="007E4447">
      <w:pPr>
        <w:pStyle w:val="BodyText"/>
        <w:rPr>
          <w:sz w:val="20"/>
        </w:rPr>
      </w:pPr>
    </w:p>
    <w:p w14:paraId="543DA0AD" w14:textId="77777777" w:rsidR="007E4447" w:rsidRDefault="007E4447">
      <w:pPr>
        <w:pStyle w:val="BodyText"/>
        <w:rPr>
          <w:sz w:val="20"/>
        </w:rPr>
      </w:pPr>
    </w:p>
    <w:p w14:paraId="5B49DED1" w14:textId="77777777" w:rsidR="007E4447" w:rsidRDefault="007E4447">
      <w:pPr>
        <w:pStyle w:val="BodyText"/>
        <w:rPr>
          <w:sz w:val="20"/>
        </w:rPr>
      </w:pPr>
    </w:p>
    <w:p w14:paraId="3BF5ED30" w14:textId="77777777" w:rsidR="007E4447" w:rsidRDefault="007E4447">
      <w:pPr>
        <w:pStyle w:val="BodyText"/>
        <w:rPr>
          <w:sz w:val="20"/>
        </w:rPr>
      </w:pPr>
    </w:p>
    <w:p w14:paraId="64992E8A" w14:textId="77777777" w:rsidR="007E4447" w:rsidRDefault="007E4447">
      <w:pPr>
        <w:pStyle w:val="BodyText"/>
        <w:rPr>
          <w:sz w:val="20"/>
        </w:rPr>
      </w:pPr>
    </w:p>
    <w:p w14:paraId="639B57BF" w14:textId="77777777" w:rsidR="007E4447" w:rsidRDefault="007E4447">
      <w:pPr>
        <w:pStyle w:val="BodyText"/>
        <w:rPr>
          <w:sz w:val="20"/>
        </w:rPr>
      </w:pPr>
    </w:p>
    <w:p w14:paraId="59821EA4" w14:textId="77777777" w:rsidR="007E4447" w:rsidRDefault="007E4447">
      <w:pPr>
        <w:pStyle w:val="BodyText"/>
        <w:rPr>
          <w:sz w:val="20"/>
        </w:rPr>
      </w:pPr>
    </w:p>
    <w:p w14:paraId="6FDE54C3" w14:textId="77777777" w:rsidR="007E4447" w:rsidRDefault="007E4447">
      <w:pPr>
        <w:pStyle w:val="BodyText"/>
        <w:rPr>
          <w:sz w:val="20"/>
        </w:rPr>
      </w:pPr>
    </w:p>
    <w:p w14:paraId="3F66BF37" w14:textId="77777777" w:rsidR="007E4447" w:rsidRDefault="007E4447">
      <w:pPr>
        <w:pStyle w:val="BodyText"/>
        <w:rPr>
          <w:sz w:val="20"/>
        </w:rPr>
      </w:pPr>
    </w:p>
    <w:p w14:paraId="63C27CEA" w14:textId="77777777" w:rsidR="007E4447" w:rsidRDefault="007E4447">
      <w:pPr>
        <w:pStyle w:val="BodyText"/>
        <w:rPr>
          <w:sz w:val="20"/>
        </w:rPr>
      </w:pPr>
    </w:p>
    <w:p w14:paraId="373F1857" w14:textId="77777777" w:rsidR="007E4447" w:rsidRDefault="007E4447">
      <w:pPr>
        <w:pStyle w:val="BodyText"/>
        <w:rPr>
          <w:sz w:val="20"/>
        </w:rPr>
      </w:pPr>
    </w:p>
    <w:p w14:paraId="0A959AB3" w14:textId="77777777" w:rsidR="007E4447" w:rsidRDefault="00193F71">
      <w:pPr>
        <w:pStyle w:val="BodyText"/>
        <w:spacing w:before="3"/>
        <w:rPr>
          <w:sz w:val="14"/>
        </w:rPr>
      </w:pPr>
      <w:r>
        <w:rPr>
          <w:noProof/>
        </w:rPr>
        <mc:AlternateContent>
          <mc:Choice Requires="wps">
            <w:drawing>
              <wp:anchor distT="0" distB="0" distL="0" distR="0" simplePos="0" relativeHeight="251660288" behindDoc="1" locked="0" layoutInCell="1" allowOverlap="1" wp14:anchorId="2D416AFB" wp14:editId="41B1DFFF">
                <wp:simplePos x="0" y="0"/>
                <wp:positionH relativeFrom="page">
                  <wp:posOffset>914400</wp:posOffset>
                </wp:positionH>
                <wp:positionV relativeFrom="paragraph">
                  <wp:posOffset>140335</wp:posOffset>
                </wp:positionV>
                <wp:extent cx="1829435" cy="1270"/>
                <wp:effectExtent l="0" t="0" r="0" b="0"/>
                <wp:wrapTopAndBottom/>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5E5AA" id="Freeform 6" o:spid="_x0000_s1026" style="position:absolute;margin-left:1in;margin-top:11.05pt;width:144.0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" path="m,l2881,e" filled="f" strokeweight=".72pt">
                <v:path arrowok="t" o:connecttype="custom" o:connectlocs="0,0;1829435,0" o:connectangles="0,0"/>
                <w10:wrap type="topAndBottom" anchorx="page"/>
              </v:shape>
            </w:pict>
          </mc:Fallback>
        </mc:AlternateContent>
      </w:r>
    </w:p>
    <w:p w14:paraId="285C7762" w14:textId="77777777" w:rsidR="007E4447" w:rsidRDefault="007E4447">
      <w:pPr>
        <w:pStyle w:val="BodyText"/>
        <w:rPr>
          <w:sz w:val="20"/>
        </w:rPr>
      </w:pPr>
    </w:p>
    <w:p w14:paraId="7E5CA079" w14:textId="77777777" w:rsidR="007E4447" w:rsidRDefault="007E4447">
      <w:pPr>
        <w:pStyle w:val="BodyText"/>
        <w:spacing w:before="9"/>
        <w:rPr>
          <w:sz w:val="21"/>
        </w:rPr>
      </w:pPr>
    </w:p>
    <w:p w14:paraId="428532CD" w14:textId="77777777" w:rsidR="007E4447" w:rsidRDefault="004C6125">
      <w:pPr>
        <w:spacing w:before="69"/>
        <w:ind w:left="100"/>
        <w:rPr>
          <w:sz w:val="18"/>
        </w:rPr>
      </w:pPr>
      <w:r>
        <w:rPr>
          <w:position w:val="5"/>
          <w:sz w:val="12"/>
        </w:rPr>
        <w:t xml:space="preserve">2 </w:t>
      </w:r>
      <w:r>
        <w:rPr>
          <w:sz w:val="18"/>
        </w:rPr>
        <w:t>Code of Federal Regulations at 10 CFR 431.25 (h).</w:t>
      </w:r>
    </w:p>
    <w:p w14:paraId="0AFAAB3B" w14:textId="77777777" w:rsidR="007E4447" w:rsidRDefault="007E4447">
      <w:pPr>
        <w:rPr>
          <w:sz w:val="18"/>
        </w:rPr>
        <w:sectPr w:rsidR="007E4447">
          <w:pgSz w:w="12240" w:h="15840"/>
          <w:pgMar w:top="1220" w:right="0" w:bottom="1320" w:left="1340" w:header="855" w:footer="1129" w:gutter="0"/>
          <w:cols w:space="720"/>
        </w:sectPr>
      </w:pPr>
    </w:p>
    <w:p w14:paraId="4D87B838" w14:textId="77777777" w:rsidR="007E4447" w:rsidRDefault="007E4447">
      <w:pPr>
        <w:pStyle w:val="BodyText"/>
        <w:spacing w:before="10"/>
        <w:rPr>
          <w:sz w:val="19"/>
        </w:rPr>
      </w:pPr>
    </w:p>
    <w:p w14:paraId="6AB3289D" w14:textId="77777777" w:rsidR="007E4447" w:rsidRDefault="004C6125">
      <w:pPr>
        <w:spacing w:before="59"/>
        <w:ind w:left="100" w:right="1456"/>
        <w:rPr>
          <w:sz w:val="20"/>
        </w:rPr>
      </w:pPr>
      <w:r>
        <w:rPr>
          <w:sz w:val="20"/>
        </w:rPr>
        <w:t>Nominal</w:t>
      </w:r>
      <w:r>
        <w:rPr>
          <w:spacing w:val="-13"/>
          <w:sz w:val="20"/>
        </w:rPr>
        <w:t xml:space="preserve"> </w:t>
      </w:r>
      <w:r>
        <w:rPr>
          <w:sz w:val="20"/>
        </w:rPr>
        <w:t>Full-Load</w:t>
      </w:r>
      <w:r>
        <w:rPr>
          <w:spacing w:val="-10"/>
          <w:sz w:val="20"/>
        </w:rPr>
        <w:t xml:space="preserve"> </w:t>
      </w:r>
      <w:r>
        <w:rPr>
          <w:sz w:val="20"/>
        </w:rPr>
        <w:t>Efficiencies</w:t>
      </w:r>
      <w:r>
        <w:rPr>
          <w:spacing w:val="-12"/>
          <w:sz w:val="20"/>
        </w:rPr>
        <w:t xml:space="preserve"> </w:t>
      </w:r>
      <w:r>
        <w:rPr>
          <w:sz w:val="20"/>
        </w:rPr>
        <w:t>of</w:t>
      </w:r>
      <w:r>
        <w:rPr>
          <w:spacing w:val="-11"/>
          <w:sz w:val="20"/>
        </w:rPr>
        <w:t xml:space="preserve"> </w:t>
      </w:r>
      <w:r>
        <w:rPr>
          <w:sz w:val="20"/>
        </w:rPr>
        <w:t>NEMA</w:t>
      </w:r>
      <w:r>
        <w:rPr>
          <w:spacing w:val="-14"/>
          <w:sz w:val="20"/>
        </w:rPr>
        <w:t xml:space="preserve"> </w:t>
      </w:r>
      <w:r>
        <w:rPr>
          <w:sz w:val="20"/>
        </w:rPr>
        <w:t>Design</w:t>
      </w:r>
      <w:r>
        <w:rPr>
          <w:spacing w:val="-12"/>
          <w:sz w:val="20"/>
        </w:rPr>
        <w:t xml:space="preserve"> </w:t>
      </w:r>
      <w:r>
        <w:rPr>
          <w:sz w:val="20"/>
        </w:rPr>
        <w:t>A,</w:t>
      </w:r>
      <w:r>
        <w:rPr>
          <w:spacing w:val="-11"/>
          <w:sz w:val="20"/>
        </w:rPr>
        <w:t xml:space="preserve"> </w:t>
      </w:r>
      <w:r>
        <w:rPr>
          <w:sz w:val="20"/>
        </w:rPr>
        <w:t>NEMA</w:t>
      </w:r>
      <w:r>
        <w:rPr>
          <w:spacing w:val="-12"/>
          <w:sz w:val="20"/>
        </w:rPr>
        <w:t xml:space="preserve"> </w:t>
      </w:r>
      <w:r>
        <w:rPr>
          <w:sz w:val="20"/>
        </w:rPr>
        <w:t>Design</w:t>
      </w:r>
      <w:r>
        <w:rPr>
          <w:spacing w:val="-10"/>
          <w:sz w:val="20"/>
        </w:rPr>
        <w:t xml:space="preserve"> </w:t>
      </w:r>
      <w:r>
        <w:rPr>
          <w:sz w:val="20"/>
        </w:rPr>
        <w:t>B</w:t>
      </w:r>
      <w:r>
        <w:rPr>
          <w:spacing w:val="-12"/>
          <w:sz w:val="20"/>
        </w:rPr>
        <w:t xml:space="preserve"> </w:t>
      </w:r>
      <w:r>
        <w:rPr>
          <w:sz w:val="20"/>
        </w:rPr>
        <w:t>and</w:t>
      </w:r>
      <w:r>
        <w:rPr>
          <w:spacing w:val="-10"/>
          <w:sz w:val="20"/>
        </w:rPr>
        <w:t xml:space="preserve"> </w:t>
      </w:r>
      <w:r>
        <w:rPr>
          <w:sz w:val="20"/>
        </w:rPr>
        <w:t>IEC</w:t>
      </w:r>
      <w:r>
        <w:rPr>
          <w:spacing w:val="-11"/>
          <w:sz w:val="20"/>
        </w:rPr>
        <w:t xml:space="preserve"> </w:t>
      </w:r>
      <w:r>
        <w:rPr>
          <w:sz w:val="20"/>
        </w:rPr>
        <w:t>Design</w:t>
      </w:r>
      <w:r>
        <w:rPr>
          <w:spacing w:val="-10"/>
          <w:sz w:val="20"/>
        </w:rPr>
        <w:t xml:space="preserve"> </w:t>
      </w:r>
      <w:r>
        <w:rPr>
          <w:sz w:val="20"/>
        </w:rPr>
        <w:t>N</w:t>
      </w:r>
      <w:r>
        <w:rPr>
          <w:spacing w:val="-12"/>
          <w:sz w:val="20"/>
        </w:rPr>
        <w:t xml:space="preserve"> </w:t>
      </w:r>
      <w:r>
        <w:rPr>
          <w:sz w:val="20"/>
        </w:rPr>
        <w:t>Motors</w:t>
      </w:r>
      <w:r>
        <w:rPr>
          <w:spacing w:val="-12"/>
          <w:sz w:val="20"/>
        </w:rPr>
        <w:t xml:space="preserve"> </w:t>
      </w:r>
      <w:r>
        <w:rPr>
          <w:sz w:val="20"/>
        </w:rPr>
        <w:t>(Excluding</w:t>
      </w:r>
      <w:r>
        <w:rPr>
          <w:spacing w:val="-15"/>
          <w:sz w:val="20"/>
        </w:rPr>
        <w:t xml:space="preserve"> </w:t>
      </w:r>
      <w:r>
        <w:rPr>
          <w:sz w:val="20"/>
        </w:rPr>
        <w:t>Fire</w:t>
      </w:r>
      <w:r>
        <w:rPr>
          <w:spacing w:val="-12"/>
          <w:sz w:val="20"/>
        </w:rPr>
        <w:t xml:space="preserve"> </w:t>
      </w:r>
      <w:r>
        <w:rPr>
          <w:sz w:val="20"/>
        </w:rPr>
        <w:t xml:space="preserve">Pump Electric </w:t>
      </w:r>
      <w:r>
        <w:rPr>
          <w:spacing w:val="-3"/>
          <w:sz w:val="20"/>
        </w:rPr>
        <w:t xml:space="preserve">Motors) </w:t>
      </w:r>
      <w:r>
        <w:rPr>
          <w:sz w:val="20"/>
        </w:rPr>
        <w:t>at 60</w:t>
      </w:r>
      <w:r>
        <w:rPr>
          <w:spacing w:val="-7"/>
          <w:sz w:val="20"/>
        </w:rPr>
        <w:t xml:space="preserve"> </w:t>
      </w:r>
      <w:r>
        <w:rPr>
          <w:sz w:val="20"/>
        </w:rPr>
        <w:t>Hz</w:t>
      </w:r>
      <w:r>
        <w:rPr>
          <w:sz w:val="20"/>
          <w:vertAlign w:val="superscript"/>
        </w:rPr>
        <w:t>3</w:t>
      </w:r>
    </w:p>
    <w:p w14:paraId="7629FAEE" w14:textId="77777777" w:rsidR="007E4447" w:rsidRDefault="007E4447">
      <w:pPr>
        <w:pStyle w:val="BodyText"/>
        <w:spacing w:before="5"/>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34"/>
        <w:gridCol w:w="1009"/>
        <w:gridCol w:w="1008"/>
        <w:gridCol w:w="1008"/>
        <w:gridCol w:w="1008"/>
        <w:gridCol w:w="1009"/>
        <w:gridCol w:w="1008"/>
        <w:gridCol w:w="1008"/>
        <w:gridCol w:w="1008"/>
      </w:tblGrid>
      <w:tr w:rsidR="007E4447" w14:paraId="2CEEB78B" w14:textId="77777777">
        <w:trPr>
          <w:trHeight w:val="285"/>
        </w:trPr>
        <w:tc>
          <w:tcPr>
            <w:tcW w:w="1834" w:type="dxa"/>
            <w:vMerge w:val="restart"/>
            <w:shd w:val="clear" w:color="auto" w:fill="F1F1F1"/>
          </w:tcPr>
          <w:p w14:paraId="438C6BE1" w14:textId="77777777" w:rsidR="007E4447" w:rsidRDefault="007E4447">
            <w:pPr>
              <w:pStyle w:val="TableParagraph"/>
              <w:spacing w:before="12"/>
              <w:ind w:left="0"/>
              <w:rPr>
                <w:sz w:val="29"/>
              </w:rPr>
            </w:pPr>
          </w:p>
          <w:p w14:paraId="7D137478" w14:textId="77777777" w:rsidR="007E4447" w:rsidRDefault="004C6125">
            <w:pPr>
              <w:pStyle w:val="TableParagraph"/>
              <w:spacing w:before="0" w:line="240" w:lineRule="atLeast"/>
              <w:rPr>
                <w:sz w:val="20"/>
              </w:rPr>
            </w:pPr>
            <w:r>
              <w:rPr>
                <w:sz w:val="20"/>
              </w:rPr>
              <w:t>Motor hp/standard kW equivalent</w:t>
            </w:r>
          </w:p>
        </w:tc>
        <w:tc>
          <w:tcPr>
            <w:tcW w:w="8066" w:type="dxa"/>
            <w:gridSpan w:val="8"/>
            <w:shd w:val="clear" w:color="auto" w:fill="F1F1F1"/>
          </w:tcPr>
          <w:p w14:paraId="6E6828B6" w14:textId="77777777" w:rsidR="007E4447" w:rsidRDefault="004C6125">
            <w:pPr>
              <w:pStyle w:val="TableParagraph"/>
              <w:ind w:left="2726" w:right="2718"/>
              <w:jc w:val="center"/>
              <w:rPr>
                <w:sz w:val="20"/>
              </w:rPr>
            </w:pPr>
            <w:r>
              <w:rPr>
                <w:sz w:val="20"/>
              </w:rPr>
              <w:t>Nominal Full-Load Efficiency (%)</w:t>
            </w:r>
          </w:p>
        </w:tc>
      </w:tr>
      <w:tr w:rsidR="007E4447" w14:paraId="40DD1E5B" w14:textId="77777777">
        <w:trPr>
          <w:trHeight w:val="282"/>
        </w:trPr>
        <w:tc>
          <w:tcPr>
            <w:tcW w:w="1834" w:type="dxa"/>
            <w:vMerge/>
            <w:tcBorders>
              <w:top w:val="nil"/>
            </w:tcBorders>
            <w:shd w:val="clear" w:color="auto" w:fill="F1F1F1"/>
          </w:tcPr>
          <w:p w14:paraId="5D0418D9" w14:textId="77777777" w:rsidR="007E4447" w:rsidRDefault="007E4447">
            <w:pPr>
              <w:rPr>
                <w:sz w:val="2"/>
                <w:szCs w:val="2"/>
              </w:rPr>
            </w:pPr>
          </w:p>
        </w:tc>
        <w:tc>
          <w:tcPr>
            <w:tcW w:w="2017" w:type="dxa"/>
            <w:gridSpan w:val="2"/>
            <w:shd w:val="clear" w:color="auto" w:fill="F1F1F1"/>
          </w:tcPr>
          <w:p w14:paraId="013A365F" w14:textId="77777777" w:rsidR="007E4447" w:rsidRDefault="004C6125">
            <w:pPr>
              <w:pStyle w:val="TableParagraph"/>
              <w:spacing w:line="242" w:lineRule="exact"/>
              <w:ind w:left="739" w:right="731"/>
              <w:jc w:val="center"/>
              <w:rPr>
                <w:sz w:val="20"/>
              </w:rPr>
            </w:pPr>
            <w:r>
              <w:rPr>
                <w:sz w:val="20"/>
              </w:rPr>
              <w:t>2 Pole</w:t>
            </w:r>
          </w:p>
        </w:tc>
        <w:tc>
          <w:tcPr>
            <w:tcW w:w="2016" w:type="dxa"/>
            <w:gridSpan w:val="2"/>
            <w:shd w:val="clear" w:color="auto" w:fill="F1F1F1"/>
          </w:tcPr>
          <w:p w14:paraId="31447F74" w14:textId="77777777" w:rsidR="007E4447" w:rsidRDefault="004C6125">
            <w:pPr>
              <w:pStyle w:val="TableParagraph"/>
              <w:spacing w:line="242" w:lineRule="exact"/>
              <w:ind w:left="739" w:right="731"/>
              <w:jc w:val="center"/>
              <w:rPr>
                <w:sz w:val="20"/>
              </w:rPr>
            </w:pPr>
            <w:r>
              <w:rPr>
                <w:sz w:val="20"/>
              </w:rPr>
              <w:t>4 Pole</w:t>
            </w:r>
          </w:p>
        </w:tc>
        <w:tc>
          <w:tcPr>
            <w:tcW w:w="2017" w:type="dxa"/>
            <w:gridSpan w:val="2"/>
            <w:shd w:val="clear" w:color="auto" w:fill="F1F1F1"/>
          </w:tcPr>
          <w:p w14:paraId="2BDA4DAD" w14:textId="77777777" w:rsidR="007E4447" w:rsidRDefault="004C6125">
            <w:pPr>
              <w:pStyle w:val="TableParagraph"/>
              <w:spacing w:line="242" w:lineRule="exact"/>
              <w:ind w:left="739" w:right="731"/>
              <w:jc w:val="center"/>
              <w:rPr>
                <w:sz w:val="20"/>
              </w:rPr>
            </w:pPr>
            <w:r>
              <w:rPr>
                <w:sz w:val="20"/>
              </w:rPr>
              <w:t>6 Pole</w:t>
            </w:r>
          </w:p>
        </w:tc>
        <w:tc>
          <w:tcPr>
            <w:tcW w:w="2016" w:type="dxa"/>
            <w:gridSpan w:val="2"/>
            <w:shd w:val="clear" w:color="auto" w:fill="F1F1F1"/>
          </w:tcPr>
          <w:p w14:paraId="70E29E3B" w14:textId="77777777" w:rsidR="007E4447" w:rsidRDefault="004C6125">
            <w:pPr>
              <w:pStyle w:val="TableParagraph"/>
              <w:spacing w:line="242" w:lineRule="exact"/>
              <w:ind w:left="739" w:right="731"/>
              <w:jc w:val="center"/>
              <w:rPr>
                <w:sz w:val="20"/>
              </w:rPr>
            </w:pPr>
            <w:r>
              <w:rPr>
                <w:sz w:val="20"/>
              </w:rPr>
              <w:t>8 Pole</w:t>
            </w:r>
          </w:p>
        </w:tc>
      </w:tr>
      <w:tr w:rsidR="007E4447" w14:paraId="5A9446EB" w14:textId="77777777">
        <w:trPr>
          <w:trHeight w:val="285"/>
        </w:trPr>
        <w:tc>
          <w:tcPr>
            <w:tcW w:w="1834" w:type="dxa"/>
            <w:vMerge/>
            <w:tcBorders>
              <w:top w:val="nil"/>
            </w:tcBorders>
            <w:shd w:val="clear" w:color="auto" w:fill="F1F1F1"/>
          </w:tcPr>
          <w:p w14:paraId="7DE24DEA" w14:textId="77777777" w:rsidR="007E4447" w:rsidRDefault="007E4447">
            <w:pPr>
              <w:rPr>
                <w:sz w:val="2"/>
                <w:szCs w:val="2"/>
              </w:rPr>
            </w:pPr>
          </w:p>
        </w:tc>
        <w:tc>
          <w:tcPr>
            <w:tcW w:w="1009" w:type="dxa"/>
            <w:shd w:val="clear" w:color="auto" w:fill="F1F1F1"/>
          </w:tcPr>
          <w:p w14:paraId="6DD4076F" w14:textId="77777777" w:rsidR="007E4447" w:rsidRDefault="004C6125">
            <w:pPr>
              <w:pStyle w:val="TableParagraph"/>
              <w:ind w:left="151"/>
              <w:rPr>
                <w:sz w:val="20"/>
              </w:rPr>
            </w:pPr>
            <w:r>
              <w:rPr>
                <w:sz w:val="20"/>
              </w:rPr>
              <w:t>Enclosed</w:t>
            </w:r>
          </w:p>
        </w:tc>
        <w:tc>
          <w:tcPr>
            <w:tcW w:w="1008" w:type="dxa"/>
            <w:shd w:val="clear" w:color="auto" w:fill="F1F1F1"/>
          </w:tcPr>
          <w:p w14:paraId="7A2E3039" w14:textId="77777777" w:rsidR="007E4447" w:rsidRDefault="004C6125">
            <w:pPr>
              <w:pStyle w:val="TableParagraph"/>
              <w:ind w:left="286"/>
              <w:rPr>
                <w:sz w:val="20"/>
              </w:rPr>
            </w:pPr>
            <w:r>
              <w:rPr>
                <w:sz w:val="20"/>
              </w:rPr>
              <w:t>Open</w:t>
            </w:r>
          </w:p>
        </w:tc>
        <w:tc>
          <w:tcPr>
            <w:tcW w:w="1008" w:type="dxa"/>
            <w:shd w:val="clear" w:color="auto" w:fill="F1F1F1"/>
          </w:tcPr>
          <w:p w14:paraId="58FCE122" w14:textId="77777777" w:rsidR="007E4447" w:rsidRDefault="004C6125">
            <w:pPr>
              <w:pStyle w:val="TableParagraph"/>
              <w:ind w:left="125" w:right="117"/>
              <w:jc w:val="center"/>
              <w:rPr>
                <w:sz w:val="20"/>
              </w:rPr>
            </w:pPr>
            <w:r>
              <w:rPr>
                <w:sz w:val="20"/>
              </w:rPr>
              <w:t>Enclosed</w:t>
            </w:r>
          </w:p>
        </w:tc>
        <w:tc>
          <w:tcPr>
            <w:tcW w:w="1008" w:type="dxa"/>
            <w:shd w:val="clear" w:color="auto" w:fill="F1F1F1"/>
          </w:tcPr>
          <w:p w14:paraId="7855BAE0" w14:textId="77777777" w:rsidR="007E4447" w:rsidRDefault="004C6125">
            <w:pPr>
              <w:pStyle w:val="TableParagraph"/>
              <w:ind w:left="287"/>
              <w:rPr>
                <w:sz w:val="20"/>
              </w:rPr>
            </w:pPr>
            <w:r>
              <w:rPr>
                <w:sz w:val="20"/>
              </w:rPr>
              <w:t>Open</w:t>
            </w:r>
          </w:p>
        </w:tc>
        <w:tc>
          <w:tcPr>
            <w:tcW w:w="1009" w:type="dxa"/>
            <w:shd w:val="clear" w:color="auto" w:fill="F1F1F1"/>
          </w:tcPr>
          <w:p w14:paraId="0BEF284D" w14:textId="77777777" w:rsidR="007E4447" w:rsidRDefault="004C6125">
            <w:pPr>
              <w:pStyle w:val="TableParagraph"/>
              <w:ind w:left="125" w:right="117"/>
              <w:jc w:val="center"/>
              <w:rPr>
                <w:sz w:val="20"/>
              </w:rPr>
            </w:pPr>
            <w:r>
              <w:rPr>
                <w:sz w:val="20"/>
              </w:rPr>
              <w:t>Enclosed</w:t>
            </w:r>
          </w:p>
        </w:tc>
        <w:tc>
          <w:tcPr>
            <w:tcW w:w="1008" w:type="dxa"/>
            <w:shd w:val="clear" w:color="auto" w:fill="F1F1F1"/>
          </w:tcPr>
          <w:p w14:paraId="70E9CE70" w14:textId="77777777" w:rsidR="007E4447" w:rsidRDefault="004C6125">
            <w:pPr>
              <w:pStyle w:val="TableParagraph"/>
              <w:ind w:left="125" w:right="117"/>
              <w:jc w:val="center"/>
              <w:rPr>
                <w:sz w:val="20"/>
              </w:rPr>
            </w:pPr>
            <w:r>
              <w:rPr>
                <w:sz w:val="20"/>
              </w:rPr>
              <w:t>Open</w:t>
            </w:r>
          </w:p>
        </w:tc>
        <w:tc>
          <w:tcPr>
            <w:tcW w:w="1008" w:type="dxa"/>
            <w:shd w:val="clear" w:color="auto" w:fill="F1F1F1"/>
          </w:tcPr>
          <w:p w14:paraId="54A18EEE" w14:textId="77777777" w:rsidR="007E4447" w:rsidRDefault="004C6125">
            <w:pPr>
              <w:pStyle w:val="TableParagraph"/>
              <w:ind w:left="125" w:right="117"/>
              <w:jc w:val="center"/>
              <w:rPr>
                <w:sz w:val="20"/>
              </w:rPr>
            </w:pPr>
            <w:r>
              <w:rPr>
                <w:sz w:val="20"/>
              </w:rPr>
              <w:t>Enclosed</w:t>
            </w:r>
          </w:p>
        </w:tc>
        <w:tc>
          <w:tcPr>
            <w:tcW w:w="1008" w:type="dxa"/>
            <w:shd w:val="clear" w:color="auto" w:fill="F1F1F1"/>
          </w:tcPr>
          <w:p w14:paraId="54F51E32" w14:textId="77777777" w:rsidR="007E4447" w:rsidRDefault="004C6125">
            <w:pPr>
              <w:pStyle w:val="TableParagraph"/>
              <w:ind w:left="125" w:right="117"/>
              <w:jc w:val="center"/>
              <w:rPr>
                <w:sz w:val="20"/>
              </w:rPr>
            </w:pPr>
            <w:r>
              <w:rPr>
                <w:sz w:val="20"/>
              </w:rPr>
              <w:t>Open</w:t>
            </w:r>
          </w:p>
        </w:tc>
      </w:tr>
      <w:tr w:rsidR="007E4447" w14:paraId="75D6CC21" w14:textId="77777777">
        <w:trPr>
          <w:trHeight w:val="316"/>
        </w:trPr>
        <w:tc>
          <w:tcPr>
            <w:tcW w:w="1834" w:type="dxa"/>
          </w:tcPr>
          <w:p w14:paraId="05718EA6" w14:textId="77777777" w:rsidR="007E4447" w:rsidRDefault="004C6125">
            <w:pPr>
              <w:pStyle w:val="TableParagraph"/>
              <w:rPr>
                <w:sz w:val="20"/>
              </w:rPr>
            </w:pPr>
            <w:r>
              <w:rPr>
                <w:sz w:val="20"/>
              </w:rPr>
              <w:t>1/.75</w:t>
            </w:r>
          </w:p>
        </w:tc>
        <w:tc>
          <w:tcPr>
            <w:tcW w:w="1009" w:type="dxa"/>
          </w:tcPr>
          <w:p w14:paraId="707A31A5" w14:textId="77777777" w:rsidR="007E4447" w:rsidRDefault="004C6125">
            <w:pPr>
              <w:pStyle w:val="TableParagraph"/>
              <w:rPr>
                <w:sz w:val="20"/>
              </w:rPr>
            </w:pPr>
            <w:r>
              <w:rPr>
                <w:sz w:val="20"/>
              </w:rPr>
              <w:t>77.0</w:t>
            </w:r>
          </w:p>
        </w:tc>
        <w:tc>
          <w:tcPr>
            <w:tcW w:w="1008" w:type="dxa"/>
          </w:tcPr>
          <w:p w14:paraId="1ACF81C0" w14:textId="77777777" w:rsidR="007E4447" w:rsidRDefault="004C6125">
            <w:pPr>
              <w:pStyle w:val="TableParagraph"/>
              <w:ind w:left="325"/>
              <w:rPr>
                <w:sz w:val="20"/>
              </w:rPr>
            </w:pPr>
            <w:r>
              <w:rPr>
                <w:sz w:val="20"/>
              </w:rPr>
              <w:t>77.0</w:t>
            </w:r>
          </w:p>
        </w:tc>
        <w:tc>
          <w:tcPr>
            <w:tcW w:w="1008" w:type="dxa"/>
          </w:tcPr>
          <w:p w14:paraId="25B17180" w14:textId="77777777" w:rsidR="007E4447" w:rsidRDefault="004C6125">
            <w:pPr>
              <w:pStyle w:val="TableParagraph"/>
              <w:ind w:left="120" w:right="117"/>
              <w:jc w:val="center"/>
              <w:rPr>
                <w:sz w:val="20"/>
              </w:rPr>
            </w:pPr>
            <w:r>
              <w:rPr>
                <w:sz w:val="20"/>
              </w:rPr>
              <w:t>85.5</w:t>
            </w:r>
          </w:p>
        </w:tc>
        <w:tc>
          <w:tcPr>
            <w:tcW w:w="1008" w:type="dxa"/>
          </w:tcPr>
          <w:p w14:paraId="235C11AB" w14:textId="77777777" w:rsidR="007E4447" w:rsidRDefault="004C6125">
            <w:pPr>
              <w:pStyle w:val="TableParagraph"/>
              <w:ind w:left="325"/>
              <w:rPr>
                <w:sz w:val="20"/>
              </w:rPr>
            </w:pPr>
            <w:r>
              <w:rPr>
                <w:sz w:val="20"/>
              </w:rPr>
              <w:t>85.5</w:t>
            </w:r>
          </w:p>
        </w:tc>
        <w:tc>
          <w:tcPr>
            <w:tcW w:w="1009" w:type="dxa"/>
          </w:tcPr>
          <w:p w14:paraId="1E1EA29E" w14:textId="77777777" w:rsidR="007E4447" w:rsidRDefault="004C6125">
            <w:pPr>
              <w:pStyle w:val="TableParagraph"/>
              <w:ind w:left="119" w:right="117"/>
              <w:jc w:val="center"/>
              <w:rPr>
                <w:sz w:val="20"/>
              </w:rPr>
            </w:pPr>
            <w:r>
              <w:rPr>
                <w:sz w:val="20"/>
              </w:rPr>
              <w:t>82.5</w:t>
            </w:r>
          </w:p>
        </w:tc>
        <w:tc>
          <w:tcPr>
            <w:tcW w:w="1008" w:type="dxa"/>
          </w:tcPr>
          <w:p w14:paraId="1851448B" w14:textId="77777777" w:rsidR="007E4447" w:rsidRDefault="004C6125">
            <w:pPr>
              <w:pStyle w:val="TableParagraph"/>
              <w:ind w:left="119" w:right="117"/>
              <w:jc w:val="center"/>
              <w:rPr>
                <w:sz w:val="20"/>
              </w:rPr>
            </w:pPr>
            <w:r>
              <w:rPr>
                <w:sz w:val="20"/>
              </w:rPr>
              <w:t>82.5</w:t>
            </w:r>
          </w:p>
        </w:tc>
        <w:tc>
          <w:tcPr>
            <w:tcW w:w="1008" w:type="dxa"/>
          </w:tcPr>
          <w:p w14:paraId="00BF445E" w14:textId="77777777" w:rsidR="007E4447" w:rsidRDefault="004C6125">
            <w:pPr>
              <w:pStyle w:val="TableParagraph"/>
              <w:ind w:left="120" w:right="117"/>
              <w:jc w:val="center"/>
              <w:rPr>
                <w:sz w:val="20"/>
              </w:rPr>
            </w:pPr>
            <w:r>
              <w:rPr>
                <w:sz w:val="20"/>
              </w:rPr>
              <w:t>75.5</w:t>
            </w:r>
          </w:p>
        </w:tc>
        <w:tc>
          <w:tcPr>
            <w:tcW w:w="1008" w:type="dxa"/>
          </w:tcPr>
          <w:p w14:paraId="44AE82A5" w14:textId="77777777" w:rsidR="007E4447" w:rsidRDefault="004C6125">
            <w:pPr>
              <w:pStyle w:val="TableParagraph"/>
              <w:ind w:left="120" w:right="117"/>
              <w:jc w:val="center"/>
              <w:rPr>
                <w:sz w:val="20"/>
              </w:rPr>
            </w:pPr>
            <w:r>
              <w:rPr>
                <w:sz w:val="20"/>
              </w:rPr>
              <w:t>75.5</w:t>
            </w:r>
          </w:p>
        </w:tc>
      </w:tr>
      <w:tr w:rsidR="007E4447" w14:paraId="7364AD01" w14:textId="77777777">
        <w:trPr>
          <w:trHeight w:val="316"/>
        </w:trPr>
        <w:tc>
          <w:tcPr>
            <w:tcW w:w="1834" w:type="dxa"/>
          </w:tcPr>
          <w:p w14:paraId="4C6211A3" w14:textId="77777777" w:rsidR="007E4447" w:rsidRDefault="004C6125">
            <w:pPr>
              <w:pStyle w:val="TableParagraph"/>
              <w:rPr>
                <w:sz w:val="20"/>
              </w:rPr>
            </w:pPr>
            <w:r>
              <w:rPr>
                <w:sz w:val="20"/>
              </w:rPr>
              <w:t>1.5/1.1</w:t>
            </w:r>
          </w:p>
        </w:tc>
        <w:tc>
          <w:tcPr>
            <w:tcW w:w="1009" w:type="dxa"/>
          </w:tcPr>
          <w:p w14:paraId="694B7999" w14:textId="77777777" w:rsidR="007E4447" w:rsidRDefault="004C6125">
            <w:pPr>
              <w:pStyle w:val="TableParagraph"/>
              <w:rPr>
                <w:sz w:val="20"/>
              </w:rPr>
            </w:pPr>
            <w:r>
              <w:rPr>
                <w:sz w:val="20"/>
              </w:rPr>
              <w:t>84.0</w:t>
            </w:r>
          </w:p>
        </w:tc>
        <w:tc>
          <w:tcPr>
            <w:tcW w:w="1008" w:type="dxa"/>
          </w:tcPr>
          <w:p w14:paraId="0F84C531" w14:textId="77777777" w:rsidR="007E4447" w:rsidRDefault="004C6125">
            <w:pPr>
              <w:pStyle w:val="TableParagraph"/>
              <w:ind w:left="325"/>
              <w:rPr>
                <w:sz w:val="20"/>
              </w:rPr>
            </w:pPr>
            <w:r>
              <w:rPr>
                <w:sz w:val="20"/>
              </w:rPr>
              <w:t>84.0</w:t>
            </w:r>
          </w:p>
        </w:tc>
        <w:tc>
          <w:tcPr>
            <w:tcW w:w="1008" w:type="dxa"/>
          </w:tcPr>
          <w:p w14:paraId="738D9DC6" w14:textId="77777777" w:rsidR="007E4447" w:rsidRDefault="004C6125">
            <w:pPr>
              <w:pStyle w:val="TableParagraph"/>
              <w:ind w:left="120" w:right="117"/>
              <w:jc w:val="center"/>
              <w:rPr>
                <w:sz w:val="20"/>
              </w:rPr>
            </w:pPr>
            <w:r>
              <w:rPr>
                <w:sz w:val="20"/>
              </w:rPr>
              <w:t>86.5</w:t>
            </w:r>
          </w:p>
        </w:tc>
        <w:tc>
          <w:tcPr>
            <w:tcW w:w="1008" w:type="dxa"/>
          </w:tcPr>
          <w:p w14:paraId="1AEA9EE2" w14:textId="77777777" w:rsidR="007E4447" w:rsidRDefault="004C6125">
            <w:pPr>
              <w:pStyle w:val="TableParagraph"/>
              <w:ind w:left="325"/>
              <w:rPr>
                <w:sz w:val="20"/>
              </w:rPr>
            </w:pPr>
            <w:r>
              <w:rPr>
                <w:sz w:val="20"/>
              </w:rPr>
              <w:t>86.5</w:t>
            </w:r>
          </w:p>
        </w:tc>
        <w:tc>
          <w:tcPr>
            <w:tcW w:w="1009" w:type="dxa"/>
          </w:tcPr>
          <w:p w14:paraId="35DDF196" w14:textId="77777777" w:rsidR="007E4447" w:rsidRDefault="004C6125">
            <w:pPr>
              <w:pStyle w:val="TableParagraph"/>
              <w:ind w:left="119" w:right="117"/>
              <w:jc w:val="center"/>
              <w:rPr>
                <w:sz w:val="20"/>
              </w:rPr>
            </w:pPr>
            <w:r>
              <w:rPr>
                <w:sz w:val="20"/>
              </w:rPr>
              <w:t>87.5</w:t>
            </w:r>
          </w:p>
        </w:tc>
        <w:tc>
          <w:tcPr>
            <w:tcW w:w="1008" w:type="dxa"/>
          </w:tcPr>
          <w:p w14:paraId="1E89C4C9" w14:textId="77777777" w:rsidR="007E4447" w:rsidRDefault="004C6125">
            <w:pPr>
              <w:pStyle w:val="TableParagraph"/>
              <w:ind w:left="119" w:right="117"/>
              <w:jc w:val="center"/>
              <w:rPr>
                <w:sz w:val="20"/>
              </w:rPr>
            </w:pPr>
            <w:r>
              <w:rPr>
                <w:sz w:val="20"/>
              </w:rPr>
              <w:t>86.5</w:t>
            </w:r>
          </w:p>
        </w:tc>
        <w:tc>
          <w:tcPr>
            <w:tcW w:w="1008" w:type="dxa"/>
          </w:tcPr>
          <w:p w14:paraId="264F1CD3" w14:textId="77777777" w:rsidR="007E4447" w:rsidRDefault="004C6125">
            <w:pPr>
              <w:pStyle w:val="TableParagraph"/>
              <w:ind w:left="120" w:right="117"/>
              <w:jc w:val="center"/>
              <w:rPr>
                <w:sz w:val="20"/>
              </w:rPr>
            </w:pPr>
            <w:r>
              <w:rPr>
                <w:sz w:val="20"/>
              </w:rPr>
              <w:t>78.5</w:t>
            </w:r>
          </w:p>
        </w:tc>
        <w:tc>
          <w:tcPr>
            <w:tcW w:w="1008" w:type="dxa"/>
          </w:tcPr>
          <w:p w14:paraId="4411A145" w14:textId="77777777" w:rsidR="007E4447" w:rsidRDefault="004C6125">
            <w:pPr>
              <w:pStyle w:val="TableParagraph"/>
              <w:ind w:left="120" w:right="117"/>
              <w:jc w:val="center"/>
              <w:rPr>
                <w:sz w:val="20"/>
              </w:rPr>
            </w:pPr>
            <w:r>
              <w:rPr>
                <w:sz w:val="20"/>
              </w:rPr>
              <w:t>77.0</w:t>
            </w:r>
          </w:p>
        </w:tc>
      </w:tr>
      <w:tr w:rsidR="007E4447" w14:paraId="01232371" w14:textId="77777777">
        <w:trPr>
          <w:trHeight w:val="318"/>
        </w:trPr>
        <w:tc>
          <w:tcPr>
            <w:tcW w:w="1834" w:type="dxa"/>
          </w:tcPr>
          <w:p w14:paraId="784DF080" w14:textId="77777777" w:rsidR="007E4447" w:rsidRDefault="004C6125">
            <w:pPr>
              <w:pStyle w:val="TableParagraph"/>
              <w:rPr>
                <w:sz w:val="20"/>
              </w:rPr>
            </w:pPr>
            <w:r>
              <w:rPr>
                <w:sz w:val="20"/>
              </w:rPr>
              <w:t>2/1.5</w:t>
            </w:r>
          </w:p>
        </w:tc>
        <w:tc>
          <w:tcPr>
            <w:tcW w:w="1009" w:type="dxa"/>
          </w:tcPr>
          <w:p w14:paraId="6110697E" w14:textId="77777777" w:rsidR="007E4447" w:rsidRDefault="004C6125">
            <w:pPr>
              <w:pStyle w:val="TableParagraph"/>
              <w:rPr>
                <w:sz w:val="20"/>
              </w:rPr>
            </w:pPr>
            <w:r>
              <w:rPr>
                <w:sz w:val="20"/>
              </w:rPr>
              <w:t>85.5</w:t>
            </w:r>
          </w:p>
        </w:tc>
        <w:tc>
          <w:tcPr>
            <w:tcW w:w="1008" w:type="dxa"/>
          </w:tcPr>
          <w:p w14:paraId="4DABDE84" w14:textId="77777777" w:rsidR="007E4447" w:rsidRDefault="004C6125">
            <w:pPr>
              <w:pStyle w:val="TableParagraph"/>
              <w:ind w:left="325"/>
              <w:rPr>
                <w:sz w:val="20"/>
              </w:rPr>
            </w:pPr>
            <w:r>
              <w:rPr>
                <w:sz w:val="20"/>
              </w:rPr>
              <w:t>85.5</w:t>
            </w:r>
          </w:p>
        </w:tc>
        <w:tc>
          <w:tcPr>
            <w:tcW w:w="1008" w:type="dxa"/>
          </w:tcPr>
          <w:p w14:paraId="55843C54" w14:textId="77777777" w:rsidR="007E4447" w:rsidRDefault="004C6125">
            <w:pPr>
              <w:pStyle w:val="TableParagraph"/>
              <w:ind w:left="120" w:right="117"/>
              <w:jc w:val="center"/>
              <w:rPr>
                <w:sz w:val="20"/>
              </w:rPr>
            </w:pPr>
            <w:r>
              <w:rPr>
                <w:sz w:val="20"/>
              </w:rPr>
              <w:t>86.5</w:t>
            </w:r>
          </w:p>
        </w:tc>
        <w:tc>
          <w:tcPr>
            <w:tcW w:w="1008" w:type="dxa"/>
          </w:tcPr>
          <w:p w14:paraId="4D0B3C34" w14:textId="77777777" w:rsidR="007E4447" w:rsidRDefault="004C6125">
            <w:pPr>
              <w:pStyle w:val="TableParagraph"/>
              <w:ind w:left="325"/>
              <w:rPr>
                <w:sz w:val="20"/>
              </w:rPr>
            </w:pPr>
            <w:r>
              <w:rPr>
                <w:sz w:val="20"/>
              </w:rPr>
              <w:t>86.5</w:t>
            </w:r>
          </w:p>
        </w:tc>
        <w:tc>
          <w:tcPr>
            <w:tcW w:w="1009" w:type="dxa"/>
          </w:tcPr>
          <w:p w14:paraId="431180FD" w14:textId="77777777" w:rsidR="007E4447" w:rsidRDefault="004C6125">
            <w:pPr>
              <w:pStyle w:val="TableParagraph"/>
              <w:ind w:left="119" w:right="117"/>
              <w:jc w:val="center"/>
              <w:rPr>
                <w:sz w:val="20"/>
              </w:rPr>
            </w:pPr>
            <w:r>
              <w:rPr>
                <w:sz w:val="20"/>
              </w:rPr>
              <w:t>88.5</w:t>
            </w:r>
          </w:p>
        </w:tc>
        <w:tc>
          <w:tcPr>
            <w:tcW w:w="1008" w:type="dxa"/>
          </w:tcPr>
          <w:p w14:paraId="118E4B8B" w14:textId="77777777" w:rsidR="007E4447" w:rsidRDefault="004C6125">
            <w:pPr>
              <w:pStyle w:val="TableParagraph"/>
              <w:ind w:left="119" w:right="117"/>
              <w:jc w:val="center"/>
              <w:rPr>
                <w:sz w:val="20"/>
              </w:rPr>
            </w:pPr>
            <w:r>
              <w:rPr>
                <w:sz w:val="20"/>
              </w:rPr>
              <w:t>87.5</w:t>
            </w:r>
          </w:p>
        </w:tc>
        <w:tc>
          <w:tcPr>
            <w:tcW w:w="1008" w:type="dxa"/>
          </w:tcPr>
          <w:p w14:paraId="1AF4E0F9" w14:textId="77777777" w:rsidR="007E4447" w:rsidRDefault="004C6125">
            <w:pPr>
              <w:pStyle w:val="TableParagraph"/>
              <w:ind w:left="120" w:right="117"/>
              <w:jc w:val="center"/>
              <w:rPr>
                <w:sz w:val="20"/>
              </w:rPr>
            </w:pPr>
            <w:r>
              <w:rPr>
                <w:sz w:val="20"/>
              </w:rPr>
              <w:t>84.0</w:t>
            </w:r>
          </w:p>
        </w:tc>
        <w:tc>
          <w:tcPr>
            <w:tcW w:w="1008" w:type="dxa"/>
          </w:tcPr>
          <w:p w14:paraId="3F678341" w14:textId="77777777" w:rsidR="007E4447" w:rsidRDefault="004C6125">
            <w:pPr>
              <w:pStyle w:val="TableParagraph"/>
              <w:ind w:left="120" w:right="117"/>
              <w:jc w:val="center"/>
              <w:rPr>
                <w:sz w:val="20"/>
              </w:rPr>
            </w:pPr>
            <w:r>
              <w:rPr>
                <w:sz w:val="20"/>
              </w:rPr>
              <w:t>86.5</w:t>
            </w:r>
          </w:p>
        </w:tc>
      </w:tr>
      <w:tr w:rsidR="007E4447" w14:paraId="13EE919F" w14:textId="77777777">
        <w:trPr>
          <w:trHeight w:val="316"/>
        </w:trPr>
        <w:tc>
          <w:tcPr>
            <w:tcW w:w="1834" w:type="dxa"/>
          </w:tcPr>
          <w:p w14:paraId="3C135CD3" w14:textId="77777777" w:rsidR="007E4447" w:rsidRDefault="004C6125">
            <w:pPr>
              <w:pStyle w:val="TableParagraph"/>
              <w:rPr>
                <w:sz w:val="20"/>
              </w:rPr>
            </w:pPr>
            <w:r>
              <w:rPr>
                <w:sz w:val="20"/>
              </w:rPr>
              <w:t>3/2.2</w:t>
            </w:r>
          </w:p>
        </w:tc>
        <w:tc>
          <w:tcPr>
            <w:tcW w:w="1009" w:type="dxa"/>
          </w:tcPr>
          <w:p w14:paraId="4DDCDC06" w14:textId="77777777" w:rsidR="007E4447" w:rsidRDefault="004C6125">
            <w:pPr>
              <w:pStyle w:val="TableParagraph"/>
              <w:rPr>
                <w:sz w:val="20"/>
              </w:rPr>
            </w:pPr>
            <w:r>
              <w:rPr>
                <w:sz w:val="20"/>
              </w:rPr>
              <w:t>86.5</w:t>
            </w:r>
          </w:p>
        </w:tc>
        <w:tc>
          <w:tcPr>
            <w:tcW w:w="1008" w:type="dxa"/>
          </w:tcPr>
          <w:p w14:paraId="2CF1C186" w14:textId="77777777" w:rsidR="007E4447" w:rsidRDefault="004C6125">
            <w:pPr>
              <w:pStyle w:val="TableParagraph"/>
              <w:ind w:left="325"/>
              <w:rPr>
                <w:sz w:val="20"/>
              </w:rPr>
            </w:pPr>
            <w:r>
              <w:rPr>
                <w:sz w:val="20"/>
              </w:rPr>
              <w:t>86.5</w:t>
            </w:r>
          </w:p>
        </w:tc>
        <w:tc>
          <w:tcPr>
            <w:tcW w:w="1008" w:type="dxa"/>
          </w:tcPr>
          <w:p w14:paraId="519A085F" w14:textId="77777777" w:rsidR="007E4447" w:rsidRDefault="004C6125">
            <w:pPr>
              <w:pStyle w:val="TableParagraph"/>
              <w:ind w:left="120" w:right="117"/>
              <w:jc w:val="center"/>
              <w:rPr>
                <w:sz w:val="20"/>
              </w:rPr>
            </w:pPr>
            <w:r>
              <w:rPr>
                <w:sz w:val="20"/>
              </w:rPr>
              <w:t>89.5</w:t>
            </w:r>
          </w:p>
        </w:tc>
        <w:tc>
          <w:tcPr>
            <w:tcW w:w="1008" w:type="dxa"/>
          </w:tcPr>
          <w:p w14:paraId="1D40046C" w14:textId="77777777" w:rsidR="007E4447" w:rsidRDefault="004C6125">
            <w:pPr>
              <w:pStyle w:val="TableParagraph"/>
              <w:ind w:left="325"/>
              <w:rPr>
                <w:sz w:val="20"/>
              </w:rPr>
            </w:pPr>
            <w:r>
              <w:rPr>
                <w:sz w:val="20"/>
              </w:rPr>
              <w:t>89.5</w:t>
            </w:r>
          </w:p>
        </w:tc>
        <w:tc>
          <w:tcPr>
            <w:tcW w:w="1009" w:type="dxa"/>
          </w:tcPr>
          <w:p w14:paraId="3BF669E4" w14:textId="77777777" w:rsidR="007E4447" w:rsidRDefault="004C6125">
            <w:pPr>
              <w:pStyle w:val="TableParagraph"/>
              <w:ind w:left="119" w:right="117"/>
              <w:jc w:val="center"/>
              <w:rPr>
                <w:sz w:val="20"/>
              </w:rPr>
            </w:pPr>
            <w:r>
              <w:rPr>
                <w:sz w:val="20"/>
              </w:rPr>
              <w:t>89.5</w:t>
            </w:r>
          </w:p>
        </w:tc>
        <w:tc>
          <w:tcPr>
            <w:tcW w:w="1008" w:type="dxa"/>
          </w:tcPr>
          <w:p w14:paraId="774934AE" w14:textId="77777777" w:rsidR="007E4447" w:rsidRDefault="004C6125">
            <w:pPr>
              <w:pStyle w:val="TableParagraph"/>
              <w:ind w:left="120" w:right="117"/>
              <w:jc w:val="center"/>
              <w:rPr>
                <w:sz w:val="20"/>
              </w:rPr>
            </w:pPr>
            <w:r>
              <w:rPr>
                <w:sz w:val="20"/>
              </w:rPr>
              <w:t>88.5</w:t>
            </w:r>
          </w:p>
        </w:tc>
        <w:tc>
          <w:tcPr>
            <w:tcW w:w="1008" w:type="dxa"/>
          </w:tcPr>
          <w:p w14:paraId="4E76E3C8" w14:textId="77777777" w:rsidR="007E4447" w:rsidRDefault="004C6125">
            <w:pPr>
              <w:pStyle w:val="TableParagraph"/>
              <w:ind w:left="120" w:right="117"/>
              <w:jc w:val="center"/>
              <w:rPr>
                <w:sz w:val="20"/>
              </w:rPr>
            </w:pPr>
            <w:r>
              <w:rPr>
                <w:sz w:val="20"/>
              </w:rPr>
              <w:t>85.5</w:t>
            </w:r>
          </w:p>
        </w:tc>
        <w:tc>
          <w:tcPr>
            <w:tcW w:w="1008" w:type="dxa"/>
          </w:tcPr>
          <w:p w14:paraId="420D5123" w14:textId="77777777" w:rsidR="007E4447" w:rsidRDefault="004C6125">
            <w:pPr>
              <w:pStyle w:val="TableParagraph"/>
              <w:ind w:left="120" w:right="117"/>
              <w:jc w:val="center"/>
              <w:rPr>
                <w:sz w:val="20"/>
              </w:rPr>
            </w:pPr>
            <w:r>
              <w:rPr>
                <w:sz w:val="20"/>
              </w:rPr>
              <w:t>87.5</w:t>
            </w:r>
          </w:p>
        </w:tc>
      </w:tr>
    </w:tbl>
    <w:p w14:paraId="42553570" w14:textId="77777777" w:rsidR="007E4447" w:rsidRDefault="007E4447">
      <w:pPr>
        <w:pStyle w:val="BodyText"/>
      </w:pPr>
    </w:p>
    <w:p w14:paraId="59EFD7C3" w14:textId="77777777" w:rsidR="007E4447" w:rsidRDefault="007E4447">
      <w:pPr>
        <w:pStyle w:val="BodyText"/>
        <w:spacing w:before="6"/>
        <w:rPr>
          <w:sz w:val="19"/>
        </w:rPr>
      </w:pPr>
    </w:p>
    <w:p w14:paraId="61353804" w14:textId="77777777" w:rsidR="007E4447" w:rsidRDefault="004C6125">
      <w:pPr>
        <w:pStyle w:val="BodyText"/>
        <w:ind w:left="100" w:right="1469"/>
      </w:pPr>
      <w:r>
        <w:t>Smaller motors less than 3hp and not under specific NEMA design are regulated by CFR Title 10 Subpart X section 431.446 (a).</w:t>
      </w:r>
      <w:r>
        <w:rPr>
          <w:vertAlign w:val="superscript"/>
        </w:rPr>
        <w:t>4</w:t>
      </w:r>
    </w:p>
    <w:p w14:paraId="51B2EC09" w14:textId="77777777" w:rsidR="007E4447" w:rsidRDefault="004C6125">
      <w:pPr>
        <w:pStyle w:val="BodyText"/>
        <w:spacing w:before="121"/>
        <w:ind w:left="100" w:right="1456"/>
      </w:pPr>
      <w:r>
        <w:t>The 2019 California Building Energy Efficiency Standards (Title 24)</w:t>
      </w:r>
      <w:r>
        <w:rPr>
          <w:position w:val="7"/>
          <w:sz w:val="13"/>
        </w:rPr>
        <w:t xml:space="preserve">5 </w:t>
      </w:r>
      <w:r>
        <w:t>does not specify the motor efficiency but requires the following for fan systems:</w:t>
      </w:r>
    </w:p>
    <w:p w14:paraId="5815F567" w14:textId="77777777" w:rsidR="007E4447" w:rsidRDefault="004C6125">
      <w:pPr>
        <w:spacing w:before="120"/>
        <w:ind w:left="820" w:right="1339"/>
        <w:rPr>
          <w:i/>
          <w:sz w:val="18"/>
        </w:rPr>
      </w:pPr>
      <w:r>
        <w:rPr>
          <w:i/>
          <w:sz w:val="18"/>
        </w:rPr>
        <w:t>Section 140.9 (a) 5 – Fan Control. Each unitary air conditioner with mechanical cooling capacity exceeding 60,000 Btu/</w:t>
      </w:r>
      <w:proofErr w:type="spellStart"/>
      <w:r>
        <w:rPr>
          <w:i/>
          <w:sz w:val="18"/>
        </w:rPr>
        <w:t>hr</w:t>
      </w:r>
      <w:proofErr w:type="spellEnd"/>
      <w:r>
        <w:rPr>
          <w:i/>
          <w:sz w:val="18"/>
        </w:rPr>
        <w:t xml:space="preserve"> and each chilled water fan system shall be designed to vary the airflow rate as a function of actual load and shall have controls and/or devices (such as two-speed or variable speed control) that will result in fan motor demand of no more than 50 percent of design wattage at 66 percent of design fan speed </w:t>
      </w:r>
    </w:p>
    <w:p w14:paraId="5D744BFB" w14:textId="77777777" w:rsidR="007E4447" w:rsidRDefault="004C6125">
      <w:pPr>
        <w:spacing w:before="124" w:line="237" w:lineRule="auto"/>
        <w:ind w:left="820" w:right="1456"/>
        <w:rPr>
          <w:i/>
          <w:sz w:val="18"/>
        </w:rPr>
      </w:pPr>
      <w:r>
        <w:rPr>
          <w:i/>
          <w:sz w:val="18"/>
        </w:rPr>
        <w:t xml:space="preserve">Section 140.4 (c) 1 – Fan Power Limitation. For Variable Volume Systems, either Option 1: Fan system motor nameplate </w:t>
      </w:r>
      <w:r>
        <w:rPr>
          <w:i/>
          <w:position w:val="2"/>
          <w:sz w:val="18"/>
        </w:rPr>
        <w:t>hp &lt;= cfm</w:t>
      </w:r>
      <w:r>
        <w:rPr>
          <w:i/>
          <w:sz w:val="12"/>
        </w:rPr>
        <w:t>s</w:t>
      </w:r>
      <w:r>
        <w:rPr>
          <w:i/>
          <w:position w:val="2"/>
          <w:sz w:val="12"/>
        </w:rPr>
        <w:t xml:space="preserve"> </w:t>
      </w:r>
      <w:r>
        <w:rPr>
          <w:i/>
          <w:position w:val="2"/>
          <w:sz w:val="18"/>
        </w:rPr>
        <w:t>x 0.0015 or Option 2: Fan system bhp &lt;= cfm</w:t>
      </w:r>
      <w:r>
        <w:rPr>
          <w:i/>
          <w:sz w:val="12"/>
        </w:rPr>
        <w:t>s</w:t>
      </w:r>
      <w:r>
        <w:rPr>
          <w:i/>
          <w:position w:val="2"/>
          <w:sz w:val="12"/>
        </w:rPr>
        <w:t xml:space="preserve"> </w:t>
      </w:r>
      <w:r>
        <w:rPr>
          <w:i/>
          <w:position w:val="2"/>
          <w:sz w:val="18"/>
        </w:rPr>
        <w:t>x 0.0013 + A where A = sum of (Pressure Drop x cfm</w:t>
      </w:r>
      <w:r>
        <w:rPr>
          <w:i/>
          <w:sz w:val="12"/>
        </w:rPr>
        <w:t>D</w:t>
      </w:r>
      <w:r>
        <w:rPr>
          <w:i/>
          <w:position w:val="2"/>
          <w:sz w:val="18"/>
        </w:rPr>
        <w:t xml:space="preserve">/4131) </w:t>
      </w:r>
    </w:p>
    <w:p w14:paraId="5193B4AC" w14:textId="77777777" w:rsidR="007E4447" w:rsidRDefault="004C6125">
      <w:pPr>
        <w:spacing w:before="118"/>
        <w:ind w:left="820" w:right="1456"/>
        <w:rPr>
          <w:i/>
          <w:sz w:val="18"/>
        </w:rPr>
      </w:pPr>
      <w:r>
        <w:rPr>
          <w:i/>
          <w:sz w:val="18"/>
        </w:rPr>
        <w:t xml:space="preserve">Section 140.4 (c) 3 - HVAC motors for fans that are less than1 hp and 1/12 hp or greater shall be electronically- commutated motors or shall have a minimum motor efficiency of 70 percent when rated in accordance with NEMA Standard MG 1-2006 at full load rating conditions.  </w:t>
      </w:r>
    </w:p>
    <w:p w14:paraId="2A87182E" w14:textId="77777777" w:rsidR="007E4447" w:rsidRDefault="004C6125">
      <w:pPr>
        <w:spacing w:before="2"/>
        <w:ind w:left="820"/>
        <w:rPr>
          <w:i/>
          <w:sz w:val="18"/>
        </w:rPr>
      </w:pPr>
      <w:r>
        <w:rPr>
          <w:i/>
          <w:sz w:val="18"/>
        </w:rPr>
        <w:t xml:space="preserve"> </w:t>
      </w:r>
    </w:p>
    <w:p w14:paraId="1BB7738E" w14:textId="77777777" w:rsidR="007E4447" w:rsidRDefault="004C6125">
      <w:pPr>
        <w:pStyle w:val="Heading1"/>
        <w:spacing w:before="131"/>
      </w:pPr>
      <w:bookmarkStart w:id="6" w:name="_TOC_250017"/>
      <w:bookmarkEnd w:id="6"/>
      <w:r>
        <w:rPr>
          <w:color w:val="CFAB79"/>
        </w:rPr>
        <w:t>NORMALIZING UNIT</w:t>
      </w:r>
    </w:p>
    <w:p w14:paraId="67D8D611" w14:textId="77777777" w:rsidR="007E4447" w:rsidRDefault="004C6125">
      <w:pPr>
        <w:pStyle w:val="BodyText"/>
        <w:spacing w:before="112"/>
        <w:ind w:left="100"/>
      </w:pPr>
      <w:r>
        <w:t>Nominal horsepower (hp)</w:t>
      </w:r>
    </w:p>
    <w:p w14:paraId="04992EF5" w14:textId="77777777" w:rsidR="007E4447" w:rsidRDefault="007E4447">
      <w:pPr>
        <w:pStyle w:val="BodyText"/>
      </w:pPr>
    </w:p>
    <w:p w14:paraId="03AB2C3F" w14:textId="77777777" w:rsidR="007E4447" w:rsidRDefault="007E4447">
      <w:pPr>
        <w:pStyle w:val="BodyText"/>
        <w:spacing w:before="11"/>
        <w:rPr>
          <w:sz w:val="20"/>
        </w:rPr>
      </w:pPr>
    </w:p>
    <w:p w14:paraId="58CD2C0D" w14:textId="77777777" w:rsidR="007E4447" w:rsidRDefault="004C6125">
      <w:pPr>
        <w:pStyle w:val="Heading1"/>
      </w:pPr>
      <w:bookmarkStart w:id="7" w:name="_TOC_250016"/>
      <w:bookmarkEnd w:id="7"/>
      <w:r>
        <w:rPr>
          <w:color w:val="CFAB79"/>
        </w:rPr>
        <w:t>PROGRAM REQUIREMENTS</w:t>
      </w:r>
    </w:p>
    <w:p w14:paraId="521FCD48" w14:textId="77777777" w:rsidR="007E4447" w:rsidRDefault="004C6125">
      <w:pPr>
        <w:spacing w:before="113"/>
        <w:ind w:left="100"/>
        <w:rPr>
          <w:i/>
        </w:rPr>
      </w:pPr>
      <w:r>
        <w:rPr>
          <w:i/>
          <w:color w:val="5F5F5F"/>
        </w:rPr>
        <w:t xml:space="preserve">Measure Implementation Eligibility </w:t>
      </w:r>
    </w:p>
    <w:p w14:paraId="291325D7" w14:textId="77777777" w:rsidR="007E4447" w:rsidRDefault="004C6125">
      <w:pPr>
        <w:pStyle w:val="BodyText"/>
        <w:spacing w:before="120"/>
        <w:ind w:left="100" w:right="1732"/>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w:t>
      </w:r>
    </w:p>
    <w:p w14:paraId="5E9F650C" w14:textId="77777777" w:rsidR="007E4447" w:rsidRDefault="007E4447">
      <w:pPr>
        <w:pStyle w:val="BodyText"/>
        <w:rPr>
          <w:sz w:val="20"/>
        </w:rPr>
      </w:pPr>
    </w:p>
    <w:p w14:paraId="23F46330" w14:textId="77777777" w:rsidR="007E4447" w:rsidRDefault="00193F71">
      <w:pPr>
        <w:pStyle w:val="BodyText"/>
        <w:spacing w:before="5"/>
        <w:rPr>
          <w:sz w:val="19"/>
        </w:rPr>
      </w:pPr>
      <w:r>
        <w:rPr>
          <w:noProof/>
        </w:rPr>
        <mc:AlternateContent>
          <mc:Choice Requires="wps">
            <w:drawing>
              <wp:anchor distT="0" distB="0" distL="0" distR="0" simplePos="0" relativeHeight="251661312" behindDoc="1" locked="0" layoutInCell="1" allowOverlap="1" wp14:anchorId="5FEB180B" wp14:editId="5906591A">
                <wp:simplePos x="0" y="0"/>
                <wp:positionH relativeFrom="page">
                  <wp:posOffset>914400</wp:posOffset>
                </wp:positionH>
                <wp:positionV relativeFrom="paragraph">
                  <wp:posOffset>180340</wp:posOffset>
                </wp:positionV>
                <wp:extent cx="1829435" cy="1270"/>
                <wp:effectExtent l="0" t="0" r="0" b="0"/>
                <wp:wrapTopAndBottom/>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40489" id="Freeform 5" o:spid="_x0000_s1026" style="position:absolute;margin-left:1in;margin-top:14.2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" path="m,l2881,e" filled="f" strokeweight=".72pt">
                <v:path arrowok="t" o:connecttype="custom" o:connectlocs="0,0;1829435,0" o:connectangles="0,0"/>
                <w10:wrap type="topAndBottom" anchorx="page"/>
              </v:shape>
            </w:pict>
          </mc:Fallback>
        </mc:AlternateContent>
      </w:r>
    </w:p>
    <w:p w14:paraId="718DFC81" w14:textId="77777777" w:rsidR="007E4447" w:rsidRDefault="007E4447">
      <w:pPr>
        <w:pStyle w:val="BodyText"/>
        <w:rPr>
          <w:sz w:val="20"/>
        </w:rPr>
      </w:pPr>
    </w:p>
    <w:p w14:paraId="6F1CD96C" w14:textId="77777777" w:rsidR="007E4447" w:rsidRDefault="007E4447">
      <w:pPr>
        <w:pStyle w:val="BodyText"/>
        <w:spacing w:before="9"/>
        <w:rPr>
          <w:sz w:val="21"/>
        </w:rPr>
      </w:pPr>
    </w:p>
    <w:p w14:paraId="40CDE81D" w14:textId="77777777" w:rsidR="007E4447" w:rsidRDefault="004C6125">
      <w:pPr>
        <w:spacing w:before="69"/>
        <w:ind w:left="100"/>
        <w:rPr>
          <w:sz w:val="18"/>
        </w:rPr>
      </w:pPr>
      <w:r>
        <w:rPr>
          <w:position w:val="5"/>
          <w:sz w:val="12"/>
        </w:rPr>
        <w:t xml:space="preserve">3 </w:t>
      </w:r>
      <w:r>
        <w:rPr>
          <w:sz w:val="18"/>
        </w:rPr>
        <w:t>Code of Federal Regulations at 10 CFR 431.25 (h). Table 5.</w:t>
      </w:r>
    </w:p>
    <w:p w14:paraId="364E7F52" w14:textId="77777777" w:rsidR="007E4447" w:rsidRDefault="004C6125">
      <w:pPr>
        <w:spacing w:before="121"/>
        <w:ind w:left="100"/>
        <w:rPr>
          <w:sz w:val="18"/>
        </w:rPr>
      </w:pPr>
      <w:r>
        <w:rPr>
          <w:position w:val="5"/>
          <w:sz w:val="12"/>
        </w:rPr>
        <w:t xml:space="preserve">4 </w:t>
      </w:r>
      <w:r>
        <w:rPr>
          <w:sz w:val="18"/>
        </w:rPr>
        <w:t>Code of Federal Regulations at 10 CFR 431.446 (a).</w:t>
      </w:r>
    </w:p>
    <w:p w14:paraId="7C773E02" w14:textId="77777777" w:rsidR="007E4447" w:rsidRDefault="004C6125">
      <w:pPr>
        <w:spacing w:before="121"/>
        <w:ind w:left="100" w:right="1456"/>
        <w:rPr>
          <w:sz w:val="18"/>
        </w:rPr>
      </w:pPr>
      <w:r>
        <w:rPr>
          <w:position w:val="5"/>
          <w:sz w:val="12"/>
        </w:rPr>
        <w:t xml:space="preserve">5 </w:t>
      </w:r>
      <w:r>
        <w:rPr>
          <w:sz w:val="18"/>
        </w:rPr>
        <w:t xml:space="preserve">California Energy Commission (CEC). 2018. </w:t>
      </w:r>
      <w:r>
        <w:rPr>
          <w:i/>
          <w:sz w:val="18"/>
        </w:rPr>
        <w:t xml:space="preserve">2019 Building Energy Efficiency Standards for Residential and Nonresidential Buildings. </w:t>
      </w:r>
      <w:r>
        <w:rPr>
          <w:sz w:val="18"/>
        </w:rPr>
        <w:t>CEC-400-2018-020-CMF.</w:t>
      </w:r>
    </w:p>
    <w:p w14:paraId="0592CF09" w14:textId="77777777" w:rsidR="007E4447" w:rsidRDefault="007E4447">
      <w:pPr>
        <w:rPr>
          <w:sz w:val="18"/>
        </w:rPr>
        <w:sectPr w:rsidR="007E4447">
          <w:pgSz w:w="12240" w:h="15840"/>
          <w:pgMar w:top="1220" w:right="0" w:bottom="1320" w:left="1340" w:header="855" w:footer="1129" w:gutter="0"/>
          <w:cols w:space="720"/>
        </w:sectPr>
      </w:pPr>
    </w:p>
    <w:p w14:paraId="6C1D4CEE" w14:textId="77777777" w:rsidR="007E4447" w:rsidRDefault="007E4447">
      <w:pPr>
        <w:pStyle w:val="BodyText"/>
        <w:spacing w:before="8"/>
        <w:rPr>
          <w:sz w:val="19"/>
        </w:rPr>
      </w:pPr>
    </w:p>
    <w:p w14:paraId="3B1D3D4C" w14:textId="77777777" w:rsidR="007E4447" w:rsidRDefault="004C6125">
      <w:pPr>
        <w:pStyle w:val="BodyText"/>
        <w:spacing w:before="56"/>
        <w:ind w:left="100" w:right="1788"/>
      </w:pPr>
      <w:r>
        <w:t>incentives or other services) is targeted. This table also designates the broad market sector(s) that are applicable for this measure.</w:t>
      </w:r>
    </w:p>
    <w:p w14:paraId="6BC569BE" w14:textId="77777777" w:rsidR="007E4447" w:rsidRDefault="004C6125">
      <w:pPr>
        <w:spacing w:before="121"/>
        <w:ind w:left="100" w:right="1456"/>
        <w:rPr>
          <w:i/>
        </w:rPr>
      </w:pPr>
      <w:r>
        <w:rPr>
          <w:i/>
        </w:rPr>
        <w:t xml:space="preserve">Note that some of the implementation combinations below may not be allowed for some measure offerings by all program administrators. </w:t>
      </w:r>
    </w:p>
    <w:p w14:paraId="0F7695C3" w14:textId="77777777" w:rsidR="007E4447" w:rsidRDefault="007E4447">
      <w:pPr>
        <w:pStyle w:val="BodyText"/>
        <w:spacing w:before="2"/>
        <w:rPr>
          <w:i/>
          <w:sz w:val="23"/>
        </w:rPr>
      </w:pPr>
    </w:p>
    <w:p w14:paraId="535C1781" w14:textId="77777777" w:rsidR="007E4447" w:rsidRDefault="004C6125">
      <w:pPr>
        <w:spacing w:before="1"/>
        <w:ind w:left="100"/>
        <w:rPr>
          <w:sz w:val="20"/>
        </w:rPr>
      </w:pPr>
      <w:r>
        <w:rPr>
          <w:sz w:val="20"/>
        </w:rPr>
        <w:t>Implementation Eligibility</w:t>
      </w:r>
    </w:p>
    <w:p w14:paraId="0EFE9C83" w14:textId="77777777" w:rsidR="007E4447" w:rsidRDefault="007E4447">
      <w:pPr>
        <w:pStyle w:val="BodyText"/>
        <w:spacing w:before="7"/>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5"/>
        <w:gridCol w:w="3025"/>
        <w:gridCol w:w="3026"/>
      </w:tblGrid>
      <w:tr w:rsidR="007E4447" w14:paraId="37BD5045" w14:textId="77777777">
        <w:trPr>
          <w:trHeight w:val="244"/>
        </w:trPr>
        <w:tc>
          <w:tcPr>
            <w:tcW w:w="3025" w:type="dxa"/>
            <w:shd w:val="clear" w:color="auto" w:fill="F1F1F1"/>
          </w:tcPr>
          <w:p w14:paraId="58C70F9A" w14:textId="77777777" w:rsidR="007E4447" w:rsidRDefault="004C6125">
            <w:pPr>
              <w:pStyle w:val="TableParagraph"/>
              <w:spacing w:before="0" w:line="224" w:lineRule="exact"/>
              <w:ind w:left="107"/>
              <w:rPr>
                <w:sz w:val="20"/>
              </w:rPr>
            </w:pPr>
            <w:r>
              <w:rPr>
                <w:sz w:val="20"/>
              </w:rPr>
              <w:t>Measure Application Type</w:t>
            </w:r>
          </w:p>
        </w:tc>
        <w:tc>
          <w:tcPr>
            <w:tcW w:w="3025" w:type="dxa"/>
            <w:shd w:val="clear" w:color="auto" w:fill="F1F1F1"/>
          </w:tcPr>
          <w:p w14:paraId="67AE61C2" w14:textId="77777777" w:rsidR="007E4447" w:rsidRDefault="004C6125">
            <w:pPr>
              <w:pStyle w:val="TableParagraph"/>
              <w:spacing w:before="0" w:line="224" w:lineRule="exact"/>
              <w:ind w:left="107"/>
              <w:rPr>
                <w:sz w:val="20"/>
              </w:rPr>
            </w:pPr>
            <w:r>
              <w:rPr>
                <w:sz w:val="20"/>
              </w:rPr>
              <w:t>Delivery Type</w:t>
            </w:r>
          </w:p>
        </w:tc>
        <w:tc>
          <w:tcPr>
            <w:tcW w:w="3026" w:type="dxa"/>
            <w:shd w:val="clear" w:color="auto" w:fill="F1F1F1"/>
          </w:tcPr>
          <w:p w14:paraId="27E92F03" w14:textId="77777777" w:rsidR="007E4447" w:rsidRDefault="004C6125">
            <w:pPr>
              <w:pStyle w:val="TableParagraph"/>
              <w:spacing w:before="0" w:line="224" w:lineRule="exact"/>
              <w:ind w:left="106"/>
              <w:rPr>
                <w:sz w:val="20"/>
              </w:rPr>
            </w:pPr>
            <w:r>
              <w:rPr>
                <w:sz w:val="20"/>
              </w:rPr>
              <w:t>Sector</w:t>
            </w:r>
          </w:p>
        </w:tc>
      </w:tr>
      <w:tr w:rsidR="007E4447" w14:paraId="2EF88DE2" w14:textId="77777777">
        <w:trPr>
          <w:trHeight w:val="242"/>
        </w:trPr>
        <w:tc>
          <w:tcPr>
            <w:tcW w:w="3025" w:type="dxa"/>
          </w:tcPr>
          <w:p w14:paraId="74BD3A29" w14:textId="77777777" w:rsidR="007E4447" w:rsidRDefault="004C6125">
            <w:pPr>
              <w:pStyle w:val="TableParagraph"/>
              <w:spacing w:before="0" w:line="222" w:lineRule="exact"/>
              <w:ind w:left="107"/>
              <w:rPr>
                <w:sz w:val="20"/>
              </w:rPr>
            </w:pPr>
            <w:r>
              <w:rPr>
                <w:sz w:val="20"/>
              </w:rPr>
              <w:t>Normal replacement</w:t>
            </w:r>
          </w:p>
        </w:tc>
        <w:tc>
          <w:tcPr>
            <w:tcW w:w="3025" w:type="dxa"/>
          </w:tcPr>
          <w:p w14:paraId="1A6D2198" w14:textId="77777777" w:rsidR="007E4447" w:rsidRDefault="004C6125">
            <w:pPr>
              <w:pStyle w:val="TableParagraph"/>
              <w:spacing w:before="0" w:line="222" w:lineRule="exact"/>
              <w:ind w:left="107"/>
              <w:rPr>
                <w:sz w:val="20"/>
              </w:rPr>
            </w:pPr>
            <w:proofErr w:type="spellStart"/>
            <w:r>
              <w:rPr>
                <w:sz w:val="20"/>
              </w:rPr>
              <w:t>DnDeemDI</w:t>
            </w:r>
            <w:proofErr w:type="spellEnd"/>
          </w:p>
        </w:tc>
        <w:tc>
          <w:tcPr>
            <w:tcW w:w="3026" w:type="dxa"/>
          </w:tcPr>
          <w:p w14:paraId="67AE90DE" w14:textId="77777777" w:rsidR="007E4447" w:rsidRDefault="004C6125">
            <w:pPr>
              <w:pStyle w:val="TableParagraph"/>
              <w:spacing w:before="0" w:line="222" w:lineRule="exact"/>
              <w:ind w:left="106"/>
              <w:rPr>
                <w:sz w:val="20"/>
              </w:rPr>
            </w:pPr>
            <w:r>
              <w:rPr>
                <w:sz w:val="20"/>
              </w:rPr>
              <w:t>Com</w:t>
            </w:r>
          </w:p>
        </w:tc>
      </w:tr>
      <w:tr w:rsidR="007E4447" w14:paraId="0CFB4D70" w14:textId="77777777">
        <w:trPr>
          <w:trHeight w:val="244"/>
        </w:trPr>
        <w:tc>
          <w:tcPr>
            <w:tcW w:w="3025" w:type="dxa"/>
          </w:tcPr>
          <w:p w14:paraId="1067ECE6" w14:textId="77777777" w:rsidR="007E4447" w:rsidRDefault="004C6125">
            <w:pPr>
              <w:pStyle w:val="TableParagraph"/>
              <w:spacing w:before="1" w:line="223" w:lineRule="exact"/>
              <w:ind w:left="107"/>
              <w:rPr>
                <w:sz w:val="20"/>
              </w:rPr>
            </w:pPr>
            <w:r>
              <w:rPr>
                <w:sz w:val="20"/>
              </w:rPr>
              <w:t>Normal replacement</w:t>
            </w:r>
          </w:p>
        </w:tc>
        <w:tc>
          <w:tcPr>
            <w:tcW w:w="3025" w:type="dxa"/>
          </w:tcPr>
          <w:p w14:paraId="7DF7E634" w14:textId="77777777" w:rsidR="007E4447" w:rsidRDefault="004C6125">
            <w:pPr>
              <w:pStyle w:val="TableParagraph"/>
              <w:spacing w:before="1" w:line="223" w:lineRule="exact"/>
              <w:ind w:left="107"/>
              <w:rPr>
                <w:sz w:val="20"/>
              </w:rPr>
            </w:pPr>
            <w:proofErr w:type="spellStart"/>
            <w:r>
              <w:rPr>
                <w:sz w:val="20"/>
              </w:rPr>
              <w:t>DnDeemed</w:t>
            </w:r>
            <w:proofErr w:type="spellEnd"/>
          </w:p>
        </w:tc>
        <w:tc>
          <w:tcPr>
            <w:tcW w:w="3026" w:type="dxa"/>
          </w:tcPr>
          <w:p w14:paraId="2A475101" w14:textId="77777777" w:rsidR="007E4447" w:rsidRDefault="004C6125">
            <w:pPr>
              <w:pStyle w:val="TableParagraph"/>
              <w:spacing w:before="1" w:line="223" w:lineRule="exact"/>
              <w:ind w:left="106"/>
              <w:rPr>
                <w:sz w:val="20"/>
              </w:rPr>
            </w:pPr>
            <w:r>
              <w:rPr>
                <w:sz w:val="20"/>
              </w:rPr>
              <w:t>Com</w:t>
            </w:r>
          </w:p>
        </w:tc>
      </w:tr>
      <w:tr w:rsidR="007E4447" w14:paraId="08A3ADB4" w14:textId="77777777">
        <w:trPr>
          <w:trHeight w:val="244"/>
        </w:trPr>
        <w:tc>
          <w:tcPr>
            <w:tcW w:w="3025" w:type="dxa"/>
          </w:tcPr>
          <w:p w14:paraId="1FD66C66" w14:textId="77777777" w:rsidR="007E4447" w:rsidRDefault="004C6125">
            <w:pPr>
              <w:pStyle w:val="TableParagraph"/>
              <w:spacing w:before="0" w:line="224" w:lineRule="exact"/>
              <w:ind w:left="107"/>
              <w:rPr>
                <w:sz w:val="20"/>
              </w:rPr>
            </w:pPr>
            <w:r>
              <w:rPr>
                <w:sz w:val="20"/>
              </w:rPr>
              <w:t>Normal replacement</w:t>
            </w:r>
          </w:p>
        </w:tc>
        <w:tc>
          <w:tcPr>
            <w:tcW w:w="3025" w:type="dxa"/>
          </w:tcPr>
          <w:p w14:paraId="00094D11" w14:textId="77777777" w:rsidR="007E4447" w:rsidRDefault="004C6125">
            <w:pPr>
              <w:pStyle w:val="TableParagraph"/>
              <w:spacing w:before="0" w:line="224" w:lineRule="exact"/>
              <w:ind w:left="107"/>
              <w:rPr>
                <w:sz w:val="20"/>
              </w:rPr>
            </w:pPr>
            <w:proofErr w:type="spellStart"/>
            <w:r>
              <w:rPr>
                <w:sz w:val="20"/>
              </w:rPr>
              <w:t>UpDeemed</w:t>
            </w:r>
            <w:proofErr w:type="spellEnd"/>
          </w:p>
        </w:tc>
        <w:tc>
          <w:tcPr>
            <w:tcW w:w="3026" w:type="dxa"/>
          </w:tcPr>
          <w:p w14:paraId="7FDE27A4" w14:textId="77777777" w:rsidR="007E4447" w:rsidRDefault="004C6125">
            <w:pPr>
              <w:pStyle w:val="TableParagraph"/>
              <w:spacing w:before="0" w:line="224" w:lineRule="exact"/>
              <w:ind w:left="106"/>
              <w:rPr>
                <w:sz w:val="20"/>
              </w:rPr>
            </w:pPr>
            <w:r>
              <w:rPr>
                <w:sz w:val="20"/>
              </w:rPr>
              <w:t>Com</w:t>
            </w:r>
          </w:p>
        </w:tc>
      </w:tr>
      <w:tr w:rsidR="007E4447" w14:paraId="01130CF5" w14:textId="77777777">
        <w:trPr>
          <w:trHeight w:val="244"/>
        </w:trPr>
        <w:tc>
          <w:tcPr>
            <w:tcW w:w="3025" w:type="dxa"/>
          </w:tcPr>
          <w:p w14:paraId="0A4B7B88" w14:textId="77777777" w:rsidR="007E4447" w:rsidRDefault="004C6125">
            <w:pPr>
              <w:pStyle w:val="TableParagraph"/>
              <w:spacing w:before="0" w:line="224" w:lineRule="exact"/>
              <w:ind w:left="107"/>
              <w:rPr>
                <w:sz w:val="20"/>
              </w:rPr>
            </w:pPr>
            <w:r>
              <w:rPr>
                <w:sz w:val="20"/>
              </w:rPr>
              <w:t>Normal replacement</w:t>
            </w:r>
          </w:p>
        </w:tc>
        <w:tc>
          <w:tcPr>
            <w:tcW w:w="3025" w:type="dxa"/>
          </w:tcPr>
          <w:p w14:paraId="0CCEB92C" w14:textId="77777777" w:rsidR="007E4447" w:rsidRDefault="004C6125">
            <w:pPr>
              <w:pStyle w:val="TableParagraph"/>
              <w:spacing w:before="0" w:line="224" w:lineRule="exact"/>
              <w:ind w:left="107"/>
              <w:rPr>
                <w:sz w:val="20"/>
              </w:rPr>
            </w:pPr>
            <w:proofErr w:type="spellStart"/>
            <w:r>
              <w:rPr>
                <w:sz w:val="20"/>
              </w:rPr>
              <w:t>DnDeemDI</w:t>
            </w:r>
            <w:proofErr w:type="spellEnd"/>
          </w:p>
        </w:tc>
        <w:tc>
          <w:tcPr>
            <w:tcW w:w="3026" w:type="dxa"/>
          </w:tcPr>
          <w:p w14:paraId="71A27944" w14:textId="77777777" w:rsidR="007E4447" w:rsidRDefault="004C6125">
            <w:pPr>
              <w:pStyle w:val="TableParagraph"/>
              <w:spacing w:before="0" w:line="224" w:lineRule="exact"/>
              <w:ind w:left="106"/>
              <w:rPr>
                <w:sz w:val="20"/>
              </w:rPr>
            </w:pPr>
            <w:r>
              <w:rPr>
                <w:sz w:val="20"/>
              </w:rPr>
              <w:t>Ind</w:t>
            </w:r>
          </w:p>
        </w:tc>
      </w:tr>
      <w:tr w:rsidR="007E4447" w14:paraId="0F4EDFDA" w14:textId="77777777">
        <w:trPr>
          <w:trHeight w:val="244"/>
        </w:trPr>
        <w:tc>
          <w:tcPr>
            <w:tcW w:w="3025" w:type="dxa"/>
          </w:tcPr>
          <w:p w14:paraId="52E4D22B" w14:textId="77777777" w:rsidR="007E4447" w:rsidRDefault="004C6125">
            <w:pPr>
              <w:pStyle w:val="TableParagraph"/>
              <w:spacing w:before="0" w:line="224" w:lineRule="exact"/>
              <w:ind w:left="107"/>
              <w:rPr>
                <w:sz w:val="20"/>
              </w:rPr>
            </w:pPr>
            <w:r>
              <w:rPr>
                <w:sz w:val="20"/>
              </w:rPr>
              <w:t>Normal replacement</w:t>
            </w:r>
          </w:p>
        </w:tc>
        <w:tc>
          <w:tcPr>
            <w:tcW w:w="3025" w:type="dxa"/>
          </w:tcPr>
          <w:p w14:paraId="2F5F9A2F" w14:textId="77777777" w:rsidR="007E4447" w:rsidRDefault="004C6125">
            <w:pPr>
              <w:pStyle w:val="TableParagraph"/>
              <w:spacing w:before="0" w:line="224" w:lineRule="exact"/>
              <w:ind w:left="107"/>
              <w:rPr>
                <w:sz w:val="20"/>
              </w:rPr>
            </w:pPr>
            <w:proofErr w:type="spellStart"/>
            <w:r>
              <w:rPr>
                <w:sz w:val="20"/>
              </w:rPr>
              <w:t>DnDeemed</w:t>
            </w:r>
            <w:proofErr w:type="spellEnd"/>
          </w:p>
        </w:tc>
        <w:tc>
          <w:tcPr>
            <w:tcW w:w="3026" w:type="dxa"/>
          </w:tcPr>
          <w:p w14:paraId="01AAC4DC" w14:textId="77777777" w:rsidR="007E4447" w:rsidRDefault="004C6125">
            <w:pPr>
              <w:pStyle w:val="TableParagraph"/>
              <w:spacing w:before="0" w:line="224" w:lineRule="exact"/>
              <w:ind w:left="106"/>
              <w:rPr>
                <w:sz w:val="20"/>
              </w:rPr>
            </w:pPr>
            <w:r>
              <w:rPr>
                <w:sz w:val="20"/>
              </w:rPr>
              <w:t>Ind</w:t>
            </w:r>
          </w:p>
        </w:tc>
      </w:tr>
      <w:tr w:rsidR="007E4447" w14:paraId="7190C39E" w14:textId="77777777">
        <w:trPr>
          <w:trHeight w:val="245"/>
        </w:trPr>
        <w:tc>
          <w:tcPr>
            <w:tcW w:w="3025" w:type="dxa"/>
          </w:tcPr>
          <w:p w14:paraId="5FEE5CF4" w14:textId="77777777" w:rsidR="007E4447" w:rsidRDefault="004C6125">
            <w:pPr>
              <w:pStyle w:val="TableParagraph"/>
              <w:spacing w:before="0" w:line="225" w:lineRule="exact"/>
              <w:ind w:left="107"/>
              <w:rPr>
                <w:sz w:val="20"/>
              </w:rPr>
            </w:pPr>
            <w:r>
              <w:rPr>
                <w:sz w:val="20"/>
              </w:rPr>
              <w:t>Normal replacement</w:t>
            </w:r>
          </w:p>
        </w:tc>
        <w:tc>
          <w:tcPr>
            <w:tcW w:w="3025" w:type="dxa"/>
          </w:tcPr>
          <w:p w14:paraId="5670D44E" w14:textId="77777777" w:rsidR="007E4447" w:rsidRDefault="004C6125">
            <w:pPr>
              <w:pStyle w:val="TableParagraph"/>
              <w:spacing w:before="0" w:line="225" w:lineRule="exact"/>
              <w:ind w:left="107"/>
              <w:rPr>
                <w:sz w:val="20"/>
              </w:rPr>
            </w:pPr>
            <w:proofErr w:type="spellStart"/>
            <w:r>
              <w:rPr>
                <w:sz w:val="20"/>
              </w:rPr>
              <w:t>UpDeemed</w:t>
            </w:r>
            <w:proofErr w:type="spellEnd"/>
          </w:p>
        </w:tc>
        <w:tc>
          <w:tcPr>
            <w:tcW w:w="3026" w:type="dxa"/>
          </w:tcPr>
          <w:p w14:paraId="418DA21B" w14:textId="77777777" w:rsidR="007E4447" w:rsidRDefault="004C6125">
            <w:pPr>
              <w:pStyle w:val="TableParagraph"/>
              <w:spacing w:before="0" w:line="225" w:lineRule="exact"/>
              <w:ind w:left="106"/>
              <w:rPr>
                <w:sz w:val="20"/>
              </w:rPr>
            </w:pPr>
            <w:r>
              <w:rPr>
                <w:sz w:val="20"/>
              </w:rPr>
              <w:t>Ind</w:t>
            </w:r>
          </w:p>
        </w:tc>
      </w:tr>
    </w:tbl>
    <w:p w14:paraId="59AD6E1F" w14:textId="77777777" w:rsidR="007E4447" w:rsidRDefault="007E4447">
      <w:pPr>
        <w:pStyle w:val="BodyText"/>
        <w:rPr>
          <w:sz w:val="20"/>
        </w:rPr>
      </w:pPr>
    </w:p>
    <w:p w14:paraId="6D66807D" w14:textId="77777777" w:rsidR="007E4447" w:rsidRDefault="007E4447">
      <w:pPr>
        <w:pStyle w:val="BodyText"/>
        <w:spacing w:before="5"/>
        <w:rPr>
          <w:sz w:val="21"/>
        </w:rPr>
      </w:pPr>
    </w:p>
    <w:p w14:paraId="105C2476" w14:textId="77777777" w:rsidR="007E4447" w:rsidRDefault="004C6125">
      <w:pPr>
        <w:ind w:left="100"/>
        <w:rPr>
          <w:i/>
        </w:rPr>
      </w:pPr>
      <w:r>
        <w:rPr>
          <w:i/>
          <w:color w:val="5F5F5F"/>
        </w:rPr>
        <w:t xml:space="preserve">Eligible Products </w:t>
      </w:r>
    </w:p>
    <w:p w14:paraId="39EF8FD2" w14:textId="77777777" w:rsidR="007E4447" w:rsidRDefault="004C6125">
      <w:pPr>
        <w:pStyle w:val="BodyText"/>
        <w:spacing w:before="120"/>
        <w:ind w:left="100" w:right="2006"/>
      </w:pPr>
      <w:r>
        <w:t>This measure must replace the existing supply fan motors between 1 to &lt;=3 hp in a packaged HVAC system in a commercial building type.</w:t>
      </w:r>
    </w:p>
    <w:p w14:paraId="366D33AC" w14:textId="77777777" w:rsidR="007E4447" w:rsidRDefault="004C6125">
      <w:pPr>
        <w:pStyle w:val="BodyText"/>
        <w:spacing w:before="121"/>
        <w:ind w:left="100"/>
      </w:pPr>
      <w:r>
        <w:t>The new motor and controls must be UL Listed.</w:t>
      </w:r>
    </w:p>
    <w:p w14:paraId="166412CC" w14:textId="77777777" w:rsidR="007E4447" w:rsidRDefault="004C6125">
      <w:pPr>
        <w:pStyle w:val="BodyText"/>
        <w:spacing w:before="120"/>
        <w:ind w:left="100" w:right="1518"/>
      </w:pPr>
      <w:r>
        <w:t>The installation of this measure shall meet all applicable regulations, including but not limited to the current California Building Energy Efficiency Standards (Title 24), federal code, and the National Electrical Code® (NEC).</w:t>
      </w:r>
    </w:p>
    <w:p w14:paraId="1831D043" w14:textId="77777777" w:rsidR="007E4447" w:rsidRDefault="007E4447">
      <w:pPr>
        <w:pStyle w:val="BodyText"/>
      </w:pPr>
    </w:p>
    <w:p w14:paraId="4A0F5E00" w14:textId="77777777" w:rsidR="007E4447" w:rsidRDefault="007E4447">
      <w:pPr>
        <w:pStyle w:val="BodyText"/>
        <w:spacing w:before="7"/>
        <w:rPr>
          <w:sz w:val="19"/>
        </w:rPr>
      </w:pPr>
    </w:p>
    <w:p w14:paraId="4A9600AA" w14:textId="77777777" w:rsidR="007E4447" w:rsidRDefault="004C6125">
      <w:pPr>
        <w:ind w:left="100"/>
        <w:rPr>
          <w:i/>
        </w:rPr>
      </w:pPr>
      <w:r>
        <w:rPr>
          <w:i/>
          <w:color w:val="5F5F5F"/>
        </w:rPr>
        <w:t xml:space="preserve">Eligible Building Types and Vintages </w:t>
      </w:r>
    </w:p>
    <w:p w14:paraId="77A44B5A" w14:textId="77777777" w:rsidR="007E4447" w:rsidRDefault="004C6125">
      <w:pPr>
        <w:pStyle w:val="BodyText"/>
        <w:spacing w:before="121"/>
        <w:ind w:left="100"/>
      </w:pPr>
      <w:r>
        <w:t>This measure is applicable for all commercial and industrial building types of any vintage.</w:t>
      </w:r>
    </w:p>
    <w:p w14:paraId="74EBB47A" w14:textId="77777777" w:rsidR="007E4447" w:rsidRDefault="007E4447">
      <w:pPr>
        <w:pStyle w:val="BodyText"/>
      </w:pPr>
    </w:p>
    <w:p w14:paraId="1177A508" w14:textId="77777777" w:rsidR="007E4447" w:rsidRDefault="007E4447">
      <w:pPr>
        <w:pStyle w:val="BodyText"/>
        <w:spacing w:before="8"/>
        <w:rPr>
          <w:sz w:val="19"/>
        </w:rPr>
      </w:pPr>
    </w:p>
    <w:p w14:paraId="3602EF5C" w14:textId="77777777" w:rsidR="007E4447" w:rsidRDefault="004C6125">
      <w:pPr>
        <w:ind w:left="100"/>
        <w:rPr>
          <w:i/>
        </w:rPr>
      </w:pPr>
      <w:r>
        <w:rPr>
          <w:i/>
          <w:color w:val="5F5F5F"/>
        </w:rPr>
        <w:t xml:space="preserve">Eligible Climate Zones </w:t>
      </w:r>
    </w:p>
    <w:p w14:paraId="29A572E4" w14:textId="77777777" w:rsidR="007E4447" w:rsidRDefault="004C6125">
      <w:pPr>
        <w:pStyle w:val="BodyText"/>
        <w:spacing w:before="120"/>
        <w:ind w:left="100"/>
      </w:pPr>
      <w:r>
        <w:t>This measure is applicable in all California climate zones.</w:t>
      </w:r>
    </w:p>
    <w:p w14:paraId="4B355FD5" w14:textId="77777777" w:rsidR="007E4447" w:rsidRDefault="007E4447">
      <w:pPr>
        <w:pStyle w:val="BodyText"/>
      </w:pPr>
    </w:p>
    <w:p w14:paraId="59AA4166" w14:textId="77777777" w:rsidR="007E4447" w:rsidRDefault="007E4447">
      <w:pPr>
        <w:pStyle w:val="BodyText"/>
        <w:spacing w:before="11"/>
        <w:rPr>
          <w:sz w:val="20"/>
        </w:rPr>
      </w:pPr>
    </w:p>
    <w:p w14:paraId="739BC9C8" w14:textId="77777777" w:rsidR="007E4447" w:rsidRDefault="004C6125">
      <w:pPr>
        <w:pStyle w:val="Heading1"/>
      </w:pPr>
      <w:bookmarkStart w:id="8" w:name="_TOC_250015"/>
      <w:bookmarkEnd w:id="8"/>
      <w:r>
        <w:rPr>
          <w:color w:val="CFAB79"/>
        </w:rPr>
        <w:t>PROGRAM EXCLUSIONS</w:t>
      </w:r>
    </w:p>
    <w:p w14:paraId="3A98F4CB" w14:textId="77777777" w:rsidR="007E4447" w:rsidRDefault="004C6125">
      <w:pPr>
        <w:pStyle w:val="BodyText"/>
        <w:spacing w:before="113"/>
        <w:ind w:left="100"/>
      </w:pPr>
      <w:r>
        <w:t>This measure is not eligible for supply fan motors rated &lt;1 hp and &gt; 3 hp (nominal).</w:t>
      </w:r>
    </w:p>
    <w:p w14:paraId="18F3E265" w14:textId="77777777" w:rsidR="007E4447" w:rsidRDefault="004C6125">
      <w:pPr>
        <w:pStyle w:val="BodyText"/>
        <w:spacing w:before="118"/>
        <w:ind w:left="100" w:right="1651"/>
      </w:pPr>
      <w:r>
        <w:t>This measure is not eligible for other fans, such as the return fan or outdoor air fan of a packaged HVAC unit.</w:t>
      </w:r>
    </w:p>
    <w:p w14:paraId="5F40FD94" w14:textId="77777777" w:rsidR="007E4447" w:rsidRDefault="007E4447">
      <w:pPr>
        <w:pStyle w:val="BodyText"/>
      </w:pPr>
    </w:p>
    <w:p w14:paraId="5B4CFC24" w14:textId="77777777" w:rsidR="007E4447" w:rsidRDefault="007E4447">
      <w:pPr>
        <w:pStyle w:val="BodyText"/>
        <w:spacing w:before="11"/>
        <w:rPr>
          <w:sz w:val="20"/>
        </w:rPr>
      </w:pPr>
    </w:p>
    <w:p w14:paraId="3371E811" w14:textId="77777777" w:rsidR="007E4447" w:rsidRDefault="004C6125">
      <w:pPr>
        <w:pStyle w:val="Heading1"/>
      </w:pPr>
      <w:bookmarkStart w:id="9" w:name="_TOC_250014"/>
      <w:bookmarkEnd w:id="9"/>
      <w:r>
        <w:rPr>
          <w:color w:val="CFAB79"/>
        </w:rPr>
        <w:t>DATA COLLECTION REQUIREMENTS</w:t>
      </w:r>
    </w:p>
    <w:p w14:paraId="33E098BC" w14:textId="77777777" w:rsidR="007E4447" w:rsidRDefault="004C6125">
      <w:pPr>
        <w:pStyle w:val="BodyText"/>
        <w:spacing w:before="113"/>
        <w:ind w:left="100" w:right="1695"/>
      </w:pPr>
      <w:r>
        <w:t>In support of the next revision to this workpaper, additional data should to be gathered to determine if motors with horsepower ratings greater than 3 HP can be included as measure offerings. This includes the following:</w:t>
      </w:r>
    </w:p>
    <w:p w14:paraId="4A5045DA" w14:textId="77777777" w:rsidR="007E4447" w:rsidRDefault="007E4447">
      <w:pPr>
        <w:sectPr w:rsidR="007E4447">
          <w:pgSz w:w="12240" w:h="15840"/>
          <w:pgMar w:top="1220" w:right="0" w:bottom="1320" w:left="1340" w:header="855" w:footer="1129" w:gutter="0"/>
          <w:cols w:space="720"/>
        </w:sectPr>
      </w:pPr>
    </w:p>
    <w:p w14:paraId="0494A912" w14:textId="77777777" w:rsidR="007E4447" w:rsidRDefault="007E4447">
      <w:pPr>
        <w:pStyle w:val="BodyText"/>
        <w:rPr>
          <w:sz w:val="16"/>
        </w:rPr>
      </w:pPr>
    </w:p>
    <w:p w14:paraId="5626C817" w14:textId="77777777" w:rsidR="007E4447" w:rsidRDefault="004C6125">
      <w:pPr>
        <w:pStyle w:val="ListParagraph"/>
        <w:numPr>
          <w:ilvl w:val="0"/>
          <w:numId w:val="1"/>
        </w:numPr>
        <w:tabs>
          <w:tab w:val="left" w:pos="820"/>
          <w:tab w:val="left" w:pos="821"/>
        </w:tabs>
        <w:spacing w:before="101"/>
        <w:ind w:right="2464"/>
        <w:rPr>
          <w:rFonts w:ascii="Symbol" w:hAnsi="Symbol"/>
        </w:rPr>
      </w:pPr>
      <w:r>
        <w:t xml:space="preserve">The application for </w:t>
      </w:r>
      <w:proofErr w:type="gramStart"/>
      <w:r>
        <w:t>software-controlled</w:t>
      </w:r>
      <w:proofErr w:type="gramEnd"/>
      <w:r>
        <w:t xml:space="preserve"> SRMs highlighted by the 2018 ET study is in air conditioning supply fans. Other applications may be studied for</w:t>
      </w:r>
      <w:r>
        <w:rPr>
          <w:spacing w:val="-14"/>
        </w:rPr>
        <w:t xml:space="preserve"> </w:t>
      </w:r>
      <w:r>
        <w:t>suitability.</w:t>
      </w:r>
    </w:p>
    <w:p w14:paraId="28D70F2C" w14:textId="77777777" w:rsidR="007E4447" w:rsidRDefault="004C6125">
      <w:pPr>
        <w:pStyle w:val="ListParagraph"/>
        <w:numPr>
          <w:ilvl w:val="0"/>
          <w:numId w:val="1"/>
        </w:numPr>
        <w:tabs>
          <w:tab w:val="left" w:pos="820"/>
          <w:tab w:val="left" w:pos="821"/>
        </w:tabs>
        <w:rPr>
          <w:rFonts w:ascii="Symbol" w:hAnsi="Symbol"/>
        </w:rPr>
      </w:pPr>
      <w:r>
        <w:t>Based on the initially available set of datasheets, the 5 HP SRM falls below the NEMA Premium® rating of 89.5% for a 4-pole (1800 RPM) induction motor. As additional SRM products become available, efficiency rating tests (following the appropriate standard test procedures identified by the manufacturer) as well as data on full-load VSD losses for the comparable baseline equipment should be</w:t>
      </w:r>
      <w:r>
        <w:rPr>
          <w:spacing w:val="-1"/>
        </w:rPr>
        <w:t xml:space="preserve"> </w:t>
      </w:r>
      <w:r>
        <w:t>collected.</w:t>
      </w:r>
    </w:p>
    <w:p w14:paraId="5D6DC547" w14:textId="77777777" w:rsidR="007E4447" w:rsidRDefault="004C6125">
      <w:pPr>
        <w:pStyle w:val="BodyText"/>
        <w:spacing w:before="119"/>
        <w:ind w:left="100" w:right="1597"/>
      </w:pPr>
      <w:r>
        <w:t xml:space="preserve">The existing measure cost analysis is considering data from only one manufacturer. In the future if more manufacturers are offering this product, the cost analysis </w:t>
      </w:r>
      <w:proofErr w:type="gramStart"/>
      <w:r>
        <w:t>has to</w:t>
      </w:r>
      <w:proofErr w:type="gramEnd"/>
      <w:r>
        <w:t xml:space="preserve"> be revised.</w:t>
      </w:r>
    </w:p>
    <w:p w14:paraId="57361AC5" w14:textId="77777777" w:rsidR="007E4447" w:rsidRDefault="007E4447">
      <w:pPr>
        <w:pStyle w:val="BodyText"/>
      </w:pPr>
    </w:p>
    <w:p w14:paraId="51ADD992" w14:textId="77777777" w:rsidR="007E4447" w:rsidRDefault="007E4447">
      <w:pPr>
        <w:pStyle w:val="BodyText"/>
        <w:spacing w:before="11"/>
        <w:rPr>
          <w:sz w:val="20"/>
        </w:rPr>
      </w:pPr>
    </w:p>
    <w:p w14:paraId="1580A65C" w14:textId="77777777" w:rsidR="007E4447" w:rsidRDefault="004C6125">
      <w:pPr>
        <w:pStyle w:val="Heading1"/>
      </w:pPr>
      <w:bookmarkStart w:id="10" w:name="_TOC_250013"/>
      <w:bookmarkEnd w:id="10"/>
      <w:r>
        <w:rPr>
          <w:color w:val="CFAB79"/>
        </w:rPr>
        <w:t>USE CATEGORY</w:t>
      </w:r>
    </w:p>
    <w:p w14:paraId="037AD59E" w14:textId="77777777" w:rsidR="007E4447" w:rsidRDefault="004C6125">
      <w:pPr>
        <w:pStyle w:val="BodyText"/>
        <w:spacing w:before="113"/>
        <w:ind w:left="100"/>
      </w:pPr>
      <w:r>
        <w:t>HVAC</w:t>
      </w:r>
    </w:p>
    <w:p w14:paraId="1A61B8BC" w14:textId="77777777" w:rsidR="007E4447" w:rsidRDefault="007E4447">
      <w:pPr>
        <w:pStyle w:val="BodyText"/>
      </w:pPr>
    </w:p>
    <w:p w14:paraId="31F8CFD3" w14:textId="77777777" w:rsidR="007E4447" w:rsidRDefault="007E4447">
      <w:pPr>
        <w:pStyle w:val="BodyText"/>
        <w:spacing w:before="11"/>
        <w:rPr>
          <w:sz w:val="20"/>
        </w:rPr>
      </w:pPr>
    </w:p>
    <w:p w14:paraId="3149AF17" w14:textId="77777777" w:rsidR="007E4447" w:rsidRDefault="004C6125">
      <w:pPr>
        <w:pStyle w:val="Heading1"/>
      </w:pPr>
      <w:bookmarkStart w:id="11" w:name="_TOC_250012"/>
      <w:bookmarkEnd w:id="11"/>
      <w:r>
        <w:rPr>
          <w:color w:val="CFAB79"/>
        </w:rPr>
        <w:t>ELECTRIC SAVINGS (KWH)</w:t>
      </w:r>
    </w:p>
    <w:p w14:paraId="72CECC3C" w14:textId="77777777" w:rsidR="007E4447" w:rsidRDefault="004C6125">
      <w:pPr>
        <w:pStyle w:val="BodyText"/>
        <w:spacing w:before="112"/>
        <w:ind w:left="100" w:right="1451"/>
      </w:pPr>
      <w:r>
        <w:t xml:space="preserve">The unit energy savings (UES) of this measure were derived as the difference of baseline and measure case unit energy consumption (UEC) derived from simulations with DOE-2.3/ </w:t>
      </w:r>
      <w:proofErr w:type="spellStart"/>
      <w:r>
        <w:t>eQUEST</w:t>
      </w:r>
      <w:proofErr w:type="spellEnd"/>
      <w:r>
        <w:t xml:space="preserve"> 3.65 energy modeling software.</w:t>
      </w:r>
      <w:r>
        <w:rPr>
          <w:vertAlign w:val="superscript"/>
        </w:rPr>
        <w:t>6</w:t>
      </w:r>
      <w:r>
        <w:t xml:space="preserve"> Prototypes from the Database for Energy Efficient Resources (DEER) were utilized for the simulations. MASControl3, an updated version of the measure analysis software for DEER2020 was used to generate the energy savings values for all measure offerings</w:t>
      </w:r>
    </w:p>
    <w:p w14:paraId="027E138F" w14:textId="77777777" w:rsidR="007E4447" w:rsidRDefault="004C6125">
      <w:pPr>
        <w:pStyle w:val="BodyText"/>
        <w:spacing w:before="119"/>
        <w:ind w:left="100" w:right="1651"/>
        <w:jc w:val="both"/>
      </w:pPr>
      <w:r>
        <w:t>MASControl3 does not include a measure for switched controlled SRM. Hence, an existing measure was replicated and modified to increase the motor efficiency and modify other fan system characteristics to simulate switched controlled SRM performance.</w:t>
      </w:r>
    </w:p>
    <w:p w14:paraId="39C10EDF" w14:textId="77777777" w:rsidR="007E4447" w:rsidRDefault="004C6125">
      <w:pPr>
        <w:pStyle w:val="BodyText"/>
        <w:spacing w:before="121"/>
        <w:ind w:left="100" w:right="1701"/>
        <w:jc w:val="both"/>
      </w:pPr>
      <w:r>
        <w:t>MASControl3 includes the following measures for direct expansion (DX) packaged units that vary based on the system capacity:</w:t>
      </w:r>
    </w:p>
    <w:p w14:paraId="3E644426" w14:textId="77777777" w:rsidR="007E4447" w:rsidRDefault="007E4447">
      <w:pPr>
        <w:pStyle w:val="BodyText"/>
        <w:spacing w:before="2"/>
        <w:rPr>
          <w:sz w:val="10"/>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405"/>
        <w:gridCol w:w="6390"/>
      </w:tblGrid>
      <w:tr w:rsidR="007E4447" w14:paraId="65E960DA" w14:textId="77777777" w:rsidTr="00193F71">
        <w:trPr>
          <w:trHeight w:val="254"/>
        </w:trPr>
        <w:tc>
          <w:tcPr>
            <w:tcW w:w="3405" w:type="dxa"/>
            <w:shd w:val="clear" w:color="auto" w:fill="F1F1F1"/>
          </w:tcPr>
          <w:p w14:paraId="27974D0F" w14:textId="77777777" w:rsidR="007E4447" w:rsidRDefault="004C6125">
            <w:pPr>
              <w:pStyle w:val="TableParagraph"/>
              <w:spacing w:before="0" w:line="224" w:lineRule="exact"/>
              <w:ind w:left="107"/>
              <w:rPr>
                <w:sz w:val="20"/>
              </w:rPr>
            </w:pPr>
            <w:r>
              <w:rPr>
                <w:sz w:val="20"/>
              </w:rPr>
              <w:t>DEER Energy Impact ID</w:t>
            </w:r>
          </w:p>
        </w:tc>
        <w:tc>
          <w:tcPr>
            <w:tcW w:w="6390" w:type="dxa"/>
            <w:tcBorders>
              <w:right w:val="single" w:sz="2" w:space="0" w:color="A6A6A6"/>
            </w:tcBorders>
            <w:shd w:val="clear" w:color="auto" w:fill="F1F1F1"/>
          </w:tcPr>
          <w:p w14:paraId="7273F776" w14:textId="77777777" w:rsidR="007E4447" w:rsidRDefault="004C6125">
            <w:pPr>
              <w:pStyle w:val="TableParagraph"/>
              <w:spacing w:before="0" w:line="224" w:lineRule="exact"/>
              <w:ind w:left="107"/>
              <w:rPr>
                <w:sz w:val="20"/>
              </w:rPr>
            </w:pPr>
            <w:r>
              <w:rPr>
                <w:sz w:val="20"/>
              </w:rPr>
              <w:t>Measure Description</w:t>
            </w:r>
          </w:p>
        </w:tc>
      </w:tr>
      <w:tr w:rsidR="007E4447" w14:paraId="5DC5D503" w14:textId="77777777" w:rsidTr="00193F71">
        <w:trPr>
          <w:trHeight w:val="254"/>
        </w:trPr>
        <w:tc>
          <w:tcPr>
            <w:tcW w:w="3405" w:type="dxa"/>
          </w:tcPr>
          <w:p w14:paraId="4535761E" w14:textId="77777777" w:rsidR="007E4447" w:rsidRDefault="004C6125">
            <w:pPr>
              <w:pStyle w:val="TableParagraph"/>
              <w:spacing w:before="0" w:line="224" w:lineRule="exact"/>
              <w:ind w:left="107"/>
              <w:rPr>
                <w:sz w:val="20"/>
              </w:rPr>
            </w:pPr>
            <w:r>
              <w:rPr>
                <w:sz w:val="20"/>
              </w:rPr>
              <w:t>NE-HVAC-airAC-SplitPkg-65to134kBtuh</w:t>
            </w:r>
          </w:p>
        </w:tc>
        <w:tc>
          <w:tcPr>
            <w:tcW w:w="6390" w:type="dxa"/>
            <w:tcBorders>
              <w:right w:val="single" w:sz="2" w:space="0" w:color="A6A6A6"/>
            </w:tcBorders>
          </w:tcPr>
          <w:p w14:paraId="2F013E75" w14:textId="77777777" w:rsidR="007E4447" w:rsidRDefault="004C6125">
            <w:pPr>
              <w:pStyle w:val="TableParagraph"/>
              <w:spacing w:before="0" w:line="224" w:lineRule="exact"/>
              <w:ind w:left="107"/>
              <w:rPr>
                <w:sz w:val="20"/>
              </w:rPr>
            </w:pPr>
            <w:r>
              <w:rPr>
                <w:sz w:val="20"/>
              </w:rPr>
              <w:t>Non-Residential Air-Cooled Packaged AC capacity between 65 and134kBtuh</w:t>
            </w:r>
          </w:p>
        </w:tc>
      </w:tr>
      <w:tr w:rsidR="007E4447" w14:paraId="162EB102" w14:textId="77777777" w:rsidTr="00193F71">
        <w:trPr>
          <w:trHeight w:val="254"/>
        </w:trPr>
        <w:tc>
          <w:tcPr>
            <w:tcW w:w="3405" w:type="dxa"/>
          </w:tcPr>
          <w:p w14:paraId="0989AB03" w14:textId="77777777" w:rsidR="007E4447" w:rsidRDefault="004C6125">
            <w:pPr>
              <w:pStyle w:val="TableParagraph"/>
              <w:spacing w:before="0" w:line="224" w:lineRule="exact"/>
              <w:ind w:left="107"/>
              <w:rPr>
                <w:sz w:val="20"/>
              </w:rPr>
            </w:pPr>
            <w:r>
              <w:rPr>
                <w:sz w:val="20"/>
              </w:rPr>
              <w:t>NE-HVAC-airAC-SplitPkg-135to239kBtuh</w:t>
            </w:r>
          </w:p>
        </w:tc>
        <w:tc>
          <w:tcPr>
            <w:tcW w:w="6390" w:type="dxa"/>
            <w:tcBorders>
              <w:right w:val="single" w:sz="2" w:space="0" w:color="A6A6A6"/>
            </w:tcBorders>
          </w:tcPr>
          <w:p w14:paraId="01723A2E" w14:textId="77777777" w:rsidR="007E4447" w:rsidRDefault="004C6125">
            <w:pPr>
              <w:pStyle w:val="TableParagraph"/>
              <w:spacing w:before="0" w:line="224" w:lineRule="exact"/>
              <w:ind w:left="107"/>
              <w:rPr>
                <w:sz w:val="20"/>
              </w:rPr>
            </w:pPr>
            <w:r>
              <w:rPr>
                <w:sz w:val="20"/>
              </w:rPr>
              <w:t>Non-Residential Air-Cooled Packaged AC capacity between 135 and 239kBtuh</w:t>
            </w:r>
          </w:p>
        </w:tc>
      </w:tr>
      <w:tr w:rsidR="007E4447" w14:paraId="6D75CD23" w14:textId="77777777" w:rsidTr="00193F71">
        <w:trPr>
          <w:trHeight w:val="254"/>
        </w:trPr>
        <w:tc>
          <w:tcPr>
            <w:tcW w:w="3405" w:type="dxa"/>
          </w:tcPr>
          <w:p w14:paraId="18495958" w14:textId="77777777" w:rsidR="007E4447" w:rsidRDefault="004C6125">
            <w:pPr>
              <w:pStyle w:val="TableParagraph"/>
              <w:spacing w:before="0" w:line="224" w:lineRule="exact"/>
              <w:ind w:left="107"/>
              <w:rPr>
                <w:sz w:val="20"/>
              </w:rPr>
            </w:pPr>
            <w:r>
              <w:rPr>
                <w:sz w:val="20"/>
              </w:rPr>
              <w:t>NE-HVAC-airAC-SplitPkg-240to759kBtuh</w:t>
            </w:r>
          </w:p>
        </w:tc>
        <w:tc>
          <w:tcPr>
            <w:tcW w:w="6390" w:type="dxa"/>
            <w:tcBorders>
              <w:right w:val="single" w:sz="2" w:space="0" w:color="A6A6A6"/>
            </w:tcBorders>
          </w:tcPr>
          <w:p w14:paraId="50F54C1D" w14:textId="77777777" w:rsidR="007E4447" w:rsidRDefault="004C6125">
            <w:pPr>
              <w:pStyle w:val="TableParagraph"/>
              <w:spacing w:before="0" w:line="224" w:lineRule="exact"/>
              <w:ind w:left="107"/>
              <w:rPr>
                <w:sz w:val="20"/>
              </w:rPr>
            </w:pPr>
            <w:r>
              <w:rPr>
                <w:sz w:val="20"/>
              </w:rPr>
              <w:t>Non-Residential Air-Cooled Packaged AC capacity between 240 and 759kBtuh</w:t>
            </w:r>
          </w:p>
        </w:tc>
      </w:tr>
    </w:tbl>
    <w:p w14:paraId="5B4B9CB8" w14:textId="77777777" w:rsidR="007E4447" w:rsidRDefault="007E4447">
      <w:pPr>
        <w:pStyle w:val="BodyText"/>
      </w:pPr>
    </w:p>
    <w:p w14:paraId="7EC812FC" w14:textId="77777777" w:rsidR="007E4447" w:rsidRDefault="007E4447">
      <w:pPr>
        <w:pStyle w:val="BodyText"/>
        <w:spacing w:before="2"/>
        <w:rPr>
          <w:sz w:val="19"/>
        </w:rPr>
      </w:pPr>
    </w:p>
    <w:p w14:paraId="5C8D4D13" w14:textId="77777777" w:rsidR="007E4447" w:rsidRDefault="004C6125">
      <w:pPr>
        <w:pStyle w:val="BodyText"/>
        <w:spacing w:before="1"/>
        <w:ind w:left="100" w:right="1547"/>
      </w:pPr>
      <w:r>
        <w:t>For each of the above measures there are multiple standard systems that make up the total capacity range, as indicated in the measure ID. The capacity of the standard systems remains the same across the measures and only the total number of these standard systems vary. Because it is not easy to track the total cooling capacity of the packaged units in the buildings while implementing the measure, all three measures were simulated with the modifications explained below.</w:t>
      </w:r>
    </w:p>
    <w:p w14:paraId="33D2B1BD" w14:textId="77777777" w:rsidR="007E4447" w:rsidRDefault="007E4447">
      <w:pPr>
        <w:pStyle w:val="BodyText"/>
        <w:rPr>
          <w:sz w:val="20"/>
        </w:rPr>
      </w:pPr>
    </w:p>
    <w:p w14:paraId="34F95F5A" w14:textId="77777777" w:rsidR="007E4447" w:rsidRDefault="007E4447">
      <w:pPr>
        <w:pStyle w:val="BodyText"/>
        <w:rPr>
          <w:sz w:val="20"/>
        </w:rPr>
      </w:pPr>
    </w:p>
    <w:p w14:paraId="5DCBC24E" w14:textId="77777777" w:rsidR="007E4447" w:rsidRDefault="007E4447">
      <w:pPr>
        <w:pStyle w:val="BodyText"/>
        <w:rPr>
          <w:sz w:val="20"/>
        </w:rPr>
      </w:pPr>
    </w:p>
    <w:p w14:paraId="6CEA1688" w14:textId="77777777" w:rsidR="007E4447" w:rsidRDefault="007E4447">
      <w:pPr>
        <w:pStyle w:val="BodyText"/>
        <w:rPr>
          <w:sz w:val="20"/>
        </w:rPr>
      </w:pPr>
    </w:p>
    <w:p w14:paraId="6B6F4455" w14:textId="77777777" w:rsidR="007E4447" w:rsidRDefault="00193F71">
      <w:pPr>
        <w:pStyle w:val="BodyText"/>
        <w:spacing w:before="1"/>
        <w:rPr>
          <w:sz w:val="24"/>
        </w:rPr>
      </w:pPr>
      <w:r>
        <w:rPr>
          <w:noProof/>
        </w:rPr>
        <mc:AlternateContent>
          <mc:Choice Requires="wps">
            <w:drawing>
              <wp:anchor distT="0" distB="0" distL="0" distR="0" simplePos="0" relativeHeight="251662336" behindDoc="1" locked="0" layoutInCell="1" allowOverlap="1" wp14:anchorId="639524FE" wp14:editId="6BB90959">
                <wp:simplePos x="0" y="0"/>
                <wp:positionH relativeFrom="page">
                  <wp:posOffset>914400</wp:posOffset>
                </wp:positionH>
                <wp:positionV relativeFrom="paragraph">
                  <wp:posOffset>216535</wp:posOffset>
                </wp:positionV>
                <wp:extent cx="1829435" cy="1270"/>
                <wp:effectExtent l="0" t="0" r="0" b="0"/>
                <wp:wrapTopAndBottom/>
                <wp:docPr id="9"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6DD03" id="Freeform 4" o:spid="_x0000_s1026" style="position:absolute;margin-left:1in;margin-top:17.05pt;width:144.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" path="m,l2881,e" filled="f" strokeweight=".72pt">
                <v:path arrowok="t" o:connecttype="custom" o:connectlocs="0,0;1829435,0" o:connectangles="0,0"/>
                <w10:wrap type="topAndBottom" anchorx="page"/>
              </v:shape>
            </w:pict>
          </mc:Fallback>
        </mc:AlternateContent>
      </w:r>
    </w:p>
    <w:p w14:paraId="269D647F" w14:textId="77777777" w:rsidR="007E4447" w:rsidRDefault="007E4447">
      <w:pPr>
        <w:pStyle w:val="BodyText"/>
        <w:rPr>
          <w:sz w:val="20"/>
        </w:rPr>
      </w:pPr>
    </w:p>
    <w:p w14:paraId="7F251A19" w14:textId="77777777" w:rsidR="007E4447" w:rsidRDefault="007E4447">
      <w:pPr>
        <w:pStyle w:val="BodyText"/>
        <w:spacing w:before="9"/>
        <w:rPr>
          <w:sz w:val="21"/>
        </w:rPr>
      </w:pPr>
    </w:p>
    <w:p w14:paraId="4D67399A" w14:textId="77777777" w:rsidR="007E4447" w:rsidRDefault="004C6125">
      <w:pPr>
        <w:spacing w:before="69"/>
        <w:ind w:left="100"/>
        <w:rPr>
          <w:sz w:val="18"/>
        </w:rPr>
      </w:pPr>
      <w:r>
        <w:rPr>
          <w:position w:val="5"/>
          <w:sz w:val="12"/>
        </w:rPr>
        <w:t xml:space="preserve">6 </w:t>
      </w:r>
      <w:r>
        <w:rPr>
          <w:sz w:val="18"/>
        </w:rPr>
        <w:t>Southern California Edison (SCE). 2019. “</w:t>
      </w:r>
      <w:r w:rsidR="005F78A6">
        <w:rPr>
          <w:sz w:val="18"/>
        </w:rPr>
        <w:t>SWHC041-02</w:t>
      </w:r>
      <w:r>
        <w:rPr>
          <w:sz w:val="18"/>
        </w:rPr>
        <w:t xml:space="preserve"> BES Files.zip.”</w:t>
      </w:r>
    </w:p>
    <w:p w14:paraId="0C19A0FD" w14:textId="77777777" w:rsidR="007E4447" w:rsidRDefault="007E4447">
      <w:pPr>
        <w:rPr>
          <w:sz w:val="18"/>
        </w:rPr>
        <w:sectPr w:rsidR="007E4447">
          <w:pgSz w:w="12240" w:h="15840"/>
          <w:pgMar w:top="1220" w:right="0" w:bottom="1320" w:left="1340" w:header="855" w:footer="1129" w:gutter="0"/>
          <w:cols w:space="720"/>
        </w:sectPr>
      </w:pPr>
    </w:p>
    <w:p w14:paraId="4E41CDCB" w14:textId="77777777" w:rsidR="007E4447" w:rsidRDefault="007E4447">
      <w:pPr>
        <w:pStyle w:val="BodyText"/>
        <w:spacing w:before="8"/>
        <w:rPr>
          <w:sz w:val="19"/>
        </w:rPr>
      </w:pPr>
    </w:p>
    <w:p w14:paraId="4D80D450" w14:textId="77777777" w:rsidR="007E4447" w:rsidRDefault="004C6125">
      <w:pPr>
        <w:pStyle w:val="BodyText"/>
        <w:spacing w:before="56"/>
        <w:ind w:left="100" w:right="1735"/>
      </w:pPr>
      <w:r>
        <w:t>The baseline and measure case fan system (that includes fan, motor, and controls) were specified with the keywords in DOE-2.3 as shown below.</w:t>
      </w:r>
    </w:p>
    <w:p w14:paraId="625DECA8" w14:textId="77777777" w:rsidR="007E4447" w:rsidRDefault="007E4447">
      <w:pPr>
        <w:pStyle w:val="BodyText"/>
        <w:spacing w:before="3"/>
        <w:rPr>
          <w:sz w:val="23"/>
        </w:rPr>
      </w:pPr>
    </w:p>
    <w:p w14:paraId="484CE2F0" w14:textId="77777777" w:rsidR="007E4447" w:rsidRDefault="004C6125">
      <w:pPr>
        <w:ind w:left="100"/>
        <w:rPr>
          <w:sz w:val="20"/>
        </w:rPr>
      </w:pPr>
      <w:r>
        <w:rPr>
          <w:sz w:val="20"/>
        </w:rPr>
        <w:t>Fan System Keywords in DOE-2.3 for Baseline and Measure Case Simulations</w:t>
      </w:r>
    </w:p>
    <w:p w14:paraId="48AAFF55" w14:textId="77777777" w:rsidR="007E4447" w:rsidRDefault="007E4447">
      <w:pPr>
        <w:pStyle w:val="BodyText"/>
        <w:spacing w:before="7"/>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82"/>
        <w:gridCol w:w="1353"/>
        <w:gridCol w:w="2429"/>
        <w:gridCol w:w="1349"/>
        <w:gridCol w:w="2522"/>
      </w:tblGrid>
      <w:tr w:rsidR="007E4447" w14:paraId="52338221" w14:textId="77777777">
        <w:trPr>
          <w:trHeight w:val="244"/>
        </w:trPr>
        <w:tc>
          <w:tcPr>
            <w:tcW w:w="1882" w:type="dxa"/>
            <w:vMerge w:val="restart"/>
            <w:shd w:val="clear" w:color="auto" w:fill="F1F1F1"/>
          </w:tcPr>
          <w:p w14:paraId="63123A2A" w14:textId="77777777" w:rsidR="007E4447" w:rsidRDefault="007E4447">
            <w:pPr>
              <w:pStyle w:val="TableParagraph"/>
              <w:spacing w:before="9"/>
              <w:ind w:left="0"/>
              <w:rPr>
                <w:sz w:val="20"/>
              </w:rPr>
            </w:pPr>
          </w:p>
          <w:p w14:paraId="4D4E58BD" w14:textId="77777777" w:rsidR="007E4447" w:rsidRDefault="004C6125">
            <w:pPr>
              <w:pStyle w:val="TableParagraph"/>
              <w:spacing w:before="0" w:line="225" w:lineRule="exact"/>
              <w:ind w:left="594"/>
              <w:rPr>
                <w:sz w:val="20"/>
              </w:rPr>
            </w:pPr>
            <w:r>
              <w:rPr>
                <w:sz w:val="20"/>
              </w:rPr>
              <w:t>Keyword</w:t>
            </w:r>
          </w:p>
        </w:tc>
        <w:tc>
          <w:tcPr>
            <w:tcW w:w="3782" w:type="dxa"/>
            <w:gridSpan w:val="2"/>
            <w:shd w:val="clear" w:color="auto" w:fill="F1F1F1"/>
          </w:tcPr>
          <w:p w14:paraId="51AF31B0" w14:textId="77777777" w:rsidR="007E4447" w:rsidRDefault="004C6125">
            <w:pPr>
              <w:pStyle w:val="TableParagraph"/>
              <w:spacing w:before="0" w:line="224" w:lineRule="exact"/>
              <w:ind w:left="1536" w:right="1526"/>
              <w:jc w:val="center"/>
              <w:rPr>
                <w:sz w:val="20"/>
              </w:rPr>
            </w:pPr>
            <w:r>
              <w:rPr>
                <w:sz w:val="20"/>
              </w:rPr>
              <w:t>Baseline</w:t>
            </w:r>
          </w:p>
        </w:tc>
        <w:tc>
          <w:tcPr>
            <w:tcW w:w="3871" w:type="dxa"/>
            <w:gridSpan w:val="2"/>
            <w:shd w:val="clear" w:color="auto" w:fill="F1F1F1"/>
          </w:tcPr>
          <w:p w14:paraId="4911FD69" w14:textId="77777777" w:rsidR="007E4447" w:rsidRDefault="004C6125">
            <w:pPr>
              <w:pStyle w:val="TableParagraph"/>
              <w:spacing w:before="0" w:line="224" w:lineRule="exact"/>
              <w:ind w:left="1562" w:right="1548"/>
              <w:jc w:val="center"/>
              <w:rPr>
                <w:sz w:val="20"/>
              </w:rPr>
            </w:pPr>
            <w:r>
              <w:rPr>
                <w:sz w:val="20"/>
              </w:rPr>
              <w:t>Measure</w:t>
            </w:r>
          </w:p>
        </w:tc>
      </w:tr>
      <w:tr w:rsidR="007E4447" w14:paraId="045AB559" w14:textId="77777777">
        <w:trPr>
          <w:trHeight w:val="244"/>
        </w:trPr>
        <w:tc>
          <w:tcPr>
            <w:tcW w:w="1882" w:type="dxa"/>
            <w:vMerge/>
            <w:tcBorders>
              <w:top w:val="nil"/>
            </w:tcBorders>
            <w:shd w:val="clear" w:color="auto" w:fill="F1F1F1"/>
          </w:tcPr>
          <w:p w14:paraId="1D1415CA" w14:textId="77777777" w:rsidR="007E4447" w:rsidRDefault="007E4447">
            <w:pPr>
              <w:rPr>
                <w:sz w:val="2"/>
                <w:szCs w:val="2"/>
              </w:rPr>
            </w:pPr>
          </w:p>
        </w:tc>
        <w:tc>
          <w:tcPr>
            <w:tcW w:w="1353" w:type="dxa"/>
            <w:shd w:val="clear" w:color="auto" w:fill="F1F1F1"/>
          </w:tcPr>
          <w:p w14:paraId="2694AC25" w14:textId="77777777" w:rsidR="007E4447" w:rsidRDefault="004C6125">
            <w:pPr>
              <w:pStyle w:val="TableParagraph"/>
              <w:spacing w:before="0" w:line="224" w:lineRule="exact"/>
              <w:ind w:left="167"/>
              <w:rPr>
                <w:sz w:val="20"/>
              </w:rPr>
            </w:pPr>
            <w:r>
              <w:rPr>
                <w:sz w:val="20"/>
              </w:rPr>
              <w:t>Design Value</w:t>
            </w:r>
          </w:p>
        </w:tc>
        <w:tc>
          <w:tcPr>
            <w:tcW w:w="2429" w:type="dxa"/>
            <w:shd w:val="clear" w:color="auto" w:fill="F1F1F1"/>
          </w:tcPr>
          <w:p w14:paraId="309CBF0A" w14:textId="77777777" w:rsidR="007E4447" w:rsidRDefault="004C6125">
            <w:pPr>
              <w:pStyle w:val="TableParagraph"/>
              <w:spacing w:before="0" w:line="224" w:lineRule="exact"/>
              <w:ind w:left="918" w:right="909"/>
              <w:jc w:val="center"/>
              <w:rPr>
                <w:sz w:val="20"/>
              </w:rPr>
            </w:pPr>
            <w:r>
              <w:rPr>
                <w:sz w:val="20"/>
              </w:rPr>
              <w:t>Source</w:t>
            </w:r>
          </w:p>
        </w:tc>
        <w:tc>
          <w:tcPr>
            <w:tcW w:w="1349" w:type="dxa"/>
            <w:shd w:val="clear" w:color="auto" w:fill="F1F1F1"/>
          </w:tcPr>
          <w:p w14:paraId="0859B3EF" w14:textId="77777777" w:rsidR="007E4447" w:rsidRDefault="004C6125">
            <w:pPr>
              <w:pStyle w:val="TableParagraph"/>
              <w:spacing w:before="0" w:line="224" w:lineRule="exact"/>
              <w:ind w:left="166"/>
              <w:rPr>
                <w:sz w:val="20"/>
              </w:rPr>
            </w:pPr>
            <w:r>
              <w:rPr>
                <w:sz w:val="20"/>
              </w:rPr>
              <w:t>Design Value</w:t>
            </w:r>
          </w:p>
        </w:tc>
        <w:tc>
          <w:tcPr>
            <w:tcW w:w="2522" w:type="dxa"/>
            <w:shd w:val="clear" w:color="auto" w:fill="F1F1F1"/>
          </w:tcPr>
          <w:p w14:paraId="74588E5F" w14:textId="77777777" w:rsidR="007E4447" w:rsidRDefault="004C6125">
            <w:pPr>
              <w:pStyle w:val="TableParagraph"/>
              <w:spacing w:before="0" w:line="224" w:lineRule="exact"/>
              <w:ind w:left="966" w:right="954"/>
              <w:jc w:val="center"/>
              <w:rPr>
                <w:sz w:val="20"/>
              </w:rPr>
            </w:pPr>
            <w:r>
              <w:rPr>
                <w:sz w:val="20"/>
              </w:rPr>
              <w:t>Source</w:t>
            </w:r>
          </w:p>
        </w:tc>
      </w:tr>
      <w:tr w:rsidR="007E4447" w14:paraId="75705E16" w14:textId="77777777">
        <w:trPr>
          <w:trHeight w:val="1223"/>
        </w:trPr>
        <w:tc>
          <w:tcPr>
            <w:tcW w:w="1882" w:type="dxa"/>
            <w:tcBorders>
              <w:bottom w:val="nil"/>
            </w:tcBorders>
          </w:tcPr>
          <w:p w14:paraId="26EBBAED" w14:textId="77777777" w:rsidR="007E4447" w:rsidRDefault="004C6125">
            <w:pPr>
              <w:pStyle w:val="TableParagraph"/>
              <w:spacing w:before="0" w:line="243" w:lineRule="exact"/>
              <w:rPr>
                <w:sz w:val="20"/>
              </w:rPr>
            </w:pPr>
            <w:r>
              <w:rPr>
                <w:sz w:val="20"/>
              </w:rPr>
              <w:t>SUPPLY-KW/FLOW</w:t>
            </w:r>
          </w:p>
        </w:tc>
        <w:tc>
          <w:tcPr>
            <w:tcW w:w="1353" w:type="dxa"/>
            <w:tcBorders>
              <w:bottom w:val="nil"/>
            </w:tcBorders>
          </w:tcPr>
          <w:p w14:paraId="3C6ED44A" w14:textId="77777777" w:rsidR="007E4447" w:rsidRDefault="004C6125">
            <w:pPr>
              <w:pStyle w:val="TableParagraph"/>
              <w:spacing w:before="0" w:line="243" w:lineRule="exact"/>
              <w:rPr>
                <w:sz w:val="20"/>
              </w:rPr>
            </w:pPr>
            <w:r>
              <w:rPr>
                <w:sz w:val="20"/>
              </w:rPr>
              <w:t>Varies</w:t>
            </w:r>
          </w:p>
        </w:tc>
        <w:tc>
          <w:tcPr>
            <w:tcW w:w="2429" w:type="dxa"/>
            <w:tcBorders>
              <w:bottom w:val="nil"/>
            </w:tcBorders>
          </w:tcPr>
          <w:p w14:paraId="02D2EB96" w14:textId="77777777" w:rsidR="007E4447" w:rsidRDefault="004C6125">
            <w:pPr>
              <w:pStyle w:val="TableParagraph"/>
              <w:spacing w:before="0"/>
              <w:ind w:left="113" w:right="259"/>
              <w:rPr>
                <w:sz w:val="20"/>
              </w:rPr>
            </w:pPr>
            <w:r>
              <w:rPr>
                <w:sz w:val="20"/>
              </w:rPr>
              <w:t>DEER2020 prototypes default</w:t>
            </w:r>
          </w:p>
        </w:tc>
        <w:tc>
          <w:tcPr>
            <w:tcW w:w="1349" w:type="dxa"/>
            <w:tcBorders>
              <w:bottom w:val="nil"/>
            </w:tcBorders>
          </w:tcPr>
          <w:p w14:paraId="70A47EA7" w14:textId="77777777" w:rsidR="007E4447" w:rsidRDefault="004C6125">
            <w:pPr>
              <w:pStyle w:val="TableParagraph"/>
              <w:spacing w:before="0"/>
              <w:rPr>
                <w:sz w:val="20"/>
              </w:rPr>
            </w:pPr>
            <w:r>
              <w:rPr>
                <w:sz w:val="20"/>
              </w:rPr>
              <w:t xml:space="preserve">SUPPLY- </w:t>
            </w:r>
            <w:r>
              <w:rPr>
                <w:w w:val="95"/>
                <w:sz w:val="20"/>
              </w:rPr>
              <w:t>KW/</w:t>
            </w:r>
            <w:proofErr w:type="gramStart"/>
            <w:r>
              <w:rPr>
                <w:w w:val="95"/>
                <w:sz w:val="20"/>
              </w:rPr>
              <w:t>FLOW[</w:t>
            </w:r>
            <w:proofErr w:type="spellStart"/>
            <w:proofErr w:type="gramEnd"/>
            <w:r>
              <w:rPr>
                <w:w w:val="95"/>
                <w:sz w:val="20"/>
              </w:rPr>
              <w:t>ba</w:t>
            </w:r>
            <w:proofErr w:type="spellEnd"/>
            <w:r>
              <w:rPr>
                <w:w w:val="95"/>
                <w:sz w:val="20"/>
              </w:rPr>
              <w:t xml:space="preserve"> </w:t>
            </w:r>
            <w:proofErr w:type="spellStart"/>
            <w:r>
              <w:rPr>
                <w:sz w:val="20"/>
              </w:rPr>
              <w:t>seline</w:t>
            </w:r>
            <w:proofErr w:type="spellEnd"/>
            <w:r>
              <w:rPr>
                <w:sz w:val="20"/>
              </w:rPr>
              <w:t>] * adjustment</w:t>
            </w:r>
          </w:p>
          <w:p w14:paraId="719BD077" w14:textId="77777777" w:rsidR="007E4447" w:rsidRDefault="004C6125">
            <w:pPr>
              <w:pStyle w:val="TableParagraph"/>
              <w:spacing w:before="0" w:line="227" w:lineRule="exact"/>
              <w:rPr>
                <w:sz w:val="20"/>
              </w:rPr>
            </w:pPr>
            <w:r>
              <w:rPr>
                <w:sz w:val="20"/>
              </w:rPr>
              <w:t>factor</w:t>
            </w:r>
          </w:p>
        </w:tc>
        <w:tc>
          <w:tcPr>
            <w:tcW w:w="2522" w:type="dxa"/>
            <w:tcBorders>
              <w:bottom w:val="nil"/>
            </w:tcBorders>
          </w:tcPr>
          <w:p w14:paraId="0199697C" w14:textId="77777777" w:rsidR="007E4447" w:rsidRDefault="004C6125">
            <w:pPr>
              <w:pStyle w:val="TableParagraph"/>
              <w:spacing w:before="0"/>
              <w:ind w:left="116" w:right="168"/>
              <w:rPr>
                <w:sz w:val="20"/>
              </w:rPr>
            </w:pPr>
            <w:r>
              <w:rPr>
                <w:sz w:val="20"/>
              </w:rPr>
              <w:t>DEER2020 default adjusted for increased motor efficiency to 92.5% typical for 2 HP and 3 HP SRM.</w:t>
            </w:r>
          </w:p>
        </w:tc>
      </w:tr>
      <w:tr w:rsidR="007E4447" w14:paraId="2BDFA60A" w14:textId="77777777">
        <w:trPr>
          <w:trHeight w:val="769"/>
        </w:trPr>
        <w:tc>
          <w:tcPr>
            <w:tcW w:w="1882" w:type="dxa"/>
            <w:tcBorders>
              <w:top w:val="nil"/>
              <w:bottom w:val="nil"/>
            </w:tcBorders>
          </w:tcPr>
          <w:p w14:paraId="72D659FE" w14:textId="77777777" w:rsidR="007E4447" w:rsidRDefault="007E4447">
            <w:pPr>
              <w:pStyle w:val="TableParagraph"/>
              <w:spacing w:before="0"/>
              <w:ind w:left="0"/>
              <w:rPr>
                <w:rFonts w:ascii="Times New Roman"/>
                <w:sz w:val="20"/>
              </w:rPr>
            </w:pPr>
          </w:p>
        </w:tc>
        <w:tc>
          <w:tcPr>
            <w:tcW w:w="1353" w:type="dxa"/>
            <w:tcBorders>
              <w:top w:val="nil"/>
              <w:bottom w:val="nil"/>
            </w:tcBorders>
          </w:tcPr>
          <w:p w14:paraId="24474F26" w14:textId="77777777" w:rsidR="007E4447" w:rsidRDefault="007E4447">
            <w:pPr>
              <w:pStyle w:val="TableParagraph"/>
              <w:spacing w:before="0"/>
              <w:ind w:left="0"/>
              <w:rPr>
                <w:rFonts w:ascii="Times New Roman"/>
                <w:sz w:val="20"/>
              </w:rPr>
            </w:pPr>
          </w:p>
        </w:tc>
        <w:tc>
          <w:tcPr>
            <w:tcW w:w="2429" w:type="dxa"/>
            <w:tcBorders>
              <w:top w:val="nil"/>
              <w:bottom w:val="nil"/>
            </w:tcBorders>
          </w:tcPr>
          <w:p w14:paraId="5EB4319B" w14:textId="77777777" w:rsidR="007E4447" w:rsidRDefault="007E4447">
            <w:pPr>
              <w:pStyle w:val="TableParagraph"/>
              <w:spacing w:before="0"/>
              <w:ind w:left="0"/>
              <w:rPr>
                <w:rFonts w:ascii="Times New Roman"/>
                <w:sz w:val="20"/>
              </w:rPr>
            </w:pPr>
          </w:p>
        </w:tc>
        <w:tc>
          <w:tcPr>
            <w:tcW w:w="1349" w:type="dxa"/>
            <w:tcBorders>
              <w:top w:val="nil"/>
              <w:bottom w:val="nil"/>
            </w:tcBorders>
          </w:tcPr>
          <w:p w14:paraId="41DFE81E" w14:textId="77777777" w:rsidR="007E4447" w:rsidRDefault="007E4447">
            <w:pPr>
              <w:pStyle w:val="TableParagraph"/>
              <w:spacing w:before="0"/>
              <w:ind w:left="0"/>
              <w:rPr>
                <w:rFonts w:ascii="Times New Roman"/>
                <w:sz w:val="20"/>
              </w:rPr>
            </w:pPr>
          </w:p>
        </w:tc>
        <w:tc>
          <w:tcPr>
            <w:tcW w:w="2522" w:type="dxa"/>
            <w:tcBorders>
              <w:top w:val="nil"/>
              <w:bottom w:val="nil"/>
            </w:tcBorders>
          </w:tcPr>
          <w:p w14:paraId="45D89473" w14:textId="77777777" w:rsidR="007E4447" w:rsidRDefault="004C6125">
            <w:pPr>
              <w:pStyle w:val="TableParagraph"/>
              <w:spacing w:before="0" w:line="191" w:lineRule="exact"/>
              <w:ind w:left="116"/>
              <w:rPr>
                <w:sz w:val="18"/>
              </w:rPr>
            </w:pPr>
            <w:r>
              <w:rPr>
                <w:sz w:val="18"/>
              </w:rPr>
              <w:t>Southern California</w:t>
            </w:r>
            <w:r>
              <w:rPr>
                <w:spacing w:val="-11"/>
                <w:sz w:val="18"/>
              </w:rPr>
              <w:t xml:space="preserve"> </w:t>
            </w:r>
            <w:r>
              <w:rPr>
                <w:sz w:val="18"/>
              </w:rPr>
              <w:t>Edison</w:t>
            </w:r>
          </w:p>
          <w:p w14:paraId="20C3D98B" w14:textId="77777777" w:rsidR="007E4447" w:rsidRDefault="004C6125">
            <w:pPr>
              <w:pStyle w:val="TableParagraph"/>
              <w:spacing w:before="1" w:line="219" w:lineRule="exact"/>
              <w:ind w:left="116"/>
              <w:rPr>
                <w:sz w:val="18"/>
              </w:rPr>
            </w:pPr>
            <w:r>
              <w:rPr>
                <w:sz w:val="18"/>
              </w:rPr>
              <w:t>(SCE). 2019.</w:t>
            </w:r>
            <w:r>
              <w:rPr>
                <w:spacing w:val="-9"/>
                <w:sz w:val="18"/>
              </w:rPr>
              <w:t xml:space="preserve"> </w:t>
            </w:r>
            <w:r>
              <w:rPr>
                <w:sz w:val="18"/>
              </w:rPr>
              <w:t>“</w:t>
            </w:r>
            <w:r w:rsidR="005F78A6">
              <w:rPr>
                <w:sz w:val="18"/>
              </w:rPr>
              <w:t>SWHC041-02</w:t>
            </w:r>
          </w:p>
          <w:p w14:paraId="147D7434" w14:textId="77777777" w:rsidR="007E4447" w:rsidRDefault="004C6125">
            <w:pPr>
              <w:pStyle w:val="TableParagraph"/>
              <w:spacing w:before="0" w:line="219" w:lineRule="exact"/>
              <w:ind w:left="116"/>
              <w:rPr>
                <w:sz w:val="18"/>
              </w:rPr>
            </w:pPr>
            <w:r>
              <w:rPr>
                <w:sz w:val="18"/>
              </w:rPr>
              <w:t>SRM Datasheets.zip.”</w:t>
            </w:r>
          </w:p>
        </w:tc>
      </w:tr>
      <w:tr w:rsidR="007E4447" w14:paraId="14AFEA8E" w14:textId="77777777">
        <w:trPr>
          <w:trHeight w:val="1425"/>
        </w:trPr>
        <w:tc>
          <w:tcPr>
            <w:tcW w:w="1882" w:type="dxa"/>
            <w:tcBorders>
              <w:top w:val="nil"/>
            </w:tcBorders>
          </w:tcPr>
          <w:p w14:paraId="3DF19B7C" w14:textId="77777777" w:rsidR="007E4447" w:rsidRDefault="007E4447">
            <w:pPr>
              <w:pStyle w:val="TableParagraph"/>
              <w:spacing w:before="0"/>
              <w:ind w:left="0"/>
              <w:rPr>
                <w:rFonts w:ascii="Times New Roman"/>
                <w:sz w:val="20"/>
              </w:rPr>
            </w:pPr>
          </w:p>
        </w:tc>
        <w:tc>
          <w:tcPr>
            <w:tcW w:w="1353" w:type="dxa"/>
            <w:tcBorders>
              <w:top w:val="nil"/>
            </w:tcBorders>
          </w:tcPr>
          <w:p w14:paraId="78E6B351" w14:textId="77777777" w:rsidR="007E4447" w:rsidRDefault="007E4447">
            <w:pPr>
              <w:pStyle w:val="TableParagraph"/>
              <w:spacing w:before="0"/>
              <w:ind w:left="0"/>
              <w:rPr>
                <w:rFonts w:ascii="Times New Roman"/>
                <w:sz w:val="20"/>
              </w:rPr>
            </w:pPr>
          </w:p>
        </w:tc>
        <w:tc>
          <w:tcPr>
            <w:tcW w:w="2429" w:type="dxa"/>
            <w:tcBorders>
              <w:top w:val="nil"/>
            </w:tcBorders>
          </w:tcPr>
          <w:p w14:paraId="457A315F" w14:textId="77777777" w:rsidR="007E4447" w:rsidRDefault="007E4447">
            <w:pPr>
              <w:pStyle w:val="TableParagraph"/>
              <w:spacing w:before="0"/>
              <w:ind w:left="0"/>
              <w:rPr>
                <w:rFonts w:ascii="Times New Roman"/>
                <w:sz w:val="20"/>
              </w:rPr>
            </w:pPr>
          </w:p>
        </w:tc>
        <w:tc>
          <w:tcPr>
            <w:tcW w:w="1349" w:type="dxa"/>
            <w:tcBorders>
              <w:top w:val="nil"/>
            </w:tcBorders>
          </w:tcPr>
          <w:p w14:paraId="7BC4E898" w14:textId="77777777" w:rsidR="007E4447" w:rsidRDefault="007E4447">
            <w:pPr>
              <w:pStyle w:val="TableParagraph"/>
              <w:spacing w:before="0"/>
              <w:ind w:left="0"/>
              <w:rPr>
                <w:rFonts w:ascii="Times New Roman"/>
                <w:sz w:val="20"/>
              </w:rPr>
            </w:pPr>
          </w:p>
        </w:tc>
        <w:tc>
          <w:tcPr>
            <w:tcW w:w="2522" w:type="dxa"/>
            <w:tcBorders>
              <w:top w:val="nil"/>
            </w:tcBorders>
          </w:tcPr>
          <w:p w14:paraId="4C1BFC50" w14:textId="77777777" w:rsidR="007E4447" w:rsidRDefault="004C6125">
            <w:pPr>
              <w:pStyle w:val="TableParagraph"/>
              <w:spacing w:before="106"/>
              <w:ind w:left="116" w:right="168"/>
              <w:rPr>
                <w:sz w:val="18"/>
              </w:rPr>
            </w:pPr>
            <w:r>
              <w:rPr>
                <w:sz w:val="18"/>
              </w:rPr>
              <w:t xml:space="preserve">Southern California Edison (SCE), Emerging Products. 2018. </w:t>
            </w:r>
            <w:r>
              <w:rPr>
                <w:i/>
                <w:sz w:val="18"/>
              </w:rPr>
              <w:t xml:space="preserve">Software Controlled Switch Reluctance Motors. </w:t>
            </w:r>
            <w:r>
              <w:rPr>
                <w:sz w:val="18"/>
              </w:rPr>
              <w:t>Emerging Technologies Report</w:t>
            </w:r>
          </w:p>
          <w:p w14:paraId="68AB74E2" w14:textId="77777777" w:rsidR="007E4447" w:rsidRDefault="004C6125">
            <w:pPr>
              <w:pStyle w:val="TableParagraph"/>
              <w:spacing w:before="0" w:line="200" w:lineRule="exact"/>
              <w:ind w:left="116"/>
              <w:rPr>
                <w:sz w:val="18"/>
              </w:rPr>
            </w:pPr>
            <w:r>
              <w:rPr>
                <w:sz w:val="18"/>
              </w:rPr>
              <w:t>ET15SCE1330. August.</w:t>
            </w:r>
          </w:p>
        </w:tc>
      </w:tr>
      <w:tr w:rsidR="007E4447" w14:paraId="0FAD4F2F" w14:textId="77777777">
        <w:trPr>
          <w:trHeight w:val="731"/>
        </w:trPr>
        <w:tc>
          <w:tcPr>
            <w:tcW w:w="1882" w:type="dxa"/>
          </w:tcPr>
          <w:p w14:paraId="3BC60501" w14:textId="77777777" w:rsidR="007E4447" w:rsidRDefault="004C6125">
            <w:pPr>
              <w:pStyle w:val="TableParagraph"/>
              <w:spacing w:before="0" w:line="243" w:lineRule="exact"/>
              <w:rPr>
                <w:sz w:val="20"/>
              </w:rPr>
            </w:pPr>
            <w:r>
              <w:rPr>
                <w:sz w:val="20"/>
              </w:rPr>
              <w:t>SUPPLY-MTR CLASS</w:t>
            </w:r>
          </w:p>
          <w:p w14:paraId="36BAD2C7" w14:textId="77777777" w:rsidR="007E4447" w:rsidRDefault="004C6125">
            <w:pPr>
              <w:pStyle w:val="TableParagraph"/>
              <w:spacing w:before="0"/>
              <w:rPr>
                <w:sz w:val="20"/>
              </w:rPr>
            </w:pPr>
            <w:r>
              <w:rPr>
                <w:sz w:val="20"/>
              </w:rPr>
              <w:t>or</w:t>
            </w:r>
          </w:p>
          <w:p w14:paraId="3834E6D9" w14:textId="77777777" w:rsidR="007E4447" w:rsidRDefault="004C6125">
            <w:pPr>
              <w:pStyle w:val="TableParagraph"/>
              <w:spacing w:before="1" w:line="223" w:lineRule="exact"/>
              <w:rPr>
                <w:sz w:val="20"/>
              </w:rPr>
            </w:pPr>
            <w:r>
              <w:rPr>
                <w:sz w:val="20"/>
              </w:rPr>
              <w:t>SUPPLY-MTR-EFF</w:t>
            </w:r>
          </w:p>
        </w:tc>
        <w:tc>
          <w:tcPr>
            <w:tcW w:w="1353" w:type="dxa"/>
          </w:tcPr>
          <w:p w14:paraId="6088E267" w14:textId="77777777" w:rsidR="007E4447" w:rsidRDefault="004C6125">
            <w:pPr>
              <w:pStyle w:val="TableParagraph"/>
              <w:spacing w:before="0" w:line="243" w:lineRule="exact"/>
              <w:rPr>
                <w:sz w:val="20"/>
              </w:rPr>
            </w:pPr>
            <w:r>
              <w:rPr>
                <w:sz w:val="20"/>
              </w:rPr>
              <w:t>PREMIUM</w:t>
            </w:r>
          </w:p>
        </w:tc>
        <w:tc>
          <w:tcPr>
            <w:tcW w:w="2429" w:type="dxa"/>
          </w:tcPr>
          <w:p w14:paraId="7E6285DF" w14:textId="77777777" w:rsidR="007E4447" w:rsidRDefault="004C6125">
            <w:pPr>
              <w:pStyle w:val="TableParagraph"/>
              <w:spacing w:before="0"/>
              <w:ind w:left="113" w:right="259"/>
              <w:rPr>
                <w:sz w:val="18"/>
              </w:rPr>
            </w:pPr>
            <w:r>
              <w:rPr>
                <w:sz w:val="18"/>
              </w:rPr>
              <w:t>Code of Federal Regulations at 10 CFR 431.25 (h).</w:t>
            </w:r>
          </w:p>
        </w:tc>
        <w:tc>
          <w:tcPr>
            <w:tcW w:w="3871" w:type="dxa"/>
            <w:gridSpan w:val="2"/>
          </w:tcPr>
          <w:p w14:paraId="24B6B0E7" w14:textId="77777777" w:rsidR="007E4447" w:rsidRDefault="004C6125">
            <w:pPr>
              <w:pStyle w:val="TableParagraph"/>
              <w:spacing w:before="0" w:line="243" w:lineRule="exact"/>
              <w:rPr>
                <w:sz w:val="20"/>
              </w:rPr>
            </w:pPr>
            <w:r>
              <w:rPr>
                <w:sz w:val="20"/>
              </w:rPr>
              <w:t>Same as Baseline</w:t>
            </w:r>
          </w:p>
        </w:tc>
      </w:tr>
      <w:tr w:rsidR="007E4447" w14:paraId="6543A2FE" w14:textId="77777777">
        <w:trPr>
          <w:trHeight w:val="489"/>
        </w:trPr>
        <w:tc>
          <w:tcPr>
            <w:tcW w:w="1882" w:type="dxa"/>
          </w:tcPr>
          <w:p w14:paraId="06C37992" w14:textId="77777777" w:rsidR="007E4447" w:rsidRDefault="004C6125">
            <w:pPr>
              <w:pStyle w:val="TableParagraph"/>
              <w:spacing w:before="0" w:line="243" w:lineRule="exact"/>
              <w:rPr>
                <w:sz w:val="20"/>
              </w:rPr>
            </w:pPr>
            <w:r>
              <w:rPr>
                <w:sz w:val="20"/>
              </w:rPr>
              <w:t>SUPPLY-MECH-EFF</w:t>
            </w:r>
          </w:p>
        </w:tc>
        <w:tc>
          <w:tcPr>
            <w:tcW w:w="1353" w:type="dxa"/>
          </w:tcPr>
          <w:p w14:paraId="141B920F" w14:textId="77777777" w:rsidR="007E4447" w:rsidRDefault="004C6125">
            <w:pPr>
              <w:pStyle w:val="TableParagraph"/>
              <w:spacing w:before="0" w:line="243" w:lineRule="exact"/>
              <w:rPr>
                <w:sz w:val="20"/>
              </w:rPr>
            </w:pPr>
            <w:r>
              <w:rPr>
                <w:sz w:val="20"/>
              </w:rPr>
              <w:t>Varies</w:t>
            </w:r>
          </w:p>
        </w:tc>
        <w:tc>
          <w:tcPr>
            <w:tcW w:w="2429" w:type="dxa"/>
          </w:tcPr>
          <w:p w14:paraId="00BF0FE3" w14:textId="77777777" w:rsidR="007E4447" w:rsidRDefault="004C6125">
            <w:pPr>
              <w:pStyle w:val="TableParagraph"/>
              <w:spacing w:before="0" w:line="243" w:lineRule="exact"/>
              <w:ind w:left="113"/>
              <w:rPr>
                <w:sz w:val="20"/>
              </w:rPr>
            </w:pPr>
            <w:r>
              <w:rPr>
                <w:sz w:val="20"/>
              </w:rPr>
              <w:t>DEER2020 prototypes</w:t>
            </w:r>
          </w:p>
          <w:p w14:paraId="3CD1210D" w14:textId="77777777" w:rsidR="007E4447" w:rsidRDefault="004C6125">
            <w:pPr>
              <w:pStyle w:val="TableParagraph"/>
              <w:spacing w:before="0" w:line="225" w:lineRule="exact"/>
              <w:ind w:left="113"/>
              <w:rPr>
                <w:sz w:val="20"/>
              </w:rPr>
            </w:pPr>
            <w:r>
              <w:rPr>
                <w:sz w:val="20"/>
              </w:rPr>
              <w:t>default</w:t>
            </w:r>
          </w:p>
        </w:tc>
        <w:tc>
          <w:tcPr>
            <w:tcW w:w="3871" w:type="dxa"/>
            <w:gridSpan w:val="2"/>
          </w:tcPr>
          <w:p w14:paraId="3DEDC24C" w14:textId="77777777" w:rsidR="007E4447" w:rsidRDefault="004C6125">
            <w:pPr>
              <w:pStyle w:val="TableParagraph"/>
              <w:spacing w:before="0" w:line="243" w:lineRule="exact"/>
              <w:rPr>
                <w:sz w:val="20"/>
              </w:rPr>
            </w:pPr>
            <w:r>
              <w:rPr>
                <w:sz w:val="20"/>
              </w:rPr>
              <w:t>Same as Baseline</w:t>
            </w:r>
          </w:p>
        </w:tc>
      </w:tr>
      <w:tr w:rsidR="007E4447" w14:paraId="461B784F" w14:textId="77777777">
        <w:trPr>
          <w:trHeight w:val="1320"/>
        </w:trPr>
        <w:tc>
          <w:tcPr>
            <w:tcW w:w="1882" w:type="dxa"/>
          </w:tcPr>
          <w:p w14:paraId="6ED0CBC1" w14:textId="77777777" w:rsidR="007E4447" w:rsidRDefault="004C6125">
            <w:pPr>
              <w:pStyle w:val="TableParagraph"/>
              <w:spacing w:before="0" w:line="243" w:lineRule="exact"/>
              <w:rPr>
                <w:sz w:val="20"/>
              </w:rPr>
            </w:pPr>
            <w:r>
              <w:rPr>
                <w:sz w:val="20"/>
              </w:rPr>
              <w:t>FAN-CONTROL</w:t>
            </w:r>
          </w:p>
        </w:tc>
        <w:tc>
          <w:tcPr>
            <w:tcW w:w="1353" w:type="dxa"/>
          </w:tcPr>
          <w:p w14:paraId="5B259104" w14:textId="77777777" w:rsidR="007E4447" w:rsidRDefault="004C6125">
            <w:pPr>
              <w:pStyle w:val="TableParagraph"/>
              <w:spacing w:before="0"/>
              <w:ind w:right="92"/>
              <w:rPr>
                <w:sz w:val="20"/>
              </w:rPr>
            </w:pPr>
            <w:r>
              <w:rPr>
                <w:sz w:val="20"/>
              </w:rPr>
              <w:t xml:space="preserve">Variable Speed Drive </w:t>
            </w:r>
            <w:proofErr w:type="spellStart"/>
            <w:r>
              <w:rPr>
                <w:sz w:val="20"/>
              </w:rPr>
              <w:t>fPLR</w:t>
            </w:r>
            <w:proofErr w:type="spellEnd"/>
          </w:p>
        </w:tc>
        <w:tc>
          <w:tcPr>
            <w:tcW w:w="2429" w:type="dxa"/>
          </w:tcPr>
          <w:p w14:paraId="4B39217E" w14:textId="77777777" w:rsidR="007E4447" w:rsidRDefault="004C6125">
            <w:pPr>
              <w:pStyle w:val="TableParagraph"/>
              <w:spacing w:before="0"/>
              <w:ind w:left="113" w:right="126"/>
              <w:rPr>
                <w:sz w:val="18"/>
              </w:rPr>
            </w:pPr>
            <w:r>
              <w:rPr>
                <w:sz w:val="18"/>
              </w:rPr>
              <w:t xml:space="preserve">California Energy Commission (CEC). 2018. </w:t>
            </w:r>
            <w:r>
              <w:rPr>
                <w:i/>
                <w:sz w:val="18"/>
              </w:rPr>
              <w:t xml:space="preserve">2019 Building Energy Efficiency Standards for Residential and Nonresidential Buildings. </w:t>
            </w:r>
            <w:r>
              <w:rPr>
                <w:sz w:val="18"/>
              </w:rPr>
              <w:t>CEC-</w:t>
            </w:r>
          </w:p>
          <w:p w14:paraId="69C6ACD9" w14:textId="77777777" w:rsidR="007E4447" w:rsidRDefault="004C6125">
            <w:pPr>
              <w:pStyle w:val="TableParagraph"/>
              <w:spacing w:before="0" w:line="202" w:lineRule="exact"/>
              <w:ind w:left="113"/>
              <w:rPr>
                <w:sz w:val="18"/>
              </w:rPr>
            </w:pPr>
            <w:r>
              <w:rPr>
                <w:sz w:val="18"/>
              </w:rPr>
              <w:t>400-2018-020-CMF.</w:t>
            </w:r>
          </w:p>
        </w:tc>
        <w:tc>
          <w:tcPr>
            <w:tcW w:w="3871" w:type="dxa"/>
            <w:gridSpan w:val="2"/>
          </w:tcPr>
          <w:p w14:paraId="05E1E504" w14:textId="77777777" w:rsidR="007E4447" w:rsidRDefault="004C6125">
            <w:pPr>
              <w:pStyle w:val="TableParagraph"/>
              <w:spacing w:before="0" w:line="243" w:lineRule="exact"/>
              <w:rPr>
                <w:sz w:val="20"/>
              </w:rPr>
            </w:pPr>
            <w:r>
              <w:rPr>
                <w:sz w:val="20"/>
              </w:rPr>
              <w:t>Same as Baseline</w:t>
            </w:r>
          </w:p>
        </w:tc>
      </w:tr>
    </w:tbl>
    <w:p w14:paraId="26E34ED6" w14:textId="77777777" w:rsidR="007E4447" w:rsidRDefault="007E4447">
      <w:pPr>
        <w:pStyle w:val="BodyText"/>
        <w:rPr>
          <w:sz w:val="20"/>
        </w:rPr>
      </w:pPr>
    </w:p>
    <w:p w14:paraId="79541CF0" w14:textId="77777777" w:rsidR="007E4447" w:rsidRDefault="007E4447">
      <w:pPr>
        <w:pStyle w:val="BodyText"/>
        <w:spacing w:before="3"/>
        <w:rPr>
          <w:sz w:val="21"/>
        </w:rPr>
      </w:pPr>
    </w:p>
    <w:p w14:paraId="2AE7220B" w14:textId="77777777" w:rsidR="007E4447" w:rsidRDefault="004C6125">
      <w:pPr>
        <w:pStyle w:val="ListParagraph"/>
        <w:numPr>
          <w:ilvl w:val="0"/>
          <w:numId w:val="1"/>
        </w:numPr>
        <w:tabs>
          <w:tab w:val="left" w:pos="820"/>
          <w:tab w:val="left" w:pos="821"/>
        </w:tabs>
        <w:ind w:right="1549"/>
        <w:rPr>
          <w:rFonts w:ascii="Symbol" w:hAnsi="Symbol"/>
          <w:color w:val="6B6B6B"/>
        </w:rPr>
      </w:pPr>
      <w:r>
        <w:rPr>
          <w:spacing w:val="-3"/>
        </w:rPr>
        <w:t xml:space="preserve">SUPPLY-KW/FLOW </w:t>
      </w:r>
      <w:r>
        <w:t xml:space="preserve">– This includes the fan, motor and drive energy. While the California Building Energy Efficiency Standards (Title 24) Section 140.4 (c) 1 specifies a fan power requirement, it is function of pressure drop that is specific to a building. For the pressure drop value in the </w:t>
      </w:r>
      <w:r>
        <w:rPr>
          <w:i/>
        </w:rPr>
        <w:t xml:space="preserve">Software Controlled Switch Reluctance Motors </w:t>
      </w:r>
      <w:r>
        <w:t>emerging technology study (SRM ET study) the default in DEER2020 prototypes was more stringent than Title 24. Hence, the DEER2020 defaults were used for the</w:t>
      </w:r>
      <w:r>
        <w:rPr>
          <w:spacing w:val="-6"/>
        </w:rPr>
        <w:t xml:space="preserve"> </w:t>
      </w:r>
      <w:r>
        <w:t>baseline.</w:t>
      </w:r>
    </w:p>
    <w:p w14:paraId="0011C768" w14:textId="77777777" w:rsidR="007E4447" w:rsidRDefault="004C6125">
      <w:pPr>
        <w:pStyle w:val="BodyText"/>
        <w:spacing w:before="1"/>
        <w:ind w:left="820" w:right="1421"/>
      </w:pPr>
      <w:r>
        <w:t>For the measure case, since kW/flow includes motor efficiency, this value decreases in proportion with SRM efficiency. The proportion factor was calculated for the Office-Small (</w:t>
      </w:r>
      <w:proofErr w:type="spellStart"/>
      <w:r>
        <w:t>OfS</w:t>
      </w:r>
      <w:proofErr w:type="spellEnd"/>
      <w:r>
        <w:t>) building type which represents larger building stock with packaged AC unit, for climate zone 9 and applied to all building types.</w:t>
      </w:r>
    </w:p>
    <w:p w14:paraId="451B983A" w14:textId="77777777" w:rsidR="007E4447" w:rsidRDefault="004C6125">
      <w:pPr>
        <w:pStyle w:val="ListParagraph"/>
        <w:numPr>
          <w:ilvl w:val="0"/>
          <w:numId w:val="1"/>
        </w:numPr>
        <w:tabs>
          <w:tab w:val="left" w:pos="820"/>
          <w:tab w:val="left" w:pos="821"/>
        </w:tabs>
        <w:spacing w:before="21"/>
        <w:ind w:right="1668"/>
        <w:rPr>
          <w:rFonts w:ascii="Symbol" w:hAnsi="Symbol"/>
          <w:color w:val="6B6B6B"/>
        </w:rPr>
      </w:pPr>
      <w:r>
        <w:rPr>
          <w:spacing w:val="-3"/>
        </w:rPr>
        <w:t xml:space="preserve">SUPPLY-MTR CLASS/ SUPPLY-MTR-EFF </w:t>
      </w:r>
      <w:r>
        <w:t>– The baseline is premium efficiency motor that complies with federal code (see Code Requirements). The measure case was 92.5% based on software- controlled SRM specification sheets for 3-phase motors for less than 3</w:t>
      </w:r>
      <w:r>
        <w:rPr>
          <w:spacing w:val="-4"/>
        </w:rPr>
        <w:t xml:space="preserve"> </w:t>
      </w:r>
      <w:r>
        <w:t>hp.</w:t>
      </w:r>
    </w:p>
    <w:p w14:paraId="4EABD2CC" w14:textId="77777777" w:rsidR="007E4447" w:rsidRDefault="004C6125">
      <w:pPr>
        <w:pStyle w:val="ListParagraph"/>
        <w:numPr>
          <w:ilvl w:val="0"/>
          <w:numId w:val="1"/>
        </w:numPr>
        <w:tabs>
          <w:tab w:val="left" w:pos="820"/>
          <w:tab w:val="left" w:pos="821"/>
        </w:tabs>
        <w:spacing w:before="20"/>
        <w:ind w:right="1747"/>
        <w:rPr>
          <w:rFonts w:ascii="Symbol" w:hAnsi="Symbol"/>
          <w:color w:val="6B6B6B"/>
        </w:rPr>
      </w:pPr>
      <w:r>
        <w:rPr>
          <w:spacing w:val="-3"/>
        </w:rPr>
        <w:t xml:space="preserve">SUPPLY-MECH-EFF </w:t>
      </w:r>
      <w:r>
        <w:t>– This includes fan and drive efficiency. Like supply-kW/flow, this was set to the DEER2020 default. Since this factor does not include motor efficiency, no adjustment was required for the measure</w:t>
      </w:r>
      <w:r>
        <w:rPr>
          <w:spacing w:val="-7"/>
        </w:rPr>
        <w:t xml:space="preserve"> </w:t>
      </w:r>
      <w:r>
        <w:t>case.</w:t>
      </w:r>
    </w:p>
    <w:p w14:paraId="30C2A88A" w14:textId="77777777" w:rsidR="007E4447" w:rsidRDefault="007E4447">
      <w:pPr>
        <w:rPr>
          <w:rFonts w:ascii="Symbol" w:hAnsi="Symbol"/>
        </w:rPr>
        <w:sectPr w:rsidR="007E4447">
          <w:pgSz w:w="12240" w:h="15840"/>
          <w:pgMar w:top="1220" w:right="0" w:bottom="1320" w:left="1340" w:header="855" w:footer="1129" w:gutter="0"/>
          <w:cols w:space="720"/>
        </w:sectPr>
      </w:pPr>
    </w:p>
    <w:p w14:paraId="36C87419" w14:textId="77777777" w:rsidR="007E4447" w:rsidRDefault="007E4447">
      <w:pPr>
        <w:pStyle w:val="BodyText"/>
        <w:rPr>
          <w:sz w:val="16"/>
        </w:rPr>
      </w:pPr>
    </w:p>
    <w:p w14:paraId="431AC53D" w14:textId="77777777" w:rsidR="007E4447" w:rsidRDefault="004C6125">
      <w:pPr>
        <w:pStyle w:val="ListParagraph"/>
        <w:numPr>
          <w:ilvl w:val="0"/>
          <w:numId w:val="1"/>
        </w:numPr>
        <w:tabs>
          <w:tab w:val="left" w:pos="820"/>
          <w:tab w:val="left" w:pos="821"/>
        </w:tabs>
        <w:spacing w:before="101"/>
        <w:ind w:right="1560"/>
        <w:rPr>
          <w:rFonts w:ascii="Symbol" w:hAnsi="Symbol"/>
          <w:color w:val="6B6B6B"/>
        </w:rPr>
      </w:pPr>
      <w:r>
        <w:t xml:space="preserve">Fan </w:t>
      </w:r>
      <w:r>
        <w:rPr>
          <w:spacing w:val="-3"/>
        </w:rPr>
        <w:t xml:space="preserve">Control </w:t>
      </w:r>
      <w:r>
        <w:t>– Since Title 24 requires variable speed controls, the baseline fan control specifies variable speed controls. From the SRM ET study, using the w/</w:t>
      </w:r>
      <w:proofErr w:type="spellStart"/>
      <w:r>
        <w:t>acfm</w:t>
      </w:r>
      <w:proofErr w:type="spellEnd"/>
      <w:r>
        <w:t xml:space="preserve"> data at various flow rates and air flow resistance (Table 16 and Table 17), the % </w:t>
      </w:r>
      <w:proofErr w:type="spellStart"/>
      <w:r>
        <w:t>acfm</w:t>
      </w:r>
      <w:proofErr w:type="spellEnd"/>
      <w:r>
        <w:t xml:space="preserve"> and % watts were plotted for baseline (Induction + VFD) and software controlled SRM and compared with DOE-2.3 fan performance curve.</w:t>
      </w:r>
      <w:r>
        <w:rPr>
          <w:vertAlign w:val="superscript"/>
        </w:rPr>
        <w:t>7</w:t>
      </w:r>
      <w:r>
        <w:t xml:space="preserve"> Within a small difference all three curves closely overlap. Hence, for the baseline and measure case, the DOE performance curve of a variable speed drive </w:t>
      </w:r>
      <w:proofErr w:type="spellStart"/>
      <w:r>
        <w:t>fPLR</w:t>
      </w:r>
      <w:proofErr w:type="spellEnd"/>
      <w:r>
        <w:t xml:space="preserve"> was</w:t>
      </w:r>
      <w:r>
        <w:rPr>
          <w:spacing w:val="-9"/>
        </w:rPr>
        <w:t xml:space="preserve"> </w:t>
      </w:r>
      <w:r>
        <w:t>used.</w:t>
      </w:r>
    </w:p>
    <w:p w14:paraId="750D8D0C" w14:textId="77777777" w:rsidR="007E4447" w:rsidRDefault="004C6125">
      <w:pPr>
        <w:pStyle w:val="BodyText"/>
        <w:spacing w:before="124" w:line="237" w:lineRule="auto"/>
        <w:ind w:left="100" w:right="1649"/>
      </w:pPr>
      <w:r>
        <w:t>The selected DEER measures were run with the baseline case and measure case modifications shown in the table above for all building types and all California climate zones, and for the median vintage 2007.</w:t>
      </w:r>
    </w:p>
    <w:p w14:paraId="23E90809" w14:textId="77777777" w:rsidR="007E4447" w:rsidRDefault="004C6125">
      <w:pPr>
        <w:pStyle w:val="BodyText"/>
        <w:spacing w:before="121"/>
        <w:ind w:left="100" w:right="1720"/>
      </w:pPr>
      <w:r>
        <w:t>Because of missing fan-control files in the DOE-2.2R library for Grocery and Refrigerated-warehouse building types, these building types could not be modeled. Therefore, the closest comparable building type in terms of HVAC operations were selected for these two building types. In particular, the Retail - Single-Story Large (</w:t>
      </w:r>
      <w:proofErr w:type="spellStart"/>
      <w:r>
        <w:t>RtL</w:t>
      </w:r>
      <w:proofErr w:type="spellEnd"/>
      <w:r>
        <w:t>) building type was selected for Grocery, and the Office-Small (</w:t>
      </w:r>
      <w:proofErr w:type="spellStart"/>
      <w:r>
        <w:t>OfS</w:t>
      </w:r>
      <w:proofErr w:type="spellEnd"/>
      <w:r>
        <w:t>) building type was selected for Refrigerated Warehouse to represent the office spaces served by HVAC systems in refrigerated warehouse.</w:t>
      </w:r>
    </w:p>
    <w:p w14:paraId="3DE612B8" w14:textId="77777777" w:rsidR="007E4447" w:rsidRDefault="004C6125">
      <w:pPr>
        <w:pStyle w:val="BodyText"/>
        <w:spacing w:before="122"/>
        <w:ind w:left="100" w:right="1488"/>
      </w:pPr>
      <w:r>
        <w:t>MAScontrol3 generated the annual and hourly energy usage for each baseline and measure case model. Using the post processing scripts within MASControl3, the UES and unit peak demand reduction were determined for all three measure IDs. The UES adopted for this measure was calculated as the average of those values.</w:t>
      </w:r>
      <w:r>
        <w:rPr>
          <w:vertAlign w:val="superscript"/>
        </w:rPr>
        <w:t>8</w:t>
      </w:r>
    </w:p>
    <w:p w14:paraId="3E68E154" w14:textId="77777777" w:rsidR="007E4447" w:rsidRDefault="007E4447">
      <w:pPr>
        <w:pStyle w:val="BodyText"/>
        <w:rPr>
          <w:sz w:val="24"/>
        </w:rPr>
      </w:pPr>
    </w:p>
    <w:p w14:paraId="58992E1A" w14:textId="77777777" w:rsidR="007E4447" w:rsidRDefault="007E4447">
      <w:pPr>
        <w:pStyle w:val="BodyText"/>
        <w:spacing w:before="9"/>
        <w:rPr>
          <w:sz w:val="18"/>
        </w:rPr>
      </w:pPr>
    </w:p>
    <w:p w14:paraId="078A8C71" w14:textId="77777777" w:rsidR="007E4447" w:rsidRDefault="004C6125">
      <w:pPr>
        <w:pStyle w:val="Heading1"/>
      </w:pPr>
      <w:bookmarkStart w:id="12" w:name="_TOC_250011"/>
      <w:r>
        <w:rPr>
          <w:color w:val="CFAB79"/>
        </w:rPr>
        <w:t xml:space="preserve">PEAK ELECTRIC DEMAND </w:t>
      </w:r>
      <w:proofErr w:type="gramStart"/>
      <w:r>
        <w:rPr>
          <w:color w:val="CFAB79"/>
        </w:rPr>
        <w:t xml:space="preserve">REDUCTION </w:t>
      </w:r>
      <w:r>
        <w:rPr>
          <w:color w:val="CFAB79"/>
          <w:spacing w:val="14"/>
        </w:rPr>
        <w:t xml:space="preserve"> </w:t>
      </w:r>
      <w:bookmarkEnd w:id="12"/>
      <w:r>
        <w:rPr>
          <w:color w:val="CFAB79"/>
        </w:rPr>
        <w:t>(</w:t>
      </w:r>
      <w:proofErr w:type="gramEnd"/>
      <w:r>
        <w:rPr>
          <w:color w:val="CFAB79"/>
        </w:rPr>
        <w:t>KW)</w:t>
      </w:r>
    </w:p>
    <w:p w14:paraId="693A7B3A" w14:textId="77777777" w:rsidR="007E4447" w:rsidRDefault="004C6125">
      <w:pPr>
        <w:pStyle w:val="BodyText"/>
        <w:spacing w:before="113"/>
        <w:ind w:left="100" w:right="1456"/>
      </w:pPr>
      <w:r>
        <w:t>The average of 4-9 PM kW for the DEER peak days was generated using the post processing scripts in MASControl3 as explained in the above</w:t>
      </w:r>
      <w:r>
        <w:rPr>
          <w:spacing w:val="-4"/>
        </w:rPr>
        <w:t xml:space="preserve"> </w:t>
      </w:r>
      <w:r>
        <w:t>section.</w:t>
      </w:r>
    </w:p>
    <w:p w14:paraId="03965869" w14:textId="77777777" w:rsidR="007E4447" w:rsidRDefault="004C6125">
      <w:pPr>
        <w:pStyle w:val="Heading1"/>
        <w:spacing w:before="135"/>
      </w:pPr>
      <w:bookmarkStart w:id="13" w:name="_TOC_250010"/>
      <w:bookmarkEnd w:id="13"/>
      <w:r>
        <w:rPr>
          <w:color w:val="CFAB79"/>
        </w:rPr>
        <w:t>GAS SAVINGS (THERMS)</w:t>
      </w:r>
    </w:p>
    <w:p w14:paraId="39CA5CAE" w14:textId="77777777" w:rsidR="007E4447" w:rsidRDefault="004C6125">
      <w:pPr>
        <w:pStyle w:val="BodyText"/>
        <w:spacing w:before="113"/>
        <w:ind w:left="100"/>
      </w:pPr>
      <w:r>
        <w:t>Not applicable.</w:t>
      </w:r>
    </w:p>
    <w:p w14:paraId="23526351" w14:textId="77777777" w:rsidR="007E4447" w:rsidRDefault="007E4447">
      <w:pPr>
        <w:pStyle w:val="BodyText"/>
      </w:pPr>
    </w:p>
    <w:p w14:paraId="2AB8E7AE" w14:textId="77777777" w:rsidR="007E4447" w:rsidRDefault="007E4447">
      <w:pPr>
        <w:pStyle w:val="BodyText"/>
        <w:spacing w:before="11"/>
        <w:rPr>
          <w:sz w:val="20"/>
        </w:rPr>
      </w:pPr>
    </w:p>
    <w:p w14:paraId="129CBC1B" w14:textId="77777777" w:rsidR="007E4447" w:rsidRDefault="004C6125">
      <w:pPr>
        <w:pStyle w:val="Heading1"/>
      </w:pPr>
      <w:bookmarkStart w:id="14" w:name="_TOC_250009"/>
      <w:bookmarkEnd w:id="14"/>
      <w:r>
        <w:rPr>
          <w:color w:val="CFAB79"/>
        </w:rPr>
        <w:t>LIFE CYCLE</w:t>
      </w:r>
    </w:p>
    <w:p w14:paraId="21E90CA3" w14:textId="77777777" w:rsidR="007E4447" w:rsidRDefault="004C6125">
      <w:pPr>
        <w:pStyle w:val="BodyText"/>
        <w:spacing w:before="112"/>
        <w:ind w:left="100" w:right="1429"/>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w:t>
      </w:r>
    </w:p>
    <w:p w14:paraId="04967EDE" w14:textId="77777777" w:rsidR="007E4447" w:rsidRDefault="004C6125">
      <w:pPr>
        <w:pStyle w:val="BodyText"/>
        <w:spacing w:before="119"/>
        <w:ind w:left="100" w:right="1868"/>
      </w:pPr>
      <w:r>
        <w:t>The EUL and RUL specified for this measure are presented below. Note that RUL is only applicable for add-on equipment and is not applicable for this measure.</w:t>
      </w:r>
    </w:p>
    <w:p w14:paraId="1C8DC03A" w14:textId="77777777" w:rsidR="007E4447" w:rsidRDefault="007E4447">
      <w:pPr>
        <w:pStyle w:val="BodyText"/>
        <w:rPr>
          <w:sz w:val="20"/>
        </w:rPr>
      </w:pPr>
    </w:p>
    <w:p w14:paraId="05141FAE" w14:textId="77777777" w:rsidR="007E4447" w:rsidRDefault="007E4447">
      <w:pPr>
        <w:pStyle w:val="BodyText"/>
        <w:rPr>
          <w:sz w:val="20"/>
        </w:rPr>
      </w:pPr>
    </w:p>
    <w:p w14:paraId="701008EF" w14:textId="77777777" w:rsidR="007E4447" w:rsidRDefault="007E4447">
      <w:pPr>
        <w:pStyle w:val="BodyText"/>
        <w:rPr>
          <w:sz w:val="20"/>
        </w:rPr>
      </w:pPr>
    </w:p>
    <w:p w14:paraId="3233B7E7" w14:textId="77777777" w:rsidR="007E4447" w:rsidRDefault="007E4447">
      <w:pPr>
        <w:pStyle w:val="BodyText"/>
        <w:rPr>
          <w:sz w:val="20"/>
        </w:rPr>
      </w:pPr>
    </w:p>
    <w:p w14:paraId="0522F529" w14:textId="77777777" w:rsidR="007E4447" w:rsidRDefault="00193F71">
      <w:pPr>
        <w:pStyle w:val="BodyText"/>
        <w:spacing w:before="8"/>
        <w:rPr>
          <w:sz w:val="12"/>
        </w:rPr>
      </w:pPr>
      <w:r>
        <w:rPr>
          <w:noProof/>
        </w:rPr>
        <mc:AlternateContent>
          <mc:Choice Requires="wps">
            <w:drawing>
              <wp:anchor distT="0" distB="0" distL="0" distR="0" simplePos="0" relativeHeight="251663360" behindDoc="1" locked="0" layoutInCell="1" allowOverlap="1" wp14:anchorId="34A89CCF" wp14:editId="4394863E">
                <wp:simplePos x="0" y="0"/>
                <wp:positionH relativeFrom="page">
                  <wp:posOffset>914400</wp:posOffset>
                </wp:positionH>
                <wp:positionV relativeFrom="paragraph">
                  <wp:posOffset>128270</wp:posOffset>
                </wp:positionV>
                <wp:extent cx="1829435" cy="1270"/>
                <wp:effectExtent l="0" t="0" r="0" b="0"/>
                <wp:wrapTopAndBottom/>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A154C" id="Freeform 3" o:spid="_x0000_s1026" style="position:absolute;margin-left:1in;margin-top:10.1pt;width:144.0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" path="m,l2881,e" filled="f" strokeweight=".72pt">
                <v:path arrowok="t" o:connecttype="custom" o:connectlocs="0,0;1829435,0" o:connectangles="0,0"/>
                <w10:wrap type="topAndBottom" anchorx="page"/>
              </v:shape>
            </w:pict>
          </mc:Fallback>
        </mc:AlternateContent>
      </w:r>
    </w:p>
    <w:p w14:paraId="2923CA03" w14:textId="77777777" w:rsidR="007E4447" w:rsidRDefault="007E4447">
      <w:pPr>
        <w:pStyle w:val="BodyText"/>
        <w:rPr>
          <w:sz w:val="20"/>
        </w:rPr>
      </w:pPr>
    </w:p>
    <w:p w14:paraId="5D099DB2" w14:textId="77777777" w:rsidR="007E4447" w:rsidRDefault="007E4447">
      <w:pPr>
        <w:pStyle w:val="BodyText"/>
        <w:spacing w:before="11"/>
        <w:rPr>
          <w:sz w:val="21"/>
        </w:rPr>
      </w:pPr>
    </w:p>
    <w:p w14:paraId="54F38FE0" w14:textId="77777777" w:rsidR="007E4447" w:rsidRDefault="004C6125">
      <w:pPr>
        <w:spacing w:before="69"/>
        <w:ind w:left="100"/>
        <w:rPr>
          <w:sz w:val="18"/>
        </w:rPr>
      </w:pPr>
      <w:r>
        <w:rPr>
          <w:position w:val="5"/>
          <w:sz w:val="12"/>
        </w:rPr>
        <w:t xml:space="preserve">7 </w:t>
      </w:r>
      <w:r>
        <w:rPr>
          <w:sz w:val="18"/>
        </w:rPr>
        <w:t>Southern California Edison (SCE). 2019. “</w:t>
      </w:r>
      <w:r w:rsidR="005F78A6">
        <w:rPr>
          <w:sz w:val="18"/>
        </w:rPr>
        <w:t>SWHC041-02</w:t>
      </w:r>
      <w:r>
        <w:rPr>
          <w:sz w:val="18"/>
        </w:rPr>
        <w:t xml:space="preserve"> Fan Curve</w:t>
      </w:r>
      <w:r>
        <w:rPr>
          <w:spacing w:val="-19"/>
          <w:sz w:val="18"/>
        </w:rPr>
        <w:t xml:space="preserve"> </w:t>
      </w:r>
      <w:r>
        <w:rPr>
          <w:sz w:val="18"/>
        </w:rPr>
        <w:t>Analysis.xlsx.”</w:t>
      </w:r>
    </w:p>
    <w:p w14:paraId="1EE378E4" w14:textId="77777777" w:rsidR="007E4447" w:rsidRDefault="004C6125">
      <w:pPr>
        <w:spacing w:before="119"/>
        <w:ind w:left="100"/>
        <w:rPr>
          <w:sz w:val="18"/>
        </w:rPr>
      </w:pPr>
      <w:r>
        <w:rPr>
          <w:position w:val="5"/>
          <w:sz w:val="12"/>
        </w:rPr>
        <w:t xml:space="preserve">8 </w:t>
      </w:r>
      <w:r>
        <w:rPr>
          <w:sz w:val="18"/>
        </w:rPr>
        <w:t>Southern California Edison (SCE). 2019. “</w:t>
      </w:r>
      <w:r w:rsidR="005F78A6">
        <w:rPr>
          <w:sz w:val="18"/>
        </w:rPr>
        <w:t>SWHC041-02</w:t>
      </w:r>
      <w:r>
        <w:rPr>
          <w:sz w:val="18"/>
        </w:rPr>
        <w:t xml:space="preserve"> Energy Impact</w:t>
      </w:r>
      <w:r>
        <w:rPr>
          <w:spacing w:val="-19"/>
          <w:sz w:val="18"/>
        </w:rPr>
        <w:t xml:space="preserve"> </w:t>
      </w:r>
      <w:r>
        <w:rPr>
          <w:sz w:val="18"/>
        </w:rPr>
        <w:t>Calcs.xlsx</w:t>
      </w:r>
    </w:p>
    <w:p w14:paraId="17A1879D" w14:textId="77777777" w:rsidR="007E4447" w:rsidRDefault="007E4447">
      <w:pPr>
        <w:rPr>
          <w:sz w:val="18"/>
        </w:rPr>
        <w:sectPr w:rsidR="007E4447">
          <w:pgSz w:w="12240" w:h="15840"/>
          <w:pgMar w:top="1220" w:right="0" w:bottom="1320" w:left="1340" w:header="855" w:footer="1129" w:gutter="0"/>
          <w:cols w:space="720"/>
        </w:sectPr>
      </w:pPr>
    </w:p>
    <w:p w14:paraId="2ADC6223" w14:textId="77777777" w:rsidR="007E4447" w:rsidRDefault="007E4447">
      <w:pPr>
        <w:pStyle w:val="BodyText"/>
        <w:spacing w:before="10"/>
        <w:rPr>
          <w:sz w:val="19"/>
        </w:rPr>
      </w:pPr>
    </w:p>
    <w:p w14:paraId="63AD92DB" w14:textId="77777777" w:rsidR="007E4447" w:rsidRDefault="004C6125">
      <w:pPr>
        <w:spacing w:before="59"/>
        <w:ind w:left="100"/>
        <w:rPr>
          <w:sz w:val="20"/>
        </w:rPr>
      </w:pPr>
      <w:r>
        <w:rPr>
          <w:sz w:val="20"/>
        </w:rPr>
        <w:t>Effective Useful Life and Remaining Useful Life</w:t>
      </w:r>
    </w:p>
    <w:p w14:paraId="14E7D9F7" w14:textId="77777777" w:rsidR="007E4447" w:rsidRDefault="007E4447">
      <w:pPr>
        <w:pStyle w:val="BodyText"/>
        <w:spacing w:before="5"/>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416"/>
        <w:gridCol w:w="1172"/>
        <w:gridCol w:w="4861"/>
      </w:tblGrid>
      <w:tr w:rsidR="007E4447" w14:paraId="7DD5FD0A" w14:textId="77777777">
        <w:trPr>
          <w:trHeight w:val="285"/>
        </w:trPr>
        <w:tc>
          <w:tcPr>
            <w:tcW w:w="3416" w:type="dxa"/>
            <w:shd w:val="clear" w:color="auto" w:fill="F1F1F1"/>
          </w:tcPr>
          <w:p w14:paraId="1DA19C9E" w14:textId="77777777" w:rsidR="007E4447" w:rsidRDefault="004C6125">
            <w:pPr>
              <w:pStyle w:val="TableParagraph"/>
              <w:spacing w:before="23" w:line="242" w:lineRule="exact"/>
              <w:ind w:left="1264" w:right="1252"/>
              <w:jc w:val="center"/>
              <w:rPr>
                <w:sz w:val="20"/>
              </w:rPr>
            </w:pPr>
            <w:r>
              <w:rPr>
                <w:sz w:val="20"/>
              </w:rPr>
              <w:t>Parameter</w:t>
            </w:r>
          </w:p>
        </w:tc>
        <w:tc>
          <w:tcPr>
            <w:tcW w:w="1172" w:type="dxa"/>
            <w:shd w:val="clear" w:color="auto" w:fill="F1F1F1"/>
          </w:tcPr>
          <w:p w14:paraId="5C02229A" w14:textId="77777777" w:rsidR="007E4447" w:rsidRDefault="004C6125">
            <w:pPr>
              <w:pStyle w:val="TableParagraph"/>
              <w:spacing w:before="23" w:line="242" w:lineRule="exact"/>
              <w:ind w:left="0" w:right="351"/>
              <w:jc w:val="right"/>
              <w:rPr>
                <w:sz w:val="20"/>
              </w:rPr>
            </w:pPr>
            <w:r>
              <w:rPr>
                <w:w w:val="95"/>
                <w:sz w:val="20"/>
              </w:rPr>
              <w:t>Value</w:t>
            </w:r>
          </w:p>
        </w:tc>
        <w:tc>
          <w:tcPr>
            <w:tcW w:w="4861" w:type="dxa"/>
            <w:shd w:val="clear" w:color="auto" w:fill="F1F1F1"/>
          </w:tcPr>
          <w:p w14:paraId="58F6598B" w14:textId="77777777" w:rsidR="007E4447" w:rsidRDefault="004C6125">
            <w:pPr>
              <w:pStyle w:val="TableParagraph"/>
              <w:spacing w:before="23" w:line="242" w:lineRule="exact"/>
              <w:ind w:left="2131" w:right="2128"/>
              <w:jc w:val="center"/>
              <w:rPr>
                <w:sz w:val="20"/>
              </w:rPr>
            </w:pPr>
            <w:r>
              <w:rPr>
                <w:sz w:val="20"/>
              </w:rPr>
              <w:t>Source</w:t>
            </w:r>
          </w:p>
        </w:tc>
      </w:tr>
      <w:tr w:rsidR="007E4447" w14:paraId="468FDD68" w14:textId="77777777">
        <w:trPr>
          <w:trHeight w:val="707"/>
        </w:trPr>
        <w:tc>
          <w:tcPr>
            <w:tcW w:w="3416" w:type="dxa"/>
          </w:tcPr>
          <w:p w14:paraId="155956C8" w14:textId="77777777" w:rsidR="007E4447" w:rsidRDefault="004C6125">
            <w:pPr>
              <w:pStyle w:val="TableParagraph"/>
              <w:ind w:left="107"/>
              <w:rPr>
                <w:sz w:val="20"/>
              </w:rPr>
            </w:pPr>
            <w:r>
              <w:rPr>
                <w:sz w:val="20"/>
              </w:rPr>
              <w:t>EUL (</w:t>
            </w:r>
            <w:proofErr w:type="spellStart"/>
            <w:r>
              <w:rPr>
                <w:sz w:val="20"/>
              </w:rPr>
              <w:t>yrs</w:t>
            </w:r>
            <w:proofErr w:type="spellEnd"/>
            <w:r>
              <w:rPr>
                <w:sz w:val="20"/>
              </w:rPr>
              <w:t>)</w:t>
            </w:r>
          </w:p>
        </w:tc>
        <w:tc>
          <w:tcPr>
            <w:tcW w:w="1172" w:type="dxa"/>
          </w:tcPr>
          <w:p w14:paraId="1F62EABC" w14:textId="77777777" w:rsidR="007E4447" w:rsidRDefault="004C6125">
            <w:pPr>
              <w:pStyle w:val="TableParagraph"/>
              <w:ind w:left="0" w:right="402"/>
              <w:jc w:val="right"/>
              <w:rPr>
                <w:sz w:val="20"/>
              </w:rPr>
            </w:pPr>
            <w:r>
              <w:rPr>
                <w:w w:val="95"/>
                <w:sz w:val="20"/>
              </w:rPr>
              <w:t>15.0</w:t>
            </w:r>
          </w:p>
        </w:tc>
        <w:tc>
          <w:tcPr>
            <w:tcW w:w="4861" w:type="dxa"/>
          </w:tcPr>
          <w:p w14:paraId="30D3EAFD" w14:textId="77777777" w:rsidR="007E4447" w:rsidRDefault="004C6125">
            <w:pPr>
              <w:pStyle w:val="TableParagraph"/>
              <w:spacing w:before="0" w:line="219" w:lineRule="exact"/>
              <w:ind w:left="104"/>
              <w:rPr>
                <w:sz w:val="18"/>
              </w:rPr>
            </w:pPr>
            <w:r>
              <w:rPr>
                <w:sz w:val="18"/>
              </w:rPr>
              <w:t>California Public Utilities Commission (CPUC), Energy Division.</w:t>
            </w:r>
          </w:p>
          <w:p w14:paraId="4CEACAB2" w14:textId="77777777" w:rsidR="007E4447" w:rsidRDefault="004C6125">
            <w:pPr>
              <w:pStyle w:val="TableParagraph"/>
              <w:spacing w:before="1" w:line="243" w:lineRule="exact"/>
              <w:ind w:left="104"/>
              <w:rPr>
                <w:sz w:val="20"/>
              </w:rPr>
            </w:pPr>
            <w:r>
              <w:rPr>
                <w:sz w:val="18"/>
              </w:rPr>
              <w:t xml:space="preserve">2014. “DEER2014-EUL-table-update_2014-02-05.xlsx”; </w:t>
            </w:r>
            <w:r>
              <w:rPr>
                <w:sz w:val="20"/>
              </w:rPr>
              <w:t>EUL_ID:</w:t>
            </w:r>
          </w:p>
          <w:p w14:paraId="666EDFE2" w14:textId="77777777" w:rsidR="007E4447" w:rsidRDefault="004C6125">
            <w:pPr>
              <w:pStyle w:val="TableParagraph"/>
              <w:spacing w:before="0" w:line="225" w:lineRule="exact"/>
              <w:ind w:left="104"/>
              <w:rPr>
                <w:sz w:val="20"/>
              </w:rPr>
            </w:pPr>
            <w:r>
              <w:rPr>
                <w:sz w:val="20"/>
              </w:rPr>
              <w:t>Motors-fan.</w:t>
            </w:r>
          </w:p>
        </w:tc>
      </w:tr>
      <w:tr w:rsidR="007E4447" w14:paraId="6785E230" w14:textId="77777777">
        <w:trPr>
          <w:trHeight w:val="285"/>
        </w:trPr>
        <w:tc>
          <w:tcPr>
            <w:tcW w:w="3416" w:type="dxa"/>
          </w:tcPr>
          <w:p w14:paraId="182DC5BC" w14:textId="77777777" w:rsidR="007E4447" w:rsidRDefault="004C6125">
            <w:pPr>
              <w:pStyle w:val="TableParagraph"/>
              <w:ind w:left="107"/>
              <w:rPr>
                <w:sz w:val="20"/>
              </w:rPr>
            </w:pPr>
            <w:r>
              <w:rPr>
                <w:sz w:val="20"/>
              </w:rPr>
              <w:t>RUL (</w:t>
            </w:r>
            <w:proofErr w:type="spellStart"/>
            <w:r>
              <w:rPr>
                <w:sz w:val="20"/>
              </w:rPr>
              <w:t>yrs</w:t>
            </w:r>
            <w:proofErr w:type="spellEnd"/>
            <w:r>
              <w:rPr>
                <w:sz w:val="20"/>
              </w:rPr>
              <w:t>)</w:t>
            </w:r>
          </w:p>
        </w:tc>
        <w:tc>
          <w:tcPr>
            <w:tcW w:w="1172" w:type="dxa"/>
          </w:tcPr>
          <w:p w14:paraId="2F0786CE" w14:textId="77777777" w:rsidR="007E4447" w:rsidRDefault="004C6125">
            <w:pPr>
              <w:pStyle w:val="TableParagraph"/>
              <w:ind w:left="0" w:right="441"/>
              <w:jc w:val="right"/>
              <w:rPr>
                <w:sz w:val="20"/>
              </w:rPr>
            </w:pPr>
            <w:r>
              <w:rPr>
                <w:w w:val="95"/>
                <w:sz w:val="20"/>
              </w:rPr>
              <w:t>n/a</w:t>
            </w:r>
          </w:p>
        </w:tc>
        <w:tc>
          <w:tcPr>
            <w:tcW w:w="4861" w:type="dxa"/>
          </w:tcPr>
          <w:p w14:paraId="4ECB4794" w14:textId="77777777" w:rsidR="007E4447" w:rsidRDefault="004C6125">
            <w:pPr>
              <w:pStyle w:val="TableParagraph"/>
              <w:ind w:left="104"/>
              <w:rPr>
                <w:sz w:val="20"/>
              </w:rPr>
            </w:pPr>
            <w:r>
              <w:rPr>
                <w:w w:val="99"/>
                <w:sz w:val="20"/>
              </w:rPr>
              <w:t>-</w:t>
            </w:r>
          </w:p>
        </w:tc>
      </w:tr>
    </w:tbl>
    <w:p w14:paraId="16433B15" w14:textId="77777777" w:rsidR="007E4447" w:rsidRDefault="007E4447">
      <w:pPr>
        <w:pStyle w:val="BodyText"/>
        <w:rPr>
          <w:sz w:val="20"/>
        </w:rPr>
      </w:pPr>
    </w:p>
    <w:p w14:paraId="2C3E60D5" w14:textId="77777777" w:rsidR="007E4447" w:rsidRDefault="007E4447">
      <w:pPr>
        <w:pStyle w:val="BodyText"/>
        <w:spacing w:before="7"/>
      </w:pPr>
    </w:p>
    <w:p w14:paraId="70159ACD" w14:textId="77777777" w:rsidR="007E4447" w:rsidRDefault="004C6125">
      <w:pPr>
        <w:pStyle w:val="Heading1"/>
        <w:spacing w:before="1"/>
      </w:pPr>
      <w:bookmarkStart w:id="15" w:name="_TOC_250008"/>
      <w:bookmarkEnd w:id="15"/>
      <w:r>
        <w:rPr>
          <w:color w:val="CFAB79"/>
        </w:rPr>
        <w:t>BASE CASE MATERIAL COST ($/UNIT)</w:t>
      </w:r>
    </w:p>
    <w:p w14:paraId="07E098FF" w14:textId="77777777" w:rsidR="007E4447" w:rsidRDefault="004C6125">
      <w:pPr>
        <w:pStyle w:val="BodyText"/>
        <w:spacing w:before="112"/>
        <w:ind w:left="100" w:right="1556"/>
      </w:pPr>
      <w:r>
        <w:t xml:space="preserve">The base case material cost includes the cost of induction motor and variable frequency drive (VFD). The cost of the induction motor was derived as the average cost per horsepower of premium efficiency motors (230/460 V, 60 HZ) rated 1 hp to 3 hp obtained from </w:t>
      </w:r>
      <w:proofErr w:type="spellStart"/>
      <w:r>
        <w:t>RSMeans</w:t>
      </w:r>
      <w:proofErr w:type="spellEnd"/>
      <w:r w:rsidR="005B2B0E">
        <w:t xml:space="preserve"> 2019 quarter 2.</w:t>
      </w:r>
      <w:r>
        <w:rPr>
          <w:vertAlign w:val="superscript"/>
        </w:rPr>
        <w:t>9</w:t>
      </w:r>
      <w:r>
        <w:t xml:space="preserve"> Because </w:t>
      </w:r>
      <w:proofErr w:type="spellStart"/>
      <w:r>
        <w:t>RSMeans</w:t>
      </w:r>
      <w:proofErr w:type="spellEnd"/>
      <w:r>
        <w:t xml:space="preserve"> only includes the cost of VFDs for 3 hp and higher, the cost of a 3-phase VFD 1 hp to 3 hp was derived from list prices obtained from three online equipment dealers. The material cost was calculated as the sum of the costs of an induction motor and the VFD; the base case material cost was calculated as the average material cost of the units in the analysis.</w:t>
      </w:r>
      <w:r>
        <w:rPr>
          <w:vertAlign w:val="superscript"/>
        </w:rPr>
        <w:t>10</w:t>
      </w:r>
    </w:p>
    <w:p w14:paraId="4E5A1F1D" w14:textId="77777777" w:rsidR="007E4447" w:rsidRDefault="007E4447">
      <w:pPr>
        <w:pStyle w:val="BodyText"/>
        <w:rPr>
          <w:sz w:val="24"/>
        </w:rPr>
      </w:pPr>
    </w:p>
    <w:p w14:paraId="72688961" w14:textId="77777777" w:rsidR="007E4447" w:rsidRDefault="007E4447">
      <w:pPr>
        <w:pStyle w:val="BodyText"/>
        <w:spacing w:before="10"/>
        <w:rPr>
          <w:sz w:val="18"/>
        </w:rPr>
      </w:pPr>
    </w:p>
    <w:p w14:paraId="2F6B3305" w14:textId="77777777" w:rsidR="007E4447" w:rsidRDefault="004C6125">
      <w:pPr>
        <w:pStyle w:val="Heading1"/>
        <w:spacing w:before="1"/>
      </w:pPr>
      <w:bookmarkStart w:id="16" w:name="_TOC_250007"/>
      <w:bookmarkEnd w:id="16"/>
      <w:r>
        <w:rPr>
          <w:color w:val="CFAB79"/>
        </w:rPr>
        <w:t>MEASURE CASE MATERIAL COST ($/UNIT)</w:t>
      </w:r>
    </w:p>
    <w:p w14:paraId="3E910622" w14:textId="77777777" w:rsidR="007E4447" w:rsidRDefault="005B2B0E">
      <w:pPr>
        <w:pStyle w:val="BodyText"/>
        <w:spacing w:before="112"/>
        <w:ind w:left="100" w:right="1579"/>
      </w:pPr>
      <w:r>
        <w:t xml:space="preserve">SRM motors in smaller horse powers for HVAC fan motor applications are new in the market. </w:t>
      </w:r>
      <w:r w:rsidR="004C6125">
        <w:t xml:space="preserve">Currently, from author’s knowledge there is only one manufacturer for </w:t>
      </w:r>
      <w:proofErr w:type="gramStart"/>
      <w:r w:rsidR="004C6125">
        <w:t>software-controlled</w:t>
      </w:r>
      <w:proofErr w:type="gramEnd"/>
      <w:r w:rsidR="004C6125">
        <w:t xml:space="preserve"> SRM. The manufacture</w:t>
      </w:r>
      <w:r>
        <w:t>r</w:t>
      </w:r>
      <w:r w:rsidR="004C6125">
        <w:t xml:space="preserve"> provided the list prices for SRMs from 1 hp to 10 hp; only the cost for SRMs 1 hp to 3 hp were included in the cost analysis</w:t>
      </w:r>
      <w:r w:rsidR="004C6125">
        <w:rPr>
          <w:vertAlign w:val="superscript"/>
        </w:rPr>
        <w:t>11</w:t>
      </w:r>
      <w:r w:rsidR="004C6125">
        <w:t xml:space="preserve"> and the measure case material cost was calculated as the average of list prices provided them.</w:t>
      </w:r>
    </w:p>
    <w:p w14:paraId="5CA50C7C" w14:textId="77777777" w:rsidR="007E4447" w:rsidRDefault="007E4447">
      <w:pPr>
        <w:pStyle w:val="BodyText"/>
      </w:pPr>
    </w:p>
    <w:p w14:paraId="42DCCB7C" w14:textId="77777777" w:rsidR="007E4447" w:rsidRDefault="007E4447">
      <w:pPr>
        <w:pStyle w:val="BodyText"/>
        <w:spacing w:before="10"/>
        <w:rPr>
          <w:sz w:val="20"/>
        </w:rPr>
      </w:pPr>
    </w:p>
    <w:p w14:paraId="2B77371B" w14:textId="77777777" w:rsidR="007E4447" w:rsidRDefault="004C6125">
      <w:pPr>
        <w:pStyle w:val="Heading1"/>
      </w:pPr>
      <w:bookmarkStart w:id="17" w:name="_TOC_250006"/>
      <w:bookmarkEnd w:id="17"/>
      <w:r>
        <w:rPr>
          <w:color w:val="CFAB79"/>
        </w:rPr>
        <w:t>BASE CASE LABOR COST ($/UNIT)</w:t>
      </w:r>
    </w:p>
    <w:p w14:paraId="1789BF3B" w14:textId="77777777" w:rsidR="007E4447" w:rsidRDefault="004C6125">
      <w:pPr>
        <w:pStyle w:val="BodyText"/>
        <w:spacing w:before="112"/>
        <w:ind w:left="100" w:right="1482"/>
      </w:pPr>
      <w:r>
        <w:t>Since both base case and measure case involves the installation of a motor and variable speed controls, it is assumed that the labor cost will be the same for both cases.</w:t>
      </w:r>
    </w:p>
    <w:p w14:paraId="1A7A0BA9" w14:textId="77777777" w:rsidR="007E4447" w:rsidRDefault="004C6125">
      <w:pPr>
        <w:pStyle w:val="BodyText"/>
        <w:spacing w:before="121"/>
        <w:ind w:left="100" w:right="1453"/>
      </w:pPr>
      <w:r>
        <w:t xml:space="preserve">The estimated labor hours were provided by the manufacturer of </w:t>
      </w:r>
      <w:proofErr w:type="gramStart"/>
      <w:r>
        <w:t>software-controlled</w:t>
      </w:r>
      <w:proofErr w:type="gramEnd"/>
      <w:r>
        <w:t xml:space="preserve"> SRM based on their experience, and the hourly labor rate was derived from </w:t>
      </w:r>
      <w:proofErr w:type="spellStart"/>
      <w:r>
        <w:t>RSMeans</w:t>
      </w:r>
      <w:proofErr w:type="spellEnd"/>
      <w:r w:rsidR="005B2B0E">
        <w:t xml:space="preserve"> 2019, quarter 2</w:t>
      </w:r>
      <w:r>
        <w:t xml:space="preserve"> for motor installation. The per unit labor (per horsepower) was calculated as the total labor cost per motor (labor rate multiplied by labor hours) divided by the motor horsepower for each unit in the cost data provided by the manufacturer. The base case labor cost was then calculated as the average labor cost per hp across all</w:t>
      </w:r>
      <w:r>
        <w:rPr>
          <w:spacing w:val="-11"/>
        </w:rPr>
        <w:t xml:space="preserve"> </w:t>
      </w:r>
      <w:r>
        <w:t>units.</w:t>
      </w:r>
      <w:r>
        <w:rPr>
          <w:vertAlign w:val="superscript"/>
        </w:rPr>
        <w:t>12</w:t>
      </w:r>
    </w:p>
    <w:p w14:paraId="571E01F9" w14:textId="77777777" w:rsidR="007E4447" w:rsidRDefault="007E4447">
      <w:pPr>
        <w:pStyle w:val="BodyText"/>
        <w:rPr>
          <w:sz w:val="20"/>
        </w:rPr>
      </w:pPr>
    </w:p>
    <w:p w14:paraId="353E9469" w14:textId="77777777" w:rsidR="007E4447" w:rsidRDefault="007E4447">
      <w:pPr>
        <w:pStyle w:val="BodyText"/>
        <w:rPr>
          <w:sz w:val="20"/>
        </w:rPr>
      </w:pPr>
    </w:p>
    <w:p w14:paraId="3CD049A6" w14:textId="77777777" w:rsidR="007E4447" w:rsidRDefault="007E4447">
      <w:pPr>
        <w:pStyle w:val="BodyText"/>
        <w:rPr>
          <w:sz w:val="20"/>
        </w:rPr>
      </w:pPr>
    </w:p>
    <w:p w14:paraId="1DA6466A" w14:textId="77777777" w:rsidR="007E4447" w:rsidRDefault="007E4447">
      <w:pPr>
        <w:pStyle w:val="BodyText"/>
        <w:rPr>
          <w:sz w:val="20"/>
        </w:rPr>
      </w:pPr>
    </w:p>
    <w:p w14:paraId="0EE81392" w14:textId="77777777" w:rsidR="007E4447" w:rsidRDefault="007E4447">
      <w:pPr>
        <w:pStyle w:val="BodyText"/>
        <w:rPr>
          <w:sz w:val="20"/>
        </w:rPr>
      </w:pPr>
    </w:p>
    <w:p w14:paraId="78439151" w14:textId="77777777" w:rsidR="007E4447" w:rsidRDefault="00193F71">
      <w:pPr>
        <w:pStyle w:val="BodyText"/>
        <w:spacing w:before="2"/>
        <w:rPr>
          <w:sz w:val="21"/>
        </w:rPr>
      </w:pPr>
      <w:r>
        <w:rPr>
          <w:noProof/>
        </w:rPr>
        <mc:AlternateContent>
          <mc:Choice Requires="wps">
            <w:drawing>
              <wp:anchor distT="0" distB="0" distL="0" distR="0" simplePos="0" relativeHeight="251664384" behindDoc="1" locked="0" layoutInCell="1" allowOverlap="1" wp14:anchorId="33EED895" wp14:editId="6CF7A0B8">
                <wp:simplePos x="0" y="0"/>
                <wp:positionH relativeFrom="page">
                  <wp:posOffset>914400</wp:posOffset>
                </wp:positionH>
                <wp:positionV relativeFrom="paragraph">
                  <wp:posOffset>194310</wp:posOffset>
                </wp:positionV>
                <wp:extent cx="1829435" cy="1270"/>
                <wp:effectExtent l="0" t="0" r="0" b="0"/>
                <wp:wrapTopAndBottom/>
                <wp:docPr id="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410DC" id="Freeform 2" o:spid="_x0000_s1026" style="position:absolute;margin-left:1in;margin-top:15.3pt;width:144.0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" path="m,l2881,e" filled="f" strokeweight=".72pt">
                <v:path arrowok="t" o:connecttype="custom" o:connectlocs="0,0;1829435,0" o:connectangles="0,0"/>
                <w10:wrap type="topAndBottom" anchorx="page"/>
              </v:shape>
            </w:pict>
          </mc:Fallback>
        </mc:AlternateContent>
      </w:r>
    </w:p>
    <w:p w14:paraId="532AC2FE" w14:textId="77777777" w:rsidR="007E4447" w:rsidRDefault="007E4447">
      <w:pPr>
        <w:pStyle w:val="BodyText"/>
        <w:rPr>
          <w:sz w:val="20"/>
        </w:rPr>
      </w:pPr>
    </w:p>
    <w:p w14:paraId="2A8759C6" w14:textId="77777777" w:rsidR="007E4447" w:rsidRDefault="004C6125" w:rsidP="00193F71">
      <w:pPr>
        <w:spacing w:before="69"/>
        <w:jc w:val="both"/>
        <w:rPr>
          <w:sz w:val="18"/>
        </w:rPr>
      </w:pPr>
      <w:r>
        <w:rPr>
          <w:position w:val="5"/>
          <w:sz w:val="12"/>
        </w:rPr>
        <w:t xml:space="preserve">9 </w:t>
      </w:r>
      <w:r>
        <w:rPr>
          <w:sz w:val="18"/>
        </w:rPr>
        <w:t xml:space="preserve">Gordian. 2019. </w:t>
      </w:r>
      <w:proofErr w:type="spellStart"/>
      <w:r>
        <w:rPr>
          <w:i/>
          <w:sz w:val="18"/>
        </w:rPr>
        <w:t>RSMeans</w:t>
      </w:r>
      <w:proofErr w:type="spellEnd"/>
      <w:r>
        <w:rPr>
          <w:i/>
          <w:sz w:val="18"/>
        </w:rPr>
        <w:t xml:space="preserve"> Online</w:t>
      </w:r>
      <w:r>
        <w:rPr>
          <w:sz w:val="18"/>
        </w:rPr>
        <w:t>. Electrical Costs.</w:t>
      </w:r>
    </w:p>
    <w:p w14:paraId="258BD00E" w14:textId="77777777" w:rsidR="007E4447" w:rsidRDefault="004C6125">
      <w:pPr>
        <w:spacing w:before="121" w:line="372" w:lineRule="auto"/>
        <w:ind w:left="100" w:right="4972"/>
        <w:jc w:val="both"/>
        <w:rPr>
          <w:sz w:val="18"/>
        </w:rPr>
      </w:pPr>
      <w:r>
        <w:rPr>
          <w:position w:val="5"/>
          <w:sz w:val="12"/>
        </w:rPr>
        <w:t xml:space="preserve">10 </w:t>
      </w:r>
      <w:r>
        <w:rPr>
          <w:sz w:val="18"/>
        </w:rPr>
        <w:t>Southern California Edison (SCE). 2019. “</w:t>
      </w:r>
      <w:r w:rsidR="005F78A6">
        <w:rPr>
          <w:sz w:val="18"/>
        </w:rPr>
        <w:t>SWHC041-02</w:t>
      </w:r>
      <w:r>
        <w:rPr>
          <w:sz w:val="18"/>
        </w:rPr>
        <w:t xml:space="preserve"> SRM Cost Analysis.xlsx.” </w:t>
      </w:r>
      <w:r>
        <w:rPr>
          <w:position w:val="5"/>
          <w:sz w:val="12"/>
        </w:rPr>
        <w:t xml:space="preserve">11 </w:t>
      </w:r>
      <w:r>
        <w:rPr>
          <w:sz w:val="18"/>
        </w:rPr>
        <w:t>Southern California Edison (SCE). 2019. “</w:t>
      </w:r>
      <w:r w:rsidR="005F78A6">
        <w:rPr>
          <w:sz w:val="18"/>
        </w:rPr>
        <w:t>SWHC041-02</w:t>
      </w:r>
      <w:r>
        <w:rPr>
          <w:sz w:val="18"/>
        </w:rPr>
        <w:t xml:space="preserve"> SRM Cost Analysis.xlsx.” </w:t>
      </w:r>
      <w:r>
        <w:rPr>
          <w:position w:val="5"/>
          <w:sz w:val="12"/>
        </w:rPr>
        <w:t xml:space="preserve">12 </w:t>
      </w:r>
      <w:r>
        <w:rPr>
          <w:sz w:val="18"/>
        </w:rPr>
        <w:t>Southern California Edison (SCE). 2019. “</w:t>
      </w:r>
      <w:r w:rsidR="005F78A6">
        <w:rPr>
          <w:sz w:val="18"/>
        </w:rPr>
        <w:t>SWHC041-02</w:t>
      </w:r>
      <w:r>
        <w:rPr>
          <w:sz w:val="18"/>
        </w:rPr>
        <w:t xml:space="preserve"> SRM Cost Analysis.xlsx.”</w:t>
      </w:r>
    </w:p>
    <w:p w14:paraId="7FB97BBA" w14:textId="77777777" w:rsidR="007E4447" w:rsidRDefault="007E4447">
      <w:pPr>
        <w:spacing w:line="372" w:lineRule="auto"/>
        <w:jc w:val="both"/>
        <w:rPr>
          <w:sz w:val="18"/>
        </w:rPr>
        <w:sectPr w:rsidR="007E4447">
          <w:pgSz w:w="12240" w:h="15840"/>
          <w:pgMar w:top="1220" w:right="0" w:bottom="1320" w:left="1340" w:header="855" w:footer="1129" w:gutter="0"/>
          <w:cols w:space="720"/>
        </w:sectPr>
      </w:pPr>
    </w:p>
    <w:p w14:paraId="09CC9C30" w14:textId="77777777" w:rsidR="007E4447" w:rsidRDefault="007E4447">
      <w:pPr>
        <w:pStyle w:val="BodyText"/>
        <w:spacing w:before="10"/>
        <w:rPr>
          <w:sz w:val="19"/>
        </w:rPr>
      </w:pPr>
    </w:p>
    <w:p w14:paraId="09909C9B" w14:textId="77777777" w:rsidR="007E4447" w:rsidRDefault="004C6125">
      <w:pPr>
        <w:spacing w:before="59"/>
        <w:ind w:left="100"/>
        <w:rPr>
          <w:sz w:val="20"/>
        </w:rPr>
      </w:pPr>
      <w:r>
        <w:rPr>
          <w:sz w:val="20"/>
        </w:rPr>
        <w:t>Labor Cost Inputs</w:t>
      </w:r>
    </w:p>
    <w:p w14:paraId="0BD49E82" w14:textId="77777777" w:rsidR="007E4447" w:rsidRDefault="007E4447">
      <w:pPr>
        <w:pStyle w:val="BodyText"/>
        <w:spacing w:before="5"/>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416"/>
        <w:gridCol w:w="1172"/>
        <w:gridCol w:w="4861"/>
      </w:tblGrid>
      <w:tr w:rsidR="007E4447" w14:paraId="69FABB0A" w14:textId="77777777">
        <w:trPr>
          <w:trHeight w:val="285"/>
        </w:trPr>
        <w:tc>
          <w:tcPr>
            <w:tcW w:w="3416" w:type="dxa"/>
            <w:shd w:val="clear" w:color="auto" w:fill="F1F1F1"/>
          </w:tcPr>
          <w:p w14:paraId="76D19D8A" w14:textId="77777777" w:rsidR="007E4447" w:rsidRDefault="004C6125">
            <w:pPr>
              <w:pStyle w:val="TableParagraph"/>
              <w:spacing w:before="23" w:line="242" w:lineRule="exact"/>
              <w:ind w:left="1264" w:right="1252"/>
              <w:jc w:val="center"/>
              <w:rPr>
                <w:sz w:val="20"/>
              </w:rPr>
            </w:pPr>
            <w:r>
              <w:rPr>
                <w:sz w:val="20"/>
              </w:rPr>
              <w:t>Parameter</w:t>
            </w:r>
          </w:p>
        </w:tc>
        <w:tc>
          <w:tcPr>
            <w:tcW w:w="1172" w:type="dxa"/>
            <w:shd w:val="clear" w:color="auto" w:fill="F1F1F1"/>
          </w:tcPr>
          <w:p w14:paraId="6295BFCD" w14:textId="77777777" w:rsidR="007E4447" w:rsidRDefault="004C6125">
            <w:pPr>
              <w:pStyle w:val="TableParagraph"/>
              <w:spacing w:before="23" w:line="242" w:lineRule="exact"/>
              <w:ind w:left="361"/>
              <w:rPr>
                <w:sz w:val="20"/>
              </w:rPr>
            </w:pPr>
            <w:r>
              <w:rPr>
                <w:sz w:val="20"/>
              </w:rPr>
              <w:t>Value</w:t>
            </w:r>
          </w:p>
        </w:tc>
        <w:tc>
          <w:tcPr>
            <w:tcW w:w="4861" w:type="dxa"/>
            <w:shd w:val="clear" w:color="auto" w:fill="F1F1F1"/>
          </w:tcPr>
          <w:p w14:paraId="25EC014D" w14:textId="77777777" w:rsidR="007E4447" w:rsidRDefault="004C6125">
            <w:pPr>
              <w:pStyle w:val="TableParagraph"/>
              <w:spacing w:before="23" w:line="242" w:lineRule="exact"/>
              <w:ind w:left="2131" w:right="2128"/>
              <w:jc w:val="center"/>
              <w:rPr>
                <w:sz w:val="20"/>
              </w:rPr>
            </w:pPr>
            <w:r>
              <w:rPr>
                <w:sz w:val="20"/>
              </w:rPr>
              <w:t>Source</w:t>
            </w:r>
          </w:p>
        </w:tc>
      </w:tr>
      <w:tr w:rsidR="007E4447" w14:paraId="0D3EA12D" w14:textId="77777777">
        <w:trPr>
          <w:trHeight w:val="285"/>
        </w:trPr>
        <w:tc>
          <w:tcPr>
            <w:tcW w:w="3416" w:type="dxa"/>
          </w:tcPr>
          <w:p w14:paraId="52E66731" w14:textId="77777777" w:rsidR="007E4447" w:rsidRDefault="004C6125">
            <w:pPr>
              <w:pStyle w:val="TableParagraph"/>
              <w:ind w:left="107"/>
              <w:rPr>
                <w:sz w:val="20"/>
              </w:rPr>
            </w:pPr>
            <w:r>
              <w:rPr>
                <w:sz w:val="20"/>
              </w:rPr>
              <w:t>Labor (hours)</w:t>
            </w:r>
          </w:p>
        </w:tc>
        <w:tc>
          <w:tcPr>
            <w:tcW w:w="1172" w:type="dxa"/>
          </w:tcPr>
          <w:p w14:paraId="6C11A69A" w14:textId="77777777" w:rsidR="007E4447" w:rsidRDefault="004C6125">
            <w:pPr>
              <w:pStyle w:val="TableParagraph"/>
              <w:ind w:left="436" w:right="434"/>
              <w:jc w:val="center"/>
              <w:rPr>
                <w:sz w:val="20"/>
              </w:rPr>
            </w:pPr>
            <w:r>
              <w:rPr>
                <w:sz w:val="20"/>
              </w:rPr>
              <w:t>3.0</w:t>
            </w:r>
          </w:p>
        </w:tc>
        <w:tc>
          <w:tcPr>
            <w:tcW w:w="4861" w:type="dxa"/>
          </w:tcPr>
          <w:p w14:paraId="7C31600C" w14:textId="77777777" w:rsidR="007E4447" w:rsidRDefault="004C6125">
            <w:pPr>
              <w:pStyle w:val="TableParagraph"/>
              <w:spacing w:before="0" w:line="219" w:lineRule="exact"/>
              <w:ind w:left="104"/>
              <w:rPr>
                <w:sz w:val="18"/>
              </w:rPr>
            </w:pPr>
            <w:r>
              <w:rPr>
                <w:sz w:val="18"/>
              </w:rPr>
              <w:t xml:space="preserve">Estimated by the manufacturer of </w:t>
            </w:r>
            <w:proofErr w:type="gramStart"/>
            <w:r>
              <w:rPr>
                <w:sz w:val="18"/>
              </w:rPr>
              <w:t>software-controlled</w:t>
            </w:r>
            <w:proofErr w:type="gramEnd"/>
            <w:r>
              <w:rPr>
                <w:sz w:val="18"/>
              </w:rPr>
              <w:t xml:space="preserve"> SRM</w:t>
            </w:r>
          </w:p>
        </w:tc>
      </w:tr>
      <w:tr w:rsidR="007E4447" w14:paraId="15B99061" w14:textId="77777777">
        <w:trPr>
          <w:trHeight w:val="479"/>
        </w:trPr>
        <w:tc>
          <w:tcPr>
            <w:tcW w:w="3416" w:type="dxa"/>
          </w:tcPr>
          <w:p w14:paraId="36B9F5B8" w14:textId="77777777" w:rsidR="007E4447" w:rsidRDefault="004C6125">
            <w:pPr>
              <w:pStyle w:val="TableParagraph"/>
              <w:ind w:left="107"/>
              <w:rPr>
                <w:sz w:val="20"/>
              </w:rPr>
            </w:pPr>
            <w:r>
              <w:rPr>
                <w:sz w:val="20"/>
              </w:rPr>
              <w:t>Labor Rate ($/hour)</w:t>
            </w:r>
          </w:p>
        </w:tc>
        <w:tc>
          <w:tcPr>
            <w:tcW w:w="1172" w:type="dxa"/>
          </w:tcPr>
          <w:p w14:paraId="17145A6E" w14:textId="77777777" w:rsidR="007E4447" w:rsidRDefault="004C6125">
            <w:pPr>
              <w:pStyle w:val="TableParagraph"/>
              <w:ind w:left="304"/>
              <w:rPr>
                <w:sz w:val="20"/>
              </w:rPr>
            </w:pPr>
            <w:r>
              <w:rPr>
                <w:sz w:val="20"/>
              </w:rPr>
              <w:t>$97.56</w:t>
            </w:r>
          </w:p>
        </w:tc>
        <w:tc>
          <w:tcPr>
            <w:tcW w:w="4861" w:type="dxa"/>
          </w:tcPr>
          <w:p w14:paraId="02DDE57D" w14:textId="77777777" w:rsidR="007E4447" w:rsidRDefault="004C6125">
            <w:pPr>
              <w:pStyle w:val="TableParagraph"/>
              <w:spacing w:line="220" w:lineRule="atLeast"/>
              <w:ind w:left="104" w:right="453"/>
              <w:rPr>
                <w:sz w:val="18"/>
              </w:rPr>
            </w:pPr>
            <w:r>
              <w:rPr>
                <w:sz w:val="18"/>
              </w:rPr>
              <w:t xml:space="preserve">Gordian. 2019. </w:t>
            </w:r>
            <w:proofErr w:type="spellStart"/>
            <w:r>
              <w:rPr>
                <w:i/>
                <w:sz w:val="18"/>
              </w:rPr>
              <w:t>RSMeans</w:t>
            </w:r>
            <w:proofErr w:type="spellEnd"/>
            <w:r>
              <w:rPr>
                <w:i/>
                <w:sz w:val="18"/>
              </w:rPr>
              <w:t xml:space="preserve"> Online. </w:t>
            </w:r>
            <w:r>
              <w:rPr>
                <w:sz w:val="18"/>
              </w:rPr>
              <w:t>Electrical Cost Data. Line # 267113200100.</w:t>
            </w:r>
          </w:p>
        </w:tc>
      </w:tr>
    </w:tbl>
    <w:p w14:paraId="0AE493EA" w14:textId="77777777" w:rsidR="007E4447" w:rsidRDefault="007E4447">
      <w:pPr>
        <w:pStyle w:val="BodyText"/>
        <w:rPr>
          <w:sz w:val="20"/>
        </w:rPr>
      </w:pPr>
    </w:p>
    <w:p w14:paraId="7E0B24BD" w14:textId="77777777" w:rsidR="007E4447" w:rsidRDefault="007E4447">
      <w:pPr>
        <w:pStyle w:val="BodyText"/>
        <w:spacing w:before="7"/>
      </w:pPr>
    </w:p>
    <w:p w14:paraId="0C8D515D" w14:textId="77777777" w:rsidR="007E4447" w:rsidRDefault="004C6125">
      <w:pPr>
        <w:pStyle w:val="Heading1"/>
        <w:spacing w:before="1"/>
      </w:pPr>
      <w:bookmarkStart w:id="18" w:name="_TOC_250005"/>
      <w:bookmarkEnd w:id="18"/>
      <w:r>
        <w:rPr>
          <w:color w:val="CFAB79"/>
        </w:rPr>
        <w:t>MEASURE CASE LABOR COST ($/UNIT)</w:t>
      </w:r>
    </w:p>
    <w:p w14:paraId="24770313" w14:textId="77777777" w:rsidR="007E4447" w:rsidRDefault="004C6125">
      <w:pPr>
        <w:pStyle w:val="BodyText"/>
        <w:spacing w:before="112"/>
        <w:ind w:left="100"/>
      </w:pPr>
      <w:r>
        <w:t>See Base Case Labor Cost.</w:t>
      </w:r>
    </w:p>
    <w:p w14:paraId="04BDC2C7" w14:textId="77777777" w:rsidR="007E4447" w:rsidRDefault="007E4447">
      <w:pPr>
        <w:pStyle w:val="BodyText"/>
      </w:pPr>
    </w:p>
    <w:p w14:paraId="7EE5FBB8" w14:textId="77777777" w:rsidR="007E4447" w:rsidRDefault="007E4447">
      <w:pPr>
        <w:pStyle w:val="BodyText"/>
        <w:spacing w:before="11"/>
        <w:rPr>
          <w:sz w:val="20"/>
        </w:rPr>
      </w:pPr>
    </w:p>
    <w:p w14:paraId="57F6C139" w14:textId="77777777" w:rsidR="007E4447" w:rsidRDefault="004C6125">
      <w:pPr>
        <w:pStyle w:val="Heading1"/>
      </w:pPr>
      <w:bookmarkStart w:id="19" w:name="_TOC_250004"/>
      <w:bookmarkEnd w:id="19"/>
      <w:r>
        <w:rPr>
          <w:color w:val="CFAB79"/>
        </w:rPr>
        <w:t>NET-TO-GROSS (NTG)</w:t>
      </w:r>
    </w:p>
    <w:p w14:paraId="305F7975" w14:textId="77777777" w:rsidR="007E4447" w:rsidRDefault="004C6125">
      <w:pPr>
        <w:pStyle w:val="BodyText"/>
        <w:spacing w:before="113"/>
        <w:ind w:left="100" w:right="1698"/>
      </w:pPr>
      <w:r>
        <w:t>The net-to-gross (NTG) ratio represents the portion of gross impacts that are determined to be directly attributed to a specific program intervention. The NTG value adopted for this measure is designated specifically for emerging technologies by the California Public Utilities Commission (CPUC).</w:t>
      </w:r>
    </w:p>
    <w:p w14:paraId="59C3377F" w14:textId="77777777" w:rsidR="007E4447" w:rsidRDefault="007E4447">
      <w:pPr>
        <w:pStyle w:val="BodyText"/>
        <w:rPr>
          <w:sz w:val="23"/>
        </w:rPr>
      </w:pPr>
    </w:p>
    <w:p w14:paraId="3134F39B" w14:textId="77777777" w:rsidR="007E4447" w:rsidRDefault="004C6125">
      <w:pPr>
        <w:spacing w:before="1"/>
        <w:ind w:left="100"/>
        <w:rPr>
          <w:sz w:val="20"/>
        </w:rPr>
      </w:pPr>
      <w:r>
        <w:rPr>
          <w:sz w:val="20"/>
        </w:rPr>
        <w:t>Net-to-Gross Ratios</w:t>
      </w:r>
    </w:p>
    <w:p w14:paraId="57724D6F" w14:textId="77777777" w:rsidR="007E4447" w:rsidRDefault="007E4447">
      <w:pPr>
        <w:pStyle w:val="BodyText"/>
        <w:spacing w:before="7"/>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607"/>
        <w:gridCol w:w="1169"/>
        <w:gridCol w:w="5762"/>
      </w:tblGrid>
      <w:tr w:rsidR="007E4447" w14:paraId="52230E32" w14:textId="77777777">
        <w:trPr>
          <w:trHeight w:val="244"/>
        </w:trPr>
        <w:tc>
          <w:tcPr>
            <w:tcW w:w="2607" w:type="dxa"/>
            <w:shd w:val="clear" w:color="auto" w:fill="F1F1F1"/>
          </w:tcPr>
          <w:p w14:paraId="57118A24" w14:textId="77777777" w:rsidR="007E4447" w:rsidRDefault="004C6125">
            <w:pPr>
              <w:pStyle w:val="TableParagraph"/>
              <w:spacing w:before="0" w:line="224" w:lineRule="exact"/>
              <w:ind w:left="858" w:right="848"/>
              <w:jc w:val="center"/>
              <w:rPr>
                <w:sz w:val="20"/>
              </w:rPr>
            </w:pPr>
            <w:r>
              <w:rPr>
                <w:sz w:val="20"/>
              </w:rPr>
              <w:t>Parameter</w:t>
            </w:r>
          </w:p>
        </w:tc>
        <w:tc>
          <w:tcPr>
            <w:tcW w:w="1169" w:type="dxa"/>
            <w:shd w:val="clear" w:color="auto" w:fill="F1F1F1"/>
          </w:tcPr>
          <w:p w14:paraId="56ED79B8" w14:textId="77777777" w:rsidR="007E4447" w:rsidRDefault="004C6125">
            <w:pPr>
              <w:pStyle w:val="TableParagraph"/>
              <w:spacing w:before="0" w:line="224" w:lineRule="exact"/>
              <w:ind w:left="359"/>
              <w:rPr>
                <w:sz w:val="20"/>
              </w:rPr>
            </w:pPr>
            <w:r>
              <w:rPr>
                <w:sz w:val="20"/>
              </w:rPr>
              <w:t>Value</w:t>
            </w:r>
          </w:p>
        </w:tc>
        <w:tc>
          <w:tcPr>
            <w:tcW w:w="5762" w:type="dxa"/>
            <w:shd w:val="clear" w:color="auto" w:fill="F1F1F1"/>
          </w:tcPr>
          <w:p w14:paraId="6F635E3C" w14:textId="77777777" w:rsidR="007E4447" w:rsidRDefault="004C6125">
            <w:pPr>
              <w:pStyle w:val="TableParagraph"/>
              <w:spacing w:before="0" w:line="224" w:lineRule="exact"/>
              <w:ind w:left="2585" w:right="2574"/>
              <w:jc w:val="center"/>
              <w:rPr>
                <w:sz w:val="20"/>
              </w:rPr>
            </w:pPr>
            <w:r>
              <w:rPr>
                <w:sz w:val="20"/>
              </w:rPr>
              <w:t>Source</w:t>
            </w:r>
          </w:p>
        </w:tc>
      </w:tr>
      <w:tr w:rsidR="007E4447" w14:paraId="401ED82D" w14:textId="77777777">
        <w:trPr>
          <w:trHeight w:val="1538"/>
        </w:trPr>
        <w:tc>
          <w:tcPr>
            <w:tcW w:w="2607" w:type="dxa"/>
          </w:tcPr>
          <w:p w14:paraId="25E46B4F" w14:textId="77777777" w:rsidR="007E4447" w:rsidRDefault="007E4447">
            <w:pPr>
              <w:pStyle w:val="TableParagraph"/>
              <w:spacing w:before="0"/>
              <w:ind w:left="0"/>
              <w:rPr>
                <w:sz w:val="20"/>
              </w:rPr>
            </w:pPr>
          </w:p>
          <w:p w14:paraId="46F572B1" w14:textId="77777777" w:rsidR="007E4447" w:rsidRDefault="007E4447">
            <w:pPr>
              <w:pStyle w:val="TableParagraph"/>
              <w:spacing w:before="0"/>
              <w:ind w:left="0"/>
              <w:rPr>
                <w:sz w:val="20"/>
              </w:rPr>
            </w:pPr>
          </w:p>
          <w:p w14:paraId="513DC498" w14:textId="77777777" w:rsidR="007E4447" w:rsidRDefault="004C6125">
            <w:pPr>
              <w:pStyle w:val="TableParagraph"/>
              <w:spacing w:before="158"/>
              <w:rPr>
                <w:sz w:val="20"/>
              </w:rPr>
            </w:pPr>
            <w:r>
              <w:rPr>
                <w:sz w:val="20"/>
              </w:rPr>
              <w:t>NTG – emerging technology</w:t>
            </w:r>
          </w:p>
        </w:tc>
        <w:tc>
          <w:tcPr>
            <w:tcW w:w="1169" w:type="dxa"/>
          </w:tcPr>
          <w:p w14:paraId="49ABE252" w14:textId="77777777" w:rsidR="007E4447" w:rsidRDefault="007E4447">
            <w:pPr>
              <w:pStyle w:val="TableParagraph"/>
              <w:spacing w:before="0"/>
              <w:ind w:left="0"/>
              <w:rPr>
                <w:sz w:val="20"/>
              </w:rPr>
            </w:pPr>
          </w:p>
          <w:p w14:paraId="62163B3B" w14:textId="77777777" w:rsidR="007E4447" w:rsidRDefault="007E4447">
            <w:pPr>
              <w:pStyle w:val="TableParagraph"/>
              <w:spacing w:before="0"/>
              <w:ind w:left="0"/>
              <w:rPr>
                <w:sz w:val="20"/>
              </w:rPr>
            </w:pPr>
          </w:p>
          <w:p w14:paraId="09EB1F4D" w14:textId="77777777" w:rsidR="007E4447" w:rsidRDefault="004C6125">
            <w:pPr>
              <w:pStyle w:val="TableParagraph"/>
              <w:spacing w:before="158"/>
              <w:ind w:left="405"/>
              <w:rPr>
                <w:sz w:val="20"/>
              </w:rPr>
            </w:pPr>
            <w:r>
              <w:rPr>
                <w:sz w:val="20"/>
              </w:rPr>
              <w:t>0.85</w:t>
            </w:r>
          </w:p>
        </w:tc>
        <w:tc>
          <w:tcPr>
            <w:tcW w:w="5762" w:type="dxa"/>
          </w:tcPr>
          <w:p w14:paraId="1C1C90C9" w14:textId="77777777" w:rsidR="007E4447" w:rsidRDefault="004C6125">
            <w:pPr>
              <w:pStyle w:val="TableParagraph"/>
              <w:spacing w:before="0"/>
              <w:ind w:left="114" w:right="104"/>
              <w:rPr>
                <w:sz w:val="18"/>
              </w:rPr>
            </w:pPr>
            <w:r>
              <w:rPr>
                <w:sz w:val="18"/>
              </w:rPr>
              <w:t xml:space="preserve">California Public Utilities Commission (CPUC), Energy Division. 2013. </w:t>
            </w:r>
            <w:r>
              <w:rPr>
                <w:i/>
                <w:sz w:val="18"/>
              </w:rPr>
              <w:t xml:space="preserve">Energy Efficiency Policy Manual Version 5. </w:t>
            </w:r>
            <w:r>
              <w:rPr>
                <w:sz w:val="18"/>
              </w:rPr>
              <w:t>Page 21.</w:t>
            </w:r>
          </w:p>
          <w:p w14:paraId="0EEB3142" w14:textId="77777777" w:rsidR="007E4447" w:rsidRDefault="007E4447">
            <w:pPr>
              <w:pStyle w:val="TableParagraph"/>
              <w:spacing w:before="11"/>
              <w:ind w:left="0"/>
              <w:rPr>
                <w:sz w:val="17"/>
              </w:rPr>
            </w:pPr>
          </w:p>
          <w:p w14:paraId="6FCD7A54" w14:textId="77777777" w:rsidR="007E4447" w:rsidRDefault="004C6125">
            <w:pPr>
              <w:pStyle w:val="TableParagraph"/>
              <w:spacing w:before="1"/>
              <w:ind w:left="114" w:right="104"/>
              <w:rPr>
                <w:i/>
                <w:sz w:val="18"/>
              </w:rPr>
            </w:pPr>
            <w:r>
              <w:rPr>
                <w:sz w:val="18"/>
              </w:rPr>
              <w:t xml:space="preserve">California Public Utilities Commission (CPUC). 2012. </w:t>
            </w:r>
            <w:r>
              <w:rPr>
                <w:i/>
                <w:sz w:val="18"/>
              </w:rPr>
              <w:t xml:space="preserve">Decision 12-05-015 in the Order Instituting Rulemaking to Examine the Commission's Post-2008 Energy Efficiency Policies, Programs, Evaluation, Measurement, and </w:t>
            </w:r>
          </w:p>
          <w:p w14:paraId="38DAE20D" w14:textId="77777777" w:rsidR="007E4447" w:rsidRDefault="004C6125">
            <w:pPr>
              <w:pStyle w:val="TableParagraph"/>
              <w:spacing w:before="0" w:line="200" w:lineRule="exact"/>
              <w:ind w:left="114"/>
              <w:rPr>
                <w:sz w:val="18"/>
              </w:rPr>
            </w:pPr>
            <w:r>
              <w:rPr>
                <w:i/>
                <w:sz w:val="18"/>
              </w:rPr>
              <w:t xml:space="preserve">Verification, and Related Issues (R.09-11-014). </w:t>
            </w:r>
            <w:r>
              <w:rPr>
                <w:sz w:val="18"/>
              </w:rPr>
              <w:t>Issued May 18, 2012. OP 14.</w:t>
            </w:r>
          </w:p>
        </w:tc>
      </w:tr>
    </w:tbl>
    <w:p w14:paraId="7A580CD0" w14:textId="77777777" w:rsidR="007E4447" w:rsidRDefault="007E4447">
      <w:pPr>
        <w:pStyle w:val="BodyText"/>
        <w:rPr>
          <w:sz w:val="20"/>
        </w:rPr>
      </w:pPr>
    </w:p>
    <w:p w14:paraId="1EF078EE" w14:textId="77777777" w:rsidR="007E4447" w:rsidRDefault="007E4447">
      <w:pPr>
        <w:pStyle w:val="BodyText"/>
        <w:spacing w:before="8"/>
      </w:pPr>
    </w:p>
    <w:p w14:paraId="0A5C158F" w14:textId="77777777" w:rsidR="007E4447" w:rsidRDefault="004C6125">
      <w:pPr>
        <w:pStyle w:val="Heading1"/>
      </w:pPr>
      <w:bookmarkStart w:id="20" w:name="_TOC_250003"/>
      <w:bookmarkEnd w:id="20"/>
      <w:r>
        <w:rPr>
          <w:color w:val="CFAB79"/>
        </w:rPr>
        <w:t>GROSS SAVINGS INSTALLATION ADJUSTMENT (GSIA)</w:t>
      </w:r>
    </w:p>
    <w:p w14:paraId="09B3D34A" w14:textId="77777777" w:rsidR="007E4447" w:rsidRDefault="004C6125">
      <w:pPr>
        <w:pStyle w:val="BodyText"/>
        <w:spacing w:before="113"/>
        <w:ind w:left="100" w:right="1886"/>
      </w:pPr>
      <w:r>
        <w:t>The gross savings installation adjustment (GSIA) rate represents the ratio of the number of verified installations of the measure to the number of claimed installations reported by the utility. This factor varies by end use, sector, technology, application, and delivery method. This GSIA rate is the current</w:t>
      </w:r>
    </w:p>
    <w:p w14:paraId="52BD642C" w14:textId="77777777" w:rsidR="007E4447" w:rsidRDefault="004C6125">
      <w:pPr>
        <w:pStyle w:val="BodyText"/>
        <w:ind w:left="100"/>
      </w:pPr>
      <w:r>
        <w:t>“default” rate specified for measures for which an alternative GSIA has not been estimated and approved.</w:t>
      </w:r>
    </w:p>
    <w:p w14:paraId="46B8BEDB" w14:textId="77777777" w:rsidR="007E4447" w:rsidRDefault="007E4447">
      <w:pPr>
        <w:pStyle w:val="BodyText"/>
        <w:spacing w:before="3"/>
        <w:rPr>
          <w:sz w:val="23"/>
        </w:rPr>
      </w:pPr>
    </w:p>
    <w:p w14:paraId="387EAD5A" w14:textId="77777777" w:rsidR="007E4447" w:rsidRDefault="004C6125">
      <w:pPr>
        <w:ind w:left="100"/>
        <w:rPr>
          <w:sz w:val="20"/>
        </w:rPr>
      </w:pPr>
      <w:r>
        <w:rPr>
          <w:sz w:val="20"/>
        </w:rPr>
        <w:t>Gross Savings Installation Adjustment Rates</w:t>
      </w:r>
    </w:p>
    <w:p w14:paraId="6ECD2EB5" w14:textId="77777777" w:rsidR="007E4447" w:rsidRDefault="007E4447">
      <w:pPr>
        <w:pStyle w:val="BodyText"/>
        <w:spacing w:before="5"/>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336"/>
        <w:gridCol w:w="1440"/>
        <w:gridCol w:w="5673"/>
      </w:tblGrid>
      <w:tr w:rsidR="007E4447" w14:paraId="56F56560" w14:textId="77777777">
        <w:trPr>
          <w:trHeight w:val="244"/>
        </w:trPr>
        <w:tc>
          <w:tcPr>
            <w:tcW w:w="2336" w:type="dxa"/>
            <w:shd w:val="clear" w:color="auto" w:fill="F1F1F1"/>
          </w:tcPr>
          <w:p w14:paraId="5085CDDD" w14:textId="77777777" w:rsidR="007E4447" w:rsidRDefault="004C6125">
            <w:pPr>
              <w:pStyle w:val="TableParagraph"/>
              <w:spacing w:before="0" w:line="224" w:lineRule="exact"/>
              <w:ind w:left="750"/>
              <w:rPr>
                <w:sz w:val="20"/>
              </w:rPr>
            </w:pPr>
            <w:r>
              <w:rPr>
                <w:sz w:val="20"/>
              </w:rPr>
              <w:t>Parameter</w:t>
            </w:r>
          </w:p>
        </w:tc>
        <w:tc>
          <w:tcPr>
            <w:tcW w:w="1440" w:type="dxa"/>
            <w:shd w:val="clear" w:color="auto" w:fill="F1F1F1"/>
          </w:tcPr>
          <w:p w14:paraId="383777B8" w14:textId="77777777" w:rsidR="007E4447" w:rsidRDefault="004C6125">
            <w:pPr>
              <w:pStyle w:val="TableParagraph"/>
              <w:spacing w:before="0" w:line="224" w:lineRule="exact"/>
              <w:ind w:left="511" w:right="501"/>
              <w:jc w:val="center"/>
              <w:rPr>
                <w:sz w:val="20"/>
              </w:rPr>
            </w:pPr>
            <w:r>
              <w:rPr>
                <w:sz w:val="20"/>
              </w:rPr>
              <w:t>GSIA</w:t>
            </w:r>
          </w:p>
        </w:tc>
        <w:tc>
          <w:tcPr>
            <w:tcW w:w="5673" w:type="dxa"/>
            <w:shd w:val="clear" w:color="auto" w:fill="F1F1F1"/>
          </w:tcPr>
          <w:p w14:paraId="42F89EEB" w14:textId="77777777" w:rsidR="007E4447" w:rsidRDefault="004C6125">
            <w:pPr>
              <w:pStyle w:val="TableParagraph"/>
              <w:spacing w:before="0" w:line="224" w:lineRule="exact"/>
              <w:ind w:left="2540" w:right="2531"/>
              <w:jc w:val="center"/>
              <w:rPr>
                <w:sz w:val="20"/>
              </w:rPr>
            </w:pPr>
            <w:r>
              <w:rPr>
                <w:sz w:val="20"/>
              </w:rPr>
              <w:t>Source</w:t>
            </w:r>
          </w:p>
        </w:tc>
      </w:tr>
      <w:tr w:rsidR="007E4447" w14:paraId="0FC8C644" w14:textId="77777777">
        <w:trPr>
          <w:trHeight w:val="441"/>
        </w:trPr>
        <w:tc>
          <w:tcPr>
            <w:tcW w:w="2336" w:type="dxa"/>
          </w:tcPr>
          <w:p w14:paraId="1F3F0312" w14:textId="77777777" w:rsidR="007E4447" w:rsidRDefault="004C6125">
            <w:pPr>
              <w:pStyle w:val="TableParagraph"/>
              <w:spacing w:before="97"/>
              <w:rPr>
                <w:sz w:val="20"/>
              </w:rPr>
            </w:pPr>
            <w:r>
              <w:rPr>
                <w:sz w:val="20"/>
              </w:rPr>
              <w:t>GSIA</w:t>
            </w:r>
          </w:p>
        </w:tc>
        <w:tc>
          <w:tcPr>
            <w:tcW w:w="1440" w:type="dxa"/>
          </w:tcPr>
          <w:p w14:paraId="4F65924B" w14:textId="77777777" w:rsidR="007E4447" w:rsidRDefault="004C6125">
            <w:pPr>
              <w:pStyle w:val="TableParagraph"/>
              <w:spacing w:before="97"/>
              <w:ind w:left="510" w:right="501"/>
              <w:jc w:val="center"/>
              <w:rPr>
                <w:sz w:val="20"/>
              </w:rPr>
            </w:pPr>
            <w:r>
              <w:rPr>
                <w:sz w:val="20"/>
              </w:rPr>
              <w:t>1.0</w:t>
            </w:r>
          </w:p>
        </w:tc>
        <w:tc>
          <w:tcPr>
            <w:tcW w:w="5673" w:type="dxa"/>
          </w:tcPr>
          <w:p w14:paraId="06AA2F66" w14:textId="77777777" w:rsidR="007E4447" w:rsidRDefault="004C6125">
            <w:pPr>
              <w:pStyle w:val="TableParagraph"/>
              <w:spacing w:before="0" w:line="219" w:lineRule="exact"/>
              <w:ind w:left="114"/>
              <w:rPr>
                <w:i/>
                <w:sz w:val="18"/>
              </w:rPr>
            </w:pPr>
            <w:r>
              <w:rPr>
                <w:sz w:val="18"/>
              </w:rPr>
              <w:t xml:space="preserve">California Public Utilities Commission (CPUC), Energy Division. 2013. </w:t>
            </w:r>
            <w:r>
              <w:rPr>
                <w:i/>
                <w:sz w:val="18"/>
              </w:rPr>
              <w:t xml:space="preserve">Energy </w:t>
            </w:r>
          </w:p>
          <w:p w14:paraId="49E921F6" w14:textId="77777777" w:rsidR="007E4447" w:rsidRDefault="004C6125">
            <w:pPr>
              <w:pStyle w:val="TableParagraph"/>
              <w:spacing w:before="1" w:line="202" w:lineRule="exact"/>
              <w:ind w:left="114"/>
              <w:rPr>
                <w:sz w:val="18"/>
              </w:rPr>
            </w:pPr>
            <w:r>
              <w:rPr>
                <w:i/>
                <w:sz w:val="18"/>
              </w:rPr>
              <w:t>Efficiency Policy Manual Version 5</w:t>
            </w:r>
            <w:r>
              <w:rPr>
                <w:sz w:val="18"/>
              </w:rPr>
              <w:t>. Page 31.</w:t>
            </w:r>
          </w:p>
        </w:tc>
      </w:tr>
    </w:tbl>
    <w:p w14:paraId="246AE7C3" w14:textId="77777777" w:rsidR="007E4447" w:rsidRDefault="007E4447">
      <w:pPr>
        <w:pStyle w:val="BodyText"/>
        <w:rPr>
          <w:sz w:val="20"/>
        </w:rPr>
      </w:pPr>
    </w:p>
    <w:p w14:paraId="3449DB23" w14:textId="77777777" w:rsidR="007E4447" w:rsidRDefault="007E4447">
      <w:pPr>
        <w:pStyle w:val="BodyText"/>
        <w:spacing w:before="6"/>
        <w:rPr>
          <w:sz w:val="20"/>
        </w:rPr>
      </w:pPr>
    </w:p>
    <w:p w14:paraId="1068A981" w14:textId="77777777" w:rsidR="007E4447" w:rsidRDefault="004C6125">
      <w:pPr>
        <w:pStyle w:val="Heading1"/>
      </w:pPr>
      <w:bookmarkStart w:id="21" w:name="_TOC_250002"/>
      <w:bookmarkEnd w:id="21"/>
      <w:r>
        <w:rPr>
          <w:color w:val="CFAB79"/>
        </w:rPr>
        <w:t>NON-ENERGY IMPACTS</w:t>
      </w:r>
    </w:p>
    <w:p w14:paraId="1A3B80E6" w14:textId="77777777" w:rsidR="007E4447" w:rsidRDefault="004C6125">
      <w:pPr>
        <w:pStyle w:val="BodyText"/>
        <w:spacing w:before="113"/>
        <w:ind w:left="100"/>
      </w:pPr>
      <w:r>
        <w:t>Non-energy benefits for this measure have not been quantified.</w:t>
      </w:r>
    </w:p>
    <w:p w14:paraId="77CCB285" w14:textId="77777777" w:rsidR="007E4447" w:rsidRDefault="007E4447">
      <w:pPr>
        <w:pStyle w:val="BodyText"/>
      </w:pPr>
    </w:p>
    <w:p w14:paraId="02E996A6" w14:textId="77777777" w:rsidR="007E4447" w:rsidRDefault="007E4447">
      <w:pPr>
        <w:pStyle w:val="BodyText"/>
        <w:spacing w:before="10"/>
        <w:rPr>
          <w:sz w:val="20"/>
        </w:rPr>
      </w:pPr>
    </w:p>
    <w:p w14:paraId="56451B5F" w14:textId="77777777" w:rsidR="007E4447" w:rsidRDefault="004C6125">
      <w:pPr>
        <w:pStyle w:val="Heading1"/>
      </w:pPr>
      <w:bookmarkStart w:id="22" w:name="_TOC_250001"/>
      <w:bookmarkEnd w:id="22"/>
      <w:r>
        <w:rPr>
          <w:color w:val="CFAB79"/>
        </w:rPr>
        <w:t>DEER DIFFERENCES ANALYSIS</w:t>
      </w:r>
    </w:p>
    <w:p w14:paraId="3437E6C7" w14:textId="77777777" w:rsidR="007E4447" w:rsidRDefault="004C6125">
      <w:pPr>
        <w:pStyle w:val="BodyText"/>
        <w:spacing w:before="113"/>
        <w:ind w:left="100" w:right="1839"/>
      </w:pPr>
      <w:r>
        <w:t>This section provides a summary of Database for Energy Efficient Resources (DEER) -based inputs and methods, and the rationale for inputs and methods that are not DEER-based.</w:t>
      </w:r>
    </w:p>
    <w:p w14:paraId="5F9D33E9" w14:textId="77777777" w:rsidR="007E4447" w:rsidRDefault="007E4447">
      <w:pPr>
        <w:sectPr w:rsidR="007E4447">
          <w:pgSz w:w="12240" w:h="15840"/>
          <w:pgMar w:top="1220" w:right="0" w:bottom="1320" w:left="1340" w:header="855" w:footer="1129" w:gutter="0"/>
          <w:cols w:space="720"/>
        </w:sectPr>
      </w:pPr>
    </w:p>
    <w:p w14:paraId="2CDD66C2" w14:textId="77777777" w:rsidR="007E4447" w:rsidRDefault="007E4447">
      <w:pPr>
        <w:pStyle w:val="BodyText"/>
        <w:spacing w:before="10"/>
        <w:rPr>
          <w:sz w:val="19"/>
        </w:rPr>
      </w:pPr>
    </w:p>
    <w:p w14:paraId="44BBF6A5" w14:textId="77777777" w:rsidR="007E4447" w:rsidRDefault="004C6125">
      <w:pPr>
        <w:spacing w:before="59"/>
        <w:ind w:left="100"/>
        <w:rPr>
          <w:sz w:val="20"/>
        </w:rPr>
      </w:pPr>
      <w:r>
        <w:rPr>
          <w:sz w:val="20"/>
        </w:rPr>
        <w:t>DEER Difference Summary</w:t>
      </w:r>
    </w:p>
    <w:p w14:paraId="79F1ED6E" w14:textId="77777777" w:rsidR="007E4447" w:rsidRDefault="007E4447">
      <w:pPr>
        <w:pStyle w:val="BodyText"/>
        <w:spacing w:before="5"/>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236"/>
        <w:gridCol w:w="6117"/>
      </w:tblGrid>
      <w:tr w:rsidR="007E4447" w14:paraId="255908BF" w14:textId="77777777">
        <w:trPr>
          <w:trHeight w:val="285"/>
        </w:trPr>
        <w:tc>
          <w:tcPr>
            <w:tcW w:w="3236" w:type="dxa"/>
            <w:shd w:val="clear" w:color="auto" w:fill="F1F1F1"/>
          </w:tcPr>
          <w:p w14:paraId="512E9ED4" w14:textId="77777777" w:rsidR="007E4447" w:rsidRDefault="004C6125">
            <w:pPr>
              <w:pStyle w:val="TableParagraph"/>
              <w:spacing w:before="23" w:line="242" w:lineRule="exact"/>
              <w:rPr>
                <w:sz w:val="20"/>
              </w:rPr>
            </w:pPr>
            <w:r>
              <w:rPr>
                <w:sz w:val="20"/>
              </w:rPr>
              <w:t>DEER Item</w:t>
            </w:r>
          </w:p>
        </w:tc>
        <w:tc>
          <w:tcPr>
            <w:tcW w:w="6117" w:type="dxa"/>
            <w:shd w:val="clear" w:color="auto" w:fill="F1F1F1"/>
          </w:tcPr>
          <w:p w14:paraId="04900D40" w14:textId="77777777" w:rsidR="007E4447" w:rsidRDefault="004C6125">
            <w:pPr>
              <w:pStyle w:val="TableParagraph"/>
              <w:spacing w:before="23" w:line="242" w:lineRule="exact"/>
              <w:ind w:left="114"/>
              <w:rPr>
                <w:sz w:val="20"/>
              </w:rPr>
            </w:pPr>
            <w:r>
              <w:rPr>
                <w:sz w:val="20"/>
              </w:rPr>
              <w:t>Comment / Used for Workpaper</w:t>
            </w:r>
          </w:p>
        </w:tc>
      </w:tr>
      <w:tr w:rsidR="007E4447" w14:paraId="431A9BD2" w14:textId="77777777">
        <w:trPr>
          <w:trHeight w:val="285"/>
        </w:trPr>
        <w:tc>
          <w:tcPr>
            <w:tcW w:w="3236" w:type="dxa"/>
          </w:tcPr>
          <w:p w14:paraId="63B15F93" w14:textId="77777777" w:rsidR="007E4447" w:rsidRDefault="004C6125">
            <w:pPr>
              <w:pStyle w:val="TableParagraph"/>
              <w:rPr>
                <w:sz w:val="20"/>
              </w:rPr>
            </w:pPr>
            <w:r>
              <w:rPr>
                <w:sz w:val="20"/>
              </w:rPr>
              <w:t>Modified DEER methodology</w:t>
            </w:r>
          </w:p>
        </w:tc>
        <w:tc>
          <w:tcPr>
            <w:tcW w:w="6117" w:type="dxa"/>
          </w:tcPr>
          <w:p w14:paraId="26AC8297" w14:textId="77777777" w:rsidR="007E4447" w:rsidRDefault="004C6125">
            <w:pPr>
              <w:pStyle w:val="TableParagraph"/>
              <w:ind w:left="114"/>
              <w:rPr>
                <w:sz w:val="20"/>
              </w:rPr>
            </w:pPr>
            <w:r>
              <w:rPr>
                <w:sz w:val="20"/>
              </w:rPr>
              <w:t>No</w:t>
            </w:r>
          </w:p>
        </w:tc>
      </w:tr>
      <w:tr w:rsidR="007E4447" w14:paraId="029BCFD6" w14:textId="77777777">
        <w:trPr>
          <w:trHeight w:val="282"/>
        </w:trPr>
        <w:tc>
          <w:tcPr>
            <w:tcW w:w="3236" w:type="dxa"/>
          </w:tcPr>
          <w:p w14:paraId="6ED88D45" w14:textId="77777777" w:rsidR="007E4447" w:rsidRDefault="004C6125">
            <w:pPr>
              <w:pStyle w:val="TableParagraph"/>
              <w:spacing w:line="242" w:lineRule="exact"/>
              <w:rPr>
                <w:sz w:val="20"/>
              </w:rPr>
            </w:pPr>
            <w:r>
              <w:rPr>
                <w:sz w:val="20"/>
              </w:rPr>
              <w:t>Scaled DEER measure</w:t>
            </w:r>
          </w:p>
        </w:tc>
        <w:tc>
          <w:tcPr>
            <w:tcW w:w="6117" w:type="dxa"/>
          </w:tcPr>
          <w:p w14:paraId="04B082EF" w14:textId="77777777" w:rsidR="007E4447" w:rsidRDefault="004C6125">
            <w:pPr>
              <w:pStyle w:val="TableParagraph"/>
              <w:spacing w:line="242" w:lineRule="exact"/>
              <w:ind w:left="114"/>
              <w:rPr>
                <w:sz w:val="20"/>
              </w:rPr>
            </w:pPr>
            <w:r>
              <w:rPr>
                <w:sz w:val="20"/>
              </w:rPr>
              <w:t>No</w:t>
            </w:r>
          </w:p>
        </w:tc>
      </w:tr>
      <w:tr w:rsidR="007E4447" w14:paraId="091C818F" w14:textId="77777777">
        <w:trPr>
          <w:trHeight w:val="285"/>
        </w:trPr>
        <w:tc>
          <w:tcPr>
            <w:tcW w:w="3236" w:type="dxa"/>
          </w:tcPr>
          <w:p w14:paraId="2E810362" w14:textId="77777777" w:rsidR="007E4447" w:rsidRDefault="004C6125">
            <w:pPr>
              <w:pStyle w:val="TableParagraph"/>
              <w:rPr>
                <w:sz w:val="20"/>
              </w:rPr>
            </w:pPr>
            <w:r>
              <w:rPr>
                <w:sz w:val="20"/>
              </w:rPr>
              <w:t>DEER Base Case</w:t>
            </w:r>
          </w:p>
        </w:tc>
        <w:tc>
          <w:tcPr>
            <w:tcW w:w="6117" w:type="dxa"/>
          </w:tcPr>
          <w:p w14:paraId="266B9AC0" w14:textId="77777777" w:rsidR="007E4447" w:rsidRDefault="004C6125">
            <w:pPr>
              <w:pStyle w:val="TableParagraph"/>
              <w:ind w:left="114"/>
              <w:rPr>
                <w:sz w:val="20"/>
              </w:rPr>
            </w:pPr>
            <w:r>
              <w:rPr>
                <w:sz w:val="20"/>
              </w:rPr>
              <w:t>Yes (DEER2020 prototypes)</w:t>
            </w:r>
          </w:p>
        </w:tc>
      </w:tr>
      <w:tr w:rsidR="007E4447" w14:paraId="27240029" w14:textId="77777777">
        <w:trPr>
          <w:trHeight w:val="282"/>
        </w:trPr>
        <w:tc>
          <w:tcPr>
            <w:tcW w:w="3236" w:type="dxa"/>
          </w:tcPr>
          <w:p w14:paraId="25A2FB34" w14:textId="77777777" w:rsidR="007E4447" w:rsidRDefault="004C6125">
            <w:pPr>
              <w:pStyle w:val="TableParagraph"/>
              <w:spacing w:line="242" w:lineRule="exact"/>
              <w:rPr>
                <w:sz w:val="20"/>
              </w:rPr>
            </w:pPr>
            <w:r>
              <w:rPr>
                <w:sz w:val="20"/>
              </w:rPr>
              <w:t>DEER Measure Case</w:t>
            </w:r>
          </w:p>
        </w:tc>
        <w:tc>
          <w:tcPr>
            <w:tcW w:w="6117" w:type="dxa"/>
          </w:tcPr>
          <w:p w14:paraId="788BD2D4" w14:textId="77777777" w:rsidR="007E4447" w:rsidRDefault="004C6125">
            <w:pPr>
              <w:pStyle w:val="TableParagraph"/>
              <w:spacing w:line="242" w:lineRule="exact"/>
              <w:ind w:left="114"/>
              <w:rPr>
                <w:sz w:val="20"/>
              </w:rPr>
            </w:pPr>
            <w:r>
              <w:rPr>
                <w:sz w:val="20"/>
              </w:rPr>
              <w:t>No</w:t>
            </w:r>
          </w:p>
        </w:tc>
      </w:tr>
      <w:tr w:rsidR="007E4447" w14:paraId="368F22B8" w14:textId="77777777">
        <w:trPr>
          <w:trHeight w:val="285"/>
        </w:trPr>
        <w:tc>
          <w:tcPr>
            <w:tcW w:w="3236" w:type="dxa"/>
          </w:tcPr>
          <w:p w14:paraId="2B26E329" w14:textId="77777777" w:rsidR="007E4447" w:rsidRDefault="004C6125">
            <w:pPr>
              <w:pStyle w:val="TableParagraph"/>
              <w:rPr>
                <w:sz w:val="20"/>
              </w:rPr>
            </w:pPr>
            <w:r>
              <w:rPr>
                <w:sz w:val="20"/>
              </w:rPr>
              <w:t>DEER Building Types</w:t>
            </w:r>
          </w:p>
        </w:tc>
        <w:tc>
          <w:tcPr>
            <w:tcW w:w="6117" w:type="dxa"/>
          </w:tcPr>
          <w:p w14:paraId="0DE57390" w14:textId="77777777" w:rsidR="007E4447" w:rsidRDefault="004C6125">
            <w:pPr>
              <w:pStyle w:val="TableParagraph"/>
              <w:ind w:left="114"/>
              <w:rPr>
                <w:sz w:val="20"/>
              </w:rPr>
            </w:pPr>
            <w:r>
              <w:rPr>
                <w:sz w:val="20"/>
              </w:rPr>
              <w:t>Yes</w:t>
            </w:r>
          </w:p>
        </w:tc>
      </w:tr>
      <w:tr w:rsidR="007E4447" w14:paraId="404FAB7B" w14:textId="77777777">
        <w:trPr>
          <w:trHeight w:val="282"/>
        </w:trPr>
        <w:tc>
          <w:tcPr>
            <w:tcW w:w="3236" w:type="dxa"/>
          </w:tcPr>
          <w:p w14:paraId="2C33CAA8" w14:textId="77777777" w:rsidR="007E4447" w:rsidRDefault="004C6125">
            <w:pPr>
              <w:pStyle w:val="TableParagraph"/>
              <w:spacing w:line="242" w:lineRule="exact"/>
              <w:rPr>
                <w:sz w:val="20"/>
              </w:rPr>
            </w:pPr>
            <w:r>
              <w:rPr>
                <w:sz w:val="20"/>
              </w:rPr>
              <w:t>DEER Operating Hours</w:t>
            </w:r>
          </w:p>
        </w:tc>
        <w:tc>
          <w:tcPr>
            <w:tcW w:w="6117" w:type="dxa"/>
          </w:tcPr>
          <w:p w14:paraId="59F25264" w14:textId="77777777" w:rsidR="007E4447" w:rsidRDefault="004C6125">
            <w:pPr>
              <w:pStyle w:val="TableParagraph"/>
              <w:spacing w:line="242" w:lineRule="exact"/>
              <w:ind w:left="114"/>
              <w:rPr>
                <w:sz w:val="20"/>
              </w:rPr>
            </w:pPr>
            <w:r>
              <w:rPr>
                <w:sz w:val="20"/>
              </w:rPr>
              <w:t>Yes</w:t>
            </w:r>
          </w:p>
        </w:tc>
      </w:tr>
      <w:tr w:rsidR="007E4447" w14:paraId="4651430F" w14:textId="77777777">
        <w:trPr>
          <w:trHeight w:val="285"/>
        </w:trPr>
        <w:tc>
          <w:tcPr>
            <w:tcW w:w="3236" w:type="dxa"/>
          </w:tcPr>
          <w:p w14:paraId="4B726FC4" w14:textId="77777777" w:rsidR="007E4447" w:rsidRDefault="004C6125">
            <w:pPr>
              <w:pStyle w:val="TableParagraph"/>
              <w:rPr>
                <w:sz w:val="20"/>
              </w:rPr>
            </w:pPr>
            <w:r>
              <w:rPr>
                <w:sz w:val="20"/>
              </w:rPr>
              <w:t xml:space="preserve">DEER </w:t>
            </w:r>
            <w:proofErr w:type="spellStart"/>
            <w:r>
              <w:rPr>
                <w:sz w:val="20"/>
              </w:rPr>
              <w:t>eQUEST</w:t>
            </w:r>
            <w:proofErr w:type="spellEnd"/>
            <w:r>
              <w:rPr>
                <w:sz w:val="20"/>
              </w:rPr>
              <w:t xml:space="preserve"> Prototypes</w:t>
            </w:r>
          </w:p>
        </w:tc>
        <w:tc>
          <w:tcPr>
            <w:tcW w:w="6117" w:type="dxa"/>
          </w:tcPr>
          <w:p w14:paraId="00368321" w14:textId="77777777" w:rsidR="007E4447" w:rsidRDefault="004C6125">
            <w:pPr>
              <w:pStyle w:val="TableParagraph"/>
              <w:ind w:left="114"/>
              <w:rPr>
                <w:sz w:val="20"/>
              </w:rPr>
            </w:pPr>
            <w:r>
              <w:rPr>
                <w:sz w:val="20"/>
              </w:rPr>
              <w:t>Yes</w:t>
            </w:r>
          </w:p>
        </w:tc>
      </w:tr>
      <w:tr w:rsidR="007E4447" w14:paraId="3B78DAF0" w14:textId="77777777">
        <w:trPr>
          <w:trHeight w:val="282"/>
        </w:trPr>
        <w:tc>
          <w:tcPr>
            <w:tcW w:w="3236" w:type="dxa"/>
          </w:tcPr>
          <w:p w14:paraId="36866786" w14:textId="77777777" w:rsidR="007E4447" w:rsidRDefault="004C6125">
            <w:pPr>
              <w:pStyle w:val="TableParagraph"/>
              <w:spacing w:line="242" w:lineRule="exact"/>
              <w:rPr>
                <w:sz w:val="20"/>
              </w:rPr>
            </w:pPr>
            <w:r>
              <w:rPr>
                <w:sz w:val="20"/>
              </w:rPr>
              <w:t>DEER Version</w:t>
            </w:r>
          </w:p>
        </w:tc>
        <w:tc>
          <w:tcPr>
            <w:tcW w:w="6117" w:type="dxa"/>
          </w:tcPr>
          <w:p w14:paraId="5D3E5612" w14:textId="77777777" w:rsidR="007E4447" w:rsidRDefault="004C6125">
            <w:pPr>
              <w:pStyle w:val="TableParagraph"/>
              <w:spacing w:line="242" w:lineRule="exact"/>
              <w:ind w:left="114"/>
              <w:rPr>
                <w:sz w:val="20"/>
              </w:rPr>
            </w:pPr>
            <w:r>
              <w:rPr>
                <w:sz w:val="20"/>
              </w:rPr>
              <w:t>2020</w:t>
            </w:r>
          </w:p>
        </w:tc>
      </w:tr>
      <w:tr w:rsidR="007E4447" w14:paraId="1079344F" w14:textId="77777777">
        <w:trPr>
          <w:trHeight w:val="285"/>
        </w:trPr>
        <w:tc>
          <w:tcPr>
            <w:tcW w:w="3236" w:type="dxa"/>
          </w:tcPr>
          <w:p w14:paraId="26740055" w14:textId="77777777" w:rsidR="007E4447" w:rsidRDefault="004C6125">
            <w:pPr>
              <w:pStyle w:val="TableParagraph"/>
              <w:spacing w:before="23" w:line="242" w:lineRule="exact"/>
              <w:rPr>
                <w:sz w:val="20"/>
              </w:rPr>
            </w:pPr>
            <w:r>
              <w:rPr>
                <w:sz w:val="20"/>
              </w:rPr>
              <w:t>Reason for Deviation from DEER</w:t>
            </w:r>
          </w:p>
        </w:tc>
        <w:tc>
          <w:tcPr>
            <w:tcW w:w="6117" w:type="dxa"/>
          </w:tcPr>
          <w:p w14:paraId="4B3D79DF" w14:textId="77777777" w:rsidR="007E4447" w:rsidRDefault="004C6125">
            <w:pPr>
              <w:pStyle w:val="TableParagraph"/>
              <w:spacing w:before="23" w:line="242" w:lineRule="exact"/>
              <w:ind w:left="114"/>
              <w:rPr>
                <w:sz w:val="20"/>
              </w:rPr>
            </w:pPr>
            <w:r>
              <w:rPr>
                <w:sz w:val="20"/>
              </w:rPr>
              <w:t>Measure does not exist in DEER</w:t>
            </w:r>
          </w:p>
        </w:tc>
      </w:tr>
      <w:tr w:rsidR="007E4447" w14:paraId="505C7DDA" w14:textId="77777777">
        <w:trPr>
          <w:trHeight w:val="285"/>
        </w:trPr>
        <w:tc>
          <w:tcPr>
            <w:tcW w:w="3236" w:type="dxa"/>
          </w:tcPr>
          <w:p w14:paraId="14D87B71" w14:textId="77777777" w:rsidR="007E4447" w:rsidRDefault="004C6125">
            <w:pPr>
              <w:pStyle w:val="TableParagraph"/>
              <w:rPr>
                <w:sz w:val="20"/>
              </w:rPr>
            </w:pPr>
            <w:r>
              <w:rPr>
                <w:sz w:val="20"/>
              </w:rPr>
              <w:t>DEER Measure IDs Used</w:t>
            </w:r>
          </w:p>
        </w:tc>
        <w:tc>
          <w:tcPr>
            <w:tcW w:w="6117" w:type="dxa"/>
          </w:tcPr>
          <w:p w14:paraId="50044F21" w14:textId="77777777" w:rsidR="007E4447" w:rsidRDefault="004C6125">
            <w:pPr>
              <w:pStyle w:val="TableParagraph"/>
              <w:ind w:left="114"/>
              <w:rPr>
                <w:sz w:val="20"/>
              </w:rPr>
            </w:pPr>
            <w:r>
              <w:rPr>
                <w:sz w:val="20"/>
              </w:rPr>
              <w:t>N/A</w:t>
            </w:r>
          </w:p>
        </w:tc>
      </w:tr>
      <w:tr w:rsidR="007E4447" w14:paraId="78ED431A" w14:textId="77777777">
        <w:trPr>
          <w:trHeight w:val="282"/>
        </w:trPr>
        <w:tc>
          <w:tcPr>
            <w:tcW w:w="3236" w:type="dxa"/>
          </w:tcPr>
          <w:p w14:paraId="0754FE5F" w14:textId="77777777" w:rsidR="007E4447" w:rsidRDefault="004C6125">
            <w:pPr>
              <w:pStyle w:val="TableParagraph"/>
              <w:spacing w:line="242" w:lineRule="exact"/>
              <w:rPr>
                <w:sz w:val="20"/>
              </w:rPr>
            </w:pPr>
            <w:r>
              <w:rPr>
                <w:sz w:val="20"/>
              </w:rPr>
              <w:t>NTG</w:t>
            </w:r>
          </w:p>
        </w:tc>
        <w:tc>
          <w:tcPr>
            <w:tcW w:w="6117" w:type="dxa"/>
          </w:tcPr>
          <w:p w14:paraId="62AF44BF" w14:textId="77777777" w:rsidR="007E4447" w:rsidRDefault="004C6125">
            <w:pPr>
              <w:pStyle w:val="TableParagraph"/>
              <w:spacing w:line="242" w:lineRule="exact"/>
              <w:ind w:left="114"/>
              <w:rPr>
                <w:i/>
                <w:sz w:val="20"/>
              </w:rPr>
            </w:pPr>
            <w:r>
              <w:rPr>
                <w:sz w:val="20"/>
              </w:rPr>
              <w:t xml:space="preserve">Source: DEER2019. The NTG of 0.85 is associated with NTG ID: </w:t>
            </w:r>
            <w:r>
              <w:rPr>
                <w:i/>
                <w:sz w:val="20"/>
              </w:rPr>
              <w:t>ET-Default</w:t>
            </w:r>
          </w:p>
        </w:tc>
      </w:tr>
      <w:tr w:rsidR="007E4447" w14:paraId="4003A8AF" w14:textId="77777777">
        <w:trPr>
          <w:trHeight w:val="285"/>
        </w:trPr>
        <w:tc>
          <w:tcPr>
            <w:tcW w:w="3236" w:type="dxa"/>
          </w:tcPr>
          <w:p w14:paraId="413435FB" w14:textId="77777777" w:rsidR="007E4447" w:rsidRDefault="004C6125">
            <w:pPr>
              <w:pStyle w:val="TableParagraph"/>
              <w:rPr>
                <w:sz w:val="20"/>
              </w:rPr>
            </w:pPr>
            <w:r>
              <w:rPr>
                <w:sz w:val="20"/>
              </w:rPr>
              <w:t>GSIA</w:t>
            </w:r>
          </w:p>
        </w:tc>
        <w:tc>
          <w:tcPr>
            <w:tcW w:w="6117" w:type="dxa"/>
          </w:tcPr>
          <w:p w14:paraId="0B07A9A4" w14:textId="77777777" w:rsidR="007E4447" w:rsidRDefault="004C6125">
            <w:pPr>
              <w:pStyle w:val="TableParagraph"/>
              <w:ind w:left="114"/>
              <w:rPr>
                <w:i/>
                <w:sz w:val="20"/>
              </w:rPr>
            </w:pPr>
            <w:r>
              <w:rPr>
                <w:sz w:val="20"/>
              </w:rPr>
              <w:t xml:space="preserve">Source: DEER2011. The GSIA of 1.0 is associated with GSIA ID: </w:t>
            </w:r>
            <w:r>
              <w:rPr>
                <w:i/>
                <w:sz w:val="20"/>
              </w:rPr>
              <w:t>Def-GSIA</w:t>
            </w:r>
          </w:p>
        </w:tc>
      </w:tr>
      <w:tr w:rsidR="007E4447" w14:paraId="57CA6EBF" w14:textId="77777777">
        <w:trPr>
          <w:trHeight w:val="527"/>
        </w:trPr>
        <w:tc>
          <w:tcPr>
            <w:tcW w:w="3236" w:type="dxa"/>
          </w:tcPr>
          <w:p w14:paraId="676B0C93" w14:textId="77777777" w:rsidR="007E4447" w:rsidRDefault="004C6125">
            <w:pPr>
              <w:pStyle w:val="TableParagraph"/>
              <w:rPr>
                <w:sz w:val="20"/>
              </w:rPr>
            </w:pPr>
            <w:r>
              <w:rPr>
                <w:sz w:val="20"/>
              </w:rPr>
              <w:t>EUL/RUL</w:t>
            </w:r>
          </w:p>
        </w:tc>
        <w:tc>
          <w:tcPr>
            <w:tcW w:w="6117" w:type="dxa"/>
          </w:tcPr>
          <w:p w14:paraId="10CE5CCA" w14:textId="77777777" w:rsidR="007E4447" w:rsidRDefault="004C6125">
            <w:pPr>
              <w:pStyle w:val="TableParagraph"/>
              <w:spacing w:line="240" w:lineRule="atLeast"/>
              <w:ind w:left="114" w:right="540"/>
              <w:rPr>
                <w:sz w:val="20"/>
              </w:rPr>
            </w:pPr>
            <w:r>
              <w:rPr>
                <w:sz w:val="20"/>
              </w:rPr>
              <w:t xml:space="preserve">Source: DEER2014. The value of 15 years is associated with </w:t>
            </w:r>
            <w:r>
              <w:rPr>
                <w:i/>
                <w:sz w:val="20"/>
              </w:rPr>
              <w:t>EUL_ID: Motors-fan</w:t>
            </w:r>
            <w:r>
              <w:rPr>
                <w:sz w:val="20"/>
              </w:rPr>
              <w:t>.</w:t>
            </w:r>
          </w:p>
        </w:tc>
      </w:tr>
    </w:tbl>
    <w:p w14:paraId="0C078C87" w14:textId="77777777" w:rsidR="007E4447" w:rsidRDefault="007E4447">
      <w:pPr>
        <w:pStyle w:val="BodyText"/>
        <w:rPr>
          <w:sz w:val="20"/>
        </w:rPr>
      </w:pPr>
    </w:p>
    <w:p w14:paraId="18A6C32E" w14:textId="77777777" w:rsidR="007E4447" w:rsidRDefault="007E4447">
      <w:pPr>
        <w:pStyle w:val="BodyText"/>
        <w:spacing w:before="7"/>
      </w:pPr>
    </w:p>
    <w:p w14:paraId="509A6EA9" w14:textId="77777777" w:rsidR="007E4447" w:rsidRDefault="004C6125">
      <w:pPr>
        <w:pStyle w:val="Heading1"/>
        <w:spacing w:before="1"/>
      </w:pPr>
      <w:bookmarkStart w:id="23" w:name="_TOC_250000"/>
      <w:bookmarkEnd w:id="23"/>
      <w:r>
        <w:rPr>
          <w:color w:val="CFAB79"/>
        </w:rPr>
        <w:t>REVISION HISTORY</w:t>
      </w:r>
    </w:p>
    <w:p w14:paraId="4F943704" w14:textId="77777777" w:rsidR="007E4447" w:rsidRDefault="007E4447">
      <w:pPr>
        <w:pStyle w:val="BodyText"/>
        <w:spacing w:before="6"/>
      </w:pPr>
    </w:p>
    <w:p w14:paraId="040F6455" w14:textId="77777777" w:rsidR="007E4447" w:rsidRDefault="004C6125">
      <w:pPr>
        <w:spacing w:before="1"/>
        <w:ind w:left="100"/>
        <w:rPr>
          <w:sz w:val="20"/>
        </w:rPr>
      </w:pPr>
      <w:r>
        <w:rPr>
          <w:sz w:val="20"/>
        </w:rPr>
        <w:t>Measure Characterization Revision History</w:t>
      </w:r>
    </w:p>
    <w:p w14:paraId="5D88B61E" w14:textId="77777777" w:rsidR="007E4447" w:rsidRDefault="007E4447">
      <w:pPr>
        <w:pStyle w:val="BodyText"/>
        <w:spacing w:before="7"/>
        <w:rPr>
          <w:sz w:val="6"/>
        </w:rPr>
      </w:pPr>
    </w:p>
    <w:tbl>
      <w:tblPr>
        <w:tblW w:w="0" w:type="auto"/>
        <w:tblInd w:w="1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666"/>
        <w:gridCol w:w="1800"/>
        <w:gridCol w:w="4945"/>
      </w:tblGrid>
      <w:tr w:rsidR="007E4447" w14:paraId="3A20E907" w14:textId="77777777">
        <w:trPr>
          <w:trHeight w:val="546"/>
        </w:trPr>
        <w:tc>
          <w:tcPr>
            <w:tcW w:w="941" w:type="dxa"/>
            <w:shd w:val="clear" w:color="auto" w:fill="F1F1F1"/>
          </w:tcPr>
          <w:p w14:paraId="60BF814D" w14:textId="77777777" w:rsidR="007E4447" w:rsidRDefault="004C6125">
            <w:pPr>
              <w:pStyle w:val="TableParagraph"/>
              <w:spacing w:before="39" w:line="240" w:lineRule="atLeast"/>
              <w:rPr>
                <w:sz w:val="20"/>
              </w:rPr>
            </w:pPr>
            <w:r>
              <w:rPr>
                <w:w w:val="95"/>
                <w:sz w:val="20"/>
              </w:rPr>
              <w:t xml:space="preserve">Revision </w:t>
            </w:r>
            <w:r>
              <w:rPr>
                <w:sz w:val="20"/>
              </w:rPr>
              <w:t>Number</w:t>
            </w:r>
          </w:p>
        </w:tc>
        <w:tc>
          <w:tcPr>
            <w:tcW w:w="1666" w:type="dxa"/>
            <w:shd w:val="clear" w:color="auto" w:fill="F1F1F1"/>
          </w:tcPr>
          <w:p w14:paraId="2DD05019" w14:textId="77777777" w:rsidR="007E4447" w:rsidRDefault="004C6125">
            <w:pPr>
              <w:pStyle w:val="TableParagraph"/>
              <w:spacing w:before="39" w:line="240" w:lineRule="atLeast"/>
              <w:ind w:left="114" w:right="113"/>
              <w:rPr>
                <w:sz w:val="20"/>
              </w:rPr>
            </w:pPr>
            <w:r>
              <w:rPr>
                <w:sz w:val="20"/>
              </w:rPr>
              <w:t>Revision Complete Date</w:t>
            </w:r>
          </w:p>
        </w:tc>
        <w:tc>
          <w:tcPr>
            <w:tcW w:w="1800" w:type="dxa"/>
            <w:shd w:val="clear" w:color="auto" w:fill="F1F1F1"/>
          </w:tcPr>
          <w:p w14:paraId="2B9DA2DA" w14:textId="77777777" w:rsidR="007E4447" w:rsidRDefault="004C6125">
            <w:pPr>
              <w:pStyle w:val="TableParagraph"/>
              <w:spacing w:before="39" w:line="240" w:lineRule="atLeast"/>
              <w:ind w:left="112" w:right="163"/>
              <w:rPr>
                <w:sz w:val="20"/>
              </w:rPr>
            </w:pPr>
            <w:r>
              <w:rPr>
                <w:sz w:val="20"/>
              </w:rPr>
              <w:t>Primary Author, Title, Organization</w:t>
            </w:r>
          </w:p>
        </w:tc>
        <w:tc>
          <w:tcPr>
            <w:tcW w:w="4945" w:type="dxa"/>
            <w:shd w:val="clear" w:color="auto" w:fill="F1F1F1"/>
          </w:tcPr>
          <w:p w14:paraId="597D61E1" w14:textId="77777777" w:rsidR="007E4447" w:rsidRDefault="004C6125">
            <w:pPr>
              <w:pStyle w:val="TableParagraph"/>
              <w:spacing w:before="4" w:line="260" w:lineRule="atLeast"/>
              <w:ind w:right="1186"/>
              <w:rPr>
                <w:sz w:val="20"/>
              </w:rPr>
            </w:pPr>
            <w:r>
              <w:rPr>
                <w:sz w:val="20"/>
              </w:rPr>
              <w:t>Revision Summary and Rationale for Revision Effective Date and Approved By</w:t>
            </w:r>
          </w:p>
        </w:tc>
      </w:tr>
      <w:tr w:rsidR="007E4447" w14:paraId="7B606B38" w14:textId="77777777">
        <w:trPr>
          <w:trHeight w:val="1017"/>
        </w:trPr>
        <w:tc>
          <w:tcPr>
            <w:tcW w:w="941" w:type="dxa"/>
          </w:tcPr>
          <w:p w14:paraId="1B9887CA" w14:textId="77777777" w:rsidR="007E4447" w:rsidRDefault="004C6125">
            <w:pPr>
              <w:pStyle w:val="TableParagraph"/>
              <w:spacing w:before="23"/>
              <w:rPr>
                <w:sz w:val="20"/>
              </w:rPr>
            </w:pPr>
            <w:r>
              <w:rPr>
                <w:sz w:val="20"/>
              </w:rPr>
              <w:t>01</w:t>
            </w:r>
          </w:p>
        </w:tc>
        <w:tc>
          <w:tcPr>
            <w:tcW w:w="1666" w:type="dxa"/>
          </w:tcPr>
          <w:p w14:paraId="459E067B" w14:textId="77777777" w:rsidR="007E4447" w:rsidRDefault="004C6125">
            <w:pPr>
              <w:pStyle w:val="TableParagraph"/>
              <w:spacing w:before="23"/>
              <w:ind w:left="114"/>
              <w:rPr>
                <w:sz w:val="20"/>
              </w:rPr>
            </w:pPr>
            <w:r>
              <w:rPr>
                <w:sz w:val="20"/>
              </w:rPr>
              <w:t>08/06/2019</w:t>
            </w:r>
          </w:p>
        </w:tc>
        <w:tc>
          <w:tcPr>
            <w:tcW w:w="1800" w:type="dxa"/>
          </w:tcPr>
          <w:p w14:paraId="5A6B7C11" w14:textId="77777777" w:rsidR="007E4447" w:rsidRDefault="004C6125">
            <w:pPr>
              <w:pStyle w:val="TableParagraph"/>
              <w:spacing w:before="23"/>
              <w:ind w:left="112" w:right="163"/>
              <w:rPr>
                <w:sz w:val="20"/>
              </w:rPr>
            </w:pPr>
            <w:r>
              <w:rPr>
                <w:sz w:val="20"/>
              </w:rPr>
              <w:t>Nicholas Fette and Akhilesh Reddy Endurthy/ Solaris-</w:t>
            </w:r>
          </w:p>
          <w:p w14:paraId="68837AC7" w14:textId="77777777" w:rsidR="007E4447" w:rsidRDefault="004C6125">
            <w:pPr>
              <w:pStyle w:val="TableParagraph"/>
              <w:spacing w:before="0" w:line="242" w:lineRule="exact"/>
              <w:ind w:left="112"/>
              <w:rPr>
                <w:sz w:val="20"/>
              </w:rPr>
            </w:pPr>
            <w:r>
              <w:rPr>
                <w:sz w:val="20"/>
              </w:rPr>
              <w:t>Technical, LLC.</w:t>
            </w:r>
          </w:p>
        </w:tc>
        <w:tc>
          <w:tcPr>
            <w:tcW w:w="4945" w:type="dxa"/>
          </w:tcPr>
          <w:p w14:paraId="170A25FF" w14:textId="77777777" w:rsidR="007E4447" w:rsidRDefault="004C6125">
            <w:pPr>
              <w:pStyle w:val="TableParagraph"/>
              <w:spacing w:before="23"/>
              <w:rPr>
                <w:sz w:val="20"/>
              </w:rPr>
            </w:pPr>
            <w:r>
              <w:rPr>
                <w:sz w:val="20"/>
              </w:rPr>
              <w:t>New Workpaper</w:t>
            </w:r>
          </w:p>
        </w:tc>
      </w:tr>
      <w:tr w:rsidR="007E4447" w14:paraId="745E2767" w14:textId="77777777">
        <w:trPr>
          <w:trHeight w:val="530"/>
        </w:trPr>
        <w:tc>
          <w:tcPr>
            <w:tcW w:w="941" w:type="dxa"/>
          </w:tcPr>
          <w:p w14:paraId="3CFE3D67" w14:textId="77777777" w:rsidR="007E4447" w:rsidRDefault="00CB0E85" w:rsidP="00CB0E85">
            <w:pPr>
              <w:pStyle w:val="TableParagraph"/>
              <w:spacing w:before="23"/>
              <w:rPr>
                <w:rFonts w:ascii="Times New Roman"/>
                <w:sz w:val="18"/>
              </w:rPr>
            </w:pPr>
            <w:r w:rsidRPr="00CB0E85">
              <w:rPr>
                <w:sz w:val="20"/>
              </w:rPr>
              <w:t>01</w:t>
            </w:r>
          </w:p>
        </w:tc>
        <w:tc>
          <w:tcPr>
            <w:tcW w:w="1666" w:type="dxa"/>
          </w:tcPr>
          <w:p w14:paraId="00866E37" w14:textId="77777777" w:rsidR="007E4447" w:rsidRDefault="004C6125">
            <w:pPr>
              <w:pStyle w:val="TableParagraph"/>
              <w:ind w:left="114"/>
              <w:rPr>
                <w:sz w:val="20"/>
              </w:rPr>
            </w:pPr>
            <w:r>
              <w:rPr>
                <w:sz w:val="20"/>
              </w:rPr>
              <w:t>08/21/2019</w:t>
            </w:r>
          </w:p>
        </w:tc>
        <w:tc>
          <w:tcPr>
            <w:tcW w:w="1800" w:type="dxa"/>
          </w:tcPr>
          <w:p w14:paraId="403EE6A2" w14:textId="77777777" w:rsidR="007E4447" w:rsidRDefault="004C6125">
            <w:pPr>
              <w:pStyle w:val="TableParagraph"/>
              <w:ind w:left="112" w:right="316"/>
              <w:rPr>
                <w:sz w:val="20"/>
              </w:rPr>
            </w:pPr>
            <w:r>
              <w:rPr>
                <w:sz w:val="20"/>
              </w:rPr>
              <w:t>Jennifer Holmes, Cal TF Staff</w:t>
            </w:r>
          </w:p>
        </w:tc>
        <w:tc>
          <w:tcPr>
            <w:tcW w:w="4945" w:type="dxa"/>
          </w:tcPr>
          <w:p w14:paraId="4822A699" w14:textId="77777777" w:rsidR="007E4447" w:rsidRDefault="004C6125">
            <w:pPr>
              <w:pStyle w:val="TableParagraph"/>
              <w:rPr>
                <w:sz w:val="20"/>
              </w:rPr>
            </w:pPr>
            <w:r>
              <w:rPr>
                <w:sz w:val="20"/>
              </w:rPr>
              <w:t>Revisions for submittal of version 01</w:t>
            </w:r>
          </w:p>
        </w:tc>
      </w:tr>
      <w:tr w:rsidR="005B2B0E" w14:paraId="1C3F9379" w14:textId="77777777">
        <w:trPr>
          <w:trHeight w:val="530"/>
        </w:trPr>
        <w:tc>
          <w:tcPr>
            <w:tcW w:w="941" w:type="dxa"/>
          </w:tcPr>
          <w:p w14:paraId="5B1A82DE" w14:textId="77777777" w:rsidR="005B2B0E" w:rsidRDefault="005B2B0E" w:rsidP="00193F71">
            <w:pPr>
              <w:pStyle w:val="TableParagraph"/>
              <w:spacing w:before="23"/>
              <w:rPr>
                <w:rFonts w:ascii="Times New Roman"/>
                <w:sz w:val="18"/>
              </w:rPr>
            </w:pPr>
            <w:r w:rsidRPr="00193F71">
              <w:rPr>
                <w:sz w:val="20"/>
              </w:rPr>
              <w:t>02</w:t>
            </w:r>
          </w:p>
        </w:tc>
        <w:tc>
          <w:tcPr>
            <w:tcW w:w="1666" w:type="dxa"/>
          </w:tcPr>
          <w:p w14:paraId="231B6095" w14:textId="77777777" w:rsidR="005B2B0E" w:rsidRDefault="005B2B0E">
            <w:pPr>
              <w:pStyle w:val="TableParagraph"/>
              <w:ind w:left="114"/>
              <w:rPr>
                <w:sz w:val="20"/>
              </w:rPr>
            </w:pPr>
            <w:r>
              <w:rPr>
                <w:sz w:val="20"/>
              </w:rPr>
              <w:t>11/23/2020</w:t>
            </w:r>
          </w:p>
        </w:tc>
        <w:tc>
          <w:tcPr>
            <w:tcW w:w="1800" w:type="dxa"/>
          </w:tcPr>
          <w:p w14:paraId="6C54F71D" w14:textId="77777777" w:rsidR="005B2B0E" w:rsidRDefault="005B2B0E" w:rsidP="005B2B0E">
            <w:pPr>
              <w:pStyle w:val="TableParagraph"/>
              <w:spacing w:before="23"/>
              <w:ind w:left="112" w:right="163"/>
              <w:rPr>
                <w:sz w:val="20"/>
              </w:rPr>
            </w:pPr>
            <w:r>
              <w:rPr>
                <w:sz w:val="20"/>
              </w:rPr>
              <w:t>Akhilesh Reddy Endurthy/ Solaris-</w:t>
            </w:r>
          </w:p>
          <w:p w14:paraId="1298FC37" w14:textId="77777777" w:rsidR="005B2B0E" w:rsidRDefault="005B2B0E" w:rsidP="005B2B0E">
            <w:pPr>
              <w:pStyle w:val="TableParagraph"/>
              <w:ind w:left="112" w:right="316"/>
              <w:rPr>
                <w:sz w:val="20"/>
              </w:rPr>
            </w:pPr>
            <w:r>
              <w:rPr>
                <w:sz w:val="20"/>
              </w:rPr>
              <w:t>Technical, LLC.</w:t>
            </w:r>
          </w:p>
        </w:tc>
        <w:tc>
          <w:tcPr>
            <w:tcW w:w="4945" w:type="dxa"/>
          </w:tcPr>
          <w:p w14:paraId="12107405" w14:textId="77777777" w:rsidR="005B2B0E" w:rsidRDefault="005B2B0E">
            <w:pPr>
              <w:pStyle w:val="TableParagraph"/>
              <w:rPr>
                <w:sz w:val="20"/>
              </w:rPr>
            </w:pPr>
            <w:proofErr w:type="spellStart"/>
            <w:r w:rsidRPr="005B2B0E">
              <w:rPr>
                <w:sz w:val="20"/>
              </w:rPr>
              <w:t>ElecImpactProfile</w:t>
            </w:r>
            <w:proofErr w:type="spellEnd"/>
            <w:r>
              <w:rPr>
                <w:sz w:val="20"/>
              </w:rPr>
              <w:t xml:space="preserve"> based on the new DEER load shapes available as of 11/23/2020</w:t>
            </w:r>
          </w:p>
        </w:tc>
      </w:tr>
      <w:tr w:rsidR="00303892" w14:paraId="47E64F57" w14:textId="77777777">
        <w:trPr>
          <w:trHeight w:val="530"/>
        </w:trPr>
        <w:tc>
          <w:tcPr>
            <w:tcW w:w="941" w:type="dxa"/>
          </w:tcPr>
          <w:p w14:paraId="2A072DD7" w14:textId="37A0AD9F" w:rsidR="00303892" w:rsidRPr="00193F71" w:rsidRDefault="00303892" w:rsidP="00193F71">
            <w:pPr>
              <w:pStyle w:val="TableParagraph"/>
              <w:spacing w:before="23"/>
              <w:rPr>
                <w:sz w:val="20"/>
              </w:rPr>
            </w:pPr>
            <w:r>
              <w:rPr>
                <w:sz w:val="20"/>
              </w:rPr>
              <w:t>02</w:t>
            </w:r>
          </w:p>
        </w:tc>
        <w:tc>
          <w:tcPr>
            <w:tcW w:w="1666" w:type="dxa"/>
          </w:tcPr>
          <w:p w14:paraId="70764C5F" w14:textId="50AE70E3" w:rsidR="00303892" w:rsidRDefault="00303892">
            <w:pPr>
              <w:pStyle w:val="TableParagraph"/>
              <w:ind w:left="114"/>
              <w:rPr>
                <w:sz w:val="20"/>
              </w:rPr>
            </w:pPr>
            <w:r>
              <w:rPr>
                <w:sz w:val="20"/>
              </w:rPr>
              <w:t>06/26/2021</w:t>
            </w:r>
          </w:p>
        </w:tc>
        <w:tc>
          <w:tcPr>
            <w:tcW w:w="1800" w:type="dxa"/>
          </w:tcPr>
          <w:p w14:paraId="055CCC5B" w14:textId="4F318C6C" w:rsidR="00303892" w:rsidRDefault="00303892" w:rsidP="005B2B0E">
            <w:pPr>
              <w:pStyle w:val="TableParagraph"/>
              <w:spacing w:before="23"/>
              <w:ind w:left="112" w:right="163"/>
              <w:rPr>
                <w:sz w:val="20"/>
              </w:rPr>
            </w:pPr>
            <w:r>
              <w:rPr>
                <w:sz w:val="20"/>
              </w:rPr>
              <w:t>Ajay Wadhera/SCE</w:t>
            </w:r>
          </w:p>
        </w:tc>
        <w:tc>
          <w:tcPr>
            <w:tcW w:w="4945" w:type="dxa"/>
          </w:tcPr>
          <w:p w14:paraId="22835D26" w14:textId="07566717" w:rsidR="00303892" w:rsidRPr="00303892" w:rsidRDefault="00303892" w:rsidP="00303892">
            <w:pPr>
              <w:pStyle w:val="TableParagraph"/>
              <w:rPr>
                <w:sz w:val="20"/>
              </w:rPr>
            </w:pPr>
            <w:r>
              <w:rPr>
                <w:sz w:val="20"/>
              </w:rPr>
              <w:t xml:space="preserve">Updated </w:t>
            </w:r>
            <w:proofErr w:type="spellStart"/>
            <w:r w:rsidRPr="005B2B0E">
              <w:rPr>
                <w:sz w:val="20"/>
              </w:rPr>
              <w:t>ElecImpactProfile</w:t>
            </w:r>
            <w:proofErr w:type="spellEnd"/>
            <w:r>
              <w:rPr>
                <w:sz w:val="20"/>
              </w:rPr>
              <w:t xml:space="preserve"> to “</w:t>
            </w:r>
            <w:proofErr w:type="spellStart"/>
            <w:proofErr w:type="gramStart"/>
            <w:r w:rsidRPr="00303892">
              <w:rPr>
                <w:sz w:val="20"/>
              </w:rPr>
              <w:t>DEER:HVAC</w:t>
            </w:r>
            <w:proofErr w:type="gramEnd"/>
            <w:r w:rsidRPr="00303892">
              <w:rPr>
                <w:sz w:val="20"/>
              </w:rPr>
              <w:t>_Split-Package_AC</w:t>
            </w:r>
            <w:proofErr w:type="spellEnd"/>
            <w:r>
              <w:rPr>
                <w:sz w:val="20"/>
              </w:rPr>
              <w:t>” for CEDARS compatibility.</w:t>
            </w:r>
          </w:p>
          <w:p w14:paraId="54186BA4" w14:textId="4DC33A70" w:rsidR="00303892" w:rsidRPr="005B2B0E" w:rsidRDefault="00303892">
            <w:pPr>
              <w:pStyle w:val="TableParagraph"/>
              <w:rPr>
                <w:sz w:val="20"/>
              </w:rPr>
            </w:pPr>
          </w:p>
        </w:tc>
      </w:tr>
    </w:tbl>
    <w:p w14:paraId="4E095083" w14:textId="77777777" w:rsidR="004C6125" w:rsidRDefault="004C6125">
      <w:bookmarkStart w:id="24" w:name="_GoBack"/>
      <w:bookmarkEnd w:id="24"/>
    </w:p>
    <w:sectPr w:rsidR="004C6125">
      <w:pgSz w:w="12240" w:h="15840"/>
      <w:pgMar w:top="1220" w:right="0" w:bottom="1320" w:left="1340" w:header="855"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14114" w14:textId="77777777" w:rsidR="00823FE3" w:rsidRDefault="00823FE3">
      <w:r>
        <w:separator/>
      </w:r>
    </w:p>
  </w:endnote>
  <w:endnote w:type="continuationSeparator" w:id="0">
    <w:p w14:paraId="6F5A613E" w14:textId="77777777" w:rsidR="00823FE3" w:rsidRDefault="0082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A2461" w14:textId="77777777" w:rsidR="007E4447" w:rsidRDefault="004C6125">
    <w:pPr>
      <w:pStyle w:val="BodyText"/>
      <w:spacing w:line="14" w:lineRule="auto"/>
      <w:rPr>
        <w:sz w:val="20"/>
      </w:rPr>
    </w:pPr>
    <w:r>
      <w:rPr>
        <w:noProof/>
      </w:rPr>
      <w:drawing>
        <wp:anchor distT="0" distB="0" distL="0" distR="0" simplePos="0" relativeHeight="250539008" behindDoc="1" locked="0" layoutInCell="1" allowOverlap="1" wp14:anchorId="659A0734" wp14:editId="61135172">
          <wp:simplePos x="0" y="0"/>
          <wp:positionH relativeFrom="page">
            <wp:posOffset>3622134</wp:posOffset>
          </wp:positionH>
          <wp:positionV relativeFrom="page">
            <wp:posOffset>9214522</wp:posOffset>
          </wp:positionV>
          <wp:extent cx="550450" cy="21074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0450" cy="210743"/>
                  </a:xfrm>
                  <a:prstGeom prst="rect">
                    <a:avLst/>
                  </a:prstGeom>
                </pic:spPr>
              </pic:pic>
            </a:graphicData>
          </a:graphic>
        </wp:anchor>
      </w:drawing>
    </w:r>
    <w:r w:rsidR="00193F71">
      <w:rPr>
        <w:noProof/>
      </w:rPr>
      <mc:AlternateContent>
        <mc:Choice Requires="wps">
          <w:drawing>
            <wp:anchor distT="0" distB="0" distL="114300" distR="114300" simplePos="0" relativeHeight="250540032" behindDoc="1" locked="0" layoutInCell="1" allowOverlap="1" wp14:anchorId="3D287069" wp14:editId="536D387F">
              <wp:simplePos x="0" y="0"/>
              <wp:positionH relativeFrom="page">
                <wp:posOffset>3825875</wp:posOffset>
              </wp:positionH>
              <wp:positionV relativeFrom="page">
                <wp:posOffset>9421495</wp:posOffset>
              </wp:positionV>
              <wp:extent cx="121285" cy="1143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EBE12" w14:textId="77777777" w:rsidR="007E4447" w:rsidRDefault="004C6125">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301.25pt;margin-top:741.85pt;width:9.55pt;height:9pt;z-index:-25277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" filled="f" stroked="f">
              <v:textbox inset="0,0,0,0">
                <w:txbxContent>
                  <w:p w:rsidR="007E4447" w:rsidRDefault="004C6125">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0E68E" w14:textId="77777777" w:rsidR="007E4447" w:rsidRDefault="004C6125">
    <w:pPr>
      <w:pStyle w:val="BodyText"/>
      <w:spacing w:line="14" w:lineRule="auto"/>
      <w:rPr>
        <w:sz w:val="20"/>
      </w:rPr>
    </w:pPr>
    <w:r>
      <w:rPr>
        <w:noProof/>
      </w:rPr>
      <w:drawing>
        <wp:anchor distT="0" distB="0" distL="0" distR="0" simplePos="0" relativeHeight="250542080" behindDoc="1" locked="0" layoutInCell="1" allowOverlap="1" wp14:anchorId="03081507" wp14:editId="681B6703">
          <wp:simplePos x="0" y="0"/>
          <wp:positionH relativeFrom="page">
            <wp:posOffset>3622134</wp:posOffset>
          </wp:positionH>
          <wp:positionV relativeFrom="page">
            <wp:posOffset>9214522</wp:posOffset>
          </wp:positionV>
          <wp:extent cx="550450" cy="210743"/>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50450" cy="210743"/>
                  </a:xfrm>
                  <a:prstGeom prst="rect">
                    <a:avLst/>
                  </a:prstGeom>
                </pic:spPr>
              </pic:pic>
            </a:graphicData>
          </a:graphic>
        </wp:anchor>
      </w:drawing>
    </w:r>
    <w:r w:rsidR="00193F71">
      <w:rPr>
        <w:noProof/>
      </w:rPr>
      <mc:AlternateContent>
        <mc:Choice Requires="wps">
          <w:drawing>
            <wp:anchor distT="0" distB="0" distL="114300" distR="114300" simplePos="0" relativeHeight="250543104" behindDoc="1" locked="0" layoutInCell="1" allowOverlap="1" wp14:anchorId="7E4BC424" wp14:editId="3BB0990E">
              <wp:simplePos x="0" y="0"/>
              <wp:positionH relativeFrom="page">
                <wp:posOffset>3803015</wp:posOffset>
              </wp:positionH>
              <wp:positionV relativeFrom="page">
                <wp:posOffset>9421495</wp:posOffset>
              </wp:positionV>
              <wp:extent cx="165100" cy="114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919BE" w14:textId="77777777" w:rsidR="007E4447" w:rsidRDefault="004C6125">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299.45pt;margin-top:741.85pt;width:13pt;height:9pt;z-index:-25277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" filled="f" stroked="f">
              <v:textbox inset="0,0,0,0">
                <w:txbxContent>
                  <w:p w:rsidR="007E4447" w:rsidRDefault="004C6125">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D6E0C9" w14:textId="77777777" w:rsidR="00823FE3" w:rsidRDefault="00823FE3">
      <w:r>
        <w:separator/>
      </w:r>
    </w:p>
  </w:footnote>
  <w:footnote w:type="continuationSeparator" w:id="0">
    <w:p w14:paraId="2A1B4D61" w14:textId="77777777" w:rsidR="00823FE3" w:rsidRDefault="00823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8623F" w14:textId="77777777" w:rsidR="007E4447" w:rsidRDefault="00193F71">
    <w:pPr>
      <w:pStyle w:val="BodyText"/>
      <w:spacing w:line="14" w:lineRule="auto"/>
      <w:rPr>
        <w:sz w:val="20"/>
      </w:rPr>
    </w:pPr>
    <w:r>
      <w:rPr>
        <w:noProof/>
      </w:rPr>
      <mc:AlternateContent>
        <mc:Choice Requires="wps">
          <w:drawing>
            <wp:anchor distT="0" distB="0" distL="114300" distR="114300" simplePos="0" relativeHeight="250541056" behindDoc="1" locked="0" layoutInCell="1" allowOverlap="1" wp14:anchorId="201D3D80" wp14:editId="1CCD176B">
              <wp:simplePos x="0" y="0"/>
              <wp:positionH relativeFrom="page">
                <wp:posOffset>2753995</wp:posOffset>
              </wp:positionH>
              <wp:positionV relativeFrom="page">
                <wp:posOffset>540385</wp:posOffset>
              </wp:positionV>
              <wp:extent cx="2266315" cy="1428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31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59165" w14:textId="77777777" w:rsidR="007E4447" w:rsidRDefault="004C6125">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Software-Controlled Switch Reluctance Motor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16.85pt;margin-top:42.55pt;width:178.45pt;height:11.25pt;z-index:-25277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46ssA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" filled="f" stroked="f">
              <v:textbox inset="0,0,0,0">
                <w:txbxContent>
                  <w:p w:rsidR="007E4447" w:rsidRDefault="004C6125">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Software-Controlled Switch Reluctance Motor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0539B3"/>
    <w:multiLevelType w:val="hybridMultilevel"/>
    <w:tmpl w:val="9214880A"/>
    <w:lvl w:ilvl="0" w:tplc="7E0C3102">
      <w:numFmt w:val="bullet"/>
      <w:lvlText w:val=""/>
      <w:lvlJc w:val="left"/>
      <w:pPr>
        <w:ind w:left="820" w:hanging="360"/>
      </w:pPr>
      <w:rPr>
        <w:rFonts w:hint="default"/>
        <w:w w:val="100"/>
        <w:lang w:val="en-US" w:eastAsia="en-US" w:bidi="en-US"/>
      </w:rPr>
    </w:lvl>
    <w:lvl w:ilvl="1" w:tplc="71A4F9CC">
      <w:numFmt w:val="bullet"/>
      <w:lvlText w:val="•"/>
      <w:lvlJc w:val="left"/>
      <w:pPr>
        <w:ind w:left="1828" w:hanging="360"/>
      </w:pPr>
      <w:rPr>
        <w:rFonts w:hint="default"/>
        <w:lang w:val="en-US" w:eastAsia="en-US" w:bidi="en-US"/>
      </w:rPr>
    </w:lvl>
    <w:lvl w:ilvl="2" w:tplc="C0C8360A">
      <w:numFmt w:val="bullet"/>
      <w:lvlText w:val="•"/>
      <w:lvlJc w:val="left"/>
      <w:pPr>
        <w:ind w:left="2836" w:hanging="360"/>
      </w:pPr>
      <w:rPr>
        <w:rFonts w:hint="default"/>
        <w:lang w:val="en-US" w:eastAsia="en-US" w:bidi="en-US"/>
      </w:rPr>
    </w:lvl>
    <w:lvl w:ilvl="3" w:tplc="68A4B13A">
      <w:numFmt w:val="bullet"/>
      <w:lvlText w:val="•"/>
      <w:lvlJc w:val="left"/>
      <w:pPr>
        <w:ind w:left="3844" w:hanging="360"/>
      </w:pPr>
      <w:rPr>
        <w:rFonts w:hint="default"/>
        <w:lang w:val="en-US" w:eastAsia="en-US" w:bidi="en-US"/>
      </w:rPr>
    </w:lvl>
    <w:lvl w:ilvl="4" w:tplc="82022000">
      <w:numFmt w:val="bullet"/>
      <w:lvlText w:val="•"/>
      <w:lvlJc w:val="left"/>
      <w:pPr>
        <w:ind w:left="4852" w:hanging="360"/>
      </w:pPr>
      <w:rPr>
        <w:rFonts w:hint="default"/>
        <w:lang w:val="en-US" w:eastAsia="en-US" w:bidi="en-US"/>
      </w:rPr>
    </w:lvl>
    <w:lvl w:ilvl="5" w:tplc="1C5691EC">
      <w:numFmt w:val="bullet"/>
      <w:lvlText w:val="•"/>
      <w:lvlJc w:val="left"/>
      <w:pPr>
        <w:ind w:left="5860" w:hanging="360"/>
      </w:pPr>
      <w:rPr>
        <w:rFonts w:hint="default"/>
        <w:lang w:val="en-US" w:eastAsia="en-US" w:bidi="en-US"/>
      </w:rPr>
    </w:lvl>
    <w:lvl w:ilvl="6" w:tplc="B9102D24">
      <w:numFmt w:val="bullet"/>
      <w:lvlText w:val="•"/>
      <w:lvlJc w:val="left"/>
      <w:pPr>
        <w:ind w:left="6868" w:hanging="360"/>
      </w:pPr>
      <w:rPr>
        <w:rFonts w:hint="default"/>
        <w:lang w:val="en-US" w:eastAsia="en-US" w:bidi="en-US"/>
      </w:rPr>
    </w:lvl>
    <w:lvl w:ilvl="7" w:tplc="0CD25206">
      <w:numFmt w:val="bullet"/>
      <w:lvlText w:val="•"/>
      <w:lvlJc w:val="left"/>
      <w:pPr>
        <w:ind w:left="7876" w:hanging="360"/>
      </w:pPr>
      <w:rPr>
        <w:rFonts w:hint="default"/>
        <w:lang w:val="en-US" w:eastAsia="en-US" w:bidi="en-US"/>
      </w:rPr>
    </w:lvl>
    <w:lvl w:ilvl="8" w:tplc="39AE519A">
      <w:numFmt w:val="bullet"/>
      <w:lvlText w:val="•"/>
      <w:lvlJc w:val="left"/>
      <w:pPr>
        <w:ind w:left="8884"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447"/>
    <w:rsid w:val="00193F71"/>
    <w:rsid w:val="00303892"/>
    <w:rsid w:val="004C6125"/>
    <w:rsid w:val="005B2B0E"/>
    <w:rsid w:val="005F78A6"/>
    <w:rsid w:val="007E4447"/>
    <w:rsid w:val="00823FE3"/>
    <w:rsid w:val="00A704E5"/>
    <w:rsid w:val="00CB0E85"/>
    <w:rsid w:val="00F91481"/>
    <w:rsid w:val="00FD3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EBD40"/>
  <w15:docId w15:val="{E30A8CB9-E935-4442-A303-BEE71F820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ind w:left="10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460"/>
    </w:pPr>
  </w:style>
  <w:style w:type="paragraph" w:styleId="BodyText">
    <w:name w:val="Body Text"/>
    <w:basedOn w:val="Normal"/>
    <w:uiPriority w:val="1"/>
    <w:qFormat/>
  </w:style>
  <w:style w:type="paragraph" w:styleId="ListParagraph">
    <w:name w:val="List Paragraph"/>
    <w:basedOn w:val="Normal"/>
    <w:uiPriority w:val="1"/>
    <w:qFormat/>
    <w:pPr>
      <w:spacing w:before="1"/>
      <w:ind w:left="820" w:right="1513" w:hanging="360"/>
    </w:pPr>
  </w:style>
  <w:style w:type="paragraph" w:customStyle="1" w:styleId="TableParagraph">
    <w:name w:val="Table Paragraph"/>
    <w:basedOn w:val="Normal"/>
    <w:uiPriority w:val="1"/>
    <w:qFormat/>
    <w:pPr>
      <w:spacing w:before="20"/>
      <w:ind w:left="115"/>
    </w:pPr>
  </w:style>
  <w:style w:type="paragraph" w:styleId="BalloonText">
    <w:name w:val="Balloon Text"/>
    <w:basedOn w:val="Normal"/>
    <w:link w:val="BalloonTextChar"/>
    <w:uiPriority w:val="99"/>
    <w:semiHidden/>
    <w:unhideWhenUsed/>
    <w:rsid w:val="00193F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F71"/>
    <w:rPr>
      <w:rFonts w:ascii="Segoe UI" w:eastAsia="Calibri Light"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1014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3461</Words>
  <Characters>19733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23148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Ajay Wadhera</cp:lastModifiedBy>
  <cp:revision>2</cp:revision>
  <dcterms:created xsi:type="dcterms:W3CDTF">2021-06-28T16:15:00Z</dcterms:created>
  <dcterms:modified xsi:type="dcterms:W3CDTF">2021-06-28T16:15:00Z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2019-10-21T00:00:00Z</vt:filetime>
  </property>
  <property fmtid="{D5CDD505-2E9C-101B-9397-08002B2CF9AE}" pid="3" name="Creator">
    <vt:lpwstr>Microsoft® Word 2013</vt:lpwstr>
  </property>
  <property fmtid="{D5CDD505-2E9C-101B-9397-08002B2CF9AE}" pid="4" name="LastSaved">
    <vt:filetime>2020-11-23T00:00:00Z</vt:filetime>
  </property>
</Properties>
</file>