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CB989D" w14:textId="01348A80" w:rsidR="00BB2954" w:rsidRDefault="00411B1C">
      <w:r>
        <w:t xml:space="preserve">CPUC Comments on </w:t>
      </w:r>
      <w:r w:rsidR="00B55C9E" w:rsidRPr="00B55C9E">
        <w:t>SWHC039-04 SCT WPP Addendum</w:t>
      </w:r>
      <w:r w:rsidR="00B55C9E">
        <w:t xml:space="preserve"> – Addition of Winter TO Savings</w:t>
      </w:r>
    </w:p>
    <w:p w14:paraId="2BA7A164" w14:textId="6B98099D" w:rsidR="004266C0" w:rsidRDefault="004266C0">
      <w:r>
        <w:t xml:space="preserve">Lead PA: </w:t>
      </w:r>
      <w:r w:rsidR="00D57D0B">
        <w:t>S</w:t>
      </w:r>
      <w:r w:rsidR="00737D21">
        <w:t>CG</w:t>
      </w:r>
    </w:p>
    <w:p w14:paraId="4BB68C7D" w14:textId="34BB58E7" w:rsidR="009E1581" w:rsidRDefault="004266C0" w:rsidP="007859D1">
      <w:pPr>
        <w:spacing w:after="0"/>
      </w:pPr>
      <w:r>
        <w:t xml:space="preserve">Workpaper </w:t>
      </w:r>
      <w:r w:rsidR="005038DA">
        <w:t>Calculation</w:t>
      </w:r>
      <w:r w:rsidR="00737D21">
        <w:t xml:space="preserve"> </w:t>
      </w:r>
      <w:r w:rsidR="008F1FF0">
        <w:t xml:space="preserve">Submittal Date: </w:t>
      </w:r>
      <w:r w:rsidR="00837D6E">
        <w:t>8/25</w:t>
      </w:r>
      <w:r w:rsidR="00EA6362">
        <w:t>/2021</w:t>
      </w:r>
      <w:r w:rsidR="00AB26AE">
        <w:t xml:space="preserve"> </w:t>
      </w:r>
    </w:p>
    <w:p w14:paraId="297C4A54" w14:textId="2A52299A" w:rsidR="002738C3" w:rsidRDefault="004266C0" w:rsidP="005038DA">
      <w:pPr>
        <w:spacing w:after="0"/>
      </w:pPr>
      <w:r>
        <w:t xml:space="preserve">CPUC Review Date: </w:t>
      </w:r>
      <w:r w:rsidR="00837D6E">
        <w:t>9/10</w:t>
      </w:r>
      <w:r w:rsidR="009A09DC">
        <w:t>/2021</w:t>
      </w:r>
    </w:p>
    <w:p w14:paraId="66C53D62" w14:textId="0C7EA1C2" w:rsidR="00C63D62" w:rsidRDefault="00C63D62" w:rsidP="005038DA">
      <w:pPr>
        <w:spacing w:after="0"/>
      </w:pPr>
      <w:r>
        <w:t xml:space="preserve">SCG Response Date: </w:t>
      </w:r>
      <w:r w:rsidR="00837D6E">
        <w:t>9/</w:t>
      </w:r>
      <w:r w:rsidR="007F2B84">
        <w:t>22</w:t>
      </w:r>
      <w:r>
        <w:t>/2021</w:t>
      </w:r>
    </w:p>
    <w:p w14:paraId="71105395" w14:textId="3C9EE1F0" w:rsidR="00262074" w:rsidRPr="009C3435" w:rsidRDefault="00262074" w:rsidP="005038DA">
      <w:pPr>
        <w:spacing w:after="0"/>
        <w:rPr>
          <w:color w:val="FF0000"/>
        </w:rPr>
      </w:pPr>
      <w:r w:rsidRPr="009C3435">
        <w:rPr>
          <w:color w:val="FF0000"/>
        </w:rPr>
        <w:t>CPUC Response Date: 11/8/2021</w:t>
      </w:r>
      <w:r w:rsidR="009C3435">
        <w:rPr>
          <w:color w:val="FF0000"/>
        </w:rPr>
        <w:t xml:space="preserve"> – see comments at the bottom of this document</w:t>
      </w:r>
    </w:p>
    <w:p w14:paraId="48341F3F" w14:textId="74F7F502" w:rsidR="00837D6E" w:rsidRDefault="00837D6E" w:rsidP="005038DA">
      <w:pPr>
        <w:spacing w:after="0"/>
      </w:pPr>
    </w:p>
    <w:p w14:paraId="677F4828" w14:textId="77777777" w:rsidR="00837D6E" w:rsidRDefault="00837D6E" w:rsidP="005038DA">
      <w:pPr>
        <w:spacing w:after="0"/>
      </w:pPr>
    </w:p>
    <w:tbl>
      <w:tblPr>
        <w:tblStyle w:val="TableGrid"/>
        <w:tblW w:w="0" w:type="auto"/>
        <w:tblLayout w:type="fixed"/>
        <w:tblLook w:val="04A0" w:firstRow="1" w:lastRow="0" w:firstColumn="1" w:lastColumn="0" w:noHBand="0" w:noVBand="1"/>
      </w:tblPr>
      <w:tblGrid>
        <w:gridCol w:w="2695"/>
        <w:gridCol w:w="6655"/>
      </w:tblGrid>
      <w:tr w:rsidR="002738C3" w14:paraId="7CF90DD5" w14:textId="77777777" w:rsidTr="0011704F">
        <w:tc>
          <w:tcPr>
            <w:tcW w:w="2695" w:type="dxa"/>
          </w:tcPr>
          <w:p w14:paraId="444A04DA" w14:textId="77777777" w:rsidR="002738C3" w:rsidRDefault="002738C3" w:rsidP="00837D6E">
            <w:r>
              <w:t>CPUC Comment</w:t>
            </w:r>
          </w:p>
        </w:tc>
        <w:tc>
          <w:tcPr>
            <w:tcW w:w="6655" w:type="dxa"/>
          </w:tcPr>
          <w:p w14:paraId="66A90386" w14:textId="77777777" w:rsidR="002738C3" w:rsidRDefault="002738C3" w:rsidP="00837D6E">
            <w:r>
              <w:t>PA Response</w:t>
            </w:r>
          </w:p>
        </w:tc>
      </w:tr>
      <w:tr w:rsidR="002738C3" w14:paraId="0A12E5A7" w14:textId="77777777" w:rsidTr="0011704F">
        <w:tc>
          <w:tcPr>
            <w:tcW w:w="2695" w:type="dxa"/>
          </w:tcPr>
          <w:p w14:paraId="7994A2A1" w14:textId="490D975A" w:rsidR="005038DA" w:rsidRDefault="00384C91" w:rsidP="00837D6E">
            <w:r w:rsidRPr="00384C91">
              <w:t>For the PY2019 DI Impact Evaluation, savings were set to zero because they were consistently negative. Incorporating TO savings would require re-assessing the point estimates and adding TO savings onto that negative starting point.</w:t>
            </w:r>
          </w:p>
        </w:tc>
        <w:tc>
          <w:tcPr>
            <w:tcW w:w="6655" w:type="dxa"/>
          </w:tcPr>
          <w:p w14:paraId="4563E3BA" w14:textId="5174EA14" w:rsidR="006C3544" w:rsidRDefault="00337205" w:rsidP="00837D6E">
            <w:pPr>
              <w:rPr>
                <w:color w:val="4472C4" w:themeColor="accent1"/>
              </w:rPr>
            </w:pPr>
            <w:r>
              <w:rPr>
                <w:color w:val="4472C4" w:themeColor="accent1"/>
              </w:rPr>
              <w:t xml:space="preserve">SCG agrees with </w:t>
            </w:r>
            <w:r w:rsidR="00193C09">
              <w:rPr>
                <w:color w:val="4472C4" w:themeColor="accent1"/>
              </w:rPr>
              <w:t>the comment</w:t>
            </w:r>
            <w:r w:rsidR="003A0CEE">
              <w:rPr>
                <w:color w:val="4472C4" w:themeColor="accent1"/>
              </w:rPr>
              <w:t>. SCG</w:t>
            </w:r>
            <w:r>
              <w:rPr>
                <w:color w:val="4472C4" w:themeColor="accent1"/>
              </w:rPr>
              <w:t xml:space="preserve"> attempted to</w:t>
            </w:r>
            <w:r w:rsidR="00193C09">
              <w:rPr>
                <w:color w:val="4472C4" w:themeColor="accent1"/>
              </w:rPr>
              <w:t xml:space="preserve"> </w:t>
            </w:r>
            <w:r w:rsidR="00303311">
              <w:rPr>
                <w:color w:val="4472C4" w:themeColor="accent1"/>
              </w:rPr>
              <w:t xml:space="preserve">include </w:t>
            </w:r>
            <w:r w:rsidR="00193C09">
              <w:rPr>
                <w:color w:val="4472C4" w:themeColor="accent1"/>
              </w:rPr>
              <w:t>the climate zone specific impact evaluation results</w:t>
            </w:r>
            <w:r>
              <w:rPr>
                <w:color w:val="4472C4" w:themeColor="accent1"/>
              </w:rPr>
              <w:t xml:space="preserve"> </w:t>
            </w:r>
            <w:r w:rsidR="00542C0A">
              <w:rPr>
                <w:color w:val="4472C4" w:themeColor="accent1"/>
              </w:rPr>
              <w:t>as the baseline before Thermostat Optimization</w:t>
            </w:r>
            <w:r w:rsidR="00303311">
              <w:rPr>
                <w:color w:val="4472C4" w:themeColor="accent1"/>
              </w:rPr>
              <w:t>. H</w:t>
            </w:r>
            <w:r>
              <w:rPr>
                <w:color w:val="4472C4" w:themeColor="accent1"/>
              </w:rPr>
              <w:t>owever</w:t>
            </w:r>
            <w:r w:rsidR="00542C0A">
              <w:rPr>
                <w:color w:val="4472C4" w:themeColor="accent1"/>
              </w:rPr>
              <w:t>,</w:t>
            </w:r>
            <w:r>
              <w:rPr>
                <w:color w:val="4472C4" w:themeColor="accent1"/>
              </w:rPr>
              <w:t xml:space="preserve"> </w:t>
            </w:r>
            <w:r w:rsidR="00303311">
              <w:rPr>
                <w:color w:val="4472C4" w:themeColor="accent1"/>
              </w:rPr>
              <w:t>the impact evaluation states that some of these results may not be statistically significant</w:t>
            </w:r>
            <w:r w:rsidR="001303B3">
              <w:rPr>
                <w:color w:val="4472C4" w:themeColor="accent1"/>
              </w:rPr>
              <w:t>.</w:t>
            </w:r>
            <w:r w:rsidR="00303311">
              <w:rPr>
                <w:color w:val="4472C4" w:themeColor="accent1"/>
              </w:rPr>
              <w:t xml:space="preserve"> </w:t>
            </w:r>
            <w:r w:rsidR="001303B3">
              <w:rPr>
                <w:color w:val="4472C4" w:themeColor="accent1"/>
              </w:rPr>
              <w:t>T</w:t>
            </w:r>
            <w:r w:rsidR="00303311">
              <w:rPr>
                <w:color w:val="4472C4" w:themeColor="accent1"/>
              </w:rPr>
              <w:t>hus</w:t>
            </w:r>
            <w:r w:rsidR="00BB22A0">
              <w:rPr>
                <w:color w:val="4472C4" w:themeColor="accent1"/>
              </w:rPr>
              <w:t>,</w:t>
            </w:r>
            <w:r w:rsidR="00303311">
              <w:rPr>
                <w:color w:val="4472C4" w:themeColor="accent1"/>
              </w:rPr>
              <w:t xml:space="preserve"> </w:t>
            </w:r>
            <w:r>
              <w:rPr>
                <w:color w:val="4472C4" w:themeColor="accent1"/>
              </w:rPr>
              <w:t>that data was not made availabl</w:t>
            </w:r>
            <w:r w:rsidR="00303311">
              <w:rPr>
                <w:color w:val="4472C4" w:themeColor="accent1"/>
              </w:rPr>
              <w:t>e</w:t>
            </w:r>
            <w:r>
              <w:rPr>
                <w:color w:val="4472C4" w:themeColor="accent1"/>
              </w:rPr>
              <w:t>.</w:t>
            </w:r>
            <w:r w:rsidR="00B126EF">
              <w:rPr>
                <w:color w:val="4472C4" w:themeColor="accent1"/>
              </w:rPr>
              <w:t xml:space="preserve"> </w:t>
            </w:r>
            <w:r w:rsidR="00542C0A">
              <w:rPr>
                <w:color w:val="4472C4" w:themeColor="accent1"/>
              </w:rPr>
              <w:t xml:space="preserve">If </w:t>
            </w:r>
            <w:r w:rsidR="00BB22A0">
              <w:rPr>
                <w:color w:val="4472C4" w:themeColor="accent1"/>
              </w:rPr>
              <w:t xml:space="preserve">the </w:t>
            </w:r>
            <w:r w:rsidR="00542C0A">
              <w:rPr>
                <w:color w:val="4472C4" w:themeColor="accent1"/>
              </w:rPr>
              <w:t xml:space="preserve">data </w:t>
            </w:r>
            <w:r w:rsidR="00BB22A0">
              <w:rPr>
                <w:color w:val="4472C4" w:themeColor="accent1"/>
              </w:rPr>
              <w:t xml:space="preserve">had been </w:t>
            </w:r>
            <w:r w:rsidR="00344F7A">
              <w:rPr>
                <w:color w:val="4472C4" w:themeColor="accent1"/>
              </w:rPr>
              <w:t>available,</w:t>
            </w:r>
            <w:r w:rsidR="00542C0A">
              <w:rPr>
                <w:color w:val="4472C4" w:themeColor="accent1"/>
              </w:rPr>
              <w:t xml:space="preserve"> </w:t>
            </w:r>
            <w:r w:rsidR="00BB22A0">
              <w:rPr>
                <w:color w:val="4472C4" w:themeColor="accent1"/>
              </w:rPr>
              <w:t xml:space="preserve">SCG </w:t>
            </w:r>
            <w:r w:rsidR="00542C0A">
              <w:rPr>
                <w:color w:val="4472C4" w:themeColor="accent1"/>
              </w:rPr>
              <w:t>would have used</w:t>
            </w:r>
            <w:r w:rsidR="00B76B7A">
              <w:rPr>
                <w:color w:val="4472C4" w:themeColor="accent1"/>
              </w:rPr>
              <w:t xml:space="preserve"> it</w:t>
            </w:r>
            <w:r w:rsidR="00C50B43">
              <w:rPr>
                <w:color w:val="4472C4" w:themeColor="accent1"/>
              </w:rPr>
              <w:t>.</w:t>
            </w:r>
          </w:p>
          <w:p w14:paraId="2DB29E6D" w14:textId="77777777" w:rsidR="00273219" w:rsidRDefault="00273219" w:rsidP="00837D6E">
            <w:pPr>
              <w:rPr>
                <w:color w:val="4472C4" w:themeColor="accent1"/>
              </w:rPr>
            </w:pPr>
          </w:p>
          <w:p w14:paraId="562FFD3D" w14:textId="3936A604" w:rsidR="006C3544" w:rsidRPr="00AB2C0C" w:rsidRDefault="00756C9A" w:rsidP="00344F7A">
            <w:pPr>
              <w:rPr>
                <w:color w:val="4472C4" w:themeColor="accent1"/>
              </w:rPr>
            </w:pPr>
            <w:r>
              <w:rPr>
                <w:color w:val="4472C4" w:themeColor="accent1"/>
              </w:rPr>
              <w:t>T</w:t>
            </w:r>
            <w:r w:rsidR="00745E62">
              <w:rPr>
                <w:color w:val="4472C4" w:themeColor="accent1"/>
              </w:rPr>
              <w:t>he workpaper is set to expire on 1/1/22</w:t>
            </w:r>
            <w:r>
              <w:rPr>
                <w:color w:val="4472C4" w:themeColor="accent1"/>
              </w:rPr>
              <w:t>.</w:t>
            </w:r>
            <w:r w:rsidR="00745E62">
              <w:rPr>
                <w:color w:val="4472C4" w:themeColor="accent1"/>
              </w:rPr>
              <w:t xml:space="preserve">  </w:t>
            </w:r>
            <w:r w:rsidR="00151413">
              <w:rPr>
                <w:color w:val="4472C4" w:themeColor="accent1"/>
              </w:rPr>
              <w:t xml:space="preserve"> </w:t>
            </w:r>
            <w:r w:rsidR="00A91C08">
              <w:rPr>
                <w:color w:val="4472C4" w:themeColor="accent1"/>
              </w:rPr>
              <w:t xml:space="preserve">Allowing for a </w:t>
            </w:r>
            <w:r w:rsidR="00D573FF">
              <w:rPr>
                <w:color w:val="4472C4" w:themeColor="accent1"/>
              </w:rPr>
              <w:t>90-day grace period</w:t>
            </w:r>
            <w:r w:rsidR="00A91C08">
              <w:rPr>
                <w:color w:val="4472C4" w:themeColor="accent1"/>
              </w:rPr>
              <w:t xml:space="preserve"> prior to expiration</w:t>
            </w:r>
            <w:r w:rsidR="009272A7">
              <w:rPr>
                <w:color w:val="4472C4" w:themeColor="accent1"/>
              </w:rPr>
              <w:t xml:space="preserve">, SCG feels there is </w:t>
            </w:r>
            <w:proofErr w:type="gramStart"/>
            <w:r w:rsidR="009272A7">
              <w:rPr>
                <w:color w:val="4472C4" w:themeColor="accent1"/>
              </w:rPr>
              <w:t>inadequate</w:t>
            </w:r>
            <w:r w:rsidR="00344F7A">
              <w:rPr>
                <w:color w:val="4472C4" w:themeColor="accent1"/>
              </w:rPr>
              <w:t xml:space="preserve">  time</w:t>
            </w:r>
            <w:proofErr w:type="gramEnd"/>
            <w:r w:rsidR="00344F7A">
              <w:rPr>
                <w:color w:val="4472C4" w:themeColor="accent1"/>
              </w:rPr>
              <w:t xml:space="preserve"> to incorporate the</w:t>
            </w:r>
            <w:r w:rsidR="00DC5727">
              <w:rPr>
                <w:color w:val="4472C4" w:themeColor="accent1"/>
              </w:rPr>
              <w:t xml:space="preserve"> recommended</w:t>
            </w:r>
            <w:r w:rsidR="00344F7A">
              <w:rPr>
                <w:color w:val="4472C4" w:themeColor="accent1"/>
              </w:rPr>
              <w:t xml:space="preserve"> changes </w:t>
            </w:r>
            <w:r w:rsidR="00D573FF">
              <w:rPr>
                <w:color w:val="4472C4" w:themeColor="accent1"/>
              </w:rPr>
              <w:t>into the impact evaluation</w:t>
            </w:r>
            <w:r w:rsidR="00344F7A">
              <w:rPr>
                <w:color w:val="4472C4" w:themeColor="accent1"/>
              </w:rPr>
              <w:t xml:space="preserve">. </w:t>
            </w:r>
            <w:r w:rsidR="00303311">
              <w:rPr>
                <w:color w:val="4472C4" w:themeColor="accent1"/>
              </w:rPr>
              <w:t xml:space="preserve">Therefore, </w:t>
            </w:r>
            <w:r w:rsidR="00344F7A">
              <w:rPr>
                <w:color w:val="4472C4" w:themeColor="accent1"/>
              </w:rPr>
              <w:t xml:space="preserve">SCG proposes </w:t>
            </w:r>
            <w:r w:rsidR="006C3544">
              <w:rPr>
                <w:color w:val="4472C4" w:themeColor="accent1"/>
              </w:rPr>
              <w:t>that the Impact evaluation reported gas savings</w:t>
            </w:r>
            <w:r w:rsidR="00D573FF">
              <w:rPr>
                <w:color w:val="4472C4" w:themeColor="accent1"/>
              </w:rPr>
              <w:t xml:space="preserve"> of</w:t>
            </w:r>
            <w:r w:rsidR="006C3544">
              <w:rPr>
                <w:color w:val="4472C4" w:themeColor="accent1"/>
              </w:rPr>
              <w:t xml:space="preserve"> 0</w:t>
            </w:r>
            <w:r w:rsidR="00D573FF">
              <w:rPr>
                <w:color w:val="4472C4" w:themeColor="accent1"/>
              </w:rPr>
              <w:t xml:space="preserve"> be used </w:t>
            </w:r>
            <w:r w:rsidR="00CA5C4E">
              <w:rPr>
                <w:color w:val="4472C4" w:themeColor="accent1"/>
              </w:rPr>
              <w:t>as the baseline</w:t>
            </w:r>
            <w:r w:rsidR="00D573FF">
              <w:rPr>
                <w:color w:val="4472C4" w:themeColor="accent1"/>
              </w:rPr>
              <w:t xml:space="preserve"> before thermostat optimization</w:t>
            </w:r>
            <w:r w:rsidR="00CA5C4E">
              <w:rPr>
                <w:color w:val="4472C4" w:themeColor="accent1"/>
              </w:rPr>
              <w:t>.</w:t>
            </w:r>
          </w:p>
        </w:tc>
      </w:tr>
      <w:tr w:rsidR="00220A35" w14:paraId="57C67C5E" w14:textId="77777777" w:rsidTr="0011704F">
        <w:tc>
          <w:tcPr>
            <w:tcW w:w="2695" w:type="dxa"/>
          </w:tcPr>
          <w:p w14:paraId="61C21792" w14:textId="0034CA46" w:rsidR="00220A35" w:rsidRDefault="00C76AD8" w:rsidP="00837D6E">
            <w:r w:rsidRPr="00C76AD8">
              <w:t>The Seasonal Savings program that was run in SCG territory, and is provided as evidence of Seasonal Savings impacts, occurred during the PY2019 impact evaluation time period. Approximately half of the participants’ post-period would have included the month during with TO occurred which indicates that a substantial portion of the TO savings were already accounted for in the gas impact results. Given that this is the case and that savings estimates were still negative, it is unreasonable to assume seasonal savings necessarily increase savings above zero.</w:t>
            </w:r>
          </w:p>
        </w:tc>
        <w:tc>
          <w:tcPr>
            <w:tcW w:w="6655" w:type="dxa"/>
          </w:tcPr>
          <w:p w14:paraId="47E80592" w14:textId="423F36DF" w:rsidR="00792AE8" w:rsidRDefault="00D1135B" w:rsidP="00792AE8">
            <w:pPr>
              <w:rPr>
                <w:color w:val="4472C4" w:themeColor="accent1"/>
              </w:rPr>
            </w:pPr>
            <w:r>
              <w:rPr>
                <w:color w:val="4472C4" w:themeColor="accent1"/>
              </w:rPr>
              <w:t xml:space="preserve">The </w:t>
            </w:r>
            <w:r w:rsidR="00792AE8">
              <w:rPr>
                <w:color w:val="4472C4" w:themeColor="accent1"/>
              </w:rPr>
              <w:t xml:space="preserve">Seasonal </w:t>
            </w:r>
            <w:r>
              <w:rPr>
                <w:color w:val="4472C4" w:themeColor="accent1"/>
              </w:rPr>
              <w:t>S</w:t>
            </w:r>
            <w:r w:rsidR="00792AE8">
              <w:rPr>
                <w:color w:val="4472C4" w:themeColor="accent1"/>
              </w:rPr>
              <w:t xml:space="preserve">avings </w:t>
            </w:r>
            <w:r>
              <w:rPr>
                <w:color w:val="4472C4" w:themeColor="accent1"/>
              </w:rPr>
              <w:t>P</w:t>
            </w:r>
            <w:r w:rsidR="00792AE8">
              <w:rPr>
                <w:color w:val="4472C4" w:themeColor="accent1"/>
              </w:rPr>
              <w:t xml:space="preserve">rogram </w:t>
            </w:r>
            <w:r w:rsidR="00B2041B">
              <w:rPr>
                <w:color w:val="4472C4" w:themeColor="accent1"/>
              </w:rPr>
              <w:t>included</w:t>
            </w:r>
            <w:r w:rsidR="00792AE8">
              <w:rPr>
                <w:color w:val="4472C4" w:themeColor="accent1"/>
              </w:rPr>
              <w:t xml:space="preserve"> a limited </w:t>
            </w:r>
            <w:r w:rsidR="00476BEF">
              <w:rPr>
                <w:color w:val="4472C4" w:themeColor="accent1"/>
              </w:rPr>
              <w:t xml:space="preserve">population </w:t>
            </w:r>
            <w:r w:rsidR="00792AE8">
              <w:rPr>
                <w:color w:val="4472C4" w:themeColor="accent1"/>
              </w:rPr>
              <w:t>of thermostats</w:t>
            </w:r>
            <w:r w:rsidR="00476BEF">
              <w:rPr>
                <w:color w:val="4472C4" w:themeColor="accent1"/>
              </w:rPr>
              <w:t>,</w:t>
            </w:r>
            <w:r w:rsidR="00792AE8">
              <w:rPr>
                <w:color w:val="4472C4" w:themeColor="accent1"/>
              </w:rPr>
              <w:t xml:space="preserve"> </w:t>
            </w:r>
            <w:r w:rsidR="00476BEF">
              <w:rPr>
                <w:color w:val="4472C4" w:themeColor="accent1"/>
              </w:rPr>
              <w:t xml:space="preserve">in </w:t>
            </w:r>
            <w:r w:rsidR="00792AE8">
              <w:rPr>
                <w:color w:val="4472C4" w:themeColor="accent1"/>
              </w:rPr>
              <w:t xml:space="preserve">a </w:t>
            </w:r>
            <w:r w:rsidR="00AC32EC">
              <w:rPr>
                <w:color w:val="4472C4" w:themeColor="accent1"/>
              </w:rPr>
              <w:t>utility-</w:t>
            </w:r>
            <w:r w:rsidR="00792AE8">
              <w:rPr>
                <w:color w:val="4472C4" w:themeColor="accent1"/>
              </w:rPr>
              <w:t xml:space="preserve">paid program </w:t>
            </w:r>
            <w:r w:rsidR="0017002A">
              <w:rPr>
                <w:color w:val="4472C4" w:themeColor="accent1"/>
              </w:rPr>
              <w:t xml:space="preserve">by </w:t>
            </w:r>
            <w:r w:rsidR="00792AE8">
              <w:rPr>
                <w:color w:val="4472C4" w:themeColor="accent1"/>
              </w:rPr>
              <w:t>SCG and MCE</w:t>
            </w:r>
            <w:r w:rsidR="0017002A">
              <w:rPr>
                <w:color w:val="4472C4" w:themeColor="accent1"/>
              </w:rPr>
              <w:t>,</w:t>
            </w:r>
            <w:r w:rsidR="00792AE8">
              <w:rPr>
                <w:color w:val="4472C4" w:themeColor="accent1"/>
              </w:rPr>
              <w:t xml:space="preserve"> in 2019. Thermostat </w:t>
            </w:r>
            <w:r w:rsidR="002F5981">
              <w:rPr>
                <w:color w:val="4472C4" w:themeColor="accent1"/>
              </w:rPr>
              <w:t>O</w:t>
            </w:r>
            <w:r w:rsidR="00792AE8">
              <w:rPr>
                <w:color w:val="4472C4" w:themeColor="accent1"/>
              </w:rPr>
              <w:t>ptimization is a new program that rolled out in 2020</w:t>
            </w:r>
            <w:r w:rsidR="000A47E9">
              <w:rPr>
                <w:color w:val="4472C4" w:themeColor="accent1"/>
              </w:rPr>
              <w:t>,</w:t>
            </w:r>
            <w:r w:rsidR="00792AE8">
              <w:rPr>
                <w:color w:val="4472C4" w:themeColor="accent1"/>
              </w:rPr>
              <w:t xml:space="preserve"> to all thermostats</w:t>
            </w:r>
            <w:r w:rsidR="000A47E9">
              <w:rPr>
                <w:color w:val="4472C4" w:themeColor="accent1"/>
              </w:rPr>
              <w:t>,</w:t>
            </w:r>
            <w:r w:rsidR="00792AE8">
              <w:rPr>
                <w:color w:val="4472C4" w:themeColor="accent1"/>
              </w:rPr>
              <w:t xml:space="preserve"> at no cost to customers or utilities. </w:t>
            </w:r>
            <w:r w:rsidR="00A74A6D">
              <w:rPr>
                <w:color w:val="4472C4" w:themeColor="accent1"/>
              </w:rPr>
              <w:t xml:space="preserve">Therefore, </w:t>
            </w:r>
            <w:r w:rsidR="00792AE8">
              <w:rPr>
                <w:color w:val="4472C4" w:themeColor="accent1"/>
              </w:rPr>
              <w:t xml:space="preserve">Seasonal </w:t>
            </w:r>
            <w:r w:rsidR="00A74A6D">
              <w:rPr>
                <w:color w:val="4472C4" w:themeColor="accent1"/>
              </w:rPr>
              <w:t>S</w:t>
            </w:r>
            <w:r w:rsidR="00792AE8">
              <w:rPr>
                <w:color w:val="4472C4" w:themeColor="accent1"/>
              </w:rPr>
              <w:t xml:space="preserve">avings represents a limited </w:t>
            </w:r>
            <w:r w:rsidR="00A74A6D">
              <w:rPr>
                <w:color w:val="4472C4" w:themeColor="accent1"/>
              </w:rPr>
              <w:t xml:space="preserve">number </w:t>
            </w:r>
            <w:r w:rsidR="00792AE8">
              <w:rPr>
                <w:color w:val="4472C4" w:themeColor="accent1"/>
              </w:rPr>
              <w:t>of thermostats</w:t>
            </w:r>
            <w:r w:rsidR="00A74A6D">
              <w:rPr>
                <w:color w:val="4472C4" w:themeColor="accent1"/>
              </w:rPr>
              <w:t>,</w:t>
            </w:r>
            <w:r w:rsidR="00792AE8">
              <w:rPr>
                <w:color w:val="4472C4" w:themeColor="accent1"/>
              </w:rPr>
              <w:t xml:space="preserve"> compared to the Thermostat Optimization potential.</w:t>
            </w:r>
          </w:p>
          <w:p w14:paraId="4D13B681" w14:textId="084D4C42" w:rsidR="004B504B" w:rsidRDefault="004B504B" w:rsidP="00792AE8">
            <w:pPr>
              <w:rPr>
                <w:color w:val="4472C4" w:themeColor="accent1"/>
              </w:rPr>
            </w:pPr>
          </w:p>
          <w:p w14:paraId="18733ED8" w14:textId="183EA728" w:rsidR="004B504B" w:rsidRDefault="004B504B" w:rsidP="00792AE8">
            <w:pPr>
              <w:rPr>
                <w:color w:val="4472C4" w:themeColor="accent1"/>
              </w:rPr>
            </w:pPr>
            <w:r>
              <w:rPr>
                <w:color w:val="4472C4" w:themeColor="accent1"/>
              </w:rPr>
              <w:t>Seasonal savings programs have demonstrated savings through multiple impact evaluations. SCG used the most recent and most conservative estimate for savings from the 2018/2019 evaluation. Other IOU evaluations and prior years have shown higher impacts from Seasonal Savings.</w:t>
            </w:r>
          </w:p>
          <w:p w14:paraId="0765D1D4" w14:textId="77777777" w:rsidR="0011704F" w:rsidRDefault="0011704F" w:rsidP="00837D6E">
            <w:pPr>
              <w:rPr>
                <w:color w:val="4472C4" w:themeColor="accent1"/>
              </w:rPr>
            </w:pPr>
          </w:p>
          <w:p w14:paraId="75788FBF" w14:textId="0E28E8B3" w:rsidR="00C36059" w:rsidRDefault="00F84144" w:rsidP="00837D6E">
            <w:pPr>
              <w:rPr>
                <w:color w:val="4472C4" w:themeColor="accent1"/>
              </w:rPr>
            </w:pPr>
            <w:r>
              <w:rPr>
                <w:color w:val="4472C4" w:themeColor="accent1"/>
              </w:rPr>
              <w:t xml:space="preserve">With the help of Nest, </w:t>
            </w:r>
            <w:r w:rsidR="0011704F" w:rsidRPr="0011704F">
              <w:rPr>
                <w:color w:val="4472C4" w:themeColor="accent1"/>
              </w:rPr>
              <w:t xml:space="preserve">the aggregate </w:t>
            </w:r>
            <w:proofErr w:type="spellStart"/>
            <w:r w:rsidR="0011704F" w:rsidRPr="0011704F">
              <w:rPr>
                <w:color w:val="4472C4" w:themeColor="accent1"/>
              </w:rPr>
              <w:t>therm</w:t>
            </w:r>
            <w:proofErr w:type="spellEnd"/>
            <w:r w:rsidR="0011704F" w:rsidRPr="0011704F">
              <w:rPr>
                <w:color w:val="4472C4" w:themeColor="accent1"/>
              </w:rPr>
              <w:t xml:space="preserve"> savings for the winter 2019 deployment</w:t>
            </w:r>
            <w:r w:rsidR="000F0288">
              <w:rPr>
                <w:color w:val="4472C4" w:themeColor="accent1"/>
              </w:rPr>
              <w:t xml:space="preserve"> was calculated</w:t>
            </w:r>
            <w:r w:rsidR="0011704F" w:rsidRPr="0011704F">
              <w:rPr>
                <w:color w:val="4472C4" w:themeColor="accent1"/>
              </w:rPr>
              <w:t xml:space="preserve"> by climate zone</w:t>
            </w:r>
            <w:r w:rsidR="00E30808">
              <w:rPr>
                <w:color w:val="4472C4" w:themeColor="accent1"/>
              </w:rPr>
              <w:t>,</w:t>
            </w:r>
            <w:r w:rsidR="0011704F" w:rsidRPr="0011704F">
              <w:rPr>
                <w:color w:val="4472C4" w:themeColor="accent1"/>
              </w:rPr>
              <w:t xml:space="preserve"> based on the number of thermostats that opted-in</w:t>
            </w:r>
            <w:r w:rsidR="00DB5F7E">
              <w:rPr>
                <w:color w:val="4472C4" w:themeColor="accent1"/>
              </w:rPr>
              <w:t>,</w:t>
            </w:r>
            <w:r w:rsidR="0011704F" w:rsidRPr="0011704F">
              <w:rPr>
                <w:color w:val="4472C4" w:themeColor="accent1"/>
              </w:rPr>
              <w:t xml:space="preserve"> and the average </w:t>
            </w:r>
            <w:proofErr w:type="spellStart"/>
            <w:r w:rsidR="0011704F" w:rsidRPr="0011704F">
              <w:rPr>
                <w:color w:val="4472C4" w:themeColor="accent1"/>
              </w:rPr>
              <w:t>therm</w:t>
            </w:r>
            <w:proofErr w:type="spellEnd"/>
            <w:r w:rsidR="0011704F" w:rsidRPr="0011704F">
              <w:rPr>
                <w:color w:val="4472C4" w:themeColor="accent1"/>
              </w:rPr>
              <w:t xml:space="preserve"> savings per opt-in for each deployment. </w:t>
            </w:r>
            <w:r w:rsidR="00C94BEE">
              <w:rPr>
                <w:color w:val="4472C4" w:themeColor="accent1"/>
              </w:rPr>
              <w:t>T</w:t>
            </w:r>
            <w:r w:rsidR="0011704F" w:rsidRPr="0011704F">
              <w:rPr>
                <w:color w:val="4472C4" w:themeColor="accent1"/>
              </w:rPr>
              <w:t xml:space="preserve">hese aggregate savings </w:t>
            </w:r>
            <w:r w:rsidR="00C94BEE">
              <w:rPr>
                <w:color w:val="4472C4" w:themeColor="accent1"/>
              </w:rPr>
              <w:t xml:space="preserve">were then divided </w:t>
            </w:r>
            <w:r w:rsidR="0011704F" w:rsidRPr="0011704F">
              <w:rPr>
                <w:color w:val="4472C4" w:themeColor="accent1"/>
              </w:rPr>
              <w:t>by the total thermostat population in each climate zone</w:t>
            </w:r>
            <w:r w:rsidR="002B4EC6">
              <w:rPr>
                <w:color w:val="4472C4" w:themeColor="accent1"/>
              </w:rPr>
              <w:t>,</w:t>
            </w:r>
            <w:r w:rsidR="0011704F" w:rsidRPr="0011704F">
              <w:rPr>
                <w:color w:val="4472C4" w:themeColor="accent1"/>
              </w:rPr>
              <w:t xml:space="preserve"> to get the average impact per </w:t>
            </w:r>
            <w:r w:rsidR="00AB65F5">
              <w:rPr>
                <w:color w:val="4472C4" w:themeColor="accent1"/>
              </w:rPr>
              <w:t xml:space="preserve">total smart thermostat </w:t>
            </w:r>
            <w:r w:rsidR="0011704F" w:rsidRPr="0011704F">
              <w:rPr>
                <w:color w:val="4472C4" w:themeColor="accent1"/>
              </w:rPr>
              <w:t xml:space="preserve">population.  </w:t>
            </w:r>
            <w:r w:rsidR="0011704F">
              <w:rPr>
                <w:color w:val="4472C4" w:themeColor="accent1"/>
              </w:rPr>
              <w:t>Results can be seen in the table below</w:t>
            </w:r>
            <w:r w:rsidR="00DD2618">
              <w:rPr>
                <w:color w:val="4472C4" w:themeColor="accent1"/>
              </w:rPr>
              <w:t xml:space="preserve">, but the average adjustment is 0.5 </w:t>
            </w:r>
            <w:proofErr w:type="spellStart"/>
            <w:r w:rsidR="00DD2618">
              <w:rPr>
                <w:color w:val="4472C4" w:themeColor="accent1"/>
              </w:rPr>
              <w:t>therms</w:t>
            </w:r>
            <w:proofErr w:type="spellEnd"/>
            <w:r w:rsidR="00DD2618">
              <w:rPr>
                <w:color w:val="4472C4" w:themeColor="accent1"/>
              </w:rPr>
              <w:t>.</w:t>
            </w:r>
          </w:p>
          <w:p w14:paraId="035B812E" w14:textId="6877660D" w:rsidR="004B504B" w:rsidRDefault="004B504B" w:rsidP="00837D6E">
            <w:pPr>
              <w:rPr>
                <w:color w:val="4472C4" w:themeColor="accent1"/>
              </w:rPr>
            </w:pPr>
          </w:p>
          <w:p w14:paraId="6E0F308D" w14:textId="3F83DF83" w:rsidR="00C36059" w:rsidRPr="006072F2" w:rsidRDefault="004B504B" w:rsidP="00837D6E">
            <w:pPr>
              <w:rPr>
                <w:color w:val="4472C4" w:themeColor="accent1"/>
              </w:rPr>
            </w:pPr>
            <w:r>
              <w:rPr>
                <w:color w:val="4472C4" w:themeColor="accent1"/>
              </w:rPr>
              <w:t>Based on this updated calculation</w:t>
            </w:r>
            <w:r w:rsidR="00760D01">
              <w:rPr>
                <w:color w:val="4472C4" w:themeColor="accent1"/>
              </w:rPr>
              <w:t>,</w:t>
            </w:r>
            <w:r>
              <w:rPr>
                <w:color w:val="4472C4" w:themeColor="accent1"/>
              </w:rPr>
              <w:t xml:space="preserve"> which </w:t>
            </w:r>
            <w:r w:rsidR="00760D01">
              <w:rPr>
                <w:color w:val="4472C4" w:themeColor="accent1"/>
              </w:rPr>
              <w:t>includes</w:t>
            </w:r>
            <w:r>
              <w:rPr>
                <w:color w:val="4472C4" w:themeColor="accent1"/>
              </w:rPr>
              <w:t xml:space="preserve"> the effect of the seasonal savings program on the impact evaluation, SCG requests that the </w:t>
            </w:r>
            <w:r w:rsidR="0025596A">
              <w:rPr>
                <w:color w:val="4472C4" w:themeColor="accent1"/>
              </w:rPr>
              <w:t xml:space="preserve">allowance for winter </w:t>
            </w:r>
            <w:r w:rsidR="00760D01">
              <w:rPr>
                <w:color w:val="4472C4" w:themeColor="accent1"/>
              </w:rPr>
              <w:t>t</w:t>
            </w:r>
            <w:r w:rsidR="0025596A">
              <w:rPr>
                <w:color w:val="4472C4" w:themeColor="accent1"/>
              </w:rPr>
              <w:t>hermostat optimization be allowed.</w:t>
            </w:r>
          </w:p>
        </w:tc>
      </w:tr>
    </w:tbl>
    <w:p w14:paraId="7183A549" w14:textId="722E1B7F" w:rsidR="00B15BFC" w:rsidRDefault="00B15BFC" w:rsidP="00047FC1"/>
    <w:p w14:paraId="00604D1A" w14:textId="1CDC13E7" w:rsidR="00DD2618" w:rsidRDefault="00F614A2" w:rsidP="00047FC1">
      <w:r>
        <w:rPr>
          <w:rFonts w:ascii="Arial" w:hAnsi="Arial" w:cs="Arial"/>
          <w:b/>
          <w:bCs/>
          <w:sz w:val="18"/>
          <w:szCs w:val="18"/>
        </w:rPr>
        <w:lastRenderedPageBreak/>
        <w:t xml:space="preserve">2019 Seasonal Savings Impacts already captured in the 2019 </w:t>
      </w:r>
      <w:r w:rsidR="00964222">
        <w:rPr>
          <w:rFonts w:ascii="Arial" w:hAnsi="Arial" w:cs="Arial"/>
          <w:b/>
          <w:bCs/>
          <w:sz w:val="18"/>
          <w:szCs w:val="18"/>
        </w:rPr>
        <w:t>I</w:t>
      </w:r>
      <w:r>
        <w:rPr>
          <w:rFonts w:ascii="Arial" w:hAnsi="Arial" w:cs="Arial"/>
          <w:b/>
          <w:bCs/>
          <w:sz w:val="18"/>
          <w:szCs w:val="18"/>
        </w:rPr>
        <w:t>mpact Evaluation</w:t>
      </w:r>
    </w:p>
    <w:tbl>
      <w:tblPr>
        <w:tblStyle w:val="TableGrid"/>
        <w:tblW w:w="0" w:type="auto"/>
        <w:tblLook w:val="04A0" w:firstRow="1" w:lastRow="0" w:firstColumn="1" w:lastColumn="0" w:noHBand="0" w:noVBand="1"/>
      </w:tblPr>
      <w:tblGrid>
        <w:gridCol w:w="895"/>
        <w:gridCol w:w="2520"/>
      </w:tblGrid>
      <w:tr w:rsidR="00DD2618" w14:paraId="58CB5292" w14:textId="77777777" w:rsidTr="00CB63F2">
        <w:tc>
          <w:tcPr>
            <w:tcW w:w="895" w:type="dxa"/>
            <w:vAlign w:val="bottom"/>
          </w:tcPr>
          <w:p w14:paraId="46CC1373" w14:textId="4264228A" w:rsidR="00DD2618" w:rsidRDefault="00DD2618" w:rsidP="00DD2618">
            <w:r>
              <w:rPr>
                <w:rFonts w:ascii="Arial" w:hAnsi="Arial" w:cs="Arial"/>
                <w:b/>
                <w:bCs/>
                <w:sz w:val="18"/>
                <w:szCs w:val="18"/>
              </w:rPr>
              <w:t>Climate</w:t>
            </w:r>
          </w:p>
        </w:tc>
        <w:tc>
          <w:tcPr>
            <w:tcW w:w="2520" w:type="dxa"/>
            <w:vAlign w:val="bottom"/>
          </w:tcPr>
          <w:p w14:paraId="1E12F846" w14:textId="7ADE6780" w:rsidR="00DD2618" w:rsidRDefault="00DD2618" w:rsidP="00715E9E">
            <w:pPr>
              <w:jc w:val="center"/>
            </w:pPr>
            <w:r w:rsidRPr="00715E9E">
              <w:rPr>
                <w:rFonts w:ascii="Arial" w:hAnsi="Arial" w:cs="Arial"/>
                <w:b/>
                <w:bCs/>
                <w:sz w:val="18"/>
                <w:szCs w:val="18"/>
              </w:rPr>
              <w:t>2019 Seasonal Savings Adjustment</w:t>
            </w:r>
          </w:p>
        </w:tc>
      </w:tr>
      <w:tr w:rsidR="00DD2618" w14:paraId="03C7524B" w14:textId="77777777" w:rsidTr="00CB63F2">
        <w:tc>
          <w:tcPr>
            <w:tcW w:w="895" w:type="dxa"/>
            <w:vAlign w:val="bottom"/>
          </w:tcPr>
          <w:p w14:paraId="0B2B8D46" w14:textId="5ABB8F4B" w:rsidR="00DD2618" w:rsidRDefault="00DD2618" w:rsidP="00DD2618">
            <w:r>
              <w:rPr>
                <w:rFonts w:ascii="Arial" w:hAnsi="Arial" w:cs="Arial"/>
                <w:b/>
                <w:bCs/>
                <w:sz w:val="18"/>
                <w:szCs w:val="18"/>
              </w:rPr>
              <w:t>CZ01</w:t>
            </w:r>
          </w:p>
        </w:tc>
        <w:tc>
          <w:tcPr>
            <w:tcW w:w="2520" w:type="dxa"/>
            <w:vAlign w:val="bottom"/>
          </w:tcPr>
          <w:p w14:paraId="20D76EEE" w14:textId="68751A0B" w:rsidR="00DD2618" w:rsidRDefault="00DD2618" w:rsidP="00DD2618">
            <w:pPr>
              <w:jc w:val="center"/>
            </w:pPr>
            <w:r>
              <w:rPr>
                <w:rFonts w:ascii="Arial" w:hAnsi="Arial" w:cs="Arial"/>
                <w:sz w:val="20"/>
                <w:szCs w:val="20"/>
              </w:rPr>
              <w:t>0.00</w:t>
            </w:r>
          </w:p>
        </w:tc>
      </w:tr>
      <w:tr w:rsidR="00DD2618" w14:paraId="48E67AD4" w14:textId="77777777" w:rsidTr="00CB63F2">
        <w:tc>
          <w:tcPr>
            <w:tcW w:w="895" w:type="dxa"/>
          </w:tcPr>
          <w:p w14:paraId="10ACB2B5" w14:textId="6F75041D" w:rsidR="00DD2618" w:rsidRDefault="00DD2618" w:rsidP="00DD2618">
            <w:r>
              <w:rPr>
                <w:rFonts w:ascii="Arial" w:hAnsi="Arial" w:cs="Arial"/>
                <w:b/>
                <w:bCs/>
                <w:sz w:val="18"/>
                <w:szCs w:val="18"/>
              </w:rPr>
              <w:t>CZ02</w:t>
            </w:r>
          </w:p>
        </w:tc>
        <w:tc>
          <w:tcPr>
            <w:tcW w:w="2520" w:type="dxa"/>
            <w:vAlign w:val="bottom"/>
          </w:tcPr>
          <w:p w14:paraId="4C508AB7" w14:textId="772BD0DB" w:rsidR="00DD2618" w:rsidRDefault="00DD2618" w:rsidP="00DD2618">
            <w:pPr>
              <w:jc w:val="center"/>
            </w:pPr>
            <w:r>
              <w:rPr>
                <w:rFonts w:ascii="Arial" w:hAnsi="Arial" w:cs="Arial"/>
                <w:sz w:val="20"/>
                <w:szCs w:val="20"/>
              </w:rPr>
              <w:t>1.30</w:t>
            </w:r>
          </w:p>
        </w:tc>
      </w:tr>
      <w:tr w:rsidR="00DD2618" w14:paraId="4664B749" w14:textId="77777777" w:rsidTr="00CB63F2">
        <w:tc>
          <w:tcPr>
            <w:tcW w:w="895" w:type="dxa"/>
          </w:tcPr>
          <w:p w14:paraId="4D02E384" w14:textId="66F8595E" w:rsidR="00DD2618" w:rsidRDefault="00DD2618" w:rsidP="00DD2618">
            <w:r>
              <w:rPr>
                <w:rFonts w:ascii="Arial" w:hAnsi="Arial" w:cs="Arial"/>
                <w:b/>
                <w:bCs/>
                <w:sz w:val="18"/>
                <w:szCs w:val="18"/>
              </w:rPr>
              <w:t>CZ03</w:t>
            </w:r>
          </w:p>
        </w:tc>
        <w:tc>
          <w:tcPr>
            <w:tcW w:w="2520" w:type="dxa"/>
            <w:vAlign w:val="bottom"/>
          </w:tcPr>
          <w:p w14:paraId="02DF2A41" w14:textId="60895612" w:rsidR="00DD2618" w:rsidRDefault="00DD2618" w:rsidP="00DD2618">
            <w:pPr>
              <w:jc w:val="center"/>
            </w:pPr>
            <w:r>
              <w:rPr>
                <w:rFonts w:ascii="Arial" w:hAnsi="Arial" w:cs="Arial"/>
                <w:sz w:val="20"/>
                <w:szCs w:val="20"/>
              </w:rPr>
              <w:t>0.20</w:t>
            </w:r>
          </w:p>
        </w:tc>
      </w:tr>
      <w:tr w:rsidR="00DD2618" w14:paraId="4E27B6B3" w14:textId="77777777" w:rsidTr="00CB63F2">
        <w:tc>
          <w:tcPr>
            <w:tcW w:w="895" w:type="dxa"/>
          </w:tcPr>
          <w:p w14:paraId="20D843CA" w14:textId="0FB7D219" w:rsidR="00DD2618" w:rsidRDefault="00DD2618" w:rsidP="00DD2618">
            <w:r>
              <w:rPr>
                <w:rFonts w:ascii="Arial" w:hAnsi="Arial" w:cs="Arial"/>
                <w:b/>
                <w:bCs/>
                <w:sz w:val="18"/>
                <w:szCs w:val="18"/>
              </w:rPr>
              <w:t>CZ04</w:t>
            </w:r>
          </w:p>
        </w:tc>
        <w:tc>
          <w:tcPr>
            <w:tcW w:w="2520" w:type="dxa"/>
            <w:vAlign w:val="bottom"/>
          </w:tcPr>
          <w:p w14:paraId="23AD65D1" w14:textId="1A03CF98" w:rsidR="00DD2618" w:rsidRDefault="00DD2618" w:rsidP="00DD2618">
            <w:pPr>
              <w:jc w:val="center"/>
            </w:pPr>
            <w:r>
              <w:rPr>
                <w:rFonts w:ascii="Arial" w:hAnsi="Arial" w:cs="Arial"/>
                <w:sz w:val="20"/>
                <w:szCs w:val="20"/>
              </w:rPr>
              <w:t>0.02</w:t>
            </w:r>
          </w:p>
        </w:tc>
      </w:tr>
      <w:tr w:rsidR="00DD2618" w14:paraId="1B8A846D" w14:textId="77777777" w:rsidTr="00CB63F2">
        <w:tc>
          <w:tcPr>
            <w:tcW w:w="895" w:type="dxa"/>
          </w:tcPr>
          <w:p w14:paraId="6498DE92" w14:textId="1F3FAAC6" w:rsidR="00DD2618" w:rsidRDefault="00DD2618" w:rsidP="00DD2618">
            <w:r>
              <w:rPr>
                <w:rFonts w:ascii="Arial" w:hAnsi="Arial" w:cs="Arial"/>
                <w:b/>
                <w:bCs/>
                <w:sz w:val="18"/>
                <w:szCs w:val="18"/>
              </w:rPr>
              <w:t>CZ05</w:t>
            </w:r>
          </w:p>
        </w:tc>
        <w:tc>
          <w:tcPr>
            <w:tcW w:w="2520" w:type="dxa"/>
            <w:vAlign w:val="bottom"/>
          </w:tcPr>
          <w:p w14:paraId="579F764E" w14:textId="68873C61" w:rsidR="00DD2618" w:rsidRDefault="00DD2618" w:rsidP="00DD2618">
            <w:pPr>
              <w:jc w:val="center"/>
            </w:pPr>
            <w:r>
              <w:rPr>
                <w:rFonts w:ascii="Arial" w:hAnsi="Arial" w:cs="Arial"/>
                <w:sz w:val="20"/>
                <w:szCs w:val="20"/>
              </w:rPr>
              <w:t>0.85</w:t>
            </w:r>
          </w:p>
        </w:tc>
      </w:tr>
      <w:tr w:rsidR="00DD2618" w14:paraId="55BD88EC" w14:textId="77777777" w:rsidTr="00CB63F2">
        <w:tc>
          <w:tcPr>
            <w:tcW w:w="895" w:type="dxa"/>
          </w:tcPr>
          <w:p w14:paraId="2C070744" w14:textId="272435E6" w:rsidR="00DD2618" w:rsidRDefault="00DD2618" w:rsidP="00DD2618">
            <w:r>
              <w:rPr>
                <w:rFonts w:ascii="Arial" w:hAnsi="Arial" w:cs="Arial"/>
                <w:b/>
                <w:bCs/>
                <w:sz w:val="18"/>
                <w:szCs w:val="18"/>
              </w:rPr>
              <w:t>CZ06</w:t>
            </w:r>
          </w:p>
        </w:tc>
        <w:tc>
          <w:tcPr>
            <w:tcW w:w="2520" w:type="dxa"/>
            <w:vAlign w:val="bottom"/>
          </w:tcPr>
          <w:p w14:paraId="24AE81FD" w14:textId="3334782B" w:rsidR="00DD2618" w:rsidRDefault="00DD2618" w:rsidP="00DD2618">
            <w:pPr>
              <w:jc w:val="center"/>
            </w:pPr>
            <w:r>
              <w:rPr>
                <w:rFonts w:ascii="Arial" w:hAnsi="Arial" w:cs="Arial"/>
                <w:sz w:val="20"/>
                <w:szCs w:val="20"/>
              </w:rPr>
              <w:t>0.67</w:t>
            </w:r>
          </w:p>
        </w:tc>
      </w:tr>
      <w:tr w:rsidR="00DD2618" w14:paraId="0DEBBEE0" w14:textId="77777777" w:rsidTr="00CB63F2">
        <w:tc>
          <w:tcPr>
            <w:tcW w:w="895" w:type="dxa"/>
          </w:tcPr>
          <w:p w14:paraId="633AA08C" w14:textId="7EF2EBA0" w:rsidR="00DD2618" w:rsidRDefault="00DD2618" w:rsidP="00DD2618">
            <w:r>
              <w:rPr>
                <w:rFonts w:ascii="Arial" w:hAnsi="Arial" w:cs="Arial"/>
                <w:b/>
                <w:bCs/>
                <w:sz w:val="18"/>
                <w:szCs w:val="18"/>
              </w:rPr>
              <w:t>CZ07</w:t>
            </w:r>
          </w:p>
        </w:tc>
        <w:tc>
          <w:tcPr>
            <w:tcW w:w="2520" w:type="dxa"/>
            <w:vAlign w:val="bottom"/>
          </w:tcPr>
          <w:p w14:paraId="5B2DFA64" w14:textId="48464971" w:rsidR="00DD2618" w:rsidRDefault="00DD2618" w:rsidP="00DD2618">
            <w:pPr>
              <w:jc w:val="center"/>
            </w:pPr>
            <w:r>
              <w:rPr>
                <w:rFonts w:ascii="Arial" w:hAnsi="Arial" w:cs="Arial"/>
                <w:sz w:val="20"/>
                <w:szCs w:val="20"/>
              </w:rPr>
              <w:t>0.00</w:t>
            </w:r>
          </w:p>
        </w:tc>
      </w:tr>
      <w:tr w:rsidR="00DD2618" w14:paraId="3DED09E1" w14:textId="77777777" w:rsidTr="00CB63F2">
        <w:tc>
          <w:tcPr>
            <w:tcW w:w="895" w:type="dxa"/>
          </w:tcPr>
          <w:p w14:paraId="2806441C" w14:textId="4B7C58AE" w:rsidR="00DD2618" w:rsidRDefault="00DD2618" w:rsidP="00DD2618">
            <w:r>
              <w:rPr>
                <w:rFonts w:ascii="Arial" w:hAnsi="Arial" w:cs="Arial"/>
                <w:b/>
                <w:bCs/>
                <w:sz w:val="18"/>
                <w:szCs w:val="18"/>
              </w:rPr>
              <w:t>CZ08</w:t>
            </w:r>
          </w:p>
        </w:tc>
        <w:tc>
          <w:tcPr>
            <w:tcW w:w="2520" w:type="dxa"/>
            <w:vAlign w:val="bottom"/>
          </w:tcPr>
          <w:p w14:paraId="136FAA82" w14:textId="7C62E2E0" w:rsidR="00DD2618" w:rsidRDefault="00DD2618" w:rsidP="00DD2618">
            <w:pPr>
              <w:jc w:val="center"/>
            </w:pPr>
            <w:r>
              <w:rPr>
                <w:rFonts w:ascii="Arial" w:hAnsi="Arial" w:cs="Arial"/>
                <w:sz w:val="20"/>
                <w:szCs w:val="20"/>
              </w:rPr>
              <w:t>0.74</w:t>
            </w:r>
          </w:p>
        </w:tc>
      </w:tr>
      <w:tr w:rsidR="00DD2618" w14:paraId="505FD33F" w14:textId="77777777" w:rsidTr="00CB63F2">
        <w:tc>
          <w:tcPr>
            <w:tcW w:w="895" w:type="dxa"/>
          </w:tcPr>
          <w:p w14:paraId="49A0CF9C" w14:textId="78A69924" w:rsidR="00DD2618" w:rsidRDefault="00DD2618" w:rsidP="00DD2618">
            <w:r>
              <w:rPr>
                <w:rFonts w:ascii="Arial" w:hAnsi="Arial" w:cs="Arial"/>
                <w:b/>
                <w:bCs/>
                <w:sz w:val="18"/>
                <w:szCs w:val="18"/>
              </w:rPr>
              <w:t>CZ09</w:t>
            </w:r>
          </w:p>
        </w:tc>
        <w:tc>
          <w:tcPr>
            <w:tcW w:w="2520" w:type="dxa"/>
            <w:vAlign w:val="bottom"/>
          </w:tcPr>
          <w:p w14:paraId="39496977" w14:textId="2A4DFE54" w:rsidR="00DD2618" w:rsidRDefault="00DD2618" w:rsidP="00DD2618">
            <w:pPr>
              <w:jc w:val="center"/>
            </w:pPr>
            <w:r>
              <w:rPr>
                <w:rFonts w:ascii="Arial" w:hAnsi="Arial" w:cs="Arial"/>
                <w:sz w:val="20"/>
                <w:szCs w:val="20"/>
              </w:rPr>
              <w:t>0.70</w:t>
            </w:r>
          </w:p>
        </w:tc>
      </w:tr>
      <w:tr w:rsidR="00DD2618" w14:paraId="4448FDB9" w14:textId="77777777" w:rsidTr="00CB63F2">
        <w:tc>
          <w:tcPr>
            <w:tcW w:w="895" w:type="dxa"/>
          </w:tcPr>
          <w:p w14:paraId="0737E9A3" w14:textId="0D22A6EC" w:rsidR="00DD2618" w:rsidRDefault="00DD2618" w:rsidP="00DD2618">
            <w:r>
              <w:rPr>
                <w:rFonts w:ascii="Arial" w:hAnsi="Arial" w:cs="Arial"/>
                <w:b/>
                <w:bCs/>
                <w:sz w:val="18"/>
                <w:szCs w:val="18"/>
              </w:rPr>
              <w:t>CZ10</w:t>
            </w:r>
          </w:p>
        </w:tc>
        <w:tc>
          <w:tcPr>
            <w:tcW w:w="2520" w:type="dxa"/>
            <w:vAlign w:val="bottom"/>
          </w:tcPr>
          <w:p w14:paraId="070ACC37" w14:textId="056A6D60" w:rsidR="00DD2618" w:rsidRDefault="00DD2618" w:rsidP="00DD2618">
            <w:pPr>
              <w:jc w:val="center"/>
            </w:pPr>
            <w:r>
              <w:rPr>
                <w:rFonts w:ascii="Arial" w:hAnsi="Arial" w:cs="Arial"/>
                <w:sz w:val="20"/>
                <w:szCs w:val="20"/>
              </w:rPr>
              <w:t>0.53</w:t>
            </w:r>
          </w:p>
        </w:tc>
      </w:tr>
      <w:tr w:rsidR="00DD2618" w14:paraId="1CF31C4F" w14:textId="77777777" w:rsidTr="00CB63F2">
        <w:tc>
          <w:tcPr>
            <w:tcW w:w="895" w:type="dxa"/>
          </w:tcPr>
          <w:p w14:paraId="3F3A6E56" w14:textId="5EF2B3D8" w:rsidR="00DD2618" w:rsidRDefault="00DD2618" w:rsidP="00DD2618">
            <w:r>
              <w:rPr>
                <w:rFonts w:ascii="Arial" w:hAnsi="Arial" w:cs="Arial"/>
                <w:b/>
                <w:bCs/>
                <w:sz w:val="18"/>
                <w:szCs w:val="18"/>
              </w:rPr>
              <w:t>CZ11</w:t>
            </w:r>
          </w:p>
        </w:tc>
        <w:tc>
          <w:tcPr>
            <w:tcW w:w="2520" w:type="dxa"/>
            <w:vAlign w:val="bottom"/>
          </w:tcPr>
          <w:p w14:paraId="3FA7A1B3" w14:textId="1FEA599C" w:rsidR="00DD2618" w:rsidRDefault="00DD2618" w:rsidP="00DD2618">
            <w:pPr>
              <w:jc w:val="center"/>
            </w:pPr>
            <w:r>
              <w:rPr>
                <w:rFonts w:ascii="Arial" w:hAnsi="Arial" w:cs="Arial"/>
                <w:sz w:val="20"/>
                <w:szCs w:val="20"/>
              </w:rPr>
              <w:t>0.00</w:t>
            </w:r>
          </w:p>
        </w:tc>
      </w:tr>
      <w:tr w:rsidR="00DD2618" w14:paraId="74A7C83C" w14:textId="77777777" w:rsidTr="00CB63F2">
        <w:trPr>
          <w:trHeight w:val="116"/>
        </w:trPr>
        <w:tc>
          <w:tcPr>
            <w:tcW w:w="895" w:type="dxa"/>
          </w:tcPr>
          <w:p w14:paraId="3591B2BB" w14:textId="7C7C7DF9" w:rsidR="00DD2618" w:rsidRDefault="00DD2618" w:rsidP="00DD2618">
            <w:r>
              <w:rPr>
                <w:rFonts w:ascii="Arial" w:hAnsi="Arial" w:cs="Arial"/>
                <w:b/>
                <w:bCs/>
                <w:sz w:val="18"/>
                <w:szCs w:val="18"/>
              </w:rPr>
              <w:t>CZ12</w:t>
            </w:r>
          </w:p>
        </w:tc>
        <w:tc>
          <w:tcPr>
            <w:tcW w:w="2520" w:type="dxa"/>
            <w:vAlign w:val="bottom"/>
          </w:tcPr>
          <w:p w14:paraId="318273F8" w14:textId="4EF9C486" w:rsidR="00DD2618" w:rsidRDefault="00DD2618" w:rsidP="00DD2618">
            <w:pPr>
              <w:jc w:val="center"/>
            </w:pPr>
            <w:r>
              <w:rPr>
                <w:rFonts w:ascii="Arial" w:hAnsi="Arial" w:cs="Arial"/>
                <w:sz w:val="20"/>
                <w:szCs w:val="20"/>
              </w:rPr>
              <w:t>0.59</w:t>
            </w:r>
          </w:p>
        </w:tc>
      </w:tr>
      <w:tr w:rsidR="00DD2618" w14:paraId="344662B6" w14:textId="77777777" w:rsidTr="00CB63F2">
        <w:tc>
          <w:tcPr>
            <w:tcW w:w="895" w:type="dxa"/>
          </w:tcPr>
          <w:p w14:paraId="63B98926" w14:textId="5EF52750" w:rsidR="00DD2618" w:rsidRDefault="00DD2618" w:rsidP="00DD2618">
            <w:r>
              <w:rPr>
                <w:rFonts w:ascii="Arial" w:hAnsi="Arial" w:cs="Arial"/>
                <w:b/>
                <w:bCs/>
                <w:sz w:val="18"/>
                <w:szCs w:val="18"/>
              </w:rPr>
              <w:t>CZ13</w:t>
            </w:r>
          </w:p>
        </w:tc>
        <w:tc>
          <w:tcPr>
            <w:tcW w:w="2520" w:type="dxa"/>
            <w:vAlign w:val="bottom"/>
          </w:tcPr>
          <w:p w14:paraId="5FCF719C" w14:textId="7DF211B5" w:rsidR="00DD2618" w:rsidRDefault="00DD2618" w:rsidP="00DD2618">
            <w:pPr>
              <w:jc w:val="center"/>
            </w:pPr>
            <w:r>
              <w:rPr>
                <w:rFonts w:ascii="Arial" w:hAnsi="Arial" w:cs="Arial"/>
                <w:sz w:val="20"/>
                <w:szCs w:val="20"/>
              </w:rPr>
              <w:t>0.45</w:t>
            </w:r>
          </w:p>
        </w:tc>
      </w:tr>
      <w:tr w:rsidR="00DD2618" w14:paraId="0599B2C4" w14:textId="77777777" w:rsidTr="00CB63F2">
        <w:trPr>
          <w:trHeight w:val="50"/>
        </w:trPr>
        <w:tc>
          <w:tcPr>
            <w:tcW w:w="895" w:type="dxa"/>
          </w:tcPr>
          <w:p w14:paraId="0B45AF52" w14:textId="4A9E514D" w:rsidR="00DD2618" w:rsidRDefault="00DD2618" w:rsidP="00DD2618">
            <w:r>
              <w:rPr>
                <w:rFonts w:ascii="Arial" w:hAnsi="Arial" w:cs="Arial"/>
                <w:b/>
                <w:bCs/>
                <w:sz w:val="18"/>
                <w:szCs w:val="18"/>
              </w:rPr>
              <w:t>CZ14</w:t>
            </w:r>
          </w:p>
        </w:tc>
        <w:tc>
          <w:tcPr>
            <w:tcW w:w="2520" w:type="dxa"/>
            <w:vAlign w:val="bottom"/>
          </w:tcPr>
          <w:p w14:paraId="0B63900B" w14:textId="2662E028" w:rsidR="00DD2618" w:rsidRPr="00004764" w:rsidRDefault="00004764" w:rsidP="00DD2618">
            <w:pPr>
              <w:jc w:val="center"/>
              <w:rPr>
                <w:rFonts w:ascii="Arial" w:hAnsi="Arial" w:cs="Arial"/>
                <w:sz w:val="20"/>
                <w:szCs w:val="20"/>
              </w:rPr>
            </w:pPr>
            <w:r w:rsidRPr="00004764">
              <w:rPr>
                <w:rFonts w:ascii="Arial" w:hAnsi="Arial" w:cs="Arial"/>
                <w:sz w:val="20"/>
                <w:szCs w:val="20"/>
              </w:rPr>
              <w:t>0.69</w:t>
            </w:r>
          </w:p>
        </w:tc>
      </w:tr>
      <w:tr w:rsidR="00DD2618" w14:paraId="7245EC2E" w14:textId="77777777" w:rsidTr="00CB63F2">
        <w:tc>
          <w:tcPr>
            <w:tcW w:w="895" w:type="dxa"/>
          </w:tcPr>
          <w:p w14:paraId="746BC897" w14:textId="36A1DD40" w:rsidR="00DD2618" w:rsidRDefault="00DD2618" w:rsidP="00DD2618">
            <w:r>
              <w:rPr>
                <w:rFonts w:ascii="Arial" w:hAnsi="Arial" w:cs="Arial"/>
                <w:b/>
                <w:bCs/>
                <w:sz w:val="18"/>
                <w:szCs w:val="18"/>
              </w:rPr>
              <w:t>CZ15</w:t>
            </w:r>
          </w:p>
        </w:tc>
        <w:tc>
          <w:tcPr>
            <w:tcW w:w="2520" w:type="dxa"/>
            <w:vAlign w:val="bottom"/>
          </w:tcPr>
          <w:p w14:paraId="65FB3C51" w14:textId="2AC6D8C2" w:rsidR="00DD2618" w:rsidRPr="00004764" w:rsidRDefault="00004764" w:rsidP="00DD2618">
            <w:pPr>
              <w:jc w:val="center"/>
              <w:rPr>
                <w:rFonts w:ascii="Arial" w:hAnsi="Arial" w:cs="Arial"/>
                <w:sz w:val="20"/>
                <w:szCs w:val="20"/>
              </w:rPr>
            </w:pPr>
            <w:r w:rsidRPr="00004764">
              <w:rPr>
                <w:rFonts w:ascii="Arial" w:hAnsi="Arial" w:cs="Arial"/>
                <w:sz w:val="20"/>
                <w:szCs w:val="20"/>
              </w:rPr>
              <w:t>0.52</w:t>
            </w:r>
          </w:p>
        </w:tc>
      </w:tr>
      <w:tr w:rsidR="00DD2618" w14:paraId="2ABD487E" w14:textId="77777777" w:rsidTr="00CB63F2">
        <w:tc>
          <w:tcPr>
            <w:tcW w:w="895" w:type="dxa"/>
          </w:tcPr>
          <w:p w14:paraId="7F828B1B" w14:textId="7AB1B7C3" w:rsidR="00DD2618" w:rsidRDefault="00DD2618" w:rsidP="00DD2618">
            <w:r>
              <w:rPr>
                <w:rFonts w:ascii="Arial" w:hAnsi="Arial" w:cs="Arial"/>
                <w:b/>
                <w:bCs/>
                <w:sz w:val="18"/>
                <w:szCs w:val="18"/>
              </w:rPr>
              <w:t>CZ16</w:t>
            </w:r>
          </w:p>
        </w:tc>
        <w:tc>
          <w:tcPr>
            <w:tcW w:w="2520" w:type="dxa"/>
            <w:vAlign w:val="bottom"/>
          </w:tcPr>
          <w:p w14:paraId="4E1F8850" w14:textId="0EE3BA0A" w:rsidR="00DD2618" w:rsidRDefault="00DD2618" w:rsidP="00DD2618">
            <w:pPr>
              <w:jc w:val="center"/>
            </w:pPr>
            <w:r>
              <w:rPr>
                <w:rFonts w:ascii="Arial" w:hAnsi="Arial" w:cs="Arial"/>
                <w:sz w:val="20"/>
                <w:szCs w:val="20"/>
              </w:rPr>
              <w:t>0.22</w:t>
            </w:r>
          </w:p>
        </w:tc>
      </w:tr>
    </w:tbl>
    <w:p w14:paraId="3F1FF231" w14:textId="0F51B8C4" w:rsidR="00DD2618" w:rsidRDefault="00DD2618" w:rsidP="00047FC1"/>
    <w:p w14:paraId="4D29FFCF" w14:textId="4DC232B1" w:rsidR="00AC68A4" w:rsidRDefault="00210034" w:rsidP="00047FC1">
      <w:r>
        <w:rPr>
          <w:rFonts w:ascii="Arial" w:hAnsi="Arial" w:cs="Arial"/>
          <w:b/>
          <w:bCs/>
          <w:sz w:val="18"/>
          <w:szCs w:val="18"/>
        </w:rPr>
        <w:t>SWHC039-04 Updated Gas Thermostat Optimization Savings</w:t>
      </w:r>
    </w:p>
    <w:tbl>
      <w:tblPr>
        <w:tblStyle w:val="TableGrid"/>
        <w:tblW w:w="0" w:type="auto"/>
        <w:tblLook w:val="04A0" w:firstRow="1" w:lastRow="0" w:firstColumn="1" w:lastColumn="0" w:noHBand="0" w:noVBand="1"/>
      </w:tblPr>
      <w:tblGrid>
        <w:gridCol w:w="895"/>
        <w:gridCol w:w="1170"/>
        <w:gridCol w:w="1170"/>
        <w:gridCol w:w="1208"/>
      </w:tblGrid>
      <w:tr w:rsidR="00715E9E" w14:paraId="66CA749B" w14:textId="77777777" w:rsidTr="00CB63F2">
        <w:tc>
          <w:tcPr>
            <w:tcW w:w="895" w:type="dxa"/>
            <w:vMerge w:val="restart"/>
          </w:tcPr>
          <w:p w14:paraId="75DA7044" w14:textId="77777777" w:rsidR="00715E9E" w:rsidRDefault="00715E9E" w:rsidP="00715E9E">
            <w:pPr>
              <w:jc w:val="center"/>
              <w:rPr>
                <w:rFonts w:ascii="Arial" w:hAnsi="Arial" w:cs="Arial"/>
                <w:b/>
                <w:bCs/>
                <w:sz w:val="18"/>
                <w:szCs w:val="18"/>
              </w:rPr>
            </w:pPr>
          </w:p>
          <w:p w14:paraId="47FCD35F" w14:textId="0B3E7350" w:rsidR="00715E9E" w:rsidRDefault="00715E9E" w:rsidP="00715E9E">
            <w:pPr>
              <w:jc w:val="center"/>
            </w:pPr>
            <w:r>
              <w:rPr>
                <w:rFonts w:ascii="Arial" w:hAnsi="Arial" w:cs="Arial"/>
                <w:b/>
                <w:bCs/>
                <w:sz w:val="18"/>
                <w:szCs w:val="18"/>
              </w:rPr>
              <w:t>Climate</w:t>
            </w:r>
          </w:p>
        </w:tc>
        <w:tc>
          <w:tcPr>
            <w:tcW w:w="3548" w:type="dxa"/>
            <w:gridSpan w:val="3"/>
          </w:tcPr>
          <w:p w14:paraId="2D99226D" w14:textId="2163C30C" w:rsidR="00715E9E" w:rsidRDefault="00715E9E" w:rsidP="00DD2618">
            <w:pPr>
              <w:jc w:val="center"/>
            </w:pPr>
            <w:r>
              <w:rPr>
                <w:rFonts w:ascii="Arial" w:hAnsi="Arial" w:cs="Arial"/>
                <w:b/>
                <w:bCs/>
                <w:sz w:val="18"/>
                <w:szCs w:val="18"/>
              </w:rPr>
              <w:t>Thermostat Optimization Gas Heating</w:t>
            </w:r>
            <w:r>
              <w:rPr>
                <w:rFonts w:ascii="Arial" w:hAnsi="Arial" w:cs="Arial"/>
                <w:b/>
                <w:bCs/>
                <w:sz w:val="18"/>
                <w:szCs w:val="18"/>
              </w:rPr>
              <w:br/>
              <w:t>(</w:t>
            </w:r>
            <w:proofErr w:type="spellStart"/>
            <w:r>
              <w:rPr>
                <w:rFonts w:ascii="Arial" w:hAnsi="Arial" w:cs="Arial"/>
                <w:b/>
                <w:bCs/>
                <w:sz w:val="18"/>
                <w:szCs w:val="18"/>
              </w:rPr>
              <w:t>Therm</w:t>
            </w:r>
            <w:proofErr w:type="spellEnd"/>
            <w:r>
              <w:rPr>
                <w:rFonts w:ascii="Arial" w:hAnsi="Arial" w:cs="Arial"/>
                <w:b/>
                <w:bCs/>
                <w:sz w:val="18"/>
                <w:szCs w:val="18"/>
              </w:rPr>
              <w:t>/</w:t>
            </w:r>
            <w:proofErr w:type="spellStart"/>
            <w:r>
              <w:rPr>
                <w:rFonts w:ascii="Arial" w:hAnsi="Arial" w:cs="Arial"/>
                <w:b/>
                <w:bCs/>
                <w:sz w:val="18"/>
                <w:szCs w:val="18"/>
              </w:rPr>
              <w:t>yr</w:t>
            </w:r>
            <w:proofErr w:type="spellEnd"/>
            <w:r>
              <w:rPr>
                <w:rFonts w:ascii="Arial" w:hAnsi="Arial" w:cs="Arial"/>
                <w:b/>
                <w:bCs/>
                <w:sz w:val="18"/>
                <w:szCs w:val="18"/>
              </w:rPr>
              <w:t>)</w:t>
            </w:r>
          </w:p>
        </w:tc>
      </w:tr>
      <w:tr w:rsidR="00CB63F2" w14:paraId="6D253397" w14:textId="77777777" w:rsidTr="00CB63F2">
        <w:tc>
          <w:tcPr>
            <w:tcW w:w="895" w:type="dxa"/>
            <w:vMerge/>
            <w:vAlign w:val="bottom"/>
          </w:tcPr>
          <w:p w14:paraId="7FE8434F" w14:textId="362C4CAB" w:rsidR="00CB63F2" w:rsidRDefault="00CB63F2" w:rsidP="00CB63F2"/>
        </w:tc>
        <w:tc>
          <w:tcPr>
            <w:tcW w:w="1170" w:type="dxa"/>
            <w:vAlign w:val="bottom"/>
          </w:tcPr>
          <w:p w14:paraId="0C6B2836" w14:textId="02DE7383" w:rsidR="00CB63F2" w:rsidRDefault="00CB63F2" w:rsidP="00CB63F2">
            <w:pPr>
              <w:jc w:val="center"/>
            </w:pPr>
            <w:proofErr w:type="spellStart"/>
            <w:r>
              <w:rPr>
                <w:rFonts w:ascii="Arial" w:hAnsi="Arial" w:cs="Arial"/>
                <w:b/>
                <w:bCs/>
                <w:color w:val="000000"/>
                <w:sz w:val="18"/>
                <w:szCs w:val="18"/>
              </w:rPr>
              <w:t>DMo</w:t>
            </w:r>
            <w:proofErr w:type="spellEnd"/>
          </w:p>
        </w:tc>
        <w:tc>
          <w:tcPr>
            <w:tcW w:w="1170" w:type="dxa"/>
            <w:vAlign w:val="bottom"/>
          </w:tcPr>
          <w:p w14:paraId="05F2527F" w14:textId="3E065885" w:rsidR="00CB63F2" w:rsidRDefault="00CB63F2" w:rsidP="00CB63F2">
            <w:pPr>
              <w:jc w:val="center"/>
            </w:pPr>
            <w:proofErr w:type="spellStart"/>
            <w:r>
              <w:rPr>
                <w:rFonts w:ascii="Arial" w:hAnsi="Arial" w:cs="Arial"/>
                <w:b/>
                <w:bCs/>
                <w:color w:val="000000"/>
                <w:sz w:val="18"/>
                <w:szCs w:val="18"/>
              </w:rPr>
              <w:t>MFm</w:t>
            </w:r>
            <w:proofErr w:type="spellEnd"/>
          </w:p>
        </w:tc>
        <w:tc>
          <w:tcPr>
            <w:tcW w:w="1208" w:type="dxa"/>
            <w:vAlign w:val="bottom"/>
          </w:tcPr>
          <w:p w14:paraId="3C53926D" w14:textId="5A6E34EE" w:rsidR="00CB63F2" w:rsidRDefault="00CB63F2" w:rsidP="00CB63F2">
            <w:pPr>
              <w:jc w:val="center"/>
            </w:pPr>
            <w:proofErr w:type="spellStart"/>
            <w:r>
              <w:rPr>
                <w:rFonts w:ascii="Arial" w:hAnsi="Arial" w:cs="Arial"/>
                <w:b/>
                <w:bCs/>
                <w:color w:val="000000"/>
                <w:sz w:val="18"/>
                <w:szCs w:val="18"/>
              </w:rPr>
              <w:t>SFm</w:t>
            </w:r>
            <w:proofErr w:type="spellEnd"/>
          </w:p>
        </w:tc>
      </w:tr>
      <w:tr w:rsidR="00804960" w14:paraId="29FDBEBC" w14:textId="77777777" w:rsidTr="00CB63F2">
        <w:tc>
          <w:tcPr>
            <w:tcW w:w="895" w:type="dxa"/>
            <w:vAlign w:val="bottom"/>
          </w:tcPr>
          <w:p w14:paraId="47391972" w14:textId="108A68D1" w:rsidR="00804960" w:rsidRDefault="00804960" w:rsidP="00804960">
            <w:r>
              <w:rPr>
                <w:rFonts w:ascii="Arial" w:hAnsi="Arial" w:cs="Arial"/>
                <w:b/>
                <w:bCs/>
                <w:sz w:val="18"/>
                <w:szCs w:val="18"/>
              </w:rPr>
              <w:t>CZ01</w:t>
            </w:r>
          </w:p>
        </w:tc>
        <w:tc>
          <w:tcPr>
            <w:tcW w:w="1170" w:type="dxa"/>
          </w:tcPr>
          <w:p w14:paraId="74921256" w14:textId="40E61641" w:rsidR="00804960" w:rsidRDefault="00804960" w:rsidP="00804960">
            <w:pPr>
              <w:jc w:val="center"/>
            </w:pPr>
            <w:r>
              <w:rPr>
                <w:rFonts w:ascii="Arial" w:hAnsi="Arial" w:cs="Arial"/>
                <w:color w:val="000000"/>
                <w:sz w:val="18"/>
                <w:szCs w:val="18"/>
              </w:rPr>
              <w:t>7.3</w:t>
            </w:r>
          </w:p>
        </w:tc>
        <w:tc>
          <w:tcPr>
            <w:tcW w:w="1170" w:type="dxa"/>
          </w:tcPr>
          <w:p w14:paraId="22D66AF9" w14:textId="0AD5E6FA" w:rsidR="00804960" w:rsidRDefault="00804960" w:rsidP="00804960">
            <w:pPr>
              <w:jc w:val="center"/>
            </w:pPr>
            <w:r>
              <w:rPr>
                <w:rFonts w:ascii="Arial" w:hAnsi="Arial" w:cs="Arial"/>
                <w:color w:val="000000"/>
                <w:sz w:val="18"/>
                <w:szCs w:val="18"/>
              </w:rPr>
              <w:t>3.5</w:t>
            </w:r>
          </w:p>
        </w:tc>
        <w:tc>
          <w:tcPr>
            <w:tcW w:w="1208" w:type="dxa"/>
          </w:tcPr>
          <w:p w14:paraId="16D2A482" w14:textId="78244C8F" w:rsidR="00804960" w:rsidRDefault="00804960" w:rsidP="00804960">
            <w:pPr>
              <w:jc w:val="center"/>
            </w:pPr>
            <w:r>
              <w:rPr>
                <w:rFonts w:ascii="Arial" w:hAnsi="Arial" w:cs="Arial"/>
                <w:color w:val="000000"/>
                <w:sz w:val="18"/>
                <w:szCs w:val="18"/>
              </w:rPr>
              <w:t>9.5</w:t>
            </w:r>
          </w:p>
        </w:tc>
      </w:tr>
      <w:tr w:rsidR="00804960" w14:paraId="25718B9B" w14:textId="77777777" w:rsidTr="00CB63F2">
        <w:tc>
          <w:tcPr>
            <w:tcW w:w="895" w:type="dxa"/>
          </w:tcPr>
          <w:p w14:paraId="068AEBEC" w14:textId="28E3C23D" w:rsidR="00804960" w:rsidRDefault="00804960" w:rsidP="00804960">
            <w:r>
              <w:rPr>
                <w:rFonts w:ascii="Arial" w:hAnsi="Arial" w:cs="Arial"/>
                <w:b/>
                <w:bCs/>
                <w:sz w:val="18"/>
                <w:szCs w:val="18"/>
              </w:rPr>
              <w:t>CZ02</w:t>
            </w:r>
          </w:p>
        </w:tc>
        <w:tc>
          <w:tcPr>
            <w:tcW w:w="1170" w:type="dxa"/>
          </w:tcPr>
          <w:p w14:paraId="1A896400" w14:textId="666D7888" w:rsidR="00804960" w:rsidRDefault="00804960" w:rsidP="00804960">
            <w:pPr>
              <w:jc w:val="center"/>
            </w:pPr>
            <w:r>
              <w:rPr>
                <w:rFonts w:ascii="Arial" w:hAnsi="Arial" w:cs="Arial"/>
                <w:color w:val="000000"/>
                <w:sz w:val="18"/>
                <w:szCs w:val="18"/>
              </w:rPr>
              <w:t>4.4</w:t>
            </w:r>
          </w:p>
        </w:tc>
        <w:tc>
          <w:tcPr>
            <w:tcW w:w="1170" w:type="dxa"/>
          </w:tcPr>
          <w:p w14:paraId="23CE0E5F" w14:textId="2EE5567A" w:rsidR="00804960" w:rsidRDefault="00804960" w:rsidP="00804960">
            <w:pPr>
              <w:jc w:val="center"/>
            </w:pPr>
            <w:r>
              <w:rPr>
                <w:rFonts w:ascii="Arial" w:hAnsi="Arial" w:cs="Arial"/>
                <w:color w:val="000000"/>
                <w:sz w:val="18"/>
                <w:szCs w:val="18"/>
              </w:rPr>
              <w:t>1.4</w:t>
            </w:r>
          </w:p>
        </w:tc>
        <w:tc>
          <w:tcPr>
            <w:tcW w:w="1208" w:type="dxa"/>
          </w:tcPr>
          <w:p w14:paraId="330A1918" w14:textId="5E7053EC" w:rsidR="00804960" w:rsidRDefault="00804960" w:rsidP="00804960">
            <w:pPr>
              <w:jc w:val="center"/>
            </w:pPr>
            <w:r>
              <w:rPr>
                <w:rFonts w:ascii="Arial" w:hAnsi="Arial" w:cs="Arial"/>
                <w:color w:val="000000"/>
                <w:sz w:val="18"/>
                <w:szCs w:val="18"/>
              </w:rPr>
              <w:t>6.2</w:t>
            </w:r>
          </w:p>
        </w:tc>
      </w:tr>
      <w:tr w:rsidR="00804960" w14:paraId="1EC79557" w14:textId="77777777" w:rsidTr="00CB63F2">
        <w:tc>
          <w:tcPr>
            <w:tcW w:w="895" w:type="dxa"/>
          </w:tcPr>
          <w:p w14:paraId="100583A4" w14:textId="449F6D5C" w:rsidR="00804960" w:rsidRDefault="00804960" w:rsidP="00804960">
            <w:r>
              <w:rPr>
                <w:rFonts w:ascii="Arial" w:hAnsi="Arial" w:cs="Arial"/>
                <w:b/>
                <w:bCs/>
                <w:sz w:val="18"/>
                <w:szCs w:val="18"/>
              </w:rPr>
              <w:t>CZ03</w:t>
            </w:r>
          </w:p>
        </w:tc>
        <w:tc>
          <w:tcPr>
            <w:tcW w:w="1170" w:type="dxa"/>
          </w:tcPr>
          <w:p w14:paraId="3E97E53F" w14:textId="266E0660" w:rsidR="00804960" w:rsidRDefault="00804960" w:rsidP="00804960">
            <w:pPr>
              <w:jc w:val="center"/>
            </w:pPr>
            <w:r>
              <w:rPr>
                <w:rFonts w:ascii="Arial" w:hAnsi="Arial" w:cs="Arial"/>
                <w:color w:val="000000"/>
                <w:sz w:val="18"/>
                <w:szCs w:val="18"/>
              </w:rPr>
              <w:t>4.5</w:t>
            </w:r>
          </w:p>
        </w:tc>
        <w:tc>
          <w:tcPr>
            <w:tcW w:w="1170" w:type="dxa"/>
          </w:tcPr>
          <w:p w14:paraId="64428457" w14:textId="5CBAC333" w:rsidR="00804960" w:rsidRDefault="00804960" w:rsidP="00804960">
            <w:pPr>
              <w:jc w:val="center"/>
            </w:pPr>
            <w:r>
              <w:rPr>
                <w:rFonts w:ascii="Arial" w:hAnsi="Arial" w:cs="Arial"/>
                <w:color w:val="000000"/>
                <w:sz w:val="18"/>
                <w:szCs w:val="18"/>
              </w:rPr>
              <w:t>2.0</w:t>
            </w:r>
          </w:p>
        </w:tc>
        <w:tc>
          <w:tcPr>
            <w:tcW w:w="1208" w:type="dxa"/>
          </w:tcPr>
          <w:p w14:paraId="66DBF15E" w14:textId="2A6D623A" w:rsidR="00804960" w:rsidRDefault="00804960" w:rsidP="00804960">
            <w:pPr>
              <w:jc w:val="center"/>
            </w:pPr>
            <w:r>
              <w:rPr>
                <w:rFonts w:ascii="Arial" w:hAnsi="Arial" w:cs="Arial"/>
                <w:color w:val="000000"/>
                <w:sz w:val="18"/>
                <w:szCs w:val="18"/>
              </w:rPr>
              <w:t>5.9</w:t>
            </w:r>
          </w:p>
        </w:tc>
      </w:tr>
      <w:tr w:rsidR="00804960" w14:paraId="76A047B0" w14:textId="77777777" w:rsidTr="00CB63F2">
        <w:tc>
          <w:tcPr>
            <w:tcW w:w="895" w:type="dxa"/>
          </w:tcPr>
          <w:p w14:paraId="69B8FD8D" w14:textId="33333C0A" w:rsidR="00804960" w:rsidRDefault="00804960" w:rsidP="00804960">
            <w:r>
              <w:rPr>
                <w:rFonts w:ascii="Arial" w:hAnsi="Arial" w:cs="Arial"/>
                <w:b/>
                <w:bCs/>
                <w:sz w:val="18"/>
                <w:szCs w:val="18"/>
              </w:rPr>
              <w:t>CZ04</w:t>
            </w:r>
          </w:p>
        </w:tc>
        <w:tc>
          <w:tcPr>
            <w:tcW w:w="1170" w:type="dxa"/>
          </w:tcPr>
          <w:p w14:paraId="78E3E6FB" w14:textId="50E950C7" w:rsidR="00804960" w:rsidRDefault="00804960" w:rsidP="00804960">
            <w:pPr>
              <w:jc w:val="center"/>
            </w:pPr>
            <w:r>
              <w:rPr>
                <w:rFonts w:ascii="Arial" w:hAnsi="Arial" w:cs="Arial"/>
                <w:color w:val="000000"/>
                <w:sz w:val="18"/>
                <w:szCs w:val="18"/>
              </w:rPr>
              <w:t>4.2</w:t>
            </w:r>
          </w:p>
        </w:tc>
        <w:tc>
          <w:tcPr>
            <w:tcW w:w="1170" w:type="dxa"/>
          </w:tcPr>
          <w:p w14:paraId="5A212670" w14:textId="46125942" w:rsidR="00804960" w:rsidRDefault="00804960" w:rsidP="00804960">
            <w:pPr>
              <w:jc w:val="center"/>
            </w:pPr>
            <w:r>
              <w:rPr>
                <w:rFonts w:ascii="Arial" w:hAnsi="Arial" w:cs="Arial"/>
                <w:color w:val="000000"/>
                <w:sz w:val="18"/>
                <w:szCs w:val="18"/>
              </w:rPr>
              <w:t>2.0</w:t>
            </w:r>
          </w:p>
        </w:tc>
        <w:tc>
          <w:tcPr>
            <w:tcW w:w="1208" w:type="dxa"/>
          </w:tcPr>
          <w:p w14:paraId="44CC8F3F" w14:textId="47B9A332" w:rsidR="00804960" w:rsidRDefault="00804960" w:rsidP="00804960">
            <w:pPr>
              <w:jc w:val="center"/>
            </w:pPr>
            <w:r>
              <w:rPr>
                <w:rFonts w:ascii="Arial" w:hAnsi="Arial" w:cs="Arial"/>
                <w:color w:val="000000"/>
                <w:sz w:val="18"/>
                <w:szCs w:val="18"/>
              </w:rPr>
              <w:t>5.6</w:t>
            </w:r>
          </w:p>
        </w:tc>
      </w:tr>
      <w:tr w:rsidR="00804960" w14:paraId="1A292EDA" w14:textId="77777777" w:rsidTr="00CB63F2">
        <w:tc>
          <w:tcPr>
            <w:tcW w:w="895" w:type="dxa"/>
          </w:tcPr>
          <w:p w14:paraId="7DEB290A" w14:textId="4F930866" w:rsidR="00804960" w:rsidRDefault="00804960" w:rsidP="00804960">
            <w:r>
              <w:rPr>
                <w:rFonts w:ascii="Arial" w:hAnsi="Arial" w:cs="Arial"/>
                <w:b/>
                <w:bCs/>
                <w:sz w:val="18"/>
                <w:szCs w:val="18"/>
              </w:rPr>
              <w:t>CZ05</w:t>
            </w:r>
          </w:p>
        </w:tc>
        <w:tc>
          <w:tcPr>
            <w:tcW w:w="1170" w:type="dxa"/>
          </w:tcPr>
          <w:p w14:paraId="41925972" w14:textId="712E8FD1" w:rsidR="00804960" w:rsidRDefault="00804960" w:rsidP="00804960">
            <w:pPr>
              <w:jc w:val="center"/>
            </w:pPr>
            <w:r>
              <w:rPr>
                <w:rFonts w:ascii="Arial" w:hAnsi="Arial" w:cs="Arial"/>
                <w:color w:val="000000"/>
                <w:sz w:val="18"/>
                <w:szCs w:val="18"/>
              </w:rPr>
              <w:t>4.2</w:t>
            </w:r>
          </w:p>
        </w:tc>
        <w:tc>
          <w:tcPr>
            <w:tcW w:w="1170" w:type="dxa"/>
          </w:tcPr>
          <w:p w14:paraId="267E4B26" w14:textId="7C42371D" w:rsidR="00804960" w:rsidRDefault="00804960" w:rsidP="00804960">
            <w:pPr>
              <w:jc w:val="center"/>
            </w:pPr>
            <w:r>
              <w:rPr>
                <w:rFonts w:ascii="Arial" w:hAnsi="Arial" w:cs="Arial"/>
                <w:color w:val="000000"/>
                <w:sz w:val="18"/>
                <w:szCs w:val="18"/>
              </w:rPr>
              <w:t>1.6</w:t>
            </w:r>
          </w:p>
        </w:tc>
        <w:tc>
          <w:tcPr>
            <w:tcW w:w="1208" w:type="dxa"/>
          </w:tcPr>
          <w:p w14:paraId="5615B763" w14:textId="7F49698A" w:rsidR="00804960" w:rsidRDefault="00804960" w:rsidP="00804960">
            <w:pPr>
              <w:jc w:val="center"/>
            </w:pPr>
            <w:r>
              <w:rPr>
                <w:rFonts w:ascii="Arial" w:hAnsi="Arial" w:cs="Arial"/>
                <w:color w:val="000000"/>
                <w:sz w:val="18"/>
                <w:szCs w:val="18"/>
              </w:rPr>
              <w:t>5.8</w:t>
            </w:r>
          </w:p>
        </w:tc>
      </w:tr>
      <w:tr w:rsidR="00804960" w14:paraId="7C83BA67" w14:textId="77777777" w:rsidTr="00CB63F2">
        <w:tc>
          <w:tcPr>
            <w:tcW w:w="895" w:type="dxa"/>
          </w:tcPr>
          <w:p w14:paraId="38F72B86" w14:textId="56B616CE" w:rsidR="00804960" w:rsidRDefault="00804960" w:rsidP="00804960">
            <w:r>
              <w:rPr>
                <w:rFonts w:ascii="Arial" w:hAnsi="Arial" w:cs="Arial"/>
                <w:b/>
                <w:bCs/>
                <w:sz w:val="18"/>
                <w:szCs w:val="18"/>
              </w:rPr>
              <w:t>CZ06</w:t>
            </w:r>
          </w:p>
        </w:tc>
        <w:tc>
          <w:tcPr>
            <w:tcW w:w="1170" w:type="dxa"/>
          </w:tcPr>
          <w:p w14:paraId="7D4D94B5" w14:textId="6ED40D43" w:rsidR="00804960" w:rsidRDefault="00804960" w:rsidP="00804960">
            <w:pPr>
              <w:jc w:val="center"/>
            </w:pPr>
            <w:r>
              <w:rPr>
                <w:rFonts w:ascii="Arial" w:hAnsi="Arial" w:cs="Arial"/>
                <w:color w:val="000000"/>
                <w:sz w:val="18"/>
                <w:szCs w:val="18"/>
              </w:rPr>
              <w:t>1.5</w:t>
            </w:r>
          </w:p>
        </w:tc>
        <w:tc>
          <w:tcPr>
            <w:tcW w:w="1170" w:type="dxa"/>
          </w:tcPr>
          <w:p w14:paraId="244EEC93" w14:textId="20FFB53F" w:rsidR="00804960" w:rsidRDefault="00804960" w:rsidP="00804960">
            <w:pPr>
              <w:jc w:val="center"/>
            </w:pPr>
            <w:r>
              <w:rPr>
                <w:rFonts w:ascii="Arial" w:hAnsi="Arial" w:cs="Arial"/>
                <w:color w:val="000000"/>
                <w:sz w:val="18"/>
                <w:szCs w:val="18"/>
              </w:rPr>
              <w:t>0.4</w:t>
            </w:r>
          </w:p>
        </w:tc>
        <w:tc>
          <w:tcPr>
            <w:tcW w:w="1208" w:type="dxa"/>
          </w:tcPr>
          <w:p w14:paraId="02D690F5" w14:textId="792E8395" w:rsidR="00804960" w:rsidRDefault="00804960" w:rsidP="00804960">
            <w:pPr>
              <w:jc w:val="center"/>
            </w:pPr>
            <w:r>
              <w:rPr>
                <w:rFonts w:ascii="Arial" w:hAnsi="Arial" w:cs="Arial"/>
                <w:color w:val="000000"/>
                <w:sz w:val="18"/>
                <w:szCs w:val="18"/>
              </w:rPr>
              <w:t>2.1</w:t>
            </w:r>
          </w:p>
        </w:tc>
      </w:tr>
      <w:tr w:rsidR="00804960" w14:paraId="06FF97F7" w14:textId="77777777" w:rsidTr="00CB63F2">
        <w:tc>
          <w:tcPr>
            <w:tcW w:w="895" w:type="dxa"/>
          </w:tcPr>
          <w:p w14:paraId="6492F27C" w14:textId="2295D04D" w:rsidR="00804960" w:rsidRDefault="00804960" w:rsidP="00804960">
            <w:r>
              <w:rPr>
                <w:rFonts w:ascii="Arial" w:hAnsi="Arial" w:cs="Arial"/>
                <w:b/>
                <w:bCs/>
                <w:sz w:val="18"/>
                <w:szCs w:val="18"/>
              </w:rPr>
              <w:t>CZ07</w:t>
            </w:r>
          </w:p>
        </w:tc>
        <w:tc>
          <w:tcPr>
            <w:tcW w:w="1170" w:type="dxa"/>
          </w:tcPr>
          <w:p w14:paraId="746D738F" w14:textId="6C8965BB" w:rsidR="00804960" w:rsidRDefault="00804960" w:rsidP="00804960">
            <w:pPr>
              <w:jc w:val="center"/>
            </w:pPr>
            <w:r>
              <w:rPr>
                <w:rFonts w:ascii="Arial" w:hAnsi="Arial" w:cs="Arial"/>
                <w:color w:val="000000"/>
                <w:sz w:val="18"/>
                <w:szCs w:val="18"/>
              </w:rPr>
              <w:t>1.5</w:t>
            </w:r>
          </w:p>
        </w:tc>
        <w:tc>
          <w:tcPr>
            <w:tcW w:w="1170" w:type="dxa"/>
          </w:tcPr>
          <w:p w14:paraId="25F72019" w14:textId="12BEA67F" w:rsidR="00804960" w:rsidRDefault="00804960" w:rsidP="00804960">
            <w:pPr>
              <w:jc w:val="center"/>
            </w:pPr>
            <w:r>
              <w:rPr>
                <w:rFonts w:ascii="Arial" w:hAnsi="Arial" w:cs="Arial"/>
                <w:color w:val="000000"/>
                <w:sz w:val="18"/>
                <w:szCs w:val="18"/>
              </w:rPr>
              <w:t>0.7</w:t>
            </w:r>
          </w:p>
        </w:tc>
        <w:tc>
          <w:tcPr>
            <w:tcW w:w="1208" w:type="dxa"/>
          </w:tcPr>
          <w:p w14:paraId="14972F55" w14:textId="7E9D12D7" w:rsidR="00804960" w:rsidRDefault="00804960" w:rsidP="00804960">
            <w:pPr>
              <w:jc w:val="center"/>
            </w:pPr>
            <w:r>
              <w:rPr>
                <w:rFonts w:ascii="Arial" w:hAnsi="Arial" w:cs="Arial"/>
                <w:color w:val="000000"/>
                <w:sz w:val="18"/>
                <w:szCs w:val="18"/>
              </w:rPr>
              <w:t>1.9</w:t>
            </w:r>
          </w:p>
        </w:tc>
      </w:tr>
      <w:tr w:rsidR="00804960" w14:paraId="25134386" w14:textId="77777777" w:rsidTr="00CB63F2">
        <w:tc>
          <w:tcPr>
            <w:tcW w:w="895" w:type="dxa"/>
          </w:tcPr>
          <w:p w14:paraId="1675882B" w14:textId="6864F04A" w:rsidR="00804960" w:rsidRDefault="00804960" w:rsidP="00804960">
            <w:r>
              <w:rPr>
                <w:rFonts w:ascii="Arial" w:hAnsi="Arial" w:cs="Arial"/>
                <w:b/>
                <w:bCs/>
                <w:sz w:val="18"/>
                <w:szCs w:val="18"/>
              </w:rPr>
              <w:t>CZ08</w:t>
            </w:r>
          </w:p>
        </w:tc>
        <w:tc>
          <w:tcPr>
            <w:tcW w:w="1170" w:type="dxa"/>
          </w:tcPr>
          <w:p w14:paraId="35F59E42" w14:textId="7E3F64C5" w:rsidR="00804960" w:rsidRDefault="00804960" w:rsidP="00804960">
            <w:pPr>
              <w:jc w:val="center"/>
            </w:pPr>
            <w:r>
              <w:rPr>
                <w:rFonts w:ascii="Arial" w:hAnsi="Arial" w:cs="Arial"/>
                <w:color w:val="000000"/>
                <w:sz w:val="18"/>
                <w:szCs w:val="18"/>
              </w:rPr>
              <w:t>1.7</w:t>
            </w:r>
          </w:p>
        </w:tc>
        <w:tc>
          <w:tcPr>
            <w:tcW w:w="1170" w:type="dxa"/>
          </w:tcPr>
          <w:p w14:paraId="2AC50C24" w14:textId="528F6554" w:rsidR="00804960" w:rsidRDefault="00804960" w:rsidP="00804960">
            <w:pPr>
              <w:jc w:val="center"/>
            </w:pPr>
            <w:r>
              <w:rPr>
                <w:rFonts w:ascii="Arial" w:hAnsi="Arial" w:cs="Arial"/>
                <w:color w:val="000000"/>
                <w:sz w:val="18"/>
                <w:szCs w:val="18"/>
              </w:rPr>
              <w:t>0.4</w:t>
            </w:r>
          </w:p>
        </w:tc>
        <w:tc>
          <w:tcPr>
            <w:tcW w:w="1208" w:type="dxa"/>
          </w:tcPr>
          <w:p w14:paraId="646F8376" w14:textId="473EB94A" w:rsidR="00804960" w:rsidRDefault="00804960" w:rsidP="00804960">
            <w:pPr>
              <w:jc w:val="center"/>
            </w:pPr>
            <w:r>
              <w:rPr>
                <w:rFonts w:ascii="Arial" w:hAnsi="Arial" w:cs="Arial"/>
                <w:color w:val="000000"/>
                <w:sz w:val="18"/>
                <w:szCs w:val="18"/>
              </w:rPr>
              <w:t>2.4</w:t>
            </w:r>
          </w:p>
        </w:tc>
      </w:tr>
      <w:tr w:rsidR="00804960" w14:paraId="5A9692BD" w14:textId="77777777" w:rsidTr="00CB63F2">
        <w:tc>
          <w:tcPr>
            <w:tcW w:w="895" w:type="dxa"/>
          </w:tcPr>
          <w:p w14:paraId="6F12369B" w14:textId="03632A51" w:rsidR="00804960" w:rsidRDefault="00804960" w:rsidP="00804960">
            <w:r>
              <w:rPr>
                <w:rFonts w:ascii="Arial" w:hAnsi="Arial" w:cs="Arial"/>
                <w:b/>
                <w:bCs/>
                <w:sz w:val="18"/>
                <w:szCs w:val="18"/>
              </w:rPr>
              <w:t>CZ09</w:t>
            </w:r>
          </w:p>
        </w:tc>
        <w:tc>
          <w:tcPr>
            <w:tcW w:w="1170" w:type="dxa"/>
          </w:tcPr>
          <w:p w14:paraId="28C5CABA" w14:textId="448030B3" w:rsidR="00804960" w:rsidRDefault="00804960" w:rsidP="00804960">
            <w:pPr>
              <w:jc w:val="center"/>
            </w:pPr>
            <w:r>
              <w:rPr>
                <w:rFonts w:ascii="Arial" w:hAnsi="Arial" w:cs="Arial"/>
                <w:color w:val="000000"/>
                <w:sz w:val="18"/>
                <w:szCs w:val="18"/>
              </w:rPr>
              <w:t>2.2</w:t>
            </w:r>
          </w:p>
        </w:tc>
        <w:tc>
          <w:tcPr>
            <w:tcW w:w="1170" w:type="dxa"/>
          </w:tcPr>
          <w:p w14:paraId="46FF0322" w14:textId="19D60F92" w:rsidR="00804960" w:rsidRDefault="00804960" w:rsidP="00804960">
            <w:pPr>
              <w:jc w:val="center"/>
            </w:pPr>
            <w:r>
              <w:rPr>
                <w:rFonts w:ascii="Arial" w:hAnsi="Arial" w:cs="Arial"/>
                <w:color w:val="000000"/>
                <w:sz w:val="18"/>
                <w:szCs w:val="18"/>
              </w:rPr>
              <w:t>0.7</w:t>
            </w:r>
          </w:p>
        </w:tc>
        <w:tc>
          <w:tcPr>
            <w:tcW w:w="1208" w:type="dxa"/>
          </w:tcPr>
          <w:p w14:paraId="402806B8" w14:textId="1E2BA957" w:rsidR="00804960" w:rsidRDefault="00804960" w:rsidP="00804960">
            <w:pPr>
              <w:jc w:val="center"/>
            </w:pPr>
            <w:r>
              <w:rPr>
                <w:rFonts w:ascii="Arial" w:hAnsi="Arial" w:cs="Arial"/>
                <w:color w:val="000000"/>
                <w:sz w:val="18"/>
                <w:szCs w:val="18"/>
              </w:rPr>
              <w:t>3.1</w:t>
            </w:r>
          </w:p>
        </w:tc>
      </w:tr>
      <w:tr w:rsidR="00804960" w14:paraId="6BFBF8EE" w14:textId="77777777" w:rsidTr="00CB63F2">
        <w:tc>
          <w:tcPr>
            <w:tcW w:w="895" w:type="dxa"/>
          </w:tcPr>
          <w:p w14:paraId="5D884AF4" w14:textId="0E5B1A54" w:rsidR="00804960" w:rsidRDefault="00804960" w:rsidP="00804960">
            <w:r>
              <w:rPr>
                <w:rFonts w:ascii="Arial" w:hAnsi="Arial" w:cs="Arial"/>
                <w:b/>
                <w:bCs/>
                <w:sz w:val="18"/>
                <w:szCs w:val="18"/>
              </w:rPr>
              <w:t>CZ10</w:t>
            </w:r>
          </w:p>
        </w:tc>
        <w:tc>
          <w:tcPr>
            <w:tcW w:w="1170" w:type="dxa"/>
          </w:tcPr>
          <w:p w14:paraId="50B05ADD" w14:textId="4A5E9BF6" w:rsidR="00804960" w:rsidRDefault="00804960" w:rsidP="00804960">
            <w:pPr>
              <w:jc w:val="center"/>
            </w:pPr>
            <w:r>
              <w:rPr>
                <w:rFonts w:ascii="Arial" w:hAnsi="Arial" w:cs="Arial"/>
                <w:color w:val="000000"/>
                <w:sz w:val="18"/>
                <w:szCs w:val="18"/>
              </w:rPr>
              <w:t>3.9</w:t>
            </w:r>
          </w:p>
        </w:tc>
        <w:tc>
          <w:tcPr>
            <w:tcW w:w="1170" w:type="dxa"/>
          </w:tcPr>
          <w:p w14:paraId="189AC387" w14:textId="4088FF78" w:rsidR="00804960" w:rsidRDefault="00804960" w:rsidP="00804960">
            <w:pPr>
              <w:jc w:val="center"/>
            </w:pPr>
            <w:r>
              <w:rPr>
                <w:rFonts w:ascii="Arial" w:hAnsi="Arial" w:cs="Arial"/>
                <w:color w:val="000000"/>
                <w:sz w:val="18"/>
                <w:szCs w:val="18"/>
              </w:rPr>
              <w:t>1.6</w:t>
            </w:r>
          </w:p>
        </w:tc>
        <w:tc>
          <w:tcPr>
            <w:tcW w:w="1208" w:type="dxa"/>
          </w:tcPr>
          <w:p w14:paraId="044BD376" w14:textId="16CE0E03" w:rsidR="00804960" w:rsidRDefault="00804960" w:rsidP="00804960">
            <w:pPr>
              <w:jc w:val="center"/>
            </w:pPr>
            <w:r>
              <w:rPr>
                <w:rFonts w:ascii="Arial" w:hAnsi="Arial" w:cs="Arial"/>
                <w:color w:val="000000"/>
                <w:sz w:val="18"/>
                <w:szCs w:val="18"/>
              </w:rPr>
              <w:t>5.3</w:t>
            </w:r>
          </w:p>
        </w:tc>
      </w:tr>
      <w:tr w:rsidR="00804960" w14:paraId="322E4F2B" w14:textId="77777777" w:rsidTr="00CB63F2">
        <w:tc>
          <w:tcPr>
            <w:tcW w:w="895" w:type="dxa"/>
          </w:tcPr>
          <w:p w14:paraId="3C89C2F7" w14:textId="580DC522" w:rsidR="00804960" w:rsidRDefault="00804960" w:rsidP="00804960">
            <w:r>
              <w:rPr>
                <w:rFonts w:ascii="Arial" w:hAnsi="Arial" w:cs="Arial"/>
                <w:b/>
                <w:bCs/>
                <w:sz w:val="18"/>
                <w:szCs w:val="18"/>
              </w:rPr>
              <w:t>CZ11</w:t>
            </w:r>
          </w:p>
        </w:tc>
        <w:tc>
          <w:tcPr>
            <w:tcW w:w="1170" w:type="dxa"/>
          </w:tcPr>
          <w:p w14:paraId="0C0944FE" w14:textId="5E0DE870" w:rsidR="00804960" w:rsidRDefault="00804960" w:rsidP="00804960">
            <w:pPr>
              <w:jc w:val="center"/>
            </w:pPr>
            <w:r>
              <w:rPr>
                <w:rFonts w:ascii="Arial" w:hAnsi="Arial" w:cs="Arial"/>
                <w:color w:val="000000"/>
                <w:sz w:val="18"/>
                <w:szCs w:val="18"/>
              </w:rPr>
              <w:t>4.1</w:t>
            </w:r>
          </w:p>
        </w:tc>
        <w:tc>
          <w:tcPr>
            <w:tcW w:w="1170" w:type="dxa"/>
          </w:tcPr>
          <w:p w14:paraId="5AA86DC8" w14:textId="149C1B3F" w:rsidR="00804960" w:rsidRDefault="00804960" w:rsidP="00804960">
            <w:pPr>
              <w:jc w:val="center"/>
            </w:pPr>
            <w:r>
              <w:rPr>
                <w:rFonts w:ascii="Arial" w:hAnsi="Arial" w:cs="Arial"/>
                <w:color w:val="000000"/>
                <w:sz w:val="18"/>
                <w:szCs w:val="18"/>
              </w:rPr>
              <w:t>2.0</w:t>
            </w:r>
          </w:p>
        </w:tc>
        <w:tc>
          <w:tcPr>
            <w:tcW w:w="1208" w:type="dxa"/>
          </w:tcPr>
          <w:p w14:paraId="0A8883A0" w14:textId="5056F8F0" w:rsidR="00804960" w:rsidRDefault="00804960" w:rsidP="00804960">
            <w:pPr>
              <w:jc w:val="center"/>
            </w:pPr>
            <w:r>
              <w:rPr>
                <w:rFonts w:ascii="Arial" w:hAnsi="Arial" w:cs="Arial"/>
                <w:color w:val="000000"/>
                <w:sz w:val="18"/>
                <w:szCs w:val="18"/>
              </w:rPr>
              <w:t>5.4</w:t>
            </w:r>
          </w:p>
        </w:tc>
      </w:tr>
      <w:tr w:rsidR="00804960" w14:paraId="67916962" w14:textId="77777777" w:rsidTr="00CB63F2">
        <w:tc>
          <w:tcPr>
            <w:tcW w:w="895" w:type="dxa"/>
          </w:tcPr>
          <w:p w14:paraId="359FE762" w14:textId="2350812B" w:rsidR="00804960" w:rsidRDefault="00804960" w:rsidP="00804960">
            <w:r>
              <w:rPr>
                <w:rFonts w:ascii="Arial" w:hAnsi="Arial" w:cs="Arial"/>
                <w:b/>
                <w:bCs/>
                <w:sz w:val="18"/>
                <w:szCs w:val="18"/>
              </w:rPr>
              <w:t>CZ12</w:t>
            </w:r>
          </w:p>
        </w:tc>
        <w:tc>
          <w:tcPr>
            <w:tcW w:w="1170" w:type="dxa"/>
          </w:tcPr>
          <w:p w14:paraId="527C6E5F" w14:textId="0CC03CC1" w:rsidR="00804960" w:rsidRDefault="00804960" w:rsidP="00804960">
            <w:pPr>
              <w:jc w:val="center"/>
            </w:pPr>
            <w:r>
              <w:rPr>
                <w:rFonts w:ascii="Arial" w:hAnsi="Arial" w:cs="Arial"/>
                <w:color w:val="000000"/>
                <w:sz w:val="18"/>
                <w:szCs w:val="18"/>
              </w:rPr>
              <w:t>4.5</w:t>
            </w:r>
          </w:p>
        </w:tc>
        <w:tc>
          <w:tcPr>
            <w:tcW w:w="1170" w:type="dxa"/>
          </w:tcPr>
          <w:p w14:paraId="0AA30F34" w14:textId="57E3EAE0" w:rsidR="00804960" w:rsidRDefault="00804960" w:rsidP="00804960">
            <w:pPr>
              <w:jc w:val="center"/>
            </w:pPr>
            <w:r>
              <w:rPr>
                <w:rFonts w:ascii="Arial" w:hAnsi="Arial" w:cs="Arial"/>
                <w:color w:val="000000"/>
                <w:sz w:val="18"/>
                <w:szCs w:val="18"/>
              </w:rPr>
              <w:t>1.9</w:t>
            </w:r>
          </w:p>
        </w:tc>
        <w:tc>
          <w:tcPr>
            <w:tcW w:w="1208" w:type="dxa"/>
          </w:tcPr>
          <w:p w14:paraId="2C8AE574" w14:textId="3AC7E5CF" w:rsidR="00804960" w:rsidRDefault="00804960" w:rsidP="00804960">
            <w:pPr>
              <w:jc w:val="center"/>
            </w:pPr>
            <w:r>
              <w:rPr>
                <w:rFonts w:ascii="Arial" w:hAnsi="Arial" w:cs="Arial"/>
                <w:color w:val="000000"/>
                <w:sz w:val="18"/>
                <w:szCs w:val="18"/>
              </w:rPr>
              <w:t>6.1</w:t>
            </w:r>
          </w:p>
        </w:tc>
      </w:tr>
      <w:tr w:rsidR="00804960" w14:paraId="4573A1F1" w14:textId="77777777" w:rsidTr="00CB63F2">
        <w:tc>
          <w:tcPr>
            <w:tcW w:w="895" w:type="dxa"/>
          </w:tcPr>
          <w:p w14:paraId="5084B110" w14:textId="627823F6" w:rsidR="00804960" w:rsidRDefault="00804960" w:rsidP="00804960">
            <w:r>
              <w:rPr>
                <w:rFonts w:ascii="Arial" w:hAnsi="Arial" w:cs="Arial"/>
                <w:b/>
                <w:bCs/>
                <w:sz w:val="18"/>
                <w:szCs w:val="18"/>
              </w:rPr>
              <w:t>CZ13</w:t>
            </w:r>
          </w:p>
        </w:tc>
        <w:tc>
          <w:tcPr>
            <w:tcW w:w="1170" w:type="dxa"/>
          </w:tcPr>
          <w:p w14:paraId="0D899233" w14:textId="10F43A23" w:rsidR="00804960" w:rsidRDefault="00804960" w:rsidP="00804960">
            <w:pPr>
              <w:jc w:val="center"/>
            </w:pPr>
            <w:r>
              <w:rPr>
                <w:rFonts w:ascii="Arial" w:hAnsi="Arial" w:cs="Arial"/>
                <w:color w:val="000000"/>
                <w:sz w:val="18"/>
                <w:szCs w:val="18"/>
              </w:rPr>
              <w:t>4.9</w:t>
            </w:r>
          </w:p>
        </w:tc>
        <w:tc>
          <w:tcPr>
            <w:tcW w:w="1170" w:type="dxa"/>
          </w:tcPr>
          <w:p w14:paraId="71BA6AC4" w14:textId="029F34DE" w:rsidR="00804960" w:rsidRDefault="00804960" w:rsidP="00804960">
            <w:pPr>
              <w:jc w:val="center"/>
            </w:pPr>
            <w:r>
              <w:rPr>
                <w:rFonts w:ascii="Arial" w:hAnsi="Arial" w:cs="Arial"/>
                <w:color w:val="000000"/>
                <w:sz w:val="18"/>
                <w:szCs w:val="18"/>
              </w:rPr>
              <w:t>2.1</w:t>
            </w:r>
          </w:p>
        </w:tc>
        <w:tc>
          <w:tcPr>
            <w:tcW w:w="1208" w:type="dxa"/>
          </w:tcPr>
          <w:p w14:paraId="179EE2E8" w14:textId="3373F83B" w:rsidR="00804960" w:rsidRDefault="00804960" w:rsidP="00804960">
            <w:pPr>
              <w:jc w:val="center"/>
            </w:pPr>
            <w:r>
              <w:rPr>
                <w:rFonts w:ascii="Arial" w:hAnsi="Arial" w:cs="Arial"/>
                <w:color w:val="000000"/>
                <w:sz w:val="18"/>
                <w:szCs w:val="18"/>
              </w:rPr>
              <w:t>6.6</w:t>
            </w:r>
          </w:p>
        </w:tc>
      </w:tr>
      <w:tr w:rsidR="00804960" w14:paraId="7493F9EF" w14:textId="77777777" w:rsidTr="00CB63F2">
        <w:trPr>
          <w:trHeight w:val="50"/>
        </w:trPr>
        <w:tc>
          <w:tcPr>
            <w:tcW w:w="895" w:type="dxa"/>
          </w:tcPr>
          <w:p w14:paraId="00187538" w14:textId="3608904D" w:rsidR="00804960" w:rsidRDefault="00804960" w:rsidP="00804960">
            <w:r>
              <w:rPr>
                <w:rFonts w:ascii="Arial" w:hAnsi="Arial" w:cs="Arial"/>
                <w:b/>
                <w:bCs/>
                <w:sz w:val="18"/>
                <w:szCs w:val="18"/>
              </w:rPr>
              <w:t>CZ14</w:t>
            </w:r>
          </w:p>
        </w:tc>
        <w:tc>
          <w:tcPr>
            <w:tcW w:w="1170" w:type="dxa"/>
          </w:tcPr>
          <w:p w14:paraId="45559094" w14:textId="32FD5B4A" w:rsidR="00804960" w:rsidRPr="00715E9E" w:rsidRDefault="00804960" w:rsidP="00804960">
            <w:pPr>
              <w:jc w:val="center"/>
              <w:rPr>
                <w:rFonts w:ascii="Arial" w:hAnsi="Arial" w:cs="Arial"/>
                <w:sz w:val="18"/>
                <w:szCs w:val="18"/>
              </w:rPr>
            </w:pPr>
            <w:r>
              <w:rPr>
                <w:rFonts w:ascii="Arial" w:hAnsi="Arial" w:cs="Arial"/>
                <w:color w:val="000000"/>
                <w:sz w:val="18"/>
                <w:szCs w:val="18"/>
              </w:rPr>
              <w:t>4.9</w:t>
            </w:r>
          </w:p>
        </w:tc>
        <w:tc>
          <w:tcPr>
            <w:tcW w:w="1170" w:type="dxa"/>
          </w:tcPr>
          <w:p w14:paraId="7E98502F" w14:textId="77ED0387" w:rsidR="00804960" w:rsidRPr="00715E9E" w:rsidRDefault="00804960" w:rsidP="00804960">
            <w:pPr>
              <w:jc w:val="center"/>
              <w:rPr>
                <w:rFonts w:ascii="Arial" w:hAnsi="Arial" w:cs="Arial"/>
                <w:sz w:val="18"/>
                <w:szCs w:val="18"/>
              </w:rPr>
            </w:pPr>
            <w:r>
              <w:rPr>
                <w:rFonts w:ascii="Arial" w:hAnsi="Arial" w:cs="Arial"/>
                <w:color w:val="000000"/>
                <w:sz w:val="18"/>
                <w:szCs w:val="18"/>
              </w:rPr>
              <w:t>2.0</w:t>
            </w:r>
          </w:p>
        </w:tc>
        <w:tc>
          <w:tcPr>
            <w:tcW w:w="1208" w:type="dxa"/>
          </w:tcPr>
          <w:p w14:paraId="3449216C" w14:textId="476F7EAB" w:rsidR="00804960" w:rsidRPr="00715E9E" w:rsidRDefault="00804960" w:rsidP="00804960">
            <w:pPr>
              <w:jc w:val="center"/>
              <w:rPr>
                <w:rFonts w:ascii="Arial" w:hAnsi="Arial" w:cs="Arial"/>
                <w:sz w:val="18"/>
                <w:szCs w:val="18"/>
              </w:rPr>
            </w:pPr>
            <w:r>
              <w:rPr>
                <w:rFonts w:ascii="Arial" w:hAnsi="Arial" w:cs="Arial"/>
                <w:color w:val="000000"/>
                <w:sz w:val="18"/>
                <w:szCs w:val="18"/>
              </w:rPr>
              <w:t>6.6</w:t>
            </w:r>
          </w:p>
        </w:tc>
      </w:tr>
      <w:tr w:rsidR="00804960" w14:paraId="10559BA5" w14:textId="77777777" w:rsidTr="00CB63F2">
        <w:tc>
          <w:tcPr>
            <w:tcW w:w="895" w:type="dxa"/>
          </w:tcPr>
          <w:p w14:paraId="6BE82D86" w14:textId="01949E16" w:rsidR="00804960" w:rsidRDefault="00804960" w:rsidP="00804960">
            <w:r>
              <w:rPr>
                <w:rFonts w:ascii="Arial" w:hAnsi="Arial" w:cs="Arial"/>
                <w:b/>
                <w:bCs/>
                <w:sz w:val="18"/>
                <w:szCs w:val="18"/>
              </w:rPr>
              <w:t>CZ15</w:t>
            </w:r>
          </w:p>
        </w:tc>
        <w:tc>
          <w:tcPr>
            <w:tcW w:w="1170" w:type="dxa"/>
          </w:tcPr>
          <w:p w14:paraId="45275681" w14:textId="14364E9F" w:rsidR="00804960" w:rsidRPr="00715E9E" w:rsidRDefault="00804960" w:rsidP="00804960">
            <w:pPr>
              <w:jc w:val="center"/>
              <w:rPr>
                <w:rFonts w:ascii="Arial" w:hAnsi="Arial" w:cs="Arial"/>
                <w:sz w:val="18"/>
                <w:szCs w:val="18"/>
              </w:rPr>
            </w:pPr>
            <w:r>
              <w:rPr>
                <w:rFonts w:ascii="Arial" w:hAnsi="Arial" w:cs="Arial"/>
                <w:color w:val="000000"/>
                <w:sz w:val="18"/>
                <w:szCs w:val="18"/>
              </w:rPr>
              <w:t>2.2</w:t>
            </w:r>
          </w:p>
        </w:tc>
        <w:tc>
          <w:tcPr>
            <w:tcW w:w="1170" w:type="dxa"/>
          </w:tcPr>
          <w:p w14:paraId="112E7134" w14:textId="0FCE6E99" w:rsidR="00804960" w:rsidRPr="00715E9E" w:rsidRDefault="00804960" w:rsidP="00804960">
            <w:pPr>
              <w:jc w:val="center"/>
              <w:rPr>
                <w:rFonts w:ascii="Arial" w:hAnsi="Arial" w:cs="Arial"/>
                <w:sz w:val="18"/>
                <w:szCs w:val="18"/>
              </w:rPr>
            </w:pPr>
            <w:r>
              <w:rPr>
                <w:rFonts w:ascii="Arial" w:hAnsi="Arial" w:cs="Arial"/>
                <w:color w:val="000000"/>
                <w:sz w:val="18"/>
                <w:szCs w:val="18"/>
              </w:rPr>
              <w:t>0.8</w:t>
            </w:r>
          </w:p>
        </w:tc>
        <w:tc>
          <w:tcPr>
            <w:tcW w:w="1208" w:type="dxa"/>
          </w:tcPr>
          <w:p w14:paraId="3DB97F4E" w14:textId="22BB286E" w:rsidR="00804960" w:rsidRPr="00715E9E" w:rsidRDefault="00804960" w:rsidP="00804960">
            <w:pPr>
              <w:jc w:val="center"/>
              <w:rPr>
                <w:rFonts w:ascii="Arial" w:hAnsi="Arial" w:cs="Arial"/>
                <w:sz w:val="18"/>
                <w:szCs w:val="18"/>
              </w:rPr>
            </w:pPr>
            <w:r>
              <w:rPr>
                <w:rFonts w:ascii="Arial" w:hAnsi="Arial" w:cs="Arial"/>
                <w:color w:val="000000"/>
                <w:sz w:val="18"/>
                <w:szCs w:val="18"/>
              </w:rPr>
              <w:t>3.1</w:t>
            </w:r>
          </w:p>
        </w:tc>
      </w:tr>
      <w:tr w:rsidR="00804960" w14:paraId="5BF72BA2" w14:textId="77777777" w:rsidTr="00CB63F2">
        <w:tc>
          <w:tcPr>
            <w:tcW w:w="895" w:type="dxa"/>
          </w:tcPr>
          <w:p w14:paraId="3F40C748" w14:textId="3D8169BD" w:rsidR="00804960" w:rsidRDefault="00804960" w:rsidP="00804960">
            <w:r>
              <w:rPr>
                <w:rFonts w:ascii="Arial" w:hAnsi="Arial" w:cs="Arial"/>
                <w:b/>
                <w:bCs/>
                <w:sz w:val="18"/>
                <w:szCs w:val="18"/>
              </w:rPr>
              <w:t>CZ16</w:t>
            </w:r>
          </w:p>
        </w:tc>
        <w:tc>
          <w:tcPr>
            <w:tcW w:w="1170" w:type="dxa"/>
          </w:tcPr>
          <w:p w14:paraId="3329F3CB" w14:textId="14120B04" w:rsidR="00804960" w:rsidRDefault="00804960" w:rsidP="00804960">
            <w:pPr>
              <w:jc w:val="center"/>
            </w:pPr>
            <w:r>
              <w:rPr>
                <w:rFonts w:ascii="Arial" w:hAnsi="Arial" w:cs="Arial"/>
                <w:color w:val="000000"/>
                <w:sz w:val="18"/>
                <w:szCs w:val="18"/>
              </w:rPr>
              <w:t>6.1</w:t>
            </w:r>
          </w:p>
        </w:tc>
        <w:tc>
          <w:tcPr>
            <w:tcW w:w="1170" w:type="dxa"/>
          </w:tcPr>
          <w:p w14:paraId="6B7A7608" w14:textId="33DB6C83" w:rsidR="00804960" w:rsidRDefault="00804960" w:rsidP="00804960">
            <w:pPr>
              <w:jc w:val="center"/>
            </w:pPr>
            <w:r>
              <w:rPr>
                <w:rFonts w:ascii="Arial" w:hAnsi="Arial" w:cs="Arial"/>
                <w:color w:val="000000"/>
                <w:sz w:val="18"/>
                <w:szCs w:val="18"/>
              </w:rPr>
              <w:t>2.8</w:t>
            </w:r>
          </w:p>
        </w:tc>
        <w:tc>
          <w:tcPr>
            <w:tcW w:w="1208" w:type="dxa"/>
          </w:tcPr>
          <w:p w14:paraId="540EEF17" w14:textId="104B6E6D" w:rsidR="00804960" w:rsidRDefault="00804960" w:rsidP="00804960">
            <w:pPr>
              <w:jc w:val="center"/>
            </w:pPr>
            <w:r>
              <w:rPr>
                <w:rFonts w:ascii="Arial" w:hAnsi="Arial" w:cs="Arial"/>
                <w:color w:val="000000"/>
                <w:sz w:val="18"/>
                <w:szCs w:val="18"/>
              </w:rPr>
              <w:t>8.1</w:t>
            </w:r>
          </w:p>
        </w:tc>
      </w:tr>
    </w:tbl>
    <w:p w14:paraId="4DE2D187" w14:textId="181F6051" w:rsidR="00DD2618" w:rsidRDefault="00DD2618" w:rsidP="00047FC1"/>
    <w:p w14:paraId="06BEC60A" w14:textId="0FE2EA04" w:rsidR="00CC7D58" w:rsidRPr="00CC7D58" w:rsidRDefault="00CC7D58" w:rsidP="00047FC1">
      <w:pPr>
        <w:rPr>
          <w:b/>
          <w:bCs/>
          <w:color w:val="FF0000"/>
        </w:rPr>
      </w:pPr>
      <w:r w:rsidRPr="00CC7D58">
        <w:rPr>
          <w:b/>
          <w:bCs/>
          <w:color w:val="FF0000"/>
        </w:rPr>
        <w:t>CPUC Response to PA Response:</w:t>
      </w:r>
    </w:p>
    <w:p w14:paraId="0F38645D" w14:textId="5C87253F" w:rsidR="00CC7D58" w:rsidRDefault="00CC7D58" w:rsidP="00047FC1">
      <w:pPr>
        <w:rPr>
          <w:color w:val="FF0000"/>
        </w:rPr>
      </w:pPr>
      <w:bookmarkStart w:id="0" w:name="_GoBack"/>
      <w:r w:rsidRPr="00CC7D58">
        <w:rPr>
          <w:color w:val="FF0000"/>
        </w:rPr>
        <w:t xml:space="preserve">The </w:t>
      </w:r>
      <w:proofErr w:type="spellStart"/>
      <w:r w:rsidRPr="00CC7D58">
        <w:rPr>
          <w:color w:val="FF0000"/>
        </w:rPr>
        <w:t>ex ante</w:t>
      </w:r>
      <w:proofErr w:type="spellEnd"/>
      <w:r w:rsidRPr="00CC7D58">
        <w:rPr>
          <w:color w:val="FF0000"/>
        </w:rPr>
        <w:t xml:space="preserve"> team accepts using zero as the starting point for applying optimization savings. We also accept the adjusted savings estimate designed to address overlap with existing seasonal savings programs that would have produced optimization savings during the evaluation time frame. As a result of these two issues being sufficiently addressed, the ex</w:t>
      </w:r>
      <w:r w:rsidR="00633D63">
        <w:rPr>
          <w:color w:val="FF0000"/>
        </w:rPr>
        <w:t>-</w:t>
      </w:r>
      <w:r w:rsidRPr="00CC7D58">
        <w:rPr>
          <w:color w:val="FF0000"/>
        </w:rPr>
        <w:t>ante team has completed a full review of the calculations producing the gas optimization savings.  The approach and assumptions are acceptable.</w:t>
      </w:r>
    </w:p>
    <w:bookmarkEnd w:id="0"/>
    <w:p w14:paraId="47ACD92C" w14:textId="63B4E80F" w:rsidR="00633D63" w:rsidRPr="00CC7D58" w:rsidRDefault="00633D63" w:rsidP="00047FC1">
      <w:pPr>
        <w:rPr>
          <w:color w:val="FF0000"/>
        </w:rPr>
      </w:pPr>
      <w:r>
        <w:rPr>
          <w:color w:val="FF0000"/>
        </w:rPr>
        <w:t>Please revise the measure package currently under review SWHC039-04 to include the gas savings as outlined above. Please submit the entire measure package to the WPA.</w:t>
      </w:r>
    </w:p>
    <w:sectPr w:rsidR="00633D63" w:rsidRPr="00CC7D5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5F73B4" w14:textId="77777777" w:rsidR="00BE58BC" w:rsidRDefault="00BE58BC" w:rsidP="00A67B72">
      <w:pPr>
        <w:spacing w:after="0" w:line="240" w:lineRule="auto"/>
      </w:pPr>
      <w:r>
        <w:separator/>
      </w:r>
    </w:p>
  </w:endnote>
  <w:endnote w:type="continuationSeparator" w:id="0">
    <w:p w14:paraId="7E426E72" w14:textId="77777777" w:rsidR="00BE58BC" w:rsidRDefault="00BE58BC" w:rsidP="00A67B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F3674A" w14:textId="77777777" w:rsidR="00BE58BC" w:rsidRDefault="00BE58BC" w:rsidP="00A67B72">
      <w:pPr>
        <w:spacing w:after="0" w:line="240" w:lineRule="auto"/>
      </w:pPr>
      <w:r>
        <w:separator/>
      </w:r>
    </w:p>
  </w:footnote>
  <w:footnote w:type="continuationSeparator" w:id="0">
    <w:p w14:paraId="75B4DF7F" w14:textId="77777777" w:rsidR="00BE58BC" w:rsidRDefault="00BE58BC" w:rsidP="00A67B72">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1BB"/>
    <w:rsid w:val="00004764"/>
    <w:rsid w:val="00016F16"/>
    <w:rsid w:val="00047FC1"/>
    <w:rsid w:val="000523AA"/>
    <w:rsid w:val="0008214F"/>
    <w:rsid w:val="00090104"/>
    <w:rsid w:val="00092621"/>
    <w:rsid w:val="000962FD"/>
    <w:rsid w:val="00096A19"/>
    <w:rsid w:val="000A47E9"/>
    <w:rsid w:val="000B06EC"/>
    <w:rsid w:val="000F0288"/>
    <w:rsid w:val="000F1466"/>
    <w:rsid w:val="000F2756"/>
    <w:rsid w:val="00101D37"/>
    <w:rsid w:val="00105ABF"/>
    <w:rsid w:val="001114C4"/>
    <w:rsid w:val="0011704F"/>
    <w:rsid w:val="00127D66"/>
    <w:rsid w:val="001303B3"/>
    <w:rsid w:val="00131866"/>
    <w:rsid w:val="00151413"/>
    <w:rsid w:val="00153D30"/>
    <w:rsid w:val="00163A55"/>
    <w:rsid w:val="0017002A"/>
    <w:rsid w:val="00193C09"/>
    <w:rsid w:val="001E091F"/>
    <w:rsid w:val="001E200C"/>
    <w:rsid w:val="001E584B"/>
    <w:rsid w:val="001F7B73"/>
    <w:rsid w:val="00201093"/>
    <w:rsid w:val="00210034"/>
    <w:rsid w:val="002142DC"/>
    <w:rsid w:val="00220A35"/>
    <w:rsid w:val="002432C7"/>
    <w:rsid w:val="002554B3"/>
    <w:rsid w:val="002556F7"/>
    <w:rsid w:val="0025596A"/>
    <w:rsid w:val="00262074"/>
    <w:rsid w:val="00273219"/>
    <w:rsid w:val="002738C3"/>
    <w:rsid w:val="0029132C"/>
    <w:rsid w:val="002A5AC5"/>
    <w:rsid w:val="002A755F"/>
    <w:rsid w:val="002B10CD"/>
    <w:rsid w:val="002B4EC6"/>
    <w:rsid w:val="002E05AF"/>
    <w:rsid w:val="002E6133"/>
    <w:rsid w:val="002F1C03"/>
    <w:rsid w:val="002F5981"/>
    <w:rsid w:val="00303311"/>
    <w:rsid w:val="003337AB"/>
    <w:rsid w:val="00337205"/>
    <w:rsid w:val="00342BEC"/>
    <w:rsid w:val="00344F7A"/>
    <w:rsid w:val="00357FB2"/>
    <w:rsid w:val="003633A4"/>
    <w:rsid w:val="00367E0B"/>
    <w:rsid w:val="0038000B"/>
    <w:rsid w:val="00381ACC"/>
    <w:rsid w:val="00384C91"/>
    <w:rsid w:val="0039020D"/>
    <w:rsid w:val="0039580A"/>
    <w:rsid w:val="003A0CEE"/>
    <w:rsid w:val="003A1CAE"/>
    <w:rsid w:val="003E79B7"/>
    <w:rsid w:val="00403492"/>
    <w:rsid w:val="00411B1C"/>
    <w:rsid w:val="004266C0"/>
    <w:rsid w:val="00442C9A"/>
    <w:rsid w:val="00444C6C"/>
    <w:rsid w:val="00447A5D"/>
    <w:rsid w:val="0045271C"/>
    <w:rsid w:val="004625DC"/>
    <w:rsid w:val="00476BEF"/>
    <w:rsid w:val="00480AF9"/>
    <w:rsid w:val="00493408"/>
    <w:rsid w:val="004B4CE8"/>
    <w:rsid w:val="004B504B"/>
    <w:rsid w:val="004B6EAC"/>
    <w:rsid w:val="004D307B"/>
    <w:rsid w:val="004E7F9C"/>
    <w:rsid w:val="005038DA"/>
    <w:rsid w:val="00526130"/>
    <w:rsid w:val="00534B6F"/>
    <w:rsid w:val="0054029F"/>
    <w:rsid w:val="00541438"/>
    <w:rsid w:val="00542C0A"/>
    <w:rsid w:val="00544309"/>
    <w:rsid w:val="00546BCD"/>
    <w:rsid w:val="005523B2"/>
    <w:rsid w:val="0056061A"/>
    <w:rsid w:val="005A2A77"/>
    <w:rsid w:val="005B2222"/>
    <w:rsid w:val="005E6471"/>
    <w:rsid w:val="006072F2"/>
    <w:rsid w:val="00633D63"/>
    <w:rsid w:val="00646A1A"/>
    <w:rsid w:val="00661112"/>
    <w:rsid w:val="006651E4"/>
    <w:rsid w:val="00680268"/>
    <w:rsid w:val="006912D2"/>
    <w:rsid w:val="006A2259"/>
    <w:rsid w:val="006B4CE5"/>
    <w:rsid w:val="006C3544"/>
    <w:rsid w:val="006C6E3A"/>
    <w:rsid w:val="006F56C1"/>
    <w:rsid w:val="00711E75"/>
    <w:rsid w:val="00715E9E"/>
    <w:rsid w:val="007177F9"/>
    <w:rsid w:val="00736532"/>
    <w:rsid w:val="00737D21"/>
    <w:rsid w:val="00745E62"/>
    <w:rsid w:val="007551AB"/>
    <w:rsid w:val="00756C9A"/>
    <w:rsid w:val="00756EB5"/>
    <w:rsid w:val="00760D01"/>
    <w:rsid w:val="00774E68"/>
    <w:rsid w:val="00777E68"/>
    <w:rsid w:val="007859D1"/>
    <w:rsid w:val="00791A22"/>
    <w:rsid w:val="00792AE8"/>
    <w:rsid w:val="007A1F2B"/>
    <w:rsid w:val="007B4C02"/>
    <w:rsid w:val="007C26FD"/>
    <w:rsid w:val="007D2ABA"/>
    <w:rsid w:val="007D5C44"/>
    <w:rsid w:val="007E549E"/>
    <w:rsid w:val="007E764E"/>
    <w:rsid w:val="007F2B84"/>
    <w:rsid w:val="007F7882"/>
    <w:rsid w:val="00804960"/>
    <w:rsid w:val="00827297"/>
    <w:rsid w:val="00837D6E"/>
    <w:rsid w:val="00844270"/>
    <w:rsid w:val="00844F9E"/>
    <w:rsid w:val="0084794B"/>
    <w:rsid w:val="00865B8B"/>
    <w:rsid w:val="008963E4"/>
    <w:rsid w:val="008D691F"/>
    <w:rsid w:val="008F0E99"/>
    <w:rsid w:val="008F1FF0"/>
    <w:rsid w:val="00905B03"/>
    <w:rsid w:val="00922B5A"/>
    <w:rsid w:val="009272A7"/>
    <w:rsid w:val="009304B7"/>
    <w:rsid w:val="00951848"/>
    <w:rsid w:val="0096177B"/>
    <w:rsid w:val="00964222"/>
    <w:rsid w:val="009976C0"/>
    <w:rsid w:val="00997DE6"/>
    <w:rsid w:val="009A09DC"/>
    <w:rsid w:val="009C3435"/>
    <w:rsid w:val="009C770F"/>
    <w:rsid w:val="009E1581"/>
    <w:rsid w:val="00A03AC4"/>
    <w:rsid w:val="00A45A0C"/>
    <w:rsid w:val="00A62C33"/>
    <w:rsid w:val="00A633FE"/>
    <w:rsid w:val="00A67B72"/>
    <w:rsid w:val="00A72020"/>
    <w:rsid w:val="00A741CD"/>
    <w:rsid w:val="00A74A6D"/>
    <w:rsid w:val="00A814CB"/>
    <w:rsid w:val="00A82C37"/>
    <w:rsid w:val="00A834E9"/>
    <w:rsid w:val="00A87AED"/>
    <w:rsid w:val="00A91383"/>
    <w:rsid w:val="00A91C08"/>
    <w:rsid w:val="00A9632A"/>
    <w:rsid w:val="00AA379C"/>
    <w:rsid w:val="00AB26AE"/>
    <w:rsid w:val="00AB2C0C"/>
    <w:rsid w:val="00AB65F5"/>
    <w:rsid w:val="00AC21BB"/>
    <w:rsid w:val="00AC32EC"/>
    <w:rsid w:val="00AC647F"/>
    <w:rsid w:val="00AC68A4"/>
    <w:rsid w:val="00AD3DAD"/>
    <w:rsid w:val="00B00D2F"/>
    <w:rsid w:val="00B126EF"/>
    <w:rsid w:val="00B15BFC"/>
    <w:rsid w:val="00B2041B"/>
    <w:rsid w:val="00B20B1B"/>
    <w:rsid w:val="00B2111B"/>
    <w:rsid w:val="00B35186"/>
    <w:rsid w:val="00B4637D"/>
    <w:rsid w:val="00B55C9E"/>
    <w:rsid w:val="00B655E4"/>
    <w:rsid w:val="00B65712"/>
    <w:rsid w:val="00B76B7A"/>
    <w:rsid w:val="00B8145B"/>
    <w:rsid w:val="00B874C8"/>
    <w:rsid w:val="00BA4AC4"/>
    <w:rsid w:val="00BA723C"/>
    <w:rsid w:val="00BB22A0"/>
    <w:rsid w:val="00BB2954"/>
    <w:rsid w:val="00BC60D6"/>
    <w:rsid w:val="00BD45C4"/>
    <w:rsid w:val="00BE58BC"/>
    <w:rsid w:val="00BF43D5"/>
    <w:rsid w:val="00C15CA9"/>
    <w:rsid w:val="00C20BBC"/>
    <w:rsid w:val="00C274B1"/>
    <w:rsid w:val="00C36059"/>
    <w:rsid w:val="00C50B43"/>
    <w:rsid w:val="00C63D62"/>
    <w:rsid w:val="00C76AD8"/>
    <w:rsid w:val="00C94BEE"/>
    <w:rsid w:val="00CA5C4E"/>
    <w:rsid w:val="00CB63F2"/>
    <w:rsid w:val="00CB6732"/>
    <w:rsid w:val="00CC53F8"/>
    <w:rsid w:val="00CC618E"/>
    <w:rsid w:val="00CC7D58"/>
    <w:rsid w:val="00CE69EE"/>
    <w:rsid w:val="00CF1906"/>
    <w:rsid w:val="00CF263C"/>
    <w:rsid w:val="00D1135B"/>
    <w:rsid w:val="00D221FC"/>
    <w:rsid w:val="00D43192"/>
    <w:rsid w:val="00D573FF"/>
    <w:rsid w:val="00D57D0B"/>
    <w:rsid w:val="00D67952"/>
    <w:rsid w:val="00D92597"/>
    <w:rsid w:val="00DA0D31"/>
    <w:rsid w:val="00DB5F7E"/>
    <w:rsid w:val="00DC5727"/>
    <w:rsid w:val="00DD2618"/>
    <w:rsid w:val="00DD47C8"/>
    <w:rsid w:val="00DE173D"/>
    <w:rsid w:val="00DE2821"/>
    <w:rsid w:val="00DE3ED5"/>
    <w:rsid w:val="00DF1B8E"/>
    <w:rsid w:val="00DF1C30"/>
    <w:rsid w:val="00DF7C75"/>
    <w:rsid w:val="00E10F9C"/>
    <w:rsid w:val="00E30808"/>
    <w:rsid w:val="00E42027"/>
    <w:rsid w:val="00E43C48"/>
    <w:rsid w:val="00E77853"/>
    <w:rsid w:val="00EA272B"/>
    <w:rsid w:val="00EA6362"/>
    <w:rsid w:val="00EB77BC"/>
    <w:rsid w:val="00EC4C2D"/>
    <w:rsid w:val="00ED19BE"/>
    <w:rsid w:val="00EE3C1A"/>
    <w:rsid w:val="00F00D47"/>
    <w:rsid w:val="00F0656D"/>
    <w:rsid w:val="00F53E4C"/>
    <w:rsid w:val="00F614A2"/>
    <w:rsid w:val="00F7511E"/>
    <w:rsid w:val="00F84144"/>
    <w:rsid w:val="00FB0581"/>
    <w:rsid w:val="00FB33E6"/>
    <w:rsid w:val="00FB36A1"/>
    <w:rsid w:val="00FC3EDE"/>
    <w:rsid w:val="00FF08EB"/>
    <w:rsid w:val="00FF18D5"/>
    <w:rsid w:val="00FF339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100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284242150">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 w:id="189307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C08E46F6001E44A80FA2AA80260DE1" ma:contentTypeVersion="10" ma:contentTypeDescription="Create a new document." ma:contentTypeScope="" ma:versionID="b4f6d0f3a8ef53720e102af2c43691cb">
  <xsd:schema xmlns:xsd="http://www.w3.org/2001/XMLSchema" xmlns:xs="http://www.w3.org/2001/XMLSchema" xmlns:p="http://schemas.microsoft.com/office/2006/metadata/properties" xmlns:ns2="cbde02a2-406c-407c-ab3b-d81f71e8ebcb" targetNamespace="http://schemas.microsoft.com/office/2006/metadata/properties" ma:root="true" ma:fieldsID="93012eedef19bed46d88f23d8ce093ce" ns2:_="">
    <xsd:import namespace="cbde02a2-406c-407c-ab3b-d81f71e8ebc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de02a2-406c-407c-ab3b-d81f71e8eb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1A23F7-FF8F-4F50-957C-4F1FFE5E78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EF787F-AABF-4EDE-8005-7947610939CC}">
  <ds:schemaRefs>
    <ds:schemaRef ds:uri="http://schemas.microsoft.com/sharepoint/v3/contenttype/forms"/>
  </ds:schemaRefs>
</ds:datastoreItem>
</file>

<file path=customXml/itemProps3.xml><?xml version="1.0" encoding="utf-8"?>
<ds:datastoreItem xmlns:ds="http://schemas.openxmlformats.org/officeDocument/2006/customXml" ds:itemID="{369DF9EB-241B-4D53-B844-25F7BA75AF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de02a2-406c-407c-ab3b-d81f71e8eb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673</Words>
  <Characters>3840</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Andy Danryd</cp:lastModifiedBy>
  <cp:revision>2</cp:revision>
  <dcterms:created xsi:type="dcterms:W3CDTF">2021-11-09T18:55:00Z</dcterms:created>
  <dcterms:modified xsi:type="dcterms:W3CDTF">2021-11-09T18:55:00Z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0x01010055C08E46F6001E44A80FA2AA80260DE1</vt:lpwstr>
  </property>
  <property fmtid="{D5CDD505-2E9C-101B-9397-08002B2CF9AE}" pid="3" name="MSIP_Label_22fbb032-08bf-4f1e-af46-2528cd3f96ca_Enabled">
    <vt:lpwstr>true</vt:lpwstr>
  </property>
  <property fmtid="{D5CDD505-2E9C-101B-9397-08002B2CF9AE}" pid="4" name="MSIP_Label_22fbb032-08bf-4f1e-af46-2528cd3f96ca_SetDate">
    <vt:lpwstr>2021-04-15T21:54:42Z</vt:lpwstr>
  </property>
  <property fmtid="{D5CDD505-2E9C-101B-9397-08002B2CF9AE}" pid="5" name="MSIP_Label_22fbb032-08bf-4f1e-af46-2528cd3f96ca_Method">
    <vt:lpwstr>Privileged</vt:lpwstr>
  </property>
  <property fmtid="{D5CDD505-2E9C-101B-9397-08002B2CF9AE}" pid="6" name="MSIP_Label_22fbb032-08bf-4f1e-af46-2528cd3f96ca_Name">
    <vt:lpwstr>22fbb032-08bf-4f1e-af46-2528cd3f96ca</vt:lpwstr>
  </property>
  <property fmtid="{D5CDD505-2E9C-101B-9397-08002B2CF9AE}" pid="7" name="MSIP_Label_22fbb032-08bf-4f1e-af46-2528cd3f96ca_SiteId">
    <vt:lpwstr>adf10e2b-b6e9-41d6-be2f-c12bb566019c</vt:lpwstr>
  </property>
  <property fmtid="{D5CDD505-2E9C-101B-9397-08002B2CF9AE}" pid="8" name="MSIP_Label_22fbb032-08bf-4f1e-af46-2528cd3f96ca_ActionId">
    <vt:lpwstr>ebc57b0c-3b00-43bc-86f4-5b4e4eb07648</vt:lpwstr>
  </property>
  <property fmtid="{D5CDD505-2E9C-101B-9397-08002B2CF9AE}" pid="9" name="MSIP_Label_22fbb032-08bf-4f1e-af46-2528cd3f96ca_ContentBits">
    <vt:lpwstr>0</vt:lpwstr>
  </property>
</Properties>
</file>