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03ECA" w14:paraId="67BD4DD1" w14:textId="77777777" w:rsidTr="00A50610">
        <w:trPr>
          <w:cantSplit/>
          <w:trHeight w:hRule="exact" w:val="1566"/>
          <w:jc w:val="right"/>
        </w:trPr>
        <w:tc>
          <w:tcPr>
            <w:tcW w:w="9000" w:type="dxa"/>
            <w:shd w:val="clear" w:color="auto" w:fill="8DC63F"/>
            <w:vAlign w:val="center"/>
          </w:tcPr>
          <w:p w14:paraId="3EF67A49" w14:textId="10A90DF8" w:rsidR="00BD221D" w:rsidRPr="00E225C2" w:rsidRDefault="003D70D3" w:rsidP="009869EA">
            <w:pPr>
              <w:pStyle w:val="eTRMHeading1"/>
            </w:pPr>
            <w:r w:rsidRPr="00E225C2">
              <w:t>HVAC</w:t>
            </w:r>
          </w:p>
          <w:p w14:paraId="0E5D1892" w14:textId="15AD8FAB" w:rsidR="00BD221D" w:rsidRDefault="00BA1BBC" w:rsidP="00E225C2">
            <w:pPr>
              <w:pStyle w:val="eTRMHeading2"/>
            </w:pPr>
            <w:r w:rsidRPr="00203ECA">
              <w:t>Smart Thermostat, Residential</w:t>
            </w:r>
          </w:p>
          <w:p w14:paraId="10BE1877" w14:textId="2057191A" w:rsidR="00E225C2" w:rsidRPr="00A50610" w:rsidRDefault="00E225C2" w:rsidP="00E225C2">
            <w:pPr>
              <w:pStyle w:val="eTRMHeading2"/>
              <w:rPr>
                <w:spacing w:val="0"/>
              </w:rPr>
            </w:pPr>
            <w:r w:rsidRPr="00A50610">
              <w:rPr>
                <w:spacing w:val="0"/>
                <w:sz w:val="28"/>
                <w:szCs w:val="22"/>
              </w:rPr>
              <w:t>SWHC039-</w:t>
            </w:r>
            <w:r w:rsidR="00554225" w:rsidRPr="00A50610">
              <w:rPr>
                <w:spacing w:val="0"/>
                <w:sz w:val="28"/>
                <w:szCs w:val="22"/>
              </w:rPr>
              <w:t>0</w:t>
            </w:r>
            <w:r w:rsidR="00443F27">
              <w:rPr>
                <w:spacing w:val="0"/>
                <w:sz w:val="28"/>
                <w:szCs w:val="22"/>
              </w:rPr>
              <w:t>4</w:t>
            </w:r>
          </w:p>
        </w:tc>
      </w:tr>
    </w:tbl>
    <w:p w14:paraId="645F3ACB" w14:textId="77777777" w:rsidR="00BD221D" w:rsidRPr="00203ECA" w:rsidRDefault="00BD221D" w:rsidP="00BD221D"/>
    <w:p w14:paraId="31745A8D" w14:textId="45DC1270" w:rsidR="00D12B8C" w:rsidRPr="00203ECA" w:rsidRDefault="007E1F66" w:rsidP="0053748E">
      <w:pPr>
        <w:jc w:val="center"/>
        <w:rPr>
          <w:spacing w:val="80"/>
          <w:sz w:val="28"/>
        </w:rPr>
      </w:pPr>
      <w:r w:rsidRPr="00203ECA">
        <w:rPr>
          <w:spacing w:val="80"/>
          <w:sz w:val="28"/>
        </w:rPr>
        <w:t>CONTENTS</w:t>
      </w:r>
    </w:p>
    <w:p w14:paraId="19C717F7" w14:textId="6A83C76B" w:rsidR="001A0E79" w:rsidRDefault="001C6C9B">
      <w:pPr>
        <w:pStyle w:val="TOC3"/>
        <w:rPr>
          <w:ins w:id="0" w:author="Casco, Lake" w:date="2021-11-22T11:24:00Z"/>
          <w:rFonts w:asciiTheme="minorHAnsi" w:hAnsiTheme="minorHAnsi"/>
          <w:noProof/>
          <w:szCs w:val="22"/>
        </w:rPr>
      </w:pPr>
      <w:r w:rsidRPr="00203ECA">
        <w:fldChar w:fldCharType="begin"/>
      </w:r>
      <w:r w:rsidRPr="00203ECA">
        <w:instrText xml:space="preserve"> TOC \t "eTRM Heading 3,3" </w:instrText>
      </w:r>
      <w:r w:rsidRPr="00203ECA">
        <w:fldChar w:fldCharType="separate"/>
      </w:r>
      <w:ins w:id="1" w:author="Casco, Lake" w:date="2021-11-22T11:24:00Z">
        <w:r w:rsidR="001A0E79">
          <w:rPr>
            <w:noProof/>
          </w:rPr>
          <w:t>Measure Name</w:t>
        </w:r>
        <w:r w:rsidR="001A0E79">
          <w:rPr>
            <w:noProof/>
          </w:rPr>
          <w:tab/>
        </w:r>
        <w:r w:rsidR="001A0E79">
          <w:rPr>
            <w:noProof/>
          </w:rPr>
          <w:fldChar w:fldCharType="begin"/>
        </w:r>
        <w:r w:rsidR="001A0E79">
          <w:rPr>
            <w:noProof/>
          </w:rPr>
          <w:instrText xml:space="preserve"> PAGEREF _Toc88472691 \h </w:instrText>
        </w:r>
      </w:ins>
      <w:r w:rsidR="001A0E79">
        <w:rPr>
          <w:noProof/>
        </w:rPr>
      </w:r>
      <w:r w:rsidR="001A0E79">
        <w:rPr>
          <w:noProof/>
        </w:rPr>
        <w:fldChar w:fldCharType="separate"/>
      </w:r>
      <w:ins w:id="2" w:author="Casco, Lake" w:date="2021-11-22T11:24:00Z">
        <w:r w:rsidR="001A0E79">
          <w:rPr>
            <w:noProof/>
          </w:rPr>
          <w:t>2</w:t>
        </w:r>
        <w:r w:rsidR="001A0E79">
          <w:rPr>
            <w:noProof/>
          </w:rPr>
          <w:fldChar w:fldCharType="end"/>
        </w:r>
      </w:ins>
    </w:p>
    <w:p w14:paraId="05EF0F23" w14:textId="25631076" w:rsidR="001A0E79" w:rsidRDefault="001A0E79">
      <w:pPr>
        <w:pStyle w:val="TOC3"/>
        <w:rPr>
          <w:ins w:id="3" w:author="Casco, Lake" w:date="2021-11-22T11:24:00Z"/>
          <w:rFonts w:asciiTheme="minorHAnsi" w:hAnsiTheme="minorHAnsi"/>
          <w:noProof/>
          <w:szCs w:val="22"/>
        </w:rPr>
      </w:pPr>
      <w:ins w:id="4" w:author="Casco, Lake" w:date="2021-11-22T11:24:00Z">
        <w:r>
          <w:rPr>
            <w:noProof/>
          </w:rPr>
          <w:t>Statewide Measure ID</w:t>
        </w:r>
        <w:r>
          <w:rPr>
            <w:noProof/>
          </w:rPr>
          <w:tab/>
        </w:r>
        <w:r>
          <w:rPr>
            <w:noProof/>
          </w:rPr>
          <w:fldChar w:fldCharType="begin"/>
        </w:r>
        <w:r>
          <w:rPr>
            <w:noProof/>
          </w:rPr>
          <w:instrText xml:space="preserve"> PAGEREF _Toc88472692 \h </w:instrText>
        </w:r>
      </w:ins>
      <w:r>
        <w:rPr>
          <w:noProof/>
        </w:rPr>
      </w:r>
      <w:r>
        <w:rPr>
          <w:noProof/>
        </w:rPr>
        <w:fldChar w:fldCharType="separate"/>
      </w:r>
      <w:ins w:id="5" w:author="Casco, Lake" w:date="2021-11-22T11:24:00Z">
        <w:r>
          <w:rPr>
            <w:noProof/>
          </w:rPr>
          <w:t>2</w:t>
        </w:r>
        <w:r>
          <w:rPr>
            <w:noProof/>
          </w:rPr>
          <w:fldChar w:fldCharType="end"/>
        </w:r>
      </w:ins>
    </w:p>
    <w:p w14:paraId="3F24723A" w14:textId="660AA2D8" w:rsidR="001A0E79" w:rsidRDefault="001A0E79">
      <w:pPr>
        <w:pStyle w:val="TOC3"/>
        <w:rPr>
          <w:ins w:id="6" w:author="Casco, Lake" w:date="2021-11-22T11:24:00Z"/>
          <w:rFonts w:asciiTheme="minorHAnsi" w:hAnsiTheme="minorHAnsi"/>
          <w:noProof/>
          <w:szCs w:val="22"/>
        </w:rPr>
      </w:pPr>
      <w:ins w:id="7" w:author="Casco, Lake" w:date="2021-11-22T11:24:00Z">
        <w:r>
          <w:rPr>
            <w:noProof/>
          </w:rPr>
          <w:t>Technology Summary</w:t>
        </w:r>
        <w:r>
          <w:rPr>
            <w:noProof/>
          </w:rPr>
          <w:tab/>
        </w:r>
        <w:r>
          <w:rPr>
            <w:noProof/>
          </w:rPr>
          <w:fldChar w:fldCharType="begin"/>
        </w:r>
        <w:r>
          <w:rPr>
            <w:noProof/>
          </w:rPr>
          <w:instrText xml:space="preserve"> PAGEREF _Toc88472693 \h </w:instrText>
        </w:r>
      </w:ins>
      <w:r>
        <w:rPr>
          <w:noProof/>
        </w:rPr>
      </w:r>
      <w:r>
        <w:rPr>
          <w:noProof/>
        </w:rPr>
        <w:fldChar w:fldCharType="separate"/>
      </w:r>
      <w:ins w:id="8" w:author="Casco, Lake" w:date="2021-11-22T11:24:00Z">
        <w:r>
          <w:rPr>
            <w:noProof/>
          </w:rPr>
          <w:t>2</w:t>
        </w:r>
        <w:r>
          <w:rPr>
            <w:noProof/>
          </w:rPr>
          <w:fldChar w:fldCharType="end"/>
        </w:r>
      </w:ins>
    </w:p>
    <w:p w14:paraId="743F03F8" w14:textId="0AB7451C" w:rsidR="001A0E79" w:rsidRDefault="001A0E79">
      <w:pPr>
        <w:pStyle w:val="TOC3"/>
        <w:rPr>
          <w:ins w:id="9" w:author="Casco, Lake" w:date="2021-11-22T11:24:00Z"/>
          <w:rFonts w:asciiTheme="minorHAnsi" w:hAnsiTheme="minorHAnsi"/>
          <w:noProof/>
          <w:szCs w:val="22"/>
        </w:rPr>
      </w:pPr>
      <w:ins w:id="10" w:author="Casco, Lake" w:date="2021-11-22T11:24:00Z">
        <w:r>
          <w:rPr>
            <w:noProof/>
          </w:rPr>
          <w:t>Measure Case Description</w:t>
        </w:r>
        <w:r>
          <w:rPr>
            <w:noProof/>
          </w:rPr>
          <w:tab/>
        </w:r>
        <w:r>
          <w:rPr>
            <w:noProof/>
          </w:rPr>
          <w:fldChar w:fldCharType="begin"/>
        </w:r>
        <w:r>
          <w:rPr>
            <w:noProof/>
          </w:rPr>
          <w:instrText xml:space="preserve"> PAGEREF _Toc88472694 \h </w:instrText>
        </w:r>
      </w:ins>
      <w:r>
        <w:rPr>
          <w:noProof/>
        </w:rPr>
      </w:r>
      <w:r>
        <w:rPr>
          <w:noProof/>
        </w:rPr>
        <w:fldChar w:fldCharType="separate"/>
      </w:r>
      <w:ins w:id="11" w:author="Casco, Lake" w:date="2021-11-22T11:24:00Z">
        <w:r>
          <w:rPr>
            <w:noProof/>
          </w:rPr>
          <w:t>2</w:t>
        </w:r>
        <w:r>
          <w:rPr>
            <w:noProof/>
          </w:rPr>
          <w:fldChar w:fldCharType="end"/>
        </w:r>
      </w:ins>
    </w:p>
    <w:p w14:paraId="30882653" w14:textId="275BF61D" w:rsidR="001A0E79" w:rsidRDefault="001A0E79">
      <w:pPr>
        <w:pStyle w:val="TOC3"/>
        <w:rPr>
          <w:ins w:id="12" w:author="Casco, Lake" w:date="2021-11-22T11:24:00Z"/>
          <w:rFonts w:asciiTheme="minorHAnsi" w:hAnsiTheme="minorHAnsi"/>
          <w:noProof/>
          <w:szCs w:val="22"/>
        </w:rPr>
      </w:pPr>
      <w:ins w:id="13" w:author="Casco, Lake" w:date="2021-11-22T11:24:00Z">
        <w:r>
          <w:rPr>
            <w:noProof/>
          </w:rPr>
          <w:t>Base Case Description</w:t>
        </w:r>
        <w:r>
          <w:rPr>
            <w:noProof/>
          </w:rPr>
          <w:tab/>
        </w:r>
        <w:r>
          <w:rPr>
            <w:noProof/>
          </w:rPr>
          <w:fldChar w:fldCharType="begin"/>
        </w:r>
        <w:r>
          <w:rPr>
            <w:noProof/>
          </w:rPr>
          <w:instrText xml:space="preserve"> PAGEREF _Toc88472695 \h </w:instrText>
        </w:r>
      </w:ins>
      <w:r>
        <w:rPr>
          <w:noProof/>
        </w:rPr>
      </w:r>
      <w:r>
        <w:rPr>
          <w:noProof/>
        </w:rPr>
        <w:fldChar w:fldCharType="separate"/>
      </w:r>
      <w:ins w:id="14" w:author="Casco, Lake" w:date="2021-11-22T11:24:00Z">
        <w:r>
          <w:rPr>
            <w:noProof/>
          </w:rPr>
          <w:t>2</w:t>
        </w:r>
        <w:r>
          <w:rPr>
            <w:noProof/>
          </w:rPr>
          <w:fldChar w:fldCharType="end"/>
        </w:r>
      </w:ins>
    </w:p>
    <w:p w14:paraId="723300E9" w14:textId="50BE6565" w:rsidR="001A0E79" w:rsidRDefault="001A0E79">
      <w:pPr>
        <w:pStyle w:val="TOC3"/>
        <w:rPr>
          <w:ins w:id="15" w:author="Casco, Lake" w:date="2021-11-22T11:24:00Z"/>
          <w:rFonts w:asciiTheme="minorHAnsi" w:hAnsiTheme="minorHAnsi"/>
          <w:noProof/>
          <w:szCs w:val="22"/>
        </w:rPr>
      </w:pPr>
      <w:ins w:id="16" w:author="Casco, Lake" w:date="2021-11-22T11:24:00Z">
        <w:r>
          <w:rPr>
            <w:noProof/>
          </w:rPr>
          <w:t>Code Requirements</w:t>
        </w:r>
        <w:r>
          <w:rPr>
            <w:noProof/>
          </w:rPr>
          <w:tab/>
        </w:r>
        <w:r>
          <w:rPr>
            <w:noProof/>
          </w:rPr>
          <w:fldChar w:fldCharType="begin"/>
        </w:r>
        <w:r>
          <w:rPr>
            <w:noProof/>
          </w:rPr>
          <w:instrText xml:space="preserve"> PAGEREF _Toc88472696 \h </w:instrText>
        </w:r>
      </w:ins>
      <w:r>
        <w:rPr>
          <w:noProof/>
        </w:rPr>
      </w:r>
      <w:r>
        <w:rPr>
          <w:noProof/>
        </w:rPr>
        <w:fldChar w:fldCharType="separate"/>
      </w:r>
      <w:ins w:id="17" w:author="Casco, Lake" w:date="2021-11-22T11:24:00Z">
        <w:r>
          <w:rPr>
            <w:noProof/>
          </w:rPr>
          <w:t>2</w:t>
        </w:r>
        <w:r>
          <w:rPr>
            <w:noProof/>
          </w:rPr>
          <w:fldChar w:fldCharType="end"/>
        </w:r>
      </w:ins>
    </w:p>
    <w:p w14:paraId="29B6E4C8" w14:textId="6E5479F8" w:rsidR="001A0E79" w:rsidRDefault="001A0E79">
      <w:pPr>
        <w:pStyle w:val="TOC3"/>
        <w:rPr>
          <w:ins w:id="18" w:author="Casco, Lake" w:date="2021-11-22T11:24:00Z"/>
          <w:rFonts w:asciiTheme="minorHAnsi" w:hAnsiTheme="minorHAnsi"/>
          <w:noProof/>
          <w:szCs w:val="22"/>
        </w:rPr>
      </w:pPr>
      <w:ins w:id="19" w:author="Casco, Lake" w:date="2021-11-22T11:24:00Z">
        <w:r>
          <w:rPr>
            <w:noProof/>
          </w:rPr>
          <w:t>Normalizing Unit</w:t>
        </w:r>
        <w:r>
          <w:rPr>
            <w:noProof/>
          </w:rPr>
          <w:tab/>
        </w:r>
        <w:r>
          <w:rPr>
            <w:noProof/>
          </w:rPr>
          <w:fldChar w:fldCharType="begin"/>
        </w:r>
        <w:r>
          <w:rPr>
            <w:noProof/>
          </w:rPr>
          <w:instrText xml:space="preserve"> PAGEREF _Toc88472697 \h </w:instrText>
        </w:r>
      </w:ins>
      <w:r>
        <w:rPr>
          <w:noProof/>
        </w:rPr>
      </w:r>
      <w:r>
        <w:rPr>
          <w:noProof/>
        </w:rPr>
        <w:fldChar w:fldCharType="separate"/>
      </w:r>
      <w:ins w:id="20" w:author="Casco, Lake" w:date="2021-11-22T11:24:00Z">
        <w:r>
          <w:rPr>
            <w:noProof/>
          </w:rPr>
          <w:t>2</w:t>
        </w:r>
        <w:r>
          <w:rPr>
            <w:noProof/>
          </w:rPr>
          <w:fldChar w:fldCharType="end"/>
        </w:r>
      </w:ins>
    </w:p>
    <w:p w14:paraId="68738321" w14:textId="32EABBB8" w:rsidR="001A0E79" w:rsidRDefault="001A0E79">
      <w:pPr>
        <w:pStyle w:val="TOC3"/>
        <w:rPr>
          <w:ins w:id="21" w:author="Casco, Lake" w:date="2021-11-22T11:24:00Z"/>
          <w:rFonts w:asciiTheme="minorHAnsi" w:hAnsiTheme="minorHAnsi"/>
          <w:noProof/>
          <w:szCs w:val="22"/>
        </w:rPr>
      </w:pPr>
      <w:ins w:id="22" w:author="Casco, Lake" w:date="2021-11-22T11:24:00Z">
        <w:r>
          <w:rPr>
            <w:noProof/>
          </w:rPr>
          <w:t>Program Requirements</w:t>
        </w:r>
        <w:r>
          <w:rPr>
            <w:noProof/>
          </w:rPr>
          <w:tab/>
        </w:r>
        <w:r>
          <w:rPr>
            <w:noProof/>
          </w:rPr>
          <w:fldChar w:fldCharType="begin"/>
        </w:r>
        <w:r>
          <w:rPr>
            <w:noProof/>
          </w:rPr>
          <w:instrText xml:space="preserve"> PAGEREF _Toc88472698 \h </w:instrText>
        </w:r>
      </w:ins>
      <w:r>
        <w:rPr>
          <w:noProof/>
        </w:rPr>
      </w:r>
      <w:r>
        <w:rPr>
          <w:noProof/>
        </w:rPr>
        <w:fldChar w:fldCharType="separate"/>
      </w:r>
      <w:ins w:id="23" w:author="Casco, Lake" w:date="2021-11-22T11:24:00Z">
        <w:r>
          <w:rPr>
            <w:noProof/>
          </w:rPr>
          <w:t>2</w:t>
        </w:r>
        <w:r>
          <w:rPr>
            <w:noProof/>
          </w:rPr>
          <w:fldChar w:fldCharType="end"/>
        </w:r>
      </w:ins>
    </w:p>
    <w:p w14:paraId="327A64DA" w14:textId="44037CB4" w:rsidR="001A0E79" w:rsidRDefault="001A0E79">
      <w:pPr>
        <w:pStyle w:val="TOC3"/>
        <w:rPr>
          <w:ins w:id="24" w:author="Casco, Lake" w:date="2021-11-22T11:24:00Z"/>
          <w:rFonts w:asciiTheme="minorHAnsi" w:hAnsiTheme="minorHAnsi"/>
          <w:noProof/>
          <w:szCs w:val="22"/>
        </w:rPr>
      </w:pPr>
      <w:ins w:id="25" w:author="Casco, Lake" w:date="2021-11-22T11:24:00Z">
        <w:r>
          <w:rPr>
            <w:noProof/>
          </w:rPr>
          <w:t>Program Exclusions</w:t>
        </w:r>
        <w:r>
          <w:rPr>
            <w:noProof/>
          </w:rPr>
          <w:tab/>
        </w:r>
        <w:r>
          <w:rPr>
            <w:noProof/>
          </w:rPr>
          <w:fldChar w:fldCharType="begin"/>
        </w:r>
        <w:r>
          <w:rPr>
            <w:noProof/>
          </w:rPr>
          <w:instrText xml:space="preserve"> PAGEREF _Toc88472699 \h </w:instrText>
        </w:r>
      </w:ins>
      <w:r>
        <w:rPr>
          <w:noProof/>
        </w:rPr>
      </w:r>
      <w:r>
        <w:rPr>
          <w:noProof/>
        </w:rPr>
        <w:fldChar w:fldCharType="separate"/>
      </w:r>
      <w:ins w:id="26" w:author="Casco, Lake" w:date="2021-11-22T11:24:00Z">
        <w:r>
          <w:rPr>
            <w:noProof/>
          </w:rPr>
          <w:t>2</w:t>
        </w:r>
        <w:r>
          <w:rPr>
            <w:noProof/>
          </w:rPr>
          <w:fldChar w:fldCharType="end"/>
        </w:r>
      </w:ins>
    </w:p>
    <w:p w14:paraId="1C7BCD33" w14:textId="5F55AA09" w:rsidR="001A0E79" w:rsidRDefault="001A0E79">
      <w:pPr>
        <w:pStyle w:val="TOC3"/>
        <w:rPr>
          <w:ins w:id="27" w:author="Casco, Lake" w:date="2021-11-22T11:24:00Z"/>
          <w:rFonts w:asciiTheme="minorHAnsi" w:hAnsiTheme="minorHAnsi"/>
          <w:noProof/>
          <w:szCs w:val="22"/>
        </w:rPr>
      </w:pPr>
      <w:ins w:id="28" w:author="Casco, Lake" w:date="2021-11-22T11:24:00Z">
        <w:r>
          <w:rPr>
            <w:noProof/>
          </w:rPr>
          <w:t>Data Collection Requirements</w:t>
        </w:r>
        <w:r>
          <w:rPr>
            <w:noProof/>
          </w:rPr>
          <w:tab/>
        </w:r>
        <w:r>
          <w:rPr>
            <w:noProof/>
          </w:rPr>
          <w:fldChar w:fldCharType="begin"/>
        </w:r>
        <w:r>
          <w:rPr>
            <w:noProof/>
          </w:rPr>
          <w:instrText xml:space="preserve"> PAGEREF _Toc88472700 \h </w:instrText>
        </w:r>
      </w:ins>
      <w:r>
        <w:rPr>
          <w:noProof/>
        </w:rPr>
      </w:r>
      <w:r>
        <w:rPr>
          <w:noProof/>
        </w:rPr>
        <w:fldChar w:fldCharType="separate"/>
      </w:r>
      <w:ins w:id="29" w:author="Casco, Lake" w:date="2021-11-22T11:24:00Z">
        <w:r>
          <w:rPr>
            <w:noProof/>
          </w:rPr>
          <w:t>2</w:t>
        </w:r>
        <w:r>
          <w:rPr>
            <w:noProof/>
          </w:rPr>
          <w:fldChar w:fldCharType="end"/>
        </w:r>
      </w:ins>
    </w:p>
    <w:p w14:paraId="547BD460" w14:textId="7B1CB2FE" w:rsidR="001A0E79" w:rsidRDefault="001A0E79">
      <w:pPr>
        <w:pStyle w:val="TOC3"/>
        <w:rPr>
          <w:ins w:id="30" w:author="Casco, Lake" w:date="2021-11-22T11:24:00Z"/>
          <w:rFonts w:asciiTheme="minorHAnsi" w:hAnsiTheme="minorHAnsi"/>
          <w:noProof/>
          <w:szCs w:val="22"/>
        </w:rPr>
      </w:pPr>
      <w:ins w:id="31" w:author="Casco, Lake" w:date="2021-11-22T11:24:00Z">
        <w:r>
          <w:rPr>
            <w:noProof/>
          </w:rPr>
          <w:t>Use Category</w:t>
        </w:r>
        <w:r>
          <w:rPr>
            <w:noProof/>
          </w:rPr>
          <w:tab/>
        </w:r>
        <w:r>
          <w:rPr>
            <w:noProof/>
          </w:rPr>
          <w:fldChar w:fldCharType="begin"/>
        </w:r>
        <w:r>
          <w:rPr>
            <w:noProof/>
          </w:rPr>
          <w:instrText xml:space="preserve"> PAGEREF _Toc88472701 \h </w:instrText>
        </w:r>
      </w:ins>
      <w:r>
        <w:rPr>
          <w:noProof/>
        </w:rPr>
      </w:r>
      <w:r>
        <w:rPr>
          <w:noProof/>
        </w:rPr>
        <w:fldChar w:fldCharType="separate"/>
      </w:r>
      <w:ins w:id="32" w:author="Casco, Lake" w:date="2021-11-22T11:24:00Z">
        <w:r>
          <w:rPr>
            <w:noProof/>
          </w:rPr>
          <w:t>2</w:t>
        </w:r>
        <w:r>
          <w:rPr>
            <w:noProof/>
          </w:rPr>
          <w:fldChar w:fldCharType="end"/>
        </w:r>
      </w:ins>
    </w:p>
    <w:p w14:paraId="2D8F3F38" w14:textId="38EF2134" w:rsidR="001A0E79" w:rsidRDefault="001A0E79">
      <w:pPr>
        <w:pStyle w:val="TOC3"/>
        <w:rPr>
          <w:ins w:id="33" w:author="Casco, Lake" w:date="2021-11-22T11:24:00Z"/>
          <w:rFonts w:asciiTheme="minorHAnsi" w:hAnsiTheme="minorHAnsi"/>
          <w:noProof/>
          <w:szCs w:val="22"/>
        </w:rPr>
      </w:pPr>
      <w:ins w:id="34" w:author="Casco, Lake" w:date="2021-11-22T11:24:00Z">
        <w:r>
          <w:rPr>
            <w:noProof/>
          </w:rPr>
          <w:t>Electric Savings (kWh)</w:t>
        </w:r>
        <w:r>
          <w:rPr>
            <w:noProof/>
          </w:rPr>
          <w:tab/>
        </w:r>
        <w:r>
          <w:rPr>
            <w:noProof/>
          </w:rPr>
          <w:fldChar w:fldCharType="begin"/>
        </w:r>
        <w:r>
          <w:rPr>
            <w:noProof/>
          </w:rPr>
          <w:instrText xml:space="preserve"> PAGEREF _Toc88472702 \h </w:instrText>
        </w:r>
      </w:ins>
      <w:r>
        <w:rPr>
          <w:noProof/>
        </w:rPr>
      </w:r>
      <w:r>
        <w:rPr>
          <w:noProof/>
        </w:rPr>
        <w:fldChar w:fldCharType="separate"/>
      </w:r>
      <w:ins w:id="35" w:author="Casco, Lake" w:date="2021-11-22T11:24:00Z">
        <w:r>
          <w:rPr>
            <w:noProof/>
          </w:rPr>
          <w:t>2</w:t>
        </w:r>
        <w:r>
          <w:rPr>
            <w:noProof/>
          </w:rPr>
          <w:fldChar w:fldCharType="end"/>
        </w:r>
      </w:ins>
    </w:p>
    <w:p w14:paraId="6B7900BD" w14:textId="60F5EAE8" w:rsidR="001A0E79" w:rsidRDefault="001A0E79">
      <w:pPr>
        <w:pStyle w:val="TOC3"/>
        <w:rPr>
          <w:ins w:id="36" w:author="Casco, Lake" w:date="2021-11-22T11:24:00Z"/>
          <w:rFonts w:asciiTheme="minorHAnsi" w:hAnsiTheme="minorHAnsi"/>
          <w:noProof/>
          <w:szCs w:val="22"/>
        </w:rPr>
      </w:pPr>
      <w:ins w:id="37" w:author="Casco, Lake" w:date="2021-11-22T11:24:00Z">
        <w:r>
          <w:rPr>
            <w:noProof/>
          </w:rPr>
          <w:t>Peak Electric Demand Reduction (kW)</w:t>
        </w:r>
        <w:r>
          <w:rPr>
            <w:noProof/>
          </w:rPr>
          <w:tab/>
        </w:r>
        <w:r>
          <w:rPr>
            <w:noProof/>
          </w:rPr>
          <w:fldChar w:fldCharType="begin"/>
        </w:r>
        <w:r>
          <w:rPr>
            <w:noProof/>
          </w:rPr>
          <w:instrText xml:space="preserve"> PAGEREF _Toc88472703 \h </w:instrText>
        </w:r>
      </w:ins>
      <w:r>
        <w:rPr>
          <w:noProof/>
        </w:rPr>
      </w:r>
      <w:r>
        <w:rPr>
          <w:noProof/>
        </w:rPr>
        <w:fldChar w:fldCharType="separate"/>
      </w:r>
      <w:ins w:id="38" w:author="Casco, Lake" w:date="2021-11-22T11:24:00Z">
        <w:r>
          <w:rPr>
            <w:noProof/>
          </w:rPr>
          <w:t>2</w:t>
        </w:r>
        <w:r>
          <w:rPr>
            <w:noProof/>
          </w:rPr>
          <w:fldChar w:fldCharType="end"/>
        </w:r>
      </w:ins>
    </w:p>
    <w:p w14:paraId="1C1E31BF" w14:textId="5143FB76" w:rsidR="001A0E79" w:rsidRDefault="001A0E79">
      <w:pPr>
        <w:pStyle w:val="TOC3"/>
        <w:rPr>
          <w:ins w:id="39" w:author="Casco, Lake" w:date="2021-11-22T11:24:00Z"/>
          <w:rFonts w:asciiTheme="minorHAnsi" w:hAnsiTheme="minorHAnsi"/>
          <w:noProof/>
          <w:szCs w:val="22"/>
        </w:rPr>
      </w:pPr>
      <w:ins w:id="40" w:author="Casco, Lake" w:date="2021-11-22T11:24:00Z">
        <w:r>
          <w:rPr>
            <w:noProof/>
          </w:rPr>
          <w:t>Gas Savings (therms)</w:t>
        </w:r>
        <w:r>
          <w:rPr>
            <w:noProof/>
          </w:rPr>
          <w:tab/>
        </w:r>
        <w:r>
          <w:rPr>
            <w:noProof/>
          </w:rPr>
          <w:fldChar w:fldCharType="begin"/>
        </w:r>
        <w:r>
          <w:rPr>
            <w:noProof/>
          </w:rPr>
          <w:instrText xml:space="preserve"> PAGEREF _Toc88472704 \h </w:instrText>
        </w:r>
      </w:ins>
      <w:r>
        <w:rPr>
          <w:noProof/>
        </w:rPr>
      </w:r>
      <w:r>
        <w:rPr>
          <w:noProof/>
        </w:rPr>
        <w:fldChar w:fldCharType="separate"/>
      </w:r>
      <w:ins w:id="41" w:author="Casco, Lake" w:date="2021-11-22T11:24:00Z">
        <w:r>
          <w:rPr>
            <w:noProof/>
          </w:rPr>
          <w:t>2</w:t>
        </w:r>
        <w:r>
          <w:rPr>
            <w:noProof/>
          </w:rPr>
          <w:fldChar w:fldCharType="end"/>
        </w:r>
      </w:ins>
    </w:p>
    <w:p w14:paraId="4D673332" w14:textId="3FAB9D1C" w:rsidR="001A0E79" w:rsidRDefault="001A0E79">
      <w:pPr>
        <w:pStyle w:val="TOC3"/>
        <w:rPr>
          <w:ins w:id="42" w:author="Casco, Lake" w:date="2021-11-22T11:24:00Z"/>
          <w:rFonts w:asciiTheme="minorHAnsi" w:hAnsiTheme="minorHAnsi"/>
          <w:noProof/>
          <w:szCs w:val="22"/>
        </w:rPr>
      </w:pPr>
      <w:ins w:id="43" w:author="Casco, Lake" w:date="2021-11-22T11:24:00Z">
        <w:r>
          <w:rPr>
            <w:noProof/>
          </w:rPr>
          <w:t>Life Cycle</w:t>
        </w:r>
        <w:r>
          <w:rPr>
            <w:noProof/>
          </w:rPr>
          <w:tab/>
        </w:r>
        <w:r>
          <w:rPr>
            <w:noProof/>
          </w:rPr>
          <w:fldChar w:fldCharType="begin"/>
        </w:r>
        <w:r>
          <w:rPr>
            <w:noProof/>
          </w:rPr>
          <w:instrText xml:space="preserve"> PAGEREF _Toc88472705 \h </w:instrText>
        </w:r>
      </w:ins>
      <w:r>
        <w:rPr>
          <w:noProof/>
        </w:rPr>
      </w:r>
      <w:r>
        <w:rPr>
          <w:noProof/>
        </w:rPr>
        <w:fldChar w:fldCharType="separate"/>
      </w:r>
      <w:ins w:id="44" w:author="Casco, Lake" w:date="2021-11-22T11:24:00Z">
        <w:r>
          <w:rPr>
            <w:noProof/>
          </w:rPr>
          <w:t>2</w:t>
        </w:r>
        <w:r>
          <w:rPr>
            <w:noProof/>
          </w:rPr>
          <w:fldChar w:fldCharType="end"/>
        </w:r>
      </w:ins>
    </w:p>
    <w:p w14:paraId="0B23D198" w14:textId="4ACACFFA" w:rsidR="001A0E79" w:rsidRDefault="001A0E79">
      <w:pPr>
        <w:pStyle w:val="TOC3"/>
        <w:rPr>
          <w:ins w:id="45" w:author="Casco, Lake" w:date="2021-11-22T11:24:00Z"/>
          <w:rFonts w:asciiTheme="minorHAnsi" w:hAnsiTheme="minorHAnsi"/>
          <w:noProof/>
          <w:szCs w:val="22"/>
        </w:rPr>
      </w:pPr>
      <w:ins w:id="46" w:author="Casco, Lake" w:date="2021-11-22T11:24:00Z">
        <w:r>
          <w:rPr>
            <w:noProof/>
          </w:rPr>
          <w:t>Base Case Material Cost ($/unit)</w:t>
        </w:r>
        <w:r>
          <w:rPr>
            <w:noProof/>
          </w:rPr>
          <w:tab/>
        </w:r>
        <w:r>
          <w:rPr>
            <w:noProof/>
          </w:rPr>
          <w:fldChar w:fldCharType="begin"/>
        </w:r>
        <w:r>
          <w:rPr>
            <w:noProof/>
          </w:rPr>
          <w:instrText xml:space="preserve"> PAGEREF _Toc88472706 \h </w:instrText>
        </w:r>
      </w:ins>
      <w:r>
        <w:rPr>
          <w:noProof/>
        </w:rPr>
      </w:r>
      <w:r>
        <w:rPr>
          <w:noProof/>
        </w:rPr>
        <w:fldChar w:fldCharType="separate"/>
      </w:r>
      <w:ins w:id="47" w:author="Casco, Lake" w:date="2021-11-22T11:24:00Z">
        <w:r>
          <w:rPr>
            <w:noProof/>
          </w:rPr>
          <w:t>2</w:t>
        </w:r>
        <w:r>
          <w:rPr>
            <w:noProof/>
          </w:rPr>
          <w:fldChar w:fldCharType="end"/>
        </w:r>
      </w:ins>
    </w:p>
    <w:p w14:paraId="782C722E" w14:textId="5C173CA4" w:rsidR="001A0E79" w:rsidRDefault="001A0E79">
      <w:pPr>
        <w:pStyle w:val="TOC3"/>
        <w:rPr>
          <w:ins w:id="48" w:author="Casco, Lake" w:date="2021-11-22T11:24:00Z"/>
          <w:rFonts w:asciiTheme="minorHAnsi" w:hAnsiTheme="minorHAnsi"/>
          <w:noProof/>
          <w:szCs w:val="22"/>
        </w:rPr>
      </w:pPr>
      <w:ins w:id="49" w:author="Casco, Lake" w:date="2021-11-22T11:24:00Z">
        <w:r>
          <w:rPr>
            <w:noProof/>
          </w:rPr>
          <w:t>Measure Case Material Cost ($/unit)</w:t>
        </w:r>
        <w:r>
          <w:rPr>
            <w:noProof/>
          </w:rPr>
          <w:tab/>
        </w:r>
        <w:r>
          <w:rPr>
            <w:noProof/>
          </w:rPr>
          <w:fldChar w:fldCharType="begin"/>
        </w:r>
        <w:r>
          <w:rPr>
            <w:noProof/>
          </w:rPr>
          <w:instrText xml:space="preserve"> PAGEREF _Toc88472707 \h </w:instrText>
        </w:r>
      </w:ins>
      <w:r>
        <w:rPr>
          <w:noProof/>
        </w:rPr>
      </w:r>
      <w:r>
        <w:rPr>
          <w:noProof/>
        </w:rPr>
        <w:fldChar w:fldCharType="separate"/>
      </w:r>
      <w:ins w:id="50" w:author="Casco, Lake" w:date="2021-11-22T11:24:00Z">
        <w:r>
          <w:rPr>
            <w:noProof/>
          </w:rPr>
          <w:t>2</w:t>
        </w:r>
        <w:r>
          <w:rPr>
            <w:noProof/>
          </w:rPr>
          <w:fldChar w:fldCharType="end"/>
        </w:r>
      </w:ins>
    </w:p>
    <w:p w14:paraId="5C25573B" w14:textId="3EC3F72C" w:rsidR="001A0E79" w:rsidRDefault="001A0E79">
      <w:pPr>
        <w:pStyle w:val="TOC3"/>
        <w:rPr>
          <w:ins w:id="51" w:author="Casco, Lake" w:date="2021-11-22T11:24:00Z"/>
          <w:rFonts w:asciiTheme="minorHAnsi" w:hAnsiTheme="minorHAnsi"/>
          <w:noProof/>
          <w:szCs w:val="22"/>
        </w:rPr>
      </w:pPr>
      <w:ins w:id="52" w:author="Casco, Lake" w:date="2021-11-22T11:24:00Z">
        <w:r>
          <w:rPr>
            <w:noProof/>
          </w:rPr>
          <w:t>Base Case Labor Cost ($/unit)</w:t>
        </w:r>
        <w:r>
          <w:rPr>
            <w:noProof/>
          </w:rPr>
          <w:tab/>
        </w:r>
        <w:r>
          <w:rPr>
            <w:noProof/>
          </w:rPr>
          <w:fldChar w:fldCharType="begin"/>
        </w:r>
        <w:r>
          <w:rPr>
            <w:noProof/>
          </w:rPr>
          <w:instrText xml:space="preserve"> PAGEREF _Toc88472708 \h </w:instrText>
        </w:r>
      </w:ins>
      <w:r>
        <w:rPr>
          <w:noProof/>
        </w:rPr>
      </w:r>
      <w:r>
        <w:rPr>
          <w:noProof/>
        </w:rPr>
        <w:fldChar w:fldCharType="separate"/>
      </w:r>
      <w:ins w:id="53" w:author="Casco, Lake" w:date="2021-11-22T11:24:00Z">
        <w:r>
          <w:rPr>
            <w:noProof/>
          </w:rPr>
          <w:t>2</w:t>
        </w:r>
        <w:r>
          <w:rPr>
            <w:noProof/>
          </w:rPr>
          <w:fldChar w:fldCharType="end"/>
        </w:r>
      </w:ins>
    </w:p>
    <w:p w14:paraId="1F904A7A" w14:textId="141A8DBC" w:rsidR="001A0E79" w:rsidRDefault="001A0E79">
      <w:pPr>
        <w:pStyle w:val="TOC3"/>
        <w:rPr>
          <w:ins w:id="54" w:author="Casco, Lake" w:date="2021-11-22T11:24:00Z"/>
          <w:rFonts w:asciiTheme="minorHAnsi" w:hAnsiTheme="minorHAnsi"/>
          <w:noProof/>
          <w:szCs w:val="22"/>
        </w:rPr>
      </w:pPr>
      <w:ins w:id="55" w:author="Casco, Lake" w:date="2021-11-22T11:24:00Z">
        <w:r>
          <w:rPr>
            <w:noProof/>
          </w:rPr>
          <w:t>Measure Case Labor Cost ($/unit)</w:t>
        </w:r>
        <w:r>
          <w:rPr>
            <w:noProof/>
          </w:rPr>
          <w:tab/>
        </w:r>
        <w:r>
          <w:rPr>
            <w:noProof/>
          </w:rPr>
          <w:fldChar w:fldCharType="begin"/>
        </w:r>
        <w:r>
          <w:rPr>
            <w:noProof/>
          </w:rPr>
          <w:instrText xml:space="preserve"> PAGEREF _Toc88472709 \h </w:instrText>
        </w:r>
      </w:ins>
      <w:r>
        <w:rPr>
          <w:noProof/>
        </w:rPr>
      </w:r>
      <w:r>
        <w:rPr>
          <w:noProof/>
        </w:rPr>
        <w:fldChar w:fldCharType="separate"/>
      </w:r>
      <w:ins w:id="56" w:author="Casco, Lake" w:date="2021-11-22T11:24:00Z">
        <w:r>
          <w:rPr>
            <w:noProof/>
          </w:rPr>
          <w:t>2</w:t>
        </w:r>
        <w:r>
          <w:rPr>
            <w:noProof/>
          </w:rPr>
          <w:fldChar w:fldCharType="end"/>
        </w:r>
      </w:ins>
    </w:p>
    <w:p w14:paraId="7D85EE34" w14:textId="1EFB4205" w:rsidR="001A0E79" w:rsidRDefault="001A0E79">
      <w:pPr>
        <w:pStyle w:val="TOC3"/>
        <w:rPr>
          <w:ins w:id="57" w:author="Casco, Lake" w:date="2021-11-22T11:24:00Z"/>
          <w:rFonts w:asciiTheme="minorHAnsi" w:hAnsiTheme="minorHAnsi"/>
          <w:noProof/>
          <w:szCs w:val="22"/>
        </w:rPr>
      </w:pPr>
      <w:ins w:id="58" w:author="Casco, Lake" w:date="2021-11-22T11:24:00Z">
        <w:r>
          <w:rPr>
            <w:noProof/>
          </w:rPr>
          <w:t>Net-to-Gross (NTG)</w:t>
        </w:r>
        <w:r>
          <w:rPr>
            <w:noProof/>
          </w:rPr>
          <w:tab/>
        </w:r>
        <w:r>
          <w:rPr>
            <w:noProof/>
          </w:rPr>
          <w:fldChar w:fldCharType="begin"/>
        </w:r>
        <w:r>
          <w:rPr>
            <w:noProof/>
          </w:rPr>
          <w:instrText xml:space="preserve"> PAGEREF _Toc88472710 \h </w:instrText>
        </w:r>
      </w:ins>
      <w:r>
        <w:rPr>
          <w:noProof/>
        </w:rPr>
      </w:r>
      <w:r>
        <w:rPr>
          <w:noProof/>
        </w:rPr>
        <w:fldChar w:fldCharType="separate"/>
      </w:r>
      <w:ins w:id="59" w:author="Casco, Lake" w:date="2021-11-22T11:24:00Z">
        <w:r>
          <w:rPr>
            <w:noProof/>
          </w:rPr>
          <w:t>2</w:t>
        </w:r>
        <w:r>
          <w:rPr>
            <w:noProof/>
          </w:rPr>
          <w:fldChar w:fldCharType="end"/>
        </w:r>
      </w:ins>
    </w:p>
    <w:p w14:paraId="16103076" w14:textId="00C85402" w:rsidR="001A0E79" w:rsidRDefault="001A0E79">
      <w:pPr>
        <w:pStyle w:val="TOC3"/>
        <w:rPr>
          <w:ins w:id="60" w:author="Casco, Lake" w:date="2021-11-22T11:24:00Z"/>
          <w:rFonts w:asciiTheme="minorHAnsi" w:hAnsiTheme="minorHAnsi"/>
          <w:noProof/>
          <w:szCs w:val="22"/>
        </w:rPr>
      </w:pPr>
      <w:ins w:id="61" w:author="Casco, Lake" w:date="2021-11-22T11:24:00Z">
        <w:r>
          <w:rPr>
            <w:noProof/>
          </w:rPr>
          <w:t>Gross Savings Installation Adjustment (GSIA)</w:t>
        </w:r>
        <w:r>
          <w:rPr>
            <w:noProof/>
          </w:rPr>
          <w:tab/>
        </w:r>
        <w:r>
          <w:rPr>
            <w:noProof/>
          </w:rPr>
          <w:fldChar w:fldCharType="begin"/>
        </w:r>
        <w:r>
          <w:rPr>
            <w:noProof/>
          </w:rPr>
          <w:instrText xml:space="preserve"> PAGEREF _Toc88472711 \h </w:instrText>
        </w:r>
      </w:ins>
      <w:r>
        <w:rPr>
          <w:noProof/>
        </w:rPr>
      </w:r>
      <w:r>
        <w:rPr>
          <w:noProof/>
        </w:rPr>
        <w:fldChar w:fldCharType="separate"/>
      </w:r>
      <w:ins w:id="62" w:author="Casco, Lake" w:date="2021-11-22T11:24:00Z">
        <w:r>
          <w:rPr>
            <w:noProof/>
          </w:rPr>
          <w:t>2</w:t>
        </w:r>
        <w:r>
          <w:rPr>
            <w:noProof/>
          </w:rPr>
          <w:fldChar w:fldCharType="end"/>
        </w:r>
      </w:ins>
    </w:p>
    <w:p w14:paraId="061FE42E" w14:textId="08EB354C" w:rsidR="001A0E79" w:rsidRDefault="001A0E79">
      <w:pPr>
        <w:pStyle w:val="TOC3"/>
        <w:rPr>
          <w:ins w:id="63" w:author="Casco, Lake" w:date="2021-11-22T11:24:00Z"/>
          <w:rFonts w:asciiTheme="minorHAnsi" w:hAnsiTheme="minorHAnsi"/>
          <w:noProof/>
          <w:szCs w:val="22"/>
        </w:rPr>
      </w:pPr>
      <w:ins w:id="64" w:author="Casco, Lake" w:date="2021-11-22T11:24:00Z">
        <w:r>
          <w:rPr>
            <w:noProof/>
          </w:rPr>
          <w:t>Non-Energy Impacts</w:t>
        </w:r>
        <w:r>
          <w:rPr>
            <w:noProof/>
          </w:rPr>
          <w:tab/>
        </w:r>
        <w:r>
          <w:rPr>
            <w:noProof/>
          </w:rPr>
          <w:fldChar w:fldCharType="begin"/>
        </w:r>
        <w:r>
          <w:rPr>
            <w:noProof/>
          </w:rPr>
          <w:instrText xml:space="preserve"> PAGEREF _Toc88472712 \h </w:instrText>
        </w:r>
      </w:ins>
      <w:r>
        <w:rPr>
          <w:noProof/>
        </w:rPr>
      </w:r>
      <w:r>
        <w:rPr>
          <w:noProof/>
        </w:rPr>
        <w:fldChar w:fldCharType="separate"/>
      </w:r>
      <w:ins w:id="65" w:author="Casco, Lake" w:date="2021-11-22T11:24:00Z">
        <w:r>
          <w:rPr>
            <w:noProof/>
          </w:rPr>
          <w:t>2</w:t>
        </w:r>
        <w:r>
          <w:rPr>
            <w:noProof/>
          </w:rPr>
          <w:fldChar w:fldCharType="end"/>
        </w:r>
      </w:ins>
    </w:p>
    <w:p w14:paraId="10816CDD" w14:textId="36DBB32E" w:rsidR="001A0E79" w:rsidRDefault="001A0E79">
      <w:pPr>
        <w:pStyle w:val="TOC3"/>
        <w:rPr>
          <w:ins w:id="66" w:author="Casco, Lake" w:date="2021-11-22T11:24:00Z"/>
          <w:rFonts w:asciiTheme="minorHAnsi" w:hAnsiTheme="minorHAnsi"/>
          <w:noProof/>
          <w:szCs w:val="22"/>
        </w:rPr>
      </w:pPr>
      <w:ins w:id="67" w:author="Casco, Lake" w:date="2021-11-22T11:24:00Z">
        <w:r>
          <w:rPr>
            <w:noProof/>
          </w:rPr>
          <w:t>DEER Differences Analysis</w:t>
        </w:r>
        <w:r>
          <w:rPr>
            <w:noProof/>
          </w:rPr>
          <w:tab/>
        </w:r>
        <w:r>
          <w:rPr>
            <w:noProof/>
          </w:rPr>
          <w:fldChar w:fldCharType="begin"/>
        </w:r>
        <w:r>
          <w:rPr>
            <w:noProof/>
          </w:rPr>
          <w:instrText xml:space="preserve"> PAGEREF _Toc88472713 \h </w:instrText>
        </w:r>
      </w:ins>
      <w:r>
        <w:rPr>
          <w:noProof/>
        </w:rPr>
      </w:r>
      <w:r>
        <w:rPr>
          <w:noProof/>
        </w:rPr>
        <w:fldChar w:fldCharType="separate"/>
      </w:r>
      <w:ins w:id="68" w:author="Casco, Lake" w:date="2021-11-22T11:24:00Z">
        <w:r>
          <w:rPr>
            <w:noProof/>
          </w:rPr>
          <w:t>2</w:t>
        </w:r>
        <w:r>
          <w:rPr>
            <w:noProof/>
          </w:rPr>
          <w:fldChar w:fldCharType="end"/>
        </w:r>
      </w:ins>
    </w:p>
    <w:p w14:paraId="503A1DF2" w14:textId="3081F6E8" w:rsidR="001A0E79" w:rsidRDefault="001A0E79">
      <w:pPr>
        <w:pStyle w:val="TOC3"/>
        <w:rPr>
          <w:ins w:id="69" w:author="Casco, Lake" w:date="2021-11-22T11:24:00Z"/>
          <w:rFonts w:asciiTheme="minorHAnsi" w:hAnsiTheme="minorHAnsi"/>
          <w:noProof/>
          <w:szCs w:val="22"/>
        </w:rPr>
      </w:pPr>
      <w:ins w:id="70" w:author="Casco, Lake" w:date="2021-11-22T11:24:00Z">
        <w:r>
          <w:rPr>
            <w:noProof/>
          </w:rPr>
          <w:t>Revision History</w:t>
        </w:r>
        <w:r>
          <w:rPr>
            <w:noProof/>
          </w:rPr>
          <w:tab/>
        </w:r>
        <w:r>
          <w:rPr>
            <w:noProof/>
          </w:rPr>
          <w:fldChar w:fldCharType="begin"/>
        </w:r>
        <w:r>
          <w:rPr>
            <w:noProof/>
          </w:rPr>
          <w:instrText xml:space="preserve"> PAGEREF _Toc88472714 \h </w:instrText>
        </w:r>
      </w:ins>
      <w:r>
        <w:rPr>
          <w:noProof/>
        </w:rPr>
      </w:r>
      <w:r>
        <w:rPr>
          <w:noProof/>
        </w:rPr>
        <w:fldChar w:fldCharType="separate"/>
      </w:r>
      <w:ins w:id="71" w:author="Casco, Lake" w:date="2021-11-22T11:24:00Z">
        <w:r>
          <w:rPr>
            <w:noProof/>
          </w:rPr>
          <w:t>2</w:t>
        </w:r>
        <w:r>
          <w:rPr>
            <w:noProof/>
          </w:rPr>
          <w:fldChar w:fldCharType="end"/>
        </w:r>
      </w:ins>
    </w:p>
    <w:p w14:paraId="42DC07F1" w14:textId="609BA793" w:rsidR="00EE46F6" w:rsidDel="001A0E79" w:rsidRDefault="00EE46F6">
      <w:pPr>
        <w:pStyle w:val="TOC3"/>
        <w:rPr>
          <w:del w:id="72" w:author="Casco, Lake" w:date="2021-11-22T11:24:00Z"/>
          <w:rFonts w:asciiTheme="minorHAnsi" w:hAnsiTheme="minorHAnsi"/>
          <w:noProof/>
          <w:szCs w:val="22"/>
        </w:rPr>
      </w:pPr>
      <w:del w:id="73" w:author="Casco, Lake" w:date="2021-11-22T11:24:00Z">
        <w:r w:rsidDel="001A0E79">
          <w:rPr>
            <w:noProof/>
          </w:rPr>
          <w:delText>Measure Name</w:delText>
        </w:r>
        <w:r w:rsidDel="001A0E79">
          <w:rPr>
            <w:noProof/>
          </w:rPr>
          <w:tab/>
          <w:delText>2</w:delText>
        </w:r>
      </w:del>
    </w:p>
    <w:p w14:paraId="0E2975CE" w14:textId="02A222E3" w:rsidR="00EE46F6" w:rsidDel="001A0E79" w:rsidRDefault="00EE46F6">
      <w:pPr>
        <w:pStyle w:val="TOC3"/>
        <w:rPr>
          <w:del w:id="74" w:author="Casco, Lake" w:date="2021-11-22T11:24:00Z"/>
          <w:rFonts w:asciiTheme="minorHAnsi" w:hAnsiTheme="minorHAnsi"/>
          <w:noProof/>
          <w:szCs w:val="22"/>
        </w:rPr>
      </w:pPr>
      <w:del w:id="75" w:author="Casco, Lake" w:date="2021-11-22T11:24:00Z">
        <w:r w:rsidDel="001A0E79">
          <w:rPr>
            <w:noProof/>
          </w:rPr>
          <w:delText>Statewide Measure ID</w:delText>
        </w:r>
        <w:r w:rsidDel="001A0E79">
          <w:rPr>
            <w:noProof/>
          </w:rPr>
          <w:tab/>
          <w:delText>2</w:delText>
        </w:r>
      </w:del>
    </w:p>
    <w:p w14:paraId="67991DBA" w14:textId="75E37C5F" w:rsidR="00EE46F6" w:rsidDel="001A0E79" w:rsidRDefault="00EE46F6">
      <w:pPr>
        <w:pStyle w:val="TOC3"/>
        <w:rPr>
          <w:del w:id="76" w:author="Casco, Lake" w:date="2021-11-22T11:24:00Z"/>
          <w:rFonts w:asciiTheme="minorHAnsi" w:hAnsiTheme="minorHAnsi"/>
          <w:noProof/>
          <w:szCs w:val="22"/>
        </w:rPr>
      </w:pPr>
      <w:del w:id="77" w:author="Casco, Lake" w:date="2021-11-22T11:24:00Z">
        <w:r w:rsidDel="001A0E79">
          <w:rPr>
            <w:noProof/>
          </w:rPr>
          <w:delText>Technology Summary</w:delText>
        </w:r>
        <w:r w:rsidDel="001A0E79">
          <w:rPr>
            <w:noProof/>
          </w:rPr>
          <w:tab/>
          <w:delText>2</w:delText>
        </w:r>
      </w:del>
    </w:p>
    <w:p w14:paraId="781643C1" w14:textId="752EBB03" w:rsidR="00EE46F6" w:rsidDel="001A0E79" w:rsidRDefault="00EE46F6">
      <w:pPr>
        <w:pStyle w:val="TOC3"/>
        <w:rPr>
          <w:del w:id="78" w:author="Casco, Lake" w:date="2021-11-22T11:24:00Z"/>
          <w:rFonts w:asciiTheme="minorHAnsi" w:hAnsiTheme="minorHAnsi"/>
          <w:noProof/>
          <w:szCs w:val="22"/>
        </w:rPr>
      </w:pPr>
      <w:del w:id="79" w:author="Casco, Lake" w:date="2021-11-22T11:24:00Z">
        <w:r w:rsidDel="001A0E79">
          <w:rPr>
            <w:noProof/>
          </w:rPr>
          <w:delText>Measure Case Description</w:delText>
        </w:r>
        <w:r w:rsidDel="001A0E79">
          <w:rPr>
            <w:noProof/>
          </w:rPr>
          <w:tab/>
          <w:delText>2</w:delText>
        </w:r>
      </w:del>
    </w:p>
    <w:p w14:paraId="0932457E" w14:textId="21D03F68" w:rsidR="00EE46F6" w:rsidDel="001A0E79" w:rsidRDefault="00EE46F6">
      <w:pPr>
        <w:pStyle w:val="TOC3"/>
        <w:rPr>
          <w:del w:id="80" w:author="Casco, Lake" w:date="2021-11-22T11:24:00Z"/>
          <w:rFonts w:asciiTheme="minorHAnsi" w:hAnsiTheme="minorHAnsi"/>
          <w:noProof/>
          <w:szCs w:val="22"/>
        </w:rPr>
      </w:pPr>
      <w:del w:id="81" w:author="Casco, Lake" w:date="2021-11-22T11:24:00Z">
        <w:r w:rsidDel="001A0E79">
          <w:rPr>
            <w:noProof/>
          </w:rPr>
          <w:delText>Base Case Description</w:delText>
        </w:r>
        <w:r w:rsidDel="001A0E79">
          <w:rPr>
            <w:noProof/>
          </w:rPr>
          <w:tab/>
          <w:delText>2</w:delText>
        </w:r>
      </w:del>
    </w:p>
    <w:p w14:paraId="68A0A858" w14:textId="75963038" w:rsidR="00EE46F6" w:rsidDel="001A0E79" w:rsidRDefault="00EE46F6">
      <w:pPr>
        <w:pStyle w:val="TOC3"/>
        <w:rPr>
          <w:del w:id="82" w:author="Casco, Lake" w:date="2021-11-22T11:24:00Z"/>
          <w:rFonts w:asciiTheme="minorHAnsi" w:hAnsiTheme="minorHAnsi"/>
          <w:noProof/>
          <w:szCs w:val="22"/>
        </w:rPr>
      </w:pPr>
      <w:del w:id="83" w:author="Casco, Lake" w:date="2021-11-22T11:24:00Z">
        <w:r w:rsidDel="001A0E79">
          <w:rPr>
            <w:noProof/>
          </w:rPr>
          <w:delText>Code Requirements</w:delText>
        </w:r>
        <w:r w:rsidDel="001A0E79">
          <w:rPr>
            <w:noProof/>
          </w:rPr>
          <w:tab/>
          <w:delText>2</w:delText>
        </w:r>
      </w:del>
    </w:p>
    <w:p w14:paraId="7667334C" w14:textId="1AB45B8B" w:rsidR="00EE46F6" w:rsidDel="001A0E79" w:rsidRDefault="00EE46F6">
      <w:pPr>
        <w:pStyle w:val="TOC3"/>
        <w:rPr>
          <w:del w:id="84" w:author="Casco, Lake" w:date="2021-11-22T11:24:00Z"/>
          <w:rFonts w:asciiTheme="minorHAnsi" w:hAnsiTheme="minorHAnsi"/>
          <w:noProof/>
          <w:szCs w:val="22"/>
        </w:rPr>
      </w:pPr>
      <w:del w:id="85" w:author="Casco, Lake" w:date="2021-11-22T11:24:00Z">
        <w:r w:rsidDel="001A0E79">
          <w:rPr>
            <w:noProof/>
          </w:rPr>
          <w:lastRenderedPageBreak/>
          <w:delText>Normalizing Unit</w:delText>
        </w:r>
        <w:r w:rsidDel="001A0E79">
          <w:rPr>
            <w:noProof/>
          </w:rPr>
          <w:tab/>
          <w:delText>3</w:delText>
        </w:r>
      </w:del>
    </w:p>
    <w:p w14:paraId="7027EA0F" w14:textId="7FAD04BF" w:rsidR="00EE46F6" w:rsidDel="001A0E79" w:rsidRDefault="00EE46F6">
      <w:pPr>
        <w:pStyle w:val="TOC3"/>
        <w:rPr>
          <w:del w:id="86" w:author="Casco, Lake" w:date="2021-11-22T11:24:00Z"/>
          <w:rFonts w:asciiTheme="minorHAnsi" w:hAnsiTheme="minorHAnsi"/>
          <w:noProof/>
          <w:szCs w:val="22"/>
        </w:rPr>
      </w:pPr>
      <w:del w:id="87" w:author="Casco, Lake" w:date="2021-11-22T11:24:00Z">
        <w:r w:rsidDel="001A0E79">
          <w:rPr>
            <w:noProof/>
          </w:rPr>
          <w:delText>Program Requirements</w:delText>
        </w:r>
        <w:r w:rsidDel="001A0E79">
          <w:rPr>
            <w:noProof/>
          </w:rPr>
          <w:tab/>
          <w:delText>3</w:delText>
        </w:r>
      </w:del>
    </w:p>
    <w:p w14:paraId="464B409A" w14:textId="58937AFE" w:rsidR="00EE46F6" w:rsidDel="001A0E79" w:rsidRDefault="00EE46F6">
      <w:pPr>
        <w:pStyle w:val="TOC3"/>
        <w:rPr>
          <w:del w:id="88" w:author="Casco, Lake" w:date="2021-11-22T11:24:00Z"/>
          <w:rFonts w:asciiTheme="minorHAnsi" w:hAnsiTheme="minorHAnsi"/>
          <w:noProof/>
          <w:szCs w:val="22"/>
        </w:rPr>
      </w:pPr>
      <w:del w:id="89" w:author="Casco, Lake" w:date="2021-11-22T11:24:00Z">
        <w:r w:rsidDel="001A0E79">
          <w:rPr>
            <w:noProof/>
          </w:rPr>
          <w:delText>Program Exclusions</w:delText>
        </w:r>
        <w:r w:rsidDel="001A0E79">
          <w:rPr>
            <w:noProof/>
          </w:rPr>
          <w:tab/>
          <w:delText>5</w:delText>
        </w:r>
      </w:del>
    </w:p>
    <w:p w14:paraId="4FFA373A" w14:textId="7194741E" w:rsidR="00EE46F6" w:rsidDel="001A0E79" w:rsidRDefault="00EE46F6">
      <w:pPr>
        <w:pStyle w:val="TOC3"/>
        <w:rPr>
          <w:del w:id="90" w:author="Casco, Lake" w:date="2021-11-22T11:24:00Z"/>
          <w:rFonts w:asciiTheme="minorHAnsi" w:hAnsiTheme="minorHAnsi"/>
          <w:noProof/>
          <w:szCs w:val="22"/>
        </w:rPr>
      </w:pPr>
      <w:del w:id="91" w:author="Casco, Lake" w:date="2021-11-22T11:24:00Z">
        <w:r w:rsidDel="001A0E79">
          <w:rPr>
            <w:noProof/>
          </w:rPr>
          <w:delText>Data Collection Requirements</w:delText>
        </w:r>
        <w:r w:rsidDel="001A0E79">
          <w:rPr>
            <w:noProof/>
          </w:rPr>
          <w:tab/>
          <w:delText>5</w:delText>
        </w:r>
      </w:del>
    </w:p>
    <w:p w14:paraId="4D257965" w14:textId="319E481A" w:rsidR="00EE46F6" w:rsidDel="001A0E79" w:rsidRDefault="00EE46F6">
      <w:pPr>
        <w:pStyle w:val="TOC3"/>
        <w:rPr>
          <w:del w:id="92" w:author="Casco, Lake" w:date="2021-11-22T11:24:00Z"/>
          <w:rFonts w:asciiTheme="minorHAnsi" w:hAnsiTheme="minorHAnsi"/>
          <w:noProof/>
          <w:szCs w:val="22"/>
        </w:rPr>
      </w:pPr>
      <w:del w:id="93" w:author="Casco, Lake" w:date="2021-11-22T11:24:00Z">
        <w:r w:rsidDel="001A0E79">
          <w:rPr>
            <w:noProof/>
          </w:rPr>
          <w:delText>Use Category</w:delText>
        </w:r>
        <w:r w:rsidDel="001A0E79">
          <w:rPr>
            <w:noProof/>
          </w:rPr>
          <w:tab/>
          <w:delText>6</w:delText>
        </w:r>
      </w:del>
    </w:p>
    <w:p w14:paraId="31AF02EA" w14:textId="0C1048FC" w:rsidR="00EE46F6" w:rsidDel="001A0E79" w:rsidRDefault="00EE46F6">
      <w:pPr>
        <w:pStyle w:val="TOC3"/>
        <w:rPr>
          <w:del w:id="94" w:author="Casco, Lake" w:date="2021-11-22T11:24:00Z"/>
          <w:rFonts w:asciiTheme="minorHAnsi" w:hAnsiTheme="minorHAnsi"/>
          <w:noProof/>
          <w:szCs w:val="22"/>
        </w:rPr>
      </w:pPr>
      <w:del w:id="95" w:author="Casco, Lake" w:date="2021-11-22T11:24:00Z">
        <w:r w:rsidRPr="00AE7876" w:rsidDel="001A0E79">
          <w:rPr>
            <w:noProof/>
            <w:highlight w:val="yellow"/>
            <w:rPrChange w:id="96" w:author="Cun, Jeff S" w:date="2021-11-17T14:40:00Z">
              <w:rPr>
                <w:noProof/>
              </w:rPr>
            </w:rPrChange>
          </w:rPr>
          <w:delText>Electric Savings (kWh) and Gas Savings (therms)</w:delText>
        </w:r>
        <w:r w:rsidDel="001A0E79">
          <w:rPr>
            <w:noProof/>
          </w:rPr>
          <w:tab/>
          <w:delText>6</w:delText>
        </w:r>
      </w:del>
    </w:p>
    <w:p w14:paraId="220FA214" w14:textId="600C9351" w:rsidR="00EE46F6" w:rsidDel="001A0E79" w:rsidRDefault="00EE46F6">
      <w:pPr>
        <w:pStyle w:val="TOC3"/>
        <w:rPr>
          <w:del w:id="97" w:author="Casco, Lake" w:date="2021-11-22T11:24:00Z"/>
          <w:rFonts w:asciiTheme="minorHAnsi" w:hAnsiTheme="minorHAnsi"/>
          <w:noProof/>
          <w:szCs w:val="22"/>
        </w:rPr>
      </w:pPr>
      <w:del w:id="98" w:author="Casco, Lake" w:date="2021-11-22T11:24:00Z">
        <w:r w:rsidDel="001A0E79">
          <w:rPr>
            <w:noProof/>
          </w:rPr>
          <w:delText>Peak Electric Demand Reduction (kW)</w:delText>
        </w:r>
        <w:r w:rsidDel="001A0E79">
          <w:rPr>
            <w:noProof/>
          </w:rPr>
          <w:tab/>
          <w:delText>9</w:delText>
        </w:r>
      </w:del>
    </w:p>
    <w:p w14:paraId="4CC98F4A" w14:textId="2DAAD31D" w:rsidR="00EE46F6" w:rsidDel="001A0E79" w:rsidRDefault="00EE46F6">
      <w:pPr>
        <w:pStyle w:val="TOC3"/>
        <w:rPr>
          <w:del w:id="99" w:author="Casco, Lake" w:date="2021-11-22T11:24:00Z"/>
          <w:rFonts w:asciiTheme="minorHAnsi" w:hAnsiTheme="minorHAnsi"/>
          <w:noProof/>
          <w:szCs w:val="22"/>
        </w:rPr>
      </w:pPr>
      <w:del w:id="100" w:author="Casco, Lake" w:date="2021-11-22T11:24:00Z">
        <w:r w:rsidDel="001A0E79">
          <w:rPr>
            <w:noProof/>
          </w:rPr>
          <w:delText>Life Cycle</w:delText>
        </w:r>
        <w:r w:rsidDel="001A0E79">
          <w:rPr>
            <w:noProof/>
          </w:rPr>
          <w:tab/>
          <w:delText>9</w:delText>
        </w:r>
      </w:del>
    </w:p>
    <w:p w14:paraId="6B8AE24C" w14:textId="18E4993E" w:rsidR="00EE46F6" w:rsidDel="001A0E79" w:rsidRDefault="00EE46F6">
      <w:pPr>
        <w:pStyle w:val="TOC3"/>
        <w:rPr>
          <w:del w:id="101" w:author="Casco, Lake" w:date="2021-11-22T11:24:00Z"/>
          <w:rFonts w:asciiTheme="minorHAnsi" w:hAnsiTheme="minorHAnsi"/>
          <w:noProof/>
          <w:szCs w:val="22"/>
        </w:rPr>
      </w:pPr>
      <w:del w:id="102" w:author="Casco, Lake" w:date="2021-11-22T11:24:00Z">
        <w:r w:rsidDel="001A0E79">
          <w:rPr>
            <w:noProof/>
          </w:rPr>
          <w:delText>Base Case Material Cost ($/unit)</w:delText>
        </w:r>
        <w:r w:rsidDel="001A0E79">
          <w:rPr>
            <w:noProof/>
          </w:rPr>
          <w:tab/>
          <w:delText>10</w:delText>
        </w:r>
      </w:del>
    </w:p>
    <w:p w14:paraId="4A186456" w14:textId="676CFD67" w:rsidR="00EE46F6" w:rsidDel="001A0E79" w:rsidRDefault="00EE46F6">
      <w:pPr>
        <w:pStyle w:val="TOC3"/>
        <w:rPr>
          <w:del w:id="103" w:author="Casco, Lake" w:date="2021-11-22T11:24:00Z"/>
          <w:rFonts w:asciiTheme="minorHAnsi" w:hAnsiTheme="minorHAnsi"/>
          <w:noProof/>
          <w:szCs w:val="22"/>
        </w:rPr>
      </w:pPr>
      <w:del w:id="104" w:author="Casco, Lake" w:date="2021-11-22T11:24:00Z">
        <w:r w:rsidDel="001A0E79">
          <w:rPr>
            <w:noProof/>
          </w:rPr>
          <w:delText>Measure Case Material Cost ($/unit)</w:delText>
        </w:r>
        <w:r w:rsidDel="001A0E79">
          <w:rPr>
            <w:noProof/>
          </w:rPr>
          <w:tab/>
          <w:delText>10</w:delText>
        </w:r>
      </w:del>
    </w:p>
    <w:p w14:paraId="24CE1248" w14:textId="47456892" w:rsidR="00EE46F6" w:rsidDel="001A0E79" w:rsidRDefault="00EE46F6">
      <w:pPr>
        <w:pStyle w:val="TOC3"/>
        <w:rPr>
          <w:del w:id="105" w:author="Casco, Lake" w:date="2021-11-22T11:24:00Z"/>
          <w:rFonts w:asciiTheme="minorHAnsi" w:hAnsiTheme="minorHAnsi"/>
          <w:noProof/>
          <w:szCs w:val="22"/>
        </w:rPr>
      </w:pPr>
      <w:del w:id="106" w:author="Casco, Lake" w:date="2021-11-22T11:24:00Z">
        <w:r w:rsidDel="001A0E79">
          <w:rPr>
            <w:noProof/>
          </w:rPr>
          <w:delText>Base Case Labor Cost ($/unit)</w:delText>
        </w:r>
        <w:r w:rsidDel="001A0E79">
          <w:rPr>
            <w:noProof/>
          </w:rPr>
          <w:tab/>
          <w:delText>11</w:delText>
        </w:r>
      </w:del>
    </w:p>
    <w:p w14:paraId="10A0223C" w14:textId="751083E2" w:rsidR="00EE46F6" w:rsidDel="001A0E79" w:rsidRDefault="00EE46F6">
      <w:pPr>
        <w:pStyle w:val="TOC3"/>
        <w:rPr>
          <w:del w:id="107" w:author="Casco, Lake" w:date="2021-11-22T11:24:00Z"/>
          <w:rFonts w:asciiTheme="minorHAnsi" w:hAnsiTheme="minorHAnsi"/>
          <w:noProof/>
          <w:szCs w:val="22"/>
        </w:rPr>
      </w:pPr>
      <w:del w:id="108" w:author="Casco, Lake" w:date="2021-11-22T11:24:00Z">
        <w:r w:rsidDel="001A0E79">
          <w:rPr>
            <w:noProof/>
          </w:rPr>
          <w:delText>Measure Case Labor Cost ($/unit)</w:delText>
        </w:r>
        <w:r w:rsidDel="001A0E79">
          <w:rPr>
            <w:noProof/>
          </w:rPr>
          <w:tab/>
          <w:delText>11</w:delText>
        </w:r>
      </w:del>
    </w:p>
    <w:p w14:paraId="6A4E159C" w14:textId="7EC07735" w:rsidR="00EE46F6" w:rsidDel="001A0E79" w:rsidRDefault="00EE46F6">
      <w:pPr>
        <w:pStyle w:val="TOC3"/>
        <w:rPr>
          <w:del w:id="109" w:author="Casco, Lake" w:date="2021-11-22T11:24:00Z"/>
          <w:rFonts w:asciiTheme="minorHAnsi" w:hAnsiTheme="minorHAnsi"/>
          <w:noProof/>
          <w:szCs w:val="22"/>
        </w:rPr>
      </w:pPr>
      <w:del w:id="110" w:author="Casco, Lake" w:date="2021-11-22T11:24:00Z">
        <w:r w:rsidDel="001A0E79">
          <w:rPr>
            <w:noProof/>
          </w:rPr>
          <w:delText>Net-to-Gross (NTG)</w:delText>
        </w:r>
        <w:r w:rsidDel="001A0E79">
          <w:rPr>
            <w:noProof/>
          </w:rPr>
          <w:tab/>
          <w:delText>11</w:delText>
        </w:r>
      </w:del>
    </w:p>
    <w:p w14:paraId="509FFC41" w14:textId="45C428D2" w:rsidR="00EE46F6" w:rsidDel="001A0E79" w:rsidRDefault="00EE46F6">
      <w:pPr>
        <w:pStyle w:val="TOC3"/>
        <w:rPr>
          <w:del w:id="111" w:author="Casco, Lake" w:date="2021-11-22T11:24:00Z"/>
          <w:rFonts w:asciiTheme="minorHAnsi" w:hAnsiTheme="minorHAnsi"/>
          <w:noProof/>
          <w:szCs w:val="22"/>
        </w:rPr>
      </w:pPr>
      <w:del w:id="112" w:author="Casco, Lake" w:date="2021-11-22T11:24:00Z">
        <w:r w:rsidDel="001A0E79">
          <w:rPr>
            <w:noProof/>
          </w:rPr>
          <w:delText>Gross Savings Installation Adjustment (GSIA)</w:delText>
        </w:r>
        <w:r w:rsidDel="001A0E79">
          <w:rPr>
            <w:noProof/>
          </w:rPr>
          <w:tab/>
          <w:delText>12</w:delText>
        </w:r>
      </w:del>
    </w:p>
    <w:p w14:paraId="249D29C0" w14:textId="6033D26D" w:rsidR="00EE46F6" w:rsidDel="001A0E79" w:rsidRDefault="00EE46F6">
      <w:pPr>
        <w:pStyle w:val="TOC3"/>
        <w:rPr>
          <w:del w:id="113" w:author="Casco, Lake" w:date="2021-11-22T11:24:00Z"/>
          <w:rFonts w:asciiTheme="minorHAnsi" w:hAnsiTheme="minorHAnsi"/>
          <w:noProof/>
          <w:szCs w:val="22"/>
        </w:rPr>
      </w:pPr>
      <w:del w:id="114" w:author="Casco, Lake" w:date="2021-11-22T11:24:00Z">
        <w:r w:rsidDel="001A0E79">
          <w:rPr>
            <w:noProof/>
          </w:rPr>
          <w:delText>Non-Energy Impacts</w:delText>
        </w:r>
        <w:r w:rsidDel="001A0E79">
          <w:rPr>
            <w:noProof/>
          </w:rPr>
          <w:tab/>
          <w:delText>12</w:delText>
        </w:r>
      </w:del>
    </w:p>
    <w:p w14:paraId="3C575FF3" w14:textId="0EA12DDF" w:rsidR="00EE46F6" w:rsidDel="001A0E79" w:rsidRDefault="00EE46F6">
      <w:pPr>
        <w:pStyle w:val="TOC3"/>
        <w:rPr>
          <w:del w:id="115" w:author="Casco, Lake" w:date="2021-11-22T11:24:00Z"/>
          <w:rFonts w:asciiTheme="minorHAnsi" w:hAnsiTheme="minorHAnsi"/>
          <w:noProof/>
          <w:szCs w:val="22"/>
        </w:rPr>
      </w:pPr>
      <w:del w:id="116" w:author="Casco, Lake" w:date="2021-11-22T11:24:00Z">
        <w:r w:rsidDel="001A0E79">
          <w:rPr>
            <w:noProof/>
          </w:rPr>
          <w:delText>DEER Differences Analysis</w:delText>
        </w:r>
        <w:r w:rsidDel="001A0E79">
          <w:rPr>
            <w:noProof/>
          </w:rPr>
          <w:tab/>
          <w:delText>12</w:delText>
        </w:r>
      </w:del>
    </w:p>
    <w:p w14:paraId="7F08C5C4" w14:textId="3D5196C5" w:rsidR="00EE46F6" w:rsidDel="001A0E79" w:rsidRDefault="00EE46F6">
      <w:pPr>
        <w:pStyle w:val="TOC3"/>
        <w:rPr>
          <w:del w:id="117" w:author="Casco, Lake" w:date="2021-11-22T11:24:00Z"/>
          <w:rFonts w:asciiTheme="minorHAnsi" w:hAnsiTheme="minorHAnsi"/>
          <w:noProof/>
          <w:szCs w:val="22"/>
        </w:rPr>
      </w:pPr>
      <w:del w:id="118" w:author="Casco, Lake" w:date="2021-11-22T11:24:00Z">
        <w:r w:rsidDel="001A0E79">
          <w:rPr>
            <w:noProof/>
          </w:rPr>
          <w:delText>Revision History</w:delText>
        </w:r>
        <w:r w:rsidDel="001A0E79">
          <w:rPr>
            <w:noProof/>
          </w:rPr>
          <w:tab/>
          <w:delText>14</w:delText>
        </w:r>
      </w:del>
    </w:p>
    <w:p w14:paraId="4C194BAF" w14:textId="22338AE1" w:rsidR="001C6C9B" w:rsidRPr="00203ECA" w:rsidRDefault="001C6C9B" w:rsidP="00D12B8C">
      <w:r w:rsidRPr="00203ECA">
        <w:fldChar w:fldCharType="end"/>
      </w:r>
    </w:p>
    <w:p w14:paraId="7DD78D3A" w14:textId="77777777" w:rsidR="007E1F66" w:rsidRPr="00203ECA" w:rsidRDefault="007E1F66" w:rsidP="008F7149">
      <w:pPr>
        <w:pStyle w:val="eTRMHeading3"/>
        <w:sectPr w:rsidR="007E1F66" w:rsidRPr="00203ECA"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9F3CABB" w14:textId="19AFF662" w:rsidR="00871123" w:rsidRPr="00203ECA" w:rsidRDefault="00871123" w:rsidP="008F7149">
      <w:pPr>
        <w:pStyle w:val="eTRMHeading3"/>
      </w:pPr>
      <w:bookmarkStart w:id="119" w:name="_Toc486490839"/>
      <w:bookmarkStart w:id="120" w:name="_Toc486580912"/>
      <w:bookmarkStart w:id="121" w:name="_Toc88472691"/>
      <w:r w:rsidRPr="00203ECA">
        <w:lastRenderedPageBreak/>
        <w:t>Measure Name</w:t>
      </w:r>
      <w:bookmarkEnd w:id="119"/>
      <w:bookmarkEnd w:id="120"/>
      <w:bookmarkEnd w:id="121"/>
    </w:p>
    <w:p w14:paraId="3B952704" w14:textId="3E6D4360" w:rsidR="00871123" w:rsidRPr="00203ECA" w:rsidRDefault="00BA1BBC" w:rsidP="00462BB6">
      <w:pPr>
        <w:spacing w:before="20" w:after="20" w:line="280" w:lineRule="exact"/>
      </w:pPr>
      <w:r w:rsidRPr="00203ECA">
        <w:t>Smart Thermostat, Residential</w:t>
      </w:r>
    </w:p>
    <w:p w14:paraId="4EAED972" w14:textId="77777777" w:rsidR="00871123" w:rsidRPr="00203ECA" w:rsidRDefault="00871123" w:rsidP="00462BB6">
      <w:pPr>
        <w:spacing w:before="20" w:after="20" w:line="280" w:lineRule="exact"/>
      </w:pPr>
    </w:p>
    <w:p w14:paraId="6406A9D4" w14:textId="77777777" w:rsidR="00871123" w:rsidRPr="00203ECA" w:rsidRDefault="00871123" w:rsidP="008F7149">
      <w:pPr>
        <w:pStyle w:val="eTRMHeading3"/>
      </w:pPr>
      <w:bookmarkStart w:id="122" w:name="_Toc486490840"/>
      <w:bookmarkStart w:id="123" w:name="_Toc486580913"/>
      <w:bookmarkStart w:id="124" w:name="_Toc88472692"/>
      <w:r w:rsidRPr="00203ECA">
        <w:t>Statewide Measure ID</w:t>
      </w:r>
      <w:bookmarkEnd w:id="122"/>
      <w:bookmarkEnd w:id="123"/>
      <w:bookmarkEnd w:id="124"/>
    </w:p>
    <w:p w14:paraId="6EAE2100" w14:textId="22E86D71" w:rsidR="00871123" w:rsidRPr="00203ECA" w:rsidRDefault="00FD6F78" w:rsidP="00AC53A7">
      <w:r w:rsidRPr="00203ECA">
        <w:t>SWHC039</w:t>
      </w:r>
      <w:r w:rsidR="00831F7B">
        <w:t>-0</w:t>
      </w:r>
      <w:r w:rsidR="00443F27">
        <w:t>4</w:t>
      </w:r>
    </w:p>
    <w:p w14:paraId="2B553EA2" w14:textId="77777777" w:rsidR="00871123" w:rsidRPr="00203ECA" w:rsidRDefault="00871123" w:rsidP="006C0416"/>
    <w:p w14:paraId="0F7CA2E6" w14:textId="77777777" w:rsidR="00E70CBD" w:rsidRPr="00203ECA" w:rsidRDefault="00E70CBD" w:rsidP="008F7149">
      <w:pPr>
        <w:pStyle w:val="eTRMHeading3"/>
      </w:pPr>
      <w:bookmarkStart w:id="125" w:name="_Toc486490847"/>
      <w:bookmarkStart w:id="126" w:name="_Toc486580918"/>
      <w:bookmarkStart w:id="127" w:name="_Toc88472693"/>
      <w:r w:rsidRPr="00203ECA">
        <w:t>Technology Summary</w:t>
      </w:r>
      <w:bookmarkEnd w:id="125"/>
      <w:bookmarkEnd w:id="126"/>
      <w:bookmarkEnd w:id="127"/>
      <w:r w:rsidRPr="00203ECA">
        <w:t xml:space="preserve"> </w:t>
      </w:r>
    </w:p>
    <w:p w14:paraId="3D4A071F" w14:textId="49BB52E7" w:rsidR="00E225C2" w:rsidRDefault="00F861D5" w:rsidP="00F861D5">
      <w:pPr>
        <w:rPr>
          <w:bCs/>
        </w:rPr>
      </w:pPr>
      <w:r w:rsidRPr="00F861D5">
        <w:t xml:space="preserve">A </w:t>
      </w:r>
      <w:r w:rsidR="00E225C2" w:rsidRPr="00A50610">
        <w:rPr>
          <w:bCs/>
        </w:rPr>
        <w:t>s</w:t>
      </w:r>
      <w:r w:rsidRPr="00A50610">
        <w:rPr>
          <w:bCs/>
        </w:rPr>
        <w:t xml:space="preserve">mart </w:t>
      </w:r>
      <w:r w:rsidR="00E225C2" w:rsidRPr="00A50610">
        <w:rPr>
          <w:bCs/>
        </w:rPr>
        <w:t>t</w:t>
      </w:r>
      <w:r w:rsidRPr="00A50610">
        <w:rPr>
          <w:bCs/>
        </w:rPr>
        <w:t>hermostat</w:t>
      </w:r>
      <w:r w:rsidRPr="00F861D5">
        <w:rPr>
          <w:b/>
        </w:rPr>
        <w:t xml:space="preserve"> </w:t>
      </w:r>
      <w:r w:rsidRPr="00F861D5">
        <w:t xml:space="preserve">is a device that controls heating, ventilation, and air-conditioning (HVAC) equipment to regulate the temperature of the room or space in which it is installed, has the ability to make automated adjustments to the set point of the HVAC system to drive energy savings (electric and gas), and has the ability to communicate with sources external to the HVAC system. For connection, the </w:t>
      </w:r>
      <w:r w:rsidR="00E225C2">
        <w:t>s</w:t>
      </w:r>
      <w:r w:rsidRPr="00F861D5">
        <w:t xml:space="preserve">mart </w:t>
      </w:r>
      <w:r w:rsidR="00E225C2">
        <w:t>t</w:t>
      </w:r>
      <w:r w:rsidRPr="00F861D5">
        <w:t>hermostat may rely on a home area network (</w:t>
      </w:r>
      <w:r w:rsidR="00515F49" w:rsidRPr="00F861D5">
        <w:t>e.g.,</w:t>
      </w:r>
      <w:r w:rsidRPr="00F861D5">
        <w:t xml:space="preserve"> Wi-Fi) and an internet connection that is independent of the </w:t>
      </w:r>
      <w:r w:rsidR="00E225C2" w:rsidRPr="0081735D">
        <w:rPr>
          <w:bCs/>
        </w:rPr>
        <w:t>smart thermostat</w:t>
      </w:r>
      <w:r w:rsidR="001C1D6F">
        <w:rPr>
          <w:bCs/>
        </w:rPr>
        <w:t>.</w:t>
      </w:r>
    </w:p>
    <w:p w14:paraId="3E2B350D" w14:textId="77777777" w:rsidR="00291F3B" w:rsidRPr="00291F3B" w:rsidRDefault="00291F3B" w:rsidP="00F861D5">
      <w:pPr>
        <w:rPr>
          <w:bCs/>
        </w:rPr>
      </w:pPr>
    </w:p>
    <w:p w14:paraId="5AF18021" w14:textId="77777777" w:rsidR="007D230B" w:rsidRPr="00203ECA" w:rsidRDefault="007D230B" w:rsidP="008F7149">
      <w:pPr>
        <w:pStyle w:val="eTRMHeading3"/>
      </w:pPr>
      <w:bookmarkStart w:id="128" w:name="_Toc486490848"/>
      <w:bookmarkStart w:id="129" w:name="_Toc486580919"/>
      <w:bookmarkStart w:id="130" w:name="_Toc88472694"/>
      <w:r w:rsidRPr="00203ECA">
        <w:t>Measure Case Description</w:t>
      </w:r>
      <w:bookmarkEnd w:id="128"/>
      <w:bookmarkEnd w:id="129"/>
      <w:bookmarkEnd w:id="130"/>
    </w:p>
    <w:p w14:paraId="279AB2FB" w14:textId="3268535E" w:rsidR="005B4ECB" w:rsidRPr="00203ECA" w:rsidRDefault="008659C5" w:rsidP="008E0906">
      <w:r w:rsidRPr="00203ECA">
        <w:t>The measure case is defined as</w:t>
      </w:r>
      <w:r w:rsidR="001501B3" w:rsidRPr="00203ECA">
        <w:t xml:space="preserve"> the installation of </w:t>
      </w:r>
      <w:r w:rsidR="00A377A6" w:rsidRPr="00203ECA">
        <w:t xml:space="preserve">Residential </w:t>
      </w:r>
      <w:r w:rsidR="00E225C2" w:rsidRPr="0081735D">
        <w:rPr>
          <w:bCs/>
        </w:rPr>
        <w:t>smart thermostat</w:t>
      </w:r>
      <w:r w:rsidR="00E225C2" w:rsidRPr="00F861D5">
        <w:rPr>
          <w:b/>
        </w:rPr>
        <w:t xml:space="preserve"> </w:t>
      </w:r>
      <w:r w:rsidR="002E4F0D" w:rsidRPr="00203ECA">
        <w:t xml:space="preserve">with two-way communication and automatic scheduling capabilities. </w:t>
      </w:r>
      <w:r w:rsidR="005B4ECB">
        <w:t>Measure offerings are separated based on existing HVAC system types and delivery types because those parameters impact savings</w:t>
      </w:r>
      <w:r w:rsidR="0016413D">
        <w:t xml:space="preserve">, costs, and </w:t>
      </w:r>
      <w:r w:rsidR="005B4ECB">
        <w:t xml:space="preserve">NTG values. </w:t>
      </w:r>
    </w:p>
    <w:tbl>
      <w:tblPr>
        <w:tblStyle w:val="TableGrid2"/>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065"/>
        <w:gridCol w:w="1890"/>
        <w:gridCol w:w="3327"/>
        <w:gridCol w:w="2068"/>
      </w:tblGrid>
      <w:tr w:rsidR="000E674F" w:rsidRPr="006B6253" w14:paraId="120A6E44" w14:textId="7CBD5865" w:rsidTr="00750659">
        <w:tc>
          <w:tcPr>
            <w:tcW w:w="2065" w:type="dxa"/>
            <w:shd w:val="clear" w:color="auto" w:fill="F2F2F2" w:themeFill="background1" w:themeFillShade="F2"/>
            <w:vAlign w:val="center"/>
          </w:tcPr>
          <w:p w14:paraId="33A133E5" w14:textId="30CFD0EC" w:rsidR="000E674F" w:rsidRPr="006B6253" w:rsidRDefault="000E674F" w:rsidP="000E674F">
            <w:pPr>
              <w:spacing w:before="0" w:after="0" w:line="240" w:lineRule="auto"/>
              <w:rPr>
                <w:b/>
                <w:sz w:val="20"/>
                <w:szCs w:val="20"/>
              </w:rPr>
            </w:pPr>
            <w:r>
              <w:rPr>
                <w:b/>
                <w:sz w:val="20"/>
                <w:szCs w:val="20"/>
              </w:rPr>
              <w:t>Measure Offering ID</w:t>
            </w:r>
          </w:p>
        </w:tc>
        <w:tc>
          <w:tcPr>
            <w:tcW w:w="1890" w:type="dxa"/>
            <w:shd w:val="clear" w:color="auto" w:fill="F2F2F2" w:themeFill="background1" w:themeFillShade="F2"/>
            <w:vAlign w:val="center"/>
          </w:tcPr>
          <w:p w14:paraId="4A509FAC" w14:textId="627BF34A" w:rsidR="000E674F" w:rsidRPr="006B6253" w:rsidRDefault="000E674F" w:rsidP="000E674F">
            <w:pPr>
              <w:spacing w:before="0" w:after="0" w:line="240" w:lineRule="auto"/>
              <w:rPr>
                <w:b/>
                <w:sz w:val="20"/>
                <w:szCs w:val="20"/>
              </w:rPr>
            </w:pPr>
            <w:r>
              <w:rPr>
                <w:b/>
                <w:sz w:val="20"/>
                <w:szCs w:val="20"/>
              </w:rPr>
              <w:t>Description</w:t>
            </w:r>
          </w:p>
        </w:tc>
        <w:tc>
          <w:tcPr>
            <w:tcW w:w="3327" w:type="dxa"/>
            <w:shd w:val="clear" w:color="auto" w:fill="F2F2F2" w:themeFill="background1" w:themeFillShade="F2"/>
          </w:tcPr>
          <w:p w14:paraId="0D069AF3" w14:textId="57D6E2CC" w:rsidR="000E674F" w:rsidRPr="006B6253" w:rsidRDefault="000E674F" w:rsidP="000E674F">
            <w:pPr>
              <w:spacing w:before="0" w:after="0" w:line="240" w:lineRule="auto"/>
              <w:rPr>
                <w:b/>
                <w:sz w:val="20"/>
                <w:szCs w:val="20"/>
              </w:rPr>
            </w:pPr>
            <w:r>
              <w:rPr>
                <w:b/>
                <w:sz w:val="20"/>
                <w:szCs w:val="20"/>
              </w:rPr>
              <w:t>HVAC Type</w:t>
            </w:r>
          </w:p>
        </w:tc>
        <w:tc>
          <w:tcPr>
            <w:tcW w:w="2068" w:type="dxa"/>
            <w:shd w:val="clear" w:color="auto" w:fill="F2F2F2" w:themeFill="background1" w:themeFillShade="F2"/>
          </w:tcPr>
          <w:p w14:paraId="06F50A0A" w14:textId="22FDBC6D" w:rsidR="000E674F" w:rsidRPr="006B6253" w:rsidRDefault="000E674F" w:rsidP="000E674F">
            <w:pPr>
              <w:spacing w:before="0" w:after="0" w:line="240" w:lineRule="auto"/>
              <w:rPr>
                <w:b/>
                <w:sz w:val="20"/>
                <w:szCs w:val="20"/>
              </w:rPr>
            </w:pPr>
            <w:r>
              <w:rPr>
                <w:b/>
                <w:sz w:val="20"/>
                <w:szCs w:val="20"/>
              </w:rPr>
              <w:t>Delivery Type</w:t>
            </w:r>
          </w:p>
        </w:tc>
      </w:tr>
      <w:tr w:rsidR="000E674F" w:rsidRPr="006B6253" w14:paraId="70E8C1D3" w14:textId="018ED21E" w:rsidTr="00750659">
        <w:trPr>
          <w:trHeight w:val="224"/>
        </w:trPr>
        <w:tc>
          <w:tcPr>
            <w:tcW w:w="2065" w:type="dxa"/>
          </w:tcPr>
          <w:p w14:paraId="3534E5F2" w14:textId="440E94B7" w:rsidR="000E674F" w:rsidRPr="000E674F" w:rsidRDefault="000E674F" w:rsidP="000E674F">
            <w:pPr>
              <w:spacing w:before="0" w:after="0" w:line="240" w:lineRule="auto"/>
              <w:rPr>
                <w:b/>
                <w:sz w:val="20"/>
                <w:szCs w:val="20"/>
              </w:rPr>
            </w:pPr>
            <w:r w:rsidRPr="00750659">
              <w:rPr>
                <w:sz w:val="20"/>
                <w:szCs w:val="20"/>
              </w:rPr>
              <w:t>SWHC039A</w:t>
            </w:r>
          </w:p>
        </w:tc>
        <w:tc>
          <w:tcPr>
            <w:tcW w:w="1890" w:type="dxa"/>
            <w:vMerge w:val="restart"/>
            <w:vAlign w:val="center"/>
          </w:tcPr>
          <w:p w14:paraId="49663414" w14:textId="1B3C6103" w:rsidR="000E674F" w:rsidRPr="00750659" w:rsidRDefault="000E674F" w:rsidP="00750659">
            <w:pPr>
              <w:spacing w:before="0" w:after="0" w:line="240" w:lineRule="auto"/>
              <w:jc w:val="center"/>
              <w:rPr>
                <w:bCs/>
                <w:sz w:val="20"/>
                <w:szCs w:val="20"/>
              </w:rPr>
            </w:pPr>
            <w:r w:rsidRPr="00750659">
              <w:rPr>
                <w:bCs/>
                <w:sz w:val="20"/>
                <w:szCs w:val="20"/>
              </w:rPr>
              <w:t>Residential Smart Thermostat</w:t>
            </w:r>
          </w:p>
        </w:tc>
        <w:tc>
          <w:tcPr>
            <w:tcW w:w="3327" w:type="dxa"/>
          </w:tcPr>
          <w:p w14:paraId="441F4895" w14:textId="112B7AF3" w:rsidR="000E674F" w:rsidRPr="000E674F" w:rsidRDefault="000E674F" w:rsidP="000E674F">
            <w:pPr>
              <w:spacing w:before="0" w:after="0" w:line="240" w:lineRule="auto"/>
              <w:rPr>
                <w:sz w:val="20"/>
                <w:szCs w:val="20"/>
              </w:rPr>
            </w:pPr>
            <w:r w:rsidRPr="000E674F">
              <w:rPr>
                <w:sz w:val="20"/>
                <w:szCs w:val="20"/>
              </w:rPr>
              <w:t>Central AC with Gas Heat</w:t>
            </w:r>
          </w:p>
        </w:tc>
        <w:tc>
          <w:tcPr>
            <w:tcW w:w="2068" w:type="dxa"/>
            <w:vAlign w:val="bottom"/>
          </w:tcPr>
          <w:p w14:paraId="5F1F6A04" w14:textId="3358385B" w:rsidR="000E674F" w:rsidRPr="000E674F" w:rsidRDefault="000E674F" w:rsidP="000E674F">
            <w:pPr>
              <w:spacing w:before="0" w:after="0" w:line="240" w:lineRule="auto"/>
              <w:rPr>
                <w:sz w:val="20"/>
                <w:szCs w:val="20"/>
              </w:rPr>
            </w:pPr>
            <w:r w:rsidRPr="00750659">
              <w:rPr>
                <w:rFonts w:ascii="Calibri" w:hAnsi="Calibri"/>
                <w:sz w:val="20"/>
                <w:szCs w:val="20"/>
              </w:rPr>
              <w:t>DnDeemed</w:t>
            </w:r>
            <w:r w:rsidR="00DF2CDA">
              <w:rPr>
                <w:rFonts w:ascii="Calibri" w:hAnsi="Calibri"/>
                <w:sz w:val="20"/>
                <w:szCs w:val="20"/>
              </w:rPr>
              <w:t xml:space="preserve">, </w:t>
            </w:r>
            <w:r w:rsidR="00DF2CDA" w:rsidRPr="00DF2CDA">
              <w:rPr>
                <w:rFonts w:ascii="Calibri" w:hAnsi="Calibri"/>
                <w:sz w:val="20"/>
                <w:szCs w:val="20"/>
              </w:rPr>
              <w:t>UpDeemed</w:t>
            </w:r>
          </w:p>
        </w:tc>
      </w:tr>
      <w:tr w:rsidR="00DF2CDA" w:rsidRPr="006B6253" w14:paraId="4F81A1C6" w14:textId="5333003B" w:rsidTr="00750659">
        <w:trPr>
          <w:trHeight w:val="125"/>
        </w:trPr>
        <w:tc>
          <w:tcPr>
            <w:tcW w:w="2065" w:type="dxa"/>
          </w:tcPr>
          <w:p w14:paraId="2C609E56" w14:textId="7E6C0239" w:rsidR="00DF2CDA" w:rsidRPr="000E674F" w:rsidRDefault="00DF2CDA" w:rsidP="00DF2CDA">
            <w:pPr>
              <w:spacing w:before="0" w:after="0" w:line="240" w:lineRule="auto"/>
              <w:rPr>
                <w:b/>
                <w:sz w:val="20"/>
                <w:szCs w:val="20"/>
              </w:rPr>
            </w:pPr>
            <w:r w:rsidRPr="00750659">
              <w:rPr>
                <w:sz w:val="20"/>
                <w:szCs w:val="20"/>
              </w:rPr>
              <w:t>SWHC039B</w:t>
            </w:r>
          </w:p>
        </w:tc>
        <w:tc>
          <w:tcPr>
            <w:tcW w:w="1890" w:type="dxa"/>
            <w:vMerge/>
          </w:tcPr>
          <w:p w14:paraId="11A70543" w14:textId="614DBB09" w:rsidR="00DF2CDA" w:rsidRPr="000E674F" w:rsidRDefault="00DF2CDA" w:rsidP="00DF2CDA">
            <w:pPr>
              <w:spacing w:before="0" w:after="0" w:line="240" w:lineRule="auto"/>
              <w:rPr>
                <w:b/>
                <w:sz w:val="20"/>
                <w:szCs w:val="20"/>
              </w:rPr>
            </w:pPr>
          </w:p>
        </w:tc>
        <w:tc>
          <w:tcPr>
            <w:tcW w:w="3327" w:type="dxa"/>
          </w:tcPr>
          <w:p w14:paraId="7AF4AD0F" w14:textId="1C061247" w:rsidR="00DF2CDA" w:rsidRPr="000E674F" w:rsidRDefault="00DF2CDA" w:rsidP="00DF2CDA">
            <w:pPr>
              <w:spacing w:before="0" w:after="0" w:line="240" w:lineRule="auto"/>
              <w:rPr>
                <w:sz w:val="20"/>
                <w:szCs w:val="20"/>
              </w:rPr>
            </w:pPr>
            <w:r w:rsidRPr="000E674F">
              <w:rPr>
                <w:sz w:val="20"/>
                <w:szCs w:val="20"/>
              </w:rPr>
              <w:t>Central Heat Pump</w:t>
            </w:r>
          </w:p>
        </w:tc>
        <w:tc>
          <w:tcPr>
            <w:tcW w:w="2068" w:type="dxa"/>
            <w:vAlign w:val="bottom"/>
          </w:tcPr>
          <w:p w14:paraId="669CC880" w14:textId="675302C1" w:rsidR="00DF2CDA" w:rsidRPr="000E674F" w:rsidRDefault="00DF2CDA" w:rsidP="00DF2CDA">
            <w:pPr>
              <w:spacing w:before="0" w:after="0" w:line="240" w:lineRule="auto"/>
              <w:rPr>
                <w:sz w:val="20"/>
                <w:szCs w:val="20"/>
              </w:rPr>
            </w:pPr>
            <w:r w:rsidRPr="00750659">
              <w:rPr>
                <w:rFonts w:ascii="Calibri" w:hAnsi="Calibri"/>
                <w:sz w:val="20"/>
                <w:szCs w:val="20"/>
              </w:rPr>
              <w:t>DnDeemed</w:t>
            </w:r>
            <w:r>
              <w:rPr>
                <w:rFonts w:ascii="Calibri" w:hAnsi="Calibri"/>
                <w:sz w:val="20"/>
                <w:szCs w:val="20"/>
              </w:rPr>
              <w:t xml:space="preserve">, </w:t>
            </w:r>
            <w:r w:rsidRPr="00DF2CDA">
              <w:rPr>
                <w:rFonts w:ascii="Calibri" w:hAnsi="Calibri"/>
                <w:sz w:val="20"/>
                <w:szCs w:val="20"/>
              </w:rPr>
              <w:t>UpDeemed</w:t>
            </w:r>
          </w:p>
        </w:tc>
      </w:tr>
      <w:tr w:rsidR="000E674F" w:rsidRPr="006B6253" w14:paraId="5FF690FB" w14:textId="27C4B403" w:rsidTr="00750659">
        <w:tc>
          <w:tcPr>
            <w:tcW w:w="2065" w:type="dxa"/>
          </w:tcPr>
          <w:p w14:paraId="3B27F8E1" w14:textId="109E4B6E" w:rsidR="000E674F" w:rsidRPr="000E674F" w:rsidRDefault="000E674F" w:rsidP="000E674F">
            <w:pPr>
              <w:spacing w:before="0" w:after="0" w:line="240" w:lineRule="auto"/>
              <w:rPr>
                <w:b/>
                <w:sz w:val="20"/>
                <w:szCs w:val="20"/>
              </w:rPr>
            </w:pPr>
            <w:r w:rsidRPr="00750659">
              <w:rPr>
                <w:sz w:val="20"/>
                <w:szCs w:val="20"/>
              </w:rPr>
              <w:t>SWHC039C</w:t>
            </w:r>
          </w:p>
        </w:tc>
        <w:tc>
          <w:tcPr>
            <w:tcW w:w="1890" w:type="dxa"/>
            <w:vMerge/>
          </w:tcPr>
          <w:p w14:paraId="0783A250" w14:textId="7E0D2853" w:rsidR="000E674F" w:rsidRPr="000E674F" w:rsidRDefault="000E674F" w:rsidP="000E674F">
            <w:pPr>
              <w:spacing w:before="0" w:after="0" w:line="240" w:lineRule="auto"/>
              <w:rPr>
                <w:b/>
                <w:sz w:val="20"/>
                <w:szCs w:val="20"/>
              </w:rPr>
            </w:pPr>
          </w:p>
        </w:tc>
        <w:tc>
          <w:tcPr>
            <w:tcW w:w="3327" w:type="dxa"/>
          </w:tcPr>
          <w:p w14:paraId="71212FF8" w14:textId="7DC84F64" w:rsidR="000E674F" w:rsidRPr="000E674F" w:rsidRDefault="000E674F" w:rsidP="000E674F">
            <w:pPr>
              <w:spacing w:before="0" w:after="0" w:line="240" w:lineRule="auto"/>
              <w:rPr>
                <w:sz w:val="20"/>
                <w:szCs w:val="20"/>
              </w:rPr>
            </w:pPr>
            <w:r w:rsidRPr="000E674F">
              <w:rPr>
                <w:sz w:val="20"/>
                <w:szCs w:val="20"/>
              </w:rPr>
              <w:t>Central AC with Gas Heat</w:t>
            </w:r>
          </w:p>
        </w:tc>
        <w:tc>
          <w:tcPr>
            <w:tcW w:w="2068" w:type="dxa"/>
            <w:vAlign w:val="bottom"/>
          </w:tcPr>
          <w:p w14:paraId="403AA4F1" w14:textId="1FB01406" w:rsidR="000E674F" w:rsidRPr="000E674F" w:rsidRDefault="000E674F" w:rsidP="000E674F">
            <w:pPr>
              <w:spacing w:before="0" w:after="0" w:line="240" w:lineRule="auto"/>
              <w:rPr>
                <w:sz w:val="20"/>
                <w:szCs w:val="20"/>
              </w:rPr>
            </w:pPr>
            <w:r w:rsidRPr="00750659">
              <w:rPr>
                <w:rFonts w:ascii="Calibri" w:hAnsi="Calibri"/>
                <w:sz w:val="20"/>
                <w:szCs w:val="20"/>
              </w:rPr>
              <w:t>DnDeemDI</w:t>
            </w:r>
          </w:p>
        </w:tc>
      </w:tr>
      <w:tr w:rsidR="000E674F" w:rsidRPr="006B6253" w14:paraId="159AB1BC" w14:textId="24D680D4" w:rsidTr="00750659">
        <w:tc>
          <w:tcPr>
            <w:tcW w:w="2065" w:type="dxa"/>
          </w:tcPr>
          <w:p w14:paraId="1124D6B0" w14:textId="23C08538" w:rsidR="000E674F" w:rsidRPr="000E674F" w:rsidRDefault="000E674F" w:rsidP="000E674F">
            <w:pPr>
              <w:spacing w:before="0" w:after="0" w:line="240" w:lineRule="auto"/>
              <w:rPr>
                <w:sz w:val="20"/>
                <w:szCs w:val="20"/>
              </w:rPr>
            </w:pPr>
            <w:r w:rsidRPr="00750659">
              <w:rPr>
                <w:sz w:val="20"/>
                <w:szCs w:val="20"/>
              </w:rPr>
              <w:t>SWHC039D</w:t>
            </w:r>
          </w:p>
        </w:tc>
        <w:tc>
          <w:tcPr>
            <w:tcW w:w="1890" w:type="dxa"/>
            <w:vMerge/>
          </w:tcPr>
          <w:p w14:paraId="4D4CC7D2" w14:textId="59D0F31C" w:rsidR="000E674F" w:rsidRPr="000E674F" w:rsidRDefault="000E674F" w:rsidP="000E674F">
            <w:pPr>
              <w:spacing w:before="0" w:after="0" w:line="240" w:lineRule="auto"/>
              <w:rPr>
                <w:sz w:val="20"/>
                <w:szCs w:val="20"/>
              </w:rPr>
            </w:pPr>
          </w:p>
        </w:tc>
        <w:tc>
          <w:tcPr>
            <w:tcW w:w="3327" w:type="dxa"/>
          </w:tcPr>
          <w:p w14:paraId="4EBF276D" w14:textId="089AB96D" w:rsidR="000E674F" w:rsidRPr="000E674F" w:rsidRDefault="000E674F" w:rsidP="000E674F">
            <w:pPr>
              <w:spacing w:before="0" w:after="0" w:line="240" w:lineRule="auto"/>
              <w:rPr>
                <w:sz w:val="20"/>
                <w:szCs w:val="20"/>
              </w:rPr>
            </w:pPr>
            <w:r w:rsidRPr="000E674F">
              <w:rPr>
                <w:sz w:val="20"/>
                <w:szCs w:val="20"/>
              </w:rPr>
              <w:t>Central Heat Pump</w:t>
            </w:r>
          </w:p>
        </w:tc>
        <w:tc>
          <w:tcPr>
            <w:tcW w:w="2068" w:type="dxa"/>
            <w:vAlign w:val="bottom"/>
          </w:tcPr>
          <w:p w14:paraId="5418FF3C" w14:textId="40FCE2D3" w:rsidR="000E674F" w:rsidRPr="000E674F" w:rsidRDefault="000E674F" w:rsidP="000E674F">
            <w:pPr>
              <w:spacing w:before="0" w:after="0" w:line="240" w:lineRule="auto"/>
              <w:rPr>
                <w:sz w:val="20"/>
                <w:szCs w:val="20"/>
              </w:rPr>
            </w:pPr>
            <w:r w:rsidRPr="00750659">
              <w:rPr>
                <w:rFonts w:ascii="Calibri" w:hAnsi="Calibri"/>
                <w:sz w:val="20"/>
                <w:szCs w:val="20"/>
              </w:rPr>
              <w:t>DnDeemDI</w:t>
            </w:r>
          </w:p>
        </w:tc>
      </w:tr>
    </w:tbl>
    <w:p w14:paraId="15163014" w14:textId="77777777" w:rsidR="001501B3" w:rsidRPr="00203ECA" w:rsidRDefault="001501B3" w:rsidP="00DE339F"/>
    <w:p w14:paraId="54FD79D6" w14:textId="77777777" w:rsidR="00E70CBD" w:rsidRPr="00203ECA" w:rsidRDefault="00E70CBD" w:rsidP="008F7149">
      <w:pPr>
        <w:pStyle w:val="eTRMHeading3"/>
      </w:pPr>
      <w:bookmarkStart w:id="131" w:name="_Toc486490849"/>
      <w:bookmarkStart w:id="132" w:name="_Toc486580920"/>
      <w:bookmarkStart w:id="133" w:name="_Toc88472695"/>
      <w:r w:rsidRPr="00203ECA">
        <w:t>Base Case Description</w:t>
      </w:r>
      <w:bookmarkEnd w:id="131"/>
      <w:bookmarkEnd w:id="132"/>
      <w:bookmarkEnd w:id="133"/>
      <w:r w:rsidRPr="00203ECA">
        <w:t xml:space="preserve"> </w:t>
      </w:r>
    </w:p>
    <w:p w14:paraId="31229FBE" w14:textId="5AB12C3C" w:rsidR="002942B0" w:rsidRPr="00203ECA" w:rsidRDefault="001501B3" w:rsidP="002942B0">
      <w:r w:rsidRPr="00203ECA">
        <w:rPr>
          <w:rFonts w:cstheme="minorHAnsi"/>
          <w:szCs w:val="20"/>
        </w:rPr>
        <w:t xml:space="preserve">The base case is </w:t>
      </w:r>
      <w:r w:rsidR="008659C5" w:rsidRPr="00203ECA">
        <w:rPr>
          <w:rFonts w:cstheme="minorHAnsi"/>
          <w:szCs w:val="20"/>
        </w:rPr>
        <w:t>defined as</w:t>
      </w:r>
      <w:r w:rsidR="0016413D">
        <w:rPr>
          <w:rFonts w:cstheme="minorHAnsi"/>
          <w:szCs w:val="20"/>
        </w:rPr>
        <w:t xml:space="preserve"> a</w:t>
      </w:r>
      <w:r w:rsidR="00BA1BBC" w:rsidRPr="00203ECA">
        <w:rPr>
          <w:rFonts w:cstheme="minorHAnsi"/>
          <w:szCs w:val="20"/>
        </w:rPr>
        <w:t xml:space="preserve"> </w:t>
      </w:r>
      <w:r w:rsidR="008E0906" w:rsidRPr="00203ECA">
        <w:t>s</w:t>
      </w:r>
      <w:r w:rsidR="00A377A6" w:rsidRPr="00203ECA">
        <w:t xml:space="preserve">etback </w:t>
      </w:r>
      <w:r w:rsidR="008E0906" w:rsidRPr="00203ECA">
        <w:t>p</w:t>
      </w:r>
      <w:r w:rsidR="00A377A6" w:rsidRPr="00203ECA">
        <w:t xml:space="preserve">rogrammable </w:t>
      </w:r>
      <w:r w:rsidR="008E0906" w:rsidRPr="00203ECA">
        <w:t>t</w:t>
      </w:r>
      <w:r w:rsidR="00A377A6" w:rsidRPr="00203ECA">
        <w:t>hermostat</w:t>
      </w:r>
      <w:r w:rsidR="0016413D">
        <w:t xml:space="preserve"> per </w:t>
      </w:r>
      <w:r w:rsidR="009A7A9B">
        <w:rPr>
          <w:b/>
          <w:bCs/>
        </w:rPr>
        <w:t>Program Year 2018 Impact Evaluation Study</w:t>
      </w:r>
      <w:r w:rsidR="0016413D" w:rsidRPr="002C2D46">
        <w:t>.</w:t>
      </w:r>
      <w:r w:rsidR="0016413D">
        <w:rPr>
          <w:rStyle w:val="FootnoteReference"/>
        </w:rPr>
        <w:footnoteReference w:id="1"/>
      </w:r>
    </w:p>
    <w:p w14:paraId="7D9DA4A6" w14:textId="1D64723D" w:rsidR="007D230B" w:rsidRPr="00203ECA" w:rsidRDefault="007D230B" w:rsidP="008F7149">
      <w:pPr>
        <w:pStyle w:val="eTRMHeading3"/>
      </w:pPr>
      <w:bookmarkStart w:id="134" w:name="_Toc486490850"/>
      <w:bookmarkStart w:id="135" w:name="_Toc486580921"/>
      <w:bookmarkStart w:id="136" w:name="_Toc88472696"/>
      <w:r w:rsidRPr="00203ECA">
        <w:t>Code Requirements</w:t>
      </w:r>
      <w:bookmarkEnd w:id="134"/>
      <w:bookmarkEnd w:id="135"/>
      <w:bookmarkEnd w:id="136"/>
    </w:p>
    <w:p w14:paraId="7B396E0C" w14:textId="4CB4CF38" w:rsidR="00E713AF" w:rsidRPr="00203ECA" w:rsidRDefault="00992F8C" w:rsidP="00E713AF">
      <w:r w:rsidRPr="00203ECA">
        <w:t xml:space="preserve">Thermostats </w:t>
      </w:r>
      <w:r w:rsidR="00753FCE">
        <w:t>are covered by the</w:t>
      </w:r>
      <w:r w:rsidRPr="00203ECA">
        <w:t xml:space="preserve"> California Building Energy Efficiency Standards (Title 24), but </w:t>
      </w:r>
      <w:r w:rsidR="000055F1">
        <w:t xml:space="preserve">the </w:t>
      </w:r>
      <w:r w:rsidRPr="00203ECA">
        <w:t>smart thermostat</w:t>
      </w:r>
      <w:r w:rsidR="000055F1">
        <w:t xml:space="preserve"> technology</w:t>
      </w:r>
      <w:r w:rsidRPr="00203ECA">
        <w:t xml:space="preserve"> </w:t>
      </w:r>
      <w:r w:rsidR="000055F1">
        <w:t>defined for this measure</w:t>
      </w:r>
      <w:r w:rsidRPr="00203ECA">
        <w:t xml:space="preserve"> are not a subject to </w:t>
      </w:r>
      <w:r w:rsidR="00753FCE">
        <w:t>the standards</w:t>
      </w:r>
      <w:r w:rsidRPr="00203ECA">
        <w:t xml:space="preserve">. </w:t>
      </w:r>
    </w:p>
    <w:p w14:paraId="7662BB1E" w14:textId="77777777" w:rsidR="00992F8C" w:rsidRPr="00203ECA" w:rsidRDefault="00992F8C" w:rsidP="00992F8C">
      <w:r w:rsidRPr="00203ECA">
        <w:t xml:space="preserve">This measure is not governed by the California Appliance Efficiency Standards (Title 20) or federal regulations. </w:t>
      </w:r>
    </w:p>
    <w:p w14:paraId="664897D9" w14:textId="3CF25CBE" w:rsidR="00E713AF" w:rsidRDefault="00E713AF" w:rsidP="009B1636">
      <w:pPr>
        <w:spacing w:before="0" w:after="0" w:line="240" w:lineRule="auto"/>
        <w:rPr>
          <w:ins w:id="137" w:author="Andres Fergadiotti" w:date="2021-10-25T16:46:00Z"/>
        </w:rPr>
      </w:pPr>
      <w:r w:rsidRPr="00203ECA">
        <w:lastRenderedPageBreak/>
        <w:t xml:space="preserve">Note that the applicable codes and standards for these measures dictate </w:t>
      </w:r>
      <w:del w:id="138" w:author="Andres Fergadiotti" w:date="2021-10-25T16:55:00Z">
        <w:r w:rsidRPr="00203ECA" w:rsidDel="00FC4B30">
          <w:delText xml:space="preserve">only </w:delText>
        </w:r>
      </w:del>
      <w:r w:rsidRPr="00203ECA">
        <w:t xml:space="preserve">that the thermostats be capable of shutting systems </w:t>
      </w:r>
      <w:r w:rsidR="00753FCE">
        <w:t>OFF</w:t>
      </w:r>
      <w:r w:rsidR="00753FCE" w:rsidRPr="00203ECA">
        <w:t xml:space="preserve"> </w:t>
      </w:r>
      <w:r w:rsidRPr="00203ECA">
        <w:t xml:space="preserve">and adjusting temperature setpoints during unoccupied hours. There are no requirements to shut down systems during unoccupied hours, or to make any specific unoccupied temperature setpoint </w:t>
      </w:r>
      <w:commentRangeStart w:id="139"/>
      <w:commentRangeStart w:id="140"/>
      <w:r w:rsidRPr="00203ECA">
        <w:t>adjustments</w:t>
      </w:r>
      <w:commentRangeEnd w:id="139"/>
      <w:r w:rsidR="00DF473D" w:rsidRPr="009B1636">
        <w:commentReference w:id="139"/>
      </w:r>
      <w:commentRangeEnd w:id="140"/>
      <w:r w:rsidR="00FC0412" w:rsidRPr="009B1636">
        <w:commentReference w:id="140"/>
      </w:r>
      <w:ins w:id="141" w:author="Biermayer, Peter" w:date="2021-10-22T12:27:00Z">
        <w:r w:rsidR="00DF473D">
          <w:t>.</w:t>
        </w:r>
      </w:ins>
    </w:p>
    <w:p w14:paraId="72D35241" w14:textId="30076EDE" w:rsidR="001F571C" w:rsidRDefault="001F571C" w:rsidP="00FC4B30">
      <w:pPr>
        <w:spacing w:before="0" w:after="0" w:line="240" w:lineRule="auto"/>
        <w:rPr>
          <w:ins w:id="142" w:author="Andres Fergadiotti" w:date="2021-10-25T17:12:00Z"/>
        </w:rPr>
      </w:pPr>
    </w:p>
    <w:p w14:paraId="1CA08693" w14:textId="1B42874A" w:rsidR="001F571C" w:rsidRDefault="001F571C" w:rsidP="001F571C">
      <w:pPr>
        <w:spacing w:before="0" w:after="0" w:line="240" w:lineRule="auto"/>
        <w:rPr>
          <w:ins w:id="143" w:author="Andres Fergadiotti" w:date="2021-10-25T17:15:00Z"/>
        </w:rPr>
      </w:pPr>
      <w:ins w:id="144" w:author="Andres Fergadiotti" w:date="2021-10-25T17:13:00Z">
        <w:r>
          <w:t>Note that the Standards, under Section 110.2(b)</w:t>
        </w:r>
      </w:ins>
      <w:ins w:id="145" w:author="Andres Fergadiotti" w:date="2021-10-25T17:14:00Z">
        <w:r>
          <w:t xml:space="preserve">, </w:t>
        </w:r>
      </w:ins>
      <w:ins w:id="146" w:author="Andres Fergadiotti" w:date="2021-10-25T17:13:00Z">
        <w:r>
          <w:t>Controls for Heat Pumps with Supplementary Electric Resistance Heaters</w:t>
        </w:r>
      </w:ins>
      <w:ins w:id="147" w:author="Andres Fergadiotti" w:date="2021-10-25T17:14:00Z">
        <w:r>
          <w:t xml:space="preserve">, </w:t>
        </w:r>
      </w:ins>
      <w:ins w:id="148" w:author="Andres Fergadiotti" w:date="2021-10-25T19:29:00Z">
        <w:r w:rsidR="00B92D1D">
          <w:t>requires</w:t>
        </w:r>
      </w:ins>
      <w:ins w:id="149" w:author="Andres Fergadiotti" w:date="2021-10-25T17:14:00Z">
        <w:r>
          <w:t xml:space="preserve"> that h</w:t>
        </w:r>
      </w:ins>
      <w:ins w:id="150" w:author="Andres Fergadiotti" w:date="2021-10-25T17:13:00Z">
        <w:r>
          <w:t>eat pumps with supplementary</w:t>
        </w:r>
      </w:ins>
      <w:ins w:id="151" w:author="Andres Fergadiotti" w:date="2021-10-25T17:14:00Z">
        <w:r>
          <w:t xml:space="preserve"> </w:t>
        </w:r>
      </w:ins>
      <w:ins w:id="152" w:author="Andres Fergadiotti" w:date="2021-10-25T17:13:00Z">
        <w:r>
          <w:t>electric resistance heaters shall have controls:</w:t>
        </w:r>
      </w:ins>
      <w:ins w:id="153" w:author="Andres Fergadiotti" w:date="2021-10-25T17:15:00Z">
        <w:r>
          <w:t xml:space="preserve"> </w:t>
        </w:r>
      </w:ins>
      <w:ins w:id="154" w:author="Andres Fergadiotti" w:date="2021-10-25T17:13:00Z">
        <w:r>
          <w:t xml:space="preserve">1. </w:t>
        </w:r>
      </w:ins>
      <w:ins w:id="155" w:author="Andres Fergadiotti" w:date="2021-10-25T17:17:00Z">
        <w:r w:rsidR="002E6483">
          <w:t>T</w:t>
        </w:r>
      </w:ins>
      <w:ins w:id="156" w:author="Andres Fergadiotti" w:date="2021-10-25T17:13:00Z">
        <w:r>
          <w:t>hat prevent supplementary heater operation when the heating load can be met by the heat pump alone; and</w:t>
        </w:r>
      </w:ins>
      <w:ins w:id="157" w:author="Andres Fergadiotti" w:date="2021-10-25T17:15:00Z">
        <w:r>
          <w:t xml:space="preserve"> </w:t>
        </w:r>
      </w:ins>
      <w:ins w:id="158" w:author="Andres Fergadiotti" w:date="2021-10-25T17:13:00Z">
        <w:r>
          <w:t>2. In which the cut-on temperature for compression heating is higher than the cut-on temperature for</w:t>
        </w:r>
      </w:ins>
      <w:ins w:id="159" w:author="Andres Fergadiotti" w:date="2021-10-25T17:15:00Z">
        <w:r>
          <w:t xml:space="preserve"> </w:t>
        </w:r>
      </w:ins>
      <w:ins w:id="160" w:author="Andres Fergadiotti" w:date="2021-10-25T17:13:00Z">
        <w:r>
          <w:t>supplementary heating, and the cut-off temperature for compression heating is higher than the cut-off</w:t>
        </w:r>
      </w:ins>
      <w:ins w:id="161" w:author="Andres Fergadiotti" w:date="2021-10-25T17:15:00Z">
        <w:r>
          <w:t xml:space="preserve"> </w:t>
        </w:r>
      </w:ins>
      <w:ins w:id="162" w:author="Andres Fergadiotti" w:date="2021-10-25T17:13:00Z">
        <w:r>
          <w:t>temperature for supplementary heating.</w:t>
        </w:r>
      </w:ins>
    </w:p>
    <w:p w14:paraId="1ED182FA" w14:textId="77777777" w:rsidR="001F571C" w:rsidRDefault="001F571C" w:rsidP="001F571C">
      <w:pPr>
        <w:spacing w:before="0" w:after="0" w:line="240" w:lineRule="auto"/>
        <w:rPr>
          <w:ins w:id="163" w:author="Andres Fergadiotti" w:date="2021-10-25T17:13:00Z"/>
        </w:rPr>
      </w:pPr>
    </w:p>
    <w:p w14:paraId="1F0444C8" w14:textId="7151231D" w:rsidR="001F571C" w:rsidRDefault="001F571C" w:rsidP="001F571C">
      <w:pPr>
        <w:spacing w:before="0" w:after="0" w:line="240" w:lineRule="auto"/>
        <w:rPr>
          <w:ins w:id="164" w:author="Andres Fergadiotti" w:date="2021-10-25T17:13:00Z"/>
        </w:rPr>
      </w:pPr>
      <w:ins w:id="165" w:author="Andres Fergadiotti" w:date="2021-10-25T17:13:00Z">
        <w:r>
          <w:t>EXCEPTION 1 to Section 110.2(b): The controls may allow supplementary heater operation during:</w:t>
        </w:r>
      </w:ins>
      <w:ins w:id="166" w:author="Andres Fergadiotti" w:date="2021-10-25T17:15:00Z">
        <w:r>
          <w:t xml:space="preserve"> </w:t>
        </w:r>
      </w:ins>
      <w:ins w:id="167" w:author="Andres Fergadiotti" w:date="2021-10-25T17:13:00Z">
        <w:r>
          <w:t>A.</w:t>
        </w:r>
      </w:ins>
      <w:ins w:id="168" w:author="Andres Fergadiotti" w:date="2021-10-25T17:15:00Z">
        <w:r>
          <w:t xml:space="preserve"> </w:t>
        </w:r>
      </w:ins>
      <w:ins w:id="169" w:author="Andres Fergadiotti" w:date="2021-10-25T17:13:00Z">
        <w:r>
          <w:t>Defrost; and</w:t>
        </w:r>
      </w:ins>
      <w:ins w:id="170" w:author="Andres Fergadiotti" w:date="2021-10-25T17:15:00Z">
        <w:r>
          <w:t xml:space="preserve"> </w:t>
        </w:r>
      </w:ins>
      <w:ins w:id="171" w:author="Andres Fergadiotti" w:date="2021-10-25T17:13:00Z">
        <w:r>
          <w:t>B. Transient periods such as start-ups and following room thermostat setpoint advance, if the controls</w:t>
        </w:r>
      </w:ins>
      <w:ins w:id="172" w:author="Andres Fergadiotti" w:date="2021-10-25T17:15:00Z">
        <w:r>
          <w:t xml:space="preserve"> </w:t>
        </w:r>
      </w:ins>
      <w:ins w:id="173" w:author="Andres Fergadiotti" w:date="2021-10-25T17:13:00Z">
        <w:r>
          <w:t>provide preferential rate control, intelligent recovery, staging, ramping or another control mechanism</w:t>
        </w:r>
      </w:ins>
      <w:ins w:id="174" w:author="Andres Fergadiotti" w:date="2021-10-25T17:15:00Z">
        <w:r>
          <w:t xml:space="preserve"> </w:t>
        </w:r>
      </w:ins>
      <w:ins w:id="175" w:author="Andres Fergadiotti" w:date="2021-10-25T17:13:00Z">
        <w:r>
          <w:t>designed to preclude the unnecessary operation of supplementary heating.</w:t>
        </w:r>
      </w:ins>
    </w:p>
    <w:p w14:paraId="7FE0B9AD" w14:textId="77777777" w:rsidR="001F571C" w:rsidRDefault="001F571C" w:rsidP="001F571C">
      <w:pPr>
        <w:spacing w:before="0" w:after="0" w:line="240" w:lineRule="auto"/>
        <w:rPr>
          <w:ins w:id="176" w:author="Andres Fergadiotti" w:date="2021-10-25T17:15:00Z"/>
        </w:rPr>
      </w:pPr>
    </w:p>
    <w:p w14:paraId="121B8F45" w14:textId="176CB2C7" w:rsidR="00FC4B30" w:rsidRPr="00203ECA" w:rsidRDefault="001F571C" w:rsidP="009B1636">
      <w:pPr>
        <w:spacing w:before="0" w:after="0" w:line="240" w:lineRule="auto"/>
      </w:pPr>
      <w:ins w:id="177" w:author="Andres Fergadiotti" w:date="2021-10-25T17:13:00Z">
        <w:r>
          <w:t>EXCEPTION 2 to Section 110.2(b): Room air-conditioner heat pumps.</w:t>
        </w:r>
      </w:ins>
    </w:p>
    <w:p w14:paraId="7E96141F" w14:textId="15CF5126" w:rsidR="00FD2C54" w:rsidRPr="00203ECA" w:rsidRDefault="00FD2C54" w:rsidP="00252E15">
      <w:pPr>
        <w:pStyle w:val="Caption"/>
      </w:pPr>
      <w:r w:rsidRPr="00203ECA">
        <w:t xml:space="preserve">Applicable State and Federal Codes and Standards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790"/>
        <w:gridCol w:w="1980"/>
      </w:tblGrid>
      <w:tr w:rsidR="00FC77BB" w:rsidRPr="00203ECA" w14:paraId="4623D54B" w14:textId="689B6080" w:rsidTr="00E713AF">
        <w:trPr>
          <w:cantSplit/>
          <w:trHeight w:val="20"/>
        </w:trPr>
        <w:tc>
          <w:tcPr>
            <w:tcW w:w="4765" w:type="dxa"/>
            <w:shd w:val="clear" w:color="auto" w:fill="F2F2F2" w:themeFill="background1" w:themeFillShade="F2"/>
            <w:vAlign w:val="bottom"/>
          </w:tcPr>
          <w:p w14:paraId="5E8EE0C5" w14:textId="77777777" w:rsidR="00FC77BB" w:rsidRPr="00203ECA" w:rsidRDefault="00FC77BB" w:rsidP="004F705B">
            <w:pPr>
              <w:keepNext/>
              <w:keepLines/>
              <w:spacing w:before="20" w:after="20"/>
              <w:rPr>
                <w:b/>
                <w:sz w:val="20"/>
                <w:szCs w:val="20"/>
              </w:rPr>
            </w:pPr>
            <w:r w:rsidRPr="00203ECA">
              <w:rPr>
                <w:b/>
                <w:sz w:val="20"/>
              </w:rPr>
              <w:t>Code</w:t>
            </w:r>
          </w:p>
        </w:tc>
        <w:tc>
          <w:tcPr>
            <w:tcW w:w="2790" w:type="dxa"/>
            <w:shd w:val="clear" w:color="auto" w:fill="F2F2F2" w:themeFill="background1" w:themeFillShade="F2"/>
            <w:vAlign w:val="bottom"/>
          </w:tcPr>
          <w:p w14:paraId="2A51DAFB" w14:textId="77777777" w:rsidR="00FC77BB" w:rsidRPr="00203ECA" w:rsidRDefault="00FC77BB" w:rsidP="004F705B">
            <w:pPr>
              <w:keepNext/>
              <w:keepLines/>
              <w:spacing w:before="20" w:after="20"/>
              <w:jc w:val="center"/>
              <w:rPr>
                <w:b/>
                <w:sz w:val="20"/>
                <w:szCs w:val="20"/>
              </w:rPr>
            </w:pPr>
            <w:r w:rsidRPr="00203ECA">
              <w:rPr>
                <w:b/>
                <w:sz w:val="20"/>
              </w:rPr>
              <w:t>Applicable Code Reference</w:t>
            </w:r>
          </w:p>
        </w:tc>
        <w:tc>
          <w:tcPr>
            <w:tcW w:w="1980" w:type="dxa"/>
            <w:shd w:val="clear" w:color="auto" w:fill="F2F2F2" w:themeFill="background1" w:themeFillShade="F2"/>
            <w:vAlign w:val="bottom"/>
          </w:tcPr>
          <w:p w14:paraId="214A9ADD" w14:textId="77777777" w:rsidR="00FC77BB" w:rsidRPr="00203ECA" w:rsidRDefault="00FC77BB" w:rsidP="004F705B">
            <w:pPr>
              <w:keepNext/>
              <w:keepLines/>
              <w:spacing w:before="20" w:after="20"/>
              <w:jc w:val="center"/>
              <w:rPr>
                <w:b/>
                <w:sz w:val="20"/>
                <w:szCs w:val="20"/>
              </w:rPr>
            </w:pPr>
            <w:r w:rsidRPr="00203ECA">
              <w:rPr>
                <w:b/>
                <w:sz w:val="20"/>
              </w:rPr>
              <w:t>Effective Date</w:t>
            </w:r>
          </w:p>
        </w:tc>
      </w:tr>
      <w:tr w:rsidR="00FC77BB" w:rsidRPr="00203ECA" w14:paraId="782F7264" w14:textId="345CFA23" w:rsidTr="00E713AF">
        <w:trPr>
          <w:cantSplit/>
          <w:trHeight w:val="20"/>
        </w:trPr>
        <w:tc>
          <w:tcPr>
            <w:tcW w:w="4765" w:type="dxa"/>
            <w:shd w:val="clear" w:color="auto" w:fill="auto"/>
          </w:tcPr>
          <w:p w14:paraId="67BA833F" w14:textId="27DFA027" w:rsidR="00FC77BB" w:rsidRPr="00203ECA" w:rsidRDefault="00FC77BB" w:rsidP="004F705B">
            <w:pPr>
              <w:keepNext/>
              <w:keepLines/>
              <w:spacing w:before="20" w:after="20"/>
              <w:rPr>
                <w:sz w:val="20"/>
                <w:szCs w:val="20"/>
              </w:rPr>
            </w:pPr>
            <w:r w:rsidRPr="00203ECA">
              <w:rPr>
                <w:sz w:val="20"/>
              </w:rPr>
              <w:t xml:space="preserve">CA Appliance Efficiency Regulations – Title 20 </w:t>
            </w:r>
            <w:r w:rsidR="00753FCE">
              <w:rPr>
                <w:sz w:val="20"/>
              </w:rPr>
              <w:t>(</w:t>
            </w:r>
            <w:r w:rsidR="004534B5" w:rsidRPr="00203ECA">
              <w:rPr>
                <w:sz w:val="20"/>
              </w:rPr>
              <w:t>20</w:t>
            </w:r>
            <w:r w:rsidR="00554225">
              <w:rPr>
                <w:sz w:val="20"/>
              </w:rPr>
              <w:t>20</w:t>
            </w:r>
            <w:r w:rsidR="00753FCE">
              <w:rPr>
                <w:sz w:val="20"/>
              </w:rPr>
              <w:t>)</w:t>
            </w:r>
          </w:p>
        </w:tc>
        <w:tc>
          <w:tcPr>
            <w:tcW w:w="2790" w:type="dxa"/>
            <w:shd w:val="clear" w:color="auto" w:fill="auto"/>
          </w:tcPr>
          <w:p w14:paraId="794A0264" w14:textId="5AF948D7" w:rsidR="00FC77BB" w:rsidRPr="00203ECA" w:rsidRDefault="006C1EAE" w:rsidP="004F705B">
            <w:pPr>
              <w:keepNext/>
              <w:keepLines/>
              <w:spacing w:before="20" w:after="20"/>
              <w:rPr>
                <w:sz w:val="20"/>
                <w:szCs w:val="20"/>
              </w:rPr>
            </w:pPr>
            <w:r w:rsidRPr="00203ECA">
              <w:rPr>
                <w:sz w:val="20"/>
                <w:szCs w:val="20"/>
              </w:rPr>
              <w:t>None</w:t>
            </w:r>
          </w:p>
        </w:tc>
        <w:tc>
          <w:tcPr>
            <w:tcW w:w="1980" w:type="dxa"/>
            <w:shd w:val="clear" w:color="auto" w:fill="auto"/>
          </w:tcPr>
          <w:p w14:paraId="274AB5DC" w14:textId="490FC724" w:rsidR="00FC77BB" w:rsidRPr="00203ECA" w:rsidRDefault="004534B5" w:rsidP="00E713AF">
            <w:pPr>
              <w:keepNext/>
              <w:keepLines/>
              <w:spacing w:before="20" w:after="20"/>
              <w:rPr>
                <w:sz w:val="20"/>
                <w:szCs w:val="20"/>
              </w:rPr>
            </w:pPr>
            <w:r w:rsidRPr="00203ECA">
              <w:rPr>
                <w:sz w:val="20"/>
                <w:szCs w:val="20"/>
              </w:rPr>
              <w:t xml:space="preserve">January 1, </w:t>
            </w:r>
            <w:r w:rsidR="00554225" w:rsidRPr="00203ECA">
              <w:rPr>
                <w:sz w:val="20"/>
                <w:szCs w:val="20"/>
              </w:rPr>
              <w:t>20</w:t>
            </w:r>
            <w:r w:rsidR="00554225">
              <w:rPr>
                <w:sz w:val="20"/>
                <w:szCs w:val="20"/>
              </w:rPr>
              <w:t>20</w:t>
            </w:r>
          </w:p>
        </w:tc>
      </w:tr>
      <w:tr w:rsidR="00FC77BB" w:rsidRPr="00203ECA" w14:paraId="1238F946" w14:textId="64CC1E4E" w:rsidTr="00E713AF">
        <w:trPr>
          <w:cantSplit/>
          <w:trHeight w:val="20"/>
        </w:trPr>
        <w:tc>
          <w:tcPr>
            <w:tcW w:w="4765" w:type="dxa"/>
            <w:shd w:val="clear" w:color="auto" w:fill="auto"/>
          </w:tcPr>
          <w:p w14:paraId="4F444C61" w14:textId="3D2A2C16" w:rsidR="00FC77BB" w:rsidRPr="00203ECA" w:rsidRDefault="00FC77BB" w:rsidP="00FD2C54">
            <w:pPr>
              <w:keepNext/>
              <w:keepLines/>
              <w:spacing w:before="20" w:after="20"/>
              <w:rPr>
                <w:sz w:val="20"/>
                <w:szCs w:val="20"/>
              </w:rPr>
            </w:pPr>
            <w:r w:rsidRPr="00203ECA">
              <w:rPr>
                <w:sz w:val="20"/>
              </w:rPr>
              <w:t xml:space="preserve">CA Building Energy Efficiency Standards – Title 24 </w:t>
            </w:r>
            <w:r w:rsidR="00E713AF" w:rsidRPr="00203ECA">
              <w:rPr>
                <w:sz w:val="20"/>
              </w:rPr>
              <w:t>(201</w:t>
            </w:r>
            <w:r w:rsidR="004534B5" w:rsidRPr="00203ECA">
              <w:rPr>
                <w:sz w:val="20"/>
              </w:rPr>
              <w:t>9</w:t>
            </w:r>
            <w:r w:rsidR="00E713AF" w:rsidRPr="00203ECA">
              <w:rPr>
                <w:sz w:val="20"/>
              </w:rPr>
              <w:t>)</w:t>
            </w:r>
          </w:p>
        </w:tc>
        <w:tc>
          <w:tcPr>
            <w:tcW w:w="2790" w:type="dxa"/>
            <w:shd w:val="clear" w:color="auto" w:fill="auto"/>
          </w:tcPr>
          <w:p w14:paraId="0A330E5E" w14:textId="341CFEB5" w:rsidR="00FC77BB" w:rsidRPr="00203ECA" w:rsidRDefault="002E6483" w:rsidP="00BA3D7D">
            <w:pPr>
              <w:keepNext/>
              <w:keepLines/>
              <w:spacing w:before="20" w:after="20"/>
              <w:rPr>
                <w:sz w:val="20"/>
                <w:szCs w:val="20"/>
              </w:rPr>
            </w:pPr>
            <w:ins w:id="178" w:author="Andres Fergadiotti" w:date="2021-10-25T17:17:00Z">
              <w:r>
                <w:rPr>
                  <w:sz w:val="20"/>
                  <w:szCs w:val="20"/>
                </w:rPr>
                <w:t>Section 110.</w:t>
              </w:r>
            </w:ins>
            <w:ins w:id="179" w:author="Andres Fergadiotti" w:date="2021-10-25T17:18:00Z">
              <w:r>
                <w:rPr>
                  <w:sz w:val="20"/>
                  <w:szCs w:val="20"/>
                </w:rPr>
                <w:t xml:space="preserve">2(b) </w:t>
              </w:r>
            </w:ins>
            <w:del w:id="180" w:author="Andres Fergadiotti" w:date="2021-10-25T17:17:00Z">
              <w:r w:rsidR="004534B5" w:rsidRPr="00203ECA" w:rsidDel="002E6483">
                <w:rPr>
                  <w:sz w:val="20"/>
                  <w:szCs w:val="20"/>
                </w:rPr>
                <w:delText>None</w:delText>
              </w:r>
            </w:del>
          </w:p>
        </w:tc>
        <w:tc>
          <w:tcPr>
            <w:tcW w:w="1980" w:type="dxa"/>
            <w:shd w:val="clear" w:color="auto" w:fill="auto"/>
          </w:tcPr>
          <w:p w14:paraId="63BAD98E" w14:textId="24E7F04D" w:rsidR="00FC77BB" w:rsidRPr="00203ECA" w:rsidRDefault="00E713AF" w:rsidP="00E713AF">
            <w:pPr>
              <w:keepNext/>
              <w:keepLines/>
              <w:spacing w:before="20" w:after="20"/>
              <w:rPr>
                <w:sz w:val="20"/>
                <w:szCs w:val="20"/>
              </w:rPr>
            </w:pPr>
            <w:r w:rsidRPr="00203ECA">
              <w:rPr>
                <w:sz w:val="20"/>
                <w:szCs w:val="20"/>
              </w:rPr>
              <w:t xml:space="preserve">January 1, </w:t>
            </w:r>
            <w:r w:rsidR="00487109" w:rsidRPr="00203ECA">
              <w:rPr>
                <w:sz w:val="20"/>
                <w:szCs w:val="20"/>
              </w:rPr>
              <w:t>20</w:t>
            </w:r>
            <w:r w:rsidR="00487109">
              <w:rPr>
                <w:sz w:val="20"/>
                <w:szCs w:val="20"/>
              </w:rPr>
              <w:t>20</w:t>
            </w:r>
          </w:p>
        </w:tc>
      </w:tr>
      <w:tr w:rsidR="00FC77BB" w:rsidRPr="00203ECA" w14:paraId="23FB50B6" w14:textId="5078B94B" w:rsidTr="00E713AF">
        <w:trPr>
          <w:cantSplit/>
          <w:trHeight w:val="20"/>
        </w:trPr>
        <w:tc>
          <w:tcPr>
            <w:tcW w:w="4765" w:type="dxa"/>
            <w:shd w:val="clear" w:color="auto" w:fill="auto"/>
          </w:tcPr>
          <w:p w14:paraId="2EBFC05B" w14:textId="77777777" w:rsidR="00FC77BB" w:rsidRPr="00203ECA" w:rsidRDefault="00FC77BB" w:rsidP="00BA3D7D">
            <w:pPr>
              <w:keepNext/>
              <w:keepLines/>
              <w:spacing w:before="20" w:after="20"/>
              <w:rPr>
                <w:sz w:val="20"/>
                <w:szCs w:val="20"/>
              </w:rPr>
            </w:pPr>
            <w:r w:rsidRPr="00203ECA">
              <w:rPr>
                <w:sz w:val="20"/>
              </w:rPr>
              <w:t>Federal Standards</w:t>
            </w:r>
          </w:p>
        </w:tc>
        <w:tc>
          <w:tcPr>
            <w:tcW w:w="2790" w:type="dxa"/>
            <w:shd w:val="clear" w:color="auto" w:fill="auto"/>
          </w:tcPr>
          <w:p w14:paraId="0D43394E" w14:textId="13715D8C" w:rsidR="00FC77BB" w:rsidRPr="00203ECA" w:rsidRDefault="006C1EAE" w:rsidP="00BA3D7D">
            <w:pPr>
              <w:keepNext/>
              <w:keepLines/>
              <w:spacing w:before="20" w:after="20"/>
              <w:rPr>
                <w:sz w:val="20"/>
                <w:szCs w:val="20"/>
              </w:rPr>
            </w:pPr>
            <w:r w:rsidRPr="00203ECA">
              <w:rPr>
                <w:sz w:val="20"/>
                <w:szCs w:val="20"/>
              </w:rPr>
              <w:t>Non</w:t>
            </w:r>
            <w:r w:rsidR="00E713AF" w:rsidRPr="00203ECA">
              <w:rPr>
                <w:sz w:val="20"/>
                <w:szCs w:val="20"/>
              </w:rPr>
              <w:t>e</w:t>
            </w:r>
          </w:p>
        </w:tc>
        <w:tc>
          <w:tcPr>
            <w:tcW w:w="1980" w:type="dxa"/>
            <w:shd w:val="clear" w:color="auto" w:fill="auto"/>
          </w:tcPr>
          <w:p w14:paraId="66FA1B6F" w14:textId="320A70F8" w:rsidR="00FC77BB" w:rsidRPr="00203ECA" w:rsidRDefault="006C1EAE" w:rsidP="00E713AF">
            <w:pPr>
              <w:keepNext/>
              <w:keepLines/>
              <w:spacing w:before="20" w:after="20"/>
              <w:rPr>
                <w:sz w:val="20"/>
                <w:szCs w:val="20"/>
              </w:rPr>
            </w:pPr>
            <w:r w:rsidRPr="00203ECA">
              <w:rPr>
                <w:sz w:val="20"/>
                <w:szCs w:val="20"/>
              </w:rPr>
              <w:t>n/a</w:t>
            </w:r>
          </w:p>
        </w:tc>
      </w:tr>
    </w:tbl>
    <w:p w14:paraId="36F1DFC0" w14:textId="77777777" w:rsidR="00E713AF" w:rsidRPr="00203ECA" w:rsidRDefault="00E713AF" w:rsidP="0011498C"/>
    <w:p w14:paraId="1EE16D20" w14:textId="77777777" w:rsidR="007D230B" w:rsidRPr="00203ECA" w:rsidRDefault="007D230B" w:rsidP="008F7149">
      <w:pPr>
        <w:pStyle w:val="eTRMHeading3"/>
      </w:pPr>
      <w:bookmarkStart w:id="181" w:name="_Toc486490851"/>
      <w:bookmarkStart w:id="182" w:name="_Toc486580922"/>
      <w:bookmarkStart w:id="183" w:name="_Toc88472697"/>
      <w:r w:rsidRPr="00203ECA">
        <w:t>Normalizing Unit</w:t>
      </w:r>
      <w:bookmarkEnd w:id="181"/>
      <w:bookmarkEnd w:id="182"/>
      <w:bookmarkEnd w:id="183"/>
    </w:p>
    <w:p w14:paraId="17E5AA43" w14:textId="699ECCA0" w:rsidR="008B0CF9" w:rsidRDefault="003B45C4" w:rsidP="00486585">
      <w:r>
        <w:t>Household</w:t>
      </w:r>
    </w:p>
    <w:p w14:paraId="0C1D0DA4" w14:textId="77777777" w:rsidR="000055F1" w:rsidRPr="00203ECA" w:rsidRDefault="000055F1" w:rsidP="00486585"/>
    <w:p w14:paraId="2F4904E6" w14:textId="77777777" w:rsidR="007D230B" w:rsidRPr="00203ECA" w:rsidRDefault="007D230B" w:rsidP="008F7149">
      <w:pPr>
        <w:pStyle w:val="eTRMHeading3"/>
      </w:pPr>
      <w:bookmarkStart w:id="184" w:name="_Toc486490852"/>
      <w:bookmarkStart w:id="185" w:name="_Toc486580923"/>
      <w:bookmarkStart w:id="186" w:name="_Toc88472698"/>
      <w:bookmarkStart w:id="187" w:name="_Hlk515365299"/>
      <w:bookmarkStart w:id="188" w:name="_Hlk515878271"/>
      <w:r w:rsidRPr="00203ECA">
        <w:t>Program Requirements</w:t>
      </w:r>
      <w:bookmarkEnd w:id="184"/>
      <w:bookmarkEnd w:id="185"/>
      <w:bookmarkEnd w:id="186"/>
      <w:r w:rsidRPr="00203ECA">
        <w:t xml:space="preserve"> </w:t>
      </w:r>
    </w:p>
    <w:p w14:paraId="5B286E57" w14:textId="77777777" w:rsidR="00753FCE" w:rsidRDefault="00753FCE" w:rsidP="00753FCE">
      <w:pPr>
        <w:pStyle w:val="eTRMHeading5"/>
        <w:keepNext/>
        <w:keepLines/>
      </w:pPr>
      <w:bookmarkStart w:id="189" w:name="_Hlk516047641"/>
      <w:r>
        <w:t>Measure Implementation Eligibility</w:t>
      </w:r>
    </w:p>
    <w:p w14:paraId="391DDB18" w14:textId="77777777" w:rsidR="00753FCE" w:rsidRDefault="00753FCE" w:rsidP="00753FCE">
      <w:pPr>
        <w:pStyle w:val="Norma"/>
      </w:pPr>
      <w:bookmarkStart w:id="190" w:name="_Hlk527543844"/>
      <w:bookmarkStart w:id="191"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190"/>
    </w:p>
    <w:bookmarkEnd w:id="191"/>
    <w:p w14:paraId="496AF93E" w14:textId="2663A222" w:rsidR="00753FCE" w:rsidRPr="00CC4643" w:rsidRDefault="00753FCE" w:rsidP="00753FCE">
      <w:pPr>
        <w:pStyle w:val="Norma"/>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w:t>
      </w:r>
      <w:r w:rsidR="00AA059E">
        <w:rPr>
          <w:i/>
        </w:rPr>
        <w:t xml:space="preserve"> (or available)</w:t>
      </w:r>
      <w:r>
        <w:rPr>
          <w:i/>
        </w:rPr>
        <w:t xml:space="preserve"> for some measure offerings by</w:t>
      </w:r>
      <w:r w:rsidRPr="00CC4643">
        <w:rPr>
          <w:i/>
        </w:rPr>
        <w:t xml:space="preserve"> all program administrators.</w:t>
      </w:r>
    </w:p>
    <w:bookmarkEnd w:id="187"/>
    <w:p w14:paraId="4C20D576" w14:textId="4D68E683" w:rsidR="001B426F" w:rsidRPr="00203ECA" w:rsidRDefault="001B426F" w:rsidP="00252E15">
      <w:pPr>
        <w:pStyle w:val="Caption"/>
      </w:pPr>
      <w:r w:rsidRPr="00203ECA">
        <w:lastRenderedPageBreak/>
        <w:t>Implementation Eligibility</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2605"/>
        <w:gridCol w:w="2790"/>
        <w:gridCol w:w="2340"/>
        <w:gridCol w:w="1615"/>
      </w:tblGrid>
      <w:tr w:rsidR="000E674F" w:rsidRPr="00203ECA" w14:paraId="40946250" w14:textId="77777777" w:rsidTr="00750659">
        <w:trPr>
          <w:trHeight w:val="290"/>
        </w:trPr>
        <w:tc>
          <w:tcPr>
            <w:tcW w:w="2605" w:type="dxa"/>
            <w:shd w:val="clear" w:color="auto" w:fill="F2F2F2" w:themeFill="background1" w:themeFillShade="F2"/>
          </w:tcPr>
          <w:p w14:paraId="550BD668" w14:textId="74D938B8" w:rsidR="000E674F" w:rsidRPr="00203ECA" w:rsidRDefault="000E674F">
            <w:pPr>
              <w:keepNext/>
              <w:spacing w:before="0" w:after="0"/>
              <w:rPr>
                <w:b/>
                <w:bCs/>
                <w:sz w:val="20"/>
              </w:rPr>
            </w:pPr>
            <w:r>
              <w:rPr>
                <w:b/>
                <w:bCs/>
                <w:sz w:val="20"/>
              </w:rPr>
              <w:t>Applicable Offerings</w:t>
            </w:r>
          </w:p>
        </w:tc>
        <w:tc>
          <w:tcPr>
            <w:tcW w:w="2790" w:type="dxa"/>
            <w:shd w:val="clear" w:color="auto" w:fill="F2F2F2" w:themeFill="background1" w:themeFillShade="F2"/>
            <w:noWrap/>
            <w:tcMar>
              <w:top w:w="0" w:type="dxa"/>
              <w:left w:w="108" w:type="dxa"/>
              <w:bottom w:w="0" w:type="dxa"/>
              <w:right w:w="108" w:type="dxa"/>
            </w:tcMar>
            <w:vAlign w:val="bottom"/>
            <w:hideMark/>
          </w:tcPr>
          <w:p w14:paraId="22A9E909" w14:textId="13D7B372" w:rsidR="000E674F" w:rsidRPr="00203ECA" w:rsidRDefault="000E674F">
            <w:pPr>
              <w:keepNext/>
              <w:spacing w:before="0" w:after="0"/>
              <w:rPr>
                <w:b/>
                <w:bCs/>
                <w:sz w:val="20"/>
              </w:rPr>
            </w:pPr>
            <w:r w:rsidRPr="00203ECA">
              <w:rPr>
                <w:b/>
                <w:bCs/>
                <w:sz w:val="20"/>
              </w:rPr>
              <w:t>Measure Application Type</w:t>
            </w:r>
          </w:p>
        </w:tc>
        <w:tc>
          <w:tcPr>
            <w:tcW w:w="2340" w:type="dxa"/>
            <w:shd w:val="clear" w:color="auto" w:fill="F2F2F2" w:themeFill="background1" w:themeFillShade="F2"/>
            <w:noWrap/>
            <w:tcMar>
              <w:top w:w="0" w:type="dxa"/>
              <w:left w:w="108" w:type="dxa"/>
              <w:bottom w:w="0" w:type="dxa"/>
              <w:right w:w="108" w:type="dxa"/>
            </w:tcMar>
            <w:vAlign w:val="bottom"/>
            <w:hideMark/>
          </w:tcPr>
          <w:p w14:paraId="6B5DB796" w14:textId="77777777" w:rsidR="000E674F" w:rsidRPr="00203ECA" w:rsidRDefault="000E674F">
            <w:pPr>
              <w:keepNext/>
              <w:spacing w:before="0" w:after="0"/>
              <w:rPr>
                <w:b/>
                <w:bCs/>
                <w:sz w:val="20"/>
              </w:rPr>
            </w:pPr>
            <w:r w:rsidRPr="00203ECA">
              <w:rPr>
                <w:b/>
                <w:bCs/>
                <w:sz w:val="20"/>
              </w:rPr>
              <w:t>Delivery Type</w:t>
            </w:r>
          </w:p>
        </w:tc>
        <w:tc>
          <w:tcPr>
            <w:tcW w:w="1615" w:type="dxa"/>
            <w:shd w:val="clear" w:color="auto" w:fill="F2F2F2" w:themeFill="background1" w:themeFillShade="F2"/>
            <w:noWrap/>
            <w:tcMar>
              <w:top w:w="0" w:type="dxa"/>
              <w:left w:w="108" w:type="dxa"/>
              <w:bottom w:w="0" w:type="dxa"/>
              <w:right w:w="108" w:type="dxa"/>
            </w:tcMar>
            <w:vAlign w:val="bottom"/>
            <w:hideMark/>
          </w:tcPr>
          <w:p w14:paraId="0558F3FA" w14:textId="77777777" w:rsidR="000E674F" w:rsidRPr="00203ECA" w:rsidRDefault="000E674F">
            <w:pPr>
              <w:keepNext/>
              <w:spacing w:before="0" w:after="0"/>
              <w:rPr>
                <w:b/>
                <w:bCs/>
                <w:sz w:val="20"/>
              </w:rPr>
            </w:pPr>
            <w:r w:rsidRPr="00203ECA">
              <w:rPr>
                <w:b/>
                <w:bCs/>
                <w:sz w:val="20"/>
              </w:rPr>
              <w:t>Sector</w:t>
            </w:r>
          </w:p>
        </w:tc>
      </w:tr>
      <w:tr w:rsidR="00DF2CDA" w:rsidRPr="00203ECA" w14:paraId="54F21FF2" w14:textId="77777777" w:rsidTr="00C17038">
        <w:trPr>
          <w:trHeight w:val="290"/>
        </w:trPr>
        <w:tc>
          <w:tcPr>
            <w:tcW w:w="2605" w:type="dxa"/>
          </w:tcPr>
          <w:p w14:paraId="5DA01760" w14:textId="6F34BF63" w:rsidR="00DF2CDA" w:rsidRDefault="00DF2CDA" w:rsidP="00DF2CDA">
            <w:pPr>
              <w:keepNext/>
              <w:spacing w:before="0" w:after="0"/>
              <w:rPr>
                <w:color w:val="000000"/>
                <w:sz w:val="20"/>
              </w:rPr>
            </w:pPr>
            <w:r w:rsidRPr="000E674F">
              <w:rPr>
                <w:color w:val="000000"/>
                <w:sz w:val="20"/>
              </w:rPr>
              <w:t>SWHC039A</w:t>
            </w:r>
            <w:r>
              <w:rPr>
                <w:color w:val="000000"/>
                <w:sz w:val="20"/>
              </w:rPr>
              <w:t xml:space="preserve">, </w:t>
            </w:r>
            <w:r w:rsidRPr="000E674F">
              <w:rPr>
                <w:color w:val="000000"/>
                <w:sz w:val="20"/>
              </w:rPr>
              <w:t>SWHC039B</w:t>
            </w:r>
          </w:p>
        </w:tc>
        <w:tc>
          <w:tcPr>
            <w:tcW w:w="2790" w:type="dxa"/>
            <w:noWrap/>
            <w:tcMar>
              <w:top w:w="0" w:type="dxa"/>
              <w:left w:w="108" w:type="dxa"/>
              <w:bottom w:w="0" w:type="dxa"/>
              <w:right w:w="108" w:type="dxa"/>
            </w:tcMar>
            <w:vAlign w:val="center"/>
          </w:tcPr>
          <w:p w14:paraId="178C5C26" w14:textId="422D4440" w:rsidR="00DF2CDA" w:rsidRPr="00203ECA" w:rsidRDefault="00DF2CDA" w:rsidP="00DF2CDA">
            <w:pPr>
              <w:keepNext/>
              <w:spacing w:before="0" w:after="0"/>
              <w:rPr>
                <w:color w:val="000000"/>
                <w:sz w:val="20"/>
              </w:rPr>
            </w:pPr>
            <w:r>
              <w:rPr>
                <w:color w:val="000000"/>
                <w:sz w:val="20"/>
              </w:rPr>
              <w:t>Normal replacement</w:t>
            </w:r>
          </w:p>
        </w:tc>
        <w:tc>
          <w:tcPr>
            <w:tcW w:w="2340" w:type="dxa"/>
            <w:noWrap/>
            <w:tcMar>
              <w:top w:w="0" w:type="dxa"/>
              <w:left w:w="108" w:type="dxa"/>
              <w:bottom w:w="0" w:type="dxa"/>
              <w:right w:w="108" w:type="dxa"/>
            </w:tcMar>
            <w:vAlign w:val="bottom"/>
          </w:tcPr>
          <w:p w14:paraId="7EB7E369" w14:textId="675B22F2" w:rsidR="00DF2CDA" w:rsidRPr="00203ECA" w:rsidRDefault="00DF2CDA" w:rsidP="00DF2CDA">
            <w:pPr>
              <w:keepNext/>
              <w:spacing w:before="0" w:after="0"/>
              <w:rPr>
                <w:color w:val="000000"/>
                <w:sz w:val="20"/>
              </w:rPr>
            </w:pPr>
            <w:r w:rsidRPr="00750659">
              <w:rPr>
                <w:rFonts w:ascii="Calibri" w:hAnsi="Calibri"/>
                <w:sz w:val="20"/>
                <w:szCs w:val="20"/>
              </w:rPr>
              <w:t>DnDeemed</w:t>
            </w:r>
            <w:r>
              <w:rPr>
                <w:rFonts w:ascii="Calibri" w:hAnsi="Calibri"/>
                <w:sz w:val="20"/>
                <w:szCs w:val="20"/>
              </w:rPr>
              <w:t xml:space="preserve">, </w:t>
            </w:r>
            <w:r w:rsidRPr="00DF2CDA">
              <w:rPr>
                <w:rFonts w:ascii="Calibri" w:hAnsi="Calibri"/>
                <w:sz w:val="20"/>
                <w:szCs w:val="20"/>
              </w:rPr>
              <w:t>UpDeemed</w:t>
            </w:r>
          </w:p>
        </w:tc>
        <w:tc>
          <w:tcPr>
            <w:tcW w:w="1615" w:type="dxa"/>
            <w:noWrap/>
            <w:tcMar>
              <w:top w:w="0" w:type="dxa"/>
              <w:left w:w="108" w:type="dxa"/>
              <w:bottom w:w="0" w:type="dxa"/>
              <w:right w:w="108" w:type="dxa"/>
            </w:tcMar>
            <w:vAlign w:val="center"/>
          </w:tcPr>
          <w:p w14:paraId="6F9C2987" w14:textId="28026712" w:rsidR="00DF2CDA" w:rsidRPr="00203ECA" w:rsidRDefault="00DF2CDA" w:rsidP="00DF2CDA">
            <w:pPr>
              <w:keepNext/>
              <w:spacing w:before="0" w:after="0"/>
              <w:rPr>
                <w:color w:val="000000"/>
                <w:sz w:val="20"/>
              </w:rPr>
            </w:pPr>
            <w:r w:rsidRPr="00203ECA">
              <w:rPr>
                <w:color w:val="000000"/>
                <w:sz w:val="20"/>
              </w:rPr>
              <w:t>Res</w:t>
            </w:r>
          </w:p>
        </w:tc>
      </w:tr>
      <w:tr w:rsidR="00DF2CDA" w:rsidRPr="00203ECA" w14:paraId="5D22EDDB" w14:textId="77777777" w:rsidTr="00750659">
        <w:trPr>
          <w:trHeight w:val="290"/>
        </w:trPr>
        <w:tc>
          <w:tcPr>
            <w:tcW w:w="2605" w:type="dxa"/>
          </w:tcPr>
          <w:p w14:paraId="5EC6F4F1" w14:textId="1960276C" w:rsidR="00DF2CDA" w:rsidRDefault="00DF2CDA" w:rsidP="00DF2CDA">
            <w:pPr>
              <w:keepNext/>
              <w:spacing w:before="0" w:after="0"/>
              <w:rPr>
                <w:color w:val="000000"/>
                <w:sz w:val="20"/>
              </w:rPr>
            </w:pPr>
            <w:r w:rsidRPr="000E674F">
              <w:rPr>
                <w:color w:val="000000"/>
                <w:sz w:val="20"/>
              </w:rPr>
              <w:t>SWHC039C</w:t>
            </w:r>
            <w:r>
              <w:rPr>
                <w:color w:val="000000"/>
                <w:sz w:val="20"/>
              </w:rPr>
              <w:t xml:space="preserve">, </w:t>
            </w:r>
            <w:r w:rsidRPr="000E674F">
              <w:rPr>
                <w:color w:val="000000"/>
                <w:sz w:val="20"/>
              </w:rPr>
              <w:t>SWHC039D</w:t>
            </w:r>
          </w:p>
        </w:tc>
        <w:tc>
          <w:tcPr>
            <w:tcW w:w="2790" w:type="dxa"/>
            <w:noWrap/>
            <w:tcMar>
              <w:top w:w="0" w:type="dxa"/>
              <w:left w:w="108" w:type="dxa"/>
              <w:bottom w:w="0" w:type="dxa"/>
              <w:right w:w="108" w:type="dxa"/>
            </w:tcMar>
            <w:vAlign w:val="center"/>
          </w:tcPr>
          <w:p w14:paraId="67C06326" w14:textId="61ADACB1" w:rsidR="00DF2CDA" w:rsidRPr="00203ECA" w:rsidRDefault="00DF2CDA" w:rsidP="00DF2CDA">
            <w:pPr>
              <w:keepNext/>
              <w:spacing w:before="0" w:after="0"/>
              <w:rPr>
                <w:color w:val="000000"/>
                <w:sz w:val="20"/>
              </w:rPr>
            </w:pPr>
            <w:r>
              <w:rPr>
                <w:color w:val="000000"/>
                <w:sz w:val="20"/>
              </w:rPr>
              <w:t>Normal replacement</w:t>
            </w:r>
          </w:p>
        </w:tc>
        <w:tc>
          <w:tcPr>
            <w:tcW w:w="2340" w:type="dxa"/>
            <w:noWrap/>
            <w:tcMar>
              <w:top w:w="0" w:type="dxa"/>
              <w:left w:w="108" w:type="dxa"/>
              <w:bottom w:w="0" w:type="dxa"/>
              <w:right w:w="108" w:type="dxa"/>
            </w:tcMar>
            <w:vAlign w:val="center"/>
          </w:tcPr>
          <w:p w14:paraId="5AA899A5" w14:textId="067D26BC" w:rsidR="00DF2CDA" w:rsidRPr="00203ECA" w:rsidRDefault="00DF2CDA" w:rsidP="00DF2CDA">
            <w:pPr>
              <w:keepNext/>
              <w:spacing w:before="0" w:after="0"/>
              <w:rPr>
                <w:color w:val="000000"/>
                <w:sz w:val="20"/>
              </w:rPr>
            </w:pPr>
            <w:r>
              <w:rPr>
                <w:color w:val="000000"/>
                <w:sz w:val="20"/>
              </w:rPr>
              <w:t>DnDeemDI</w:t>
            </w:r>
          </w:p>
        </w:tc>
        <w:tc>
          <w:tcPr>
            <w:tcW w:w="1615" w:type="dxa"/>
            <w:noWrap/>
            <w:tcMar>
              <w:top w:w="0" w:type="dxa"/>
              <w:left w:w="108" w:type="dxa"/>
              <w:bottom w:w="0" w:type="dxa"/>
              <w:right w:w="108" w:type="dxa"/>
            </w:tcMar>
            <w:vAlign w:val="center"/>
          </w:tcPr>
          <w:p w14:paraId="111B3DEA" w14:textId="5B0E2E35" w:rsidR="00DF2CDA" w:rsidRPr="00203ECA" w:rsidRDefault="00DF2CDA" w:rsidP="00DF2CDA">
            <w:pPr>
              <w:keepNext/>
              <w:spacing w:before="0" w:after="0"/>
              <w:rPr>
                <w:color w:val="000000"/>
                <w:sz w:val="20"/>
              </w:rPr>
            </w:pPr>
            <w:r w:rsidRPr="00203ECA">
              <w:rPr>
                <w:color w:val="000000"/>
                <w:sz w:val="20"/>
              </w:rPr>
              <w:t>Res</w:t>
            </w:r>
          </w:p>
        </w:tc>
      </w:tr>
    </w:tbl>
    <w:p w14:paraId="73035A5C" w14:textId="683635E7" w:rsidR="001B426F" w:rsidRDefault="001B426F" w:rsidP="00750659">
      <w:pPr>
        <w:spacing w:before="0" w:after="0"/>
      </w:pPr>
    </w:p>
    <w:p w14:paraId="38A8ACB8" w14:textId="5E96F7DE" w:rsidR="000055F1" w:rsidRPr="00203ECA" w:rsidRDefault="00753FCE" w:rsidP="00750659">
      <w:pPr>
        <w:spacing w:before="0" w:after="0"/>
      </w:pPr>
      <w:r>
        <w:t>The</w:t>
      </w:r>
      <w:r w:rsidRPr="00203ECA">
        <w:t xml:space="preserve"> </w:t>
      </w:r>
      <w:r>
        <w:t>normal</w:t>
      </w:r>
      <w:r w:rsidR="005B4ECB">
        <w:t xml:space="preserve"> replacement</w:t>
      </w:r>
      <w:r w:rsidRPr="00203ECA">
        <w:t xml:space="preserve"> measure application type is determined appropriate</w:t>
      </w:r>
      <w:r>
        <w:t xml:space="preserve"> g</w:t>
      </w:r>
      <w:r w:rsidR="000055F1" w:rsidRPr="00203ECA">
        <w:t>iven</w:t>
      </w:r>
      <w:r w:rsidR="00866750">
        <w:t xml:space="preserve"> baseline characterization </w:t>
      </w:r>
      <w:r w:rsidR="001C7348">
        <w:t xml:space="preserve">determined by </w:t>
      </w:r>
      <w:r w:rsidR="005B3468">
        <w:t xml:space="preserve">the </w:t>
      </w:r>
      <w:r>
        <w:t>S</w:t>
      </w:r>
      <w:r w:rsidR="005B3468">
        <w:t xml:space="preserve">mart </w:t>
      </w:r>
      <w:r>
        <w:t>T</w:t>
      </w:r>
      <w:r w:rsidR="005B3468">
        <w:t xml:space="preserve">hermostat </w:t>
      </w:r>
      <w:r>
        <w:t>P</w:t>
      </w:r>
      <w:r w:rsidR="005B3468">
        <w:t xml:space="preserve">rocess </w:t>
      </w:r>
      <w:r>
        <w:t>E</w:t>
      </w:r>
      <w:r w:rsidR="005B3468">
        <w:t>valuation</w:t>
      </w:r>
      <w:r w:rsidR="00866750">
        <w:t>.</w:t>
      </w:r>
      <w:r>
        <w:rPr>
          <w:rStyle w:val="FootnoteReference"/>
        </w:rPr>
        <w:footnoteReference w:id="2"/>
      </w:r>
      <w:r w:rsidR="005B3468">
        <w:t xml:space="preserve"> </w:t>
      </w:r>
    </w:p>
    <w:p w14:paraId="09D1F96E" w14:textId="77777777" w:rsidR="000055F1" w:rsidRPr="00203ECA" w:rsidRDefault="000055F1" w:rsidP="001B426F"/>
    <w:bookmarkEnd w:id="188"/>
    <w:bookmarkEnd w:id="189"/>
    <w:p w14:paraId="50711562" w14:textId="5D0894B2" w:rsidR="00AA46AF" w:rsidRPr="00203ECA" w:rsidRDefault="00196649" w:rsidP="00154391">
      <w:pPr>
        <w:pStyle w:val="eTRMHeading5"/>
      </w:pPr>
      <w:r w:rsidRPr="00203ECA">
        <w:t>Eligible Products</w:t>
      </w:r>
    </w:p>
    <w:p w14:paraId="737D2E9A" w14:textId="3C92145A" w:rsidR="00A377A6" w:rsidRPr="00203ECA" w:rsidRDefault="00A377A6" w:rsidP="00A377A6">
      <w:pPr>
        <w:rPr>
          <w:b/>
          <w:sz w:val="28"/>
          <w:szCs w:val="28"/>
        </w:rPr>
      </w:pPr>
      <w:r w:rsidRPr="00203ECA">
        <w:rPr>
          <w:b/>
        </w:rPr>
        <w:t>General Eligibility Requirements</w:t>
      </w:r>
      <w:r w:rsidR="00753FCE">
        <w:rPr>
          <w:b/>
        </w:rPr>
        <w:t>:</w:t>
      </w:r>
      <w:r w:rsidRPr="00203ECA">
        <w:rPr>
          <w:rStyle w:val="FootnoteReference"/>
          <w:b/>
          <w:sz w:val="20"/>
          <w:szCs w:val="20"/>
        </w:rPr>
        <w:footnoteReference w:id="3"/>
      </w:r>
    </w:p>
    <w:p w14:paraId="2471C714" w14:textId="27417DCB" w:rsidR="00A377A6" w:rsidRPr="00203ECA" w:rsidRDefault="00A377A6" w:rsidP="00A50610">
      <w:r w:rsidRPr="00203ECA">
        <w:t>The program administrator (PA) shall employ QA/QC procedures to ensure that the thermostat is installed in an eligible home and is attached to the type of HVAC equipment that is being incentivized, whether it is for natural gas or electricity savings.</w:t>
      </w:r>
    </w:p>
    <w:p w14:paraId="3BEF1891" w14:textId="3FB5AFCD" w:rsidR="00A377A6" w:rsidRPr="00203ECA" w:rsidRDefault="00A377A6" w:rsidP="00A50610">
      <w:r w:rsidRPr="00203ECA">
        <w:t>The PA shall confirm that the customer has a newly purchased smart thermostat. At minimum, the PA shall obtain a copy of the thermostat sales receipt and the PA shall confirm the purchase date is on or after the program start date.</w:t>
      </w:r>
    </w:p>
    <w:p w14:paraId="5E8E4565" w14:textId="76A30501" w:rsidR="00A377A6" w:rsidRPr="00203ECA" w:rsidRDefault="00A377A6" w:rsidP="00A50610">
      <w:pPr>
        <w:rPr>
          <w:b/>
        </w:rPr>
      </w:pPr>
      <w:r w:rsidRPr="00203ECA">
        <w:t xml:space="preserve">The PA shall determine customer eligibility prior to rebate payment. Upon request, all data associated with determining eligibility shall be provided to Energy Division of the California Public Utilities Commission (CPUC). All PAs shall extend this requirement to all third-party vendors that assist PAs with determining customer eligibility. To the extent that they are used to determine eligibility, data regarding dates of purchase, location of home, customer HVAC equipment type, pre-installation HVAC energy use, </w:t>
      </w:r>
      <w:r w:rsidR="00F74457" w:rsidRPr="00203ECA">
        <w:t>etc.</w:t>
      </w:r>
      <w:r w:rsidRPr="00203ECA">
        <w:t xml:space="preserve"> shall be made available.</w:t>
      </w:r>
    </w:p>
    <w:p w14:paraId="5E733FAF" w14:textId="46E33E3E" w:rsidR="00F03434" w:rsidRPr="00C17038" w:rsidRDefault="00F03434" w:rsidP="00F74457">
      <w:pPr>
        <w:rPr>
          <w:bCs/>
        </w:rPr>
      </w:pPr>
      <w:r>
        <w:rPr>
          <w:bCs/>
        </w:rPr>
        <w:t>Per Program Year 2019 Impact Evaluation,</w:t>
      </w:r>
      <w:r>
        <w:rPr>
          <w:rStyle w:val="FootnoteReference"/>
          <w:bCs/>
        </w:rPr>
        <w:footnoteReference w:id="4"/>
      </w:r>
      <w:r>
        <w:rPr>
          <w:bCs/>
        </w:rPr>
        <w:t xml:space="preserve"> PA’s </w:t>
      </w:r>
      <w:r w:rsidR="00706A09">
        <w:rPr>
          <w:bCs/>
        </w:rPr>
        <w:t xml:space="preserve">and 3P program implementers </w:t>
      </w:r>
      <w:r w:rsidR="007C5490">
        <w:rPr>
          <w:bCs/>
        </w:rPr>
        <w:t>are recommended to</w:t>
      </w:r>
      <w:r>
        <w:rPr>
          <w:bCs/>
        </w:rPr>
        <w:t xml:space="preserve"> </w:t>
      </w:r>
      <w:r w:rsidR="004636E7">
        <w:rPr>
          <w:bCs/>
        </w:rPr>
        <w:t>“support</w:t>
      </w:r>
      <w:r w:rsidRPr="00F03434">
        <w:rPr>
          <w:bCs/>
        </w:rPr>
        <w:t xml:space="preserve"> </w:t>
      </w:r>
      <w:r w:rsidR="00A10150">
        <w:rPr>
          <w:bCs/>
        </w:rPr>
        <w:t>Direct I</w:t>
      </w:r>
      <w:r w:rsidRPr="00F03434">
        <w:rPr>
          <w:bCs/>
        </w:rPr>
        <w:t>nstall programs to include or strengthen contractor training and customer education about settings (auto-away) and device use (pre-heating/pre-cooling) that will help save energy.</w:t>
      </w:r>
      <w:r>
        <w:rPr>
          <w:bCs/>
        </w:rPr>
        <w:t>”</w:t>
      </w:r>
    </w:p>
    <w:p w14:paraId="4B004AF3" w14:textId="77777777" w:rsidR="00F03434" w:rsidRDefault="00F03434" w:rsidP="00F74457">
      <w:pPr>
        <w:rPr>
          <w:b/>
        </w:rPr>
      </w:pPr>
    </w:p>
    <w:p w14:paraId="130921EA" w14:textId="77777777" w:rsidR="00A377A6" w:rsidRPr="00203ECA" w:rsidRDefault="00A377A6" w:rsidP="00F74457">
      <w:pPr>
        <w:rPr>
          <w:b/>
        </w:rPr>
      </w:pPr>
      <w:r w:rsidRPr="00203ECA">
        <w:rPr>
          <w:b/>
        </w:rPr>
        <w:t>Device Eligibility Requirements:</w:t>
      </w:r>
    </w:p>
    <w:p w14:paraId="62F0A93E" w14:textId="06F61634" w:rsidR="001B629E" w:rsidRPr="00203ECA" w:rsidRDefault="00753FCE" w:rsidP="00A50610">
      <w:r>
        <w:t>The s</w:t>
      </w:r>
      <w:r w:rsidR="001B629E" w:rsidRPr="00203ECA">
        <w:t xml:space="preserve">mart thermostat must </w:t>
      </w:r>
      <w:r w:rsidR="00556D54">
        <w:t>be in full compliance</w:t>
      </w:r>
      <w:r w:rsidR="001B629E" w:rsidRPr="00203ECA">
        <w:t xml:space="preserve"> with </w:t>
      </w:r>
      <w:r w:rsidR="00B217CC">
        <w:t xml:space="preserve">the </w:t>
      </w:r>
      <w:r w:rsidR="001B629E" w:rsidRPr="00203ECA">
        <w:t>ENERGYSTAR</w:t>
      </w:r>
      <w:r w:rsidR="00B217CC">
        <w:t>®</w:t>
      </w:r>
      <w:r w:rsidR="001B629E" w:rsidRPr="00203ECA">
        <w:t xml:space="preserve"> </w:t>
      </w:r>
      <w:r w:rsidR="00614E5D">
        <w:t>P</w:t>
      </w:r>
      <w:r w:rsidR="001B629E" w:rsidRPr="00203ECA">
        <w:t xml:space="preserve">rogram </w:t>
      </w:r>
      <w:r w:rsidR="00614E5D">
        <w:t>R</w:t>
      </w:r>
      <w:r w:rsidR="001B629E" w:rsidRPr="00203ECA">
        <w:t xml:space="preserve">equirements and </w:t>
      </w:r>
      <w:r w:rsidR="00614E5D">
        <w:t>P</w:t>
      </w:r>
      <w:r w:rsidR="001B629E" w:rsidRPr="00203ECA">
        <w:t xml:space="preserve">roduct </w:t>
      </w:r>
      <w:r w:rsidR="00614E5D">
        <w:t>S</w:t>
      </w:r>
      <w:r w:rsidR="001B629E" w:rsidRPr="00203ECA">
        <w:t>pecification for Connected Thermostats products Version 1</w:t>
      </w:r>
      <w:r w:rsidR="00B217CC">
        <w:t>.0</w:t>
      </w:r>
      <w:r w:rsidR="001B629E" w:rsidRPr="00203ECA">
        <w:t xml:space="preserve"> or later.</w:t>
      </w:r>
      <w:r w:rsidR="00B217CC">
        <w:rPr>
          <w:rStyle w:val="FootnoteReference"/>
        </w:rPr>
        <w:footnoteReference w:id="5"/>
      </w:r>
      <w:r w:rsidR="001B629E" w:rsidRPr="00203ECA">
        <w:t xml:space="preserve"> </w:t>
      </w:r>
    </w:p>
    <w:p w14:paraId="49C47276" w14:textId="1184C1F7" w:rsidR="00A377A6" w:rsidRPr="00203ECA" w:rsidRDefault="00F74457" w:rsidP="00A50610">
      <w:r w:rsidRPr="00203ECA">
        <w:lastRenderedPageBreak/>
        <w:t>The customer m</w:t>
      </w:r>
      <w:r w:rsidR="00A377A6" w:rsidRPr="00203ECA">
        <w:t xml:space="preserve">ust use the thermostat to control heating and/or cooling equipment supplied by fuels provided by the </w:t>
      </w:r>
      <w:r w:rsidR="00B217CC">
        <w:t>program administrator</w:t>
      </w:r>
      <w:r w:rsidR="00614E5D">
        <w:t>:</w:t>
      </w:r>
    </w:p>
    <w:p w14:paraId="1068048B" w14:textId="77777777" w:rsidR="00A377A6" w:rsidRPr="00E77AD7" w:rsidRDefault="00A377A6" w:rsidP="00750659">
      <w:pPr>
        <w:pStyle w:val="eTRMBulletedText"/>
      </w:pPr>
      <w:r w:rsidRPr="00B217CC">
        <w:t>For single-fuel utilities (or dual-fuel utilities in a portion of their service area where they only supply one fuel), o</w:t>
      </w:r>
      <w:r w:rsidRPr="00E77AD7">
        <w:t>nly savings for the applicable delivered fuel may be claimed</w:t>
      </w:r>
    </w:p>
    <w:p w14:paraId="0182FCA6" w14:textId="77777777" w:rsidR="00A377A6" w:rsidRPr="00E77AD7" w:rsidRDefault="00A377A6" w:rsidP="00750659">
      <w:pPr>
        <w:pStyle w:val="eTRMBulletedText"/>
      </w:pPr>
      <w:r w:rsidRPr="00E77AD7">
        <w:t>Eligible heating equipment: gas forced-air furnace, electric forced-air furnace, heat pump</w:t>
      </w:r>
    </w:p>
    <w:p w14:paraId="19232FF8" w14:textId="77777777" w:rsidR="00A377A6" w:rsidRPr="00E77AD7" w:rsidRDefault="00A377A6" w:rsidP="00750659">
      <w:pPr>
        <w:pStyle w:val="eTRMBulletedText"/>
      </w:pPr>
      <w:r w:rsidRPr="00E77AD7">
        <w:t>Eligible cooling equipment: central air conditioning</w:t>
      </w:r>
    </w:p>
    <w:p w14:paraId="0EAB7015" w14:textId="77777777" w:rsidR="00F03434" w:rsidRPr="00203ECA" w:rsidRDefault="00F03434" w:rsidP="00614E5D"/>
    <w:p w14:paraId="7CE938DA" w14:textId="62DB1AE2" w:rsidR="007B6A74" w:rsidRPr="00203ECA" w:rsidRDefault="007B6A74" w:rsidP="00401C43">
      <w:pPr>
        <w:pStyle w:val="eTRMHeading5"/>
      </w:pPr>
      <w:r w:rsidRPr="00203ECA">
        <w:t>Eligible Building Types</w:t>
      </w:r>
      <w:r w:rsidR="00E57AAD" w:rsidRPr="00203ECA">
        <w:t xml:space="preserve"> and Vintages</w:t>
      </w:r>
    </w:p>
    <w:p w14:paraId="7AA25502" w14:textId="767993D0" w:rsidR="00571D95" w:rsidRPr="00203ECA" w:rsidRDefault="001501B3" w:rsidP="00571D95">
      <w:r w:rsidRPr="00203ECA">
        <w:t xml:space="preserve">This measure is applicable for all residential building types </w:t>
      </w:r>
      <w:r w:rsidR="00302B26" w:rsidRPr="00203ECA">
        <w:t>(</w:t>
      </w:r>
      <w:r w:rsidR="00302B26" w:rsidRPr="00203ECA">
        <w:rPr>
          <w:rFonts w:cstheme="minorHAnsi"/>
          <w:szCs w:val="22"/>
        </w:rPr>
        <w:t xml:space="preserve">single family, multifamily, and mobile homes) </w:t>
      </w:r>
      <w:r w:rsidRPr="00203ECA">
        <w:t>of any vintage.</w:t>
      </w:r>
    </w:p>
    <w:p w14:paraId="2C747E71" w14:textId="77777777" w:rsidR="001501B3" w:rsidRPr="00203ECA" w:rsidRDefault="001501B3" w:rsidP="00571D95"/>
    <w:p w14:paraId="1A3705F3" w14:textId="4BC0985D" w:rsidR="007B6A74" w:rsidRPr="00203ECA" w:rsidRDefault="00196649" w:rsidP="00154391">
      <w:pPr>
        <w:pStyle w:val="eTRMHeading5"/>
      </w:pPr>
      <w:r w:rsidRPr="00203ECA">
        <w:t>Eligible Climate Zones</w:t>
      </w:r>
    </w:p>
    <w:p w14:paraId="497060F8" w14:textId="6F3DDE73" w:rsidR="00A377A6" w:rsidRPr="00203ECA" w:rsidDel="00056403" w:rsidRDefault="004B6780" w:rsidP="00056403">
      <w:pPr>
        <w:rPr>
          <w:del w:id="192" w:author="Andres Fergadiotti" w:date="2021-10-25T17:23:00Z"/>
        </w:rPr>
      </w:pPr>
      <w:r w:rsidRPr="00203ECA">
        <w:t xml:space="preserve">This measure is applicable </w:t>
      </w:r>
      <w:r w:rsidR="00273571" w:rsidRPr="00203ECA">
        <w:t>in</w:t>
      </w:r>
      <w:r w:rsidRPr="00203ECA">
        <w:t xml:space="preserve"> </w:t>
      </w:r>
      <w:r w:rsidR="00890F77" w:rsidRPr="00203ECA">
        <w:t>all</w:t>
      </w:r>
      <w:r w:rsidRPr="00203ECA">
        <w:t xml:space="preserve"> California </w:t>
      </w:r>
      <w:r w:rsidR="00933A66">
        <w:t>C</w:t>
      </w:r>
      <w:r w:rsidRPr="00203ECA">
        <w:t xml:space="preserve">limate </w:t>
      </w:r>
      <w:r w:rsidR="00933A66">
        <w:t>Z</w:t>
      </w:r>
      <w:r w:rsidRPr="00203ECA">
        <w:t>ones</w:t>
      </w:r>
      <w:r w:rsidR="0092028B">
        <w:t xml:space="preserve"> with allowable measure savings claims as reported in </w:t>
      </w:r>
      <w:r w:rsidR="006770C7">
        <w:t xml:space="preserve">corresponding </w:t>
      </w:r>
      <w:r w:rsidR="0092028B">
        <w:t>energy savings tables.  For some Climate Zones</w:t>
      </w:r>
      <w:r w:rsidR="00DE1B6F">
        <w:t xml:space="preserve"> and building type combinations  </w:t>
      </w:r>
      <w:r w:rsidR="003336D9">
        <w:t>the</w:t>
      </w:r>
      <w:ins w:id="193" w:author="Andres Fergadiotti" w:date="2021-10-25T17:21:00Z">
        <w:r w:rsidR="00056403">
          <w:t xml:space="preserve"> </w:t>
        </w:r>
      </w:ins>
      <w:ins w:id="194" w:author="Andres Fergadiotti" w:date="2021-10-25T17:22:00Z">
        <w:r w:rsidR="00056403">
          <w:t xml:space="preserve">energy use is increased </w:t>
        </w:r>
      </w:ins>
      <w:ins w:id="195" w:author="Andres Fergadiotti" w:date="2021-10-26T07:41:00Z">
        <w:r w:rsidR="008F76B2">
          <w:t>and/</w:t>
        </w:r>
      </w:ins>
      <w:ins w:id="196" w:author="Andres Fergadiotti" w:date="2021-10-25T17:22:00Z">
        <w:r w:rsidR="00056403">
          <w:t xml:space="preserve">or there are no energy savings </w:t>
        </w:r>
      </w:ins>
      <w:ins w:id="197" w:author="Andres Fergadiotti" w:date="2021-10-26T07:25:00Z">
        <w:r w:rsidR="001B231A">
          <w:t>attributed to</w:t>
        </w:r>
      </w:ins>
      <w:ins w:id="198" w:author="Andres Fergadiotti" w:date="2021-10-25T17:22:00Z">
        <w:r w:rsidR="00056403">
          <w:t xml:space="preserve"> the measure</w:t>
        </w:r>
      </w:ins>
      <w:ins w:id="199" w:author="Andres Fergadiotti" w:date="2021-10-26T07:26:00Z">
        <w:r w:rsidR="00F026B2">
          <w:t>.</w:t>
        </w:r>
      </w:ins>
      <w:del w:id="200" w:author="Andres Fergadiotti" w:date="2021-10-25T17:22:00Z">
        <w:r w:rsidR="003336D9" w:rsidDel="00056403">
          <w:delText xml:space="preserve"> measure</w:delText>
        </w:r>
        <w:r w:rsidR="006770C7" w:rsidDel="00056403">
          <w:delText xml:space="preserve"> is not expected to realize energy savings when </w:delText>
        </w:r>
        <w:commentRangeStart w:id="201"/>
        <w:commentRangeStart w:id="202"/>
        <w:r w:rsidR="006770C7" w:rsidDel="00056403">
          <w:delText xml:space="preserve">controlling </w:delText>
        </w:r>
        <w:r w:rsidR="0092028B" w:rsidDel="00056403">
          <w:delText xml:space="preserve">cooling and/or heating </w:delText>
        </w:r>
        <w:r w:rsidR="006770C7" w:rsidDel="00056403">
          <w:delText xml:space="preserve">operating </w:delText>
        </w:r>
        <w:r w:rsidR="0092028B" w:rsidDel="00056403">
          <w:delText>mode</w:delText>
        </w:r>
        <w:r w:rsidR="00493F6D" w:rsidDel="00056403">
          <w:delText xml:space="preserve"> and/or energy consumption on controlled equipment is expected to increase in the measure case.</w:delText>
        </w:r>
      </w:del>
      <w:ins w:id="203" w:author="Andres Fergadiotti" w:date="2021-10-26T07:26:00Z">
        <w:r w:rsidR="00C207E8">
          <w:t xml:space="preserve"> </w:t>
        </w:r>
      </w:ins>
      <w:del w:id="204" w:author="Andres Fergadiotti" w:date="2021-10-26T07:26:00Z">
        <w:r w:rsidR="00493F6D" w:rsidDel="00C207E8">
          <w:delText xml:space="preserve">  </w:delText>
        </w:r>
      </w:del>
      <w:r w:rsidR="00493F6D">
        <w:t xml:space="preserve">For these cases, measure savings are zero out.  </w:t>
      </w:r>
      <w:commentRangeEnd w:id="201"/>
      <w:r w:rsidR="00DF473D">
        <w:rPr>
          <w:rStyle w:val="CommentReference"/>
        </w:rPr>
        <w:commentReference w:id="201"/>
      </w:r>
      <w:commentRangeEnd w:id="202"/>
      <w:r w:rsidR="00056403">
        <w:rPr>
          <w:rStyle w:val="CommentReference"/>
        </w:rPr>
        <w:commentReference w:id="202"/>
      </w:r>
    </w:p>
    <w:p w14:paraId="136D3AB0" w14:textId="77777777" w:rsidR="00056403" w:rsidRPr="00203ECA" w:rsidRDefault="00056403" w:rsidP="004B06E3"/>
    <w:p w14:paraId="47630D60" w14:textId="77777777" w:rsidR="007D230B" w:rsidRPr="00203ECA" w:rsidRDefault="007D230B" w:rsidP="008F7149">
      <w:pPr>
        <w:pStyle w:val="eTRMHeading3"/>
      </w:pPr>
      <w:bookmarkStart w:id="205" w:name="_Toc486490853"/>
      <w:bookmarkStart w:id="206" w:name="_Toc486580924"/>
      <w:bookmarkStart w:id="207" w:name="_Toc88472699"/>
      <w:r w:rsidRPr="00203ECA">
        <w:t>Program Exclusions</w:t>
      </w:r>
      <w:bookmarkEnd w:id="205"/>
      <w:bookmarkEnd w:id="206"/>
      <w:bookmarkEnd w:id="207"/>
      <w:r w:rsidRPr="00203ECA">
        <w:t xml:space="preserve"> </w:t>
      </w:r>
    </w:p>
    <w:p w14:paraId="61B25EFF" w14:textId="5F25D5F4" w:rsidR="00D41B79" w:rsidRPr="00203ECA" w:rsidRDefault="00A1777B" w:rsidP="004B06E3">
      <w:r>
        <w:t xml:space="preserve">Per </w:t>
      </w:r>
      <w:del w:id="208" w:author="Biermayer, Peter" w:date="2021-10-22T12:36:00Z">
        <w:r w:rsidR="00F03434" w:rsidDel="009A372E">
          <w:delText xml:space="preserve"> </w:delText>
        </w:r>
      </w:del>
      <w:r w:rsidR="00F03434">
        <w:rPr>
          <w:bCs/>
        </w:rPr>
        <w:t>Program Year 2019 Impact Evaluati</w:t>
      </w:r>
      <w:r w:rsidR="00170BC7">
        <w:rPr>
          <w:bCs/>
        </w:rPr>
        <w:t>on</w:t>
      </w:r>
      <w:r w:rsidR="00F03434">
        <w:rPr>
          <w:rStyle w:val="FootnoteReference"/>
        </w:rPr>
        <w:footnoteReference w:id="6"/>
      </w:r>
      <w:r w:rsidR="00170BC7">
        <w:t xml:space="preserve"> guidance, </w:t>
      </w:r>
      <w:r w:rsidR="00F03434">
        <w:t xml:space="preserve">Direct Install projects </w:t>
      </w:r>
      <w:r w:rsidR="00170BC7">
        <w:t xml:space="preserve">already equipped with </w:t>
      </w:r>
      <w:r w:rsidR="00F03434">
        <w:t>smart thermostat</w:t>
      </w:r>
      <w:r w:rsidR="00170BC7">
        <w:t xml:space="preserve"> technology </w:t>
      </w:r>
      <w:r w:rsidR="007C5490">
        <w:t>and/or including the installation of smart thermostat technology</w:t>
      </w:r>
      <w:r w:rsidR="009A7A9B">
        <w:t xml:space="preserve"> </w:t>
      </w:r>
      <w:r w:rsidR="00F03434">
        <w:t>shall not</w:t>
      </w:r>
      <w:r w:rsidR="00961780">
        <w:t xml:space="preserve"> </w:t>
      </w:r>
      <w:r w:rsidR="00F03434">
        <w:t xml:space="preserve">be bundled </w:t>
      </w:r>
      <w:r w:rsidR="00961780">
        <w:t xml:space="preserve">with (or include the installation of) </w:t>
      </w:r>
      <w:r w:rsidR="00F03434">
        <w:t>fan control</w:t>
      </w:r>
      <w:r w:rsidR="00961780">
        <w:t xml:space="preserve"> technology</w:t>
      </w:r>
      <w:r w:rsidR="00170BC7">
        <w:t xml:space="preserve"> to avoid </w:t>
      </w:r>
      <w:r w:rsidR="00A122F8">
        <w:t xml:space="preserve">potential </w:t>
      </w:r>
      <w:r w:rsidR="00170BC7">
        <w:t xml:space="preserve">double counting </w:t>
      </w:r>
      <w:r w:rsidR="00A122F8">
        <w:t xml:space="preserve">of </w:t>
      </w:r>
      <w:r w:rsidR="00170BC7">
        <w:t xml:space="preserve">energy savings </w:t>
      </w:r>
      <w:r w:rsidR="00AD6BBA">
        <w:t>attributions</w:t>
      </w:r>
      <w:r w:rsidR="00170BC7">
        <w:t xml:space="preserve"> from both </w:t>
      </w:r>
      <w:commentRangeStart w:id="209"/>
      <w:commentRangeStart w:id="210"/>
      <w:r w:rsidR="00170BC7">
        <w:t>technologies</w:t>
      </w:r>
      <w:commentRangeEnd w:id="209"/>
      <w:r w:rsidR="009A372E">
        <w:rPr>
          <w:rStyle w:val="CommentReference"/>
        </w:rPr>
        <w:commentReference w:id="209"/>
      </w:r>
      <w:commentRangeEnd w:id="210"/>
      <w:r w:rsidR="009B1636">
        <w:rPr>
          <w:rStyle w:val="CommentReference"/>
        </w:rPr>
        <w:commentReference w:id="210"/>
      </w:r>
      <w:r w:rsidR="00961780">
        <w:t>.</w:t>
      </w:r>
      <w:r w:rsidR="0048456C">
        <w:t xml:space="preserve">  Referenced Program Exclusion is expected to be re-evaluated </w:t>
      </w:r>
      <w:r w:rsidR="008030F6">
        <w:t xml:space="preserve">with future Impact Evaluations </w:t>
      </w:r>
      <w:r w:rsidR="00AD6BBA">
        <w:t xml:space="preserve">including </w:t>
      </w:r>
      <w:r w:rsidR="008030F6">
        <w:t>savings attributions for bundled measures</w:t>
      </w:r>
      <w:r w:rsidR="00F37708">
        <w:t xml:space="preserve">. </w:t>
      </w:r>
      <w:r w:rsidR="00961780">
        <w:t xml:space="preserve"> </w:t>
      </w:r>
    </w:p>
    <w:p w14:paraId="655E299F" w14:textId="38C42BE8" w:rsidR="007D230B" w:rsidRPr="00203ECA" w:rsidRDefault="007D230B" w:rsidP="008F7149">
      <w:pPr>
        <w:pStyle w:val="eTRMHeading3"/>
      </w:pPr>
      <w:bookmarkStart w:id="211" w:name="_Toc486490854"/>
      <w:bookmarkStart w:id="212" w:name="_Toc486580925"/>
      <w:bookmarkStart w:id="213" w:name="_Toc88472700"/>
      <w:r w:rsidRPr="00203ECA">
        <w:t>Data Collection Requirements</w:t>
      </w:r>
      <w:bookmarkEnd w:id="211"/>
      <w:bookmarkEnd w:id="212"/>
      <w:bookmarkEnd w:id="213"/>
      <w:r w:rsidRPr="00203ECA">
        <w:t xml:space="preserve"> </w:t>
      </w:r>
    </w:p>
    <w:p w14:paraId="26F6BEA8" w14:textId="77777777" w:rsidR="00FF4398" w:rsidRDefault="00FF4398" w:rsidP="00FF4398">
      <w:pPr>
        <w:keepNext/>
        <w:spacing w:before="0" w:after="0" w:line="0" w:lineRule="atLeast"/>
        <w:rPr>
          <w:rFonts w:cs="Calibri Light"/>
        </w:rPr>
      </w:pPr>
      <w:r>
        <w:rPr>
          <w:rFonts w:cs="Calibri Light"/>
        </w:rPr>
        <w:t xml:space="preserve">To ensure that the appropriate incentives, savings, and cost effectiveness values are applied for each application, the following data must be collected for each application: </w:t>
      </w:r>
    </w:p>
    <w:p w14:paraId="3AE76D97" w14:textId="7541DB9D" w:rsidR="006E6E30" w:rsidRDefault="00FF4398" w:rsidP="002E7978">
      <w:pPr>
        <w:pStyle w:val="ListParagraph"/>
        <w:numPr>
          <w:ilvl w:val="0"/>
          <w:numId w:val="8"/>
        </w:numPr>
      </w:pPr>
      <w:r>
        <w:t xml:space="preserve">Building type. For upstream or midstream measures where building type is not available, the “Res” sector shall be assumed. </w:t>
      </w:r>
    </w:p>
    <w:p w14:paraId="3EACD8C1" w14:textId="3C6E7CD6" w:rsidR="00FF4398" w:rsidRDefault="00FF4398" w:rsidP="002E7978">
      <w:pPr>
        <w:pStyle w:val="ListParagraph"/>
        <w:numPr>
          <w:ilvl w:val="0"/>
          <w:numId w:val="8"/>
        </w:numPr>
      </w:pPr>
      <w:r>
        <w:t>Climate Zone</w:t>
      </w:r>
    </w:p>
    <w:p w14:paraId="78A0194A" w14:textId="77777777" w:rsidR="00FF4398" w:rsidRDefault="00FF4398" w:rsidP="002E7978">
      <w:pPr>
        <w:pStyle w:val="ListParagraph"/>
        <w:numPr>
          <w:ilvl w:val="0"/>
          <w:numId w:val="8"/>
        </w:numPr>
      </w:pPr>
      <w:r>
        <w:t>Existing HVAC system type</w:t>
      </w:r>
    </w:p>
    <w:p w14:paraId="3A99C1F9" w14:textId="49E64AB3" w:rsidR="00FF4398" w:rsidRDefault="00A434D5" w:rsidP="00FF4398">
      <w:r>
        <w:t>In any event, d</w:t>
      </w:r>
      <w:r w:rsidR="00FF4398">
        <w:t xml:space="preserve">ata collection shall </w:t>
      </w:r>
      <w:r w:rsidR="00F60A1B">
        <w:t xml:space="preserve">fully </w:t>
      </w:r>
      <w:r w:rsidR="00FF4398">
        <w:t xml:space="preserve">comply with both general and device eligibility requirements. </w:t>
      </w:r>
    </w:p>
    <w:p w14:paraId="68D4CBDE" w14:textId="77777777" w:rsidR="00F60A1B" w:rsidRDefault="00F60A1B" w:rsidP="00590ED1"/>
    <w:p w14:paraId="51BDA552" w14:textId="5EF49A6A" w:rsidR="006E6E30" w:rsidRPr="00C17038" w:rsidRDefault="006E6E30" w:rsidP="00590ED1">
      <w:pPr>
        <w:rPr>
          <w:b/>
          <w:bCs/>
        </w:rPr>
      </w:pPr>
      <w:r w:rsidRPr="00C17038">
        <w:rPr>
          <w:b/>
          <w:bCs/>
        </w:rPr>
        <w:lastRenderedPageBreak/>
        <w:t>Data Collection Recommendations</w:t>
      </w:r>
    </w:p>
    <w:p w14:paraId="1CF2912B" w14:textId="320EE133" w:rsidR="00E710DA" w:rsidRPr="00750659" w:rsidRDefault="00E710DA" w:rsidP="00590ED1">
      <w:r w:rsidRPr="00750659">
        <w:t>Per Impact Evaluation</w:t>
      </w:r>
      <w:r w:rsidR="009C2665">
        <w:rPr>
          <w:rStyle w:val="FootnoteReference"/>
        </w:rPr>
        <w:footnoteReference w:id="7"/>
      </w:r>
      <w:r w:rsidR="009C2665">
        <w:t xml:space="preserve"> </w:t>
      </w:r>
      <w:r w:rsidRPr="00750659">
        <w:t>recommendation</w:t>
      </w:r>
      <w:r>
        <w:t>s</w:t>
      </w:r>
      <w:r w:rsidR="00E87183">
        <w:t xml:space="preserve">, </w:t>
      </w:r>
      <w:r w:rsidR="00E87183" w:rsidRPr="000E674F">
        <w:t xml:space="preserve">data collection requirements and </w:t>
      </w:r>
      <w:r w:rsidR="00E87183" w:rsidRPr="00C72E1D">
        <w:t>additional work</w:t>
      </w:r>
      <w:r w:rsidR="002112B3" w:rsidRPr="00C72E1D">
        <w:t xml:space="preserve"> (to be supported by program evaluators)</w:t>
      </w:r>
      <w:r w:rsidR="00E87183" w:rsidRPr="00C72E1D">
        <w:t xml:space="preserve"> specifically</w:t>
      </w:r>
      <w:r w:rsidR="00106418" w:rsidRPr="00C72E1D">
        <w:t xml:space="preserve"> needed</w:t>
      </w:r>
      <w:r w:rsidR="00E87183" w:rsidRPr="00C72E1D">
        <w:t xml:space="preserve"> to support further validation and/or evaluation of energy savings estimates from 2018PY Impact Evaluation, to include the following:</w:t>
      </w:r>
      <w:r w:rsidR="00E87183">
        <w:t xml:space="preserve"> </w:t>
      </w:r>
    </w:p>
    <w:p w14:paraId="3CCC98BF" w14:textId="70C8A68D" w:rsidR="00E710DA" w:rsidRPr="00750659" w:rsidRDefault="0048035F" w:rsidP="00750659">
      <w:pPr>
        <w:pStyle w:val="eTRMBulletedText"/>
      </w:pPr>
      <w:r>
        <w:t>“</w:t>
      </w:r>
      <w:r w:rsidR="00E710DA" w:rsidRPr="00750659">
        <w:t xml:space="preserve">Differences between participants and comparison group </w:t>
      </w:r>
      <w:r w:rsidR="00E710DA" w:rsidRPr="001C7348">
        <w:t>households point to potential increasing trends in</w:t>
      </w:r>
      <w:r w:rsidR="00E710DA" w:rsidRPr="00750659">
        <w:t xml:space="preserve"> </w:t>
      </w:r>
      <w:r w:rsidR="00E710DA" w:rsidRPr="001C7348">
        <w:t>baseload consumption among participants. The next</w:t>
      </w:r>
      <w:r w:rsidR="00E710DA" w:rsidRPr="00750659">
        <w:t xml:space="preserve"> </w:t>
      </w:r>
      <w:r w:rsidR="00E710DA" w:rsidRPr="001C7348">
        <w:t>smart thermostat evaluation should develop methods</w:t>
      </w:r>
      <w:r w:rsidR="00E710DA" w:rsidRPr="00750659">
        <w:t xml:space="preserve"> </w:t>
      </w:r>
      <w:r w:rsidR="00E710DA" w:rsidRPr="001C7348">
        <w:t>for identifying trends in pre-installation consumption to</w:t>
      </w:r>
      <w:r w:rsidR="00E710DA" w:rsidRPr="00750659">
        <w:t xml:space="preserve"> </w:t>
      </w:r>
      <w:r w:rsidR="00E710DA" w:rsidRPr="001C7348">
        <w:t>include as a</w:t>
      </w:r>
      <w:r w:rsidR="00E710DA" w:rsidRPr="00750659">
        <w:t xml:space="preserve"> </w:t>
      </w:r>
      <w:r w:rsidR="00E710DA" w:rsidRPr="001C7348">
        <w:t>matching variable as well as other methods</w:t>
      </w:r>
      <w:r w:rsidR="00E710DA" w:rsidRPr="00750659">
        <w:t xml:space="preserve"> </w:t>
      </w:r>
      <w:r w:rsidR="00E710DA" w:rsidRPr="001C7348">
        <w:t>to minimize potential self-selection bias. Also, the</w:t>
      </w:r>
      <w:r w:rsidR="00E710DA" w:rsidRPr="00750659">
        <w:t xml:space="preserve"> </w:t>
      </w:r>
      <w:r w:rsidR="00E710DA" w:rsidRPr="001C7348">
        <w:t>current study could be updated with a new matched</w:t>
      </w:r>
      <w:r w:rsidR="00E710DA" w:rsidRPr="00750659">
        <w:t xml:space="preserve"> </w:t>
      </w:r>
      <w:r w:rsidR="00E710DA" w:rsidRPr="001C7348">
        <w:t>comparison group comprised of more recent program</w:t>
      </w:r>
      <w:r w:rsidR="00E710DA" w:rsidRPr="00750659">
        <w:t xml:space="preserve"> </w:t>
      </w:r>
      <w:r w:rsidR="00E710DA" w:rsidRPr="001C7348">
        <w:t>participants who were not available for inclusion within</w:t>
      </w:r>
      <w:r w:rsidR="00E710DA" w:rsidRPr="00750659">
        <w:t xml:space="preserve"> </w:t>
      </w:r>
      <w:r w:rsidR="00E710DA" w:rsidRPr="001C7348">
        <w:t>the existing evaluation timeframe.</w:t>
      </w:r>
      <w:r>
        <w:t>”</w:t>
      </w:r>
    </w:p>
    <w:p w14:paraId="2E84B1A8" w14:textId="1A56E945" w:rsidR="00E710DA" w:rsidRPr="00750659" w:rsidRDefault="0048035F" w:rsidP="00750659">
      <w:pPr>
        <w:pStyle w:val="eTRMBulletedText"/>
      </w:pPr>
      <w:r>
        <w:t>“</w:t>
      </w:r>
      <w:r w:rsidR="00E710DA" w:rsidRPr="00750659">
        <w:t>Load savings shapes are an increasingly important outcome from studies like this and further research is required to move them beyond the exploratory phase. This should not only provide better estimates of load savings shapes but also provide annual savings estimates that are consistent with those obtained from other methods, including the two-stage method used in this study.</w:t>
      </w:r>
      <w:r>
        <w:t>”</w:t>
      </w:r>
    </w:p>
    <w:p w14:paraId="2FF16269" w14:textId="77777777" w:rsidR="00227FB9" w:rsidRPr="00203ECA" w:rsidRDefault="00227FB9" w:rsidP="00590ED1"/>
    <w:p w14:paraId="4891FCAB" w14:textId="77777777" w:rsidR="007D230B" w:rsidRPr="00203ECA" w:rsidRDefault="007D230B" w:rsidP="008F7149">
      <w:pPr>
        <w:pStyle w:val="eTRMHeading3"/>
      </w:pPr>
      <w:bookmarkStart w:id="214" w:name="_Toc486490855"/>
      <w:bookmarkStart w:id="215" w:name="_Toc486580926"/>
      <w:bookmarkStart w:id="216" w:name="_Toc88472701"/>
      <w:r w:rsidRPr="00203ECA">
        <w:t>Use Category</w:t>
      </w:r>
      <w:bookmarkEnd w:id="214"/>
      <w:bookmarkEnd w:id="215"/>
      <w:bookmarkEnd w:id="216"/>
    </w:p>
    <w:p w14:paraId="13382FF9" w14:textId="4E0C7A23" w:rsidR="004142EF" w:rsidRPr="00203ECA" w:rsidRDefault="00273571" w:rsidP="004B06E3">
      <w:r w:rsidRPr="00203ECA">
        <w:t>HVAC</w:t>
      </w:r>
    </w:p>
    <w:p w14:paraId="4FB6641C" w14:textId="77777777" w:rsidR="00273571" w:rsidRPr="00203ECA" w:rsidRDefault="00273571" w:rsidP="004B06E3"/>
    <w:p w14:paraId="0B69DAED" w14:textId="6A5E0ED7" w:rsidR="00106418" w:rsidRDefault="007D230B" w:rsidP="008F7149">
      <w:pPr>
        <w:pStyle w:val="eTRMHeading3"/>
      </w:pPr>
      <w:bookmarkStart w:id="217" w:name="_Toc486490857"/>
      <w:bookmarkStart w:id="218" w:name="_Toc486580928"/>
      <w:bookmarkStart w:id="219" w:name="_Toc88472702"/>
      <w:bookmarkStart w:id="220" w:name="_Hlk14956134"/>
      <w:r w:rsidRPr="00203ECA">
        <w:t>Electric Savings</w:t>
      </w:r>
      <w:r w:rsidR="00245AFF" w:rsidRPr="00203ECA">
        <w:t xml:space="preserve"> (</w:t>
      </w:r>
      <w:r w:rsidR="00E14349" w:rsidRPr="00203ECA">
        <w:t>k</w:t>
      </w:r>
      <w:r w:rsidR="00245AFF" w:rsidRPr="00203ECA">
        <w:t>Wh)</w:t>
      </w:r>
      <w:bookmarkEnd w:id="217"/>
      <w:bookmarkEnd w:id="218"/>
      <w:bookmarkEnd w:id="219"/>
      <w:del w:id="221" w:author="Danryd, Anders R" w:date="2021-11-17T10:54:00Z">
        <w:r w:rsidR="00EB7D13" w:rsidDel="00266181">
          <w:delText xml:space="preserve"> and Gas Savings (therms)</w:delText>
        </w:r>
      </w:del>
    </w:p>
    <w:p w14:paraId="284ED675" w14:textId="34E7417A" w:rsidR="00431708" w:rsidRDefault="00227FB9" w:rsidP="00E225C2">
      <w:r>
        <w:t>The electric unit energy savings (UES) represents</w:t>
      </w:r>
      <w:r w:rsidR="00E225C2" w:rsidRPr="00F861D5">
        <w:t xml:space="preserve"> the per household heating and cooling energy savings from the installation of a </w:t>
      </w:r>
      <w:r w:rsidR="00E225C2" w:rsidRPr="0081735D">
        <w:rPr>
          <w:bCs/>
        </w:rPr>
        <w:t>smart thermostat</w:t>
      </w:r>
      <w:r w:rsidR="00E225C2" w:rsidRPr="00F861D5">
        <w:rPr>
          <w:b/>
        </w:rPr>
        <w:t xml:space="preserve"> </w:t>
      </w:r>
      <w:r w:rsidR="00E225C2" w:rsidRPr="00F861D5">
        <w:t xml:space="preserve">in </w:t>
      </w:r>
      <w:r>
        <w:t>a</w:t>
      </w:r>
      <w:r w:rsidR="00E225C2" w:rsidRPr="00F861D5">
        <w:t xml:space="preserve"> residential household. The calculation approach account</w:t>
      </w:r>
      <w:r>
        <w:t>s for</w:t>
      </w:r>
      <w:r w:rsidR="00E225C2" w:rsidRPr="00F861D5">
        <w:t xml:space="preserve"> the range in energy savings change associated with smart thermostat installations, and the results represent an average savings of the technology by the climate zone </w:t>
      </w:r>
      <w:r w:rsidR="00DF6F1F">
        <w:t xml:space="preserve">and building type </w:t>
      </w:r>
      <w:r w:rsidR="00E225C2" w:rsidRPr="00F861D5">
        <w:t>based on referenced studies and/or evaluations.</w:t>
      </w:r>
    </w:p>
    <w:p w14:paraId="2216156C" w14:textId="77777777" w:rsidR="00C1174B" w:rsidRPr="00C1174B" w:rsidRDefault="00C1174B"/>
    <w:bookmarkEnd w:id="220"/>
    <w:p w14:paraId="4F68C184" w14:textId="3AF46F93" w:rsidR="00465926" w:rsidRPr="00C17038" w:rsidRDefault="00465926" w:rsidP="00465926">
      <w:pPr>
        <w:pStyle w:val="eTRMHeading4"/>
        <w:rPr>
          <w:b/>
          <w:bCs/>
        </w:rPr>
      </w:pPr>
      <w:r w:rsidRPr="00C17038">
        <w:rPr>
          <w:b/>
          <w:bCs/>
        </w:rPr>
        <w:t xml:space="preserve">Direct Install </w:t>
      </w:r>
      <w:r w:rsidR="004819A9" w:rsidRPr="00C17038">
        <w:rPr>
          <w:b/>
          <w:bCs/>
        </w:rPr>
        <w:t>P</w:t>
      </w:r>
      <w:r w:rsidRPr="00C17038">
        <w:rPr>
          <w:b/>
          <w:bCs/>
        </w:rPr>
        <w:t>rograms</w:t>
      </w:r>
    </w:p>
    <w:p w14:paraId="00D4B428" w14:textId="1D542045" w:rsidR="00465926" w:rsidRDefault="00465926" w:rsidP="00465926">
      <w:pPr>
        <w:spacing w:before="0" w:after="0"/>
      </w:pPr>
      <w:r w:rsidRPr="002C2D46">
        <w:t xml:space="preserve">Measure savings </w:t>
      </w:r>
      <w:r>
        <w:t xml:space="preserve">for </w:t>
      </w:r>
      <w:r w:rsidR="004819A9">
        <w:t>Direct Install</w:t>
      </w:r>
      <w:r>
        <w:t xml:space="preserve"> programs </w:t>
      </w:r>
      <w:r w:rsidRPr="002C2D46">
        <w:t>are</w:t>
      </w:r>
      <w:r w:rsidR="006E6E30">
        <w:t xml:space="preserve"> based on </w:t>
      </w:r>
      <w:r>
        <w:t>the</w:t>
      </w:r>
      <w:r w:rsidR="006E6E30">
        <w:t xml:space="preserve"> PY2019 Impact Evaluation Study</w:t>
      </w:r>
      <w:r w:rsidRPr="002C2D46">
        <w:t>.</w:t>
      </w:r>
      <w:r>
        <w:rPr>
          <w:rStyle w:val="FootnoteReference"/>
        </w:rPr>
        <w:footnoteReference w:id="8"/>
      </w:r>
      <w:r w:rsidRPr="002C2D46">
        <w:t xml:space="preserve"> </w:t>
      </w:r>
      <w:r>
        <w:t xml:space="preserve"> Since Direct Install customers generally have multiple measures installed at once, the analysis used site energy consumption analysis and engineering estimates based on previous impact evaluations and the 2019 Residential Appliance Saturation Study (RASS 2019)</w:t>
      </w:r>
      <w:r>
        <w:rPr>
          <w:rStyle w:val="FootnoteReference"/>
        </w:rPr>
        <w:footnoteReference w:id="9"/>
      </w:r>
      <w:r>
        <w:t xml:space="preserve"> to disaggregate smart thermostat savings from </w:t>
      </w:r>
      <w:r>
        <w:lastRenderedPageBreak/>
        <w:t xml:space="preserve">whole building savings. To avoid potential data disruptions due to COVID-19, the analysis used 2018 program participant data. </w:t>
      </w:r>
    </w:p>
    <w:p w14:paraId="7B1015C7" w14:textId="77777777" w:rsidR="00465926" w:rsidRDefault="00465926" w:rsidP="00465926">
      <w:pPr>
        <w:spacing w:before="0" w:after="0"/>
      </w:pPr>
    </w:p>
    <w:p w14:paraId="33207CCA" w14:textId="08F4D580" w:rsidR="00465926" w:rsidRDefault="00F565B9" w:rsidP="00465926">
      <w:pPr>
        <w:spacing w:before="0" w:after="0"/>
      </w:pPr>
      <w:r>
        <w:t>S</w:t>
      </w:r>
      <w:r w:rsidR="00465926">
        <w:t>avings</w:t>
      </w:r>
      <w:r w:rsidR="00170BC7">
        <w:t xml:space="preserve"> estimates</w:t>
      </w:r>
      <w:r w:rsidR="00465926">
        <w:t xml:space="preserve"> were </w:t>
      </w:r>
      <w:r>
        <w:t xml:space="preserve">further </w:t>
      </w:r>
      <w:r w:rsidR="00465926">
        <w:t>adjusted based on</w:t>
      </w:r>
      <w:r>
        <w:t xml:space="preserve"> </w:t>
      </w:r>
      <w:r w:rsidR="00465926">
        <w:t xml:space="preserve">analysis </w:t>
      </w:r>
      <w:r>
        <w:t xml:space="preserve">supported </w:t>
      </w:r>
      <w:r w:rsidR="00465926">
        <w:t>by smart thermostat vendors</w:t>
      </w:r>
      <w:r w:rsidR="00F61360">
        <w:t xml:space="preserve"> in collaboration with IOUs</w:t>
      </w:r>
      <w:r w:rsidR="00465926">
        <w:t xml:space="preserve"> and approved by the CPUC in the third quarter of 2021.</w:t>
      </w:r>
      <w:r w:rsidR="00465926">
        <w:rPr>
          <w:rStyle w:val="FootnoteReference"/>
        </w:rPr>
        <w:footnoteReference w:id="10"/>
      </w:r>
      <w:r w:rsidR="00465926">
        <w:t xml:space="preserve"> </w:t>
      </w:r>
      <w:r>
        <w:t xml:space="preserve">Under this analysis, there were </w:t>
      </w:r>
      <w:r w:rsidR="00465926">
        <w:t xml:space="preserve">three </w:t>
      </w:r>
      <w:ins w:id="222" w:author="Andres Fergadiotti" w:date="2021-10-25T17:23:00Z">
        <w:r w:rsidR="00056403">
          <w:t>proposed</w:t>
        </w:r>
      </w:ins>
      <w:commentRangeStart w:id="223"/>
      <w:commentRangeStart w:id="224"/>
      <w:del w:id="225" w:author="Andres Fergadiotti" w:date="2021-10-25T17:23:00Z">
        <w:r w:rsidDel="00056403">
          <w:delText>recommended</w:delText>
        </w:r>
      </w:del>
      <w:commentRangeEnd w:id="223"/>
      <w:r w:rsidR="008C60FB">
        <w:rPr>
          <w:rStyle w:val="CommentReference"/>
        </w:rPr>
        <w:commentReference w:id="223"/>
      </w:r>
      <w:commentRangeEnd w:id="224"/>
      <w:r w:rsidR="00056403">
        <w:rPr>
          <w:rStyle w:val="CommentReference"/>
        </w:rPr>
        <w:commentReference w:id="224"/>
      </w:r>
      <w:r>
        <w:t xml:space="preserve"> </w:t>
      </w:r>
      <w:r w:rsidR="00465926">
        <w:t>update strategies to the savings including</w:t>
      </w:r>
      <w:r>
        <w:t xml:space="preserve">: (a) </w:t>
      </w:r>
      <w:r w:rsidR="00DF6F1F">
        <w:t>the</w:t>
      </w:r>
      <w:r w:rsidR="00465926">
        <w:t xml:space="preserve"> addition of temperature optimization (TO) controls</w:t>
      </w:r>
      <w:r>
        <w:t xml:space="preserve">; (b) </w:t>
      </w:r>
      <w:r w:rsidR="00465926">
        <w:t>adjustment for selection bias, an</w:t>
      </w:r>
      <w:r>
        <w:t xml:space="preserve">d (c) </w:t>
      </w:r>
      <w:r w:rsidR="00465926">
        <w:t xml:space="preserve">unbundling fan control savings. The CPUC approved </w:t>
      </w:r>
      <w:r>
        <w:t xml:space="preserve">the </w:t>
      </w:r>
      <w:r w:rsidR="00465926">
        <w:t xml:space="preserve">proposed TO control and </w:t>
      </w:r>
      <w:r>
        <w:t xml:space="preserve">(with revisions) </w:t>
      </w:r>
      <w:r w:rsidR="00465926">
        <w:t>the unbundled fan control savings</w:t>
      </w:r>
      <w:r w:rsidR="00DF6F1F">
        <w:t xml:space="preserve"> strategies</w:t>
      </w:r>
      <w:r w:rsidR="00465926">
        <w:t>. CPUC provided new approved savings including these two adjustments which are adopted for the Direct Install measures.</w:t>
      </w:r>
      <w:r w:rsidR="00465926">
        <w:rPr>
          <w:rStyle w:val="FootnoteReference"/>
        </w:rPr>
        <w:footnoteReference w:id="11"/>
      </w:r>
      <w:r w:rsidR="00465926">
        <w:t xml:space="preserve"> Additional details of the adjustments are included below. </w:t>
      </w:r>
    </w:p>
    <w:p w14:paraId="00601C64" w14:textId="77777777" w:rsidR="00465926" w:rsidRDefault="00465926" w:rsidP="00465926">
      <w:pPr>
        <w:spacing w:before="0" w:after="0"/>
      </w:pPr>
    </w:p>
    <w:p w14:paraId="022DD4FD" w14:textId="77777777" w:rsidR="00465926" w:rsidRDefault="00465926" w:rsidP="00465926">
      <w:pPr>
        <w:pStyle w:val="eTRMHeading5"/>
      </w:pPr>
      <w:r>
        <w:t>Temperature Optimization Controls</w:t>
      </w:r>
    </w:p>
    <w:p w14:paraId="3350AB47" w14:textId="485548D0" w:rsidR="00465926" w:rsidRDefault="00465926" w:rsidP="00465926">
      <w:pPr>
        <w:spacing w:before="0" w:after="0"/>
      </w:pPr>
      <w:r w:rsidRPr="00234C9B">
        <w:t xml:space="preserve">The smart thermostat market in California has </w:t>
      </w:r>
      <w:r w:rsidR="00DF6F1F">
        <w:t>progressed</w:t>
      </w:r>
      <w:r w:rsidRPr="00234C9B">
        <w:t xml:space="preserve"> since the PY2019 Impact Evaluation treatment period. </w:t>
      </w:r>
      <w:r>
        <w:t xml:space="preserve">Currently, two of </w:t>
      </w:r>
      <w:r w:rsidRPr="00234C9B">
        <w:t xml:space="preserve">largest smart thermostat manufacturers for California efficiency measures offer </w:t>
      </w:r>
      <w:r>
        <w:t>TO</w:t>
      </w:r>
      <w:r w:rsidRPr="00234C9B">
        <w:t xml:space="preserve"> programs at no cost to all customers. These programs result</w:t>
      </w:r>
      <w:r w:rsidR="00F565B9">
        <w:t>ed</w:t>
      </w:r>
      <w:r w:rsidRPr="00234C9B">
        <w:t xml:space="preserve"> in increased energy savings for smart thermostats</w:t>
      </w:r>
      <w:r w:rsidR="00727B95">
        <w:t xml:space="preserve"> (particularly for cooling)</w:t>
      </w:r>
      <w:r w:rsidRPr="00234C9B">
        <w:t xml:space="preserve"> that were not captured in the evaluation because it relied on PY 2018 installations with a 2019 post-period to avoid using data from 2020, due to the pandemic. </w:t>
      </w:r>
      <w:r>
        <w:t>For participating customers, the smart thermostat incrementally relaxes temperature setpoints of the HVAC system by fractions of a degree over time. Using machine learning</w:t>
      </w:r>
      <w:r w:rsidR="00254188">
        <w:t>,</w:t>
      </w:r>
      <w:r>
        <w:t xml:space="preserve"> the thermostats find the optimal temperature setpoints for each customer based on both their thermal comfort and energy saving preferences. These programs are provided annually, so participation in multiple years of results in “stacked” savings as the thermostat further relaxes setpoints in subsequent years. </w:t>
      </w:r>
    </w:p>
    <w:p w14:paraId="38C7A1F1" w14:textId="77777777" w:rsidR="00465926" w:rsidRPr="00234C9B" w:rsidRDefault="00465926" w:rsidP="00465926">
      <w:pPr>
        <w:spacing w:before="0" w:after="0"/>
      </w:pPr>
    </w:p>
    <w:p w14:paraId="5D9C685D" w14:textId="1A38DEE0" w:rsidR="00465926" w:rsidRPr="00234C9B" w:rsidRDefault="00465926" w:rsidP="00465926">
      <w:pPr>
        <w:spacing w:before="0" w:after="0"/>
      </w:pPr>
      <w:r w:rsidRPr="00234C9B">
        <w:t>The adjusted DI Savings reflect 2.36% additional cooling savings</w:t>
      </w:r>
      <w:r w:rsidR="00255346">
        <w:t xml:space="preserve"> (as a function of the annual cooling)</w:t>
      </w:r>
      <w:r w:rsidRPr="00234C9B">
        <w:t xml:space="preserve"> per climate zone, </w:t>
      </w:r>
      <w:ins w:id="226" w:author="Casco, Lake" w:date="2021-11-22T11:34:00Z">
        <w:r w:rsidR="002B0612">
          <w:t xml:space="preserve">is </w:t>
        </w:r>
      </w:ins>
      <w:r w:rsidRPr="00234C9B">
        <w:t xml:space="preserve">based on California-specific participation provided by </w:t>
      </w:r>
      <w:r>
        <w:t>the leading manufacturer</w:t>
      </w:r>
      <w:r w:rsidRPr="00234C9B">
        <w:t>, a previous PG&amp;E Seasonal Savings study</w:t>
      </w:r>
      <w:r w:rsidR="00254188">
        <w:t>,</w:t>
      </w:r>
      <w:r w:rsidRPr="00234C9B">
        <w:rPr>
          <w:vertAlign w:val="superscript"/>
        </w:rPr>
        <w:footnoteReference w:id="12"/>
      </w:r>
      <w:r w:rsidRPr="00234C9B">
        <w:t xml:space="preserve"> prior studies of </w:t>
      </w:r>
      <w:r>
        <w:t>smart thermostat</w:t>
      </w:r>
      <w:r w:rsidRPr="00234C9B">
        <w:t xml:space="preserve"> deployments for SCE and </w:t>
      </w:r>
      <w:r w:rsidR="00F03434">
        <w:t>Marin Clean Energy</w:t>
      </w:r>
      <w:r w:rsidRPr="00234C9B">
        <w:t>, and evaluated persistence of TO savings from out of state IOU programs.</w:t>
      </w:r>
      <w:r w:rsidRPr="00234C9B">
        <w:rPr>
          <w:vertAlign w:val="superscript"/>
        </w:rPr>
        <w:footnoteReference w:id="13"/>
      </w:r>
      <w:r w:rsidRPr="00234C9B">
        <w:t xml:space="preserve"> </w:t>
      </w:r>
      <w:r>
        <w:t xml:space="preserve"> A separate national study for one of the leading manufacturers showed higher opt-in rates for the program resulting in higher savings than assumed in this analysis</w:t>
      </w:r>
      <w:r w:rsidR="00254188">
        <w:t>,</w:t>
      </w:r>
      <w:r w:rsidRPr="00234C9B">
        <w:rPr>
          <w:vertAlign w:val="superscript"/>
        </w:rPr>
        <w:footnoteReference w:id="14"/>
      </w:r>
      <w:r w:rsidRPr="00234C9B">
        <w:t xml:space="preserve"> </w:t>
      </w:r>
      <w:r w:rsidR="00254188">
        <w:t xml:space="preserve">but 2.36% was selected to be </w:t>
      </w:r>
      <w:commentRangeStart w:id="227"/>
      <w:commentRangeStart w:id="228"/>
      <w:r w:rsidR="00254188">
        <w:t>conservative</w:t>
      </w:r>
      <w:commentRangeEnd w:id="227"/>
      <w:r w:rsidR="009A372E">
        <w:rPr>
          <w:rStyle w:val="CommentReference"/>
        </w:rPr>
        <w:commentReference w:id="227"/>
      </w:r>
      <w:commentRangeEnd w:id="228"/>
      <w:r w:rsidR="00B92D1D">
        <w:rPr>
          <w:rStyle w:val="CommentReference"/>
        </w:rPr>
        <w:commentReference w:id="228"/>
      </w:r>
      <w:r w:rsidR="00254188">
        <w:t>.</w:t>
      </w:r>
    </w:p>
    <w:p w14:paraId="545C96CB" w14:textId="77777777" w:rsidR="00465926" w:rsidRDefault="00465926" w:rsidP="00465926">
      <w:pPr>
        <w:spacing w:before="0" w:after="0"/>
      </w:pPr>
    </w:p>
    <w:p w14:paraId="7F11CFDF" w14:textId="6ED2E8CD" w:rsidR="00465926" w:rsidRDefault="00465926" w:rsidP="00465926">
      <w:pPr>
        <w:spacing w:before="0" w:after="0"/>
      </w:pPr>
      <w:r>
        <w:lastRenderedPageBreak/>
        <w:t>The percent cooling savings was applied to the electric cooling load per building type and climate zone from the PY 2019 Impact Evaluation</w:t>
      </w:r>
      <w:r>
        <w:rPr>
          <w:rStyle w:val="FootnoteReference"/>
        </w:rPr>
        <w:footnoteReference w:id="15"/>
      </w:r>
      <w:r>
        <w:t xml:space="preserve"> to find the additional electric energy savings </w:t>
      </w:r>
      <w:r w:rsidR="00F4460B">
        <w:t xml:space="preserve">attributions </w:t>
      </w:r>
      <w:r>
        <w:t xml:space="preserve">for temperature optimization. </w:t>
      </w:r>
      <w:r>
        <w:rPr>
          <w:rStyle w:val="FootnoteReference"/>
        </w:rPr>
        <w:footnoteReference w:id="16"/>
      </w:r>
    </w:p>
    <w:p w14:paraId="69608DF4" w14:textId="77777777" w:rsidR="00465926" w:rsidRDefault="00465926" w:rsidP="00465926">
      <w:pPr>
        <w:spacing w:before="0" w:after="0"/>
      </w:pPr>
    </w:p>
    <w:p w14:paraId="3832B1DE" w14:textId="77777777" w:rsidR="00465926" w:rsidRDefault="00465926" w:rsidP="00465926">
      <w:pPr>
        <w:pStyle w:val="eTRMHeading5"/>
      </w:pPr>
      <w:r>
        <w:t>Unbundled Fan Control Savings</w:t>
      </w:r>
    </w:p>
    <w:p w14:paraId="0BDE5E87" w14:textId="06B0570F" w:rsidR="00465926" w:rsidRDefault="00465926" w:rsidP="00465926">
      <w:r w:rsidRPr="007E21B2">
        <w:t xml:space="preserve">Smart thermostats from </w:t>
      </w:r>
      <w:r>
        <w:t>leading manufacturers</w:t>
      </w:r>
      <w:r w:rsidRPr="007E21B2">
        <w:t xml:space="preserve"> include features that run the HVAC fan at the end of cooling cycles to harvest sensible and evaporative cooling from the evaporator.  Some </w:t>
      </w:r>
      <w:r>
        <w:t>Direct Install</w:t>
      </w:r>
      <w:r w:rsidRPr="007E21B2">
        <w:t xml:space="preserve"> programs also include a fan</w:t>
      </w:r>
      <w:r w:rsidR="00F565B9">
        <w:t xml:space="preserve"> control</w:t>
      </w:r>
      <w:r w:rsidRPr="007E21B2">
        <w:t xml:space="preserve"> device as a separate measure that </w:t>
      </w:r>
      <w:ins w:id="229" w:author="Andres Fergadiotti" w:date="2021-10-25T19:48:00Z">
        <w:r w:rsidR="009B1636">
          <w:t>includes</w:t>
        </w:r>
      </w:ins>
      <w:del w:id="230" w:author="Andres Fergadiotti" w:date="2021-10-25T19:48:00Z">
        <w:r w:rsidRPr="007E21B2" w:rsidDel="009B1636">
          <w:delText>provides</w:delText>
        </w:r>
      </w:del>
      <w:r w:rsidRPr="007E21B2">
        <w:t xml:space="preserve"> </w:t>
      </w:r>
      <w:del w:id="231" w:author="Andres Fergadiotti" w:date="2021-10-25T17:24:00Z">
        <w:r w:rsidRPr="007E21B2" w:rsidDel="008A5395">
          <w:delText>the</w:delText>
        </w:r>
      </w:del>
      <w:r w:rsidRPr="007E21B2">
        <w:t xml:space="preserve"> </w:t>
      </w:r>
      <w:commentRangeStart w:id="232"/>
      <w:commentRangeStart w:id="233"/>
      <w:r w:rsidRPr="007E21B2">
        <w:t>s</w:t>
      </w:r>
      <w:ins w:id="234" w:author="Andres Fergadiotti" w:date="2021-10-25T17:24:00Z">
        <w:r w:rsidR="008A5395">
          <w:t>imilar</w:t>
        </w:r>
      </w:ins>
      <w:del w:id="235" w:author="Andres Fergadiotti" w:date="2021-10-25T17:24:00Z">
        <w:r w:rsidRPr="007E21B2" w:rsidDel="008A5395">
          <w:delText>ame</w:delText>
        </w:r>
      </w:del>
      <w:commentRangeEnd w:id="232"/>
      <w:r w:rsidR="009A372E">
        <w:rPr>
          <w:rStyle w:val="CommentReference"/>
        </w:rPr>
        <w:commentReference w:id="232"/>
      </w:r>
      <w:commentRangeEnd w:id="233"/>
      <w:r w:rsidR="00B105F3">
        <w:rPr>
          <w:rStyle w:val="CommentReference"/>
        </w:rPr>
        <w:commentReference w:id="233"/>
      </w:r>
      <w:r w:rsidRPr="007E21B2">
        <w:t xml:space="preserve"> </w:t>
      </w:r>
      <w:ins w:id="236" w:author="Andres Fergadiotti" w:date="2021-10-25T19:40:00Z">
        <w:r w:rsidR="00B105F3">
          <w:t xml:space="preserve">fan control </w:t>
        </w:r>
      </w:ins>
      <w:r w:rsidRPr="007E21B2">
        <w:t>feature (with similar savings attributions).  For participants that received multiple (bundled) measures, the</w:t>
      </w:r>
      <w:r>
        <w:t xml:space="preserve"> Impact</w:t>
      </w:r>
      <w:r w:rsidRPr="007E21B2">
        <w:t xml:space="preserve"> </w:t>
      </w:r>
      <w:r>
        <w:t>E</w:t>
      </w:r>
      <w:r w:rsidRPr="007E21B2">
        <w:t xml:space="preserve">valuation report allocated whole home kWh savings </w:t>
      </w:r>
      <w:r w:rsidR="001D4B37">
        <w:t xml:space="preserve">proportionally </w:t>
      </w:r>
      <w:r w:rsidRPr="007E21B2">
        <w:t xml:space="preserve">to measures based on engineering estimates of the savings from each measure.  </w:t>
      </w:r>
      <w:r w:rsidRPr="00FF4398">
        <w:t>This approach results in</w:t>
      </w:r>
      <w:r w:rsidR="009A7A9B" w:rsidRPr="00C17038">
        <w:t xml:space="preserve"> </w:t>
      </w:r>
      <w:r w:rsidR="00B26CDF" w:rsidRPr="00C17038">
        <w:t xml:space="preserve">a distribution </w:t>
      </w:r>
      <w:r w:rsidRPr="00FF4398">
        <w:t xml:space="preserve">of </w:t>
      </w:r>
      <w:r w:rsidR="00B26CDF" w:rsidRPr="00C17038">
        <w:t xml:space="preserve">proportional </w:t>
      </w:r>
      <w:r w:rsidRPr="00FF4398">
        <w:t xml:space="preserve">savings </w:t>
      </w:r>
      <w:r w:rsidR="00B26CDF" w:rsidRPr="00C17038">
        <w:t>between the smart thermostat and</w:t>
      </w:r>
      <w:r w:rsidRPr="00FF4398">
        <w:t xml:space="preserve"> the fan </w:t>
      </w:r>
      <w:r w:rsidR="00844598" w:rsidRPr="00FF4398">
        <w:t>control</w:t>
      </w:r>
      <w:r w:rsidRPr="00FF4398">
        <w:t xml:space="preserve"> when both measures were installed.  </w:t>
      </w:r>
      <w:r w:rsidR="00B26CDF" w:rsidRPr="00C17038">
        <w:t>In installations where the</w:t>
      </w:r>
      <w:r w:rsidRPr="00FF4398">
        <w:t xml:space="preserve"> smart thermostats are installed without a separate fan controller these savings</w:t>
      </w:r>
      <w:r w:rsidR="00B26CDF" w:rsidRPr="00C17038">
        <w:t xml:space="preserve"> proportionally reallocated to the</w:t>
      </w:r>
      <w:r w:rsidRPr="00FF4398">
        <w:t xml:space="preserve"> thermostat</w:t>
      </w:r>
      <w:r w:rsidR="00B26CDF">
        <w:t xml:space="preserve"> based on the remaining model savings</w:t>
      </w:r>
      <w:r w:rsidRPr="007E21B2">
        <w:t>.</w:t>
      </w:r>
      <w:r>
        <w:t xml:space="preserve"> In their final approved savings</w:t>
      </w:r>
      <w:r w:rsidRPr="007E21B2">
        <w:t xml:space="preserve"> </w:t>
      </w:r>
      <w:r>
        <w:t>analysis, CPUC provided updated savings values from modeled direct install thermostat installations without the fan</w:t>
      </w:r>
      <w:r w:rsidR="00844598">
        <w:t xml:space="preserve"> </w:t>
      </w:r>
      <w:r>
        <w:t>control included.</w:t>
      </w:r>
      <w:r>
        <w:rPr>
          <w:rStyle w:val="FootnoteReference"/>
        </w:rPr>
        <w:footnoteReference w:id="17"/>
      </w:r>
    </w:p>
    <w:p w14:paraId="6CDD2274" w14:textId="77777777" w:rsidR="00465926" w:rsidRDefault="00465926" w:rsidP="00465926"/>
    <w:p w14:paraId="7A7FABEE" w14:textId="2630686C" w:rsidR="00465926" w:rsidRPr="00C17038" w:rsidRDefault="00465926" w:rsidP="00465926">
      <w:pPr>
        <w:pStyle w:val="eTRMHeading4"/>
        <w:rPr>
          <w:b/>
          <w:bCs/>
        </w:rPr>
      </w:pPr>
      <w:r w:rsidRPr="00C17038">
        <w:rPr>
          <w:b/>
          <w:bCs/>
        </w:rPr>
        <w:t xml:space="preserve">Downstream </w:t>
      </w:r>
      <w:r w:rsidR="00570BD4" w:rsidRPr="00C17038">
        <w:rPr>
          <w:b/>
          <w:bCs/>
        </w:rPr>
        <w:t xml:space="preserve">and Upstream Rebate </w:t>
      </w:r>
      <w:r w:rsidRPr="00C17038">
        <w:rPr>
          <w:b/>
          <w:bCs/>
        </w:rPr>
        <w:t>Programs</w:t>
      </w:r>
    </w:p>
    <w:p w14:paraId="0EF3C9F7" w14:textId="3F8D9D3B" w:rsidR="00465926" w:rsidRDefault="00465926" w:rsidP="00465926">
      <w:pPr>
        <w:spacing w:before="0" w:after="0"/>
      </w:pPr>
      <w:r w:rsidRPr="002C2D46">
        <w:t xml:space="preserve">Measure savings </w:t>
      </w:r>
      <w:r>
        <w:t xml:space="preserve">for Downstream programs </w:t>
      </w:r>
      <w:r w:rsidRPr="002C2D46">
        <w:t>are adopted from</w:t>
      </w:r>
      <w:r>
        <w:t xml:space="preserve"> the</w:t>
      </w:r>
      <w:r w:rsidR="001C7711">
        <w:t xml:space="preserve"> PY2018</w:t>
      </w:r>
      <w:r w:rsidRPr="002C2D46">
        <w:t xml:space="preserve"> </w:t>
      </w:r>
      <w:r w:rsidRPr="00C17038">
        <w:t>Impact Evaluation</w:t>
      </w:r>
      <w:r w:rsidR="001C7711" w:rsidRPr="00C17038">
        <w:t xml:space="preserve"> study.</w:t>
      </w:r>
      <w:r>
        <w:rPr>
          <w:rStyle w:val="FootnoteReference"/>
        </w:rPr>
        <w:footnoteReference w:id="18"/>
      </w:r>
      <w:r w:rsidRPr="002C2D46">
        <w:t xml:space="preserve">  The evaluation takes a two-stage modeling approach to estimate the effect of smart thermostats on energy consumption. The approach uses variable degree-day PRISM</w:t>
      </w:r>
      <w:r w:rsidR="00254188">
        <w:t>,</w:t>
      </w:r>
      <w:r w:rsidRPr="002C2D46">
        <w:rPr>
          <w:rStyle w:val="FootnoteReference"/>
        </w:rPr>
        <w:footnoteReference w:id="19"/>
      </w:r>
      <w:r w:rsidRPr="002C2D46">
        <w:t xml:space="preserve"> site-level models with a matched comparison group in a difference-in-difference (DID) framework.</w:t>
      </w:r>
      <w:r>
        <w:t xml:space="preserve">  For details on measure savings estimates methods refer to referenced study.</w:t>
      </w:r>
      <w:r>
        <w:rPr>
          <w:rStyle w:val="FootnoteReference"/>
        </w:rPr>
        <w:footnoteReference w:id="20"/>
      </w:r>
      <w:r>
        <w:t xml:space="preserve"> </w:t>
      </w:r>
    </w:p>
    <w:p w14:paraId="3997CFFD" w14:textId="77777777" w:rsidR="00465926" w:rsidRDefault="00465926" w:rsidP="00465926">
      <w:pPr>
        <w:spacing w:before="0" w:after="0"/>
      </w:pPr>
    </w:p>
    <w:p w14:paraId="1012ECC9" w14:textId="1717CC55" w:rsidR="00465926" w:rsidRPr="00C17038" w:rsidRDefault="00465926" w:rsidP="00465926">
      <w:pPr>
        <w:spacing w:before="0" w:after="0"/>
      </w:pPr>
      <w:r>
        <w:t xml:space="preserve">The Impact Evaluation included IOU-specific savings potentials.  However, the study (originally) did not include IOU-weighted savings for overlapping Climate Zones and savings for Climate Zone 1.  Further, the </w:t>
      </w:r>
      <w:r>
        <w:lastRenderedPageBreak/>
        <w:t>study did not delineate measure savings between central systems with electric heating (or heat pump heating) versus gas heating.  After collaboration between IOUs and CPUC, measure savings were adjusted, and clarifications were provided by the CPUC to address these data gaps.</w:t>
      </w:r>
      <w:r>
        <w:rPr>
          <w:rStyle w:val="FootnoteReference"/>
        </w:rPr>
        <w:footnoteReference w:id="21"/>
      </w:r>
      <w:r>
        <w:t xml:space="preserve"> Adjusted measure savings estimates were provided by commission staff consultant to IOUs via email.</w:t>
      </w:r>
      <w:r w:rsidRPr="00C17038">
        <w:footnoteReference w:id="22"/>
      </w:r>
      <w:r>
        <w:t xml:space="preserve"> </w:t>
      </w:r>
    </w:p>
    <w:p w14:paraId="4112A69F" w14:textId="77777777" w:rsidR="00465926" w:rsidRDefault="00465926" w:rsidP="00465926">
      <w:pPr>
        <w:spacing w:before="0" w:after="0"/>
      </w:pPr>
    </w:p>
    <w:p w14:paraId="337BAD05" w14:textId="3090494E" w:rsidR="00374C36" w:rsidRPr="00C17038" w:rsidRDefault="00465926" w:rsidP="00C17038">
      <w:pPr>
        <w:pStyle w:val="BodyText"/>
        <w:rPr>
          <w:b w:val="0"/>
          <w:bCs w:val="0"/>
          <w:caps w:val="0"/>
        </w:rPr>
      </w:pPr>
      <w:r w:rsidRPr="00EE46F6">
        <w:rPr>
          <w:b w:val="0"/>
          <w:bCs w:val="0"/>
          <w:caps w:val="0"/>
        </w:rPr>
        <w:t xml:space="preserve">In the CPUC’s approval of the adjusted Direct Install measures they also </w:t>
      </w:r>
      <w:ins w:id="237" w:author="Andres Fergadiotti" w:date="2021-10-25T17:25:00Z">
        <w:r w:rsidR="008A5395">
          <w:rPr>
            <w:b w:val="0"/>
            <w:bCs w:val="0"/>
            <w:caps w:val="0"/>
          </w:rPr>
          <w:t>approved</w:t>
        </w:r>
      </w:ins>
      <w:commentRangeStart w:id="238"/>
      <w:commentRangeStart w:id="239"/>
      <w:del w:id="240" w:author="Andres Fergadiotti" w:date="2021-10-25T17:25:00Z">
        <w:r w:rsidR="007E75BC" w:rsidRPr="00C17038" w:rsidDel="008A5395">
          <w:rPr>
            <w:b w:val="0"/>
            <w:bCs w:val="0"/>
            <w:caps w:val="0"/>
          </w:rPr>
          <w:delText>recommended</w:delText>
        </w:r>
      </w:del>
      <w:r w:rsidRPr="00C17038">
        <w:rPr>
          <w:b w:val="0"/>
          <w:bCs w:val="0"/>
          <w:caps w:val="0"/>
        </w:rPr>
        <w:t xml:space="preserve"> </w:t>
      </w:r>
      <w:commentRangeEnd w:id="238"/>
      <w:r w:rsidR="008C60FB">
        <w:rPr>
          <w:rStyle w:val="CommentReference"/>
          <w:b w:val="0"/>
          <w:bCs w:val="0"/>
          <w:caps w:val="0"/>
        </w:rPr>
        <w:commentReference w:id="238"/>
      </w:r>
      <w:commentRangeEnd w:id="239"/>
      <w:r w:rsidR="009B1636">
        <w:rPr>
          <w:rStyle w:val="CommentReference"/>
          <w:b w:val="0"/>
          <w:bCs w:val="0"/>
          <w:caps w:val="0"/>
        </w:rPr>
        <w:commentReference w:id="239"/>
      </w:r>
      <w:r w:rsidRPr="00C17038">
        <w:rPr>
          <w:b w:val="0"/>
          <w:bCs w:val="0"/>
          <w:caps w:val="0"/>
        </w:rPr>
        <w:t>the inclusion of the temperature optimization program savings for Downstream Rebate measures. The same 2.</w:t>
      </w:r>
      <w:r w:rsidR="004819A9" w:rsidRPr="00C17038">
        <w:rPr>
          <w:b w:val="0"/>
          <w:bCs w:val="0"/>
          <w:caps w:val="0"/>
        </w:rPr>
        <w:t>3</w:t>
      </w:r>
      <w:r w:rsidRPr="00C17038">
        <w:rPr>
          <w:b w:val="0"/>
          <w:bCs w:val="0"/>
          <w:caps w:val="0"/>
        </w:rPr>
        <w:t>6% of cooling load savings was assumed to be consistent with the Direct Install calculations. The electric</w:t>
      </w:r>
      <w:r>
        <w:t xml:space="preserve"> </w:t>
      </w:r>
      <w:r w:rsidRPr="00EE46F6">
        <w:rPr>
          <w:b w:val="0"/>
          <w:bCs w:val="0"/>
          <w:caps w:val="0"/>
        </w:rPr>
        <w:t>cooling load from the PY 2018 Impact Evaluation Table 5-4</w:t>
      </w:r>
      <w:r w:rsidRPr="00C17038">
        <w:rPr>
          <w:b w:val="0"/>
          <w:bCs w:val="0"/>
          <w:caps w:val="0"/>
        </w:rPr>
        <w:footnoteReference w:id="23"/>
      </w:r>
      <w:r w:rsidRPr="00EE46F6">
        <w:rPr>
          <w:b w:val="0"/>
          <w:bCs w:val="0"/>
          <w:caps w:val="0"/>
        </w:rPr>
        <w:t xml:space="preserve"> was used to calculate the additional TO savings </w:t>
      </w:r>
      <w:r w:rsidR="000A136E" w:rsidRPr="00EE46F6">
        <w:rPr>
          <w:b w:val="0"/>
          <w:bCs w:val="0"/>
          <w:caps w:val="0"/>
        </w:rPr>
        <w:t xml:space="preserve">attributions </w:t>
      </w:r>
      <w:r w:rsidRPr="00EE46F6">
        <w:rPr>
          <w:b w:val="0"/>
          <w:bCs w:val="0"/>
          <w:caps w:val="0"/>
        </w:rPr>
        <w:t>per climate zone, in order to be con</w:t>
      </w:r>
      <w:r w:rsidRPr="00C17038">
        <w:rPr>
          <w:b w:val="0"/>
          <w:bCs w:val="0"/>
          <w:caps w:val="0"/>
        </w:rPr>
        <w:t>sistent with the source of savings for the Downstream Rebate measures.</w:t>
      </w:r>
      <w:commentRangeStart w:id="241"/>
      <w:commentRangeStart w:id="242"/>
      <w:r w:rsidRPr="008A5395">
        <w:rPr>
          <w:b w:val="0"/>
          <w:bCs w:val="0"/>
          <w:caps w:val="0"/>
          <w:vertAlign w:val="superscript"/>
          <w:rPrChange w:id="243" w:author="Andres Fergadiotti" w:date="2021-10-25T17:25:00Z">
            <w:rPr>
              <w:b w:val="0"/>
              <w:bCs w:val="0"/>
              <w:caps w:val="0"/>
            </w:rPr>
          </w:rPrChange>
        </w:rPr>
        <w:footnoteReference w:id="24"/>
      </w:r>
      <w:r w:rsidRPr="00EE46F6">
        <w:rPr>
          <w:b w:val="0"/>
          <w:bCs w:val="0"/>
          <w:caps w:val="0"/>
        </w:rPr>
        <w:t xml:space="preserve"> </w:t>
      </w:r>
      <w:commentRangeEnd w:id="241"/>
      <w:r w:rsidR="00AB0071">
        <w:rPr>
          <w:rStyle w:val="CommentReference"/>
          <w:b w:val="0"/>
          <w:bCs w:val="0"/>
          <w:caps w:val="0"/>
        </w:rPr>
        <w:commentReference w:id="241"/>
      </w:r>
      <w:commentRangeEnd w:id="242"/>
      <w:r w:rsidR="008A5395">
        <w:rPr>
          <w:rStyle w:val="CommentReference"/>
          <w:b w:val="0"/>
          <w:bCs w:val="0"/>
          <w:caps w:val="0"/>
        </w:rPr>
        <w:commentReference w:id="242"/>
      </w:r>
      <w:r w:rsidRPr="00EE46F6">
        <w:rPr>
          <w:b w:val="0"/>
          <w:bCs w:val="0"/>
          <w:caps w:val="0"/>
        </w:rPr>
        <w:t xml:space="preserve"> Since the current Downstream Rebate savings only vary by climate zone, the use of climate zone only adjustment is consistent with the previous measure analysis.</w:t>
      </w:r>
    </w:p>
    <w:p w14:paraId="2A6486EE" w14:textId="348A86A0" w:rsidR="00374C36" w:rsidRDefault="00570BD4" w:rsidP="00C17038">
      <w:pPr>
        <w:pStyle w:val="BodyText"/>
        <w:rPr>
          <w:w w:val="102"/>
        </w:rPr>
      </w:pPr>
      <w:r w:rsidRPr="00F17D87">
        <w:rPr>
          <w:b w:val="0"/>
          <w:bCs w:val="0"/>
          <w:caps w:val="0"/>
        </w:rPr>
        <w:t>The downstream rebate savings are also being used for upstream savings. Since the savings for the downstream measures do not vary by building type</w:t>
      </w:r>
      <w:r w:rsidR="00F17D87">
        <w:rPr>
          <w:b w:val="0"/>
          <w:bCs w:val="0"/>
          <w:caps w:val="0"/>
        </w:rPr>
        <w:t>, the sector-wide</w:t>
      </w:r>
      <w:r w:rsidR="008F7149" w:rsidRPr="00F17D87">
        <w:rPr>
          <w:b w:val="0"/>
          <w:bCs w:val="0"/>
          <w:caps w:val="0"/>
        </w:rPr>
        <w:t xml:space="preserve"> “</w:t>
      </w:r>
      <w:r w:rsidR="00F17D87">
        <w:rPr>
          <w:b w:val="0"/>
          <w:bCs w:val="0"/>
          <w:caps w:val="0"/>
        </w:rPr>
        <w:t>R</w:t>
      </w:r>
      <w:r w:rsidR="008F7149" w:rsidRPr="00F17D87">
        <w:rPr>
          <w:b w:val="0"/>
          <w:bCs w:val="0"/>
          <w:caps w:val="0"/>
        </w:rPr>
        <w:t>es”</w:t>
      </w:r>
      <w:r w:rsidR="00F17D87">
        <w:rPr>
          <w:b w:val="0"/>
          <w:bCs w:val="0"/>
          <w:caps w:val="0"/>
        </w:rPr>
        <w:t xml:space="preserve"> building type has been enabled for downstream and upstream rebate measures. </w:t>
      </w:r>
    </w:p>
    <w:p w14:paraId="71DE2E22" w14:textId="77777777" w:rsidR="002F3A65" w:rsidRDefault="002F3A65" w:rsidP="00C17038">
      <w:pPr>
        <w:pStyle w:val="BodyText"/>
      </w:pPr>
    </w:p>
    <w:p w14:paraId="04F74919" w14:textId="01EE467D" w:rsidR="0030342A" w:rsidRPr="00203ECA" w:rsidRDefault="0030342A" w:rsidP="008F7149">
      <w:pPr>
        <w:pStyle w:val="eTRMHeading3"/>
      </w:pPr>
      <w:bookmarkStart w:id="245" w:name="_Toc88472703"/>
      <w:r w:rsidRPr="00203ECA">
        <w:t>Peak Electric Demand Reduction (kW)</w:t>
      </w:r>
      <w:bookmarkEnd w:id="245"/>
      <w:r w:rsidR="0001009E">
        <w:t xml:space="preserve"> </w:t>
      </w:r>
    </w:p>
    <w:p w14:paraId="4132BF6A" w14:textId="330B54A3" w:rsidR="002F3A65" w:rsidRDefault="0030342A" w:rsidP="0030342A">
      <w:r w:rsidRPr="00207A97">
        <w:t>No peak demand reductions are</w:t>
      </w:r>
      <w:r>
        <w:t xml:space="preserve"> included within this workpaper</w:t>
      </w:r>
      <w:r w:rsidR="0001009E">
        <w:t xml:space="preserve"> (for any of the supported programs)</w:t>
      </w:r>
      <w:r>
        <w:t xml:space="preserve"> given that methodology supporting evaluation of measure savings (including AMI data) is not “granular” enough to adequately support evaluation of peak demand savings. </w:t>
      </w:r>
    </w:p>
    <w:p w14:paraId="5F17D2B9" w14:textId="2FD27729" w:rsidR="002F3A65" w:rsidRDefault="002F3A65" w:rsidP="002C2D46">
      <w:pPr>
        <w:spacing w:before="0" w:after="0"/>
        <w:rPr>
          <w:ins w:id="246" w:author="Danryd, Anders R" w:date="2021-11-17T10:53:00Z"/>
        </w:rPr>
      </w:pPr>
    </w:p>
    <w:p w14:paraId="6F9AE387" w14:textId="62D9688E" w:rsidR="00266181" w:rsidRDefault="00266181" w:rsidP="00266181">
      <w:pPr>
        <w:pStyle w:val="eTRMHeading3"/>
        <w:rPr>
          <w:ins w:id="247" w:author="Danryd, Anders R" w:date="2021-11-17T10:53:00Z"/>
        </w:rPr>
      </w:pPr>
      <w:bookmarkStart w:id="248" w:name="_Toc88472704"/>
      <w:ins w:id="249" w:author="Danryd, Anders R" w:date="2021-11-17T10:53:00Z">
        <w:r>
          <w:t>Gas Savings (therms)</w:t>
        </w:r>
        <w:bookmarkEnd w:id="248"/>
      </w:ins>
    </w:p>
    <w:p w14:paraId="151F343B" w14:textId="1A9374E0" w:rsidR="00266181" w:rsidRDefault="00266181" w:rsidP="00266181">
      <w:pPr>
        <w:rPr>
          <w:ins w:id="250" w:author="Danryd, Anders R" w:date="2021-11-17T10:54:00Z"/>
        </w:rPr>
      </w:pPr>
      <w:ins w:id="251" w:author="Danryd, Anders R" w:date="2021-11-17T10:54:00Z">
        <w:r>
          <w:t>The gas unit energy savings (UES) represents</w:t>
        </w:r>
        <w:r w:rsidRPr="00F861D5">
          <w:t xml:space="preserve"> the per household heating energy savings from the installation of a </w:t>
        </w:r>
        <w:r w:rsidRPr="0081735D">
          <w:rPr>
            <w:bCs/>
          </w:rPr>
          <w:t>smart thermostat</w:t>
        </w:r>
        <w:r w:rsidRPr="00F861D5">
          <w:rPr>
            <w:b/>
          </w:rPr>
          <w:t xml:space="preserve"> </w:t>
        </w:r>
        <w:r w:rsidRPr="00F861D5">
          <w:t xml:space="preserve">in </w:t>
        </w:r>
        <w:r>
          <w:t>a</w:t>
        </w:r>
        <w:r w:rsidRPr="00F861D5">
          <w:t xml:space="preserve"> residential household. The calculation approach account</w:t>
        </w:r>
        <w:r>
          <w:t>s for</w:t>
        </w:r>
        <w:r w:rsidRPr="00F861D5">
          <w:t xml:space="preserve"> the range in energy savings change associated with smart thermostat installations, and the results represent an average savings of the technology by the climate zone </w:t>
        </w:r>
        <w:r>
          <w:t xml:space="preserve">and building type </w:t>
        </w:r>
        <w:r w:rsidRPr="00F861D5">
          <w:t>based on referenced studies and/or evaluations.</w:t>
        </w:r>
      </w:ins>
    </w:p>
    <w:p w14:paraId="38323E28" w14:textId="66B3AAD0" w:rsidR="00266181" w:rsidRDefault="00266181" w:rsidP="002C2D46">
      <w:pPr>
        <w:spacing w:before="0" w:after="0"/>
        <w:rPr>
          <w:ins w:id="252" w:author="Danryd, Anders R" w:date="2021-11-17T10:55:00Z"/>
        </w:rPr>
      </w:pPr>
    </w:p>
    <w:p w14:paraId="21BADCF6" w14:textId="77777777" w:rsidR="00266181" w:rsidRPr="00C17038" w:rsidRDefault="00266181" w:rsidP="00266181">
      <w:pPr>
        <w:pStyle w:val="eTRMHeading4"/>
        <w:rPr>
          <w:ins w:id="253" w:author="Danryd, Anders R" w:date="2021-11-17T10:55:00Z"/>
          <w:b/>
          <w:bCs/>
        </w:rPr>
      </w:pPr>
      <w:ins w:id="254" w:author="Danryd, Anders R" w:date="2021-11-17T10:55:00Z">
        <w:r w:rsidRPr="00C17038">
          <w:rPr>
            <w:b/>
            <w:bCs/>
          </w:rPr>
          <w:lastRenderedPageBreak/>
          <w:t>Direct Install Programs</w:t>
        </w:r>
      </w:ins>
    </w:p>
    <w:p w14:paraId="18BB8CF5" w14:textId="77777777" w:rsidR="00266181" w:rsidRDefault="00266181" w:rsidP="00266181">
      <w:pPr>
        <w:spacing w:before="0" w:after="0"/>
        <w:rPr>
          <w:ins w:id="255" w:author="Danryd, Anders R" w:date="2021-11-17T10:55:00Z"/>
        </w:rPr>
      </w:pPr>
      <w:ins w:id="256" w:author="Danryd, Anders R" w:date="2021-11-17T10:55:00Z">
        <w:r w:rsidRPr="002C2D46">
          <w:t xml:space="preserve">Measure savings </w:t>
        </w:r>
        <w:r>
          <w:t xml:space="preserve">for Direct Install programs </w:t>
        </w:r>
        <w:r w:rsidRPr="002C2D46">
          <w:t>are</w:t>
        </w:r>
        <w:r>
          <w:t xml:space="preserve"> based on the PY2019 Impact Evaluation Study</w:t>
        </w:r>
        <w:r w:rsidRPr="002C2D46">
          <w:t>.</w:t>
        </w:r>
        <w:r>
          <w:rPr>
            <w:rStyle w:val="FootnoteReference"/>
          </w:rPr>
          <w:footnoteReference w:id="25"/>
        </w:r>
        <w:r w:rsidRPr="002C2D46">
          <w:t xml:space="preserve"> </w:t>
        </w:r>
        <w:r>
          <w:t xml:space="preserve"> Since Direct Install customers generally have multiple measures installed at once, the analysis used site energy consumption analysis and engineering estimates based on previous impact evaluations and the 2019 Residential Appliance Saturation Study (RASS 2019)</w:t>
        </w:r>
        <w:r>
          <w:rPr>
            <w:rStyle w:val="FootnoteReference"/>
          </w:rPr>
          <w:footnoteReference w:id="26"/>
        </w:r>
        <w:r>
          <w:t xml:space="preserve"> to disaggregate smart thermostat savings from whole building savings. To avoid potential data disruptions due to COVID-19, the analysis used 2018 program participant data. </w:t>
        </w:r>
      </w:ins>
    </w:p>
    <w:p w14:paraId="6E1B4055" w14:textId="77777777" w:rsidR="00266181" w:rsidRDefault="00266181" w:rsidP="00266181">
      <w:pPr>
        <w:spacing w:before="0" w:after="0"/>
        <w:rPr>
          <w:ins w:id="261" w:author="Danryd, Anders R" w:date="2021-11-17T10:55:00Z"/>
        </w:rPr>
      </w:pPr>
    </w:p>
    <w:p w14:paraId="267FF8F6" w14:textId="3FECFD52" w:rsidR="00266181" w:rsidRDefault="00266181" w:rsidP="00266181">
      <w:pPr>
        <w:spacing w:before="0" w:after="0"/>
        <w:rPr>
          <w:ins w:id="262" w:author="Danryd, Anders R" w:date="2021-11-17T10:55:00Z"/>
        </w:rPr>
      </w:pPr>
      <w:ins w:id="263" w:author="Danryd, Anders R" w:date="2021-11-17T10:55:00Z">
        <w:r>
          <w:t>Savings estimates were further adjusted based on analysis supported by smart thermostat vendors in collaboration with IOUs and approved by the CPUC in the third quarter of 2021.</w:t>
        </w:r>
        <w:r>
          <w:rPr>
            <w:rStyle w:val="FootnoteReference"/>
          </w:rPr>
          <w:footnoteReference w:id="27"/>
        </w:r>
        <w:r>
          <w:t xml:space="preserve"> Under this analysis, there w</w:t>
        </w:r>
      </w:ins>
      <w:ins w:id="266" w:author="Danryd, Anders R" w:date="2021-11-17T10:56:00Z">
        <w:r>
          <w:t>as one</w:t>
        </w:r>
      </w:ins>
      <w:ins w:id="267" w:author="Danryd, Anders R" w:date="2021-11-17T10:55:00Z">
        <w:r>
          <w:t xml:space="preserve"> proposed update strateg</w:t>
        </w:r>
      </w:ins>
      <w:ins w:id="268" w:author="Casco, Lake" w:date="2021-11-22T10:56:00Z">
        <w:r w:rsidR="0067352B">
          <w:t>y</w:t>
        </w:r>
      </w:ins>
      <w:ins w:id="269" w:author="Danryd, Anders R" w:date="2021-11-17T10:55:00Z">
        <w:del w:id="270" w:author="Casco, Lake" w:date="2021-11-22T10:56:00Z">
          <w:r w:rsidDel="0067352B">
            <w:delText>i</w:delText>
          </w:r>
        </w:del>
        <w:del w:id="271" w:author="Casco, Lake" w:date="2021-11-22T10:55:00Z">
          <w:r w:rsidDel="0067352B">
            <w:delText>es</w:delText>
          </w:r>
        </w:del>
        <w:r>
          <w:t xml:space="preserve"> to the savings</w:t>
        </w:r>
      </w:ins>
      <w:ins w:id="272" w:author="Danryd, Anders R" w:date="2021-11-17T10:56:00Z">
        <w:r>
          <w:t xml:space="preserve">: </w:t>
        </w:r>
      </w:ins>
      <w:ins w:id="273" w:author="Danryd, Anders R" w:date="2021-11-17T10:55:00Z">
        <w:r>
          <w:t>the addition of temperature optimization (TO) controls. The CPUC approved the proposed TO control</w:t>
        </w:r>
      </w:ins>
      <w:ins w:id="274" w:author="Casco, Lake" w:date="2021-11-22T11:33:00Z">
        <w:r w:rsidR="002B0612">
          <w:t xml:space="preserve"> savings</w:t>
        </w:r>
      </w:ins>
      <w:ins w:id="275" w:author="Danryd, Anders R" w:date="2021-11-17T10:55:00Z">
        <w:del w:id="276" w:author="Casco, Lake" w:date="2021-11-22T11:22:00Z">
          <w:r w:rsidDel="00144103">
            <w:delText xml:space="preserve"> </w:delText>
          </w:r>
          <w:r w:rsidRPr="0067352B" w:rsidDel="00144103">
            <w:rPr>
              <w:highlight w:val="yellow"/>
              <w:rPrChange w:id="277" w:author="Casco, Lake" w:date="2021-11-22T10:56:00Z">
                <w:rPr/>
              </w:rPrChange>
            </w:rPr>
            <w:delText xml:space="preserve">and (with revisions) </w:delText>
          </w:r>
          <w:commentRangeStart w:id="278"/>
          <w:commentRangeStart w:id="279"/>
          <w:commentRangeStart w:id="280"/>
          <w:r w:rsidRPr="0067352B" w:rsidDel="00144103">
            <w:rPr>
              <w:highlight w:val="yellow"/>
              <w:rPrChange w:id="281" w:author="Casco, Lake" w:date="2021-11-22T10:56:00Z">
                <w:rPr/>
              </w:rPrChange>
            </w:rPr>
            <w:delText>the unbundled fan control savings strategies</w:delText>
          </w:r>
        </w:del>
      </w:ins>
      <w:commentRangeEnd w:id="278"/>
      <w:del w:id="282" w:author="Casco, Lake" w:date="2021-11-22T11:22:00Z">
        <w:r w:rsidR="00185278" w:rsidRPr="0067352B" w:rsidDel="00144103">
          <w:rPr>
            <w:rStyle w:val="CommentReference"/>
            <w:highlight w:val="yellow"/>
            <w:rPrChange w:id="283" w:author="Casco, Lake" w:date="2021-11-22T10:56:00Z">
              <w:rPr>
                <w:rStyle w:val="CommentReference"/>
              </w:rPr>
            </w:rPrChange>
          </w:rPr>
          <w:commentReference w:id="278"/>
        </w:r>
        <w:commentRangeEnd w:id="279"/>
        <w:r w:rsidR="00144103" w:rsidDel="00144103">
          <w:rPr>
            <w:rStyle w:val="CommentReference"/>
          </w:rPr>
          <w:commentReference w:id="279"/>
        </w:r>
      </w:del>
      <w:commentRangeEnd w:id="280"/>
      <w:r w:rsidR="00583868">
        <w:rPr>
          <w:rStyle w:val="CommentReference"/>
        </w:rPr>
        <w:commentReference w:id="280"/>
      </w:r>
      <w:ins w:id="284" w:author="Danryd, Anders R" w:date="2021-11-17T10:55:00Z">
        <w:r>
          <w:t xml:space="preserve">. Additional details of the adjustments are included below. </w:t>
        </w:r>
      </w:ins>
    </w:p>
    <w:p w14:paraId="167EC76B" w14:textId="77777777" w:rsidR="00266181" w:rsidRDefault="00266181" w:rsidP="00266181">
      <w:pPr>
        <w:spacing w:before="0" w:after="0"/>
        <w:rPr>
          <w:ins w:id="285" w:author="Danryd, Anders R" w:date="2021-11-17T10:55:00Z"/>
        </w:rPr>
      </w:pPr>
    </w:p>
    <w:p w14:paraId="18B50361" w14:textId="77777777" w:rsidR="00266181" w:rsidRDefault="00266181" w:rsidP="00266181">
      <w:pPr>
        <w:pStyle w:val="eTRMHeading5"/>
        <w:rPr>
          <w:ins w:id="286" w:author="Danryd, Anders R" w:date="2021-11-17T10:55:00Z"/>
        </w:rPr>
      </w:pPr>
      <w:ins w:id="287" w:author="Danryd, Anders R" w:date="2021-11-17T10:55:00Z">
        <w:r>
          <w:t>Temperature Optimization Controls</w:t>
        </w:r>
      </w:ins>
    </w:p>
    <w:p w14:paraId="6F25E1E8" w14:textId="77777777" w:rsidR="00111727" w:rsidRDefault="00266181" w:rsidP="00266181">
      <w:pPr>
        <w:spacing w:before="0" w:after="0"/>
        <w:rPr>
          <w:ins w:id="288" w:author="Danryd, Anders R" w:date="2021-11-17T11:10:00Z"/>
        </w:rPr>
      </w:pPr>
      <w:ins w:id="289" w:author="Danryd, Anders R" w:date="2021-11-17T10:55:00Z">
        <w:r w:rsidRPr="00234C9B">
          <w:t xml:space="preserve">The smart thermostat market in California has </w:t>
        </w:r>
        <w:r>
          <w:t>progressed</w:t>
        </w:r>
        <w:r w:rsidRPr="00234C9B">
          <w:t xml:space="preserve"> since the PY2019 Impact Evaluation treatment period. </w:t>
        </w:r>
        <w:r>
          <w:t xml:space="preserve">Currently, two of </w:t>
        </w:r>
        <w:r w:rsidRPr="00234C9B">
          <w:t xml:space="preserve">largest smart thermostat manufacturers for California efficiency measures offer </w:t>
        </w:r>
        <w:r>
          <w:t>TO</w:t>
        </w:r>
        <w:r w:rsidRPr="00234C9B">
          <w:t xml:space="preserve"> programs at no cost to all customers. These programs result</w:t>
        </w:r>
        <w:r>
          <w:t>ed</w:t>
        </w:r>
        <w:r w:rsidRPr="00234C9B">
          <w:t xml:space="preserve"> in increased energy savings for smart thermostats that were not captured in the evaluation because it relied on PY 2018 installations with a 2019 post-period to avoid using data from 2020, due to the pandemic.</w:t>
        </w:r>
      </w:ins>
    </w:p>
    <w:p w14:paraId="2ADA017C" w14:textId="77777777" w:rsidR="00111727" w:rsidRDefault="00111727" w:rsidP="00266181">
      <w:pPr>
        <w:spacing w:before="0" w:after="0"/>
        <w:rPr>
          <w:ins w:id="290" w:author="Danryd, Anders R" w:date="2021-11-17T11:10:00Z"/>
        </w:rPr>
      </w:pPr>
    </w:p>
    <w:p w14:paraId="734F59DB" w14:textId="1B587054" w:rsidR="00266181" w:rsidRDefault="00266181" w:rsidP="00266181">
      <w:pPr>
        <w:spacing w:before="0" w:after="0"/>
        <w:rPr>
          <w:ins w:id="291" w:author="Danryd, Anders R" w:date="2021-11-17T10:55:00Z"/>
        </w:rPr>
      </w:pPr>
      <w:ins w:id="292" w:author="Danryd, Anders R" w:date="2021-11-17T10:55:00Z">
        <w:r>
          <w:t xml:space="preserve">For participating customers, the smart thermostat incrementally relaxes temperature setpoints of the HVAC system by fractions of a degree over time. Using machine learning, the thermostats find the optimal temperature setpoints for each customer based on both their thermal comfort and energy saving preferences. These programs are provided annually, so participation in multiple years of results in “stacked” savings as the thermostat further relaxes setpoints in subsequent years. </w:t>
        </w:r>
      </w:ins>
    </w:p>
    <w:p w14:paraId="46371A8C" w14:textId="77777777" w:rsidR="00266181" w:rsidRPr="00234C9B" w:rsidRDefault="00266181" w:rsidP="00266181">
      <w:pPr>
        <w:spacing w:before="0" w:after="0"/>
        <w:rPr>
          <w:ins w:id="293" w:author="Danryd, Anders R" w:date="2021-11-17T10:55:00Z"/>
        </w:rPr>
      </w:pPr>
    </w:p>
    <w:p w14:paraId="4B024D97" w14:textId="6A12EDE8" w:rsidR="00266181" w:rsidRDefault="00266181" w:rsidP="00266181">
      <w:pPr>
        <w:spacing w:before="0" w:after="0"/>
        <w:rPr>
          <w:ins w:id="294" w:author="Danryd, Anders R" w:date="2021-11-17T11:10:00Z"/>
        </w:rPr>
      </w:pPr>
      <w:ins w:id="295" w:author="Danryd, Anders R" w:date="2021-11-17T10:55:00Z">
        <w:r w:rsidRPr="00234C9B">
          <w:t>The adjusted DI Savings reflect 2.</w:t>
        </w:r>
      </w:ins>
      <w:ins w:id="296" w:author="Danryd, Anders R" w:date="2021-11-17T10:57:00Z">
        <w:r>
          <w:t>62</w:t>
        </w:r>
      </w:ins>
      <w:ins w:id="297" w:author="Danryd, Anders R" w:date="2021-11-17T10:55:00Z">
        <w:r w:rsidRPr="00234C9B">
          <w:t xml:space="preserve">% additional </w:t>
        </w:r>
      </w:ins>
      <w:ins w:id="298" w:author="Danryd, Anders R" w:date="2021-11-17T10:58:00Z">
        <w:r>
          <w:t>heating</w:t>
        </w:r>
      </w:ins>
      <w:ins w:id="299" w:author="Danryd, Anders R" w:date="2021-11-17T10:55:00Z">
        <w:r w:rsidRPr="00234C9B">
          <w:t xml:space="preserve"> savings</w:t>
        </w:r>
        <w:r>
          <w:t xml:space="preserve"> (as a function of the annual </w:t>
        </w:r>
      </w:ins>
      <w:ins w:id="300" w:author="Danryd, Anders R" w:date="2021-11-17T10:58:00Z">
        <w:r>
          <w:t>heating load</w:t>
        </w:r>
      </w:ins>
      <w:ins w:id="301" w:author="Danryd, Anders R" w:date="2021-11-17T10:55:00Z">
        <w:r>
          <w:t>)</w:t>
        </w:r>
        <w:r w:rsidRPr="00234C9B">
          <w:t xml:space="preserve"> per climate zone, </w:t>
        </w:r>
      </w:ins>
      <w:ins w:id="302" w:author="Casco, Lake" w:date="2021-11-22T11:33:00Z">
        <w:r w:rsidR="002B0612">
          <w:t xml:space="preserve">is </w:t>
        </w:r>
      </w:ins>
      <w:ins w:id="303" w:author="Danryd, Anders R" w:date="2021-11-17T10:55:00Z">
        <w:r w:rsidRPr="00234C9B">
          <w:t xml:space="preserve">based on California-specific participation provided by </w:t>
        </w:r>
        <w:r>
          <w:t>the leading manufacturer</w:t>
        </w:r>
        <w:r w:rsidRPr="00234C9B">
          <w:t xml:space="preserve">, a previous </w:t>
        </w:r>
      </w:ins>
      <w:ins w:id="304" w:author="Danryd, Anders R" w:date="2021-11-17T10:59:00Z">
        <w:r>
          <w:t>SCG</w:t>
        </w:r>
      </w:ins>
      <w:ins w:id="305" w:author="Danryd, Anders R" w:date="2021-11-17T10:55:00Z">
        <w:r w:rsidRPr="00234C9B">
          <w:t xml:space="preserve"> Seasonal Savings study</w:t>
        </w:r>
        <w:r>
          <w:t>,</w:t>
        </w:r>
        <w:r w:rsidRPr="00234C9B">
          <w:rPr>
            <w:vertAlign w:val="superscript"/>
          </w:rPr>
          <w:footnoteReference w:id="28"/>
        </w:r>
        <w:r w:rsidRPr="00234C9B">
          <w:t xml:space="preserve"> prior studies of </w:t>
        </w:r>
        <w:r>
          <w:t>smart thermostat</w:t>
        </w:r>
        <w:r w:rsidRPr="00234C9B">
          <w:t xml:space="preserve"> deployments for </w:t>
        </w:r>
        <w:r>
          <w:t>Marin Clean Energy</w:t>
        </w:r>
        <w:r w:rsidRPr="00234C9B">
          <w:t>, and evaluated persistence of TO savings from out of state IOU programs.</w:t>
        </w:r>
        <w:r w:rsidRPr="00234C9B">
          <w:rPr>
            <w:vertAlign w:val="superscript"/>
          </w:rPr>
          <w:footnoteReference w:id="29"/>
        </w:r>
        <w:r w:rsidRPr="00234C9B">
          <w:t xml:space="preserve"> </w:t>
        </w:r>
        <w:r>
          <w:t xml:space="preserve"> A separate national </w:t>
        </w:r>
        <w:r>
          <w:lastRenderedPageBreak/>
          <w:t>study for one of the leading manufacturers showed higher opt-in rates for the program resulting in higher savings than assumed in this analysis,</w:t>
        </w:r>
        <w:r w:rsidRPr="00234C9B">
          <w:rPr>
            <w:vertAlign w:val="superscript"/>
          </w:rPr>
          <w:footnoteReference w:id="30"/>
        </w:r>
        <w:r w:rsidRPr="00234C9B">
          <w:t xml:space="preserve"> </w:t>
        </w:r>
        <w:r>
          <w:t>but 2.</w:t>
        </w:r>
      </w:ins>
      <w:ins w:id="328" w:author="Danryd, Anders R" w:date="2021-11-17T10:58:00Z">
        <w:r>
          <w:t>62</w:t>
        </w:r>
      </w:ins>
      <w:ins w:id="329" w:author="Danryd, Anders R" w:date="2021-11-17T10:55:00Z">
        <w:r>
          <w:t>% was selected to be conservative.</w:t>
        </w:r>
      </w:ins>
    </w:p>
    <w:p w14:paraId="768DB85E" w14:textId="7E60CD4D" w:rsidR="00111727" w:rsidRDefault="00111727" w:rsidP="00266181">
      <w:pPr>
        <w:spacing w:before="0" w:after="0"/>
        <w:rPr>
          <w:ins w:id="330" w:author="Danryd, Anders R" w:date="2021-11-17T11:16:00Z"/>
        </w:rPr>
      </w:pPr>
    </w:p>
    <w:p w14:paraId="62B0F889" w14:textId="53E14745" w:rsidR="00A425FD" w:rsidRDefault="00A425FD" w:rsidP="00266181">
      <w:pPr>
        <w:spacing w:before="0" w:after="0"/>
        <w:rPr>
          <w:ins w:id="331" w:author="Danryd, Anders R" w:date="2021-11-17T11:16:00Z"/>
        </w:rPr>
      </w:pPr>
      <w:ins w:id="332" w:author="Danryd, Anders R" w:date="2021-11-17T11:16:00Z">
        <w:r>
          <w:t>The final percent heating savings was applied to the gas heating load per building type and climate zone from the DEER building prototype data to find the additional gas energy savings attributions for temperature optimization.</w:t>
        </w:r>
        <w:r>
          <w:rPr>
            <w:rStyle w:val="FootnoteReference"/>
          </w:rPr>
          <w:footnoteReference w:id="31"/>
        </w:r>
      </w:ins>
    </w:p>
    <w:p w14:paraId="16AF679B" w14:textId="77777777" w:rsidR="00A425FD" w:rsidRDefault="00A425FD" w:rsidP="00266181">
      <w:pPr>
        <w:spacing w:before="0" w:after="0"/>
        <w:rPr>
          <w:ins w:id="339" w:author="Danryd, Anders R" w:date="2021-11-17T11:10:00Z"/>
        </w:rPr>
      </w:pPr>
    </w:p>
    <w:p w14:paraId="7572B9F6" w14:textId="138BA1B4" w:rsidR="00111727" w:rsidRPr="005306FA" w:rsidRDefault="00111727" w:rsidP="00266181">
      <w:pPr>
        <w:spacing w:before="0" w:after="0"/>
        <w:rPr>
          <w:ins w:id="340" w:author="Danryd, Anders R" w:date="2021-11-17T10:55:00Z"/>
        </w:rPr>
      </w:pPr>
      <w:ins w:id="341" w:author="Danryd, Anders R" w:date="2021-11-17T11:10:00Z">
        <w:r>
          <w:t xml:space="preserve">There were </w:t>
        </w:r>
      </w:ins>
      <w:ins w:id="342" w:author="Casco, Lake" w:date="2021-11-22T11:34:00Z">
        <w:r w:rsidR="002B0612">
          <w:t xml:space="preserve">also </w:t>
        </w:r>
      </w:ins>
      <w:ins w:id="343" w:author="Danryd, Anders R" w:date="2021-11-17T11:10:00Z">
        <w:r>
          <w:t xml:space="preserve">winter </w:t>
        </w:r>
      </w:ins>
      <w:ins w:id="344" w:author="Danryd, Anders R" w:date="2021-11-17T11:13:00Z">
        <w:r w:rsidR="00A425FD">
          <w:t xml:space="preserve">TO </w:t>
        </w:r>
      </w:ins>
      <w:ins w:id="345" w:author="Danryd, Anders R" w:date="2021-11-17T11:10:00Z">
        <w:r>
          <w:t xml:space="preserve">programs being run </w:t>
        </w:r>
      </w:ins>
      <w:ins w:id="346" w:author="Danryd, Anders R" w:date="2021-11-17T11:11:00Z">
        <w:r>
          <w:t>concurrent to the Impact evaluation</w:t>
        </w:r>
      </w:ins>
      <w:ins w:id="347" w:author="Danryd, Anders R" w:date="2021-11-17T11:13:00Z">
        <w:r w:rsidR="00A425FD">
          <w:t xml:space="preserve"> in Winter 2018-2019</w:t>
        </w:r>
      </w:ins>
      <w:ins w:id="348" w:author="Danryd, Anders R" w:date="2021-11-17T11:11:00Z">
        <w:r>
          <w:t xml:space="preserve"> in </w:t>
        </w:r>
        <w:commentRangeStart w:id="349"/>
        <w:commentRangeStart w:id="350"/>
        <w:r>
          <w:t>SCG</w:t>
        </w:r>
      </w:ins>
      <w:ins w:id="351" w:author="Danryd, Anders R" w:date="2021-11-22T14:08:00Z">
        <w:r w:rsidR="00583868">
          <w:rPr>
            <w:rStyle w:val="FootnoteReference"/>
          </w:rPr>
          <w:footnoteReference w:id="32"/>
        </w:r>
      </w:ins>
      <w:ins w:id="362" w:author="Danryd, Anders R" w:date="2021-11-17T11:11:00Z">
        <w:r>
          <w:t xml:space="preserve"> and MCE</w:t>
        </w:r>
      </w:ins>
      <w:ins w:id="363" w:author="Danryd, Anders R" w:date="2021-11-22T14:10:00Z">
        <w:r w:rsidR="00583868">
          <w:rPr>
            <w:rStyle w:val="FootnoteReference"/>
          </w:rPr>
          <w:footnoteReference w:id="33"/>
        </w:r>
      </w:ins>
      <w:ins w:id="367" w:author="Danryd, Anders R" w:date="2021-11-17T11:11:00Z">
        <w:r>
          <w:t xml:space="preserve"> service territories</w:t>
        </w:r>
      </w:ins>
      <w:commentRangeEnd w:id="349"/>
      <w:r w:rsidR="0067352B">
        <w:rPr>
          <w:rStyle w:val="CommentReference"/>
        </w:rPr>
        <w:commentReference w:id="349"/>
      </w:r>
      <w:commentRangeEnd w:id="350"/>
      <w:r w:rsidR="00583868">
        <w:rPr>
          <w:rStyle w:val="CommentReference"/>
        </w:rPr>
        <w:commentReference w:id="350"/>
      </w:r>
      <w:ins w:id="368" w:author="Danryd, Anders R" w:date="2021-11-17T11:11:00Z">
        <w:r>
          <w:t xml:space="preserve">. To </w:t>
        </w:r>
      </w:ins>
      <w:ins w:id="369" w:author="Danryd, Anders R" w:date="2021-11-17T11:16:00Z">
        <w:r w:rsidR="00A425FD">
          <w:t>calculate</w:t>
        </w:r>
      </w:ins>
      <w:ins w:id="370" w:author="Danryd, Anders R" w:date="2021-11-17T11:11:00Z">
        <w:r>
          <w:t xml:space="preserve"> the </w:t>
        </w:r>
        <w:del w:id="371" w:author="Casco, Lake" w:date="2021-11-22T12:14:00Z">
          <w:r w:rsidDel="000943A0">
            <w:delText xml:space="preserve">percent of </w:delText>
          </w:r>
        </w:del>
        <w:r>
          <w:t>thermostat optimization savings that had already been captured as part of the</w:t>
        </w:r>
      </w:ins>
      <w:ins w:id="372" w:author="Danryd, Anders R" w:date="2021-11-17T11:15:00Z">
        <w:r w:rsidR="00A425FD">
          <w:t xml:space="preserve"> 2019</w:t>
        </w:r>
      </w:ins>
      <w:ins w:id="373" w:author="Danryd, Anders R" w:date="2021-11-17T11:11:00Z">
        <w:r>
          <w:t xml:space="preserve"> impact evaluation,</w:t>
        </w:r>
      </w:ins>
      <w:ins w:id="374" w:author="Danryd, Anders R" w:date="2021-11-17T11:12:00Z">
        <w:r>
          <w:t xml:space="preserve"> </w:t>
        </w:r>
      </w:ins>
      <w:ins w:id="375" w:author="Casco, Lake" w:date="2021-11-22T12:16:00Z">
        <w:r w:rsidR="000943A0">
          <w:t>the percent of</w:t>
        </w:r>
      </w:ins>
      <w:ins w:id="376" w:author="Casco, Lake" w:date="2021-11-22T12:22:00Z">
        <w:r w:rsidR="000943A0">
          <w:t xml:space="preserve"> participating</w:t>
        </w:r>
      </w:ins>
      <w:ins w:id="377" w:author="Casco, Lake" w:date="2021-11-22T12:16:00Z">
        <w:r w:rsidR="000943A0">
          <w:t xml:space="preserve"> thermostats </w:t>
        </w:r>
      </w:ins>
      <w:ins w:id="378" w:author="Casco, Lake" w:date="2021-11-22T12:17:00Z">
        <w:r w:rsidR="000943A0">
          <w:t xml:space="preserve">was </w:t>
        </w:r>
      </w:ins>
      <w:ins w:id="379" w:author="Casco, Lake" w:date="2021-11-22T12:21:00Z">
        <w:r w:rsidR="000943A0">
          <w:t>calculated</w:t>
        </w:r>
      </w:ins>
      <w:ins w:id="380" w:author="Casco, Lake" w:date="2021-11-22T12:17:00Z">
        <w:r w:rsidR="000943A0">
          <w:t xml:space="preserve"> </w:t>
        </w:r>
      </w:ins>
      <w:ins w:id="381" w:author="Casco, Lake" w:date="2021-11-22T12:21:00Z">
        <w:r w:rsidR="000943A0">
          <w:t xml:space="preserve">by climate zone </w:t>
        </w:r>
      </w:ins>
      <w:ins w:id="382" w:author="Casco, Lake" w:date="2021-11-22T12:27:00Z">
        <w:r w:rsidR="00573D6A">
          <w:t>using</w:t>
        </w:r>
      </w:ins>
      <w:ins w:id="383" w:author="Casco, Lake" w:date="2021-11-22T12:17:00Z">
        <w:r w:rsidR="000943A0">
          <w:t xml:space="preserve"> data </w:t>
        </w:r>
      </w:ins>
      <w:ins w:id="384" w:author="Casco, Lake" w:date="2021-11-22T12:21:00Z">
        <w:r w:rsidR="000943A0">
          <w:t>collected by</w:t>
        </w:r>
      </w:ins>
      <w:ins w:id="385" w:author="Casco, Lake" w:date="2021-11-22T12:17:00Z">
        <w:r w:rsidR="000943A0">
          <w:t xml:space="preserve"> the leading smart thermostat</w:t>
        </w:r>
      </w:ins>
      <w:ins w:id="386" w:author="Casco, Lake" w:date="2021-11-22T12:22:00Z">
        <w:r w:rsidR="000943A0">
          <w:t xml:space="preserve"> for</w:t>
        </w:r>
      </w:ins>
      <w:ins w:id="387" w:author="Casco, Lake" w:date="2021-11-22T12:17:00Z">
        <w:r w:rsidR="000943A0">
          <w:t xml:space="preserve"> both SCE and MCE. </w:t>
        </w:r>
      </w:ins>
      <w:ins w:id="388" w:author="Casco, Lake" w:date="2021-11-22T12:18:00Z">
        <w:r w:rsidR="000943A0">
          <w:t>These percentages were multiplied by th</w:t>
        </w:r>
      </w:ins>
      <w:ins w:id="389" w:author="Casco, Lake" w:date="2021-11-22T12:19:00Z">
        <w:r w:rsidR="000943A0">
          <w:t xml:space="preserve">e average therms savings </w:t>
        </w:r>
      </w:ins>
      <w:ins w:id="390" w:author="Casco, Lake" w:date="2021-11-22T12:20:00Z">
        <w:r w:rsidR="000943A0">
          <w:t xml:space="preserve">per deployment </w:t>
        </w:r>
      </w:ins>
      <w:ins w:id="391" w:author="Casco, Lake" w:date="2021-11-22T12:19:00Z">
        <w:r w:rsidR="000943A0">
          <w:t xml:space="preserve">for customers who opted into the </w:t>
        </w:r>
      </w:ins>
      <w:ins w:id="392" w:author="Casco, Lake" w:date="2021-11-22T12:20:00Z">
        <w:r w:rsidR="000943A0">
          <w:t xml:space="preserve">TO </w:t>
        </w:r>
      </w:ins>
      <w:ins w:id="393" w:author="Casco, Lake" w:date="2021-11-22T12:19:00Z">
        <w:r w:rsidR="000943A0">
          <w:t xml:space="preserve">programs for each </w:t>
        </w:r>
      </w:ins>
      <w:ins w:id="394" w:author="Casco, Lake" w:date="2021-11-22T12:23:00Z">
        <w:r w:rsidR="000943A0">
          <w:t>utility</w:t>
        </w:r>
      </w:ins>
      <w:ins w:id="395" w:author="Casco, Lake" w:date="2021-11-22T12:20:00Z">
        <w:r w:rsidR="000943A0">
          <w:t xml:space="preserve">. </w:t>
        </w:r>
      </w:ins>
      <w:ins w:id="396" w:author="Danryd, Anders R" w:date="2021-11-17T11:10:00Z">
        <w:del w:id="397" w:author="Casco, Lake" w:date="2021-11-22T12:20:00Z">
          <w:r w:rsidRPr="00D010D3" w:rsidDel="000943A0">
            <w:rPr>
              <w:rPrChange w:id="398" w:author="Casco, Lake" w:date="2021-11-22T11:48:00Z">
                <w:rPr>
                  <w:color w:val="FF6D2E" w:themeColor="accent1"/>
                </w:rPr>
              </w:rPrChange>
            </w:rPr>
            <w:delText>the aggregate therm savings for the winter 2019 deploymen</w:delText>
          </w:r>
        </w:del>
      </w:ins>
      <w:ins w:id="399" w:author="Danryd, Anders R" w:date="2021-11-17T11:15:00Z">
        <w:del w:id="400" w:author="Casco, Lake" w:date="2021-11-22T12:20:00Z">
          <w:r w:rsidR="00A425FD" w:rsidRPr="00D010D3" w:rsidDel="000943A0">
            <w:rPr>
              <w:rPrChange w:id="401" w:author="Casco, Lake" w:date="2021-11-22T11:48:00Z">
                <w:rPr>
                  <w:color w:val="FF6D2E" w:themeColor="accent1"/>
                </w:rPr>
              </w:rPrChange>
            </w:rPr>
            <w:delText>ts</w:delText>
          </w:r>
        </w:del>
      </w:ins>
      <w:ins w:id="402" w:author="Danryd, Anders R" w:date="2021-11-17T11:10:00Z">
        <w:del w:id="403" w:author="Casco, Lake" w:date="2021-11-22T12:20:00Z">
          <w:r w:rsidRPr="00D010D3" w:rsidDel="000943A0">
            <w:rPr>
              <w:rPrChange w:id="404" w:author="Casco, Lake" w:date="2021-11-22T11:48:00Z">
                <w:rPr>
                  <w:color w:val="FF6D2E" w:themeColor="accent1"/>
                </w:rPr>
              </w:rPrChange>
            </w:rPr>
            <w:delText xml:space="preserve"> w</w:delText>
          </w:r>
        </w:del>
      </w:ins>
      <w:ins w:id="405" w:author="Danryd, Anders R" w:date="2021-11-17T11:15:00Z">
        <w:del w:id="406" w:author="Casco, Lake" w:date="2021-11-22T12:20:00Z">
          <w:r w:rsidR="00A425FD" w:rsidRPr="00D010D3" w:rsidDel="000943A0">
            <w:rPr>
              <w:rPrChange w:id="407" w:author="Casco, Lake" w:date="2021-11-22T11:48:00Z">
                <w:rPr>
                  <w:color w:val="FF6D2E" w:themeColor="accent1"/>
                </w:rPr>
              </w:rPrChange>
            </w:rPr>
            <w:delText>ere</w:delText>
          </w:r>
        </w:del>
      </w:ins>
      <w:ins w:id="408" w:author="Danryd, Anders R" w:date="2021-11-17T11:10:00Z">
        <w:del w:id="409" w:author="Casco, Lake" w:date="2021-11-22T12:20:00Z">
          <w:r w:rsidRPr="00D010D3" w:rsidDel="000943A0">
            <w:rPr>
              <w:rPrChange w:id="410" w:author="Casco, Lake" w:date="2021-11-22T11:48:00Z">
                <w:rPr>
                  <w:color w:val="FF6D2E" w:themeColor="accent1"/>
                </w:rPr>
              </w:rPrChange>
            </w:rPr>
            <w:delText xml:space="preserve"> calculated by climate zone</w:delText>
          </w:r>
        </w:del>
        <w:del w:id="411" w:author="Casco, Lake" w:date="2021-11-22T11:53:00Z">
          <w:r w:rsidRPr="00D010D3" w:rsidDel="00D010D3">
            <w:rPr>
              <w:rPrChange w:id="412" w:author="Casco, Lake" w:date="2021-11-22T11:48:00Z">
                <w:rPr>
                  <w:color w:val="FF6D2E" w:themeColor="accent1"/>
                </w:rPr>
              </w:rPrChange>
            </w:rPr>
            <w:delText>,</w:delText>
          </w:r>
        </w:del>
        <w:del w:id="413" w:author="Casco, Lake" w:date="2021-11-22T12:20:00Z">
          <w:r w:rsidRPr="00D010D3" w:rsidDel="000943A0">
            <w:rPr>
              <w:rPrChange w:id="414" w:author="Casco, Lake" w:date="2021-11-22T11:48:00Z">
                <w:rPr>
                  <w:color w:val="FF6D2E" w:themeColor="accent1"/>
                </w:rPr>
              </w:rPrChange>
            </w:rPr>
            <w:delText xml:space="preserve"> based on the number of thermostats that opted-in</w:delText>
          </w:r>
        </w:del>
        <w:del w:id="415" w:author="Casco, Lake" w:date="2021-11-22T11:54:00Z">
          <w:r w:rsidRPr="00D010D3" w:rsidDel="00D010D3">
            <w:rPr>
              <w:rPrChange w:id="416" w:author="Casco, Lake" w:date="2021-11-22T11:48:00Z">
                <w:rPr>
                  <w:color w:val="FF6D2E" w:themeColor="accent1"/>
                </w:rPr>
              </w:rPrChange>
            </w:rPr>
            <w:delText>,</w:delText>
          </w:r>
        </w:del>
        <w:del w:id="417" w:author="Casco, Lake" w:date="2021-11-22T12:20:00Z">
          <w:r w:rsidRPr="00D010D3" w:rsidDel="000943A0">
            <w:rPr>
              <w:rPrChange w:id="418" w:author="Casco, Lake" w:date="2021-11-22T11:48:00Z">
                <w:rPr>
                  <w:color w:val="FF6D2E" w:themeColor="accent1"/>
                </w:rPr>
              </w:rPrChange>
            </w:rPr>
            <w:delText xml:space="preserve"> and the average therm savings per opt-in for each deployment</w:delText>
          </w:r>
        </w:del>
        <w:del w:id="419" w:author="Casco, Lake" w:date="2021-11-22T11:56:00Z">
          <w:r w:rsidRPr="00D010D3" w:rsidDel="00D010D3">
            <w:rPr>
              <w:rPrChange w:id="420" w:author="Casco, Lake" w:date="2021-11-22T11:48:00Z">
                <w:rPr>
                  <w:color w:val="FF6D2E" w:themeColor="accent1"/>
                </w:rPr>
              </w:rPrChange>
            </w:rPr>
            <w:delText>.</w:delText>
          </w:r>
        </w:del>
        <w:del w:id="421" w:author="Casco, Lake" w:date="2021-11-22T12:20:00Z">
          <w:r w:rsidRPr="00D010D3" w:rsidDel="000943A0">
            <w:rPr>
              <w:rPrChange w:id="422" w:author="Casco, Lake" w:date="2021-11-22T11:48:00Z">
                <w:rPr>
                  <w:color w:val="FF6D2E" w:themeColor="accent1"/>
                </w:rPr>
              </w:rPrChange>
            </w:rPr>
            <w:delText xml:space="preserve"> </w:delText>
          </w:r>
          <w:commentRangeStart w:id="423"/>
          <w:commentRangeStart w:id="424"/>
          <w:r w:rsidRPr="00D010D3" w:rsidDel="000943A0">
            <w:rPr>
              <w:rPrChange w:id="425" w:author="Casco, Lake" w:date="2021-11-22T11:48:00Z">
                <w:rPr>
                  <w:color w:val="FF6D2E" w:themeColor="accent1"/>
                </w:rPr>
              </w:rPrChange>
            </w:rPr>
            <w:delText>These aggregate savings were then divided by the total thermostat population in each climate zone, to get the average impact per total smart thermostat population</w:delText>
          </w:r>
        </w:del>
      </w:ins>
      <w:commentRangeEnd w:id="423"/>
      <w:del w:id="426" w:author="Casco, Lake" w:date="2021-11-22T12:20:00Z">
        <w:r w:rsidR="00D010D3" w:rsidDel="000943A0">
          <w:rPr>
            <w:rStyle w:val="CommentReference"/>
          </w:rPr>
          <w:commentReference w:id="423"/>
        </w:r>
      </w:del>
      <w:commentRangeEnd w:id="424"/>
      <w:r w:rsidR="00583868">
        <w:rPr>
          <w:rStyle w:val="CommentReference"/>
        </w:rPr>
        <w:commentReference w:id="424"/>
      </w:r>
      <w:ins w:id="427" w:author="Danryd, Anders R" w:date="2021-11-17T11:12:00Z">
        <w:del w:id="428" w:author="Casco, Lake" w:date="2021-11-22T12:20:00Z">
          <w:r w:rsidR="00A425FD" w:rsidRPr="00D010D3" w:rsidDel="000943A0">
            <w:rPr>
              <w:rPrChange w:id="429" w:author="Casco, Lake" w:date="2021-11-22T11:48:00Z">
                <w:rPr>
                  <w:color w:val="FF6D2E" w:themeColor="accent1"/>
                </w:rPr>
              </w:rPrChange>
            </w:rPr>
            <w:delText>.</w:delText>
          </w:r>
        </w:del>
      </w:ins>
      <w:ins w:id="430" w:author="Casco, Lake" w:date="2021-11-22T12:20:00Z">
        <w:r w:rsidR="000943A0">
          <w:t>T</w:t>
        </w:r>
      </w:ins>
      <w:ins w:id="431" w:author="Danryd, Anders R" w:date="2021-11-17T11:12:00Z">
        <w:del w:id="432" w:author="Casco, Lake" w:date="2021-11-22T12:20:00Z">
          <w:r w:rsidR="00A425FD" w:rsidRPr="00D010D3" w:rsidDel="000943A0">
            <w:rPr>
              <w:rPrChange w:id="433" w:author="Casco, Lake" w:date="2021-11-22T11:48:00Z">
                <w:rPr>
                  <w:color w:val="FF6D2E" w:themeColor="accent1"/>
                </w:rPr>
              </w:rPrChange>
            </w:rPr>
            <w:delText xml:space="preserve"> T</w:delText>
          </w:r>
        </w:del>
        <w:r w:rsidR="00A425FD" w:rsidRPr="00D010D3">
          <w:rPr>
            <w:rPrChange w:id="434" w:author="Casco, Lake" w:date="2021-11-22T11:48:00Z">
              <w:rPr>
                <w:color w:val="FF6D2E" w:themeColor="accent1"/>
              </w:rPr>
            </w:rPrChange>
          </w:rPr>
          <w:t xml:space="preserve">he </w:t>
        </w:r>
      </w:ins>
      <w:ins w:id="435" w:author="Danryd, Anders R" w:date="2021-11-17T11:15:00Z">
        <w:r w:rsidR="00A425FD" w:rsidRPr="00D010D3">
          <w:rPr>
            <w:rPrChange w:id="436" w:author="Casco, Lake" w:date="2021-11-22T11:48:00Z">
              <w:rPr>
                <w:color w:val="FF6D2E" w:themeColor="accent1"/>
              </w:rPr>
            </w:rPrChange>
          </w:rPr>
          <w:t>TO</w:t>
        </w:r>
      </w:ins>
      <w:ins w:id="437" w:author="Danryd, Anders R" w:date="2021-11-17T11:12:00Z">
        <w:r w:rsidR="00A425FD" w:rsidRPr="00D010D3">
          <w:rPr>
            <w:rPrChange w:id="438" w:author="Casco, Lake" w:date="2021-11-22T11:48:00Z">
              <w:rPr>
                <w:color w:val="FF6D2E" w:themeColor="accent1"/>
              </w:rPr>
            </w:rPrChange>
          </w:rPr>
          <w:t xml:space="preserve"> savings were then adjusted down by the amount above to take into account the overlap from the program.</w:t>
        </w:r>
      </w:ins>
    </w:p>
    <w:p w14:paraId="6D6A47C0" w14:textId="77777777" w:rsidR="00266181" w:rsidRDefault="00266181" w:rsidP="00266181">
      <w:pPr>
        <w:spacing w:before="0" w:after="0"/>
        <w:rPr>
          <w:ins w:id="439" w:author="Danryd, Anders R" w:date="2021-11-17T10:55:00Z"/>
        </w:rPr>
      </w:pPr>
    </w:p>
    <w:p w14:paraId="2159C60F" w14:textId="77777777" w:rsidR="00266181" w:rsidRPr="00C17038" w:rsidRDefault="00266181" w:rsidP="00266181">
      <w:pPr>
        <w:pStyle w:val="eTRMHeading4"/>
        <w:rPr>
          <w:ins w:id="440" w:author="Danryd, Anders R" w:date="2021-11-17T10:55:00Z"/>
          <w:b/>
          <w:bCs/>
        </w:rPr>
      </w:pPr>
      <w:ins w:id="441" w:author="Danryd, Anders R" w:date="2021-11-17T10:55:00Z">
        <w:r w:rsidRPr="00C17038">
          <w:rPr>
            <w:b/>
            <w:bCs/>
          </w:rPr>
          <w:t>Downstream and Upstream Rebate Programs</w:t>
        </w:r>
      </w:ins>
    </w:p>
    <w:p w14:paraId="0C0FE86C" w14:textId="77777777" w:rsidR="00266181" w:rsidRDefault="00266181" w:rsidP="00266181">
      <w:pPr>
        <w:spacing w:before="0" w:after="0"/>
        <w:rPr>
          <w:ins w:id="442" w:author="Danryd, Anders R" w:date="2021-11-17T10:55:00Z"/>
        </w:rPr>
      </w:pPr>
      <w:ins w:id="443" w:author="Danryd, Anders R" w:date="2021-11-17T10:55:00Z">
        <w:r w:rsidRPr="002C2D46">
          <w:t xml:space="preserve">Measure savings </w:t>
        </w:r>
        <w:r>
          <w:t xml:space="preserve">for Downstream programs </w:t>
        </w:r>
        <w:r w:rsidRPr="002C2D46">
          <w:t>are adopted from</w:t>
        </w:r>
        <w:r>
          <w:t xml:space="preserve"> the PY2018</w:t>
        </w:r>
        <w:r w:rsidRPr="002C2D46">
          <w:t xml:space="preserve"> </w:t>
        </w:r>
        <w:r w:rsidRPr="00C17038">
          <w:t>Impact Evaluation study.</w:t>
        </w:r>
        <w:r>
          <w:rPr>
            <w:rStyle w:val="FootnoteReference"/>
          </w:rPr>
          <w:footnoteReference w:id="34"/>
        </w:r>
        <w:r w:rsidRPr="002C2D46">
          <w:t xml:space="preserve">  The evaluation takes a two-stage modeling approach to estimate the effect of smart thermostats on energy consumption. The approach uses variable degree-day PRISM</w:t>
        </w:r>
        <w:r>
          <w:t>,</w:t>
        </w:r>
        <w:r w:rsidRPr="002C2D46">
          <w:rPr>
            <w:rStyle w:val="FootnoteReference"/>
          </w:rPr>
          <w:footnoteReference w:id="35"/>
        </w:r>
        <w:r w:rsidRPr="002C2D46">
          <w:t xml:space="preserve"> site-level models with a matched comparison group in a difference-in-difference (DID) framework.</w:t>
        </w:r>
        <w:r>
          <w:t xml:space="preserve">  For details on measure savings estimates methods refer to referenced study.</w:t>
        </w:r>
        <w:r>
          <w:rPr>
            <w:rStyle w:val="FootnoteReference"/>
          </w:rPr>
          <w:footnoteReference w:id="36"/>
        </w:r>
        <w:r>
          <w:t xml:space="preserve"> </w:t>
        </w:r>
      </w:ins>
    </w:p>
    <w:p w14:paraId="595428D6" w14:textId="77777777" w:rsidR="00266181" w:rsidRDefault="00266181" w:rsidP="00266181">
      <w:pPr>
        <w:spacing w:before="0" w:after="0"/>
        <w:rPr>
          <w:ins w:id="450" w:author="Danryd, Anders R" w:date="2021-11-17T10:55:00Z"/>
        </w:rPr>
      </w:pPr>
    </w:p>
    <w:p w14:paraId="0CAF7D07" w14:textId="77777777" w:rsidR="00266181" w:rsidRPr="00C17038" w:rsidRDefault="00266181" w:rsidP="00266181">
      <w:pPr>
        <w:spacing w:before="0" w:after="0"/>
        <w:rPr>
          <w:ins w:id="451" w:author="Danryd, Anders R" w:date="2021-11-17T10:55:00Z"/>
        </w:rPr>
      </w:pPr>
      <w:ins w:id="452" w:author="Danryd, Anders R" w:date="2021-11-17T10:55:00Z">
        <w:r>
          <w:t>The Impact Evaluation included IOU-specific savings potentials.  However, the study (originally) did not include IOU-weighted savings for overlapping Climate Zones and savings for Climate Zone 1.  Further, the study did not delineate measure savings between central systems with electric heating (or heat pump heating) versus gas heating.  After collaboration between IOUs and CPUC, measure savings were adjusted, and clarifications were provided by the CPUC to address these data gaps.</w:t>
        </w:r>
        <w:r>
          <w:rPr>
            <w:rStyle w:val="FootnoteReference"/>
          </w:rPr>
          <w:footnoteReference w:id="37"/>
        </w:r>
        <w:r>
          <w:t xml:space="preserve"> Adjusted measure savings estimates were provided by commission staff consultant to IOUs via email.</w:t>
        </w:r>
        <w:r w:rsidRPr="00C17038">
          <w:footnoteReference w:id="38"/>
        </w:r>
        <w:r>
          <w:t xml:space="preserve"> </w:t>
        </w:r>
      </w:ins>
    </w:p>
    <w:p w14:paraId="435C1C81" w14:textId="77777777" w:rsidR="00266181" w:rsidRDefault="00266181" w:rsidP="00266181">
      <w:pPr>
        <w:spacing w:before="0" w:after="0"/>
        <w:rPr>
          <w:ins w:id="457" w:author="Danryd, Anders R" w:date="2021-11-17T10:55:00Z"/>
        </w:rPr>
      </w:pPr>
    </w:p>
    <w:p w14:paraId="3FBE6C16" w14:textId="251758EA" w:rsidR="00266181" w:rsidRDefault="00266181" w:rsidP="00266181">
      <w:pPr>
        <w:pStyle w:val="BodyText"/>
        <w:rPr>
          <w:ins w:id="458" w:author="Danryd, Anders R" w:date="2021-11-17T11:09:00Z"/>
          <w:b w:val="0"/>
          <w:bCs w:val="0"/>
          <w:caps w:val="0"/>
        </w:rPr>
      </w:pPr>
      <w:ins w:id="459" w:author="Danryd, Anders R" w:date="2021-11-17T10:55:00Z">
        <w:r w:rsidRPr="00EE46F6">
          <w:rPr>
            <w:b w:val="0"/>
            <w:bCs w:val="0"/>
            <w:caps w:val="0"/>
          </w:rPr>
          <w:t xml:space="preserve">In the CPUC’s approval of the adjusted Direct Install measures they also </w:t>
        </w:r>
        <w:r>
          <w:rPr>
            <w:b w:val="0"/>
            <w:bCs w:val="0"/>
            <w:caps w:val="0"/>
          </w:rPr>
          <w:t>approved</w:t>
        </w:r>
        <w:r w:rsidRPr="00C17038">
          <w:rPr>
            <w:b w:val="0"/>
            <w:bCs w:val="0"/>
            <w:caps w:val="0"/>
          </w:rPr>
          <w:t xml:space="preserve"> the inclusion of the temperature optimization program savings for Downstream Rebate measures. The same 2.</w:t>
        </w:r>
      </w:ins>
      <w:ins w:id="460" w:author="Danryd, Anders R" w:date="2021-11-17T11:06:00Z">
        <w:r w:rsidR="00111727">
          <w:rPr>
            <w:b w:val="0"/>
            <w:bCs w:val="0"/>
            <w:caps w:val="0"/>
          </w:rPr>
          <w:t>62</w:t>
        </w:r>
      </w:ins>
      <w:ins w:id="461" w:author="Danryd, Anders R" w:date="2021-11-17T10:55:00Z">
        <w:r w:rsidRPr="00C17038">
          <w:rPr>
            <w:b w:val="0"/>
            <w:bCs w:val="0"/>
            <w:caps w:val="0"/>
          </w:rPr>
          <w:t xml:space="preserve">% of </w:t>
        </w:r>
      </w:ins>
      <w:ins w:id="462" w:author="Danryd, Anders R" w:date="2021-11-17T11:06:00Z">
        <w:r w:rsidR="00111727">
          <w:rPr>
            <w:b w:val="0"/>
            <w:bCs w:val="0"/>
            <w:caps w:val="0"/>
          </w:rPr>
          <w:t>heat</w:t>
        </w:r>
      </w:ins>
      <w:ins w:id="463" w:author="Danryd, Anders R" w:date="2021-11-17T10:55:00Z">
        <w:r w:rsidRPr="00C17038">
          <w:rPr>
            <w:b w:val="0"/>
            <w:bCs w:val="0"/>
            <w:caps w:val="0"/>
          </w:rPr>
          <w:t xml:space="preserve">ing load savings was assumed to be consistent with the Direct Install calculations. The </w:t>
        </w:r>
      </w:ins>
      <w:ins w:id="464" w:author="Danryd, Anders R" w:date="2021-11-17T11:20:00Z">
        <w:r w:rsidR="00A425FD">
          <w:rPr>
            <w:b w:val="0"/>
            <w:bCs w:val="0"/>
            <w:caps w:val="0"/>
          </w:rPr>
          <w:t>gas</w:t>
        </w:r>
      </w:ins>
      <w:ins w:id="465" w:author="Danryd, Anders R" w:date="2021-11-17T10:55:00Z">
        <w:r>
          <w:t xml:space="preserve"> </w:t>
        </w:r>
      </w:ins>
      <w:ins w:id="466" w:author="Danryd, Anders R" w:date="2021-11-17T11:07:00Z">
        <w:r w:rsidR="00111727">
          <w:rPr>
            <w:b w:val="0"/>
            <w:bCs w:val="0"/>
            <w:caps w:val="0"/>
          </w:rPr>
          <w:t>heati</w:t>
        </w:r>
      </w:ins>
      <w:ins w:id="467" w:author="Danryd, Anders R" w:date="2021-11-17T10:55:00Z">
        <w:r w:rsidRPr="00EE46F6">
          <w:rPr>
            <w:b w:val="0"/>
            <w:bCs w:val="0"/>
            <w:caps w:val="0"/>
          </w:rPr>
          <w:t>ng load from the PY 2018 Impact Evaluation Table 5-</w:t>
        </w:r>
      </w:ins>
      <w:ins w:id="468" w:author="Danryd, Anders R" w:date="2021-11-17T11:07:00Z">
        <w:r w:rsidR="00111727">
          <w:rPr>
            <w:b w:val="0"/>
            <w:bCs w:val="0"/>
            <w:caps w:val="0"/>
          </w:rPr>
          <w:t>7</w:t>
        </w:r>
      </w:ins>
      <w:ins w:id="469" w:author="Danryd, Anders R" w:date="2021-11-17T10:55:00Z">
        <w:r w:rsidRPr="00111727">
          <w:rPr>
            <w:b w:val="0"/>
            <w:bCs w:val="0"/>
            <w:caps w:val="0"/>
            <w:vertAlign w:val="superscript"/>
          </w:rPr>
          <w:footnoteReference w:id="39"/>
        </w:r>
        <w:r w:rsidRPr="00EE46F6">
          <w:rPr>
            <w:b w:val="0"/>
            <w:bCs w:val="0"/>
            <w:caps w:val="0"/>
          </w:rPr>
          <w:t xml:space="preserve"> was used to calculate the additional TO savings attributions per climate zone, in order to be con</w:t>
        </w:r>
        <w:r w:rsidRPr="00C17038">
          <w:rPr>
            <w:b w:val="0"/>
            <w:bCs w:val="0"/>
            <w:caps w:val="0"/>
          </w:rPr>
          <w:t>sistent with the source of savings for the Downstream Rebate measures.</w:t>
        </w:r>
        <w:r w:rsidRPr="00FA0AA1">
          <w:rPr>
            <w:b w:val="0"/>
            <w:bCs w:val="0"/>
            <w:caps w:val="0"/>
            <w:vertAlign w:val="superscript"/>
          </w:rPr>
          <w:footnoteReference w:id="40"/>
        </w:r>
        <w:r w:rsidRPr="00EE46F6">
          <w:rPr>
            <w:b w:val="0"/>
            <w:bCs w:val="0"/>
            <w:caps w:val="0"/>
          </w:rPr>
          <w:t xml:space="preserve">  Since the current Downstream Rebate savings only vary by climate zone, the use of climate zone only adjustment is consistent with the previous measure analysis.</w:t>
        </w:r>
      </w:ins>
    </w:p>
    <w:p w14:paraId="3EDF90E1" w14:textId="77777777" w:rsidR="00111727" w:rsidRPr="00C17038" w:rsidRDefault="00111727" w:rsidP="00266181">
      <w:pPr>
        <w:pStyle w:val="BodyText"/>
        <w:rPr>
          <w:ins w:id="478" w:author="Danryd, Anders R" w:date="2021-11-17T10:55:00Z"/>
          <w:b w:val="0"/>
          <w:bCs w:val="0"/>
          <w:caps w:val="0"/>
        </w:rPr>
      </w:pPr>
    </w:p>
    <w:p w14:paraId="15ACD02C" w14:textId="0E55810D" w:rsidR="00266181" w:rsidRPr="00111727" w:rsidRDefault="00266181" w:rsidP="00111727">
      <w:pPr>
        <w:pStyle w:val="BodyText"/>
        <w:rPr>
          <w:ins w:id="479" w:author="Danryd, Anders R" w:date="2021-11-17T10:53:00Z"/>
          <w:w w:val="102"/>
        </w:rPr>
      </w:pPr>
      <w:ins w:id="480" w:author="Danryd, Anders R" w:date="2021-11-17T10:55:00Z">
        <w:r w:rsidRPr="00F17D87">
          <w:rPr>
            <w:b w:val="0"/>
            <w:bCs w:val="0"/>
            <w:caps w:val="0"/>
          </w:rPr>
          <w:t>The downstream rebate savings are also being used for upstream savings. Since the savings for the downstream measures do not vary by building type</w:t>
        </w:r>
        <w:r>
          <w:rPr>
            <w:b w:val="0"/>
            <w:bCs w:val="0"/>
            <w:caps w:val="0"/>
          </w:rPr>
          <w:t>, the sector-wide</w:t>
        </w:r>
        <w:r w:rsidRPr="00F17D87">
          <w:rPr>
            <w:b w:val="0"/>
            <w:bCs w:val="0"/>
            <w:caps w:val="0"/>
          </w:rPr>
          <w:t xml:space="preserve"> “</w:t>
        </w:r>
        <w:r>
          <w:rPr>
            <w:b w:val="0"/>
            <w:bCs w:val="0"/>
            <w:caps w:val="0"/>
          </w:rPr>
          <w:t>R</w:t>
        </w:r>
        <w:r w:rsidRPr="00F17D87">
          <w:rPr>
            <w:b w:val="0"/>
            <w:bCs w:val="0"/>
            <w:caps w:val="0"/>
          </w:rPr>
          <w:t>es”</w:t>
        </w:r>
        <w:r>
          <w:rPr>
            <w:b w:val="0"/>
            <w:bCs w:val="0"/>
            <w:caps w:val="0"/>
          </w:rPr>
          <w:t xml:space="preserve"> building type has been enabled for downstream and upstream rebate measures. </w:t>
        </w:r>
      </w:ins>
    </w:p>
    <w:p w14:paraId="33621509" w14:textId="77777777" w:rsidR="00266181" w:rsidRPr="002F3A65" w:rsidRDefault="00266181" w:rsidP="002C2D46">
      <w:pPr>
        <w:spacing w:before="0" w:after="0"/>
      </w:pPr>
    </w:p>
    <w:p w14:paraId="4DDCD51F" w14:textId="3956A3CC" w:rsidR="007D230B" w:rsidRPr="00203ECA" w:rsidRDefault="00245AFF" w:rsidP="008F7149">
      <w:pPr>
        <w:pStyle w:val="eTRMHeading3"/>
      </w:pPr>
      <w:bookmarkStart w:id="481" w:name="_Toc88472705"/>
      <w:bookmarkStart w:id="482" w:name="_Toc486490859"/>
      <w:bookmarkStart w:id="483" w:name="_Toc486580930"/>
      <w:r w:rsidRPr="00203ECA">
        <w:t>Life Cycle</w:t>
      </w:r>
      <w:bookmarkEnd w:id="481"/>
      <w:r w:rsidR="007D230B" w:rsidRPr="00203ECA">
        <w:t xml:space="preserve"> </w:t>
      </w:r>
      <w:bookmarkEnd w:id="482"/>
      <w:bookmarkEnd w:id="483"/>
    </w:p>
    <w:p w14:paraId="6459579D" w14:textId="73108BAB" w:rsidR="00177EB6" w:rsidRPr="00203ECA" w:rsidRDefault="007F669E" w:rsidP="004142EF">
      <w:r w:rsidRPr="00203ECA">
        <w:t xml:space="preserve">Effective useful life (EUL) is an estimate of the median number of years that a measure installed through a program is still in place and operable. </w:t>
      </w:r>
      <w:r w:rsidR="007C4F91" w:rsidRPr="00203ECA">
        <w:rPr>
          <w:rFonts w:hint="eastAsia"/>
        </w:rPr>
        <w:t>EUL values are employed with CPUC authorized annual avoided costs and measure</w:t>
      </w:r>
      <w:r w:rsidR="007C4F91" w:rsidRPr="00203ECA">
        <w:rPr>
          <w:rFonts w:hint="eastAsia"/>
        </w:rPr>
        <w:t>‐</w:t>
      </w:r>
      <w:r w:rsidR="007C4F91" w:rsidRPr="00203ECA">
        <w:rPr>
          <w:rFonts w:hint="eastAsia"/>
        </w:rPr>
        <w:t>specific energy savings to determine lifecycle dollar benefits associated with a measure.</w:t>
      </w:r>
    </w:p>
    <w:p w14:paraId="10EDC19C" w14:textId="687E95D6" w:rsidR="0079765B" w:rsidRPr="00203ECA" w:rsidRDefault="0079765B" w:rsidP="0079765B">
      <w:r w:rsidRPr="00A50610">
        <w:rPr>
          <w:b/>
          <w:bCs/>
        </w:rPr>
        <w:t>Effective Useful Life Evaluation Protocol</w:t>
      </w:r>
      <w:r w:rsidR="00EB2DB8">
        <w:rPr>
          <w:b/>
          <w:bCs/>
        </w:rPr>
        <w:t xml:space="preserve">. </w:t>
      </w:r>
      <w:r w:rsidRPr="00203ECA">
        <w:t xml:space="preserve">Per </w:t>
      </w:r>
      <w:r w:rsidR="00226FB8">
        <w:t xml:space="preserve">the </w:t>
      </w:r>
      <w:r w:rsidRPr="00203ECA">
        <w:t>California Energy Efficiency Evaluation Protocols,</w:t>
      </w:r>
      <w:r w:rsidR="00226FB8">
        <w:rPr>
          <w:rStyle w:val="FootnoteReference"/>
        </w:rPr>
        <w:footnoteReference w:id="41"/>
      </w:r>
      <w:r w:rsidRPr="00203ECA">
        <w:t xml:space="preserve"> there are two allowable methods for EUL analysis: basic rigor and enhanced rigor.  Both methods require survival analysis or other analysis methods that specifically control for right-censored data. Right-censored data are failures that might take place after data collection. </w:t>
      </w:r>
    </w:p>
    <w:p w14:paraId="435B70EB" w14:textId="72332ED9" w:rsidR="0079765B" w:rsidRPr="00203ECA" w:rsidRDefault="0079765B" w:rsidP="0079765B">
      <w:r w:rsidRPr="00A50610">
        <w:rPr>
          <w:b/>
          <w:bCs/>
        </w:rPr>
        <w:lastRenderedPageBreak/>
        <w:t>Effective Useful Life Analysis and Results</w:t>
      </w:r>
      <w:r w:rsidR="00EB2DB8">
        <w:rPr>
          <w:b/>
          <w:bCs/>
        </w:rPr>
        <w:t>.</w:t>
      </w:r>
      <w:r w:rsidR="00EB2DB8">
        <w:rPr>
          <w:rStyle w:val="FootnoteReference"/>
          <w:b/>
          <w:bCs/>
        </w:rPr>
        <w:footnoteReference w:id="42"/>
      </w:r>
      <w:r w:rsidR="00EB2DB8">
        <w:rPr>
          <w:b/>
          <w:bCs/>
        </w:rPr>
        <w:t xml:space="preserve"> </w:t>
      </w:r>
      <w:r w:rsidRPr="00203ECA">
        <w:t xml:space="preserve">Using non-parametric Kaplan-Meier estimation methodology in </w:t>
      </w:r>
      <w:r w:rsidR="00EB2DB8">
        <w:t xml:space="preserve">the </w:t>
      </w:r>
      <w:r w:rsidRPr="00203ECA">
        <w:t xml:space="preserve">R statistical software, a survival analysis was used on data provided by two main smart thermostat vendors. Specifically, a survival analysis method was used on the thermostat connectivity data to account for right censorship in the data and to provide unbiased estimates of survival functions and rates. </w:t>
      </w:r>
    </w:p>
    <w:p w14:paraId="124149A8" w14:textId="30991DAA" w:rsidR="0079765B" w:rsidRPr="00203ECA" w:rsidRDefault="0079765B" w:rsidP="0079765B">
      <w:r w:rsidRPr="00203ECA">
        <w:t>The EUL analysis combined non-linear and linear results to quantify the uncertainty around the EUL estimates, which assisted with program implementation data, results on a weighted average value of 9.1 years.</w:t>
      </w:r>
    </w:p>
    <w:p w14:paraId="2BE8EC3E" w14:textId="47A039E8" w:rsidR="007D230B" w:rsidRPr="00203ECA" w:rsidRDefault="007F669E" w:rsidP="004142EF">
      <w:r w:rsidRPr="00203ECA">
        <w:t xml:space="preserve">The EUL specified for </w:t>
      </w:r>
      <w:r w:rsidR="00690A8C" w:rsidRPr="00203ECA">
        <w:t>the smart communicating thermostat measure</w:t>
      </w:r>
      <w:r w:rsidRPr="00203ECA">
        <w:t xml:space="preserve"> are </w:t>
      </w:r>
      <w:r w:rsidR="00690A8C" w:rsidRPr="00203ECA">
        <w:t>specified</w:t>
      </w:r>
      <w:r w:rsidRPr="00203ECA">
        <w:t xml:space="preserve"> </w:t>
      </w:r>
      <w:r w:rsidR="002F78E9" w:rsidRPr="00203ECA">
        <w:t>below.</w:t>
      </w:r>
      <w:r w:rsidR="00D76847">
        <w:t xml:space="preserve"> The EUL ID is currently included in the PEAR database</w:t>
      </w:r>
      <w:r w:rsidR="00357263">
        <w:rPr>
          <w:rStyle w:val="FootnoteReference"/>
        </w:rPr>
        <w:footnoteReference w:id="43"/>
      </w:r>
      <w:r w:rsidR="00D76847">
        <w:t xml:space="preserve">. </w:t>
      </w:r>
      <w:r w:rsidR="00B97538">
        <w:t xml:space="preserve"> </w:t>
      </w:r>
    </w:p>
    <w:p w14:paraId="7D542FEF" w14:textId="6CDDBB79" w:rsidR="00FD2C54" w:rsidRPr="00203ECA" w:rsidRDefault="00FD2C54" w:rsidP="00252E15">
      <w:pPr>
        <w:pStyle w:val="Caption"/>
      </w:pPr>
      <w:r w:rsidRPr="00203ECA">
        <w:t>Effective Useful Life</w:t>
      </w:r>
      <w:r w:rsidR="00BB4F22" w:rsidRPr="00203ECA">
        <w:t xml:space="preserve"> and Remaining Useful Life</w:t>
      </w:r>
    </w:p>
    <w:tbl>
      <w:tblPr>
        <w:tblW w:w="97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15"/>
        <w:gridCol w:w="2233"/>
        <w:gridCol w:w="1282"/>
        <w:gridCol w:w="4575"/>
      </w:tblGrid>
      <w:tr w:rsidR="00554225" w:rsidRPr="00203ECA" w14:paraId="1FE81044" w14:textId="0C091959" w:rsidTr="002C2D46">
        <w:trPr>
          <w:cantSplit/>
          <w:trHeight w:val="19"/>
        </w:trPr>
        <w:tc>
          <w:tcPr>
            <w:tcW w:w="1615" w:type="dxa"/>
            <w:shd w:val="clear" w:color="auto" w:fill="F2F2F2" w:themeFill="background1" w:themeFillShade="F2"/>
            <w:vAlign w:val="bottom"/>
          </w:tcPr>
          <w:p w14:paraId="1666F440" w14:textId="31AB2C31" w:rsidR="00554225" w:rsidRPr="00203ECA" w:rsidRDefault="00554225" w:rsidP="009C31A4">
            <w:pPr>
              <w:keepNext/>
              <w:keepLines/>
              <w:spacing w:before="20" w:after="20"/>
              <w:jc w:val="center"/>
              <w:rPr>
                <w:rFonts w:cstheme="minorHAnsi"/>
                <w:b/>
                <w:sz w:val="20"/>
                <w:szCs w:val="20"/>
              </w:rPr>
            </w:pPr>
            <w:r w:rsidRPr="00203ECA">
              <w:rPr>
                <w:rFonts w:cstheme="minorHAnsi"/>
                <w:b/>
                <w:sz w:val="20"/>
                <w:szCs w:val="20"/>
              </w:rPr>
              <w:t>Parameter</w:t>
            </w:r>
          </w:p>
        </w:tc>
        <w:tc>
          <w:tcPr>
            <w:tcW w:w="2233" w:type="dxa"/>
            <w:shd w:val="clear" w:color="auto" w:fill="F2F2F2" w:themeFill="background1" w:themeFillShade="F2"/>
          </w:tcPr>
          <w:p w14:paraId="5B993F61" w14:textId="563FA8E2" w:rsidR="00554225" w:rsidRPr="00203ECA" w:rsidRDefault="00554225" w:rsidP="009C31A4">
            <w:pPr>
              <w:keepNext/>
              <w:keepLines/>
              <w:spacing w:before="20" w:after="20"/>
              <w:jc w:val="center"/>
              <w:rPr>
                <w:rFonts w:cstheme="minorHAnsi"/>
                <w:b/>
                <w:sz w:val="20"/>
                <w:szCs w:val="20"/>
              </w:rPr>
            </w:pPr>
            <w:r>
              <w:rPr>
                <w:rFonts w:cstheme="minorHAnsi"/>
                <w:b/>
                <w:sz w:val="20"/>
                <w:szCs w:val="20"/>
              </w:rPr>
              <w:t>EUL ID</w:t>
            </w:r>
          </w:p>
        </w:tc>
        <w:tc>
          <w:tcPr>
            <w:tcW w:w="1282" w:type="dxa"/>
            <w:shd w:val="clear" w:color="auto" w:fill="F2F2F2" w:themeFill="background1" w:themeFillShade="F2"/>
          </w:tcPr>
          <w:p w14:paraId="18E57BF8" w14:textId="5B3000BD" w:rsidR="00554225" w:rsidRPr="00203ECA" w:rsidRDefault="00554225" w:rsidP="009C31A4">
            <w:pPr>
              <w:keepNext/>
              <w:keepLines/>
              <w:spacing w:before="20" w:after="20"/>
              <w:jc w:val="center"/>
              <w:rPr>
                <w:rFonts w:cstheme="minorHAnsi"/>
                <w:b/>
                <w:sz w:val="20"/>
                <w:szCs w:val="20"/>
              </w:rPr>
            </w:pPr>
            <w:r w:rsidRPr="00203ECA">
              <w:rPr>
                <w:rFonts w:cstheme="minorHAnsi"/>
                <w:b/>
                <w:sz w:val="20"/>
                <w:szCs w:val="20"/>
              </w:rPr>
              <w:t>Value</w:t>
            </w:r>
          </w:p>
        </w:tc>
        <w:tc>
          <w:tcPr>
            <w:tcW w:w="4575" w:type="dxa"/>
            <w:shd w:val="clear" w:color="auto" w:fill="F2F2F2" w:themeFill="background1" w:themeFillShade="F2"/>
          </w:tcPr>
          <w:p w14:paraId="541E1750" w14:textId="139E5C00" w:rsidR="00554225" w:rsidRPr="00203ECA" w:rsidRDefault="00554225" w:rsidP="009C31A4">
            <w:pPr>
              <w:keepNext/>
              <w:keepLines/>
              <w:spacing w:before="20" w:after="20"/>
              <w:jc w:val="center"/>
              <w:rPr>
                <w:rFonts w:cstheme="minorHAnsi"/>
                <w:b/>
                <w:sz w:val="20"/>
                <w:szCs w:val="20"/>
              </w:rPr>
            </w:pPr>
            <w:r w:rsidRPr="00203ECA">
              <w:rPr>
                <w:rFonts w:cstheme="minorHAnsi"/>
                <w:b/>
                <w:sz w:val="20"/>
                <w:szCs w:val="20"/>
              </w:rPr>
              <w:t>Source</w:t>
            </w:r>
          </w:p>
        </w:tc>
      </w:tr>
      <w:tr w:rsidR="00554225" w:rsidRPr="00203ECA" w14:paraId="7B636A73" w14:textId="217149CE" w:rsidTr="002C2D46">
        <w:trPr>
          <w:cantSplit/>
          <w:trHeight w:val="19"/>
        </w:trPr>
        <w:tc>
          <w:tcPr>
            <w:tcW w:w="1615" w:type="dxa"/>
            <w:vAlign w:val="center"/>
          </w:tcPr>
          <w:p w14:paraId="64E6D65F" w14:textId="362EF4BD" w:rsidR="00554225" w:rsidRPr="00203ECA" w:rsidRDefault="00554225" w:rsidP="002C2D46">
            <w:pPr>
              <w:keepNext/>
              <w:keepLines/>
              <w:spacing w:before="20" w:after="20"/>
              <w:jc w:val="center"/>
              <w:rPr>
                <w:sz w:val="20"/>
                <w:szCs w:val="20"/>
              </w:rPr>
            </w:pPr>
            <w:r w:rsidRPr="00203ECA">
              <w:rPr>
                <w:rFonts w:cstheme="minorHAnsi"/>
                <w:sz w:val="20"/>
                <w:szCs w:val="20"/>
              </w:rPr>
              <w:t>EUL (</w:t>
            </w:r>
            <w:proofErr w:type="spellStart"/>
            <w:r w:rsidRPr="00203ECA">
              <w:rPr>
                <w:rFonts w:cstheme="minorHAnsi"/>
                <w:sz w:val="20"/>
                <w:szCs w:val="20"/>
              </w:rPr>
              <w:t>yrs</w:t>
            </w:r>
            <w:proofErr w:type="spellEnd"/>
            <w:r w:rsidRPr="00203ECA">
              <w:rPr>
                <w:rFonts w:cstheme="minorHAnsi"/>
                <w:sz w:val="20"/>
                <w:szCs w:val="20"/>
              </w:rPr>
              <w:t>)</w:t>
            </w:r>
          </w:p>
        </w:tc>
        <w:tc>
          <w:tcPr>
            <w:tcW w:w="2233" w:type="dxa"/>
            <w:vAlign w:val="center"/>
          </w:tcPr>
          <w:p w14:paraId="17C339D3" w14:textId="11C6F4FD" w:rsidR="00554225" w:rsidRPr="002C2D46" w:rsidRDefault="00A610F9" w:rsidP="002C2D46">
            <w:pPr>
              <w:spacing w:before="0" w:after="0" w:line="240" w:lineRule="auto"/>
              <w:jc w:val="center"/>
              <w:rPr>
                <w:rFonts w:cs="Calibri Light"/>
                <w:color w:val="000000"/>
                <w:szCs w:val="22"/>
              </w:rPr>
            </w:pPr>
            <w:r w:rsidRPr="002C2D46">
              <w:rPr>
                <w:rFonts w:cs="Calibri Light"/>
                <w:color w:val="000000"/>
                <w:sz w:val="20"/>
                <w:szCs w:val="20"/>
              </w:rPr>
              <w:t>HV-</w:t>
            </w:r>
            <w:proofErr w:type="spellStart"/>
            <w:r w:rsidRPr="002C2D46">
              <w:rPr>
                <w:rFonts w:cs="Calibri Light"/>
                <w:color w:val="000000"/>
                <w:sz w:val="20"/>
                <w:szCs w:val="20"/>
              </w:rPr>
              <w:t>SmartTstat</w:t>
            </w:r>
            <w:proofErr w:type="spellEnd"/>
          </w:p>
        </w:tc>
        <w:tc>
          <w:tcPr>
            <w:tcW w:w="1282" w:type="dxa"/>
            <w:vAlign w:val="center"/>
          </w:tcPr>
          <w:p w14:paraId="636160CC" w14:textId="21215B95" w:rsidR="00554225" w:rsidRPr="00203ECA" w:rsidRDefault="00554225">
            <w:pPr>
              <w:keepNext/>
              <w:keepLines/>
              <w:spacing w:before="20" w:after="20"/>
              <w:jc w:val="center"/>
              <w:rPr>
                <w:sz w:val="20"/>
                <w:szCs w:val="20"/>
              </w:rPr>
            </w:pPr>
            <w:r w:rsidRPr="00203ECA">
              <w:rPr>
                <w:sz w:val="20"/>
                <w:szCs w:val="20"/>
              </w:rPr>
              <w:t>9.1</w:t>
            </w:r>
          </w:p>
        </w:tc>
        <w:tc>
          <w:tcPr>
            <w:tcW w:w="4575" w:type="dxa"/>
          </w:tcPr>
          <w:p w14:paraId="75A720ED" w14:textId="4C524C5E" w:rsidR="00554225" w:rsidRDefault="00357263" w:rsidP="00A50610">
            <w:pPr>
              <w:keepNext/>
              <w:keepLines/>
              <w:spacing w:before="20" w:after="20"/>
              <w:rPr>
                <w:rFonts w:cs="Calibri Light"/>
                <w:sz w:val="18"/>
                <w:szCs w:val="20"/>
              </w:rPr>
            </w:pPr>
            <w:r>
              <w:rPr>
                <w:rFonts w:cs="Calibri Light"/>
                <w:sz w:val="18"/>
                <w:szCs w:val="20"/>
              </w:rPr>
              <w:t xml:space="preserve">Original Source: </w:t>
            </w:r>
            <w:r w:rsidR="00554225" w:rsidRPr="00A50610">
              <w:rPr>
                <w:rFonts w:cs="Calibri Light"/>
                <w:sz w:val="18"/>
                <w:szCs w:val="20"/>
              </w:rPr>
              <w:t>Cadmus Group. 2019. “EUL analysis of Residential Smart Communicating Thermostat – Vendor A and B.” Memorandum to Andres Fergadiotti and Cassie Cuaresma, Southern California Edison. February 1.</w:t>
            </w:r>
          </w:p>
          <w:p w14:paraId="12293357" w14:textId="28BF8EE5" w:rsidR="00357263" w:rsidRPr="00A50610" w:rsidRDefault="00357263" w:rsidP="00A50610">
            <w:pPr>
              <w:keepNext/>
              <w:keepLines/>
              <w:spacing w:before="20" w:after="20"/>
              <w:rPr>
                <w:rFonts w:cs="Calibri Light"/>
                <w:sz w:val="18"/>
                <w:szCs w:val="20"/>
                <w:highlight w:val="yellow"/>
              </w:rPr>
            </w:pPr>
            <w:r w:rsidRPr="000A4C01">
              <w:rPr>
                <w:sz w:val="18"/>
                <w:szCs w:val="18"/>
              </w:rPr>
              <w:t>California Public Utilities Commission (CPUC). 20</w:t>
            </w:r>
            <w:r>
              <w:rPr>
                <w:sz w:val="18"/>
                <w:szCs w:val="18"/>
              </w:rPr>
              <w:t>20</w:t>
            </w:r>
            <w:r w:rsidRPr="000A4C01">
              <w:rPr>
                <w:sz w:val="18"/>
                <w:szCs w:val="18"/>
              </w:rPr>
              <w:t>. “</w:t>
            </w:r>
            <w:r w:rsidRPr="00357263">
              <w:rPr>
                <w:sz w:val="18"/>
                <w:szCs w:val="18"/>
              </w:rPr>
              <w:t>SupportTable_EUL</w:t>
            </w:r>
            <w:r>
              <w:rPr>
                <w:sz w:val="18"/>
                <w:szCs w:val="18"/>
              </w:rPr>
              <w:t>.CSV</w:t>
            </w:r>
            <w:r w:rsidRPr="000A4C01">
              <w:rPr>
                <w:sz w:val="18"/>
                <w:szCs w:val="18"/>
              </w:rPr>
              <w:t>.”</w:t>
            </w:r>
            <w:r>
              <w:rPr>
                <w:sz w:val="18"/>
                <w:szCs w:val="18"/>
              </w:rPr>
              <w:t xml:space="preserve"> Obtained from PEAR database.</w:t>
            </w:r>
          </w:p>
        </w:tc>
      </w:tr>
      <w:tr w:rsidR="00554225" w:rsidRPr="00203ECA" w14:paraId="6F51CE71" w14:textId="77777777" w:rsidTr="002C2D46">
        <w:trPr>
          <w:cantSplit/>
          <w:trHeight w:val="19"/>
        </w:trPr>
        <w:tc>
          <w:tcPr>
            <w:tcW w:w="1615" w:type="dxa"/>
            <w:vAlign w:val="center"/>
          </w:tcPr>
          <w:p w14:paraId="42C96CC1" w14:textId="6891FAB3" w:rsidR="00554225" w:rsidRPr="00203ECA" w:rsidRDefault="00554225" w:rsidP="002C2D46">
            <w:pPr>
              <w:keepNext/>
              <w:keepLines/>
              <w:spacing w:before="20" w:after="20"/>
              <w:jc w:val="center"/>
              <w:rPr>
                <w:rFonts w:cstheme="minorHAnsi"/>
                <w:sz w:val="20"/>
                <w:szCs w:val="20"/>
              </w:rPr>
            </w:pPr>
            <w:r>
              <w:rPr>
                <w:rFonts w:cstheme="minorHAnsi"/>
                <w:sz w:val="20"/>
                <w:szCs w:val="20"/>
              </w:rPr>
              <w:t>RUL (</w:t>
            </w:r>
            <w:proofErr w:type="spellStart"/>
            <w:r>
              <w:rPr>
                <w:rFonts w:cstheme="minorHAnsi"/>
                <w:sz w:val="20"/>
                <w:szCs w:val="20"/>
              </w:rPr>
              <w:t>yrs</w:t>
            </w:r>
            <w:proofErr w:type="spellEnd"/>
            <w:r>
              <w:rPr>
                <w:rFonts w:cstheme="minorHAnsi"/>
                <w:sz w:val="20"/>
                <w:szCs w:val="20"/>
              </w:rPr>
              <w:t>)</w:t>
            </w:r>
          </w:p>
        </w:tc>
        <w:tc>
          <w:tcPr>
            <w:tcW w:w="2233" w:type="dxa"/>
            <w:vAlign w:val="center"/>
          </w:tcPr>
          <w:p w14:paraId="5F9D242F" w14:textId="06F8F3AA" w:rsidR="00554225" w:rsidRDefault="00A610F9">
            <w:pPr>
              <w:keepNext/>
              <w:keepLines/>
              <w:spacing w:before="20" w:after="20"/>
              <w:jc w:val="center"/>
              <w:rPr>
                <w:sz w:val="20"/>
                <w:szCs w:val="20"/>
              </w:rPr>
            </w:pPr>
            <w:r>
              <w:rPr>
                <w:sz w:val="20"/>
                <w:szCs w:val="20"/>
              </w:rPr>
              <w:t>n/a</w:t>
            </w:r>
          </w:p>
        </w:tc>
        <w:tc>
          <w:tcPr>
            <w:tcW w:w="1282" w:type="dxa"/>
            <w:vAlign w:val="center"/>
          </w:tcPr>
          <w:p w14:paraId="445DF391" w14:textId="378E0D33" w:rsidR="00554225" w:rsidRPr="00203ECA" w:rsidRDefault="00554225">
            <w:pPr>
              <w:keepNext/>
              <w:keepLines/>
              <w:spacing w:before="20" w:after="20"/>
              <w:jc w:val="center"/>
              <w:rPr>
                <w:sz w:val="20"/>
                <w:szCs w:val="20"/>
              </w:rPr>
            </w:pPr>
            <w:r>
              <w:rPr>
                <w:sz w:val="20"/>
                <w:szCs w:val="20"/>
              </w:rPr>
              <w:t>n/a</w:t>
            </w:r>
          </w:p>
        </w:tc>
        <w:tc>
          <w:tcPr>
            <w:tcW w:w="4575" w:type="dxa"/>
          </w:tcPr>
          <w:p w14:paraId="6355D824" w14:textId="77777777" w:rsidR="00554225" w:rsidRPr="006C0416" w:rsidRDefault="00554225" w:rsidP="00177EB6">
            <w:pPr>
              <w:keepNext/>
              <w:keepLines/>
              <w:spacing w:before="20" w:after="20"/>
              <w:jc w:val="center"/>
              <w:rPr>
                <w:sz w:val="20"/>
                <w:szCs w:val="20"/>
                <w:highlight w:val="yellow"/>
              </w:rPr>
            </w:pPr>
          </w:p>
        </w:tc>
      </w:tr>
    </w:tbl>
    <w:p w14:paraId="741676B9" w14:textId="73B9775D" w:rsidR="00690A8C" w:rsidRPr="00203ECA" w:rsidRDefault="00690A8C" w:rsidP="00690A8C"/>
    <w:p w14:paraId="3B14B593" w14:textId="1610AB6E" w:rsidR="007D230B" w:rsidRPr="00203ECA" w:rsidRDefault="007D230B" w:rsidP="008F7149">
      <w:pPr>
        <w:pStyle w:val="eTRMHeading3"/>
      </w:pPr>
      <w:bookmarkStart w:id="484" w:name="_Toc486490860"/>
      <w:bookmarkStart w:id="485" w:name="_Toc486580931"/>
      <w:bookmarkStart w:id="486" w:name="_Toc88472706"/>
      <w:r w:rsidRPr="00203ECA">
        <w:t>Base Case Material Cost ($/unit)</w:t>
      </w:r>
      <w:bookmarkEnd w:id="484"/>
      <w:bookmarkEnd w:id="485"/>
      <w:bookmarkEnd w:id="486"/>
    </w:p>
    <w:p w14:paraId="27111673" w14:textId="36CABE83" w:rsidR="001B2045" w:rsidRDefault="007A0F57" w:rsidP="001B2045">
      <w:r w:rsidRPr="006E6B98">
        <w:t xml:space="preserve">The base case </w:t>
      </w:r>
      <w:r w:rsidR="00E22D71">
        <w:t xml:space="preserve">programmable thermostat </w:t>
      </w:r>
      <w:r w:rsidR="00D76847">
        <w:t xml:space="preserve">material </w:t>
      </w:r>
      <w:r w:rsidRPr="006E6B98">
        <w:t xml:space="preserve">cost was obtained through online price research from various retailer websites in the </w:t>
      </w:r>
      <w:r w:rsidR="00E22D71">
        <w:t>third</w:t>
      </w:r>
      <w:r w:rsidR="00E22D71" w:rsidRPr="006E6B98">
        <w:t xml:space="preserve"> </w:t>
      </w:r>
      <w:r w:rsidRPr="006E6B98">
        <w:t>quarter of 20</w:t>
      </w:r>
      <w:r w:rsidR="00554225">
        <w:t>2</w:t>
      </w:r>
      <w:r w:rsidR="00E22D71">
        <w:t>1</w:t>
      </w:r>
      <w:r w:rsidRPr="006E6B98">
        <w:t>.</w:t>
      </w:r>
      <w:r w:rsidR="00EB2DB8">
        <w:rPr>
          <w:rStyle w:val="FootnoteReference"/>
        </w:rPr>
        <w:footnoteReference w:id="44"/>
      </w:r>
      <w:r w:rsidRPr="006E6B98">
        <w:t xml:space="preserve"> </w:t>
      </w:r>
      <w:r w:rsidR="001B2045" w:rsidRPr="006E6B98">
        <w:t>The total equipment cost includes 8.75% tax. Shipping cost has not been included in the material price as majority of the retailers offer free shipping.</w:t>
      </w:r>
      <w:r w:rsidR="00254188">
        <w:t xml:space="preserve"> The baseline material cost was found to be $58.43.</w:t>
      </w:r>
    </w:p>
    <w:p w14:paraId="2010A954" w14:textId="660D461D" w:rsidR="000055F1" w:rsidRPr="006E6B98" w:rsidRDefault="000055F1" w:rsidP="003C55D5">
      <w:pPr>
        <w:pStyle w:val="Normal1"/>
        <w:rPr>
          <w:rFonts w:ascii="Calibri Light" w:hAnsi="Calibri Light"/>
        </w:rPr>
      </w:pPr>
    </w:p>
    <w:p w14:paraId="44E8DBEB" w14:textId="3BBFE540" w:rsidR="007D230B" w:rsidRPr="00203ECA" w:rsidRDefault="007D230B" w:rsidP="008F7149">
      <w:pPr>
        <w:pStyle w:val="eTRMHeading3"/>
      </w:pPr>
      <w:bookmarkStart w:id="487" w:name="_Toc486490861"/>
      <w:bookmarkStart w:id="488" w:name="_Toc486580932"/>
      <w:bookmarkStart w:id="489" w:name="_Toc88472707"/>
      <w:r w:rsidRPr="00203ECA">
        <w:t>Measure Case Material Cost ($/unit)</w:t>
      </w:r>
      <w:bookmarkEnd w:id="487"/>
      <w:bookmarkEnd w:id="488"/>
      <w:bookmarkEnd w:id="489"/>
    </w:p>
    <w:p w14:paraId="1FC4F11C" w14:textId="277DDE2F" w:rsidR="007A0F57" w:rsidRPr="00203ECA" w:rsidRDefault="007A0F57" w:rsidP="007A0F57">
      <w:pPr>
        <w:pStyle w:val="Normal1"/>
        <w:rPr>
          <w:rFonts w:ascii="Calibri Light" w:eastAsiaTheme="minorEastAsia" w:hAnsi="Calibri Light" w:cstheme="minorBidi"/>
          <w:color w:val="auto"/>
          <w:szCs w:val="24"/>
        </w:rPr>
      </w:pPr>
      <w:bookmarkStart w:id="490" w:name="_Toc486490862"/>
      <w:bookmarkStart w:id="491" w:name="_Toc486580933"/>
      <w:r w:rsidRPr="00203ECA">
        <w:rPr>
          <w:rFonts w:ascii="Calibri Light" w:eastAsiaTheme="minorEastAsia" w:hAnsi="Calibri Light" w:cstheme="minorBidi"/>
          <w:color w:val="auto"/>
          <w:szCs w:val="24"/>
        </w:rPr>
        <w:t xml:space="preserve">The measure case cost for the smart thermostats was obtained through online price research from various retailer websites in the </w:t>
      </w:r>
      <w:r w:rsidR="00E22D71">
        <w:rPr>
          <w:rFonts w:ascii="Calibri Light" w:eastAsiaTheme="minorEastAsia" w:hAnsi="Calibri Light" w:cstheme="minorBidi"/>
          <w:color w:val="auto"/>
          <w:szCs w:val="24"/>
        </w:rPr>
        <w:t>third</w:t>
      </w:r>
      <w:r w:rsidR="00E22D71" w:rsidRPr="00203ECA">
        <w:rPr>
          <w:rFonts w:ascii="Calibri Light" w:eastAsiaTheme="minorEastAsia" w:hAnsi="Calibri Light" w:cstheme="minorBidi"/>
          <w:color w:val="auto"/>
          <w:szCs w:val="24"/>
        </w:rPr>
        <w:t xml:space="preserve"> </w:t>
      </w:r>
      <w:r w:rsidRPr="00203ECA">
        <w:rPr>
          <w:rFonts w:ascii="Calibri Light" w:eastAsiaTheme="minorEastAsia" w:hAnsi="Calibri Light" w:cstheme="minorBidi"/>
          <w:color w:val="auto"/>
          <w:szCs w:val="24"/>
        </w:rPr>
        <w:t>quarter of 20</w:t>
      </w:r>
      <w:r w:rsidR="00554225">
        <w:rPr>
          <w:rFonts w:ascii="Calibri Light" w:eastAsiaTheme="minorEastAsia" w:hAnsi="Calibri Light" w:cstheme="minorBidi"/>
          <w:color w:val="auto"/>
          <w:szCs w:val="24"/>
        </w:rPr>
        <w:t>2</w:t>
      </w:r>
      <w:r w:rsidR="00E22D71">
        <w:rPr>
          <w:rFonts w:ascii="Calibri Light" w:eastAsiaTheme="minorEastAsia" w:hAnsi="Calibri Light" w:cstheme="minorBidi"/>
          <w:color w:val="auto"/>
          <w:szCs w:val="24"/>
        </w:rPr>
        <w:t>1</w:t>
      </w:r>
      <w:r w:rsidRPr="00203ECA">
        <w:rPr>
          <w:rFonts w:ascii="Calibri Light" w:eastAsiaTheme="minorEastAsia" w:hAnsi="Calibri Light" w:cstheme="minorBidi"/>
          <w:color w:val="auto"/>
          <w:szCs w:val="24"/>
        </w:rPr>
        <w:t xml:space="preserve">. All the smart thermostat models are ENERGYSTAR certified and meet the workpaper eligibility requirements.  The total equipment cost includes 8.75% tax. Shipping cost has not been included in the material price as majority of the retailers offer free shipping. Until more updated studies are done, the online retail point of sales pricing is the best available data to support the measure equipment cost. </w:t>
      </w:r>
    </w:p>
    <w:p w14:paraId="61628454" w14:textId="4F151DB4" w:rsidR="007A0F57" w:rsidRDefault="007A0F57" w:rsidP="007A0F57">
      <w:pPr>
        <w:pStyle w:val="Normal1"/>
        <w:rPr>
          <w:rFonts w:ascii="Calibri Light" w:eastAsiaTheme="minorEastAsia" w:hAnsi="Calibri Light" w:cstheme="minorBidi"/>
          <w:color w:val="auto"/>
          <w:szCs w:val="24"/>
        </w:rPr>
      </w:pPr>
    </w:p>
    <w:p w14:paraId="5AF57F26" w14:textId="28B99A37" w:rsidR="00905A79" w:rsidRDefault="00A610F9" w:rsidP="002C2D46">
      <w:pPr>
        <w:spacing w:before="0" w:after="0"/>
      </w:pPr>
      <w:r w:rsidRPr="00203ECA">
        <w:t>The measure cost</w:t>
      </w:r>
      <w:r w:rsidR="008A422A">
        <w:t>s</w:t>
      </w:r>
      <w:r w:rsidRPr="00203ECA">
        <w:t xml:space="preserve"> </w:t>
      </w:r>
      <w:r w:rsidR="008A422A">
        <w:t>are</w:t>
      </w:r>
      <w:r w:rsidRPr="00203ECA">
        <w:t xml:space="preserve"> adjusted based on smart thermostat adoption</w:t>
      </w:r>
      <w:r w:rsidR="00E22D71">
        <w:t xml:space="preserve"> of certain manufacturers</w:t>
      </w:r>
      <w:r w:rsidRPr="00203ECA">
        <w:t xml:space="preserve"> </w:t>
      </w:r>
      <w:r w:rsidR="008A422A">
        <w:t xml:space="preserve">for both downstream rebate and direct install utility </w:t>
      </w:r>
      <w:r w:rsidRPr="00203ECA">
        <w:t xml:space="preserve">programs in </w:t>
      </w:r>
      <w:r w:rsidR="008A422A">
        <w:t xml:space="preserve">2018 and </w:t>
      </w:r>
      <w:r w:rsidRPr="00203ECA">
        <w:t>201</w:t>
      </w:r>
      <w:r w:rsidR="00E22D71">
        <w:t>9</w:t>
      </w:r>
      <w:r w:rsidR="008A422A">
        <w:t>,</w:t>
      </w:r>
      <w:r w:rsidR="00E22D71">
        <w:t xml:space="preserve"> as described in the 2019 PY </w:t>
      </w:r>
      <w:r w:rsidR="00E22D71">
        <w:lastRenderedPageBreak/>
        <w:t>Impact Evaluation of Smart Thermostat table 2-6</w:t>
      </w:r>
      <w:r w:rsidR="008A422A">
        <w:t>.</w:t>
      </w:r>
      <w:r w:rsidR="00254188">
        <w:rPr>
          <w:rStyle w:val="FootnoteReference"/>
        </w:rPr>
        <w:footnoteReference w:id="45"/>
      </w:r>
      <w:r w:rsidR="008A422A">
        <w:t xml:space="preserve"> </w:t>
      </w:r>
      <w:r w:rsidRPr="00203ECA">
        <w:t xml:space="preserve"> </w:t>
      </w:r>
      <w:r w:rsidR="00E22D71">
        <w:t>P</w:t>
      </w:r>
      <w:r w:rsidRPr="00203ECA">
        <w:t xml:space="preserve">rogram tracking </w:t>
      </w:r>
      <w:r w:rsidRPr="00CE5EAC">
        <w:t xml:space="preserve">data </w:t>
      </w:r>
      <w:r w:rsidR="00E22D71">
        <w:t xml:space="preserve">from </w:t>
      </w:r>
      <w:r w:rsidR="008A422A">
        <w:t>2020</w:t>
      </w:r>
      <w:r w:rsidR="00E22D71">
        <w:t xml:space="preserve"> identified the dominant models from each of the manufactures from the Impact Evaluation</w:t>
      </w:r>
      <w:r>
        <w:t>.</w:t>
      </w:r>
      <w:r w:rsidR="008A422A">
        <w:t xml:space="preserve"> In cases where the 2020 models had been discontinued, pricing for the newer available models were used instead.</w:t>
      </w:r>
      <w:r>
        <w:t xml:space="preserve"> Online retailer cost data was weighted based on program participation percentages to establish the measure material costs. </w:t>
      </w:r>
      <w:r w:rsidR="00F17D87">
        <w:t xml:space="preserve">As with the savings, the downstream rebate costs are adopted for the upstream programs as well. </w:t>
      </w:r>
    </w:p>
    <w:p w14:paraId="1DB9CE16" w14:textId="77777777" w:rsidR="00905A79" w:rsidRDefault="00905A79" w:rsidP="002C2D46">
      <w:pPr>
        <w:spacing w:before="0" w:after="0"/>
      </w:pPr>
    </w:p>
    <w:p w14:paraId="34465BD0" w14:textId="4227DC06" w:rsidR="00A610F9" w:rsidRPr="006A3E9E" w:rsidRDefault="00905A79" w:rsidP="00905A79">
      <w:pPr>
        <w:spacing w:before="0" w:after="0"/>
      </w:pPr>
      <w:r w:rsidRPr="00AB7198">
        <w:t xml:space="preserve">The final (weighted) measure </w:t>
      </w:r>
      <w:r w:rsidR="008A422A">
        <w:t xml:space="preserve">material </w:t>
      </w:r>
      <w:r w:rsidRPr="00AB7198">
        <w:t>cost</w:t>
      </w:r>
      <w:r w:rsidR="008A422A">
        <w:t>s</w:t>
      </w:r>
      <w:r w:rsidRPr="00AB7198">
        <w:t xml:space="preserve"> </w:t>
      </w:r>
      <w:r w:rsidR="008A422A">
        <w:t>were</w:t>
      </w:r>
      <w:r w:rsidR="008A422A" w:rsidRPr="00AB7198">
        <w:t xml:space="preserve"> </w:t>
      </w:r>
      <w:r w:rsidRPr="00AB7198">
        <w:t>estimated at $</w:t>
      </w:r>
      <w:r w:rsidR="008A422A">
        <w:t>148.</w:t>
      </w:r>
      <w:r w:rsidR="00553339">
        <w:t>07</w:t>
      </w:r>
      <w:r w:rsidR="008A422A">
        <w:t xml:space="preserve"> for downstream </w:t>
      </w:r>
      <w:r w:rsidR="00F17D87">
        <w:t xml:space="preserve">and upstream </w:t>
      </w:r>
      <w:r w:rsidR="008A422A">
        <w:t>rebate programs and $143.06 for direct install programs.</w:t>
      </w:r>
      <w:r w:rsidRPr="00AB7198">
        <w:rPr>
          <w:rStyle w:val="FootnoteReference"/>
        </w:rPr>
        <w:footnoteReference w:id="46"/>
      </w:r>
    </w:p>
    <w:p w14:paraId="0A2ADB72" w14:textId="77777777" w:rsidR="00905A79" w:rsidRDefault="00905A79" w:rsidP="002C2D46">
      <w:pPr>
        <w:spacing w:before="0" w:after="0"/>
      </w:pPr>
    </w:p>
    <w:p w14:paraId="0929DAD7" w14:textId="77777777" w:rsidR="009D3DC1" w:rsidRDefault="007A0F57" w:rsidP="002C2D46">
      <w:pPr>
        <w:spacing w:before="0" w:after="0"/>
        <w:rPr>
          <w:b/>
          <w:bCs/>
        </w:rPr>
      </w:pPr>
      <w:r w:rsidRPr="00A50610">
        <w:rPr>
          <w:b/>
          <w:bCs/>
        </w:rPr>
        <w:t>Cost Methodology/Approach</w:t>
      </w:r>
      <w:r w:rsidR="00EB2DB8">
        <w:rPr>
          <w:b/>
          <w:bCs/>
        </w:rPr>
        <w:t>.</w:t>
      </w:r>
    </w:p>
    <w:p w14:paraId="4A41A260" w14:textId="758EF667" w:rsidR="002A3F16" w:rsidRPr="00203ECA" w:rsidRDefault="007A0F57" w:rsidP="00A50610">
      <w:r w:rsidRPr="00203ECA">
        <w:t>The incremental measure cost is the cost differential of the efficient option over the standard option attributable to features related to energy efficiency performance.</w:t>
      </w:r>
      <w:r w:rsidR="00EB2DB8">
        <w:rPr>
          <w:rStyle w:val="FootnoteReference"/>
        </w:rPr>
        <w:footnoteReference w:id="47"/>
      </w:r>
      <w:r w:rsidRPr="00203ECA">
        <w:t xml:space="preserve">  A robust analysis would involve developing a taxonomy of features and determining the cost of each feature or component.  This is generally done through such methods as product teardowns or hedonic price modeling.  However, for thermostats, these methods become unwieldy because it is difficult to develop a standardized set of features due to various possible implementations of the technology and we may not find a reliable correlation between features and price</w:t>
      </w:r>
      <w:r w:rsidR="002A3F16">
        <w:t>.</w:t>
      </w:r>
    </w:p>
    <w:p w14:paraId="2429172B" w14:textId="77777777" w:rsidR="007A0F57" w:rsidRPr="00203ECA" w:rsidRDefault="007A0F57" w:rsidP="002C2D46"/>
    <w:p w14:paraId="02691007" w14:textId="0D751F57" w:rsidR="007D230B" w:rsidRPr="00203ECA" w:rsidRDefault="002E5874" w:rsidP="008F7149">
      <w:pPr>
        <w:pStyle w:val="eTRMHeading3"/>
      </w:pPr>
      <w:bookmarkStart w:id="492" w:name="_Toc88472708"/>
      <w:r w:rsidRPr="00203ECA">
        <w:t xml:space="preserve">Base Case </w:t>
      </w:r>
      <w:r w:rsidR="007D230B" w:rsidRPr="00203ECA">
        <w:t>Labor Cost ($/unit)</w:t>
      </w:r>
      <w:bookmarkEnd w:id="490"/>
      <w:bookmarkEnd w:id="491"/>
      <w:bookmarkEnd w:id="492"/>
    </w:p>
    <w:p w14:paraId="14A8874A" w14:textId="1A7720AC" w:rsidR="00554225" w:rsidRPr="00203ECA" w:rsidRDefault="00EB2DB8" w:rsidP="00554225">
      <w:r>
        <w:t>The base case l</w:t>
      </w:r>
      <w:r w:rsidR="007A0F57" w:rsidRPr="00203ECA">
        <w:t xml:space="preserve">abor cost was </w:t>
      </w:r>
      <w:r>
        <w:t>obtained</w:t>
      </w:r>
      <w:r w:rsidRPr="00203ECA">
        <w:t xml:space="preserve"> </w:t>
      </w:r>
      <w:r w:rsidR="007A0F57" w:rsidRPr="00203ECA">
        <w:t xml:space="preserve">from </w:t>
      </w:r>
      <w:r w:rsidR="00CF23AF">
        <w:t xml:space="preserve">the </w:t>
      </w:r>
      <w:r w:rsidR="007A0F57" w:rsidRPr="00203ECA">
        <w:t xml:space="preserve">RSMeans Online database </w:t>
      </w:r>
      <w:r>
        <w:t xml:space="preserve">in </w:t>
      </w:r>
      <w:r w:rsidR="00554225">
        <w:t>202</w:t>
      </w:r>
      <w:r w:rsidR="008A422A">
        <w:t>1</w:t>
      </w:r>
      <w:r w:rsidR="007A0F57" w:rsidRPr="00203ECA">
        <w:t>. The bare labor hours (0.40 hours)</w:t>
      </w:r>
      <w:r w:rsidR="007D7D5F">
        <w:rPr>
          <w:rStyle w:val="FootnoteReference"/>
        </w:rPr>
        <w:footnoteReference w:id="48"/>
      </w:r>
      <w:r w:rsidR="007A0F57" w:rsidRPr="00203ECA">
        <w:t xml:space="preserve"> of</w:t>
      </w:r>
      <w:r w:rsidR="007D7D5F">
        <w:t xml:space="preserve"> residential </w:t>
      </w:r>
      <w:r w:rsidR="007A0F57" w:rsidRPr="00203ECA">
        <w:t>electrician time (</w:t>
      </w:r>
      <w:r w:rsidR="007D7D5F">
        <w:t>$</w:t>
      </w:r>
      <w:r w:rsidR="00AB7198">
        <w:t>6</w:t>
      </w:r>
      <w:r w:rsidR="008A422A">
        <w:t>9.45</w:t>
      </w:r>
      <w:r w:rsidR="007A0F57" w:rsidRPr="00203ECA">
        <w:t>)</w:t>
      </w:r>
      <w:r w:rsidR="007D7D5F">
        <w:rPr>
          <w:rStyle w:val="FootnoteReference"/>
        </w:rPr>
        <w:footnoteReference w:id="49"/>
      </w:r>
      <w:r w:rsidR="007A0F57" w:rsidRPr="00203ECA">
        <w:t xml:space="preserve"> was used to estimate the labor cost.</w:t>
      </w:r>
      <w:r w:rsidR="00554225">
        <w:t xml:space="preserve"> The average RSMeans </w:t>
      </w:r>
      <w:r w:rsidR="007D7D5F">
        <w:t xml:space="preserve">regional </w:t>
      </w:r>
      <w:r w:rsidR="00554225">
        <w:t>cost index</w:t>
      </w:r>
      <w:r w:rsidR="007D7D5F">
        <w:rPr>
          <w:rStyle w:val="FootnoteReference"/>
        </w:rPr>
        <w:footnoteReference w:id="50"/>
      </w:r>
      <w:r w:rsidR="00554225">
        <w:t xml:space="preserve"> value for California</w:t>
      </w:r>
      <w:r w:rsidR="0001009E">
        <w:t xml:space="preserve"> (of 1.</w:t>
      </w:r>
      <w:r w:rsidR="008A422A">
        <w:t>15</w:t>
      </w:r>
      <w:r w:rsidR="0001009E">
        <w:t>)</w:t>
      </w:r>
      <w:r w:rsidR="00554225">
        <w:t xml:space="preserve"> was used </w:t>
      </w:r>
      <w:r w:rsidR="001B2045">
        <w:t xml:space="preserve">to </w:t>
      </w:r>
      <w:r w:rsidR="00554225">
        <w:t>adjust the national average hourly labor rate to the California region.</w:t>
      </w:r>
      <w:r w:rsidR="00786D11">
        <w:t xml:space="preserve">  The final labor cost for this measure was estimated at $</w:t>
      </w:r>
      <w:r w:rsidR="008A422A">
        <w:t>31.85</w:t>
      </w:r>
      <w:r w:rsidR="00786D11">
        <w:t xml:space="preserve">. </w:t>
      </w:r>
    </w:p>
    <w:p w14:paraId="154180DA" w14:textId="205AEFCF" w:rsidR="007A0F57" w:rsidRPr="00203ECA" w:rsidRDefault="007A0F57" w:rsidP="007A0F57"/>
    <w:p w14:paraId="5E89BC5E" w14:textId="22B628A3" w:rsidR="002E5874" w:rsidRPr="00203ECA" w:rsidRDefault="002E5874" w:rsidP="008F7149">
      <w:pPr>
        <w:pStyle w:val="eTRMHeading3"/>
      </w:pPr>
      <w:bookmarkStart w:id="493" w:name="_Toc88472709"/>
      <w:r w:rsidRPr="00203ECA">
        <w:t>Measure Case Labor Cost ($/unit)</w:t>
      </w:r>
      <w:bookmarkEnd w:id="493"/>
    </w:p>
    <w:p w14:paraId="5FCE367F" w14:textId="3C5D32D7" w:rsidR="007D230B" w:rsidRPr="00203ECA" w:rsidRDefault="007A0F57" w:rsidP="007700C5">
      <w:pPr>
        <w:spacing w:before="0" w:after="0"/>
      </w:pPr>
      <w:r w:rsidRPr="00203ECA">
        <w:t xml:space="preserve">The labor costs for both the measure and base case are assumed to be the same. </w:t>
      </w:r>
      <w:r w:rsidR="00EB2DB8">
        <w:t>See Base Case Labor Cost.</w:t>
      </w:r>
    </w:p>
    <w:p w14:paraId="433D150B" w14:textId="77777777" w:rsidR="007700C5" w:rsidRDefault="007700C5" w:rsidP="006C0416">
      <w:bookmarkStart w:id="494" w:name="_Toc486490863"/>
      <w:bookmarkStart w:id="495" w:name="_Toc486580934"/>
    </w:p>
    <w:p w14:paraId="050D9183" w14:textId="7ABF5C13" w:rsidR="007D230B" w:rsidRPr="00203ECA" w:rsidRDefault="004B06E3" w:rsidP="008F7149">
      <w:pPr>
        <w:pStyle w:val="eTRMHeading3"/>
      </w:pPr>
      <w:bookmarkStart w:id="496" w:name="_Toc88472710"/>
      <w:r w:rsidRPr="00203ECA">
        <w:lastRenderedPageBreak/>
        <w:t>Net-to-Gross</w:t>
      </w:r>
      <w:bookmarkEnd w:id="494"/>
      <w:bookmarkEnd w:id="495"/>
      <w:r w:rsidR="008D4652" w:rsidRPr="00203ECA">
        <w:t xml:space="preserve"> (NTG)</w:t>
      </w:r>
      <w:bookmarkEnd w:id="496"/>
    </w:p>
    <w:p w14:paraId="31B8EF26" w14:textId="2A583AB6" w:rsidR="001B2045" w:rsidRPr="00203ECA" w:rsidRDefault="00AA3E2A" w:rsidP="004142EF">
      <w:r w:rsidRPr="00203ECA">
        <w:t xml:space="preserve">The net-to-gross (NTG) ratio represents the portion of gross impacts that are determined to be directly attributed to a specific program intervention. The relevant NTG values for </w:t>
      </w:r>
      <w:r w:rsidR="002F78E9" w:rsidRPr="00203ECA">
        <w:t>this measure</w:t>
      </w:r>
      <w:r w:rsidRPr="00203ECA">
        <w:t xml:space="preserve"> are specified</w:t>
      </w:r>
      <w:r w:rsidR="002F086B">
        <w:t xml:space="preserve"> </w:t>
      </w:r>
      <w:r w:rsidR="002F78E9" w:rsidRPr="00203ECA">
        <w:t>below.</w:t>
      </w:r>
      <w:r w:rsidR="002F086B">
        <w:t xml:space="preserve">  These </w:t>
      </w:r>
      <w:r w:rsidR="001B2045">
        <w:t xml:space="preserve">values are based on the free ridership survey results published in the </w:t>
      </w:r>
      <w:r w:rsidR="00CF23AF">
        <w:t xml:space="preserve">Program Year </w:t>
      </w:r>
      <w:r w:rsidR="001B2045">
        <w:t>201</w:t>
      </w:r>
      <w:r w:rsidR="008A422A">
        <w:t>9</w:t>
      </w:r>
      <w:r w:rsidR="001B2045">
        <w:t xml:space="preserve"> Impact Evaluation</w:t>
      </w:r>
      <w:r w:rsidR="002F086B">
        <w:t>.</w:t>
      </w:r>
      <w:r w:rsidR="001B2045">
        <w:rPr>
          <w:rStyle w:val="FootnoteReference"/>
        </w:rPr>
        <w:footnoteReference w:id="51"/>
      </w:r>
      <w:r w:rsidR="002F086B">
        <w:t xml:space="preserve"> </w:t>
      </w:r>
      <w:r w:rsidR="001B2045">
        <w:t xml:space="preserve">This information was used to estimate </w:t>
      </w:r>
      <w:r w:rsidR="00CF23AF">
        <w:t xml:space="preserve">weighted </w:t>
      </w:r>
      <w:r w:rsidR="001B2045">
        <w:t>NTG values for</w:t>
      </w:r>
      <w:r w:rsidR="002F086B">
        <w:t xml:space="preserve"> </w:t>
      </w:r>
      <w:r w:rsidR="00562EAA">
        <w:t xml:space="preserve">both Downstream and Direct Install </w:t>
      </w:r>
      <w:r w:rsidR="002F086B">
        <w:t xml:space="preserve">statewide programs </w:t>
      </w:r>
      <w:r w:rsidR="00465926">
        <w:t>and approved by the CPUC in the workpaper plan</w:t>
      </w:r>
      <w:r w:rsidR="00465926">
        <w:rPr>
          <w:rStyle w:val="FootnoteReference"/>
        </w:rPr>
        <w:footnoteReference w:id="52"/>
      </w:r>
      <w:r w:rsidR="00465926">
        <w:t xml:space="preserve"> and DEER. </w:t>
      </w:r>
    </w:p>
    <w:p w14:paraId="0D1CEED6" w14:textId="7936579E" w:rsidR="00DE1A0F" w:rsidRPr="00203ECA" w:rsidRDefault="00DE1A0F" w:rsidP="00252E15">
      <w:pPr>
        <w:pStyle w:val="Caption"/>
      </w:pPr>
      <w:bookmarkStart w:id="497" w:name="_Hlk40962294"/>
      <w:r w:rsidRPr="00203ECA">
        <w:t>Net-to-Gross Ratios</w:t>
      </w:r>
    </w:p>
    <w:tbl>
      <w:tblPr>
        <w:tblW w:w="996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5"/>
        <w:gridCol w:w="2610"/>
        <w:gridCol w:w="1314"/>
        <w:gridCol w:w="3976"/>
      </w:tblGrid>
      <w:tr w:rsidR="00554225" w:rsidRPr="00203ECA" w14:paraId="0D2B92AF" w14:textId="662FBAEE" w:rsidTr="002C2D46">
        <w:trPr>
          <w:cantSplit/>
          <w:trHeight w:val="19"/>
        </w:trPr>
        <w:tc>
          <w:tcPr>
            <w:tcW w:w="2065" w:type="dxa"/>
            <w:shd w:val="clear" w:color="000000" w:fill="F2F2F2" w:themeFill="background1" w:themeFillShade="F2"/>
            <w:vAlign w:val="bottom"/>
          </w:tcPr>
          <w:p w14:paraId="2A033AD8" w14:textId="3B553F77" w:rsidR="00554225" w:rsidRPr="00203ECA" w:rsidRDefault="00554225"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Parameter</w:t>
            </w:r>
          </w:p>
        </w:tc>
        <w:tc>
          <w:tcPr>
            <w:tcW w:w="2610" w:type="dxa"/>
            <w:shd w:val="clear" w:color="000000" w:fill="F2F2F2" w:themeFill="background1" w:themeFillShade="F2"/>
          </w:tcPr>
          <w:p w14:paraId="30DD0447" w14:textId="530B77AD" w:rsidR="00554225" w:rsidRPr="00203ECA" w:rsidRDefault="00554225" w:rsidP="006D6644">
            <w:pPr>
              <w:keepNext/>
              <w:keepLines/>
              <w:spacing w:before="0" w:after="0" w:line="200" w:lineRule="atLeast"/>
              <w:jc w:val="center"/>
              <w:rPr>
                <w:rFonts w:cs="Arial"/>
                <w:b/>
                <w:color w:val="000000"/>
                <w:sz w:val="20"/>
                <w:szCs w:val="20"/>
              </w:rPr>
            </w:pPr>
            <w:r>
              <w:rPr>
                <w:rFonts w:cs="Arial"/>
                <w:b/>
                <w:color w:val="000000"/>
                <w:sz w:val="20"/>
                <w:szCs w:val="20"/>
              </w:rPr>
              <w:t>NTG ID</w:t>
            </w:r>
          </w:p>
        </w:tc>
        <w:tc>
          <w:tcPr>
            <w:tcW w:w="1314" w:type="dxa"/>
            <w:shd w:val="clear" w:color="000000" w:fill="F2F2F2" w:themeFill="background1" w:themeFillShade="F2"/>
            <w:vAlign w:val="bottom"/>
          </w:tcPr>
          <w:p w14:paraId="547E5263" w14:textId="6AC8B538" w:rsidR="00554225" w:rsidRPr="00203ECA" w:rsidRDefault="00554225"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Value</w:t>
            </w:r>
          </w:p>
        </w:tc>
        <w:tc>
          <w:tcPr>
            <w:tcW w:w="3976" w:type="dxa"/>
            <w:shd w:val="clear" w:color="000000" w:fill="F2F2F2" w:themeFill="background1" w:themeFillShade="F2"/>
          </w:tcPr>
          <w:p w14:paraId="50233CF6" w14:textId="0C7F65AC" w:rsidR="00554225" w:rsidRPr="00203ECA" w:rsidRDefault="00554225" w:rsidP="006D6644">
            <w:pPr>
              <w:keepNext/>
              <w:keepLines/>
              <w:spacing w:before="0" w:after="0" w:line="200" w:lineRule="atLeast"/>
              <w:jc w:val="center"/>
              <w:rPr>
                <w:rFonts w:cs="Arial"/>
                <w:b/>
                <w:color w:val="000000"/>
                <w:sz w:val="20"/>
                <w:szCs w:val="20"/>
              </w:rPr>
            </w:pPr>
            <w:r w:rsidRPr="00203ECA">
              <w:rPr>
                <w:rFonts w:cs="Arial"/>
                <w:b/>
                <w:color w:val="000000"/>
                <w:sz w:val="20"/>
                <w:szCs w:val="20"/>
              </w:rPr>
              <w:t>Source</w:t>
            </w:r>
          </w:p>
        </w:tc>
      </w:tr>
      <w:tr w:rsidR="00CE02FB" w:rsidRPr="00203ECA" w14:paraId="682BF062" w14:textId="72E696E9" w:rsidTr="002C2D46">
        <w:trPr>
          <w:cantSplit/>
          <w:trHeight w:val="800"/>
        </w:trPr>
        <w:tc>
          <w:tcPr>
            <w:tcW w:w="2065" w:type="dxa"/>
            <w:vAlign w:val="center"/>
          </w:tcPr>
          <w:p w14:paraId="5BA6FA92" w14:textId="6EE60401" w:rsidR="00CE02FB" w:rsidRPr="003D20E9" w:rsidRDefault="00CE02FB" w:rsidP="00CE02FB">
            <w:pPr>
              <w:keepNext/>
              <w:keepLines/>
              <w:spacing w:before="0" w:after="0" w:line="200" w:lineRule="atLeast"/>
              <w:rPr>
                <w:rFonts w:cstheme="minorHAnsi"/>
                <w:sz w:val="20"/>
                <w:szCs w:val="20"/>
              </w:rPr>
            </w:pPr>
            <w:r w:rsidRPr="001F5FCE">
              <w:rPr>
                <w:rFonts w:cs="Arial"/>
                <w:sz w:val="20"/>
                <w:szCs w:val="20"/>
              </w:rPr>
              <w:t>Downstream Deemed</w:t>
            </w:r>
            <w:r w:rsidRPr="003D20E9" w:rsidDel="00605DAF">
              <w:rPr>
                <w:rFonts w:cs="Arial"/>
                <w:sz w:val="20"/>
                <w:szCs w:val="20"/>
              </w:rPr>
              <w:t xml:space="preserve"> </w:t>
            </w:r>
            <w:r w:rsidR="002E7978">
              <w:rPr>
                <w:rFonts w:cs="Arial"/>
                <w:sz w:val="20"/>
                <w:szCs w:val="20"/>
              </w:rPr>
              <w:t>and Upstream Deemed</w:t>
            </w:r>
          </w:p>
        </w:tc>
        <w:tc>
          <w:tcPr>
            <w:tcW w:w="2610" w:type="dxa"/>
            <w:vAlign w:val="center"/>
          </w:tcPr>
          <w:p w14:paraId="75869C36" w14:textId="7B8AD9DB" w:rsidR="00CE02FB" w:rsidRPr="007C2987" w:rsidRDefault="00CE02FB">
            <w:pPr>
              <w:keepNext/>
              <w:keepLines/>
              <w:spacing w:before="0" w:after="0" w:line="200" w:lineRule="atLeast"/>
              <w:jc w:val="center"/>
              <w:rPr>
                <w:sz w:val="20"/>
                <w:szCs w:val="22"/>
              </w:rPr>
            </w:pPr>
            <w:r w:rsidRPr="002C2D46">
              <w:rPr>
                <w:sz w:val="20"/>
                <w:szCs w:val="22"/>
              </w:rPr>
              <w:t>Res-</w:t>
            </w:r>
            <w:proofErr w:type="spellStart"/>
            <w:r w:rsidRPr="002C2D46">
              <w:rPr>
                <w:sz w:val="20"/>
                <w:szCs w:val="22"/>
              </w:rPr>
              <w:t>sAll</w:t>
            </w:r>
            <w:proofErr w:type="spellEnd"/>
            <w:r w:rsidRPr="002C2D46">
              <w:rPr>
                <w:sz w:val="20"/>
                <w:szCs w:val="22"/>
              </w:rPr>
              <w:t>-</w:t>
            </w:r>
            <w:proofErr w:type="spellStart"/>
            <w:r w:rsidRPr="002C2D46">
              <w:rPr>
                <w:sz w:val="20"/>
                <w:szCs w:val="22"/>
              </w:rPr>
              <w:t>mHVAC</w:t>
            </w:r>
            <w:proofErr w:type="spellEnd"/>
            <w:r w:rsidRPr="002C2D46">
              <w:rPr>
                <w:sz w:val="20"/>
                <w:szCs w:val="22"/>
              </w:rPr>
              <w:t>-SCT-</w:t>
            </w:r>
            <w:proofErr w:type="spellStart"/>
            <w:r w:rsidRPr="002C2D46">
              <w:rPr>
                <w:sz w:val="20"/>
                <w:szCs w:val="22"/>
              </w:rPr>
              <w:t>dn</w:t>
            </w:r>
            <w:proofErr w:type="spellEnd"/>
          </w:p>
        </w:tc>
        <w:tc>
          <w:tcPr>
            <w:tcW w:w="1314" w:type="dxa"/>
            <w:shd w:val="clear" w:color="auto" w:fill="auto"/>
            <w:noWrap/>
            <w:vAlign w:val="center"/>
          </w:tcPr>
          <w:p w14:paraId="62F18FF1" w14:textId="15D11962" w:rsidR="00CE02FB" w:rsidRPr="003D20E9" w:rsidRDefault="00CE02FB" w:rsidP="00CE02FB">
            <w:pPr>
              <w:keepNext/>
              <w:keepLines/>
              <w:spacing w:before="0" w:after="0" w:line="200" w:lineRule="atLeast"/>
              <w:jc w:val="center"/>
              <w:rPr>
                <w:sz w:val="20"/>
                <w:szCs w:val="20"/>
              </w:rPr>
            </w:pPr>
            <w:r w:rsidRPr="002C2D46">
              <w:t>0.</w:t>
            </w:r>
            <w:r w:rsidR="00465926">
              <w:t>60</w:t>
            </w:r>
          </w:p>
        </w:tc>
        <w:tc>
          <w:tcPr>
            <w:tcW w:w="3976" w:type="dxa"/>
            <w:vMerge w:val="restart"/>
            <w:vAlign w:val="center"/>
          </w:tcPr>
          <w:p w14:paraId="0A2E4B1A" w14:textId="11C78019" w:rsidR="00956F2D" w:rsidRDefault="00CE02FB">
            <w:pPr>
              <w:keepNext/>
              <w:keepLines/>
              <w:spacing w:before="0" w:after="0" w:line="200" w:lineRule="atLeast"/>
              <w:rPr>
                <w:sz w:val="18"/>
                <w:szCs w:val="18"/>
              </w:rPr>
            </w:pPr>
            <w:r w:rsidRPr="002C2D46">
              <w:rPr>
                <w:sz w:val="18"/>
                <w:szCs w:val="18"/>
              </w:rPr>
              <w:t>Weighted NTG</w:t>
            </w:r>
            <w:r w:rsidR="00300733">
              <w:rPr>
                <w:sz w:val="18"/>
                <w:szCs w:val="18"/>
              </w:rPr>
              <w:t xml:space="preserve"> values for </w:t>
            </w:r>
            <w:r>
              <w:rPr>
                <w:sz w:val="18"/>
                <w:szCs w:val="18"/>
              </w:rPr>
              <w:t>Direct Installed and Downstream programs</w:t>
            </w:r>
            <w:r w:rsidR="00300733">
              <w:rPr>
                <w:sz w:val="18"/>
                <w:szCs w:val="18"/>
              </w:rPr>
              <w:t xml:space="preserve"> as informed by </w:t>
            </w:r>
            <w:r w:rsidRPr="002C2D46">
              <w:rPr>
                <w:sz w:val="18"/>
                <w:szCs w:val="18"/>
              </w:rPr>
              <w:t>"Impact Evaluation of Smart Thermostats, Residential Sector - Program Year 201</w:t>
            </w:r>
            <w:r w:rsidR="008A422A">
              <w:rPr>
                <w:sz w:val="18"/>
                <w:szCs w:val="18"/>
              </w:rPr>
              <w:t>9</w:t>
            </w:r>
            <w:r w:rsidR="00300733">
              <w:rPr>
                <w:sz w:val="18"/>
                <w:szCs w:val="18"/>
              </w:rPr>
              <w:t>.</w:t>
            </w:r>
            <w:r w:rsidRPr="002C2D46">
              <w:rPr>
                <w:sz w:val="18"/>
                <w:szCs w:val="18"/>
              </w:rPr>
              <w:t>"</w:t>
            </w:r>
            <w:r w:rsidR="00300733">
              <w:rPr>
                <w:sz w:val="18"/>
                <w:szCs w:val="18"/>
              </w:rPr>
              <w:t xml:space="preserve"> </w:t>
            </w:r>
          </w:p>
          <w:p w14:paraId="133857EB" w14:textId="78CA7A6F" w:rsidR="005F0300" w:rsidRPr="006C0416" w:rsidRDefault="0067040E">
            <w:pPr>
              <w:keepNext/>
              <w:keepLines/>
              <w:spacing w:before="0" w:after="0" w:line="200" w:lineRule="atLeast"/>
              <w:rPr>
                <w:sz w:val="20"/>
                <w:szCs w:val="20"/>
                <w:highlight w:val="yellow"/>
              </w:rPr>
            </w:pPr>
            <w:r w:rsidRPr="0067040E">
              <w:rPr>
                <w:sz w:val="18"/>
                <w:szCs w:val="18"/>
              </w:rPr>
              <w:t>DNV GL. 2021. Draft Response to SWHC039-04 Res SCT WPP. “CPUCComm_SWHC039-04 Res SCT WPP 7-20-2021.docx.” Prepared for the California Public Utilities Commission. June 20, 2021.</w:t>
            </w:r>
          </w:p>
        </w:tc>
      </w:tr>
      <w:tr w:rsidR="00CE02FB" w:rsidRPr="00203ECA" w14:paraId="456AF0B4" w14:textId="77777777" w:rsidTr="002C2D46">
        <w:trPr>
          <w:cantSplit/>
          <w:trHeight w:val="350"/>
        </w:trPr>
        <w:tc>
          <w:tcPr>
            <w:tcW w:w="2065" w:type="dxa"/>
            <w:vAlign w:val="center"/>
          </w:tcPr>
          <w:p w14:paraId="02C457DE" w14:textId="4835C3D8" w:rsidR="00CE02FB" w:rsidRPr="003D20E9" w:rsidRDefault="00CE02FB" w:rsidP="00CE02FB">
            <w:pPr>
              <w:keepNext/>
              <w:keepLines/>
              <w:spacing w:before="0" w:after="0" w:line="200" w:lineRule="atLeast"/>
              <w:rPr>
                <w:rFonts w:cs="Arial"/>
                <w:sz w:val="20"/>
                <w:szCs w:val="20"/>
              </w:rPr>
            </w:pPr>
            <w:r>
              <w:rPr>
                <w:rFonts w:cs="Arial"/>
                <w:sz w:val="20"/>
                <w:szCs w:val="20"/>
              </w:rPr>
              <w:t>Direct Install</w:t>
            </w:r>
          </w:p>
        </w:tc>
        <w:tc>
          <w:tcPr>
            <w:tcW w:w="2610" w:type="dxa"/>
            <w:vAlign w:val="center"/>
          </w:tcPr>
          <w:p w14:paraId="416B97FF" w14:textId="432749B4" w:rsidR="00CE02FB" w:rsidRPr="007C2987" w:rsidRDefault="00CE02FB">
            <w:pPr>
              <w:keepNext/>
              <w:keepLines/>
              <w:spacing w:before="0" w:after="0" w:line="200" w:lineRule="atLeast"/>
              <w:jc w:val="center"/>
              <w:rPr>
                <w:sz w:val="20"/>
                <w:szCs w:val="22"/>
              </w:rPr>
            </w:pPr>
            <w:r w:rsidRPr="002C2D46">
              <w:rPr>
                <w:sz w:val="20"/>
                <w:szCs w:val="22"/>
              </w:rPr>
              <w:t>Res-</w:t>
            </w:r>
            <w:proofErr w:type="spellStart"/>
            <w:r w:rsidRPr="002C2D46">
              <w:rPr>
                <w:sz w:val="20"/>
                <w:szCs w:val="22"/>
              </w:rPr>
              <w:t>sAll</w:t>
            </w:r>
            <w:proofErr w:type="spellEnd"/>
            <w:r w:rsidRPr="002C2D46">
              <w:rPr>
                <w:sz w:val="20"/>
                <w:szCs w:val="22"/>
              </w:rPr>
              <w:t>-</w:t>
            </w:r>
            <w:proofErr w:type="spellStart"/>
            <w:r w:rsidRPr="002C2D46">
              <w:rPr>
                <w:sz w:val="20"/>
                <w:szCs w:val="22"/>
              </w:rPr>
              <w:t>mHVAC</w:t>
            </w:r>
            <w:proofErr w:type="spellEnd"/>
            <w:r w:rsidRPr="002C2D46">
              <w:rPr>
                <w:sz w:val="20"/>
                <w:szCs w:val="22"/>
              </w:rPr>
              <w:t>-SCT-di</w:t>
            </w:r>
          </w:p>
        </w:tc>
        <w:tc>
          <w:tcPr>
            <w:tcW w:w="1314" w:type="dxa"/>
            <w:shd w:val="clear" w:color="auto" w:fill="auto"/>
            <w:noWrap/>
            <w:vAlign w:val="center"/>
          </w:tcPr>
          <w:p w14:paraId="57B2DBE4" w14:textId="0AC7FB20" w:rsidR="00CE02FB" w:rsidRPr="003D20E9" w:rsidRDefault="00CE02FB" w:rsidP="00CE02FB">
            <w:pPr>
              <w:keepNext/>
              <w:keepLines/>
              <w:spacing w:before="0" w:after="0" w:line="200" w:lineRule="atLeast"/>
              <w:jc w:val="center"/>
              <w:rPr>
                <w:sz w:val="20"/>
                <w:szCs w:val="20"/>
              </w:rPr>
            </w:pPr>
            <w:r w:rsidRPr="002C2D46">
              <w:t>0.</w:t>
            </w:r>
            <w:r>
              <w:t>9</w:t>
            </w:r>
            <w:r w:rsidR="00465926">
              <w:t>5</w:t>
            </w:r>
          </w:p>
        </w:tc>
        <w:tc>
          <w:tcPr>
            <w:tcW w:w="3976" w:type="dxa"/>
            <w:vMerge/>
            <w:vAlign w:val="center"/>
          </w:tcPr>
          <w:p w14:paraId="03AAAAE6" w14:textId="77777777" w:rsidR="00CE02FB" w:rsidRPr="005466DB" w:rsidRDefault="00CE02FB" w:rsidP="00CE02FB">
            <w:pPr>
              <w:keepNext/>
              <w:keepLines/>
              <w:spacing w:before="0" w:after="0" w:line="200" w:lineRule="atLeast"/>
              <w:rPr>
                <w:sz w:val="18"/>
                <w:szCs w:val="18"/>
              </w:rPr>
            </w:pPr>
          </w:p>
        </w:tc>
      </w:tr>
    </w:tbl>
    <w:p w14:paraId="6088FA7D" w14:textId="77777777" w:rsidR="000055F1" w:rsidRPr="00203ECA" w:rsidRDefault="000055F1" w:rsidP="00964038">
      <w:pPr>
        <w:rPr>
          <w:caps/>
        </w:rPr>
      </w:pPr>
      <w:bookmarkStart w:id="498" w:name="_Toc486490864"/>
      <w:bookmarkStart w:id="499" w:name="_Toc486580935"/>
      <w:bookmarkEnd w:id="497"/>
    </w:p>
    <w:p w14:paraId="323B5B02" w14:textId="2B8E84B2" w:rsidR="007D230B" w:rsidRPr="00203ECA" w:rsidRDefault="00D02C36" w:rsidP="008F7149">
      <w:pPr>
        <w:pStyle w:val="eTRMHeading3"/>
      </w:pPr>
      <w:bookmarkStart w:id="500" w:name="_Toc88472711"/>
      <w:r w:rsidRPr="00203ECA">
        <w:t>Gross Savings Installation Adjustment (</w:t>
      </w:r>
      <w:r w:rsidR="007D230B" w:rsidRPr="00203ECA">
        <w:t>GSIA</w:t>
      </w:r>
      <w:bookmarkEnd w:id="498"/>
      <w:bookmarkEnd w:id="499"/>
      <w:r w:rsidRPr="00203ECA">
        <w:t>)</w:t>
      </w:r>
      <w:bookmarkEnd w:id="500"/>
    </w:p>
    <w:p w14:paraId="2A1F1C17" w14:textId="47AD6078" w:rsidR="007D230B" w:rsidRPr="00203ECA" w:rsidRDefault="00AA3E2A" w:rsidP="004142EF">
      <w:r w:rsidRPr="00203ECA">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022915CE" w14:textId="4D8D7AD0" w:rsidR="00DE1A0F" w:rsidRPr="00203ECA" w:rsidRDefault="002F78E9" w:rsidP="00252E15">
      <w:pPr>
        <w:pStyle w:val="Caption"/>
      </w:pPr>
      <w:r w:rsidRPr="00203ECA">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AA3E2A" w:rsidRPr="00203ECA" w14:paraId="60BDA2BB" w14:textId="744FC0FC" w:rsidTr="00D6352D">
        <w:trPr>
          <w:cantSplit/>
          <w:trHeight w:val="20"/>
        </w:trPr>
        <w:tc>
          <w:tcPr>
            <w:tcW w:w="1093" w:type="pct"/>
            <w:shd w:val="clear" w:color="000000" w:fill="F2F2F2" w:themeFill="background1" w:themeFillShade="F2"/>
            <w:vAlign w:val="bottom"/>
          </w:tcPr>
          <w:p w14:paraId="7D363CC0" w14:textId="26519964" w:rsidR="00AA3E2A" w:rsidRPr="00203ECA" w:rsidRDefault="00177EB6" w:rsidP="00BA3D7D">
            <w:pPr>
              <w:spacing w:before="0" w:after="0" w:line="200" w:lineRule="atLeast"/>
              <w:jc w:val="center"/>
              <w:rPr>
                <w:rFonts w:cs="Arial"/>
                <w:b/>
                <w:color w:val="000000"/>
                <w:sz w:val="20"/>
                <w:szCs w:val="20"/>
              </w:rPr>
            </w:pPr>
            <w:r w:rsidRPr="00203ECA">
              <w:rPr>
                <w:rFonts w:cs="Arial"/>
                <w:b/>
                <w:color w:val="000000"/>
                <w:sz w:val="20"/>
                <w:szCs w:val="20"/>
              </w:rPr>
              <w:t>Parameter</w:t>
            </w:r>
          </w:p>
        </w:tc>
        <w:tc>
          <w:tcPr>
            <w:tcW w:w="905" w:type="pct"/>
            <w:shd w:val="clear" w:color="000000" w:fill="F2F2F2" w:themeFill="background1" w:themeFillShade="F2"/>
            <w:vAlign w:val="center"/>
          </w:tcPr>
          <w:p w14:paraId="2A1AC9D4" w14:textId="3263DC2B" w:rsidR="00AA3E2A" w:rsidRPr="00203ECA" w:rsidRDefault="00AA3E2A" w:rsidP="006D6644">
            <w:pPr>
              <w:spacing w:before="0" w:after="0" w:line="200" w:lineRule="atLeast"/>
              <w:jc w:val="center"/>
              <w:rPr>
                <w:rFonts w:cs="Arial"/>
                <w:b/>
                <w:color w:val="000000"/>
                <w:sz w:val="20"/>
                <w:szCs w:val="20"/>
              </w:rPr>
            </w:pPr>
            <w:r w:rsidRPr="00203ECA">
              <w:rPr>
                <w:rFonts w:cs="Arial"/>
                <w:b/>
                <w:sz w:val="20"/>
                <w:szCs w:val="20"/>
              </w:rPr>
              <w:t xml:space="preserve">GSIA </w:t>
            </w:r>
          </w:p>
        </w:tc>
        <w:tc>
          <w:tcPr>
            <w:tcW w:w="3002" w:type="pct"/>
            <w:shd w:val="clear" w:color="000000" w:fill="F2F2F2" w:themeFill="background1" w:themeFillShade="F2"/>
          </w:tcPr>
          <w:p w14:paraId="32AB7FEE" w14:textId="77936D4E" w:rsidR="00AA3E2A" w:rsidRPr="00203ECA" w:rsidRDefault="00AA3E2A" w:rsidP="006D6644">
            <w:pPr>
              <w:spacing w:before="0" w:after="0" w:line="200" w:lineRule="atLeast"/>
              <w:jc w:val="center"/>
              <w:rPr>
                <w:rFonts w:cs="Arial"/>
                <w:b/>
                <w:sz w:val="20"/>
                <w:szCs w:val="20"/>
              </w:rPr>
            </w:pPr>
            <w:r w:rsidRPr="00203ECA">
              <w:rPr>
                <w:rFonts w:cs="Arial"/>
                <w:b/>
                <w:sz w:val="20"/>
                <w:szCs w:val="20"/>
              </w:rPr>
              <w:t>Source</w:t>
            </w:r>
          </w:p>
        </w:tc>
      </w:tr>
      <w:tr w:rsidR="00D6352D" w:rsidRPr="00203ECA" w14:paraId="2209CD52" w14:textId="78579504" w:rsidTr="00A50610">
        <w:trPr>
          <w:cantSplit/>
          <w:trHeight w:val="20"/>
        </w:trPr>
        <w:tc>
          <w:tcPr>
            <w:tcW w:w="1093" w:type="pct"/>
            <w:vAlign w:val="center"/>
          </w:tcPr>
          <w:p w14:paraId="6618BC2B" w14:textId="76C9739F" w:rsidR="00D6352D" w:rsidRPr="00203ECA" w:rsidRDefault="00D6352D" w:rsidP="000055F1">
            <w:pPr>
              <w:spacing w:before="0" w:after="0" w:line="200" w:lineRule="atLeast"/>
              <w:rPr>
                <w:rFonts w:cstheme="minorHAnsi"/>
                <w:sz w:val="20"/>
                <w:szCs w:val="20"/>
              </w:rPr>
            </w:pPr>
            <w:r w:rsidRPr="00203ECA">
              <w:rPr>
                <w:rFonts w:cstheme="minorHAnsi"/>
                <w:sz w:val="20"/>
                <w:szCs w:val="20"/>
              </w:rPr>
              <w:t xml:space="preserve">GSIA </w:t>
            </w:r>
          </w:p>
        </w:tc>
        <w:tc>
          <w:tcPr>
            <w:tcW w:w="905" w:type="pct"/>
            <w:vAlign w:val="center"/>
          </w:tcPr>
          <w:p w14:paraId="6D1D8F27" w14:textId="13477C3E" w:rsidR="00D6352D" w:rsidRPr="00203ECA" w:rsidRDefault="00D6352D" w:rsidP="00D6352D">
            <w:pPr>
              <w:spacing w:before="0" w:after="0" w:line="200" w:lineRule="atLeast"/>
              <w:jc w:val="center"/>
              <w:rPr>
                <w:sz w:val="20"/>
                <w:szCs w:val="20"/>
              </w:rPr>
            </w:pPr>
            <w:r w:rsidRPr="00203ECA">
              <w:rPr>
                <w:sz w:val="20"/>
                <w:szCs w:val="20"/>
              </w:rPr>
              <w:t>1.0</w:t>
            </w:r>
          </w:p>
        </w:tc>
        <w:tc>
          <w:tcPr>
            <w:tcW w:w="3002" w:type="pct"/>
            <w:vAlign w:val="center"/>
          </w:tcPr>
          <w:p w14:paraId="52FCA633" w14:textId="230E318D" w:rsidR="00D6352D" w:rsidRPr="00203ECA" w:rsidRDefault="00D6352D" w:rsidP="00D6352D">
            <w:pPr>
              <w:spacing w:before="0" w:after="0" w:line="200" w:lineRule="atLeast"/>
              <w:rPr>
                <w:sz w:val="20"/>
                <w:szCs w:val="20"/>
              </w:rPr>
            </w:pPr>
            <w:r w:rsidRPr="00203ECA">
              <w:rPr>
                <w:rFonts w:eastAsia="Times New Roman" w:cs="Times New Roman"/>
                <w:sz w:val="18"/>
                <w:szCs w:val="18"/>
              </w:rPr>
              <w:t xml:space="preserve">California Public Utilities Commission (CPUC), Energy Division. 2013. </w:t>
            </w:r>
            <w:r w:rsidRPr="00203ECA">
              <w:rPr>
                <w:rFonts w:eastAsia="Times New Roman" w:cs="Times New Roman"/>
                <w:i/>
                <w:sz w:val="18"/>
                <w:szCs w:val="18"/>
              </w:rPr>
              <w:t>Energy Efficiency Policy Manual Version 5</w:t>
            </w:r>
            <w:r w:rsidRPr="00203ECA">
              <w:rPr>
                <w:rFonts w:eastAsia="Times New Roman" w:cs="Times New Roman"/>
                <w:sz w:val="18"/>
                <w:szCs w:val="18"/>
              </w:rPr>
              <w:t>. Page 31.</w:t>
            </w:r>
          </w:p>
        </w:tc>
      </w:tr>
    </w:tbl>
    <w:p w14:paraId="08395124" w14:textId="77777777" w:rsidR="00DE1A0F" w:rsidRPr="00203ECA" w:rsidRDefault="00DE1A0F" w:rsidP="00DE1A0F">
      <w:pPr>
        <w:rPr>
          <w:rFonts w:cs="Arial"/>
          <w:sz w:val="20"/>
          <w:szCs w:val="20"/>
        </w:rPr>
      </w:pPr>
    </w:p>
    <w:p w14:paraId="498C05E5" w14:textId="232D8547" w:rsidR="002C67DF" w:rsidRPr="00203ECA" w:rsidRDefault="002C67DF" w:rsidP="008F7149">
      <w:pPr>
        <w:pStyle w:val="eTRMHeading3"/>
      </w:pPr>
      <w:bookmarkStart w:id="501" w:name="_Toc486490865"/>
      <w:bookmarkStart w:id="502" w:name="_Toc486580936"/>
      <w:bookmarkStart w:id="503" w:name="_Toc88472712"/>
      <w:r w:rsidRPr="00203ECA">
        <w:t xml:space="preserve">Non-Energy </w:t>
      </w:r>
      <w:bookmarkEnd w:id="501"/>
      <w:bookmarkEnd w:id="502"/>
      <w:r w:rsidR="00DA6B7E" w:rsidRPr="00203ECA">
        <w:t>Impacts</w:t>
      </w:r>
      <w:bookmarkEnd w:id="503"/>
    </w:p>
    <w:p w14:paraId="0D73FC70" w14:textId="27339D17" w:rsidR="00697A88" w:rsidRPr="00203ECA" w:rsidRDefault="00697A88" w:rsidP="00697A88">
      <w:pPr>
        <w:rPr>
          <w:rFonts w:cs="Arial"/>
          <w:szCs w:val="20"/>
        </w:rPr>
      </w:pPr>
      <w:r w:rsidRPr="00203ECA">
        <w:rPr>
          <w:rFonts w:cs="Arial"/>
          <w:szCs w:val="20"/>
        </w:rPr>
        <w:t xml:space="preserve">Non-energy benefits for this measure have not been </w:t>
      </w:r>
      <w:r w:rsidR="009D7F4D" w:rsidRPr="00203ECA">
        <w:rPr>
          <w:rFonts w:cs="Arial"/>
          <w:szCs w:val="20"/>
        </w:rPr>
        <w:t>quantified</w:t>
      </w:r>
      <w:r w:rsidRPr="00203ECA">
        <w:rPr>
          <w:rFonts w:cs="Arial"/>
          <w:szCs w:val="20"/>
        </w:rPr>
        <w:t>.</w:t>
      </w:r>
    </w:p>
    <w:p w14:paraId="0C37F289" w14:textId="77777777" w:rsidR="00697A88" w:rsidRPr="00203ECA" w:rsidRDefault="00697A88" w:rsidP="004142EF"/>
    <w:p w14:paraId="7D8551BB" w14:textId="760F7D39" w:rsidR="009C31A4" w:rsidRPr="00203ECA" w:rsidRDefault="009C31A4" w:rsidP="008F7149">
      <w:pPr>
        <w:pStyle w:val="eTRMHeading3"/>
      </w:pPr>
      <w:bookmarkStart w:id="504" w:name="_Toc88472713"/>
      <w:r w:rsidRPr="00203ECA">
        <w:t>DEER Differences Analysis</w:t>
      </w:r>
      <w:bookmarkEnd w:id="504"/>
    </w:p>
    <w:p w14:paraId="575E579E" w14:textId="371D68E0" w:rsidR="002C67DF" w:rsidRPr="00203ECA" w:rsidRDefault="003F21D2" w:rsidP="004142EF">
      <w:r w:rsidRPr="00203ECA">
        <w:t>This section provides a summary of DEER-based inputs and methods, and the rationale for inputs and methods that are not DEER-based.</w:t>
      </w:r>
    </w:p>
    <w:p w14:paraId="756C62FB" w14:textId="615AAC71" w:rsidR="00EA057C" w:rsidRPr="00203ECA" w:rsidRDefault="00EA057C" w:rsidP="00252E15">
      <w:pPr>
        <w:pStyle w:val="Caption"/>
      </w:pPr>
      <w:r w:rsidRPr="00203ECA">
        <w:lastRenderedPageBreak/>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203ECA" w14:paraId="59D017C8" w14:textId="77777777" w:rsidTr="00EA057C">
        <w:trPr>
          <w:trHeight w:val="20"/>
        </w:trPr>
        <w:tc>
          <w:tcPr>
            <w:tcW w:w="1730" w:type="pct"/>
            <w:shd w:val="clear" w:color="auto" w:fill="F2F2F2" w:themeFill="background1" w:themeFillShade="F2"/>
          </w:tcPr>
          <w:p w14:paraId="5A1E2CE5" w14:textId="77777777" w:rsidR="00EA057C" w:rsidRPr="00203ECA" w:rsidRDefault="00EA057C" w:rsidP="00EA057C">
            <w:pPr>
              <w:keepNext/>
              <w:keepLines/>
              <w:tabs>
                <w:tab w:val="right" w:pos="2957"/>
              </w:tabs>
              <w:spacing w:before="20" w:after="20"/>
              <w:rPr>
                <w:rFonts w:cs="Arial"/>
                <w:b/>
                <w:sz w:val="20"/>
                <w:szCs w:val="20"/>
              </w:rPr>
            </w:pPr>
            <w:r w:rsidRPr="00203ECA">
              <w:rPr>
                <w:rFonts w:cs="Arial"/>
                <w:b/>
                <w:sz w:val="20"/>
                <w:szCs w:val="20"/>
              </w:rPr>
              <w:t>DEER Item</w:t>
            </w:r>
          </w:p>
        </w:tc>
        <w:tc>
          <w:tcPr>
            <w:tcW w:w="3270" w:type="pct"/>
            <w:shd w:val="clear" w:color="auto" w:fill="F2F2F2" w:themeFill="background1" w:themeFillShade="F2"/>
          </w:tcPr>
          <w:p w14:paraId="52AD34D1" w14:textId="0CFF441B" w:rsidR="00EA057C" w:rsidRPr="00203ECA" w:rsidRDefault="00EA057C" w:rsidP="00EA057C">
            <w:pPr>
              <w:keepNext/>
              <w:keepLines/>
              <w:spacing w:before="20" w:after="20"/>
              <w:rPr>
                <w:rFonts w:cs="Arial"/>
                <w:b/>
                <w:sz w:val="20"/>
                <w:szCs w:val="20"/>
              </w:rPr>
            </w:pPr>
            <w:r w:rsidRPr="00203ECA">
              <w:rPr>
                <w:rFonts w:cs="Arial"/>
                <w:b/>
                <w:sz w:val="20"/>
                <w:szCs w:val="20"/>
              </w:rPr>
              <w:t>Comment / Used for Workpaper</w:t>
            </w:r>
          </w:p>
        </w:tc>
      </w:tr>
      <w:tr w:rsidR="008E0906" w:rsidRPr="00203ECA" w14:paraId="33003020" w14:textId="77777777" w:rsidTr="00EA057C">
        <w:trPr>
          <w:trHeight w:val="20"/>
        </w:trPr>
        <w:tc>
          <w:tcPr>
            <w:tcW w:w="1730" w:type="pct"/>
          </w:tcPr>
          <w:p w14:paraId="1F2D360A" w14:textId="77777777" w:rsidR="008E0906" w:rsidRPr="00203ECA" w:rsidRDefault="008E0906" w:rsidP="008E0906">
            <w:pPr>
              <w:keepNext/>
              <w:keepLines/>
              <w:spacing w:before="20" w:after="20"/>
              <w:rPr>
                <w:rFonts w:cs="Arial"/>
                <w:sz w:val="20"/>
                <w:szCs w:val="20"/>
              </w:rPr>
            </w:pPr>
            <w:r w:rsidRPr="00203ECA">
              <w:rPr>
                <w:rFonts w:cs="Arial"/>
                <w:sz w:val="20"/>
                <w:szCs w:val="20"/>
              </w:rPr>
              <w:t>Modified DEER methodology</w:t>
            </w:r>
          </w:p>
        </w:tc>
        <w:tc>
          <w:tcPr>
            <w:tcW w:w="3270" w:type="pct"/>
          </w:tcPr>
          <w:p w14:paraId="247EE411" w14:textId="57E81912"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507422EA" w14:textId="77777777" w:rsidTr="00EA057C">
        <w:trPr>
          <w:trHeight w:val="20"/>
        </w:trPr>
        <w:tc>
          <w:tcPr>
            <w:tcW w:w="1730" w:type="pct"/>
          </w:tcPr>
          <w:p w14:paraId="29430E33" w14:textId="77777777" w:rsidR="008E0906" w:rsidRPr="00203ECA" w:rsidRDefault="008E0906" w:rsidP="008E0906">
            <w:pPr>
              <w:keepNext/>
              <w:keepLines/>
              <w:spacing w:before="20" w:after="20"/>
              <w:rPr>
                <w:rFonts w:cs="Arial"/>
                <w:sz w:val="20"/>
                <w:szCs w:val="20"/>
              </w:rPr>
            </w:pPr>
            <w:r w:rsidRPr="00203ECA">
              <w:rPr>
                <w:rFonts w:cs="Arial"/>
                <w:sz w:val="20"/>
                <w:szCs w:val="20"/>
              </w:rPr>
              <w:t>Scaled DEER measure</w:t>
            </w:r>
          </w:p>
        </w:tc>
        <w:tc>
          <w:tcPr>
            <w:tcW w:w="3270" w:type="pct"/>
          </w:tcPr>
          <w:p w14:paraId="0C847473" w14:textId="6CAA4EAD" w:rsidR="008E0906" w:rsidRPr="00203ECA" w:rsidRDefault="00E5448F" w:rsidP="008E0906">
            <w:pPr>
              <w:keepNext/>
              <w:keepLines/>
              <w:spacing w:before="20" w:after="20"/>
              <w:rPr>
                <w:rFonts w:cs="Calibri Light"/>
                <w:sz w:val="20"/>
                <w:szCs w:val="20"/>
              </w:rPr>
            </w:pPr>
            <w:r w:rsidRPr="00203ECA">
              <w:rPr>
                <w:sz w:val="20"/>
              </w:rPr>
              <w:t>No</w:t>
            </w:r>
          </w:p>
        </w:tc>
      </w:tr>
      <w:tr w:rsidR="008E0906" w:rsidRPr="00203ECA" w14:paraId="335CDE40" w14:textId="77777777" w:rsidTr="00EA057C">
        <w:trPr>
          <w:trHeight w:val="20"/>
        </w:trPr>
        <w:tc>
          <w:tcPr>
            <w:tcW w:w="1730" w:type="pct"/>
          </w:tcPr>
          <w:p w14:paraId="126C3B42" w14:textId="77777777" w:rsidR="008E0906" w:rsidRPr="00203ECA" w:rsidRDefault="008E0906" w:rsidP="008E0906">
            <w:pPr>
              <w:keepNext/>
              <w:keepLines/>
              <w:spacing w:before="20" w:after="20"/>
              <w:rPr>
                <w:rFonts w:cs="Arial"/>
                <w:sz w:val="20"/>
                <w:szCs w:val="20"/>
              </w:rPr>
            </w:pPr>
            <w:r w:rsidRPr="00203ECA">
              <w:rPr>
                <w:rFonts w:cs="Arial"/>
                <w:sz w:val="20"/>
                <w:szCs w:val="20"/>
              </w:rPr>
              <w:t>DEER Base Case</w:t>
            </w:r>
          </w:p>
        </w:tc>
        <w:tc>
          <w:tcPr>
            <w:tcW w:w="3270" w:type="pct"/>
          </w:tcPr>
          <w:p w14:paraId="5D2A1B0E" w14:textId="0AD34C37" w:rsidR="008E0906" w:rsidRPr="00203ECA" w:rsidRDefault="003D20E9" w:rsidP="008E0906">
            <w:pPr>
              <w:keepNext/>
              <w:keepLines/>
              <w:spacing w:before="20" w:after="20"/>
              <w:rPr>
                <w:rFonts w:cs="Calibri Light"/>
                <w:sz w:val="20"/>
                <w:szCs w:val="20"/>
              </w:rPr>
            </w:pPr>
            <w:r>
              <w:rPr>
                <w:sz w:val="20"/>
              </w:rPr>
              <w:t>No</w:t>
            </w:r>
          </w:p>
        </w:tc>
      </w:tr>
      <w:tr w:rsidR="008E0906" w:rsidRPr="00203ECA" w14:paraId="1F8399E1" w14:textId="77777777" w:rsidTr="00EA057C">
        <w:trPr>
          <w:trHeight w:val="20"/>
        </w:trPr>
        <w:tc>
          <w:tcPr>
            <w:tcW w:w="1730" w:type="pct"/>
          </w:tcPr>
          <w:p w14:paraId="0CC701E3" w14:textId="77777777" w:rsidR="008E0906" w:rsidRPr="00203ECA" w:rsidRDefault="008E0906" w:rsidP="008E0906">
            <w:pPr>
              <w:keepNext/>
              <w:keepLines/>
              <w:spacing w:before="20" w:after="20"/>
              <w:rPr>
                <w:rFonts w:cs="Arial"/>
                <w:sz w:val="20"/>
                <w:szCs w:val="20"/>
              </w:rPr>
            </w:pPr>
            <w:r w:rsidRPr="00203ECA">
              <w:rPr>
                <w:rFonts w:cs="Arial"/>
                <w:sz w:val="20"/>
                <w:szCs w:val="20"/>
              </w:rPr>
              <w:t>DEER Measure Case</w:t>
            </w:r>
          </w:p>
        </w:tc>
        <w:tc>
          <w:tcPr>
            <w:tcW w:w="3270" w:type="pct"/>
          </w:tcPr>
          <w:p w14:paraId="49A023A0" w14:textId="07E047B4"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663742C6" w14:textId="77777777" w:rsidTr="00EA057C">
        <w:trPr>
          <w:trHeight w:val="20"/>
        </w:trPr>
        <w:tc>
          <w:tcPr>
            <w:tcW w:w="1730" w:type="pct"/>
          </w:tcPr>
          <w:p w14:paraId="16B2FDAB" w14:textId="77777777" w:rsidR="008E0906" w:rsidRPr="00203ECA" w:rsidRDefault="008E0906" w:rsidP="008E0906">
            <w:pPr>
              <w:keepNext/>
              <w:keepLines/>
              <w:spacing w:before="20" w:after="20"/>
              <w:rPr>
                <w:rFonts w:cs="Arial"/>
                <w:sz w:val="20"/>
                <w:szCs w:val="20"/>
              </w:rPr>
            </w:pPr>
            <w:r w:rsidRPr="00203ECA">
              <w:rPr>
                <w:rFonts w:cs="Arial"/>
                <w:sz w:val="20"/>
                <w:szCs w:val="20"/>
              </w:rPr>
              <w:t>DEER Building Types</w:t>
            </w:r>
          </w:p>
        </w:tc>
        <w:tc>
          <w:tcPr>
            <w:tcW w:w="3270" w:type="pct"/>
          </w:tcPr>
          <w:p w14:paraId="6BBA540C" w14:textId="369CEF89" w:rsidR="008E0906" w:rsidRPr="00203ECA" w:rsidRDefault="00E5448F" w:rsidP="008E0906">
            <w:pPr>
              <w:keepNext/>
              <w:keepLines/>
              <w:spacing w:before="20" w:after="20"/>
              <w:rPr>
                <w:rFonts w:cs="Calibri Light"/>
                <w:sz w:val="20"/>
                <w:szCs w:val="20"/>
              </w:rPr>
            </w:pPr>
            <w:r w:rsidRPr="00203ECA">
              <w:rPr>
                <w:rFonts w:cs="Calibri Light"/>
                <w:sz w:val="20"/>
                <w:szCs w:val="20"/>
              </w:rPr>
              <w:t>Yes</w:t>
            </w:r>
          </w:p>
        </w:tc>
      </w:tr>
      <w:tr w:rsidR="008E0906" w:rsidRPr="00203ECA" w14:paraId="424F1325" w14:textId="77777777" w:rsidTr="00EA057C">
        <w:trPr>
          <w:trHeight w:val="20"/>
        </w:trPr>
        <w:tc>
          <w:tcPr>
            <w:tcW w:w="1730" w:type="pct"/>
          </w:tcPr>
          <w:p w14:paraId="71098DDA" w14:textId="77777777" w:rsidR="008E0906" w:rsidRPr="00203ECA" w:rsidRDefault="008E0906" w:rsidP="008E0906">
            <w:pPr>
              <w:keepNext/>
              <w:keepLines/>
              <w:spacing w:before="20" w:after="20"/>
              <w:rPr>
                <w:rFonts w:cs="Arial"/>
                <w:sz w:val="20"/>
                <w:szCs w:val="20"/>
              </w:rPr>
            </w:pPr>
            <w:r w:rsidRPr="00203ECA">
              <w:rPr>
                <w:rFonts w:cs="Arial"/>
                <w:sz w:val="20"/>
                <w:szCs w:val="20"/>
              </w:rPr>
              <w:t>DEER Operating Hours</w:t>
            </w:r>
          </w:p>
        </w:tc>
        <w:tc>
          <w:tcPr>
            <w:tcW w:w="3270" w:type="pct"/>
          </w:tcPr>
          <w:p w14:paraId="1693E1EE" w14:textId="196E6824" w:rsidR="008E0906" w:rsidRPr="00203ECA" w:rsidRDefault="008E0906" w:rsidP="008E0906">
            <w:pPr>
              <w:keepNext/>
              <w:keepLines/>
              <w:spacing w:before="20" w:after="20"/>
              <w:rPr>
                <w:rFonts w:cs="Calibri Light"/>
                <w:sz w:val="20"/>
                <w:szCs w:val="20"/>
              </w:rPr>
            </w:pPr>
            <w:r w:rsidRPr="00203ECA">
              <w:rPr>
                <w:sz w:val="20"/>
              </w:rPr>
              <w:t>No</w:t>
            </w:r>
          </w:p>
        </w:tc>
      </w:tr>
      <w:tr w:rsidR="008E0906" w:rsidRPr="00203ECA" w14:paraId="0B93AD47" w14:textId="77777777" w:rsidTr="00EA057C">
        <w:trPr>
          <w:trHeight w:val="20"/>
        </w:trPr>
        <w:tc>
          <w:tcPr>
            <w:tcW w:w="1730" w:type="pct"/>
          </w:tcPr>
          <w:p w14:paraId="6E9E484F" w14:textId="77777777" w:rsidR="008E0906" w:rsidRPr="00203ECA" w:rsidRDefault="008E0906" w:rsidP="008E0906">
            <w:pPr>
              <w:keepNext/>
              <w:keepLines/>
              <w:spacing w:before="20" w:after="20"/>
              <w:rPr>
                <w:rFonts w:cs="Arial"/>
                <w:sz w:val="20"/>
                <w:szCs w:val="20"/>
              </w:rPr>
            </w:pPr>
            <w:r w:rsidRPr="00203ECA">
              <w:rPr>
                <w:rFonts w:cs="Arial"/>
                <w:sz w:val="20"/>
                <w:szCs w:val="20"/>
              </w:rPr>
              <w:t xml:space="preserve">DEER </w:t>
            </w:r>
            <w:proofErr w:type="spellStart"/>
            <w:r w:rsidRPr="00203ECA">
              <w:rPr>
                <w:rFonts w:cs="Arial"/>
                <w:sz w:val="20"/>
                <w:szCs w:val="20"/>
              </w:rPr>
              <w:t>eQUEST</w:t>
            </w:r>
            <w:proofErr w:type="spellEnd"/>
            <w:r w:rsidRPr="00203ECA">
              <w:rPr>
                <w:rFonts w:cs="Arial"/>
                <w:sz w:val="20"/>
                <w:szCs w:val="20"/>
              </w:rPr>
              <w:t xml:space="preserve"> Prototypes</w:t>
            </w:r>
          </w:p>
        </w:tc>
        <w:tc>
          <w:tcPr>
            <w:tcW w:w="3270" w:type="pct"/>
          </w:tcPr>
          <w:p w14:paraId="4948DEAF" w14:textId="671F88A9" w:rsidR="008E0906" w:rsidRPr="00203ECA" w:rsidDel="00505CEC" w:rsidRDefault="003D20E9" w:rsidP="008E0906">
            <w:pPr>
              <w:keepNext/>
              <w:keepLines/>
              <w:spacing w:before="20" w:after="20"/>
              <w:rPr>
                <w:rFonts w:cs="Calibri Light"/>
                <w:sz w:val="20"/>
                <w:szCs w:val="20"/>
              </w:rPr>
            </w:pPr>
            <w:r>
              <w:rPr>
                <w:rFonts w:cs="Calibri Light"/>
                <w:sz w:val="20"/>
                <w:szCs w:val="20"/>
              </w:rPr>
              <w:t>No</w:t>
            </w:r>
          </w:p>
        </w:tc>
      </w:tr>
      <w:tr w:rsidR="008E0906" w:rsidRPr="00203ECA" w14:paraId="2CFDE9D3" w14:textId="77777777" w:rsidTr="00EA057C">
        <w:trPr>
          <w:trHeight w:val="180"/>
        </w:trPr>
        <w:tc>
          <w:tcPr>
            <w:tcW w:w="1730" w:type="pct"/>
          </w:tcPr>
          <w:p w14:paraId="3B6B3E22" w14:textId="77777777" w:rsidR="008E0906" w:rsidRPr="00203ECA" w:rsidRDefault="008E0906" w:rsidP="008E0906">
            <w:pPr>
              <w:keepNext/>
              <w:keepLines/>
              <w:spacing w:before="20" w:after="20"/>
              <w:rPr>
                <w:rFonts w:cs="Arial"/>
                <w:sz w:val="20"/>
                <w:szCs w:val="20"/>
              </w:rPr>
            </w:pPr>
            <w:r w:rsidRPr="00203ECA">
              <w:rPr>
                <w:rFonts w:cs="Arial"/>
                <w:sz w:val="20"/>
                <w:szCs w:val="20"/>
              </w:rPr>
              <w:t>DEER Version</w:t>
            </w:r>
          </w:p>
        </w:tc>
        <w:tc>
          <w:tcPr>
            <w:tcW w:w="3270" w:type="pct"/>
          </w:tcPr>
          <w:p w14:paraId="1C3B60D1" w14:textId="01D3A9D9" w:rsidR="008E0906" w:rsidRPr="00203ECA" w:rsidRDefault="00690A8C" w:rsidP="008E0906">
            <w:pPr>
              <w:keepNext/>
              <w:keepLines/>
              <w:spacing w:before="20" w:after="20"/>
              <w:rPr>
                <w:rFonts w:cs="Calibri Light"/>
                <w:sz w:val="20"/>
                <w:szCs w:val="20"/>
              </w:rPr>
            </w:pPr>
            <w:r w:rsidRPr="00203ECA">
              <w:rPr>
                <w:sz w:val="20"/>
              </w:rPr>
              <w:t>n/a</w:t>
            </w:r>
          </w:p>
        </w:tc>
      </w:tr>
      <w:tr w:rsidR="008E0906" w:rsidRPr="00203ECA" w14:paraId="3B7464D7" w14:textId="77777777" w:rsidTr="00EA057C">
        <w:trPr>
          <w:trHeight w:val="20"/>
        </w:trPr>
        <w:tc>
          <w:tcPr>
            <w:tcW w:w="1730" w:type="pct"/>
          </w:tcPr>
          <w:p w14:paraId="24000A76" w14:textId="77777777" w:rsidR="008E0906" w:rsidRPr="00203ECA" w:rsidRDefault="008E0906" w:rsidP="008E0906">
            <w:pPr>
              <w:keepNext/>
              <w:keepLines/>
              <w:spacing w:before="20" w:after="20"/>
              <w:rPr>
                <w:rFonts w:cs="Arial"/>
                <w:sz w:val="20"/>
                <w:szCs w:val="20"/>
              </w:rPr>
            </w:pPr>
            <w:r w:rsidRPr="00203ECA">
              <w:rPr>
                <w:rFonts w:cs="Arial"/>
                <w:sz w:val="20"/>
                <w:szCs w:val="20"/>
              </w:rPr>
              <w:t>Reason for Deviation from DEER</w:t>
            </w:r>
          </w:p>
        </w:tc>
        <w:tc>
          <w:tcPr>
            <w:tcW w:w="3270" w:type="pct"/>
          </w:tcPr>
          <w:p w14:paraId="125AAB90" w14:textId="52F867DC" w:rsidR="008E0906" w:rsidRPr="00203ECA" w:rsidRDefault="00E5448F" w:rsidP="008E0906">
            <w:pPr>
              <w:keepNext/>
              <w:keepLines/>
              <w:spacing w:before="20" w:after="20"/>
              <w:rPr>
                <w:rFonts w:cs="Calibri Light"/>
                <w:sz w:val="20"/>
                <w:szCs w:val="20"/>
              </w:rPr>
            </w:pPr>
            <w:r w:rsidRPr="00203ECA">
              <w:rPr>
                <w:sz w:val="20"/>
              </w:rPr>
              <w:t>The DEER 202</w:t>
            </w:r>
            <w:r w:rsidR="008A422A">
              <w:rPr>
                <w:sz w:val="20"/>
              </w:rPr>
              <w:t>2</w:t>
            </w:r>
            <w:r w:rsidRPr="00203ECA">
              <w:rPr>
                <w:sz w:val="20"/>
              </w:rPr>
              <w:t xml:space="preserve"> database does not support measure evaluation on Smart Thermostat technology.</w:t>
            </w:r>
          </w:p>
        </w:tc>
      </w:tr>
      <w:tr w:rsidR="008E0906" w:rsidRPr="00203ECA" w14:paraId="4A7EE859" w14:textId="77777777" w:rsidTr="00EA057C">
        <w:trPr>
          <w:trHeight w:val="20"/>
        </w:trPr>
        <w:tc>
          <w:tcPr>
            <w:tcW w:w="1730" w:type="pct"/>
          </w:tcPr>
          <w:p w14:paraId="7B4D686A" w14:textId="77777777" w:rsidR="008E0906" w:rsidRPr="00203ECA" w:rsidRDefault="008E0906" w:rsidP="008E0906">
            <w:pPr>
              <w:keepNext/>
              <w:keepLines/>
              <w:spacing w:before="20" w:after="20"/>
              <w:rPr>
                <w:rFonts w:cs="Arial"/>
                <w:sz w:val="20"/>
                <w:szCs w:val="20"/>
              </w:rPr>
            </w:pPr>
            <w:r w:rsidRPr="00203ECA">
              <w:rPr>
                <w:rFonts w:cs="Arial"/>
                <w:sz w:val="20"/>
                <w:szCs w:val="20"/>
              </w:rPr>
              <w:t>DEER Measure IDs Used</w:t>
            </w:r>
          </w:p>
        </w:tc>
        <w:tc>
          <w:tcPr>
            <w:tcW w:w="3270" w:type="pct"/>
          </w:tcPr>
          <w:p w14:paraId="63ABA251" w14:textId="139B2637" w:rsidR="008E0906" w:rsidRPr="00203ECA" w:rsidRDefault="00690A8C" w:rsidP="008E0906">
            <w:pPr>
              <w:keepNext/>
              <w:keepLines/>
              <w:spacing w:before="20" w:after="20"/>
              <w:rPr>
                <w:rFonts w:cs="Calibri Light"/>
                <w:sz w:val="20"/>
                <w:szCs w:val="20"/>
              </w:rPr>
            </w:pPr>
            <w:r w:rsidRPr="00203ECA">
              <w:rPr>
                <w:sz w:val="20"/>
              </w:rPr>
              <w:t>n/a</w:t>
            </w:r>
          </w:p>
        </w:tc>
      </w:tr>
      <w:tr w:rsidR="00EA057C" w:rsidRPr="00203ECA" w14:paraId="5A83EC74" w14:textId="77777777" w:rsidTr="00EA057C">
        <w:trPr>
          <w:trHeight w:val="20"/>
        </w:trPr>
        <w:tc>
          <w:tcPr>
            <w:tcW w:w="1730" w:type="pct"/>
          </w:tcPr>
          <w:p w14:paraId="2C82A9E0" w14:textId="121308D7" w:rsidR="00EA057C" w:rsidRPr="00203ECA" w:rsidRDefault="00EA057C" w:rsidP="00EA057C">
            <w:pPr>
              <w:keepNext/>
              <w:keepLines/>
              <w:spacing w:before="20" w:after="20"/>
              <w:rPr>
                <w:rFonts w:cs="Arial"/>
                <w:sz w:val="20"/>
                <w:szCs w:val="20"/>
              </w:rPr>
            </w:pPr>
            <w:r w:rsidRPr="00203ECA">
              <w:rPr>
                <w:rFonts w:cs="Arial"/>
                <w:sz w:val="20"/>
                <w:szCs w:val="20"/>
              </w:rPr>
              <w:t>NTG</w:t>
            </w:r>
          </w:p>
        </w:tc>
        <w:tc>
          <w:tcPr>
            <w:tcW w:w="3270" w:type="pct"/>
          </w:tcPr>
          <w:p w14:paraId="2BBBB10C" w14:textId="6F7C1E6E" w:rsidR="005F0300" w:rsidRPr="002C2D46" w:rsidRDefault="005A74DC">
            <w:pPr>
              <w:keepNext/>
              <w:keepLines/>
              <w:spacing w:before="20" w:after="20"/>
              <w:rPr>
                <w:rFonts w:cs="Arial"/>
                <w:sz w:val="20"/>
                <w:szCs w:val="20"/>
              </w:rPr>
            </w:pPr>
            <w:r w:rsidRPr="00203ECA">
              <w:rPr>
                <w:rFonts w:cs="Arial"/>
                <w:sz w:val="20"/>
                <w:szCs w:val="20"/>
              </w:rPr>
              <w:t xml:space="preserve">Source: </w:t>
            </w:r>
            <w:r w:rsidR="005F0300">
              <w:rPr>
                <w:rFonts w:cs="Arial"/>
                <w:sz w:val="20"/>
                <w:szCs w:val="20"/>
              </w:rPr>
              <w:t xml:space="preserve">DEER IDs: </w:t>
            </w:r>
            <w:r w:rsidRPr="00203ECA">
              <w:rPr>
                <w:rFonts w:cs="Arial"/>
                <w:sz w:val="20"/>
                <w:szCs w:val="20"/>
              </w:rPr>
              <w:t xml:space="preserve"> </w:t>
            </w:r>
            <w:r w:rsidR="005F0300" w:rsidRPr="005F0300">
              <w:rPr>
                <w:rFonts w:cs="Arial"/>
                <w:sz w:val="20"/>
                <w:szCs w:val="20"/>
              </w:rPr>
              <w:t>Res-</w:t>
            </w:r>
            <w:proofErr w:type="spellStart"/>
            <w:r w:rsidR="005F0300" w:rsidRPr="005F0300">
              <w:rPr>
                <w:rFonts w:cs="Arial"/>
                <w:sz w:val="20"/>
                <w:szCs w:val="20"/>
              </w:rPr>
              <w:t>sAll</w:t>
            </w:r>
            <w:proofErr w:type="spellEnd"/>
            <w:r w:rsidR="005F0300" w:rsidRPr="005F0300">
              <w:rPr>
                <w:rFonts w:cs="Arial"/>
                <w:sz w:val="20"/>
                <w:szCs w:val="20"/>
              </w:rPr>
              <w:t>-</w:t>
            </w:r>
            <w:proofErr w:type="spellStart"/>
            <w:r w:rsidR="005F0300" w:rsidRPr="005F0300">
              <w:rPr>
                <w:rFonts w:cs="Arial"/>
                <w:sz w:val="20"/>
                <w:szCs w:val="20"/>
              </w:rPr>
              <w:t>mHVAC</w:t>
            </w:r>
            <w:proofErr w:type="spellEnd"/>
            <w:r w:rsidR="005F0300" w:rsidRPr="005F0300">
              <w:rPr>
                <w:rFonts w:cs="Arial"/>
                <w:sz w:val="20"/>
                <w:szCs w:val="20"/>
              </w:rPr>
              <w:t>-SCT-</w:t>
            </w:r>
            <w:proofErr w:type="spellStart"/>
            <w:r w:rsidR="005F0300" w:rsidRPr="005F0300">
              <w:rPr>
                <w:rFonts w:cs="Arial"/>
                <w:sz w:val="20"/>
                <w:szCs w:val="20"/>
              </w:rPr>
              <w:t>dn</w:t>
            </w:r>
            <w:proofErr w:type="spellEnd"/>
            <w:r w:rsidR="005F0300">
              <w:rPr>
                <w:rFonts w:cs="Arial"/>
                <w:sz w:val="20"/>
                <w:szCs w:val="20"/>
              </w:rPr>
              <w:t xml:space="preserve">, </w:t>
            </w:r>
            <w:r w:rsidR="005F0300" w:rsidRPr="005F0300">
              <w:rPr>
                <w:rFonts w:cs="Arial"/>
                <w:sz w:val="20"/>
                <w:szCs w:val="20"/>
              </w:rPr>
              <w:t>Res-</w:t>
            </w:r>
            <w:proofErr w:type="spellStart"/>
            <w:r w:rsidR="005F0300" w:rsidRPr="005F0300">
              <w:rPr>
                <w:rFonts w:cs="Arial"/>
                <w:sz w:val="20"/>
                <w:szCs w:val="20"/>
              </w:rPr>
              <w:t>sAll</w:t>
            </w:r>
            <w:proofErr w:type="spellEnd"/>
            <w:r w:rsidR="005F0300" w:rsidRPr="005F0300">
              <w:rPr>
                <w:rFonts w:cs="Arial"/>
                <w:sz w:val="20"/>
                <w:szCs w:val="20"/>
              </w:rPr>
              <w:t>-</w:t>
            </w:r>
            <w:proofErr w:type="spellStart"/>
            <w:r w:rsidR="005F0300" w:rsidRPr="005F0300">
              <w:rPr>
                <w:rFonts w:cs="Arial"/>
                <w:sz w:val="20"/>
                <w:szCs w:val="20"/>
              </w:rPr>
              <w:t>mHVAC</w:t>
            </w:r>
            <w:proofErr w:type="spellEnd"/>
            <w:r w:rsidR="005F0300" w:rsidRPr="005F0300">
              <w:rPr>
                <w:rFonts w:cs="Arial"/>
                <w:sz w:val="20"/>
                <w:szCs w:val="20"/>
              </w:rPr>
              <w:t>-SCT-d</w:t>
            </w:r>
            <w:r w:rsidR="005F0300">
              <w:rPr>
                <w:rFonts w:cs="Arial"/>
                <w:sz w:val="20"/>
                <w:szCs w:val="20"/>
              </w:rPr>
              <w:t>i</w:t>
            </w:r>
          </w:p>
        </w:tc>
      </w:tr>
      <w:tr w:rsidR="00EA057C" w:rsidRPr="00203ECA" w14:paraId="131D1F9D" w14:textId="77777777" w:rsidTr="00EA057C">
        <w:trPr>
          <w:trHeight w:val="20"/>
        </w:trPr>
        <w:tc>
          <w:tcPr>
            <w:tcW w:w="1730" w:type="pct"/>
          </w:tcPr>
          <w:p w14:paraId="45FFA983" w14:textId="5F527A83" w:rsidR="00EA057C" w:rsidRPr="00203ECA" w:rsidRDefault="00EA057C" w:rsidP="00EA057C">
            <w:pPr>
              <w:keepNext/>
              <w:keepLines/>
              <w:spacing w:before="20" w:after="20"/>
              <w:rPr>
                <w:rFonts w:cs="Arial"/>
                <w:sz w:val="20"/>
                <w:szCs w:val="20"/>
              </w:rPr>
            </w:pPr>
            <w:r w:rsidRPr="00203ECA">
              <w:rPr>
                <w:rFonts w:cs="Arial"/>
                <w:sz w:val="20"/>
                <w:szCs w:val="20"/>
              </w:rPr>
              <w:t>GSIA</w:t>
            </w:r>
          </w:p>
        </w:tc>
        <w:tc>
          <w:tcPr>
            <w:tcW w:w="3270" w:type="pct"/>
          </w:tcPr>
          <w:p w14:paraId="7C16D603" w14:textId="46149464" w:rsidR="00EA057C" w:rsidRPr="00203ECA" w:rsidRDefault="005A74DC" w:rsidP="005A74DC">
            <w:pPr>
              <w:keepNext/>
              <w:keepLines/>
              <w:spacing w:before="20" w:after="20"/>
              <w:rPr>
                <w:rFonts w:cs="Arial"/>
                <w:sz w:val="20"/>
                <w:szCs w:val="20"/>
              </w:rPr>
            </w:pPr>
            <w:r w:rsidRPr="00203ECA">
              <w:rPr>
                <w:rFonts w:cs="Arial"/>
                <w:sz w:val="20"/>
                <w:szCs w:val="20"/>
              </w:rPr>
              <w:t xml:space="preserve">Source: </w:t>
            </w:r>
            <w:r w:rsidR="00701FFC" w:rsidRPr="00203ECA">
              <w:rPr>
                <w:rFonts w:cs="Arial"/>
                <w:sz w:val="20"/>
                <w:szCs w:val="20"/>
              </w:rPr>
              <w:t>DEER</w:t>
            </w:r>
            <w:r w:rsidRPr="00203ECA">
              <w:rPr>
                <w:rFonts w:cs="Arial"/>
                <w:sz w:val="20"/>
                <w:szCs w:val="20"/>
              </w:rPr>
              <w:t xml:space="preserve">. The GSIA of </w:t>
            </w:r>
            <w:r w:rsidR="006C1EAE" w:rsidRPr="00203ECA">
              <w:rPr>
                <w:rFonts w:cs="Arial"/>
                <w:sz w:val="20"/>
                <w:szCs w:val="20"/>
              </w:rPr>
              <w:t>1.0</w:t>
            </w:r>
            <w:r w:rsidRPr="00203ECA">
              <w:rPr>
                <w:rFonts w:cs="Arial"/>
                <w:sz w:val="20"/>
                <w:szCs w:val="20"/>
              </w:rPr>
              <w:t xml:space="preserve"> is associated with GSIA ID: </w:t>
            </w:r>
            <w:r w:rsidR="006C1EAE" w:rsidRPr="00203ECA">
              <w:rPr>
                <w:rFonts w:cs="Arial"/>
                <w:i/>
                <w:sz w:val="20"/>
                <w:szCs w:val="20"/>
              </w:rPr>
              <w:t>Def-GSIA</w:t>
            </w:r>
          </w:p>
        </w:tc>
      </w:tr>
      <w:tr w:rsidR="00EA057C" w:rsidRPr="00203ECA" w14:paraId="4D0F7E1B" w14:textId="77777777" w:rsidTr="00EA057C">
        <w:trPr>
          <w:trHeight w:val="20"/>
        </w:trPr>
        <w:tc>
          <w:tcPr>
            <w:tcW w:w="1730" w:type="pct"/>
          </w:tcPr>
          <w:p w14:paraId="103BA947" w14:textId="6665B2EA" w:rsidR="00EA057C" w:rsidRPr="00203ECA" w:rsidRDefault="00EA057C" w:rsidP="00EA057C">
            <w:pPr>
              <w:keepNext/>
              <w:keepLines/>
              <w:spacing w:before="20" w:after="20"/>
              <w:rPr>
                <w:rFonts w:cs="Arial"/>
                <w:sz w:val="20"/>
                <w:szCs w:val="20"/>
              </w:rPr>
            </w:pPr>
            <w:r w:rsidRPr="00203ECA">
              <w:rPr>
                <w:rFonts w:cs="Arial"/>
                <w:sz w:val="20"/>
                <w:szCs w:val="20"/>
              </w:rPr>
              <w:t>EUL/RUL</w:t>
            </w:r>
          </w:p>
        </w:tc>
        <w:tc>
          <w:tcPr>
            <w:tcW w:w="3270" w:type="pct"/>
          </w:tcPr>
          <w:p w14:paraId="5BD9C961" w14:textId="5E2658D0" w:rsidR="00EA057C" w:rsidRPr="00203ECA" w:rsidRDefault="005A74DC" w:rsidP="00EA057C">
            <w:pPr>
              <w:keepNext/>
              <w:keepLines/>
              <w:spacing w:before="20" w:after="20"/>
              <w:rPr>
                <w:rFonts w:cs="Arial"/>
                <w:sz w:val="20"/>
                <w:szCs w:val="20"/>
              </w:rPr>
            </w:pPr>
            <w:r w:rsidRPr="00203ECA">
              <w:rPr>
                <w:rFonts w:cs="Arial"/>
                <w:sz w:val="20"/>
                <w:szCs w:val="20"/>
              </w:rPr>
              <w:t xml:space="preserve">Source: </w:t>
            </w:r>
            <w:r w:rsidR="003D20E9">
              <w:rPr>
                <w:rFonts w:cs="Arial"/>
                <w:sz w:val="20"/>
                <w:szCs w:val="20"/>
              </w:rPr>
              <w:t xml:space="preserve">DEER ID: </w:t>
            </w:r>
            <w:r w:rsidR="003D20E9" w:rsidRPr="00540046">
              <w:rPr>
                <w:rFonts w:cs="Calibri Light"/>
                <w:color w:val="000000"/>
                <w:sz w:val="20"/>
                <w:szCs w:val="20"/>
              </w:rPr>
              <w:t>HV-</w:t>
            </w:r>
            <w:proofErr w:type="spellStart"/>
            <w:r w:rsidR="003D20E9" w:rsidRPr="00540046">
              <w:rPr>
                <w:rFonts w:cs="Calibri Light"/>
                <w:color w:val="000000"/>
                <w:sz w:val="20"/>
                <w:szCs w:val="20"/>
              </w:rPr>
              <w:t>SmartTstat</w:t>
            </w:r>
            <w:proofErr w:type="spellEnd"/>
          </w:p>
        </w:tc>
      </w:tr>
    </w:tbl>
    <w:p w14:paraId="0E6FADD8" w14:textId="77777777" w:rsidR="000055F1" w:rsidRDefault="000055F1" w:rsidP="00E5448F">
      <w:bookmarkStart w:id="505" w:name="_Hlk516051142"/>
    </w:p>
    <w:p w14:paraId="59542C0D" w14:textId="77777777" w:rsidR="007D230B" w:rsidRPr="00203ECA" w:rsidRDefault="007D230B" w:rsidP="008F7149">
      <w:pPr>
        <w:pStyle w:val="eTRMHeading3"/>
      </w:pPr>
      <w:bookmarkStart w:id="506" w:name="_Toc486490866"/>
      <w:bookmarkStart w:id="507" w:name="_Toc486580937"/>
      <w:bookmarkStart w:id="508" w:name="_Toc88472714"/>
      <w:bookmarkStart w:id="509" w:name="_Hlk516047558"/>
      <w:r w:rsidRPr="00203ECA">
        <w:lastRenderedPageBreak/>
        <w:t>Revision History</w:t>
      </w:r>
      <w:bookmarkEnd w:id="506"/>
      <w:bookmarkEnd w:id="507"/>
      <w:bookmarkEnd w:id="508"/>
    </w:p>
    <w:p w14:paraId="3661732B" w14:textId="6E964483" w:rsidR="00CA1CB3" w:rsidRPr="00203ECA" w:rsidRDefault="00742F88" w:rsidP="00252E15">
      <w:pPr>
        <w:pStyle w:val="Caption"/>
      </w:pPr>
      <w:bookmarkStart w:id="510" w:name="_Hlk515959178"/>
      <w:r w:rsidRPr="00203ECA">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485"/>
        <w:gridCol w:w="1978"/>
        <w:gridCol w:w="4946"/>
      </w:tblGrid>
      <w:tr w:rsidR="00CA1CB3" w:rsidRPr="00203ECA" w14:paraId="1904D58C" w14:textId="6E96D877" w:rsidTr="00E91677">
        <w:trPr>
          <w:trHeight w:val="20"/>
        </w:trPr>
        <w:tc>
          <w:tcPr>
            <w:tcW w:w="503" w:type="pct"/>
            <w:shd w:val="clear" w:color="auto" w:fill="F2F2F2" w:themeFill="background1" w:themeFillShade="F2"/>
            <w:vAlign w:val="bottom"/>
          </w:tcPr>
          <w:p w14:paraId="5365A71C" w14:textId="5EB86E00" w:rsidR="00CA1CB3" w:rsidRPr="00203ECA" w:rsidRDefault="00CA1CB3" w:rsidP="00871123">
            <w:pPr>
              <w:keepNext/>
              <w:keepLines/>
              <w:tabs>
                <w:tab w:val="right" w:pos="2957"/>
              </w:tabs>
              <w:spacing w:before="20" w:after="20"/>
              <w:rPr>
                <w:rFonts w:cs="Arial"/>
                <w:b/>
                <w:sz w:val="20"/>
                <w:szCs w:val="20"/>
              </w:rPr>
            </w:pPr>
            <w:r w:rsidRPr="00203ECA">
              <w:rPr>
                <w:rFonts w:cs="Arial"/>
                <w:b/>
                <w:sz w:val="20"/>
                <w:szCs w:val="20"/>
              </w:rPr>
              <w:t>Revision Number</w:t>
            </w:r>
          </w:p>
        </w:tc>
        <w:tc>
          <w:tcPr>
            <w:tcW w:w="794" w:type="pct"/>
            <w:shd w:val="clear" w:color="auto" w:fill="F2F2F2" w:themeFill="background1" w:themeFillShade="F2"/>
            <w:vAlign w:val="bottom"/>
          </w:tcPr>
          <w:p w14:paraId="7DC8BCED" w14:textId="43808C54" w:rsidR="00CA1CB3" w:rsidRPr="00203ECA" w:rsidRDefault="00AC53A7" w:rsidP="00871123">
            <w:pPr>
              <w:keepNext/>
              <w:keepLines/>
              <w:spacing w:before="20" w:after="20"/>
              <w:rPr>
                <w:rFonts w:cs="Arial"/>
                <w:b/>
                <w:sz w:val="20"/>
                <w:szCs w:val="20"/>
              </w:rPr>
            </w:pPr>
            <w:r>
              <w:rPr>
                <w:rFonts w:cs="Arial"/>
                <w:b/>
                <w:sz w:val="20"/>
                <w:szCs w:val="20"/>
              </w:rPr>
              <w:t xml:space="preserve">Revision Complete </w:t>
            </w:r>
            <w:r w:rsidR="00CA1CB3" w:rsidRPr="00203ECA">
              <w:rPr>
                <w:rFonts w:cs="Arial"/>
                <w:b/>
                <w:sz w:val="20"/>
                <w:szCs w:val="20"/>
              </w:rPr>
              <w:t>Date</w:t>
            </w:r>
          </w:p>
        </w:tc>
        <w:tc>
          <w:tcPr>
            <w:tcW w:w="1058" w:type="pct"/>
            <w:shd w:val="clear" w:color="auto" w:fill="F2F2F2" w:themeFill="background1" w:themeFillShade="F2"/>
            <w:vAlign w:val="bottom"/>
          </w:tcPr>
          <w:p w14:paraId="10DC2402" w14:textId="63223EB6" w:rsidR="00CA1CB3" w:rsidRPr="00203ECA" w:rsidRDefault="00CA1CB3" w:rsidP="00871123">
            <w:pPr>
              <w:keepNext/>
              <w:keepLines/>
              <w:spacing w:before="20" w:after="20"/>
              <w:rPr>
                <w:rFonts w:cs="Arial"/>
                <w:b/>
                <w:sz w:val="20"/>
                <w:szCs w:val="20"/>
              </w:rPr>
            </w:pPr>
            <w:r w:rsidRPr="00203ECA">
              <w:rPr>
                <w:rFonts w:cs="Arial"/>
                <w:b/>
                <w:sz w:val="20"/>
                <w:szCs w:val="20"/>
              </w:rPr>
              <w:t>Primary Author, Title, Organization</w:t>
            </w:r>
          </w:p>
        </w:tc>
        <w:tc>
          <w:tcPr>
            <w:tcW w:w="2645" w:type="pct"/>
            <w:shd w:val="clear" w:color="auto" w:fill="F2F2F2" w:themeFill="background1" w:themeFillShade="F2"/>
            <w:vAlign w:val="bottom"/>
          </w:tcPr>
          <w:p w14:paraId="2BFB4352" w14:textId="38706EDE" w:rsidR="00CA1CB3" w:rsidRPr="00203ECA" w:rsidRDefault="00CA1CB3" w:rsidP="00871123">
            <w:pPr>
              <w:keepNext/>
              <w:keepLines/>
              <w:spacing w:before="20" w:after="20"/>
              <w:rPr>
                <w:rFonts w:cs="Arial"/>
                <w:b/>
                <w:sz w:val="20"/>
                <w:szCs w:val="20"/>
              </w:rPr>
            </w:pPr>
            <w:r w:rsidRPr="00203ECA">
              <w:rPr>
                <w:rFonts w:cs="Arial"/>
                <w:b/>
                <w:sz w:val="20"/>
                <w:szCs w:val="20"/>
              </w:rPr>
              <w:t>Revision Summary and Rationale for Revision</w:t>
            </w:r>
          </w:p>
        </w:tc>
      </w:tr>
      <w:tr w:rsidR="00CA1CB3" w:rsidRPr="00CA1CB3" w14:paraId="0A9DBD7D" w14:textId="04A29668" w:rsidTr="00E91677">
        <w:trPr>
          <w:trHeight w:val="20"/>
        </w:trPr>
        <w:tc>
          <w:tcPr>
            <w:tcW w:w="503" w:type="pct"/>
          </w:tcPr>
          <w:p w14:paraId="38788C98" w14:textId="650C945D" w:rsidR="00CA1CB3" w:rsidRPr="00203ECA" w:rsidRDefault="00CA1CB3" w:rsidP="00871123">
            <w:pPr>
              <w:keepNext/>
              <w:keepLines/>
              <w:spacing w:before="20" w:after="20"/>
              <w:rPr>
                <w:rFonts w:cs="Arial"/>
                <w:sz w:val="20"/>
                <w:szCs w:val="20"/>
              </w:rPr>
            </w:pPr>
            <w:r w:rsidRPr="00203ECA">
              <w:rPr>
                <w:rFonts w:cs="Arial"/>
                <w:sz w:val="20"/>
                <w:szCs w:val="20"/>
              </w:rPr>
              <w:t>0</w:t>
            </w:r>
            <w:r w:rsidR="00742F88" w:rsidRPr="00203ECA">
              <w:rPr>
                <w:rFonts w:cs="Arial"/>
                <w:sz w:val="20"/>
                <w:szCs w:val="20"/>
              </w:rPr>
              <w:t>1</w:t>
            </w:r>
          </w:p>
        </w:tc>
        <w:tc>
          <w:tcPr>
            <w:tcW w:w="794" w:type="pct"/>
          </w:tcPr>
          <w:p w14:paraId="03B67B1D" w14:textId="4C59FD09" w:rsidR="00CA1CB3" w:rsidRPr="00203ECA" w:rsidRDefault="00AB07A4" w:rsidP="00871123">
            <w:pPr>
              <w:keepNext/>
              <w:keepLines/>
              <w:spacing w:before="20" w:after="20"/>
              <w:rPr>
                <w:rFonts w:cs="Arial"/>
                <w:sz w:val="20"/>
                <w:szCs w:val="20"/>
              </w:rPr>
            </w:pPr>
            <w:r w:rsidRPr="00203ECA">
              <w:rPr>
                <w:rFonts w:cs="Arial"/>
                <w:sz w:val="20"/>
                <w:szCs w:val="20"/>
              </w:rPr>
              <w:t>6/24/</w:t>
            </w:r>
            <w:r w:rsidR="000055F1">
              <w:rPr>
                <w:rFonts w:cs="Arial"/>
                <w:sz w:val="20"/>
                <w:szCs w:val="20"/>
              </w:rPr>
              <w:t>20</w:t>
            </w:r>
            <w:r w:rsidRPr="00203ECA">
              <w:rPr>
                <w:rFonts w:cs="Arial"/>
                <w:sz w:val="20"/>
                <w:szCs w:val="20"/>
              </w:rPr>
              <w:t>1</w:t>
            </w:r>
            <w:r w:rsidR="000055F1">
              <w:rPr>
                <w:rFonts w:cs="Arial"/>
                <w:sz w:val="20"/>
                <w:szCs w:val="20"/>
              </w:rPr>
              <w:t>9</w:t>
            </w:r>
          </w:p>
        </w:tc>
        <w:tc>
          <w:tcPr>
            <w:tcW w:w="1058" w:type="pct"/>
          </w:tcPr>
          <w:p w14:paraId="32D154D7" w14:textId="738AD736" w:rsidR="00CA1CB3" w:rsidRPr="00203ECA" w:rsidRDefault="00AB07A4" w:rsidP="00871123">
            <w:pPr>
              <w:keepNext/>
              <w:keepLines/>
              <w:spacing w:before="20" w:after="20"/>
              <w:rPr>
                <w:rFonts w:cs="Arial"/>
                <w:sz w:val="20"/>
                <w:szCs w:val="20"/>
              </w:rPr>
            </w:pPr>
            <w:r w:rsidRPr="00203ECA">
              <w:rPr>
                <w:rFonts w:cs="Arial"/>
                <w:sz w:val="20"/>
                <w:szCs w:val="20"/>
              </w:rPr>
              <w:t>Kara Vega, TRC</w:t>
            </w:r>
          </w:p>
        </w:tc>
        <w:tc>
          <w:tcPr>
            <w:tcW w:w="2645" w:type="pct"/>
          </w:tcPr>
          <w:p w14:paraId="71355A98" w14:textId="77777777" w:rsidR="007F4F97" w:rsidRDefault="00670A7E" w:rsidP="00ED728A">
            <w:pPr>
              <w:keepNext/>
              <w:keepLines/>
              <w:spacing w:before="20" w:after="20"/>
              <w:rPr>
                <w:rFonts w:cs="Arial"/>
                <w:sz w:val="20"/>
                <w:szCs w:val="20"/>
              </w:rPr>
            </w:pPr>
            <w:r w:rsidRPr="00203ECA">
              <w:rPr>
                <w:rFonts w:cs="Arial"/>
                <w:sz w:val="20"/>
                <w:szCs w:val="20"/>
              </w:rPr>
              <w:t xml:space="preserve">Draft of consolidated text </w:t>
            </w:r>
            <w:r w:rsidR="007F4F97" w:rsidRPr="00203ECA">
              <w:rPr>
                <w:rFonts w:cs="Arial"/>
                <w:sz w:val="20"/>
                <w:szCs w:val="20"/>
              </w:rPr>
              <w:t xml:space="preserve">for this statewide measure is </w:t>
            </w:r>
            <w:r w:rsidRPr="00203ECA">
              <w:rPr>
                <w:rFonts w:cs="Arial"/>
                <w:sz w:val="20"/>
                <w:szCs w:val="20"/>
              </w:rPr>
              <w:t>based upon</w:t>
            </w:r>
            <w:r w:rsidR="009669D2" w:rsidRPr="00203ECA">
              <w:rPr>
                <w:rFonts w:cs="Arial"/>
                <w:sz w:val="20"/>
                <w:szCs w:val="20"/>
              </w:rPr>
              <w:t>:</w:t>
            </w:r>
            <w:r w:rsidR="00ED728A">
              <w:rPr>
                <w:rFonts w:cs="Arial"/>
                <w:sz w:val="20"/>
                <w:szCs w:val="20"/>
              </w:rPr>
              <w:t xml:space="preserve"> </w:t>
            </w:r>
            <w:r w:rsidR="00BA1BBC" w:rsidRPr="00203ECA">
              <w:rPr>
                <w:rFonts w:cs="Arial"/>
                <w:sz w:val="20"/>
                <w:szCs w:val="20"/>
              </w:rPr>
              <w:t xml:space="preserve">SCE17HC054, Revision </w:t>
            </w:r>
            <w:r w:rsidR="00AB07A4" w:rsidRPr="00203ECA">
              <w:rPr>
                <w:rFonts w:cs="Arial"/>
                <w:sz w:val="20"/>
                <w:szCs w:val="20"/>
              </w:rPr>
              <w:t>1</w:t>
            </w:r>
            <w:r w:rsidR="00BA1BBC" w:rsidRPr="00203ECA">
              <w:rPr>
                <w:rFonts w:cs="Arial"/>
                <w:sz w:val="20"/>
                <w:szCs w:val="20"/>
              </w:rPr>
              <w:t xml:space="preserve"> (</w:t>
            </w:r>
            <w:r w:rsidR="00AB07A4" w:rsidRPr="00203ECA">
              <w:rPr>
                <w:rFonts w:cs="Arial"/>
                <w:sz w:val="20"/>
                <w:szCs w:val="20"/>
              </w:rPr>
              <w:t>May 31, 2019</w:t>
            </w:r>
            <w:r w:rsidR="00BA1BBC" w:rsidRPr="00203ECA">
              <w:rPr>
                <w:rFonts w:cs="Arial"/>
                <w:sz w:val="20"/>
                <w:szCs w:val="20"/>
              </w:rPr>
              <w:t>)</w:t>
            </w:r>
            <w:r w:rsidR="00E647AA" w:rsidRPr="00CA1CB3">
              <w:rPr>
                <w:rFonts w:cs="Arial"/>
                <w:sz w:val="20"/>
                <w:szCs w:val="20"/>
              </w:rPr>
              <w:t xml:space="preserve"> </w:t>
            </w:r>
          </w:p>
          <w:p w14:paraId="6C70C36F" w14:textId="0EC859F9" w:rsidR="00ED728A" w:rsidRPr="00CA1CB3" w:rsidRDefault="00ED728A" w:rsidP="00831F7B">
            <w:pPr>
              <w:keepNext/>
              <w:keepLines/>
              <w:spacing w:before="20" w:after="20"/>
              <w:rPr>
                <w:rFonts w:cs="Arial"/>
                <w:sz w:val="20"/>
                <w:szCs w:val="20"/>
              </w:rPr>
            </w:pPr>
            <w:r>
              <w:rPr>
                <w:rFonts w:cs="Arial"/>
                <w:sz w:val="20"/>
                <w:szCs w:val="20"/>
              </w:rPr>
              <w:t xml:space="preserve">Measure costs were </w:t>
            </w:r>
            <w:r w:rsidR="00831F7B">
              <w:rPr>
                <w:rFonts w:cs="Arial"/>
                <w:sz w:val="20"/>
                <w:szCs w:val="20"/>
              </w:rPr>
              <w:t xml:space="preserve">reassessed </w:t>
            </w:r>
            <w:r>
              <w:rPr>
                <w:rFonts w:cs="Arial"/>
                <w:sz w:val="20"/>
                <w:szCs w:val="20"/>
              </w:rPr>
              <w:t xml:space="preserve">based on review of online retailers in 2019 Q2. </w:t>
            </w:r>
          </w:p>
        </w:tc>
      </w:tr>
      <w:tr w:rsidR="00AC53A7" w:rsidRPr="00CA1CB3" w14:paraId="460647B7" w14:textId="77777777" w:rsidTr="00E91677">
        <w:trPr>
          <w:trHeight w:val="20"/>
        </w:trPr>
        <w:tc>
          <w:tcPr>
            <w:tcW w:w="503" w:type="pct"/>
          </w:tcPr>
          <w:p w14:paraId="59EAFB08" w14:textId="77777777" w:rsidR="00AC53A7" w:rsidRPr="00203ECA" w:rsidRDefault="00AC53A7" w:rsidP="00871123">
            <w:pPr>
              <w:keepNext/>
              <w:keepLines/>
              <w:spacing w:before="20" w:after="20"/>
              <w:rPr>
                <w:rFonts w:cs="Arial"/>
                <w:sz w:val="20"/>
                <w:szCs w:val="20"/>
              </w:rPr>
            </w:pPr>
          </w:p>
        </w:tc>
        <w:tc>
          <w:tcPr>
            <w:tcW w:w="794" w:type="pct"/>
          </w:tcPr>
          <w:p w14:paraId="26AD50F4" w14:textId="39012CD6" w:rsidR="00AC53A7" w:rsidRPr="00203ECA" w:rsidRDefault="00AC53A7" w:rsidP="00871123">
            <w:pPr>
              <w:keepNext/>
              <w:keepLines/>
              <w:spacing w:before="20" w:after="20"/>
              <w:rPr>
                <w:rFonts w:cs="Arial"/>
                <w:sz w:val="20"/>
                <w:szCs w:val="20"/>
              </w:rPr>
            </w:pPr>
            <w:r>
              <w:rPr>
                <w:rFonts w:cs="Arial"/>
                <w:sz w:val="20"/>
                <w:szCs w:val="20"/>
              </w:rPr>
              <w:t>06/28/2019</w:t>
            </w:r>
          </w:p>
        </w:tc>
        <w:tc>
          <w:tcPr>
            <w:tcW w:w="1058" w:type="pct"/>
          </w:tcPr>
          <w:p w14:paraId="62075B75" w14:textId="55E71CAC" w:rsidR="00AC53A7" w:rsidRPr="00203ECA" w:rsidRDefault="00AC53A7" w:rsidP="00871123">
            <w:pPr>
              <w:keepNext/>
              <w:keepLines/>
              <w:spacing w:before="20" w:after="20"/>
              <w:rPr>
                <w:rFonts w:cs="Arial"/>
                <w:sz w:val="20"/>
                <w:szCs w:val="20"/>
              </w:rPr>
            </w:pPr>
            <w:r>
              <w:rPr>
                <w:rFonts w:cs="Arial"/>
                <w:sz w:val="20"/>
                <w:szCs w:val="20"/>
              </w:rPr>
              <w:t>Jennifer Holmes, Cal TF Staff</w:t>
            </w:r>
          </w:p>
        </w:tc>
        <w:tc>
          <w:tcPr>
            <w:tcW w:w="2645" w:type="pct"/>
          </w:tcPr>
          <w:p w14:paraId="4F4C87E5" w14:textId="2B76AE90" w:rsidR="00AC53A7" w:rsidRPr="00203ECA" w:rsidRDefault="00AC53A7" w:rsidP="00ED728A">
            <w:pPr>
              <w:keepNext/>
              <w:keepLines/>
              <w:spacing w:before="20" w:after="20"/>
              <w:rPr>
                <w:rFonts w:cs="Arial"/>
                <w:sz w:val="20"/>
                <w:szCs w:val="20"/>
              </w:rPr>
            </w:pPr>
            <w:r>
              <w:rPr>
                <w:rFonts w:cs="Arial"/>
                <w:sz w:val="20"/>
                <w:szCs w:val="20"/>
              </w:rPr>
              <w:t>Revisions for submittal of version 01.</w:t>
            </w:r>
          </w:p>
        </w:tc>
      </w:tr>
      <w:tr w:rsidR="001C4992" w:rsidRPr="00CA1CB3" w14:paraId="0AC55E14" w14:textId="77777777" w:rsidTr="00E91677">
        <w:trPr>
          <w:trHeight w:val="20"/>
        </w:trPr>
        <w:tc>
          <w:tcPr>
            <w:tcW w:w="503" w:type="pct"/>
          </w:tcPr>
          <w:p w14:paraId="4CAFA36F" w14:textId="12B9B648" w:rsidR="001C4992" w:rsidRPr="00203ECA" w:rsidRDefault="001C4992" w:rsidP="00871123">
            <w:pPr>
              <w:keepNext/>
              <w:keepLines/>
              <w:spacing w:before="20" w:after="20"/>
              <w:rPr>
                <w:rFonts w:cs="Arial"/>
                <w:sz w:val="20"/>
                <w:szCs w:val="20"/>
              </w:rPr>
            </w:pPr>
            <w:r>
              <w:rPr>
                <w:rFonts w:cs="Arial"/>
                <w:sz w:val="20"/>
                <w:szCs w:val="20"/>
              </w:rPr>
              <w:t>02</w:t>
            </w:r>
          </w:p>
        </w:tc>
        <w:tc>
          <w:tcPr>
            <w:tcW w:w="794" w:type="pct"/>
          </w:tcPr>
          <w:p w14:paraId="091DBA0F" w14:textId="0F37C0E4" w:rsidR="001C4992" w:rsidRDefault="001C4992" w:rsidP="00871123">
            <w:pPr>
              <w:keepNext/>
              <w:keepLines/>
              <w:spacing w:before="20" w:after="20"/>
              <w:rPr>
                <w:rFonts w:cs="Arial"/>
                <w:sz w:val="20"/>
                <w:szCs w:val="20"/>
              </w:rPr>
            </w:pPr>
            <w:r>
              <w:rPr>
                <w:rFonts w:cs="Arial"/>
                <w:sz w:val="20"/>
                <w:szCs w:val="20"/>
              </w:rPr>
              <w:t>8/1/2019</w:t>
            </w:r>
          </w:p>
        </w:tc>
        <w:tc>
          <w:tcPr>
            <w:tcW w:w="1058" w:type="pct"/>
          </w:tcPr>
          <w:p w14:paraId="54779808" w14:textId="3FB66221" w:rsidR="001C4992" w:rsidRDefault="001C4992" w:rsidP="00871123">
            <w:pPr>
              <w:keepNext/>
              <w:keepLines/>
              <w:spacing w:before="20" w:after="20"/>
              <w:rPr>
                <w:rFonts w:cs="Arial"/>
                <w:sz w:val="20"/>
                <w:szCs w:val="20"/>
              </w:rPr>
            </w:pPr>
            <w:r>
              <w:rPr>
                <w:rFonts w:cs="Arial"/>
                <w:sz w:val="20"/>
                <w:szCs w:val="20"/>
              </w:rPr>
              <w:t>Matthew Mendoza, SoCalGas</w:t>
            </w:r>
          </w:p>
        </w:tc>
        <w:tc>
          <w:tcPr>
            <w:tcW w:w="2645" w:type="pct"/>
          </w:tcPr>
          <w:p w14:paraId="0B1048CC" w14:textId="29675EE2" w:rsidR="001C4992" w:rsidRDefault="00C82D5C" w:rsidP="00ED728A">
            <w:pPr>
              <w:keepNext/>
              <w:keepLines/>
              <w:spacing w:before="20" w:after="20"/>
              <w:rPr>
                <w:rFonts w:cs="Arial"/>
                <w:sz w:val="20"/>
                <w:szCs w:val="20"/>
              </w:rPr>
            </w:pPr>
            <w:r>
              <w:rPr>
                <w:rFonts w:cs="Arial"/>
                <w:sz w:val="20"/>
                <w:szCs w:val="20"/>
              </w:rPr>
              <w:t xml:space="preserve">Addition of the research/analysis performed by </w:t>
            </w:r>
            <w:proofErr w:type="spellStart"/>
            <w:r>
              <w:rPr>
                <w:rFonts w:cs="Arial"/>
                <w:sz w:val="20"/>
                <w:szCs w:val="20"/>
              </w:rPr>
              <w:t>Nexant</w:t>
            </w:r>
            <w:proofErr w:type="spellEnd"/>
            <w:r>
              <w:rPr>
                <w:rFonts w:cs="Arial"/>
                <w:sz w:val="20"/>
                <w:szCs w:val="20"/>
              </w:rPr>
              <w:t xml:space="preserve"> to update the gas savings estimates.</w:t>
            </w:r>
          </w:p>
        </w:tc>
      </w:tr>
      <w:tr w:rsidR="00F80E00" w:rsidRPr="00CA1CB3" w14:paraId="09E643AF" w14:textId="77777777" w:rsidTr="00E91677">
        <w:trPr>
          <w:trHeight w:val="20"/>
        </w:trPr>
        <w:tc>
          <w:tcPr>
            <w:tcW w:w="503" w:type="pct"/>
          </w:tcPr>
          <w:p w14:paraId="5E0661C9" w14:textId="51C1AE59" w:rsidR="00F80E00" w:rsidRDefault="0060798D" w:rsidP="00871123">
            <w:pPr>
              <w:keepNext/>
              <w:keepLines/>
              <w:spacing w:before="20" w:after="20"/>
              <w:rPr>
                <w:rFonts w:cs="Arial"/>
                <w:sz w:val="20"/>
                <w:szCs w:val="20"/>
              </w:rPr>
            </w:pPr>
            <w:r>
              <w:rPr>
                <w:rFonts w:cs="Arial"/>
                <w:sz w:val="20"/>
                <w:szCs w:val="20"/>
              </w:rPr>
              <w:t>0</w:t>
            </w:r>
            <w:r w:rsidR="00A415D1">
              <w:rPr>
                <w:rFonts w:cs="Arial"/>
                <w:sz w:val="20"/>
                <w:szCs w:val="20"/>
              </w:rPr>
              <w:t>3</w:t>
            </w:r>
          </w:p>
        </w:tc>
        <w:tc>
          <w:tcPr>
            <w:tcW w:w="794" w:type="pct"/>
          </w:tcPr>
          <w:p w14:paraId="35E245AB" w14:textId="31241EE3" w:rsidR="00F80E00" w:rsidRDefault="005F0300" w:rsidP="00871123">
            <w:pPr>
              <w:keepNext/>
              <w:keepLines/>
              <w:spacing w:before="20" w:after="20"/>
              <w:rPr>
                <w:rFonts w:cs="Arial"/>
                <w:sz w:val="20"/>
                <w:szCs w:val="20"/>
              </w:rPr>
            </w:pPr>
            <w:r>
              <w:rPr>
                <w:rFonts w:cs="Arial"/>
                <w:sz w:val="20"/>
                <w:szCs w:val="20"/>
              </w:rPr>
              <w:t>6/</w:t>
            </w:r>
            <w:r w:rsidR="0060798D">
              <w:rPr>
                <w:rFonts w:cs="Arial"/>
                <w:sz w:val="20"/>
                <w:szCs w:val="20"/>
              </w:rPr>
              <w:t>8</w:t>
            </w:r>
            <w:r w:rsidR="00F80E00">
              <w:rPr>
                <w:rFonts w:cs="Arial"/>
                <w:sz w:val="20"/>
                <w:szCs w:val="20"/>
              </w:rPr>
              <w:t>/2020</w:t>
            </w:r>
          </w:p>
        </w:tc>
        <w:tc>
          <w:tcPr>
            <w:tcW w:w="1058" w:type="pct"/>
          </w:tcPr>
          <w:p w14:paraId="44978F4E" w14:textId="1C066ECC" w:rsidR="00F80E00" w:rsidRDefault="00F80E00" w:rsidP="00871123">
            <w:pPr>
              <w:keepNext/>
              <w:keepLines/>
              <w:spacing w:before="20" w:after="20"/>
              <w:rPr>
                <w:rFonts w:cs="Arial"/>
                <w:sz w:val="20"/>
                <w:szCs w:val="20"/>
              </w:rPr>
            </w:pPr>
            <w:r>
              <w:rPr>
                <w:rFonts w:cs="Arial"/>
                <w:sz w:val="20"/>
                <w:szCs w:val="20"/>
              </w:rPr>
              <w:t>Lake Casco</w:t>
            </w:r>
            <w:r w:rsidR="00CF23AF">
              <w:rPr>
                <w:rFonts w:cs="Arial"/>
                <w:sz w:val="20"/>
                <w:szCs w:val="20"/>
              </w:rPr>
              <w:t xml:space="preserve">, </w:t>
            </w:r>
            <w:r>
              <w:rPr>
                <w:rFonts w:cs="Arial"/>
                <w:sz w:val="20"/>
                <w:szCs w:val="20"/>
              </w:rPr>
              <w:t>TRC</w:t>
            </w:r>
            <w:r w:rsidR="00C72E1D">
              <w:rPr>
                <w:rFonts w:cs="Arial"/>
                <w:sz w:val="20"/>
                <w:szCs w:val="20"/>
              </w:rPr>
              <w:t xml:space="preserve"> </w:t>
            </w:r>
          </w:p>
        </w:tc>
        <w:tc>
          <w:tcPr>
            <w:tcW w:w="2645" w:type="pct"/>
          </w:tcPr>
          <w:p w14:paraId="52DA7FC2" w14:textId="77777777" w:rsidR="00F80E00" w:rsidRDefault="00F80E00" w:rsidP="00ED728A">
            <w:pPr>
              <w:keepNext/>
              <w:keepLines/>
              <w:spacing w:before="20" w:after="20"/>
              <w:rPr>
                <w:rFonts w:cs="Arial"/>
                <w:sz w:val="20"/>
                <w:szCs w:val="20"/>
              </w:rPr>
            </w:pPr>
            <w:r>
              <w:rPr>
                <w:rFonts w:cs="Arial"/>
                <w:sz w:val="20"/>
                <w:szCs w:val="20"/>
              </w:rPr>
              <w:t>Updated savings values and NTG based on PY2018 Impact Evaluation.</w:t>
            </w:r>
          </w:p>
          <w:p w14:paraId="1ECE8B8D" w14:textId="0D4A1BAA" w:rsidR="00F80E00" w:rsidRDefault="00F80E00" w:rsidP="00ED728A">
            <w:pPr>
              <w:keepNext/>
              <w:keepLines/>
              <w:spacing w:before="20" w:after="20"/>
              <w:rPr>
                <w:rFonts w:cs="Arial"/>
                <w:sz w:val="20"/>
                <w:szCs w:val="20"/>
              </w:rPr>
            </w:pPr>
            <w:r>
              <w:rPr>
                <w:rFonts w:cs="Arial"/>
                <w:sz w:val="20"/>
                <w:szCs w:val="20"/>
              </w:rPr>
              <w:t>Added newest EUL ID for Smart Thermostat</w:t>
            </w:r>
          </w:p>
          <w:p w14:paraId="2F4257CE" w14:textId="77777777" w:rsidR="00F80E00" w:rsidRDefault="00F80E00" w:rsidP="00ED728A">
            <w:pPr>
              <w:keepNext/>
              <w:keepLines/>
              <w:spacing w:before="20" w:after="20"/>
              <w:rPr>
                <w:rFonts w:cs="Arial"/>
                <w:sz w:val="20"/>
                <w:szCs w:val="20"/>
              </w:rPr>
            </w:pPr>
            <w:r>
              <w:rPr>
                <w:rFonts w:cs="Arial"/>
                <w:sz w:val="20"/>
                <w:szCs w:val="20"/>
              </w:rPr>
              <w:t>Updated pricing based on 2020 online retailer data</w:t>
            </w:r>
          </w:p>
          <w:p w14:paraId="09F58CF4" w14:textId="77777777" w:rsidR="005F0300" w:rsidRDefault="003E527F" w:rsidP="00ED728A">
            <w:pPr>
              <w:keepNext/>
              <w:keepLines/>
              <w:spacing w:before="20" w:after="20"/>
              <w:rPr>
                <w:rFonts w:cs="Arial"/>
                <w:sz w:val="20"/>
                <w:szCs w:val="20"/>
              </w:rPr>
            </w:pPr>
            <w:r>
              <w:rPr>
                <w:rFonts w:cs="Arial"/>
                <w:sz w:val="20"/>
                <w:szCs w:val="20"/>
              </w:rPr>
              <w:t>Split measures between Downstream Direct Install and Downstream Deemed. Direct install measures maintain savings from the previous workpaper</w:t>
            </w:r>
            <w:r w:rsidR="005F0300">
              <w:rPr>
                <w:rFonts w:cs="Arial"/>
                <w:sz w:val="20"/>
                <w:szCs w:val="20"/>
              </w:rPr>
              <w:t xml:space="preserve">. </w:t>
            </w:r>
          </w:p>
          <w:p w14:paraId="0561898B" w14:textId="066D392F" w:rsidR="005F0300" w:rsidRDefault="003E527F" w:rsidP="00ED728A">
            <w:pPr>
              <w:keepNext/>
              <w:keepLines/>
              <w:spacing w:before="20" w:after="20"/>
              <w:rPr>
                <w:rFonts w:cs="Arial"/>
                <w:sz w:val="20"/>
                <w:szCs w:val="20"/>
              </w:rPr>
            </w:pPr>
            <w:r>
              <w:rPr>
                <w:rFonts w:cs="Arial"/>
                <w:sz w:val="20"/>
                <w:szCs w:val="20"/>
              </w:rPr>
              <w:t>Downstream Deemed measures use new PY2018 Impact evaluation savings</w:t>
            </w:r>
            <w:r w:rsidR="005F0300">
              <w:rPr>
                <w:rFonts w:cs="Arial"/>
                <w:sz w:val="20"/>
                <w:szCs w:val="20"/>
              </w:rPr>
              <w:t xml:space="preserve">. </w:t>
            </w:r>
          </w:p>
        </w:tc>
      </w:tr>
      <w:tr w:rsidR="008A422A" w:rsidRPr="00CA1CB3" w14:paraId="55270C87" w14:textId="77777777" w:rsidTr="00E91677">
        <w:trPr>
          <w:trHeight w:val="20"/>
        </w:trPr>
        <w:tc>
          <w:tcPr>
            <w:tcW w:w="503" w:type="pct"/>
          </w:tcPr>
          <w:p w14:paraId="6B11339F" w14:textId="43EF09DC" w:rsidR="008A422A" w:rsidRDefault="008A422A" w:rsidP="00871123">
            <w:pPr>
              <w:keepNext/>
              <w:keepLines/>
              <w:spacing w:before="20" w:after="20"/>
              <w:rPr>
                <w:rFonts w:cs="Arial"/>
                <w:sz w:val="20"/>
                <w:szCs w:val="20"/>
              </w:rPr>
            </w:pPr>
            <w:r>
              <w:rPr>
                <w:rFonts w:cs="Arial"/>
                <w:sz w:val="20"/>
                <w:szCs w:val="20"/>
              </w:rPr>
              <w:t>04</w:t>
            </w:r>
          </w:p>
        </w:tc>
        <w:tc>
          <w:tcPr>
            <w:tcW w:w="794" w:type="pct"/>
          </w:tcPr>
          <w:p w14:paraId="0DF6489C" w14:textId="2C783907" w:rsidR="008A422A" w:rsidRDefault="00A22387" w:rsidP="00871123">
            <w:pPr>
              <w:keepNext/>
              <w:keepLines/>
              <w:spacing w:before="20" w:after="20"/>
              <w:rPr>
                <w:rFonts w:cs="Arial"/>
                <w:sz w:val="20"/>
                <w:szCs w:val="20"/>
              </w:rPr>
            </w:pPr>
            <w:r>
              <w:rPr>
                <w:rFonts w:cs="Arial"/>
                <w:sz w:val="20"/>
                <w:szCs w:val="20"/>
              </w:rPr>
              <w:t>9/</w:t>
            </w:r>
            <w:r w:rsidR="00BF31BF">
              <w:rPr>
                <w:rFonts w:cs="Arial"/>
                <w:sz w:val="20"/>
                <w:szCs w:val="20"/>
              </w:rPr>
              <w:t>20</w:t>
            </w:r>
            <w:r w:rsidR="008A422A">
              <w:rPr>
                <w:rFonts w:cs="Arial"/>
                <w:sz w:val="20"/>
                <w:szCs w:val="20"/>
              </w:rPr>
              <w:t>/2021</w:t>
            </w:r>
          </w:p>
        </w:tc>
        <w:tc>
          <w:tcPr>
            <w:tcW w:w="1058" w:type="pct"/>
          </w:tcPr>
          <w:p w14:paraId="3C4C473D" w14:textId="3822BB17" w:rsidR="008A422A" w:rsidRDefault="008A422A" w:rsidP="00871123">
            <w:pPr>
              <w:keepNext/>
              <w:keepLines/>
              <w:spacing w:before="20" w:after="20"/>
              <w:rPr>
                <w:rFonts w:cs="Arial"/>
                <w:sz w:val="20"/>
                <w:szCs w:val="20"/>
              </w:rPr>
            </w:pPr>
            <w:r>
              <w:rPr>
                <w:rFonts w:cs="Arial"/>
                <w:sz w:val="20"/>
                <w:szCs w:val="20"/>
              </w:rPr>
              <w:t>Lake Casco, TRC</w:t>
            </w:r>
          </w:p>
        </w:tc>
        <w:tc>
          <w:tcPr>
            <w:tcW w:w="2645" w:type="pct"/>
          </w:tcPr>
          <w:p w14:paraId="3C4A3B57" w14:textId="1A4A23D9" w:rsidR="008A422A" w:rsidRDefault="008A422A" w:rsidP="008A422A">
            <w:pPr>
              <w:keepNext/>
              <w:keepLines/>
              <w:spacing w:before="20" w:after="20"/>
              <w:rPr>
                <w:rFonts w:cs="Arial"/>
                <w:sz w:val="20"/>
                <w:szCs w:val="20"/>
              </w:rPr>
            </w:pPr>
            <w:r>
              <w:rPr>
                <w:rFonts w:cs="Arial"/>
                <w:sz w:val="20"/>
                <w:szCs w:val="20"/>
              </w:rPr>
              <w:t>Updated NTG based on PY2019 Impact Evaluation.</w:t>
            </w:r>
          </w:p>
          <w:p w14:paraId="294DFE72" w14:textId="4AF22E57" w:rsidR="00E51044" w:rsidRDefault="00E51044" w:rsidP="008A422A">
            <w:pPr>
              <w:keepNext/>
              <w:keepLines/>
              <w:spacing w:before="20" w:after="20"/>
              <w:rPr>
                <w:rFonts w:cs="Arial"/>
                <w:sz w:val="20"/>
                <w:szCs w:val="20"/>
              </w:rPr>
            </w:pPr>
            <w:r>
              <w:rPr>
                <w:rFonts w:cs="Arial"/>
                <w:sz w:val="20"/>
                <w:szCs w:val="20"/>
              </w:rPr>
              <w:t xml:space="preserve">Added exclusion of fan control technology for  direct install measures. </w:t>
            </w:r>
          </w:p>
          <w:p w14:paraId="2FD08A2C" w14:textId="2500EC7D" w:rsidR="00E51044" w:rsidRDefault="008A422A" w:rsidP="00ED728A">
            <w:pPr>
              <w:keepNext/>
              <w:keepLines/>
              <w:spacing w:before="20" w:after="20"/>
              <w:rPr>
                <w:rFonts w:cs="Arial"/>
                <w:sz w:val="20"/>
                <w:szCs w:val="20"/>
              </w:rPr>
            </w:pPr>
            <w:r>
              <w:rPr>
                <w:rFonts w:cs="Arial"/>
                <w:sz w:val="20"/>
                <w:szCs w:val="20"/>
              </w:rPr>
              <w:t xml:space="preserve">Updated direct install savings based on PY2019 Impact Evaluation adjusted by vendors and CPUC. </w:t>
            </w:r>
          </w:p>
          <w:p w14:paraId="1FE42F49" w14:textId="450A104F" w:rsidR="00F17D87" w:rsidRDefault="00F17D87" w:rsidP="00ED728A">
            <w:pPr>
              <w:keepNext/>
              <w:keepLines/>
              <w:spacing w:before="20" w:after="20"/>
              <w:rPr>
                <w:rFonts w:cs="Arial"/>
                <w:sz w:val="20"/>
                <w:szCs w:val="20"/>
              </w:rPr>
            </w:pPr>
            <w:r>
              <w:rPr>
                <w:rFonts w:cs="Arial"/>
                <w:sz w:val="20"/>
                <w:szCs w:val="20"/>
              </w:rPr>
              <w:t xml:space="preserve">Updated downstream savings to include temperature optimization and exclusion of fan control coincident savings. </w:t>
            </w:r>
          </w:p>
          <w:p w14:paraId="2E207560" w14:textId="1FBC4B61" w:rsidR="00E51044" w:rsidRDefault="00E51044" w:rsidP="00ED728A">
            <w:pPr>
              <w:keepNext/>
              <w:keepLines/>
              <w:spacing w:before="20" w:after="20"/>
              <w:rPr>
                <w:rFonts w:cs="Arial"/>
                <w:sz w:val="20"/>
                <w:szCs w:val="20"/>
              </w:rPr>
            </w:pPr>
            <w:r>
              <w:rPr>
                <w:rFonts w:cs="Arial"/>
                <w:sz w:val="20"/>
                <w:szCs w:val="20"/>
              </w:rPr>
              <w:t xml:space="preserve">Added upstream program eligibility for rebate measures. </w:t>
            </w:r>
          </w:p>
          <w:p w14:paraId="52513987" w14:textId="1993C604" w:rsidR="00E51044" w:rsidRDefault="00E51044" w:rsidP="00ED728A">
            <w:pPr>
              <w:keepNext/>
              <w:keepLines/>
              <w:spacing w:before="20" w:after="20"/>
              <w:rPr>
                <w:rFonts w:cs="Arial"/>
                <w:sz w:val="20"/>
                <w:szCs w:val="20"/>
              </w:rPr>
            </w:pPr>
            <w:r>
              <w:rPr>
                <w:rFonts w:cs="Arial"/>
                <w:sz w:val="20"/>
                <w:szCs w:val="20"/>
              </w:rPr>
              <w:t xml:space="preserve">Added Res building type for rebate measures. </w:t>
            </w:r>
          </w:p>
          <w:p w14:paraId="62E7D34D" w14:textId="77777777" w:rsidR="008A422A" w:rsidRDefault="008A422A" w:rsidP="00ED728A">
            <w:pPr>
              <w:keepNext/>
              <w:keepLines/>
              <w:spacing w:before="20" w:after="20"/>
              <w:rPr>
                <w:ins w:id="511" w:author="Andres Fergadiotti" w:date="2021-11-23T16:50:00Z"/>
                <w:rFonts w:cs="Arial"/>
                <w:sz w:val="20"/>
                <w:szCs w:val="20"/>
              </w:rPr>
            </w:pPr>
            <w:r>
              <w:rPr>
                <w:rFonts w:cs="Arial"/>
                <w:sz w:val="20"/>
                <w:szCs w:val="20"/>
              </w:rPr>
              <w:t xml:space="preserve">Updated measure and baseline costs based on newest online retailer cost and PY2019 </w:t>
            </w:r>
            <w:r w:rsidR="002E7978">
              <w:rPr>
                <w:rFonts w:cs="Arial"/>
                <w:sz w:val="20"/>
                <w:szCs w:val="20"/>
              </w:rPr>
              <w:t xml:space="preserve">Evaluation </w:t>
            </w:r>
            <w:r>
              <w:rPr>
                <w:rFonts w:cs="Arial"/>
                <w:sz w:val="20"/>
                <w:szCs w:val="20"/>
              </w:rPr>
              <w:t xml:space="preserve">weighting. </w:t>
            </w:r>
          </w:p>
          <w:p w14:paraId="5555BC56" w14:textId="72A2111A" w:rsidR="00B4397C" w:rsidRDefault="00B4397C" w:rsidP="00ED728A">
            <w:pPr>
              <w:keepNext/>
              <w:keepLines/>
              <w:spacing w:before="20" w:after="20"/>
              <w:rPr>
                <w:rFonts w:cs="Arial"/>
                <w:sz w:val="20"/>
                <w:szCs w:val="20"/>
              </w:rPr>
            </w:pPr>
            <w:ins w:id="512" w:author="Andres Fergadiotti" w:date="2021-11-23T16:50:00Z">
              <w:r>
                <w:rPr>
                  <w:rFonts w:cs="Arial"/>
                  <w:sz w:val="20"/>
                  <w:szCs w:val="20"/>
                </w:rPr>
                <w:t>Collaborated with SCG on Gas TO savings and updated measure package accordingly.</w:t>
              </w:r>
            </w:ins>
          </w:p>
        </w:tc>
      </w:tr>
      <w:bookmarkEnd w:id="505"/>
      <w:bookmarkEnd w:id="509"/>
      <w:bookmarkEnd w:id="510"/>
    </w:tbl>
    <w:p w14:paraId="5C9CAB2A" w14:textId="77777777" w:rsidR="00085726" w:rsidRDefault="00085726" w:rsidP="00387072"/>
    <w:sectPr w:rsidR="00085726" w:rsidSect="005F505E">
      <w:headerReference w:type="default" r:id="rId18"/>
      <w:headerReference w:type="first" r:id="rId19"/>
      <w:endnotePr>
        <w:numFmt w:val="decimal"/>
      </w:end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39" w:author="Biermayer, Peter" w:date="2021-10-22T12:27:00Z" w:initials="BP">
    <w:p w14:paraId="4863C55A" w14:textId="32E5F338" w:rsidR="00DF473D" w:rsidRDefault="00DF473D">
      <w:pPr>
        <w:pStyle w:val="CommentText"/>
      </w:pPr>
      <w:r>
        <w:rPr>
          <w:rStyle w:val="CommentReference"/>
        </w:rPr>
        <w:annotationRef/>
      </w:r>
      <w:r>
        <w:t>There are additional requirements in general for thermostats that are connected to heat pumps that help prevent them from using electric resistance.</w:t>
      </w:r>
    </w:p>
  </w:comment>
  <w:comment w:id="140" w:author="Andres Fergadiotti" w:date="2021-10-25T16:28:00Z" w:initials="AF">
    <w:p w14:paraId="38A970F5" w14:textId="006F6F75" w:rsidR="00F16F4C" w:rsidRDefault="00FC0412" w:rsidP="00FC4B30">
      <w:pPr>
        <w:pStyle w:val="CommentText"/>
      </w:pPr>
      <w:r>
        <w:rPr>
          <w:rStyle w:val="CommentReference"/>
        </w:rPr>
        <w:annotationRef/>
      </w:r>
      <w:r w:rsidR="00FC4B30">
        <w:t xml:space="preserve">Additional requirement </w:t>
      </w:r>
      <w:r w:rsidR="00E35467">
        <w:t xml:space="preserve">on HP + electric resistance </w:t>
      </w:r>
      <w:r w:rsidR="00FC4B30">
        <w:t xml:space="preserve">added. </w:t>
      </w:r>
    </w:p>
  </w:comment>
  <w:comment w:id="201" w:author="Biermayer, Peter" w:date="2021-10-22T12:34:00Z" w:initials="BP">
    <w:p w14:paraId="3AB06C28" w14:textId="014E6CF7" w:rsidR="00DF473D" w:rsidRDefault="00DF473D">
      <w:pPr>
        <w:pStyle w:val="CommentText"/>
      </w:pPr>
      <w:r>
        <w:rPr>
          <w:rStyle w:val="CommentReference"/>
        </w:rPr>
        <w:annotationRef/>
      </w:r>
      <w:r>
        <w:t xml:space="preserve">Need to clean up the language.  What you are trying to say is that in some cases energy use is increased </w:t>
      </w:r>
      <w:r w:rsidR="009A372E">
        <w:t xml:space="preserve">or there are no energy savings use </w:t>
      </w:r>
      <w:r>
        <w:t>after the measure is implemented.</w:t>
      </w:r>
      <w:r w:rsidR="009A372E">
        <w:t xml:space="preserve">  Are the climate zones specified in the EAD tables?</w:t>
      </w:r>
    </w:p>
  </w:comment>
  <w:comment w:id="202" w:author="Andres Fergadiotti" w:date="2021-10-25T17:23:00Z" w:initials="AF">
    <w:p w14:paraId="27C2A62A" w14:textId="3845E685" w:rsidR="00056403" w:rsidRDefault="00056403">
      <w:pPr>
        <w:pStyle w:val="CommentText"/>
      </w:pPr>
      <w:r>
        <w:rPr>
          <w:rStyle w:val="CommentReference"/>
        </w:rPr>
        <w:annotationRef/>
      </w:r>
      <w:r>
        <w:t>Updated</w:t>
      </w:r>
      <w:r w:rsidR="00C207E8">
        <w:t xml:space="preserve">.  As with previous versions of the measure package, these CZ are zero out in EAD. </w:t>
      </w:r>
      <w:r>
        <w:t xml:space="preserve"> </w:t>
      </w:r>
    </w:p>
  </w:comment>
  <w:comment w:id="209" w:author="Biermayer, Peter" w:date="2021-10-22T12:38:00Z" w:initials="BP">
    <w:p w14:paraId="38B70377" w14:textId="0CF5E085" w:rsidR="009A372E" w:rsidRDefault="009A372E">
      <w:pPr>
        <w:pStyle w:val="CommentText"/>
      </w:pPr>
      <w:r>
        <w:rPr>
          <w:rStyle w:val="CommentReference"/>
        </w:rPr>
        <w:annotationRef/>
      </w:r>
      <w:r>
        <w:t>What about equipment where the fan delay is built into new equipment?  I guess that data would show this.  So OK for now.</w:t>
      </w:r>
    </w:p>
  </w:comment>
  <w:comment w:id="210" w:author="Andres Fergadiotti" w:date="2021-10-25T19:47:00Z" w:initials="AF">
    <w:p w14:paraId="10B71AB6" w14:textId="780BEDB2" w:rsidR="009B1636" w:rsidRDefault="009B1636">
      <w:pPr>
        <w:pStyle w:val="CommentText"/>
      </w:pPr>
      <w:r>
        <w:rPr>
          <w:rStyle w:val="CommentReference"/>
        </w:rPr>
        <w:annotationRef/>
      </w:r>
      <w:r>
        <w:t>ok</w:t>
      </w:r>
    </w:p>
  </w:comment>
  <w:comment w:id="223" w:author="Richard, Kerri-Ann" w:date="2021-10-25T08:44:00Z" w:initials="RKA">
    <w:p w14:paraId="3D6E9DCF" w14:textId="1BE8B979" w:rsidR="008C60FB" w:rsidRDefault="008C60FB">
      <w:pPr>
        <w:pStyle w:val="CommentText"/>
      </w:pPr>
      <w:r>
        <w:rPr>
          <w:rStyle w:val="CommentReference"/>
        </w:rPr>
        <w:annotationRef/>
      </w:r>
      <w:r>
        <w:t>Proposed not recommended</w:t>
      </w:r>
    </w:p>
  </w:comment>
  <w:comment w:id="224" w:author="Andres Fergadiotti" w:date="2021-10-25T17:23:00Z" w:initials="AF">
    <w:p w14:paraId="33AF52DD" w14:textId="0EEB70FF" w:rsidR="00056403" w:rsidRDefault="00056403">
      <w:pPr>
        <w:pStyle w:val="CommentText"/>
      </w:pPr>
      <w:r>
        <w:rPr>
          <w:rStyle w:val="CommentReference"/>
        </w:rPr>
        <w:annotationRef/>
      </w:r>
      <w:r>
        <w:t>Updated</w:t>
      </w:r>
    </w:p>
  </w:comment>
  <w:comment w:id="227" w:author="Biermayer, Peter" w:date="2021-10-22T12:43:00Z" w:initials="BP">
    <w:p w14:paraId="2460B781" w14:textId="07EAF31C" w:rsidR="009A372E" w:rsidRDefault="009A372E">
      <w:pPr>
        <w:pStyle w:val="CommentText"/>
      </w:pPr>
      <w:r>
        <w:rPr>
          <w:rStyle w:val="CommentReference"/>
        </w:rPr>
        <w:annotationRef/>
      </w:r>
      <w:r>
        <w:t>What about the other manufacturers?  Do they also provide a similar program?</w:t>
      </w:r>
    </w:p>
  </w:comment>
  <w:comment w:id="228" w:author="Andres Fergadiotti" w:date="2021-10-25T19:33:00Z" w:initials="AF">
    <w:p w14:paraId="545D9EF7" w14:textId="528E76DD" w:rsidR="00B11B03" w:rsidRDefault="00B92D1D">
      <w:pPr>
        <w:pStyle w:val="CommentText"/>
      </w:pPr>
      <w:r>
        <w:rPr>
          <w:rStyle w:val="CommentReference"/>
        </w:rPr>
        <w:annotationRef/>
      </w:r>
      <w:r>
        <w:t>SCE is not aware</w:t>
      </w:r>
      <w:r w:rsidR="00B105F3">
        <w:t xml:space="preserve"> of program participation from other manufacturers</w:t>
      </w:r>
      <w:r w:rsidR="00B11B03">
        <w:t>, but we understand both leading manufacturers (NEST and ecobee) already include in their product this control logic.</w:t>
      </w:r>
    </w:p>
    <w:p w14:paraId="218DFA32" w14:textId="77777777" w:rsidR="00B11B03" w:rsidRDefault="00B11B03">
      <w:pPr>
        <w:pStyle w:val="CommentText"/>
      </w:pPr>
    </w:p>
    <w:p w14:paraId="25D37494" w14:textId="76B87713" w:rsidR="00B92D1D" w:rsidRDefault="00B11B03">
      <w:pPr>
        <w:pStyle w:val="CommentText"/>
      </w:pPr>
      <w:r>
        <w:t>Additionally</w:t>
      </w:r>
      <w:r w:rsidR="00B105F3">
        <w:t xml:space="preserve">, market share from leading manufacturer (as determined by PY2019 IE) is high enough </w:t>
      </w:r>
      <w:r w:rsidR="00114B65">
        <w:t xml:space="preserve">(e.g., 97% for DI) </w:t>
      </w:r>
      <w:r w:rsidR="00B105F3">
        <w:t xml:space="preserve">for data to be representative of most </w:t>
      </w:r>
      <w:r w:rsidR="00114B65">
        <w:t xml:space="preserve">program </w:t>
      </w:r>
      <w:r w:rsidR="00B105F3">
        <w:t>implementations.</w:t>
      </w:r>
      <w:r>
        <w:t xml:space="preserve">  </w:t>
      </w:r>
    </w:p>
  </w:comment>
  <w:comment w:id="232" w:author="Biermayer, Peter" w:date="2021-10-22T12:44:00Z" w:initials="BP">
    <w:p w14:paraId="5B7D1E43" w14:textId="53F0C31B" w:rsidR="009A372E" w:rsidRDefault="009A372E">
      <w:pPr>
        <w:pStyle w:val="CommentText"/>
      </w:pPr>
      <w:r>
        <w:rPr>
          <w:rStyle w:val="CommentReference"/>
        </w:rPr>
        <w:annotationRef/>
      </w:r>
      <w:r>
        <w:t>Similar  Nest shuts off the compressor sooner, the others run the fan longer after the compressor shuts off.  So the Nest should run shorter but more frequent cycling of the compressor.</w:t>
      </w:r>
    </w:p>
  </w:comment>
  <w:comment w:id="233" w:author="Andres Fergadiotti" w:date="2021-10-25T19:39:00Z" w:initials="AF">
    <w:p w14:paraId="01852AE6" w14:textId="0C944A7E" w:rsidR="00B105F3" w:rsidRDefault="00B105F3">
      <w:pPr>
        <w:pStyle w:val="CommentText"/>
      </w:pPr>
      <w:r>
        <w:rPr>
          <w:rStyle w:val="CommentReference"/>
        </w:rPr>
        <w:annotationRef/>
      </w:r>
      <w:r>
        <w:t>acknowledged</w:t>
      </w:r>
    </w:p>
  </w:comment>
  <w:comment w:id="238" w:author="Richard, Kerri-Ann" w:date="2021-10-25T08:43:00Z" w:initials="RKA">
    <w:p w14:paraId="75A2EDBB" w14:textId="57DC672A" w:rsidR="008C60FB" w:rsidRDefault="008C60FB">
      <w:pPr>
        <w:pStyle w:val="CommentText"/>
      </w:pPr>
      <w:r>
        <w:rPr>
          <w:rStyle w:val="CommentReference"/>
        </w:rPr>
        <w:annotationRef/>
      </w:r>
      <w:r>
        <w:t>This method was approved not recommended.</w:t>
      </w:r>
    </w:p>
  </w:comment>
  <w:comment w:id="239" w:author="Andres Fergadiotti" w:date="2021-10-25T19:45:00Z" w:initials="AF">
    <w:p w14:paraId="409A521D" w14:textId="22256C43" w:rsidR="009B1636" w:rsidRDefault="009B1636">
      <w:pPr>
        <w:pStyle w:val="CommentText"/>
      </w:pPr>
      <w:r>
        <w:rPr>
          <w:rStyle w:val="CommentReference"/>
        </w:rPr>
        <w:annotationRef/>
      </w:r>
      <w:r>
        <w:t>Updated</w:t>
      </w:r>
    </w:p>
  </w:comment>
  <w:comment w:id="241" w:author="Biermayer, Peter" w:date="2021-10-22T12:47:00Z" w:initials="BP">
    <w:p w14:paraId="34D09144" w14:textId="29349EDA" w:rsidR="00AB0071" w:rsidRDefault="00AB0071">
      <w:pPr>
        <w:pStyle w:val="CommentText"/>
      </w:pPr>
      <w:r>
        <w:rPr>
          <w:rStyle w:val="CommentReference"/>
        </w:rPr>
        <w:annotationRef/>
      </w:r>
      <w:r>
        <w:t>Use super script</w:t>
      </w:r>
    </w:p>
  </w:comment>
  <w:comment w:id="242" w:author="Andres Fergadiotti" w:date="2021-10-25T17:25:00Z" w:initials="AF">
    <w:p w14:paraId="46072210" w14:textId="47B5D9C7" w:rsidR="008A5395" w:rsidRDefault="008A5395">
      <w:pPr>
        <w:pStyle w:val="CommentText"/>
      </w:pPr>
      <w:r>
        <w:rPr>
          <w:rStyle w:val="CommentReference"/>
        </w:rPr>
        <w:annotationRef/>
      </w:r>
      <w:r>
        <w:t>formatted</w:t>
      </w:r>
    </w:p>
  </w:comment>
  <w:comment w:id="278" w:author="Casco, Lake" w:date="2021-11-22T08:35:00Z" w:initials="CL">
    <w:p w14:paraId="4E14E127" w14:textId="5264C145" w:rsidR="00185278" w:rsidRDefault="00185278">
      <w:pPr>
        <w:pStyle w:val="CommentText"/>
      </w:pPr>
      <w:r>
        <w:rPr>
          <w:rStyle w:val="CommentReference"/>
        </w:rPr>
        <w:annotationRef/>
      </w:r>
      <w:r>
        <w:t xml:space="preserve">I don’t recall the fan control savings being discussed in the comments. Was this discussed elsewhere? </w:t>
      </w:r>
    </w:p>
  </w:comment>
  <w:comment w:id="279" w:author="Casco, Lake" w:date="2021-11-22T11:22:00Z" w:initials="CL">
    <w:p w14:paraId="5304A505" w14:textId="743BA148" w:rsidR="00144103" w:rsidRDefault="00144103">
      <w:pPr>
        <w:pStyle w:val="CommentText"/>
      </w:pPr>
      <w:r>
        <w:rPr>
          <w:rStyle w:val="CommentReference"/>
        </w:rPr>
        <w:annotationRef/>
      </w:r>
    </w:p>
  </w:comment>
  <w:comment w:id="280" w:author="Danryd, Anders R" w:date="2021-11-22T14:07:00Z" w:initials="DAR">
    <w:p w14:paraId="2E4041F0" w14:textId="1F133BB2" w:rsidR="00583868" w:rsidRDefault="00583868">
      <w:pPr>
        <w:pStyle w:val="CommentText"/>
      </w:pPr>
      <w:r>
        <w:rPr>
          <w:rStyle w:val="CommentReference"/>
        </w:rPr>
        <w:annotationRef/>
      </w:r>
      <w:r>
        <w:t>Fan control was mistakenly carried over from the electric savings section, doesn’t apply to gas.</w:t>
      </w:r>
    </w:p>
  </w:comment>
  <w:comment w:id="349" w:author="Casco, Lake" w:date="2021-11-22T10:58:00Z" w:initials="CL">
    <w:p w14:paraId="6E5111C4" w14:textId="7C400388" w:rsidR="0067352B" w:rsidRDefault="0067352B">
      <w:pPr>
        <w:pStyle w:val="CommentText"/>
      </w:pPr>
      <w:r>
        <w:rPr>
          <w:rStyle w:val="CommentReference"/>
        </w:rPr>
        <w:annotationRef/>
      </w:r>
      <w:r w:rsidR="002B0612">
        <w:t xml:space="preserve">Please add references to these </w:t>
      </w:r>
      <w:r>
        <w:t xml:space="preserve"> </w:t>
      </w:r>
    </w:p>
  </w:comment>
  <w:comment w:id="350" w:author="Danryd, Anders R" w:date="2021-11-22T14:08:00Z" w:initials="DAR">
    <w:p w14:paraId="3FE5E804" w14:textId="1B08642A" w:rsidR="00583868" w:rsidRDefault="00583868">
      <w:pPr>
        <w:pStyle w:val="CommentText"/>
      </w:pPr>
      <w:r>
        <w:rPr>
          <w:rStyle w:val="CommentReference"/>
        </w:rPr>
        <w:annotationRef/>
      </w:r>
      <w:r>
        <w:t>References added</w:t>
      </w:r>
    </w:p>
  </w:comment>
  <w:comment w:id="423" w:author="Casco, Lake" w:date="2021-11-22T11:50:00Z" w:initials="CL">
    <w:p w14:paraId="1B7F3BEE" w14:textId="7F7E3854" w:rsidR="00D010D3" w:rsidRDefault="00D010D3">
      <w:pPr>
        <w:pStyle w:val="CommentText"/>
      </w:pPr>
      <w:r>
        <w:rPr>
          <w:rStyle w:val="CommentReference"/>
        </w:rPr>
        <w:annotationRef/>
      </w:r>
      <w:r>
        <w:t xml:space="preserve">I can’t find where this was happening. I recommend deleting it in the calculations. </w:t>
      </w:r>
    </w:p>
  </w:comment>
  <w:comment w:id="424" w:author="Danryd, Anders R" w:date="2021-11-22T14:15:00Z" w:initials="DAR">
    <w:p w14:paraId="6276FC36" w14:textId="104A774D" w:rsidR="00583868" w:rsidRDefault="00583868">
      <w:pPr>
        <w:pStyle w:val="CommentText"/>
      </w:pPr>
      <w:r>
        <w:rPr>
          <w:rStyle w:val="CommentReference"/>
        </w:rPr>
        <w:annotationRef/>
      </w:r>
      <w:r>
        <w:t>Agreed, the percent opt in above already handles this part of the calculation.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863C55A" w15:done="0"/>
  <w15:commentEx w15:paraId="38A970F5" w15:paraIdParent="4863C55A" w15:done="0"/>
  <w15:commentEx w15:paraId="3AB06C28" w15:done="0"/>
  <w15:commentEx w15:paraId="27C2A62A" w15:paraIdParent="3AB06C28" w15:done="0"/>
  <w15:commentEx w15:paraId="38B70377" w15:done="0"/>
  <w15:commentEx w15:paraId="10B71AB6" w15:paraIdParent="38B70377" w15:done="0"/>
  <w15:commentEx w15:paraId="3D6E9DCF" w15:done="0"/>
  <w15:commentEx w15:paraId="33AF52DD" w15:paraIdParent="3D6E9DCF" w15:done="0"/>
  <w15:commentEx w15:paraId="2460B781" w15:done="0"/>
  <w15:commentEx w15:paraId="25D37494" w15:paraIdParent="2460B781" w15:done="0"/>
  <w15:commentEx w15:paraId="5B7D1E43" w15:done="0"/>
  <w15:commentEx w15:paraId="01852AE6" w15:paraIdParent="5B7D1E43" w15:done="0"/>
  <w15:commentEx w15:paraId="75A2EDBB" w15:done="0"/>
  <w15:commentEx w15:paraId="409A521D" w15:paraIdParent="75A2EDBB" w15:done="0"/>
  <w15:commentEx w15:paraId="34D09144" w15:done="0"/>
  <w15:commentEx w15:paraId="46072210" w15:paraIdParent="34D09144" w15:done="0"/>
  <w15:commentEx w15:paraId="4E14E127" w15:done="0"/>
  <w15:commentEx w15:paraId="5304A505" w15:paraIdParent="4E14E127" w15:done="0"/>
  <w15:commentEx w15:paraId="2E4041F0" w15:paraIdParent="4E14E127" w15:done="0"/>
  <w15:commentEx w15:paraId="6E5111C4" w15:done="0"/>
  <w15:commentEx w15:paraId="3FE5E804" w15:paraIdParent="6E5111C4" w15:done="0"/>
  <w15:commentEx w15:paraId="1B7F3BEE" w15:done="0"/>
  <w15:commentEx w15:paraId="6276FC36" w15:paraIdParent="1B7F3B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1D2CBA" w16cex:dateUtc="2021-10-22T19:27:00Z"/>
  <w16cex:commentExtensible w16cex:durableId="252159CA" w16cex:dateUtc="2021-10-25T23:28:00Z"/>
  <w16cex:commentExtensible w16cex:durableId="251D2E3F" w16cex:dateUtc="2021-10-22T19:34:00Z"/>
  <w16cex:commentExtensible w16cex:durableId="25216683" w16cex:dateUtc="2021-10-26T00:23:00Z"/>
  <w16cex:commentExtensible w16cex:durableId="251D2F39" w16cex:dateUtc="2021-10-22T19:38:00Z"/>
  <w16cex:commentExtensible w16cex:durableId="25218844" w16cex:dateUtc="2021-10-26T02:47:00Z"/>
  <w16cex:commentExtensible w16cex:durableId="2520ECD5" w16cex:dateUtc="2021-10-25T12:44:00Z"/>
  <w16cex:commentExtensible w16cex:durableId="2521669B" w16cex:dateUtc="2021-10-26T00:23:00Z"/>
  <w16cex:commentExtensible w16cex:durableId="251D306D" w16cex:dateUtc="2021-10-22T19:43:00Z"/>
  <w16cex:commentExtensible w16cex:durableId="25218506" w16cex:dateUtc="2021-10-26T02:33:00Z"/>
  <w16cex:commentExtensible w16cex:durableId="251D30BA" w16cex:dateUtc="2021-10-22T19:44:00Z"/>
  <w16cex:commentExtensible w16cex:durableId="25218678" w16cex:dateUtc="2021-10-26T02:39:00Z"/>
  <w16cex:commentExtensible w16cex:durableId="2520ECA3" w16cex:dateUtc="2021-10-25T12:43:00Z"/>
  <w16cex:commentExtensible w16cex:durableId="252187E3" w16cex:dateUtc="2021-10-26T02:45:00Z"/>
  <w16cex:commentExtensible w16cex:durableId="251D3165" w16cex:dateUtc="2021-10-22T19:47:00Z"/>
  <w16cex:commentExtensible w16cex:durableId="25216718" w16cex:dateUtc="2021-10-26T00:25:00Z"/>
  <w16cex:commentExtensible w16cex:durableId="2545D4DC" w16cex:dateUtc="2021-11-22T16:35:00Z"/>
  <w16cex:commentExtensible w16cex:durableId="2545FC06" w16cex:dateUtc="2021-11-22T19:22:00Z"/>
  <w16cex:commentExtensible w16cex:durableId="254622BE" w16cex:dateUtc="2021-11-22T22:07:00Z"/>
  <w16cex:commentExtensible w16cex:durableId="2545F662" w16cex:dateUtc="2021-11-22T18:58:00Z"/>
  <w16cex:commentExtensible w16cex:durableId="254622E1" w16cex:dateUtc="2021-11-22T22:08:00Z"/>
  <w16cex:commentExtensible w16cex:durableId="2546029F" w16cex:dateUtc="2021-11-22T19:50:00Z"/>
  <w16cex:commentExtensible w16cex:durableId="25462479" w16cex:dateUtc="2021-11-22T22: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863C55A" w16cid:durableId="251D2CBA"/>
  <w16cid:commentId w16cid:paraId="38A970F5" w16cid:durableId="252159CA"/>
  <w16cid:commentId w16cid:paraId="3AB06C28" w16cid:durableId="251D2E3F"/>
  <w16cid:commentId w16cid:paraId="27C2A62A" w16cid:durableId="25216683"/>
  <w16cid:commentId w16cid:paraId="38B70377" w16cid:durableId="251D2F39"/>
  <w16cid:commentId w16cid:paraId="10B71AB6" w16cid:durableId="25218844"/>
  <w16cid:commentId w16cid:paraId="3D6E9DCF" w16cid:durableId="2520ECD5"/>
  <w16cid:commentId w16cid:paraId="33AF52DD" w16cid:durableId="2521669B"/>
  <w16cid:commentId w16cid:paraId="2460B781" w16cid:durableId="251D306D"/>
  <w16cid:commentId w16cid:paraId="25D37494" w16cid:durableId="25218506"/>
  <w16cid:commentId w16cid:paraId="5B7D1E43" w16cid:durableId="251D30BA"/>
  <w16cid:commentId w16cid:paraId="01852AE6" w16cid:durableId="25218678"/>
  <w16cid:commentId w16cid:paraId="75A2EDBB" w16cid:durableId="2520ECA3"/>
  <w16cid:commentId w16cid:paraId="409A521D" w16cid:durableId="252187E3"/>
  <w16cid:commentId w16cid:paraId="34D09144" w16cid:durableId="251D3165"/>
  <w16cid:commentId w16cid:paraId="46072210" w16cid:durableId="25216718"/>
  <w16cid:commentId w16cid:paraId="4E14E127" w16cid:durableId="2545D4DC"/>
  <w16cid:commentId w16cid:paraId="5304A505" w16cid:durableId="2545FC06"/>
  <w16cid:commentId w16cid:paraId="2E4041F0" w16cid:durableId="254622BE"/>
  <w16cid:commentId w16cid:paraId="6E5111C4" w16cid:durableId="2545F662"/>
  <w16cid:commentId w16cid:paraId="3FE5E804" w16cid:durableId="254622E1"/>
  <w16cid:commentId w16cid:paraId="1B7F3BEE" w16cid:durableId="2546029F"/>
  <w16cid:commentId w16cid:paraId="6276FC36" w16cid:durableId="2546247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43B93" w14:textId="77777777" w:rsidR="00982528" w:rsidRDefault="00982528" w:rsidP="00A2690C">
      <w:r>
        <w:separator/>
      </w:r>
    </w:p>
    <w:p w14:paraId="20EE4F92" w14:textId="77777777" w:rsidR="00982528" w:rsidRDefault="00982528"/>
  </w:endnote>
  <w:endnote w:type="continuationSeparator" w:id="0">
    <w:p w14:paraId="55F79A89" w14:textId="77777777" w:rsidR="00982528" w:rsidRDefault="00982528" w:rsidP="00A2690C">
      <w:r>
        <w:continuationSeparator/>
      </w:r>
    </w:p>
    <w:p w14:paraId="16F06AFD" w14:textId="77777777" w:rsidR="00982528" w:rsidRDefault="009825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Corbel"/>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altName w:val="Times New Roman"/>
    <w:panose1 w:val="02020603050405020304"/>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170BC7" w:rsidRDefault="00170BC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8" name="Picture 18"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170BC7" w:rsidRPr="00B837C1" w:rsidRDefault="00170BC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170BC7" w:rsidRDefault="00170BC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19" name="Picture 1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170BC7" w:rsidRPr="00B837C1" w:rsidRDefault="00170BC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21</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170BC7" w:rsidRDefault="00170BC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21" name="Picture 2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170BC7" w:rsidRPr="005F505E" w:rsidRDefault="00170BC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50556D" w14:textId="77777777" w:rsidR="00982528" w:rsidRDefault="00982528" w:rsidP="00A2690C">
      <w:r>
        <w:separator/>
      </w:r>
    </w:p>
    <w:p w14:paraId="66EA06EB" w14:textId="77777777" w:rsidR="00982528" w:rsidRDefault="00982528"/>
  </w:footnote>
  <w:footnote w:type="continuationSeparator" w:id="0">
    <w:p w14:paraId="305F9CB3" w14:textId="77777777" w:rsidR="00982528" w:rsidRDefault="00982528" w:rsidP="00A2690C">
      <w:r>
        <w:continuationSeparator/>
      </w:r>
    </w:p>
    <w:p w14:paraId="5F0B4409" w14:textId="77777777" w:rsidR="00982528" w:rsidRDefault="00982528"/>
  </w:footnote>
  <w:footnote w:id="1">
    <w:p w14:paraId="668129AF" w14:textId="77777777" w:rsidR="00170BC7" w:rsidRDefault="00170BC7" w:rsidP="0016413D">
      <w:pPr>
        <w:pStyle w:val="FootnoteText"/>
      </w:pPr>
      <w:r>
        <w:rPr>
          <w:rStyle w:val="FootnoteReference"/>
        </w:rPr>
        <w:footnoteRef/>
      </w:r>
      <w:r>
        <w:t xml:space="preserve"> DNV GL. 2020. </w:t>
      </w:r>
      <w:r w:rsidRPr="001F5FCE">
        <w:rPr>
          <w:i/>
          <w:iCs/>
        </w:rPr>
        <w:t>Impact Evaluation of Smart Thermostats Residential Sector - Program Year 2018</w:t>
      </w:r>
      <w:r>
        <w:rPr>
          <w:i/>
          <w:iCs/>
        </w:rPr>
        <w:t>.</w:t>
      </w:r>
      <w:r>
        <w:t xml:space="preserve"> Prepared for the California Public Utilities Commission. April 16, 2020.</w:t>
      </w:r>
    </w:p>
  </w:footnote>
  <w:footnote w:id="2">
    <w:p w14:paraId="5A4A299C" w14:textId="02E42399" w:rsidR="00170BC7" w:rsidRDefault="00170BC7">
      <w:pPr>
        <w:pStyle w:val="FootnoteText"/>
      </w:pPr>
      <w:r>
        <w:rPr>
          <w:rStyle w:val="FootnoteReference"/>
        </w:rPr>
        <w:footnoteRef/>
      </w:r>
      <w:r>
        <w:t xml:space="preserve"> </w:t>
      </w:r>
      <w:r>
        <w:rPr>
          <w:rFonts w:cstheme="minorHAnsi"/>
          <w:szCs w:val="20"/>
        </w:rPr>
        <w:t xml:space="preserve">Opinion Dynamics (ODC). 2018. </w:t>
      </w:r>
      <w:r w:rsidRPr="00DE3ABE">
        <w:rPr>
          <w:rFonts w:cstheme="minorHAnsi"/>
          <w:i/>
          <w:iCs/>
          <w:szCs w:val="20"/>
        </w:rPr>
        <w:t>PG&amp;E Smart Thermostat Program Process Evaluation. Draft Final Report.</w:t>
      </w:r>
      <w:r>
        <w:rPr>
          <w:rFonts w:cstheme="minorHAnsi"/>
          <w:szCs w:val="20"/>
        </w:rPr>
        <w:t xml:space="preserve"> Prepared for Pacific Gas and Electric Company. July 19.</w:t>
      </w:r>
    </w:p>
  </w:footnote>
  <w:footnote w:id="3">
    <w:p w14:paraId="33164D7B" w14:textId="56B981CC" w:rsidR="00170BC7" w:rsidRPr="00666E20" w:rsidRDefault="00170BC7" w:rsidP="00A377A6">
      <w:pPr>
        <w:pStyle w:val="FootnoteText"/>
        <w:rPr>
          <w:sz w:val="16"/>
          <w:szCs w:val="16"/>
        </w:rPr>
      </w:pPr>
      <w:r w:rsidRPr="00BA2EED">
        <w:rPr>
          <w:rStyle w:val="FootnoteReference"/>
          <w:sz w:val="16"/>
          <w:szCs w:val="16"/>
        </w:rPr>
        <w:footnoteRef/>
      </w:r>
      <w:r w:rsidRPr="00BA2EED">
        <w:rPr>
          <w:sz w:val="16"/>
          <w:szCs w:val="16"/>
        </w:rPr>
        <w:t xml:space="preserve"> </w:t>
      </w:r>
      <w:r w:rsidRPr="00A50610">
        <w:rPr>
          <w:rStyle w:val="eTRMFootnoteTextChar"/>
        </w:rPr>
        <w:t>California Public Utilities Commission (CPUC), Energy Division. 2016. "Disposition for Residential Smart Thermostat Workpapers.” November 8.</w:t>
      </w:r>
      <w:r w:rsidRPr="00666E20">
        <w:rPr>
          <w:b/>
          <w:sz w:val="16"/>
          <w:szCs w:val="16"/>
          <w:u w:val="single"/>
        </w:rPr>
        <w:t xml:space="preserve"> </w:t>
      </w:r>
    </w:p>
  </w:footnote>
  <w:footnote w:id="4">
    <w:p w14:paraId="2CCE085F" w14:textId="37A5D102" w:rsidR="00170BC7" w:rsidRDefault="00170BC7">
      <w:pPr>
        <w:pStyle w:val="FootnoteText"/>
      </w:pPr>
      <w:r>
        <w:rPr>
          <w:rStyle w:val="FootnoteReference"/>
        </w:rPr>
        <w:footnoteRef/>
      </w:r>
      <w:r>
        <w:t xml:space="preserve"> DNV GL. 2021. </w:t>
      </w:r>
      <w:r w:rsidRPr="001F5FCE">
        <w:rPr>
          <w:i/>
          <w:iCs/>
        </w:rPr>
        <w:t>Impact Evaluation of Smart Thermostats Residential Sector - Program Year 201</w:t>
      </w:r>
      <w:r>
        <w:rPr>
          <w:i/>
          <w:iCs/>
        </w:rPr>
        <w:t>9, Table 1-4.</w:t>
      </w:r>
      <w:r>
        <w:t xml:space="preserve"> Prepared for the California Public Utilities Commission. June 16, 2021.</w:t>
      </w:r>
    </w:p>
  </w:footnote>
  <w:footnote w:id="5">
    <w:p w14:paraId="7D10E892" w14:textId="6B513403" w:rsidR="00170BC7" w:rsidRDefault="00170BC7">
      <w:pPr>
        <w:pStyle w:val="FootnoteText"/>
      </w:pPr>
      <w:r>
        <w:rPr>
          <w:rStyle w:val="FootnoteReference"/>
        </w:rPr>
        <w:footnoteRef/>
      </w:r>
      <w:r>
        <w:t xml:space="preserve"> ENERGY STAR. 2017. "ENERGY STAR® Program Requirements for Connected Thermostat Products: Version 1.0 (Rev. Jan 2017)." January.</w:t>
      </w:r>
    </w:p>
  </w:footnote>
  <w:footnote w:id="6">
    <w:p w14:paraId="68F579FD" w14:textId="2268F69A" w:rsidR="00170BC7" w:rsidRDefault="00170BC7">
      <w:pPr>
        <w:pStyle w:val="FootnoteText"/>
      </w:pPr>
      <w:r>
        <w:rPr>
          <w:rStyle w:val="FootnoteReference"/>
        </w:rPr>
        <w:footnoteRef/>
      </w:r>
      <w:r>
        <w:t xml:space="preserve"> DNV GL. 2021. </w:t>
      </w:r>
      <w:r w:rsidRPr="001F5FCE">
        <w:rPr>
          <w:i/>
          <w:iCs/>
        </w:rPr>
        <w:t>Impact Evaluation of Smart Thermostats Residential Sector - Program Year 201</w:t>
      </w:r>
      <w:r>
        <w:rPr>
          <w:i/>
          <w:iCs/>
        </w:rPr>
        <w:t>9, Table 6-1.</w:t>
      </w:r>
      <w:r>
        <w:t xml:space="preserve"> Prepared for the California Public Utilities Commission. June 16, 2021.</w:t>
      </w:r>
    </w:p>
  </w:footnote>
  <w:footnote w:id="7">
    <w:p w14:paraId="0AB95B24" w14:textId="7926F4D9" w:rsidR="00170BC7" w:rsidRDefault="00170BC7">
      <w:pPr>
        <w:pStyle w:val="FootnoteText"/>
      </w:pPr>
      <w:r>
        <w:rPr>
          <w:rStyle w:val="FootnoteReference"/>
        </w:rPr>
        <w:footnoteRef/>
      </w:r>
      <w:r>
        <w:t xml:space="preserve"> DNV GL. 2020. </w:t>
      </w:r>
      <w:r w:rsidRPr="001D6246">
        <w:rPr>
          <w:i/>
          <w:iCs/>
        </w:rPr>
        <w:t>Impact Evaluation of Smart Thermostats Residential Sector - Program Year 2018</w:t>
      </w:r>
      <w:r>
        <w:rPr>
          <w:i/>
          <w:iCs/>
        </w:rPr>
        <w:t>.</w:t>
      </w:r>
      <w:r>
        <w:t xml:space="preserve"> Prepared for the California Public Utilities Commission. April 16, 2020.</w:t>
      </w:r>
    </w:p>
  </w:footnote>
  <w:footnote w:id="8">
    <w:p w14:paraId="27871D60" w14:textId="77777777" w:rsidR="00170BC7" w:rsidRDefault="00170BC7" w:rsidP="00465926">
      <w:pPr>
        <w:pStyle w:val="FootnoteText"/>
      </w:pPr>
      <w:r>
        <w:rPr>
          <w:rStyle w:val="FootnoteReference"/>
        </w:rPr>
        <w:footnoteRef/>
      </w:r>
      <w:r>
        <w:t xml:space="preserve"> DNV GL. 2021. </w:t>
      </w:r>
      <w:r w:rsidRPr="001F5FCE">
        <w:rPr>
          <w:i/>
          <w:iCs/>
        </w:rPr>
        <w:t>Impact Evaluation of Smart Thermostats Residential Sector - Program Year 201</w:t>
      </w:r>
      <w:r>
        <w:rPr>
          <w:i/>
          <w:iCs/>
        </w:rPr>
        <w:t>9.</w:t>
      </w:r>
      <w:r>
        <w:t xml:space="preserve"> Prepared for the California Public Utilities Commission. June 16, 2021.</w:t>
      </w:r>
    </w:p>
  </w:footnote>
  <w:footnote w:id="9">
    <w:p w14:paraId="057EA234" w14:textId="77777777" w:rsidR="00170BC7" w:rsidRDefault="00170BC7" w:rsidP="00465926">
      <w:pPr>
        <w:pStyle w:val="FootnoteText"/>
      </w:pPr>
      <w:r>
        <w:rPr>
          <w:rStyle w:val="FootnoteReference"/>
        </w:rPr>
        <w:footnoteRef/>
      </w:r>
      <w:r>
        <w:t xml:space="preserve"> </w:t>
      </w:r>
      <w:r w:rsidRPr="00A90AAA">
        <w:t>DNV GL Energy Insights USA, Inc. 2020. 2019 California Residential Appliance Saturation Study. California Energy Commission (CEC). Final statewide survey dataset obtained from the California Energy Commission (CEC).</w:t>
      </w:r>
    </w:p>
  </w:footnote>
  <w:footnote w:id="10">
    <w:p w14:paraId="66214C73" w14:textId="77777777" w:rsidR="00170BC7" w:rsidRDefault="00170BC7" w:rsidP="00465926">
      <w:pPr>
        <w:pStyle w:val="FootnoteText"/>
      </w:pPr>
      <w:r>
        <w:rPr>
          <w:rStyle w:val="FootnoteReference"/>
        </w:rPr>
        <w:footnoteRef/>
      </w:r>
      <w:r>
        <w:t xml:space="preserve"> DNV GL. 2021.</w:t>
      </w:r>
      <w:r w:rsidRPr="00A90AAA">
        <w:t xml:space="preserve"> </w:t>
      </w:r>
      <w:r w:rsidRPr="00A90AAA">
        <w:rPr>
          <w:i/>
          <w:iCs/>
        </w:rPr>
        <w:t>Draft Response to SWHC039-04 Res SCT WPP</w:t>
      </w:r>
      <w:r>
        <w:t>. “</w:t>
      </w:r>
      <w:r w:rsidRPr="00A90AAA">
        <w:t>CPUCComm_SWHC039-04 Res SCT WPP 7-20-2021.docx</w:t>
      </w:r>
      <w:r>
        <w:t>.” Prepared for the California Public Utilities Commission. June 20, 2021.</w:t>
      </w:r>
    </w:p>
  </w:footnote>
  <w:footnote w:id="11">
    <w:p w14:paraId="267ED463" w14:textId="77777777" w:rsidR="00170BC7" w:rsidRDefault="00170BC7" w:rsidP="00465926">
      <w:pPr>
        <w:pStyle w:val="FootnoteText"/>
      </w:pPr>
      <w:r>
        <w:rPr>
          <w:rStyle w:val="FootnoteReference"/>
        </w:rPr>
        <w:footnoteRef/>
      </w:r>
      <w:r>
        <w:t xml:space="preserve"> DNV GL. 2021. “</w:t>
      </w:r>
      <w:r w:rsidRPr="00D11A3C">
        <w:t>DNV Modified - SWHC039-04 Attach A - SCT Manufacturer Data and Analysis_08_10_2021.xlsx</w:t>
      </w:r>
      <w:r>
        <w:t>”  Prepared for the California Public Utilities Commission. August 10, 2021.</w:t>
      </w:r>
    </w:p>
  </w:footnote>
  <w:footnote w:id="12">
    <w:p w14:paraId="6AA69010" w14:textId="0F56B3EE" w:rsidR="00170BC7" w:rsidRPr="00FB6152" w:rsidRDefault="00170BC7" w:rsidP="00465926">
      <w:pPr>
        <w:spacing w:after="0" w:line="240" w:lineRule="auto"/>
        <w:rPr>
          <w:rFonts w:eastAsia="Garamond" w:cs="Calibri Light"/>
          <w:sz w:val="18"/>
          <w:szCs w:val="18"/>
        </w:rPr>
      </w:pPr>
      <w:r>
        <w:rPr>
          <w:vertAlign w:val="superscript"/>
        </w:rPr>
        <w:footnoteRef/>
      </w:r>
      <w:r>
        <w:rPr>
          <w:rFonts w:ascii="Garamond" w:eastAsia="Garamond" w:hAnsi="Garamond" w:cs="Garamond"/>
          <w:sz w:val="20"/>
          <w:szCs w:val="20"/>
        </w:rPr>
        <w:t xml:space="preserve"> </w:t>
      </w:r>
      <w:r>
        <w:rPr>
          <w:rFonts w:eastAsia="Garamond" w:cs="Calibri Light"/>
          <w:sz w:val="18"/>
          <w:szCs w:val="18"/>
        </w:rPr>
        <w:t xml:space="preserve">Cadmus Group. 2019. </w:t>
      </w:r>
      <w:r w:rsidRPr="00FB6152">
        <w:rPr>
          <w:rFonts w:eastAsia="Garamond" w:cs="Calibri Light"/>
          <w:sz w:val="18"/>
          <w:szCs w:val="18"/>
        </w:rPr>
        <w:t xml:space="preserve"> </w:t>
      </w:r>
      <w:r w:rsidRPr="00C17038">
        <w:rPr>
          <w:rFonts w:eastAsia="Garamond" w:cs="Calibri Light"/>
          <w:i/>
          <w:iCs/>
          <w:sz w:val="18"/>
          <w:szCs w:val="18"/>
        </w:rPr>
        <w:t>Seasonal Savings and Peak Aware Program Impacts</w:t>
      </w:r>
      <w:r w:rsidRPr="00FB6152">
        <w:rPr>
          <w:rFonts w:eastAsia="Garamond" w:cs="Calibri Light"/>
          <w:sz w:val="18"/>
          <w:szCs w:val="18"/>
        </w:rPr>
        <w:t>.</w:t>
      </w:r>
      <w:r>
        <w:rPr>
          <w:rFonts w:eastAsia="Garamond" w:cs="Calibri Light"/>
          <w:sz w:val="18"/>
          <w:szCs w:val="18"/>
        </w:rPr>
        <w:t xml:space="preserve"> Prepared for Pacific Gas and Electric. February 1, 2019. </w:t>
      </w:r>
      <w:r w:rsidRPr="00FB6152">
        <w:rPr>
          <w:rFonts w:eastAsia="Garamond" w:cs="Calibri Light"/>
          <w:sz w:val="18"/>
          <w:szCs w:val="18"/>
        </w:rPr>
        <w:t xml:space="preserve"> </w:t>
      </w:r>
    </w:p>
  </w:footnote>
  <w:footnote w:id="13">
    <w:p w14:paraId="12F19533" w14:textId="226CD6F3" w:rsidR="00170BC7" w:rsidRPr="00FB6152" w:rsidRDefault="00170BC7" w:rsidP="00A22387">
      <w:pPr>
        <w:spacing w:after="0" w:line="240" w:lineRule="auto"/>
        <w:rPr>
          <w:rFonts w:eastAsia="Garamond" w:cs="Calibri Light"/>
          <w:sz w:val="18"/>
          <w:szCs w:val="18"/>
        </w:rPr>
      </w:pPr>
      <w:r w:rsidRPr="00FB6152">
        <w:rPr>
          <w:rFonts w:cs="Calibri Light"/>
          <w:sz w:val="18"/>
          <w:szCs w:val="18"/>
          <w:vertAlign w:val="superscript"/>
        </w:rPr>
        <w:footnoteRef/>
      </w:r>
      <w:r>
        <w:rPr>
          <w:rFonts w:eastAsia="Garamond" w:cs="Calibri Light"/>
          <w:sz w:val="18"/>
          <w:szCs w:val="18"/>
        </w:rPr>
        <w:t xml:space="preserve"> Navigant. 2019. </w:t>
      </w:r>
      <w:r w:rsidRPr="00C17038">
        <w:rPr>
          <w:rFonts w:eastAsia="Garamond" w:cs="Calibri Light"/>
          <w:i/>
          <w:iCs/>
          <w:sz w:val="18"/>
          <w:szCs w:val="18"/>
        </w:rPr>
        <w:t>ComEd CY2018 Seasonal Savings Cooling Season Impact Evaluation Report</w:t>
      </w:r>
      <w:r>
        <w:rPr>
          <w:rFonts w:eastAsia="Garamond" w:cs="Calibri Light"/>
          <w:i/>
          <w:iCs/>
          <w:sz w:val="18"/>
          <w:szCs w:val="18"/>
        </w:rPr>
        <w:t xml:space="preserve">. </w:t>
      </w:r>
      <w:r>
        <w:rPr>
          <w:rFonts w:eastAsia="Garamond" w:cs="Calibri Light"/>
          <w:sz w:val="18"/>
          <w:szCs w:val="18"/>
        </w:rPr>
        <w:t>Prepared for Commonwealth Edison. April 8, 2019.</w:t>
      </w:r>
    </w:p>
  </w:footnote>
  <w:footnote w:id="14">
    <w:p w14:paraId="58F581C5" w14:textId="70518D98" w:rsidR="00170BC7" w:rsidRPr="00FB6152" w:rsidRDefault="00170BC7" w:rsidP="00A22387">
      <w:pPr>
        <w:spacing w:after="0" w:line="240" w:lineRule="auto"/>
        <w:rPr>
          <w:rFonts w:eastAsia="Garamond" w:cs="Calibri Light"/>
          <w:sz w:val="18"/>
          <w:szCs w:val="18"/>
        </w:rPr>
      </w:pPr>
      <w:r w:rsidRPr="00FB6152">
        <w:rPr>
          <w:rFonts w:cs="Calibri Light"/>
          <w:sz w:val="18"/>
          <w:szCs w:val="18"/>
          <w:vertAlign w:val="superscript"/>
        </w:rPr>
        <w:footnoteRef/>
      </w:r>
      <w:r w:rsidRPr="00FB6152">
        <w:rPr>
          <w:rFonts w:eastAsia="Garamond" w:cs="Calibri Light"/>
          <w:sz w:val="18"/>
          <w:szCs w:val="18"/>
        </w:rPr>
        <w:t xml:space="preserve"> Ecobee</w:t>
      </w:r>
      <w:r>
        <w:rPr>
          <w:rFonts w:eastAsia="Garamond" w:cs="Calibri Light"/>
          <w:sz w:val="18"/>
          <w:szCs w:val="18"/>
        </w:rPr>
        <w:t xml:space="preserve">. 2020. </w:t>
      </w:r>
      <w:r w:rsidRPr="00C17038">
        <w:rPr>
          <w:rFonts w:eastAsia="Garamond" w:cs="Calibri Light"/>
          <w:i/>
          <w:iCs/>
          <w:sz w:val="18"/>
          <w:szCs w:val="18"/>
        </w:rPr>
        <w:t>Broadening Grid Flexibility through Customer-Centric Machine Learning: Measured Impacts from a Pilot of 200,000 Smart Thermostat Participants Across the US and Canada</w:t>
      </w:r>
      <w:r>
        <w:rPr>
          <w:rFonts w:eastAsia="Garamond" w:cs="Calibri Light"/>
          <w:sz w:val="18"/>
          <w:szCs w:val="18"/>
        </w:rPr>
        <w:t xml:space="preserve">. Presented at </w:t>
      </w:r>
      <w:r w:rsidRPr="00FB6152">
        <w:rPr>
          <w:rFonts w:eastAsia="Garamond" w:cs="Calibri Light"/>
          <w:sz w:val="18"/>
          <w:szCs w:val="18"/>
        </w:rPr>
        <w:t>ACEEE</w:t>
      </w:r>
      <w:r>
        <w:rPr>
          <w:rFonts w:eastAsia="Garamond" w:cs="Calibri Light"/>
          <w:sz w:val="18"/>
          <w:szCs w:val="18"/>
        </w:rPr>
        <w:t xml:space="preserve">’s </w:t>
      </w:r>
      <w:r w:rsidRPr="00A22387">
        <w:rPr>
          <w:rFonts w:eastAsia="Garamond" w:cs="Calibri Light"/>
          <w:sz w:val="18"/>
          <w:szCs w:val="18"/>
        </w:rPr>
        <w:t>2020 Summer Study on Energy Efficiency in Buildings</w:t>
      </w:r>
    </w:p>
  </w:footnote>
  <w:footnote w:id="15">
    <w:p w14:paraId="5D803DE7" w14:textId="77777777" w:rsidR="00170BC7" w:rsidRDefault="00170BC7" w:rsidP="00465926">
      <w:pPr>
        <w:pStyle w:val="FootnoteText"/>
      </w:pPr>
      <w:r>
        <w:rPr>
          <w:rStyle w:val="FootnoteReference"/>
        </w:rPr>
        <w:footnoteRef/>
      </w:r>
      <w:r>
        <w:t xml:space="preserve"> DNV GL. 2021. </w:t>
      </w:r>
      <w:r w:rsidRPr="001F5FCE">
        <w:rPr>
          <w:i/>
          <w:iCs/>
        </w:rPr>
        <w:t>Impact Evaluation of Smart Thermostats Residential Sector - Program Year 201</w:t>
      </w:r>
      <w:r>
        <w:rPr>
          <w:i/>
          <w:iCs/>
        </w:rPr>
        <w:t>9. Table 7-4.</w:t>
      </w:r>
      <w:r>
        <w:t xml:space="preserve"> Prepared for the California Public Utilities Commission. June 16, 2021.</w:t>
      </w:r>
    </w:p>
  </w:footnote>
  <w:footnote w:id="16">
    <w:p w14:paraId="1BD3B0DE" w14:textId="668E3B4C" w:rsidR="00170BC7" w:rsidRDefault="00170BC7" w:rsidP="00465926">
      <w:pPr>
        <w:pStyle w:val="FootnoteText"/>
      </w:pPr>
      <w:r>
        <w:rPr>
          <w:rStyle w:val="FootnoteReference"/>
        </w:rPr>
        <w:footnoteRef/>
      </w:r>
      <w:r>
        <w:t xml:space="preserve"> DNV GL. 2021. “</w:t>
      </w:r>
      <w:r w:rsidRPr="00D11A3C">
        <w:t>DNV Modified - SWHC039-04 Attach A - SCT Manufacturer Data and Analysis_08_10_2021.xlsx</w:t>
      </w:r>
      <w:r>
        <w:t>” Prepared for the California Public Utilities Commission. August 10, 2021.</w:t>
      </w:r>
    </w:p>
  </w:footnote>
  <w:footnote w:id="17">
    <w:p w14:paraId="23350858" w14:textId="7985BBCE" w:rsidR="00170BC7" w:rsidRDefault="00170BC7" w:rsidP="00465926">
      <w:pPr>
        <w:pStyle w:val="FootnoteText"/>
      </w:pPr>
      <w:r>
        <w:rPr>
          <w:rStyle w:val="FootnoteReference"/>
        </w:rPr>
        <w:footnoteRef/>
      </w:r>
      <w:r>
        <w:t xml:space="preserve"> DNV GL. 2021. “</w:t>
      </w:r>
      <w:r w:rsidRPr="00D11A3C">
        <w:t>DNV Modified - SWHC039-04 Attach A - SCT Manufacturer Data and Analysis_08_10_2021.xlsx</w:t>
      </w:r>
      <w:r>
        <w:t>” Prepared for the California Public Utilities Commission. August 10, 2021.</w:t>
      </w:r>
    </w:p>
  </w:footnote>
  <w:footnote w:id="18">
    <w:p w14:paraId="448DEDB0" w14:textId="77777777" w:rsidR="00170BC7" w:rsidRDefault="00170BC7" w:rsidP="00465926">
      <w:pPr>
        <w:pStyle w:val="FootnoteText"/>
      </w:pPr>
      <w:r w:rsidRPr="00FB6152">
        <w:rPr>
          <w:rStyle w:val="FootnoteReference"/>
          <w:rFonts w:cs="Calibri Light"/>
          <w:szCs w:val="18"/>
        </w:rPr>
        <w:footnoteRef/>
      </w:r>
      <w:r w:rsidRPr="00FB6152">
        <w:rPr>
          <w:rFonts w:cs="Calibri Light"/>
          <w:szCs w:val="18"/>
        </w:rPr>
        <w:t xml:space="preserve"> DNV GL. 2020. </w:t>
      </w:r>
      <w:r w:rsidRPr="00FB6152">
        <w:rPr>
          <w:rFonts w:cs="Calibri Light"/>
          <w:i/>
          <w:iCs/>
          <w:szCs w:val="18"/>
        </w:rPr>
        <w:t>Impact Evaluation of Smart Thermostats Residential Sector - Program Year 2018.</w:t>
      </w:r>
      <w:r w:rsidRPr="00FB6152">
        <w:rPr>
          <w:rFonts w:cs="Calibri Light"/>
          <w:szCs w:val="18"/>
        </w:rPr>
        <w:t xml:space="preserve"> Prepared for the California Public Utilities Commission. April 16, 2020.</w:t>
      </w:r>
    </w:p>
  </w:footnote>
  <w:footnote w:id="19">
    <w:p w14:paraId="13E44AFD" w14:textId="77777777" w:rsidR="00170BC7" w:rsidRDefault="00170BC7" w:rsidP="00465926">
      <w:pPr>
        <w:pStyle w:val="FootnoteText"/>
      </w:pPr>
      <w:r>
        <w:rPr>
          <w:rStyle w:val="FootnoteReference"/>
        </w:rPr>
        <w:footnoteRef/>
      </w:r>
      <w:r>
        <w:t xml:space="preserve"> </w:t>
      </w:r>
      <w:r w:rsidRPr="00CE3F3C">
        <w:t>UNDERSTANDING MANUFACTURING ENERGY USE THROUGH STATISTICAL ANALYSIS, KELLY KISSOCK, et al.  Beginning in the 1980s, statistical modeling has been used to understand energy use in buildings. The Princeton Scorekeeping Method, PRISM, pioneered the practice of automatically fitting variable-base degree-day (VBDD) models to residential utility data (Fels, 1986; Fels et al. 1995). PRISM employs three primary types of statistical models: “heating only” (HO), “cooling only” (CO) and “heating and cooling” (HC). The heating-only and cooling-only models describe residential energy use in terms of three regression variables alpha, beta and tau, which also have physical significance in thermodynamic models of building energy use.</w:t>
      </w:r>
    </w:p>
  </w:footnote>
  <w:footnote w:id="20">
    <w:p w14:paraId="381D7B6A" w14:textId="77777777" w:rsidR="00170BC7" w:rsidRDefault="00170BC7" w:rsidP="00465926">
      <w:pPr>
        <w:pStyle w:val="FootnoteText"/>
      </w:pPr>
      <w:r>
        <w:rPr>
          <w:rStyle w:val="FootnoteReference"/>
        </w:rPr>
        <w:footnoteRef/>
      </w:r>
      <w:r>
        <w:t xml:space="preserve"> DNV GL. 2020. </w:t>
      </w:r>
      <w:r w:rsidRPr="001F5FCE">
        <w:rPr>
          <w:i/>
          <w:iCs/>
        </w:rPr>
        <w:t>Impact Evaluation of Smart Thermostats Residential Sector - Program Year 2018</w:t>
      </w:r>
      <w:r>
        <w:rPr>
          <w:i/>
          <w:iCs/>
        </w:rPr>
        <w:t>.</w:t>
      </w:r>
      <w:r>
        <w:t xml:space="preserve"> Prepared for the California Public Utilities Commission. April 16, 2020.</w:t>
      </w:r>
    </w:p>
  </w:footnote>
  <w:footnote w:id="21">
    <w:p w14:paraId="5E14717D" w14:textId="77777777" w:rsidR="00170BC7" w:rsidRPr="005B4ECB" w:rsidRDefault="00170BC7" w:rsidP="00465926">
      <w:pPr>
        <w:pStyle w:val="FootnoteText"/>
        <w:jc w:val="both"/>
      </w:pPr>
      <w:r>
        <w:rPr>
          <w:rStyle w:val="FootnoteReference"/>
        </w:rPr>
        <w:footnoteRef/>
      </w:r>
      <w:r>
        <w:t xml:space="preserve"> DNV GL, on behalf of CPUC. 2020. “</w:t>
      </w:r>
      <w:r w:rsidRPr="002C2D46">
        <w:rPr>
          <w:i/>
          <w:iCs/>
        </w:rPr>
        <w:t>SCT Workpaper Plan - Next Steps</w:t>
      </w:r>
      <w:r>
        <w:rPr>
          <w:i/>
          <w:iCs/>
        </w:rPr>
        <w:t>”.</w:t>
      </w:r>
      <w:r w:rsidRPr="005B4ECB">
        <w:t xml:space="preserve"> </w:t>
      </w:r>
      <w:r>
        <w:t>Email from Ken Agnew to IOUs</w:t>
      </w:r>
      <w:r>
        <w:rPr>
          <w:i/>
          <w:iCs/>
        </w:rPr>
        <w:t xml:space="preserve">. </w:t>
      </w:r>
      <w:r>
        <w:t>June 4. Attached as file “</w:t>
      </w:r>
      <w:r w:rsidRPr="005B4ECB">
        <w:t>SWHC039-03 NTG and DnDeemed Savings Email.pdf</w:t>
      </w:r>
      <w:r>
        <w:t>”</w:t>
      </w:r>
    </w:p>
  </w:footnote>
  <w:footnote w:id="22">
    <w:p w14:paraId="5152BC66" w14:textId="77777777" w:rsidR="00170BC7" w:rsidRDefault="00170BC7" w:rsidP="00465926">
      <w:pPr>
        <w:pStyle w:val="FootnoteText"/>
      </w:pPr>
      <w:r>
        <w:rPr>
          <w:rStyle w:val="FootnoteReference"/>
        </w:rPr>
        <w:footnoteRef/>
      </w:r>
      <w:r>
        <w:t xml:space="preserve"> DNV GL, on behalf of CPUC. 2020. “</w:t>
      </w:r>
      <w:r w:rsidRPr="002C2D46">
        <w:rPr>
          <w:i/>
          <w:iCs/>
        </w:rPr>
        <w:t>SCT Workpaper Plan - Next Steps</w:t>
      </w:r>
      <w:r>
        <w:rPr>
          <w:i/>
          <w:iCs/>
        </w:rPr>
        <w:t>”.</w:t>
      </w:r>
      <w:r w:rsidRPr="005B4ECB">
        <w:t xml:space="preserve"> </w:t>
      </w:r>
      <w:r>
        <w:t>Email from Ken Agnew to IOUs</w:t>
      </w:r>
      <w:r>
        <w:rPr>
          <w:i/>
          <w:iCs/>
        </w:rPr>
        <w:t xml:space="preserve">. </w:t>
      </w:r>
      <w:r>
        <w:t>June 4. Attached as file “</w:t>
      </w:r>
      <w:r w:rsidRPr="005B4ECB">
        <w:t>SWHC039-03 NTG and DnDeemed Savings Email.pdf</w:t>
      </w:r>
      <w:r>
        <w:t>”</w:t>
      </w:r>
    </w:p>
  </w:footnote>
  <w:footnote w:id="23">
    <w:p w14:paraId="6E1275C9" w14:textId="77777777" w:rsidR="00170BC7" w:rsidRDefault="00170BC7" w:rsidP="00465926">
      <w:pPr>
        <w:pStyle w:val="FootnoteText"/>
      </w:pPr>
      <w:r>
        <w:rPr>
          <w:rStyle w:val="FootnoteReference"/>
        </w:rPr>
        <w:footnoteRef/>
      </w:r>
      <w:r>
        <w:t xml:space="preserve"> </w:t>
      </w:r>
      <w:r w:rsidRPr="00FB6152">
        <w:rPr>
          <w:rFonts w:cs="Calibri Light"/>
          <w:szCs w:val="18"/>
        </w:rPr>
        <w:t xml:space="preserve">DNV GL. 2020. </w:t>
      </w:r>
      <w:r w:rsidRPr="00FB6152">
        <w:rPr>
          <w:rFonts w:cs="Calibri Light"/>
          <w:i/>
          <w:iCs/>
          <w:szCs w:val="18"/>
        </w:rPr>
        <w:t>Impact Evaluation of Smart Thermostats Residential Sector - Program Year 2018</w:t>
      </w:r>
      <w:r>
        <w:rPr>
          <w:rFonts w:cs="Calibri Light"/>
          <w:i/>
          <w:iCs/>
          <w:szCs w:val="18"/>
        </w:rPr>
        <w:t>, Table 5-4</w:t>
      </w:r>
      <w:r w:rsidRPr="00FB6152">
        <w:rPr>
          <w:rFonts w:cs="Calibri Light"/>
          <w:i/>
          <w:iCs/>
          <w:szCs w:val="18"/>
        </w:rPr>
        <w:t>.</w:t>
      </w:r>
      <w:r w:rsidRPr="00FB6152">
        <w:rPr>
          <w:rFonts w:cs="Calibri Light"/>
          <w:szCs w:val="18"/>
        </w:rPr>
        <w:t xml:space="preserve"> Prepared for the California Public Utilities Commission. April 16, 2020.</w:t>
      </w:r>
    </w:p>
  </w:footnote>
  <w:footnote w:id="24">
    <w:p w14:paraId="553D8CF7" w14:textId="793F51A8" w:rsidR="00170BC7" w:rsidRDefault="00170BC7" w:rsidP="00465926">
      <w:pPr>
        <w:pStyle w:val="FootnoteText"/>
      </w:pPr>
      <w:r>
        <w:rPr>
          <w:rStyle w:val="FootnoteReference"/>
        </w:rPr>
        <w:footnoteRef/>
      </w:r>
      <w:r>
        <w:t xml:space="preserve"> </w:t>
      </w:r>
      <w:ins w:id="244" w:author="Danryd, Anders R" w:date="2021-11-17T11:08:00Z">
        <w:r w:rsidR="00111727">
          <w:t>Southern California Edison (SCE). 2021. “</w:t>
        </w:r>
        <w:r w:rsidR="00111727" w:rsidRPr="00FB3BBF">
          <w:t>SWHC039-04 MeasureDataSpec_</w:t>
        </w:r>
        <w:r w:rsidR="00111727">
          <w:t>11</w:t>
        </w:r>
        <w:r w:rsidR="00111727" w:rsidRPr="00FB3BBF">
          <w:t>-</w:t>
        </w:r>
        <w:r w:rsidR="00111727">
          <w:t>17</w:t>
        </w:r>
        <w:r w:rsidR="00111727" w:rsidRPr="00FB3BBF">
          <w:t>-21.xlsm</w:t>
        </w:r>
        <w:r w:rsidR="00111727">
          <w:t>.”, DSD Savings tab</w:t>
        </w:r>
      </w:ins>
      <w:r>
        <w:t>.</w:t>
      </w:r>
    </w:p>
  </w:footnote>
  <w:footnote w:id="25">
    <w:p w14:paraId="7A9D6054" w14:textId="77777777" w:rsidR="00266181" w:rsidRDefault="00266181" w:rsidP="00266181">
      <w:pPr>
        <w:pStyle w:val="FootnoteText"/>
        <w:rPr>
          <w:ins w:id="257" w:author="Danryd, Anders R" w:date="2021-11-17T10:55:00Z"/>
        </w:rPr>
      </w:pPr>
      <w:ins w:id="258" w:author="Danryd, Anders R" w:date="2021-11-17T10:55:00Z">
        <w:r>
          <w:rPr>
            <w:rStyle w:val="FootnoteReference"/>
          </w:rPr>
          <w:footnoteRef/>
        </w:r>
        <w:r>
          <w:t xml:space="preserve"> DNV GL. 2021. </w:t>
        </w:r>
        <w:r w:rsidRPr="001F5FCE">
          <w:rPr>
            <w:i/>
            <w:iCs/>
          </w:rPr>
          <w:t>Impact Evaluation of Smart Thermostats Residential Sector - Program Year 201</w:t>
        </w:r>
        <w:r>
          <w:rPr>
            <w:i/>
            <w:iCs/>
          </w:rPr>
          <w:t>9.</w:t>
        </w:r>
        <w:r>
          <w:t xml:space="preserve"> Prepared for the California Public Utilities Commission. June 16, 2021.</w:t>
        </w:r>
      </w:ins>
    </w:p>
  </w:footnote>
  <w:footnote w:id="26">
    <w:p w14:paraId="028581A9" w14:textId="77777777" w:rsidR="00266181" w:rsidRDefault="00266181" w:rsidP="00266181">
      <w:pPr>
        <w:pStyle w:val="FootnoteText"/>
        <w:rPr>
          <w:ins w:id="259" w:author="Danryd, Anders R" w:date="2021-11-17T10:55:00Z"/>
        </w:rPr>
      </w:pPr>
      <w:ins w:id="260" w:author="Danryd, Anders R" w:date="2021-11-17T10:55:00Z">
        <w:r>
          <w:rPr>
            <w:rStyle w:val="FootnoteReference"/>
          </w:rPr>
          <w:footnoteRef/>
        </w:r>
        <w:r>
          <w:t xml:space="preserve"> </w:t>
        </w:r>
        <w:r w:rsidRPr="00A90AAA">
          <w:t>DNV GL Energy Insights USA, Inc. 2020. 2019 California Residential Appliance Saturation Study. California Energy Commission (CEC). Final statewide survey dataset obtained from the California Energy Commission (CEC).</w:t>
        </w:r>
      </w:ins>
    </w:p>
  </w:footnote>
  <w:footnote w:id="27">
    <w:p w14:paraId="56CBEFB5" w14:textId="77777777" w:rsidR="00266181" w:rsidRDefault="00266181" w:rsidP="00266181">
      <w:pPr>
        <w:pStyle w:val="FootnoteText"/>
        <w:rPr>
          <w:ins w:id="264" w:author="Danryd, Anders R" w:date="2021-11-17T10:55:00Z"/>
        </w:rPr>
      </w:pPr>
      <w:ins w:id="265" w:author="Danryd, Anders R" w:date="2021-11-17T10:55:00Z">
        <w:r>
          <w:rPr>
            <w:rStyle w:val="FootnoteReference"/>
          </w:rPr>
          <w:footnoteRef/>
        </w:r>
        <w:r>
          <w:t xml:space="preserve"> DNV GL. 2021.</w:t>
        </w:r>
        <w:r w:rsidRPr="00A90AAA">
          <w:t xml:space="preserve"> </w:t>
        </w:r>
        <w:r w:rsidRPr="00A90AAA">
          <w:rPr>
            <w:i/>
            <w:iCs/>
          </w:rPr>
          <w:t>Draft Response to SWHC039-04 Res SCT WPP</w:t>
        </w:r>
        <w:r>
          <w:t>. “</w:t>
        </w:r>
        <w:r w:rsidRPr="00A90AAA">
          <w:t>CPUCComm_SWHC039-04 Res SCT WPP 7-20-2021.docx</w:t>
        </w:r>
        <w:r>
          <w:t>.” Prepared for the California Public Utilities Commission. June 20, 2021.</w:t>
        </w:r>
      </w:ins>
    </w:p>
  </w:footnote>
  <w:footnote w:id="28">
    <w:p w14:paraId="70FC8BB0" w14:textId="3BCBEDFD" w:rsidR="00266181" w:rsidRPr="00266181" w:rsidRDefault="00266181" w:rsidP="00266181">
      <w:pPr>
        <w:spacing w:after="0" w:line="240" w:lineRule="auto"/>
        <w:rPr>
          <w:ins w:id="306" w:author="Danryd, Anders R" w:date="2021-11-17T10:55:00Z"/>
          <w:rFonts w:eastAsia="Garamond" w:cs="Calibri Light"/>
          <w:i/>
          <w:iCs/>
          <w:sz w:val="18"/>
          <w:szCs w:val="18"/>
        </w:rPr>
      </w:pPr>
      <w:ins w:id="307" w:author="Danryd, Anders R" w:date="2021-11-17T10:55:00Z">
        <w:r>
          <w:rPr>
            <w:vertAlign w:val="superscript"/>
          </w:rPr>
          <w:footnoteRef/>
        </w:r>
        <w:r>
          <w:rPr>
            <w:rFonts w:ascii="Garamond" w:eastAsia="Garamond" w:hAnsi="Garamond" w:cs="Garamond"/>
            <w:sz w:val="20"/>
            <w:szCs w:val="20"/>
          </w:rPr>
          <w:t xml:space="preserve"> </w:t>
        </w:r>
      </w:ins>
      <w:ins w:id="308" w:author="Danryd, Anders R" w:date="2021-11-17T10:59:00Z">
        <w:r>
          <w:rPr>
            <w:rFonts w:eastAsia="Garamond" w:cs="Calibri Light"/>
            <w:sz w:val="18"/>
            <w:szCs w:val="18"/>
          </w:rPr>
          <w:t>Google</w:t>
        </w:r>
      </w:ins>
      <w:ins w:id="309" w:author="Danryd, Anders R" w:date="2021-11-17T10:55:00Z">
        <w:r>
          <w:rPr>
            <w:rFonts w:eastAsia="Garamond" w:cs="Calibri Light"/>
            <w:sz w:val="18"/>
            <w:szCs w:val="18"/>
          </w:rPr>
          <w:t>. 20</w:t>
        </w:r>
      </w:ins>
      <w:ins w:id="310" w:author="Danryd, Anders R" w:date="2021-11-22T14:12:00Z">
        <w:r w:rsidR="00583868">
          <w:rPr>
            <w:rFonts w:eastAsia="Garamond" w:cs="Calibri Light"/>
            <w:sz w:val="18"/>
            <w:szCs w:val="18"/>
          </w:rPr>
          <w:t>20</w:t>
        </w:r>
      </w:ins>
      <w:ins w:id="311" w:author="Danryd, Anders R" w:date="2021-11-17T10:55:00Z">
        <w:r>
          <w:rPr>
            <w:rFonts w:eastAsia="Garamond" w:cs="Calibri Light"/>
            <w:sz w:val="18"/>
            <w:szCs w:val="18"/>
          </w:rPr>
          <w:t xml:space="preserve">. </w:t>
        </w:r>
        <w:r w:rsidRPr="00FB6152">
          <w:rPr>
            <w:rFonts w:eastAsia="Garamond" w:cs="Calibri Light"/>
            <w:sz w:val="18"/>
            <w:szCs w:val="18"/>
          </w:rPr>
          <w:t xml:space="preserve"> </w:t>
        </w:r>
      </w:ins>
      <w:ins w:id="312" w:author="Danryd, Anders R" w:date="2021-11-17T11:00:00Z">
        <w:r w:rsidRPr="00266181">
          <w:rPr>
            <w:rFonts w:eastAsia="Garamond" w:cs="Calibri Light"/>
            <w:i/>
            <w:iCs/>
            <w:sz w:val="18"/>
            <w:szCs w:val="18"/>
          </w:rPr>
          <w:t>Seasonal Savings Impacts in</w:t>
        </w:r>
        <w:r>
          <w:rPr>
            <w:rFonts w:eastAsia="Garamond" w:cs="Calibri Light"/>
            <w:i/>
            <w:iCs/>
            <w:sz w:val="18"/>
            <w:szCs w:val="18"/>
          </w:rPr>
          <w:t xml:space="preserve"> </w:t>
        </w:r>
        <w:r w:rsidRPr="00266181">
          <w:rPr>
            <w:rFonts w:eastAsia="Garamond" w:cs="Calibri Light"/>
            <w:i/>
            <w:iCs/>
            <w:sz w:val="18"/>
            <w:szCs w:val="18"/>
          </w:rPr>
          <w:t>Southern California Gas Territory</w:t>
        </w:r>
        <w:r>
          <w:rPr>
            <w:rFonts w:eastAsia="Garamond" w:cs="Calibri Light"/>
            <w:i/>
            <w:iCs/>
            <w:sz w:val="18"/>
            <w:szCs w:val="18"/>
          </w:rPr>
          <w:t xml:space="preserve"> </w:t>
        </w:r>
        <w:r w:rsidRPr="00266181">
          <w:rPr>
            <w:rFonts w:eastAsia="Garamond" w:cs="Calibri Light"/>
            <w:i/>
            <w:iCs/>
            <w:sz w:val="18"/>
            <w:szCs w:val="18"/>
          </w:rPr>
          <w:t>Winter 2018/19</w:t>
        </w:r>
      </w:ins>
      <w:ins w:id="313" w:author="Danryd, Anders R" w:date="2021-11-17T10:55:00Z">
        <w:r w:rsidRPr="00FB6152">
          <w:rPr>
            <w:rFonts w:eastAsia="Garamond" w:cs="Calibri Light"/>
            <w:sz w:val="18"/>
            <w:szCs w:val="18"/>
          </w:rPr>
          <w:t>.</w:t>
        </w:r>
        <w:r>
          <w:rPr>
            <w:rFonts w:eastAsia="Garamond" w:cs="Calibri Light"/>
            <w:sz w:val="18"/>
            <w:szCs w:val="18"/>
          </w:rPr>
          <w:t xml:space="preserve"> Prepared for</w:t>
        </w:r>
      </w:ins>
      <w:ins w:id="314" w:author="Danryd, Anders R" w:date="2021-11-17T11:00:00Z">
        <w:r>
          <w:rPr>
            <w:rFonts w:eastAsia="Garamond" w:cs="Calibri Light"/>
            <w:sz w:val="18"/>
            <w:szCs w:val="18"/>
          </w:rPr>
          <w:t xml:space="preserve"> SoCal</w:t>
        </w:r>
      </w:ins>
      <w:ins w:id="315" w:author="Danryd, Anders R" w:date="2021-11-17T10:55:00Z">
        <w:r>
          <w:rPr>
            <w:rFonts w:eastAsia="Garamond" w:cs="Calibri Light"/>
            <w:sz w:val="18"/>
            <w:szCs w:val="18"/>
          </w:rPr>
          <w:t xml:space="preserve">Gas </w:t>
        </w:r>
      </w:ins>
      <w:ins w:id="316" w:author="Danryd, Anders R" w:date="2021-11-17T11:00:00Z">
        <w:r>
          <w:rPr>
            <w:rFonts w:eastAsia="Garamond" w:cs="Calibri Light"/>
            <w:sz w:val="18"/>
            <w:szCs w:val="18"/>
          </w:rPr>
          <w:t>Company</w:t>
        </w:r>
      </w:ins>
      <w:ins w:id="317" w:author="Danryd, Anders R" w:date="2021-11-17T10:55:00Z">
        <w:r>
          <w:rPr>
            <w:rFonts w:eastAsia="Garamond" w:cs="Calibri Light"/>
            <w:sz w:val="18"/>
            <w:szCs w:val="18"/>
          </w:rPr>
          <w:t xml:space="preserve">. </w:t>
        </w:r>
      </w:ins>
      <w:ins w:id="318" w:author="Danryd, Anders R" w:date="2021-11-17T11:00:00Z">
        <w:r>
          <w:rPr>
            <w:rFonts w:eastAsia="Garamond" w:cs="Calibri Light"/>
            <w:sz w:val="18"/>
            <w:szCs w:val="18"/>
          </w:rPr>
          <w:t>January</w:t>
        </w:r>
      </w:ins>
      <w:ins w:id="319" w:author="Danryd, Anders R" w:date="2021-11-17T10:55:00Z">
        <w:r>
          <w:rPr>
            <w:rFonts w:eastAsia="Garamond" w:cs="Calibri Light"/>
            <w:sz w:val="18"/>
            <w:szCs w:val="18"/>
          </w:rPr>
          <w:t xml:space="preserve"> 1</w:t>
        </w:r>
      </w:ins>
      <w:ins w:id="320" w:author="Danryd, Anders R" w:date="2021-11-17T11:00:00Z">
        <w:r>
          <w:rPr>
            <w:rFonts w:eastAsia="Garamond" w:cs="Calibri Light"/>
            <w:sz w:val="18"/>
            <w:szCs w:val="18"/>
          </w:rPr>
          <w:t>3</w:t>
        </w:r>
      </w:ins>
      <w:ins w:id="321" w:author="Danryd, Anders R" w:date="2021-11-17T10:55:00Z">
        <w:r>
          <w:rPr>
            <w:rFonts w:eastAsia="Garamond" w:cs="Calibri Light"/>
            <w:sz w:val="18"/>
            <w:szCs w:val="18"/>
          </w:rPr>
          <w:t>, 20</w:t>
        </w:r>
      </w:ins>
      <w:ins w:id="322" w:author="Danryd, Anders R" w:date="2021-11-17T11:00:00Z">
        <w:r>
          <w:rPr>
            <w:rFonts w:eastAsia="Garamond" w:cs="Calibri Light"/>
            <w:sz w:val="18"/>
            <w:szCs w:val="18"/>
          </w:rPr>
          <w:t>20</w:t>
        </w:r>
      </w:ins>
      <w:ins w:id="323" w:author="Danryd, Anders R" w:date="2021-11-17T10:55:00Z">
        <w:r>
          <w:rPr>
            <w:rFonts w:eastAsia="Garamond" w:cs="Calibri Light"/>
            <w:sz w:val="18"/>
            <w:szCs w:val="18"/>
          </w:rPr>
          <w:t xml:space="preserve">. </w:t>
        </w:r>
        <w:r w:rsidRPr="00FB6152">
          <w:rPr>
            <w:rFonts w:eastAsia="Garamond" w:cs="Calibri Light"/>
            <w:sz w:val="18"/>
            <w:szCs w:val="18"/>
          </w:rPr>
          <w:t xml:space="preserve"> </w:t>
        </w:r>
      </w:ins>
    </w:p>
  </w:footnote>
  <w:footnote w:id="29">
    <w:p w14:paraId="2387DF4B" w14:textId="77777777" w:rsidR="00266181" w:rsidRPr="00FB6152" w:rsidRDefault="00266181" w:rsidP="00266181">
      <w:pPr>
        <w:spacing w:after="0" w:line="240" w:lineRule="auto"/>
        <w:rPr>
          <w:ins w:id="324" w:author="Danryd, Anders R" w:date="2021-11-17T10:55:00Z"/>
          <w:rFonts w:eastAsia="Garamond" w:cs="Calibri Light"/>
          <w:sz w:val="18"/>
          <w:szCs w:val="18"/>
        </w:rPr>
      </w:pPr>
      <w:ins w:id="325" w:author="Danryd, Anders R" w:date="2021-11-17T10:55:00Z">
        <w:r w:rsidRPr="00FB6152">
          <w:rPr>
            <w:rFonts w:cs="Calibri Light"/>
            <w:sz w:val="18"/>
            <w:szCs w:val="18"/>
            <w:vertAlign w:val="superscript"/>
          </w:rPr>
          <w:footnoteRef/>
        </w:r>
        <w:r>
          <w:rPr>
            <w:rFonts w:eastAsia="Garamond" w:cs="Calibri Light"/>
            <w:sz w:val="18"/>
            <w:szCs w:val="18"/>
          </w:rPr>
          <w:t xml:space="preserve"> Navigant. 2019. </w:t>
        </w:r>
        <w:r w:rsidRPr="00C17038">
          <w:rPr>
            <w:rFonts w:eastAsia="Garamond" w:cs="Calibri Light"/>
            <w:i/>
            <w:iCs/>
            <w:sz w:val="18"/>
            <w:szCs w:val="18"/>
          </w:rPr>
          <w:t>ComEd CY2018 Seasonal Savings Cooling Season Impact Evaluation Report</w:t>
        </w:r>
        <w:r>
          <w:rPr>
            <w:rFonts w:eastAsia="Garamond" w:cs="Calibri Light"/>
            <w:i/>
            <w:iCs/>
            <w:sz w:val="18"/>
            <w:szCs w:val="18"/>
          </w:rPr>
          <w:t xml:space="preserve">. </w:t>
        </w:r>
        <w:r>
          <w:rPr>
            <w:rFonts w:eastAsia="Garamond" w:cs="Calibri Light"/>
            <w:sz w:val="18"/>
            <w:szCs w:val="18"/>
          </w:rPr>
          <w:t>Prepared for Commonwealth Edison. April 8, 2019.</w:t>
        </w:r>
      </w:ins>
    </w:p>
  </w:footnote>
  <w:footnote w:id="30">
    <w:p w14:paraId="2E8DF991" w14:textId="77777777" w:rsidR="00266181" w:rsidRPr="00FB6152" w:rsidRDefault="00266181" w:rsidP="00266181">
      <w:pPr>
        <w:spacing w:after="0" w:line="240" w:lineRule="auto"/>
        <w:rPr>
          <w:ins w:id="326" w:author="Danryd, Anders R" w:date="2021-11-17T10:55:00Z"/>
          <w:rFonts w:eastAsia="Garamond" w:cs="Calibri Light"/>
          <w:sz w:val="18"/>
          <w:szCs w:val="18"/>
        </w:rPr>
      </w:pPr>
      <w:ins w:id="327" w:author="Danryd, Anders R" w:date="2021-11-17T10:55:00Z">
        <w:r w:rsidRPr="00FB6152">
          <w:rPr>
            <w:rFonts w:cs="Calibri Light"/>
            <w:sz w:val="18"/>
            <w:szCs w:val="18"/>
            <w:vertAlign w:val="superscript"/>
          </w:rPr>
          <w:footnoteRef/>
        </w:r>
        <w:r w:rsidRPr="00FB6152">
          <w:rPr>
            <w:rFonts w:eastAsia="Garamond" w:cs="Calibri Light"/>
            <w:sz w:val="18"/>
            <w:szCs w:val="18"/>
          </w:rPr>
          <w:t xml:space="preserve"> Ecobee</w:t>
        </w:r>
        <w:r>
          <w:rPr>
            <w:rFonts w:eastAsia="Garamond" w:cs="Calibri Light"/>
            <w:sz w:val="18"/>
            <w:szCs w:val="18"/>
          </w:rPr>
          <w:t xml:space="preserve">. 2020. </w:t>
        </w:r>
        <w:r w:rsidRPr="00C17038">
          <w:rPr>
            <w:rFonts w:eastAsia="Garamond" w:cs="Calibri Light"/>
            <w:i/>
            <w:iCs/>
            <w:sz w:val="18"/>
            <w:szCs w:val="18"/>
          </w:rPr>
          <w:t>Broadening Grid Flexibility through Customer-Centric Machine Learning: Measured Impacts from a Pilot of 200,000 Smart Thermostat Participants Across the US and Canada</w:t>
        </w:r>
        <w:r>
          <w:rPr>
            <w:rFonts w:eastAsia="Garamond" w:cs="Calibri Light"/>
            <w:sz w:val="18"/>
            <w:szCs w:val="18"/>
          </w:rPr>
          <w:t xml:space="preserve">. Presented at </w:t>
        </w:r>
        <w:r w:rsidRPr="00FB6152">
          <w:rPr>
            <w:rFonts w:eastAsia="Garamond" w:cs="Calibri Light"/>
            <w:sz w:val="18"/>
            <w:szCs w:val="18"/>
          </w:rPr>
          <w:t>ACEEE</w:t>
        </w:r>
        <w:r>
          <w:rPr>
            <w:rFonts w:eastAsia="Garamond" w:cs="Calibri Light"/>
            <w:sz w:val="18"/>
            <w:szCs w:val="18"/>
          </w:rPr>
          <w:t xml:space="preserve">’s </w:t>
        </w:r>
        <w:r w:rsidRPr="00A22387">
          <w:rPr>
            <w:rFonts w:eastAsia="Garamond" w:cs="Calibri Light"/>
            <w:sz w:val="18"/>
            <w:szCs w:val="18"/>
          </w:rPr>
          <w:t>2020 Summer Study on Energy Efficiency in Buildings</w:t>
        </w:r>
      </w:ins>
    </w:p>
  </w:footnote>
  <w:footnote w:id="31">
    <w:p w14:paraId="626A0B9D" w14:textId="46666D2C" w:rsidR="00A425FD" w:rsidRDefault="00A425FD" w:rsidP="00A425FD">
      <w:pPr>
        <w:pStyle w:val="FootnoteText"/>
        <w:rPr>
          <w:ins w:id="333" w:author="Danryd, Anders R" w:date="2021-11-17T11:16:00Z"/>
        </w:rPr>
      </w:pPr>
      <w:ins w:id="334" w:author="Danryd, Anders R" w:date="2021-11-17T11:16:00Z">
        <w:r>
          <w:rPr>
            <w:rStyle w:val="FootnoteReference"/>
          </w:rPr>
          <w:footnoteRef/>
        </w:r>
        <w:r>
          <w:t xml:space="preserve"> SoCalGas. 2021. “</w:t>
        </w:r>
      </w:ins>
      <w:ins w:id="335" w:author="Danryd, Anders R" w:date="2021-11-22T14:14:00Z">
        <w:r w:rsidR="00583868" w:rsidRPr="00583868">
          <w:t>SWHC039-04 Attach B - SCT Manufacturer Data and Analysis with 2019 SS Calc - Gas Savings</w:t>
        </w:r>
        <w:r w:rsidR="00583868">
          <w:t>.xl</w:t>
        </w:r>
      </w:ins>
      <w:ins w:id="336" w:author="Danryd, Anders R" w:date="2021-11-22T14:15:00Z">
        <w:r w:rsidR="00583868">
          <w:t>s</w:t>
        </w:r>
      </w:ins>
      <w:ins w:id="337" w:author="Danryd, Anders R" w:date="2021-11-22T14:14:00Z">
        <w:r w:rsidR="00583868">
          <w:t>x</w:t>
        </w:r>
      </w:ins>
      <w:ins w:id="338" w:author="Danryd, Anders R" w:date="2021-11-17T11:16:00Z">
        <w:r>
          <w:t>” Prepared for the California Public Utilities Commission. November 3, 2021.</w:t>
        </w:r>
      </w:ins>
    </w:p>
  </w:footnote>
  <w:footnote w:id="32">
    <w:p w14:paraId="4A8CA3B3" w14:textId="160C9DDD" w:rsidR="00583868" w:rsidRDefault="00583868" w:rsidP="00583868">
      <w:pPr>
        <w:pStyle w:val="FootnoteText"/>
      </w:pPr>
      <w:ins w:id="352" w:author="Danryd, Anders R" w:date="2021-11-22T14:08:00Z">
        <w:r>
          <w:rPr>
            <w:rStyle w:val="FootnoteReference"/>
          </w:rPr>
          <w:footnoteRef/>
        </w:r>
        <w:r>
          <w:t xml:space="preserve"> </w:t>
        </w:r>
      </w:ins>
      <w:ins w:id="353" w:author="Danryd, Anders R" w:date="2021-11-22T14:10:00Z">
        <w:r>
          <w:t>Google</w:t>
        </w:r>
      </w:ins>
      <w:ins w:id="354" w:author="Danryd, Anders R" w:date="2021-11-22T14:11:00Z">
        <w:r>
          <w:t>.</w:t>
        </w:r>
      </w:ins>
      <w:ins w:id="355" w:author="Danryd, Anders R" w:date="2021-11-22T14:10:00Z">
        <w:r>
          <w:t xml:space="preserve"> 2020</w:t>
        </w:r>
      </w:ins>
      <w:ins w:id="356" w:author="Danryd, Anders R" w:date="2021-11-22T14:11:00Z">
        <w:r>
          <w:t xml:space="preserve">. </w:t>
        </w:r>
        <w:r w:rsidRPr="00583868">
          <w:rPr>
            <w:i/>
            <w:iCs/>
          </w:rPr>
          <w:t>Seasonal Savings Impacts in Southern California Gas Territory Winter 2018/19</w:t>
        </w:r>
      </w:ins>
      <w:ins w:id="357" w:author="Danryd, Anders R" w:date="2021-11-22T14:12:00Z">
        <w:r>
          <w:t>.</w:t>
        </w:r>
      </w:ins>
      <w:ins w:id="358" w:author="Danryd, Anders R" w:date="2021-11-22T14:11:00Z">
        <w:r>
          <w:t xml:space="preserve"> Prepared for SoCalGas</w:t>
        </w:r>
      </w:ins>
      <w:ins w:id="359" w:author="Danryd, Anders R" w:date="2021-11-22T14:13:00Z">
        <w:r>
          <w:t xml:space="preserve"> Company</w:t>
        </w:r>
      </w:ins>
      <w:ins w:id="360" w:author="Danryd, Anders R" w:date="2021-11-22T14:12:00Z">
        <w:r>
          <w:t>.</w:t>
        </w:r>
      </w:ins>
      <w:ins w:id="361" w:author="Danryd, Anders R" w:date="2021-11-22T14:11:00Z">
        <w:r>
          <w:t xml:space="preserve"> January 13, 2020</w:t>
        </w:r>
      </w:ins>
    </w:p>
  </w:footnote>
  <w:footnote w:id="33">
    <w:p w14:paraId="6EC74570" w14:textId="56F1399C" w:rsidR="00583868" w:rsidRDefault="00583868">
      <w:pPr>
        <w:pStyle w:val="FootnoteText"/>
      </w:pPr>
      <w:ins w:id="364" w:author="Danryd, Anders R" w:date="2021-11-22T14:10:00Z">
        <w:r>
          <w:rPr>
            <w:rStyle w:val="FootnoteReference"/>
          </w:rPr>
          <w:footnoteRef/>
        </w:r>
        <w:r>
          <w:t xml:space="preserve"> </w:t>
        </w:r>
      </w:ins>
      <w:ins w:id="365" w:author="Danryd, Anders R" w:date="2021-11-22T14:11:00Z">
        <w:r>
          <w:t xml:space="preserve">Google. 2019. </w:t>
        </w:r>
      </w:ins>
      <w:ins w:id="366" w:author="Danryd, Anders R" w:date="2021-11-22T14:12:00Z">
        <w:r w:rsidRPr="00583868">
          <w:rPr>
            <w:i/>
            <w:iCs/>
          </w:rPr>
          <w:t>Seasonal Savings Impacts for Marin Clean Energy: Winter 2018/19</w:t>
        </w:r>
        <w:r>
          <w:t>. Prepared for Marin Clean Energy. September 26, 2019</w:t>
        </w:r>
      </w:ins>
    </w:p>
  </w:footnote>
  <w:footnote w:id="34">
    <w:p w14:paraId="6FE95683" w14:textId="77777777" w:rsidR="00266181" w:rsidRDefault="00266181" w:rsidP="00266181">
      <w:pPr>
        <w:pStyle w:val="FootnoteText"/>
        <w:rPr>
          <w:ins w:id="444" w:author="Danryd, Anders R" w:date="2021-11-17T10:55:00Z"/>
        </w:rPr>
      </w:pPr>
      <w:ins w:id="445" w:author="Danryd, Anders R" w:date="2021-11-17T10:55:00Z">
        <w:r w:rsidRPr="00FB6152">
          <w:rPr>
            <w:rStyle w:val="FootnoteReference"/>
            <w:rFonts w:cs="Calibri Light"/>
            <w:szCs w:val="18"/>
          </w:rPr>
          <w:footnoteRef/>
        </w:r>
        <w:r w:rsidRPr="00FB6152">
          <w:rPr>
            <w:rFonts w:cs="Calibri Light"/>
            <w:szCs w:val="18"/>
          </w:rPr>
          <w:t xml:space="preserve"> DNV GL. 2020. </w:t>
        </w:r>
        <w:r w:rsidRPr="00FB6152">
          <w:rPr>
            <w:rFonts w:cs="Calibri Light"/>
            <w:i/>
            <w:iCs/>
            <w:szCs w:val="18"/>
          </w:rPr>
          <w:t>Impact Evaluation of Smart Thermostats Residential Sector - Program Year 2018.</w:t>
        </w:r>
        <w:r w:rsidRPr="00FB6152">
          <w:rPr>
            <w:rFonts w:cs="Calibri Light"/>
            <w:szCs w:val="18"/>
          </w:rPr>
          <w:t xml:space="preserve"> Prepared for the California Public Utilities Commission. April 16, 2020.</w:t>
        </w:r>
      </w:ins>
    </w:p>
  </w:footnote>
  <w:footnote w:id="35">
    <w:p w14:paraId="65A8D5F9" w14:textId="77777777" w:rsidR="00266181" w:rsidRDefault="00266181" w:rsidP="00266181">
      <w:pPr>
        <w:pStyle w:val="FootnoteText"/>
        <w:rPr>
          <w:ins w:id="446" w:author="Danryd, Anders R" w:date="2021-11-17T10:55:00Z"/>
        </w:rPr>
      </w:pPr>
      <w:ins w:id="447" w:author="Danryd, Anders R" w:date="2021-11-17T10:55:00Z">
        <w:r>
          <w:rPr>
            <w:rStyle w:val="FootnoteReference"/>
          </w:rPr>
          <w:footnoteRef/>
        </w:r>
        <w:r>
          <w:t xml:space="preserve"> </w:t>
        </w:r>
        <w:r w:rsidRPr="00CE3F3C">
          <w:t>UNDERSTANDING MANUFACTURING ENERGY USE THROUGH STATISTICAL ANALYSIS, KELLY KISSOCK, et al.  Beginning in the 1980s, statistical modeling has been used to understand energy use in buildings. The Princeton Scorekeeping Method, PRISM, pioneered the practice of automatically fitting variable-base degree-day (VBDD) models to residential utility data (Fels, 1986; Fels et al. 1995). PRISM employs three primary types of statistical models: “heating only” (HO), “cooling only” (CO) and “heating and cooling” (HC). The heating-only and cooling-only models describe residential energy use in terms of three regression variables alpha, beta and tau, which also have physical significance in thermodynamic models of building energy use.</w:t>
        </w:r>
      </w:ins>
    </w:p>
  </w:footnote>
  <w:footnote w:id="36">
    <w:p w14:paraId="1925B15D" w14:textId="77777777" w:rsidR="00266181" w:rsidRDefault="00266181" w:rsidP="00266181">
      <w:pPr>
        <w:pStyle w:val="FootnoteText"/>
        <w:rPr>
          <w:ins w:id="448" w:author="Danryd, Anders R" w:date="2021-11-17T10:55:00Z"/>
        </w:rPr>
      </w:pPr>
      <w:ins w:id="449" w:author="Danryd, Anders R" w:date="2021-11-17T10:55:00Z">
        <w:r>
          <w:rPr>
            <w:rStyle w:val="FootnoteReference"/>
          </w:rPr>
          <w:footnoteRef/>
        </w:r>
        <w:r>
          <w:t xml:space="preserve"> DNV GL. 2020. </w:t>
        </w:r>
        <w:r w:rsidRPr="001F5FCE">
          <w:rPr>
            <w:i/>
            <w:iCs/>
          </w:rPr>
          <w:t>Impact Evaluation of Smart Thermostats Residential Sector - Program Year 2018</w:t>
        </w:r>
        <w:r>
          <w:rPr>
            <w:i/>
            <w:iCs/>
          </w:rPr>
          <w:t>.</w:t>
        </w:r>
        <w:r>
          <w:t xml:space="preserve"> Prepared for the California Public Utilities Commission. April 16, 2020.</w:t>
        </w:r>
      </w:ins>
    </w:p>
  </w:footnote>
  <w:footnote w:id="37">
    <w:p w14:paraId="5611F295" w14:textId="77777777" w:rsidR="00266181" w:rsidRPr="005B4ECB" w:rsidRDefault="00266181" w:rsidP="00266181">
      <w:pPr>
        <w:pStyle w:val="FootnoteText"/>
        <w:jc w:val="both"/>
        <w:rPr>
          <w:ins w:id="453" w:author="Danryd, Anders R" w:date="2021-11-17T10:55:00Z"/>
        </w:rPr>
      </w:pPr>
      <w:ins w:id="454" w:author="Danryd, Anders R" w:date="2021-11-17T10:55:00Z">
        <w:r>
          <w:rPr>
            <w:rStyle w:val="FootnoteReference"/>
          </w:rPr>
          <w:footnoteRef/>
        </w:r>
        <w:r>
          <w:t xml:space="preserve"> DNV GL, on behalf of CPUC. 2020. “</w:t>
        </w:r>
        <w:r w:rsidRPr="002C2D46">
          <w:rPr>
            <w:i/>
            <w:iCs/>
          </w:rPr>
          <w:t>SCT Workpaper Plan - Next Steps</w:t>
        </w:r>
        <w:r>
          <w:rPr>
            <w:i/>
            <w:iCs/>
          </w:rPr>
          <w:t>”.</w:t>
        </w:r>
        <w:r w:rsidRPr="005B4ECB">
          <w:t xml:space="preserve"> </w:t>
        </w:r>
        <w:r>
          <w:t>Email from Ken Agnew to IOUs</w:t>
        </w:r>
        <w:r>
          <w:rPr>
            <w:i/>
            <w:iCs/>
          </w:rPr>
          <w:t xml:space="preserve">. </w:t>
        </w:r>
        <w:r>
          <w:t>June 4. Attached as file “</w:t>
        </w:r>
        <w:r w:rsidRPr="005B4ECB">
          <w:t>SWHC039-03 NTG and DnDeemed Savings Email.pdf</w:t>
        </w:r>
        <w:r>
          <w:t>”</w:t>
        </w:r>
      </w:ins>
    </w:p>
  </w:footnote>
  <w:footnote w:id="38">
    <w:p w14:paraId="09942802" w14:textId="77777777" w:rsidR="00266181" w:rsidRDefault="00266181" w:rsidP="00266181">
      <w:pPr>
        <w:pStyle w:val="FootnoteText"/>
        <w:rPr>
          <w:ins w:id="455" w:author="Danryd, Anders R" w:date="2021-11-17T10:55:00Z"/>
        </w:rPr>
      </w:pPr>
      <w:ins w:id="456" w:author="Danryd, Anders R" w:date="2021-11-17T10:55:00Z">
        <w:r>
          <w:rPr>
            <w:rStyle w:val="FootnoteReference"/>
          </w:rPr>
          <w:footnoteRef/>
        </w:r>
        <w:r>
          <w:t xml:space="preserve"> DNV GL, on behalf of CPUC. 2020. “</w:t>
        </w:r>
        <w:r w:rsidRPr="002C2D46">
          <w:rPr>
            <w:i/>
            <w:iCs/>
          </w:rPr>
          <w:t>SCT Workpaper Plan - Next Steps</w:t>
        </w:r>
        <w:r>
          <w:rPr>
            <w:i/>
            <w:iCs/>
          </w:rPr>
          <w:t>”.</w:t>
        </w:r>
        <w:r w:rsidRPr="005B4ECB">
          <w:t xml:space="preserve"> </w:t>
        </w:r>
        <w:r>
          <w:t>Email from Ken Agnew to IOUs</w:t>
        </w:r>
        <w:r>
          <w:rPr>
            <w:i/>
            <w:iCs/>
          </w:rPr>
          <w:t xml:space="preserve">. </w:t>
        </w:r>
        <w:r>
          <w:t>June 4. Attached as file “</w:t>
        </w:r>
        <w:r w:rsidRPr="005B4ECB">
          <w:t>SWHC039-03 NTG and DnDeemed Savings Email.pdf</w:t>
        </w:r>
        <w:r>
          <w:t>”</w:t>
        </w:r>
      </w:ins>
    </w:p>
  </w:footnote>
  <w:footnote w:id="39">
    <w:p w14:paraId="13CF7B18" w14:textId="77777777" w:rsidR="00266181" w:rsidRDefault="00266181" w:rsidP="00266181">
      <w:pPr>
        <w:pStyle w:val="FootnoteText"/>
        <w:rPr>
          <w:ins w:id="470" w:author="Danryd, Anders R" w:date="2021-11-17T10:55:00Z"/>
        </w:rPr>
      </w:pPr>
      <w:ins w:id="471" w:author="Danryd, Anders R" w:date="2021-11-17T10:55:00Z">
        <w:r>
          <w:rPr>
            <w:rStyle w:val="FootnoteReference"/>
          </w:rPr>
          <w:footnoteRef/>
        </w:r>
        <w:r>
          <w:t xml:space="preserve"> </w:t>
        </w:r>
        <w:r w:rsidRPr="00FB6152">
          <w:rPr>
            <w:rFonts w:cs="Calibri Light"/>
            <w:szCs w:val="18"/>
          </w:rPr>
          <w:t xml:space="preserve">DNV GL. 2020. </w:t>
        </w:r>
        <w:r w:rsidRPr="00FB6152">
          <w:rPr>
            <w:rFonts w:cs="Calibri Light"/>
            <w:i/>
            <w:iCs/>
            <w:szCs w:val="18"/>
          </w:rPr>
          <w:t>Impact Evaluation of Smart Thermostats Residential Sector - Program Year 2018</w:t>
        </w:r>
        <w:r>
          <w:rPr>
            <w:rFonts w:cs="Calibri Light"/>
            <w:i/>
            <w:iCs/>
            <w:szCs w:val="18"/>
          </w:rPr>
          <w:t>, Table 5-4</w:t>
        </w:r>
        <w:r w:rsidRPr="00FB6152">
          <w:rPr>
            <w:rFonts w:cs="Calibri Light"/>
            <w:i/>
            <w:iCs/>
            <w:szCs w:val="18"/>
          </w:rPr>
          <w:t>.</w:t>
        </w:r>
        <w:r w:rsidRPr="00FB6152">
          <w:rPr>
            <w:rFonts w:cs="Calibri Light"/>
            <w:szCs w:val="18"/>
          </w:rPr>
          <w:t xml:space="preserve"> Prepared for the California Public Utilities Commission. April 16, 2020.</w:t>
        </w:r>
      </w:ins>
    </w:p>
  </w:footnote>
  <w:footnote w:id="40">
    <w:p w14:paraId="19B1FB32" w14:textId="12603668" w:rsidR="00266181" w:rsidRDefault="00266181" w:rsidP="00266181">
      <w:pPr>
        <w:pStyle w:val="FootnoteText"/>
        <w:rPr>
          <w:ins w:id="472" w:author="Danryd, Anders R" w:date="2021-11-17T10:55:00Z"/>
        </w:rPr>
      </w:pPr>
      <w:ins w:id="473" w:author="Danryd, Anders R" w:date="2021-11-17T10:55:00Z">
        <w:r>
          <w:rPr>
            <w:rStyle w:val="FootnoteReference"/>
          </w:rPr>
          <w:footnoteRef/>
        </w:r>
        <w:r>
          <w:t xml:space="preserve"> Southern California Edison (SCE). 2021. “</w:t>
        </w:r>
        <w:r w:rsidRPr="00FB3BBF">
          <w:t>SWHC039-04 MeasureDataSpec_</w:t>
        </w:r>
      </w:ins>
      <w:ins w:id="474" w:author="Danryd, Anders R" w:date="2021-11-17T11:07:00Z">
        <w:r w:rsidR="00111727">
          <w:t>11</w:t>
        </w:r>
      </w:ins>
      <w:ins w:id="475" w:author="Danryd, Anders R" w:date="2021-11-17T10:55:00Z">
        <w:r w:rsidRPr="00FB3BBF">
          <w:t>-</w:t>
        </w:r>
      </w:ins>
      <w:ins w:id="476" w:author="Danryd, Anders R" w:date="2021-11-17T11:07:00Z">
        <w:r w:rsidR="00111727">
          <w:t>17</w:t>
        </w:r>
      </w:ins>
      <w:ins w:id="477" w:author="Danryd, Anders R" w:date="2021-11-17T10:55:00Z">
        <w:r w:rsidRPr="00FB3BBF">
          <w:t>-21.xlsm</w:t>
        </w:r>
        <w:r>
          <w:t>.”, DSD Savings tab.</w:t>
        </w:r>
      </w:ins>
    </w:p>
  </w:footnote>
  <w:footnote w:id="41">
    <w:p w14:paraId="76757C06" w14:textId="570CFAA9" w:rsidR="00170BC7" w:rsidRDefault="00170BC7">
      <w:pPr>
        <w:pStyle w:val="FootnoteText"/>
      </w:pPr>
      <w:r>
        <w:rPr>
          <w:rStyle w:val="FootnoteReference"/>
        </w:rPr>
        <w:footnoteRef/>
      </w:r>
      <w:r>
        <w:t xml:space="preserve"> California Public Utilities Commission (CPUC). 2006. </w:t>
      </w:r>
      <w:r w:rsidRPr="0081735D">
        <w:rPr>
          <w:i/>
          <w:iCs/>
        </w:rPr>
        <w:t xml:space="preserve">California Energy Efficiency Evaluation Protocols: Technical, Methodological, and Reporting Requirements for Evaluation Professionals. </w:t>
      </w:r>
      <w:r>
        <w:t>Prepared by the TecMarketWorks Team.</w:t>
      </w:r>
    </w:p>
  </w:footnote>
  <w:footnote w:id="42">
    <w:p w14:paraId="3E519322" w14:textId="16AC53E9" w:rsidR="00170BC7" w:rsidRDefault="00170BC7">
      <w:pPr>
        <w:pStyle w:val="FootnoteText"/>
      </w:pPr>
      <w:r>
        <w:rPr>
          <w:rStyle w:val="FootnoteReference"/>
        </w:rPr>
        <w:footnoteRef/>
      </w:r>
      <w:r>
        <w:t xml:space="preserve"> Cadmus Group. 2019. “EUL analysis of Residential Smart Communicating Thermostat – Vendor A and B.” Memorandum to Andres Fergadiotti and Cassie Cuaresma, Southern California Edison. February 1.</w:t>
      </w:r>
    </w:p>
  </w:footnote>
  <w:footnote w:id="43">
    <w:p w14:paraId="68DA4FBF" w14:textId="5583FA15" w:rsidR="00170BC7" w:rsidRDefault="00170BC7">
      <w:pPr>
        <w:pStyle w:val="FootnoteText"/>
      </w:pPr>
      <w:r>
        <w:rPr>
          <w:rStyle w:val="FootnoteReference"/>
        </w:rPr>
        <w:footnoteRef/>
      </w:r>
      <w:r>
        <w:t xml:space="preserve"> </w:t>
      </w:r>
      <w:r w:rsidRPr="000A4C01">
        <w:rPr>
          <w:szCs w:val="18"/>
        </w:rPr>
        <w:t>California Public Utilities Commission (CPUC). 20</w:t>
      </w:r>
      <w:r>
        <w:rPr>
          <w:szCs w:val="18"/>
        </w:rPr>
        <w:t>20</w:t>
      </w:r>
      <w:r w:rsidRPr="000A4C01">
        <w:rPr>
          <w:szCs w:val="18"/>
        </w:rPr>
        <w:t>. “</w:t>
      </w:r>
      <w:r w:rsidRPr="00357263">
        <w:rPr>
          <w:szCs w:val="18"/>
        </w:rPr>
        <w:t>SupportTable_EUL</w:t>
      </w:r>
      <w:r>
        <w:rPr>
          <w:szCs w:val="18"/>
        </w:rPr>
        <w:t>.CSV</w:t>
      </w:r>
      <w:r w:rsidRPr="000A4C01">
        <w:rPr>
          <w:szCs w:val="18"/>
        </w:rPr>
        <w:t>.”</w:t>
      </w:r>
      <w:r>
        <w:rPr>
          <w:szCs w:val="18"/>
        </w:rPr>
        <w:t xml:space="preserve"> Obtained from PEAR database.</w:t>
      </w:r>
    </w:p>
  </w:footnote>
  <w:footnote w:id="44">
    <w:p w14:paraId="21475240" w14:textId="68DA05FB" w:rsidR="00170BC7" w:rsidRDefault="00170BC7">
      <w:pPr>
        <w:pStyle w:val="FootnoteText"/>
      </w:pPr>
      <w:r>
        <w:rPr>
          <w:rStyle w:val="FootnoteReference"/>
        </w:rPr>
        <w:footnoteRef/>
      </w:r>
      <w:r>
        <w:t xml:space="preserve"> Southern California Edison (SCE). 2020. “</w:t>
      </w:r>
      <w:r w:rsidRPr="00E0445C">
        <w:t>SWHC039-03 Smart Tstat Cost 5-18-20_CONFIDENTIAL</w:t>
      </w:r>
      <w:r>
        <w:t>” Proprietary data.</w:t>
      </w:r>
    </w:p>
  </w:footnote>
  <w:footnote w:id="45">
    <w:p w14:paraId="264E6340" w14:textId="0125E2A0" w:rsidR="00170BC7" w:rsidRDefault="00170BC7">
      <w:pPr>
        <w:pStyle w:val="FootnoteText"/>
      </w:pPr>
      <w:r>
        <w:rPr>
          <w:rStyle w:val="FootnoteReference"/>
        </w:rPr>
        <w:footnoteRef/>
      </w:r>
      <w:r>
        <w:t xml:space="preserve"> DNV GL. 2021. </w:t>
      </w:r>
      <w:r w:rsidRPr="001F5FCE">
        <w:rPr>
          <w:i/>
          <w:iCs/>
        </w:rPr>
        <w:t>Impact Evaluation of Smart Thermostats Residential Sector - Program Year 201</w:t>
      </w:r>
      <w:r>
        <w:rPr>
          <w:i/>
          <w:iCs/>
        </w:rPr>
        <w:t>9. Table 2-6.</w:t>
      </w:r>
      <w:r>
        <w:t xml:space="preserve"> Prepared for the California Public Utilities Commission. June 16, 2021.</w:t>
      </w:r>
    </w:p>
  </w:footnote>
  <w:footnote w:id="46">
    <w:p w14:paraId="2631C636" w14:textId="20DA3BB1" w:rsidR="00170BC7" w:rsidRDefault="00170BC7">
      <w:pPr>
        <w:pStyle w:val="FootnoteText"/>
      </w:pPr>
      <w:r>
        <w:rPr>
          <w:rStyle w:val="FootnoteReference"/>
        </w:rPr>
        <w:footnoteRef/>
      </w:r>
      <w:r>
        <w:t xml:space="preserve"> Southern California Edison (SCE). 2020. “</w:t>
      </w:r>
      <w:r w:rsidRPr="00E0445C">
        <w:t>SWHC039-03 Smart Tstat Cost 5-18-20_CONFIDENTIAL</w:t>
      </w:r>
      <w:r>
        <w:t>.”</w:t>
      </w:r>
    </w:p>
  </w:footnote>
  <w:footnote w:id="47">
    <w:p w14:paraId="3B777FE5" w14:textId="70B2E9A6" w:rsidR="00170BC7" w:rsidRDefault="00170BC7">
      <w:pPr>
        <w:pStyle w:val="FootnoteText"/>
      </w:pPr>
      <w:r>
        <w:rPr>
          <w:rStyle w:val="FootnoteReference"/>
        </w:rPr>
        <w:footnoteRef/>
      </w:r>
      <w:r>
        <w:t xml:space="preserve"> Southern California Edison (SCE). 2020. “</w:t>
      </w:r>
      <w:r w:rsidRPr="00E0445C">
        <w:t>SWHC039-03 Smart Tstat Cost 5-18-20_CONFIDENTIAL</w:t>
      </w:r>
      <w:r>
        <w:t>.”</w:t>
      </w:r>
      <w:r w:rsidDel="006F6C1B">
        <w:t xml:space="preserve"> </w:t>
      </w:r>
    </w:p>
  </w:footnote>
  <w:footnote w:id="48">
    <w:p w14:paraId="49A84C62" w14:textId="03B1ED18" w:rsidR="00170BC7" w:rsidRDefault="00170BC7">
      <w:pPr>
        <w:pStyle w:val="FootnoteText"/>
      </w:pPr>
      <w:r>
        <w:rPr>
          <w:rStyle w:val="FootnoteReference"/>
        </w:rPr>
        <w:footnoteRef/>
      </w:r>
      <w:r>
        <w:t xml:space="preserve"> </w:t>
      </w:r>
      <w:r w:rsidRPr="00873146">
        <w:t>20</w:t>
      </w:r>
      <w:r>
        <w:t>21</w:t>
      </w:r>
      <w:r w:rsidRPr="00873146">
        <w:t xml:space="preserve"> RSMeans </w:t>
      </w:r>
      <w:r>
        <w:t>Electrical</w:t>
      </w:r>
      <w:r w:rsidRPr="00873146">
        <w:t xml:space="preserve"> Cost Data</w:t>
      </w:r>
    </w:p>
  </w:footnote>
  <w:footnote w:id="49">
    <w:p w14:paraId="5309D4A9" w14:textId="5BE16259" w:rsidR="00170BC7" w:rsidRDefault="00170BC7">
      <w:pPr>
        <w:pStyle w:val="FootnoteText"/>
      </w:pPr>
      <w:r>
        <w:rPr>
          <w:rStyle w:val="FootnoteReference"/>
        </w:rPr>
        <w:footnoteRef/>
      </w:r>
      <w:r>
        <w:t xml:space="preserve"> </w:t>
      </w:r>
      <w:r w:rsidRPr="00873146">
        <w:t xml:space="preserve">RSMeans </w:t>
      </w:r>
      <w:r>
        <w:t>Residential Labor Rates, “</w:t>
      </w:r>
      <w:r w:rsidRPr="00185107">
        <w:t>https://www.rsmeansonline.com/References/LABORRATE/2-Year%202021%20Labor%20Rates/Residential%20Labor%20Rates.PDF</w:t>
      </w:r>
      <w:r w:rsidRPr="00873146">
        <w:t>”</w:t>
      </w:r>
    </w:p>
  </w:footnote>
  <w:footnote w:id="50">
    <w:p w14:paraId="37EA05F2" w14:textId="7D5D3348" w:rsidR="00170BC7" w:rsidRDefault="00170BC7">
      <w:pPr>
        <w:pStyle w:val="FootnoteText"/>
      </w:pPr>
      <w:r>
        <w:rPr>
          <w:rStyle w:val="FootnoteReference"/>
        </w:rPr>
        <w:footnoteRef/>
      </w:r>
      <w:r>
        <w:t xml:space="preserve"> </w:t>
      </w:r>
      <w:r w:rsidRPr="005F1955">
        <w:t xml:space="preserve">RSMeans Historical Cost Index </w:t>
      </w:r>
      <w:r>
        <w:t>“</w:t>
      </w:r>
      <w:r w:rsidRPr="00185107">
        <w:t>https://www.rsmeansonline.com/References/CCI/3-Historical%20Cost%20Indexes/3-Historical%20Cost%20Indexes.PDF</w:t>
      </w:r>
      <w:r>
        <w:t>”</w:t>
      </w:r>
    </w:p>
  </w:footnote>
  <w:footnote w:id="51">
    <w:p w14:paraId="3BE86216" w14:textId="4671F271" w:rsidR="00170BC7" w:rsidRPr="001B2045" w:rsidRDefault="00170BC7">
      <w:pPr>
        <w:pStyle w:val="FootnoteText"/>
      </w:pPr>
      <w:r>
        <w:rPr>
          <w:rStyle w:val="FootnoteReference"/>
        </w:rPr>
        <w:footnoteRef/>
      </w:r>
      <w:r>
        <w:t xml:space="preserve"> DNV GL. 2020. </w:t>
      </w:r>
      <w:r w:rsidRPr="002C2D46">
        <w:rPr>
          <w:i/>
          <w:iCs/>
        </w:rPr>
        <w:t>Impact Evaluation of Smart Thermostats Residential Sector - Program Year 201</w:t>
      </w:r>
      <w:r>
        <w:rPr>
          <w:i/>
          <w:iCs/>
        </w:rPr>
        <w:t>9.</w:t>
      </w:r>
      <w:r>
        <w:t xml:space="preserve"> Prepared for the California Public Utilities Commission. June 16, 2021.</w:t>
      </w:r>
    </w:p>
  </w:footnote>
  <w:footnote w:id="52">
    <w:p w14:paraId="009E3ADC" w14:textId="70BEA5E6" w:rsidR="00170BC7" w:rsidRDefault="00170BC7">
      <w:pPr>
        <w:pStyle w:val="FootnoteText"/>
      </w:pPr>
      <w:r>
        <w:rPr>
          <w:rStyle w:val="FootnoteReference"/>
        </w:rPr>
        <w:footnoteRef/>
      </w:r>
      <w:r>
        <w:t xml:space="preserve"> DNV GL. 2021.</w:t>
      </w:r>
      <w:r w:rsidRPr="00A90AAA">
        <w:t xml:space="preserve"> </w:t>
      </w:r>
      <w:r w:rsidRPr="00A90AAA">
        <w:rPr>
          <w:i/>
          <w:iCs/>
        </w:rPr>
        <w:t>Draft Response to SWHC039-04 Res SCT WPP</w:t>
      </w:r>
      <w:r>
        <w:t>. “</w:t>
      </w:r>
      <w:r w:rsidRPr="00A90AAA">
        <w:t>CPUCComm_SWHC039-04 Res SCT WPP 7-20-2021.docx</w:t>
      </w:r>
      <w:r>
        <w:t>.” Prepared for the California Public Utilities Commission. June 20,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170BC7" w:rsidRPr="000220A0" w:rsidRDefault="00170BC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1B9C1F3" w:rsidR="00170BC7" w:rsidRDefault="00170BC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0BBA2503" w14:textId="77777777" w:rsidR="00170BC7" w:rsidRDefault="00170B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170BC7" w:rsidRDefault="00170BC7" w:rsidP="00BD221D">
    <w:pPr>
      <w:jc w:val="center"/>
    </w:pPr>
  </w:p>
  <w:p w14:paraId="342310D5" w14:textId="5BACBCD8" w:rsidR="00170BC7" w:rsidRDefault="00170BC7" w:rsidP="00BD221D">
    <w:pPr>
      <w:jc w:val="center"/>
    </w:pPr>
    <w:r>
      <w:rPr>
        <w:noProof/>
      </w:rPr>
      <w:drawing>
        <wp:inline distT="0" distB="0" distL="0" distR="0" wp14:anchorId="4B2AF0A8" wp14:editId="7258E71E">
          <wp:extent cx="937307" cy="1405961"/>
          <wp:effectExtent l="0" t="0" r="2540" b="0"/>
          <wp:docPr id="20" name="Picture 2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9012C" w14:textId="0B7676D3" w:rsidR="00170BC7" w:rsidRDefault="00170BC7" w:rsidP="00986C3B">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Smart Thermostat, Residential</w:t>
    </w:r>
  </w:p>
  <w:p w14:paraId="2AC97B25" w14:textId="77777777" w:rsidR="00170BC7" w:rsidRDefault="00170BC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170BC7" w:rsidRDefault="00170B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85236"/>
    <w:multiLevelType w:val="hybridMultilevel"/>
    <w:tmpl w:val="C5AE3A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9D2EF0"/>
    <w:multiLevelType w:val="hybridMultilevel"/>
    <w:tmpl w:val="D0E8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8C1839"/>
    <w:multiLevelType w:val="hybridMultilevel"/>
    <w:tmpl w:val="1C2C2D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7" w15:restartNumberingAfterBreak="0">
    <w:nsid w:val="6B4513F6"/>
    <w:multiLevelType w:val="hybridMultilevel"/>
    <w:tmpl w:val="DB282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10"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1" w15:restartNumberingAfterBreak="0">
    <w:nsid w:val="76961D01"/>
    <w:multiLevelType w:val="multilevel"/>
    <w:tmpl w:val="96E09F54"/>
    <w:lvl w:ilvl="0">
      <w:start w:val="1"/>
      <w:numFmt w:val="bullet"/>
      <w:pStyle w:val="eTRMBulletedTex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num w:numId="1">
    <w:abstractNumId w:val="9"/>
  </w:num>
  <w:num w:numId="2">
    <w:abstractNumId w:val="10"/>
  </w:num>
  <w:num w:numId="3">
    <w:abstractNumId w:val="6"/>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8"/>
  </w:num>
  <w:num w:numId="5">
    <w:abstractNumId w:val="2"/>
  </w:num>
  <w:num w:numId="6">
    <w:abstractNumId w:val="11"/>
  </w:num>
  <w:num w:numId="7">
    <w:abstractNumId w:val="3"/>
  </w:num>
  <w:num w:numId="8">
    <w:abstractNumId w:val="7"/>
  </w:num>
  <w:num w:numId="9">
    <w:abstractNumId w:val="1"/>
  </w:num>
  <w:num w:numId="10">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Casco, Lake">
    <w15:presenceInfo w15:providerId="AD" w15:userId="S::LCasco@trcsolutions.com::bdb7c833-354e-491a-a4da-9b24e0e39b96"/>
  </w15:person>
  <w15:person w15:author="Cun, Jeff S">
    <w15:presenceInfo w15:providerId="AD" w15:userId="S::JCun@socalgas.com::5dd0a2a9-a9be-415a-8a13-3f089dfbf185"/>
  </w15:person>
  <w15:person w15:author="Andres Fergadiotti">
    <w15:presenceInfo w15:providerId="AD" w15:userId="S::Andres.Fergadiotti@sce.com::b78468b7-5b58-4f0b-b2a0-b674233e54e9"/>
  </w15:person>
  <w15:person w15:author="Biermayer, Peter">
    <w15:presenceInfo w15:providerId="AD" w15:userId="S::Peter.Biermayer@cpuc.ca.gov::4724b598-1eee-4f13-bcfc-9ecc72fe61c4"/>
  </w15:person>
  <w15:person w15:author="Danryd, Anders R">
    <w15:presenceInfo w15:providerId="AD" w15:userId="S::ADanryd@socalgas.com::02ec6989-0655-4eda-ba72-55c72fb16820"/>
  </w15:person>
  <w15:person w15:author="Richard, Kerri-Ann">
    <w15:presenceInfo w15:providerId="AD" w15:userId="S::Kerri-Ann.Richard@dnv.com::33bce327-3970-48de-835c-9d94c20c3a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064"/>
    <w:rsid w:val="00003C9A"/>
    <w:rsid w:val="00005129"/>
    <w:rsid w:val="000055F1"/>
    <w:rsid w:val="00005B06"/>
    <w:rsid w:val="000063B0"/>
    <w:rsid w:val="0001009E"/>
    <w:rsid w:val="000110D9"/>
    <w:rsid w:val="000111AF"/>
    <w:rsid w:val="00016085"/>
    <w:rsid w:val="0001609E"/>
    <w:rsid w:val="00016928"/>
    <w:rsid w:val="00021759"/>
    <w:rsid w:val="000220A0"/>
    <w:rsid w:val="000229F1"/>
    <w:rsid w:val="0002389A"/>
    <w:rsid w:val="00024B33"/>
    <w:rsid w:val="00026D58"/>
    <w:rsid w:val="000302DF"/>
    <w:rsid w:val="00031184"/>
    <w:rsid w:val="00033DF6"/>
    <w:rsid w:val="00037A06"/>
    <w:rsid w:val="000433BE"/>
    <w:rsid w:val="00044430"/>
    <w:rsid w:val="00044663"/>
    <w:rsid w:val="00046676"/>
    <w:rsid w:val="00046BB0"/>
    <w:rsid w:val="00050909"/>
    <w:rsid w:val="00051DBB"/>
    <w:rsid w:val="00052143"/>
    <w:rsid w:val="00052C95"/>
    <w:rsid w:val="000530E4"/>
    <w:rsid w:val="00053C10"/>
    <w:rsid w:val="0005587A"/>
    <w:rsid w:val="00056403"/>
    <w:rsid w:val="00061D34"/>
    <w:rsid w:val="000621A8"/>
    <w:rsid w:val="00065E54"/>
    <w:rsid w:val="000672E5"/>
    <w:rsid w:val="00074E3E"/>
    <w:rsid w:val="00075C55"/>
    <w:rsid w:val="000767E9"/>
    <w:rsid w:val="00077FF3"/>
    <w:rsid w:val="0008002B"/>
    <w:rsid w:val="0008108C"/>
    <w:rsid w:val="000841AA"/>
    <w:rsid w:val="00085726"/>
    <w:rsid w:val="00087FD4"/>
    <w:rsid w:val="00090BBF"/>
    <w:rsid w:val="000910B7"/>
    <w:rsid w:val="00091581"/>
    <w:rsid w:val="000943A0"/>
    <w:rsid w:val="00094517"/>
    <w:rsid w:val="00096485"/>
    <w:rsid w:val="00096C5B"/>
    <w:rsid w:val="000978C8"/>
    <w:rsid w:val="000A0789"/>
    <w:rsid w:val="000A136E"/>
    <w:rsid w:val="000A270E"/>
    <w:rsid w:val="000A40A8"/>
    <w:rsid w:val="000A4D3A"/>
    <w:rsid w:val="000A5C07"/>
    <w:rsid w:val="000A5FC9"/>
    <w:rsid w:val="000A62EF"/>
    <w:rsid w:val="000A66B7"/>
    <w:rsid w:val="000A7058"/>
    <w:rsid w:val="000B139B"/>
    <w:rsid w:val="000B34D9"/>
    <w:rsid w:val="000B6004"/>
    <w:rsid w:val="000B7A2E"/>
    <w:rsid w:val="000C12C5"/>
    <w:rsid w:val="000C36B4"/>
    <w:rsid w:val="000C4BDE"/>
    <w:rsid w:val="000C5378"/>
    <w:rsid w:val="000C72C1"/>
    <w:rsid w:val="000C7B77"/>
    <w:rsid w:val="000D23FE"/>
    <w:rsid w:val="000E0244"/>
    <w:rsid w:val="000E044A"/>
    <w:rsid w:val="000E12CA"/>
    <w:rsid w:val="000E1D72"/>
    <w:rsid w:val="000E3FF6"/>
    <w:rsid w:val="000E674F"/>
    <w:rsid w:val="000F1833"/>
    <w:rsid w:val="000F574B"/>
    <w:rsid w:val="000F5FC7"/>
    <w:rsid w:val="000F7624"/>
    <w:rsid w:val="00103399"/>
    <w:rsid w:val="00103C45"/>
    <w:rsid w:val="0010471F"/>
    <w:rsid w:val="00104933"/>
    <w:rsid w:val="00106418"/>
    <w:rsid w:val="0010657B"/>
    <w:rsid w:val="00111727"/>
    <w:rsid w:val="00111A53"/>
    <w:rsid w:val="0011498C"/>
    <w:rsid w:val="00114B65"/>
    <w:rsid w:val="00120592"/>
    <w:rsid w:val="001217DF"/>
    <w:rsid w:val="0012187D"/>
    <w:rsid w:val="00124BFE"/>
    <w:rsid w:val="00125561"/>
    <w:rsid w:val="00126121"/>
    <w:rsid w:val="00126809"/>
    <w:rsid w:val="00126B25"/>
    <w:rsid w:val="001311F3"/>
    <w:rsid w:val="00131C5A"/>
    <w:rsid w:val="001328DC"/>
    <w:rsid w:val="00141AD7"/>
    <w:rsid w:val="00142D3C"/>
    <w:rsid w:val="00144103"/>
    <w:rsid w:val="00144158"/>
    <w:rsid w:val="001451AB"/>
    <w:rsid w:val="00145363"/>
    <w:rsid w:val="001474D9"/>
    <w:rsid w:val="001501B3"/>
    <w:rsid w:val="00151B9F"/>
    <w:rsid w:val="00153BB7"/>
    <w:rsid w:val="00154391"/>
    <w:rsid w:val="00155BC5"/>
    <w:rsid w:val="001564FC"/>
    <w:rsid w:val="00157985"/>
    <w:rsid w:val="00161DF1"/>
    <w:rsid w:val="0016413D"/>
    <w:rsid w:val="001648F6"/>
    <w:rsid w:val="00166375"/>
    <w:rsid w:val="00170BC7"/>
    <w:rsid w:val="00171436"/>
    <w:rsid w:val="00171951"/>
    <w:rsid w:val="00171BB8"/>
    <w:rsid w:val="00174707"/>
    <w:rsid w:val="00176386"/>
    <w:rsid w:val="00176929"/>
    <w:rsid w:val="00177EB6"/>
    <w:rsid w:val="00180DAD"/>
    <w:rsid w:val="00181672"/>
    <w:rsid w:val="00181E01"/>
    <w:rsid w:val="0018479E"/>
    <w:rsid w:val="00185107"/>
    <w:rsid w:val="00185278"/>
    <w:rsid w:val="001944A0"/>
    <w:rsid w:val="001944B4"/>
    <w:rsid w:val="001959B0"/>
    <w:rsid w:val="00195B03"/>
    <w:rsid w:val="00196649"/>
    <w:rsid w:val="00197778"/>
    <w:rsid w:val="001978A8"/>
    <w:rsid w:val="001A0E79"/>
    <w:rsid w:val="001A11C7"/>
    <w:rsid w:val="001A4BE1"/>
    <w:rsid w:val="001A7A21"/>
    <w:rsid w:val="001B092E"/>
    <w:rsid w:val="001B0D29"/>
    <w:rsid w:val="001B113B"/>
    <w:rsid w:val="001B1D23"/>
    <w:rsid w:val="001B2045"/>
    <w:rsid w:val="001B231A"/>
    <w:rsid w:val="001B426F"/>
    <w:rsid w:val="001B629E"/>
    <w:rsid w:val="001B6649"/>
    <w:rsid w:val="001B680B"/>
    <w:rsid w:val="001C1D6F"/>
    <w:rsid w:val="001C2ACE"/>
    <w:rsid w:val="001C4992"/>
    <w:rsid w:val="001C6C9B"/>
    <w:rsid w:val="001C6D93"/>
    <w:rsid w:val="001C7134"/>
    <w:rsid w:val="001C7348"/>
    <w:rsid w:val="001C7711"/>
    <w:rsid w:val="001D0318"/>
    <w:rsid w:val="001D44FB"/>
    <w:rsid w:val="001D4B37"/>
    <w:rsid w:val="001D5907"/>
    <w:rsid w:val="001D656F"/>
    <w:rsid w:val="001D65A6"/>
    <w:rsid w:val="001D7A57"/>
    <w:rsid w:val="001E0138"/>
    <w:rsid w:val="001E19A3"/>
    <w:rsid w:val="001E2380"/>
    <w:rsid w:val="001E2A08"/>
    <w:rsid w:val="001E4C3F"/>
    <w:rsid w:val="001E4C90"/>
    <w:rsid w:val="001E6273"/>
    <w:rsid w:val="001F00E9"/>
    <w:rsid w:val="001F571C"/>
    <w:rsid w:val="001F735E"/>
    <w:rsid w:val="001F73BB"/>
    <w:rsid w:val="002005A8"/>
    <w:rsid w:val="002006B6"/>
    <w:rsid w:val="002031BB"/>
    <w:rsid w:val="00203ECA"/>
    <w:rsid w:val="00205BAF"/>
    <w:rsid w:val="00207A97"/>
    <w:rsid w:val="00207F85"/>
    <w:rsid w:val="002112B3"/>
    <w:rsid w:val="0021226A"/>
    <w:rsid w:val="0021230E"/>
    <w:rsid w:val="0021746B"/>
    <w:rsid w:val="0022440E"/>
    <w:rsid w:val="00224A16"/>
    <w:rsid w:val="00224AC5"/>
    <w:rsid w:val="00225142"/>
    <w:rsid w:val="00226694"/>
    <w:rsid w:val="00226FB8"/>
    <w:rsid w:val="00227BDD"/>
    <w:rsid w:val="00227FB9"/>
    <w:rsid w:val="002318A4"/>
    <w:rsid w:val="002335FF"/>
    <w:rsid w:val="00233D87"/>
    <w:rsid w:val="0023666C"/>
    <w:rsid w:val="00236692"/>
    <w:rsid w:val="00236E0A"/>
    <w:rsid w:val="00237964"/>
    <w:rsid w:val="002434DE"/>
    <w:rsid w:val="0024462C"/>
    <w:rsid w:val="002450C9"/>
    <w:rsid w:val="00245AFF"/>
    <w:rsid w:val="0024628D"/>
    <w:rsid w:val="0024690E"/>
    <w:rsid w:val="0024727A"/>
    <w:rsid w:val="00251ABC"/>
    <w:rsid w:val="002524CF"/>
    <w:rsid w:val="00252E15"/>
    <w:rsid w:val="00252E9E"/>
    <w:rsid w:val="00254188"/>
    <w:rsid w:val="00255346"/>
    <w:rsid w:val="00256400"/>
    <w:rsid w:val="00256510"/>
    <w:rsid w:val="0025779F"/>
    <w:rsid w:val="00260EC9"/>
    <w:rsid w:val="00265128"/>
    <w:rsid w:val="002652D2"/>
    <w:rsid w:val="00266181"/>
    <w:rsid w:val="00267E46"/>
    <w:rsid w:val="00271B18"/>
    <w:rsid w:val="00273571"/>
    <w:rsid w:val="00276F9B"/>
    <w:rsid w:val="00282D4D"/>
    <w:rsid w:val="00284944"/>
    <w:rsid w:val="00291F3B"/>
    <w:rsid w:val="002942B0"/>
    <w:rsid w:val="002947B9"/>
    <w:rsid w:val="00294F3F"/>
    <w:rsid w:val="0029555D"/>
    <w:rsid w:val="0029781E"/>
    <w:rsid w:val="002A1953"/>
    <w:rsid w:val="002A1F96"/>
    <w:rsid w:val="002A2471"/>
    <w:rsid w:val="002A2A94"/>
    <w:rsid w:val="002A3F16"/>
    <w:rsid w:val="002A47F8"/>
    <w:rsid w:val="002A54CE"/>
    <w:rsid w:val="002A5F1E"/>
    <w:rsid w:val="002B0612"/>
    <w:rsid w:val="002B107C"/>
    <w:rsid w:val="002B1762"/>
    <w:rsid w:val="002B2C97"/>
    <w:rsid w:val="002B3BF4"/>
    <w:rsid w:val="002B6DED"/>
    <w:rsid w:val="002B6F2A"/>
    <w:rsid w:val="002C06FC"/>
    <w:rsid w:val="002C1117"/>
    <w:rsid w:val="002C2D46"/>
    <w:rsid w:val="002C67DF"/>
    <w:rsid w:val="002C6BAF"/>
    <w:rsid w:val="002C6F62"/>
    <w:rsid w:val="002D0036"/>
    <w:rsid w:val="002D17CE"/>
    <w:rsid w:val="002D29F8"/>
    <w:rsid w:val="002D3FC4"/>
    <w:rsid w:val="002D40EE"/>
    <w:rsid w:val="002D4993"/>
    <w:rsid w:val="002D50E9"/>
    <w:rsid w:val="002D5CFA"/>
    <w:rsid w:val="002E0DE7"/>
    <w:rsid w:val="002E4F0D"/>
    <w:rsid w:val="002E5874"/>
    <w:rsid w:val="002E6483"/>
    <w:rsid w:val="002E6963"/>
    <w:rsid w:val="002E7978"/>
    <w:rsid w:val="002F036B"/>
    <w:rsid w:val="002F086B"/>
    <w:rsid w:val="002F3A65"/>
    <w:rsid w:val="002F41A0"/>
    <w:rsid w:val="002F78E9"/>
    <w:rsid w:val="00300733"/>
    <w:rsid w:val="00302222"/>
    <w:rsid w:val="00302688"/>
    <w:rsid w:val="00302A82"/>
    <w:rsid w:val="00302B26"/>
    <w:rsid w:val="0030342A"/>
    <w:rsid w:val="00304892"/>
    <w:rsid w:val="003103FB"/>
    <w:rsid w:val="003120BB"/>
    <w:rsid w:val="00312FFB"/>
    <w:rsid w:val="00313C99"/>
    <w:rsid w:val="00313E1D"/>
    <w:rsid w:val="00317223"/>
    <w:rsid w:val="00323395"/>
    <w:rsid w:val="003247FA"/>
    <w:rsid w:val="00326816"/>
    <w:rsid w:val="0033062C"/>
    <w:rsid w:val="003309DA"/>
    <w:rsid w:val="003322EA"/>
    <w:rsid w:val="003336D9"/>
    <w:rsid w:val="00333809"/>
    <w:rsid w:val="003346A5"/>
    <w:rsid w:val="00336313"/>
    <w:rsid w:val="00337D1D"/>
    <w:rsid w:val="00343BF1"/>
    <w:rsid w:val="0035060F"/>
    <w:rsid w:val="00352543"/>
    <w:rsid w:val="00352864"/>
    <w:rsid w:val="00357263"/>
    <w:rsid w:val="00362F9E"/>
    <w:rsid w:val="00363BE8"/>
    <w:rsid w:val="00363C0D"/>
    <w:rsid w:val="00370B5D"/>
    <w:rsid w:val="00372F61"/>
    <w:rsid w:val="00374C36"/>
    <w:rsid w:val="00375F1C"/>
    <w:rsid w:val="00376B8C"/>
    <w:rsid w:val="003836EB"/>
    <w:rsid w:val="00384941"/>
    <w:rsid w:val="00385069"/>
    <w:rsid w:val="00387072"/>
    <w:rsid w:val="00387CC6"/>
    <w:rsid w:val="00392097"/>
    <w:rsid w:val="00392684"/>
    <w:rsid w:val="00393E52"/>
    <w:rsid w:val="00395DD8"/>
    <w:rsid w:val="00396B2A"/>
    <w:rsid w:val="003A067C"/>
    <w:rsid w:val="003A58F4"/>
    <w:rsid w:val="003B45C4"/>
    <w:rsid w:val="003B55D0"/>
    <w:rsid w:val="003B709C"/>
    <w:rsid w:val="003B7610"/>
    <w:rsid w:val="003C0386"/>
    <w:rsid w:val="003C1E12"/>
    <w:rsid w:val="003C24C7"/>
    <w:rsid w:val="003C2CC3"/>
    <w:rsid w:val="003C55D5"/>
    <w:rsid w:val="003C7721"/>
    <w:rsid w:val="003D021C"/>
    <w:rsid w:val="003D06BD"/>
    <w:rsid w:val="003D1FB8"/>
    <w:rsid w:val="003D20E9"/>
    <w:rsid w:val="003D3D72"/>
    <w:rsid w:val="003D4289"/>
    <w:rsid w:val="003D6DFC"/>
    <w:rsid w:val="003D70D3"/>
    <w:rsid w:val="003D7104"/>
    <w:rsid w:val="003E1742"/>
    <w:rsid w:val="003E2013"/>
    <w:rsid w:val="003E2089"/>
    <w:rsid w:val="003E2462"/>
    <w:rsid w:val="003E50CF"/>
    <w:rsid w:val="003E527F"/>
    <w:rsid w:val="003E5605"/>
    <w:rsid w:val="003E5AAD"/>
    <w:rsid w:val="003E639D"/>
    <w:rsid w:val="003E7BC6"/>
    <w:rsid w:val="003F0587"/>
    <w:rsid w:val="003F21D2"/>
    <w:rsid w:val="003F269E"/>
    <w:rsid w:val="003F3619"/>
    <w:rsid w:val="003F4924"/>
    <w:rsid w:val="003F4964"/>
    <w:rsid w:val="003F5ADD"/>
    <w:rsid w:val="003F615C"/>
    <w:rsid w:val="003F6536"/>
    <w:rsid w:val="003F65F3"/>
    <w:rsid w:val="003F6C3A"/>
    <w:rsid w:val="00401C43"/>
    <w:rsid w:val="00401F7F"/>
    <w:rsid w:val="004031A0"/>
    <w:rsid w:val="004046FF"/>
    <w:rsid w:val="00410790"/>
    <w:rsid w:val="00411EF4"/>
    <w:rsid w:val="004133BB"/>
    <w:rsid w:val="004142EF"/>
    <w:rsid w:val="00420661"/>
    <w:rsid w:val="00420958"/>
    <w:rsid w:val="00420EF1"/>
    <w:rsid w:val="00421920"/>
    <w:rsid w:val="004226FC"/>
    <w:rsid w:val="00423C7C"/>
    <w:rsid w:val="00423D33"/>
    <w:rsid w:val="004249A0"/>
    <w:rsid w:val="004312AE"/>
    <w:rsid w:val="0043155E"/>
    <w:rsid w:val="00431708"/>
    <w:rsid w:val="00432D49"/>
    <w:rsid w:val="004339EA"/>
    <w:rsid w:val="00433E8F"/>
    <w:rsid w:val="00434145"/>
    <w:rsid w:val="00441C0C"/>
    <w:rsid w:val="00442490"/>
    <w:rsid w:val="00443F27"/>
    <w:rsid w:val="0044577B"/>
    <w:rsid w:val="0044591D"/>
    <w:rsid w:val="00446741"/>
    <w:rsid w:val="00447FCF"/>
    <w:rsid w:val="00451588"/>
    <w:rsid w:val="004517F1"/>
    <w:rsid w:val="00451FF6"/>
    <w:rsid w:val="004534B5"/>
    <w:rsid w:val="004546B3"/>
    <w:rsid w:val="004556DF"/>
    <w:rsid w:val="00460615"/>
    <w:rsid w:val="00461AE3"/>
    <w:rsid w:val="00462BB6"/>
    <w:rsid w:val="004636E7"/>
    <w:rsid w:val="00463EBE"/>
    <w:rsid w:val="00464A63"/>
    <w:rsid w:val="00464DDC"/>
    <w:rsid w:val="00465124"/>
    <w:rsid w:val="00465926"/>
    <w:rsid w:val="00466DD6"/>
    <w:rsid w:val="00470298"/>
    <w:rsid w:val="00470670"/>
    <w:rsid w:val="00470F07"/>
    <w:rsid w:val="00472286"/>
    <w:rsid w:val="00472DB8"/>
    <w:rsid w:val="00475A47"/>
    <w:rsid w:val="00475D57"/>
    <w:rsid w:val="0047771D"/>
    <w:rsid w:val="0048035F"/>
    <w:rsid w:val="004819A9"/>
    <w:rsid w:val="00484536"/>
    <w:rsid w:val="0048456C"/>
    <w:rsid w:val="00486585"/>
    <w:rsid w:val="004865FC"/>
    <w:rsid w:val="00487109"/>
    <w:rsid w:val="0049289E"/>
    <w:rsid w:val="00492985"/>
    <w:rsid w:val="00492C3A"/>
    <w:rsid w:val="0049354B"/>
    <w:rsid w:val="00493F6D"/>
    <w:rsid w:val="004948F4"/>
    <w:rsid w:val="0049615E"/>
    <w:rsid w:val="0049662A"/>
    <w:rsid w:val="00497289"/>
    <w:rsid w:val="004A06AE"/>
    <w:rsid w:val="004A510D"/>
    <w:rsid w:val="004A54D4"/>
    <w:rsid w:val="004B06E3"/>
    <w:rsid w:val="004B2598"/>
    <w:rsid w:val="004B35DC"/>
    <w:rsid w:val="004B5888"/>
    <w:rsid w:val="004B6780"/>
    <w:rsid w:val="004B7CAA"/>
    <w:rsid w:val="004C2A36"/>
    <w:rsid w:val="004C317E"/>
    <w:rsid w:val="004C3663"/>
    <w:rsid w:val="004C57EC"/>
    <w:rsid w:val="004C69F2"/>
    <w:rsid w:val="004C7C7C"/>
    <w:rsid w:val="004D0C20"/>
    <w:rsid w:val="004D1461"/>
    <w:rsid w:val="004D19C8"/>
    <w:rsid w:val="004D3494"/>
    <w:rsid w:val="004D3A71"/>
    <w:rsid w:val="004D3CE4"/>
    <w:rsid w:val="004D3EE4"/>
    <w:rsid w:val="004D7E51"/>
    <w:rsid w:val="004E04EE"/>
    <w:rsid w:val="004E1B37"/>
    <w:rsid w:val="004E2704"/>
    <w:rsid w:val="004E3F72"/>
    <w:rsid w:val="004E4D01"/>
    <w:rsid w:val="004F25B3"/>
    <w:rsid w:val="004F705B"/>
    <w:rsid w:val="004F7DCB"/>
    <w:rsid w:val="00500964"/>
    <w:rsid w:val="00500C66"/>
    <w:rsid w:val="00505B94"/>
    <w:rsid w:val="00505F45"/>
    <w:rsid w:val="0050618A"/>
    <w:rsid w:val="00506C5B"/>
    <w:rsid w:val="005104E8"/>
    <w:rsid w:val="0051094D"/>
    <w:rsid w:val="005130EC"/>
    <w:rsid w:val="005146E6"/>
    <w:rsid w:val="0051483C"/>
    <w:rsid w:val="00515F49"/>
    <w:rsid w:val="005240D4"/>
    <w:rsid w:val="00527126"/>
    <w:rsid w:val="005306FA"/>
    <w:rsid w:val="005354F7"/>
    <w:rsid w:val="00535A42"/>
    <w:rsid w:val="0053748E"/>
    <w:rsid w:val="005449C6"/>
    <w:rsid w:val="00545146"/>
    <w:rsid w:val="00545452"/>
    <w:rsid w:val="00551F51"/>
    <w:rsid w:val="00553339"/>
    <w:rsid w:val="00554225"/>
    <w:rsid w:val="00556D54"/>
    <w:rsid w:val="0056177B"/>
    <w:rsid w:val="00562484"/>
    <w:rsid w:val="00562EAA"/>
    <w:rsid w:val="00566B42"/>
    <w:rsid w:val="00570BD4"/>
    <w:rsid w:val="0057165C"/>
    <w:rsid w:val="00571D95"/>
    <w:rsid w:val="005722C6"/>
    <w:rsid w:val="00573782"/>
    <w:rsid w:val="00573D6A"/>
    <w:rsid w:val="005754AA"/>
    <w:rsid w:val="00580FF8"/>
    <w:rsid w:val="005833A3"/>
    <w:rsid w:val="00583868"/>
    <w:rsid w:val="00585C8D"/>
    <w:rsid w:val="005862CC"/>
    <w:rsid w:val="00590ED1"/>
    <w:rsid w:val="005911FE"/>
    <w:rsid w:val="00591DF0"/>
    <w:rsid w:val="0059312F"/>
    <w:rsid w:val="00593220"/>
    <w:rsid w:val="0059380C"/>
    <w:rsid w:val="00595758"/>
    <w:rsid w:val="00596081"/>
    <w:rsid w:val="00596A76"/>
    <w:rsid w:val="005A0FDB"/>
    <w:rsid w:val="005A3943"/>
    <w:rsid w:val="005A51E6"/>
    <w:rsid w:val="005A632E"/>
    <w:rsid w:val="005A74DC"/>
    <w:rsid w:val="005A7F7B"/>
    <w:rsid w:val="005B3468"/>
    <w:rsid w:val="005B4ECB"/>
    <w:rsid w:val="005B7418"/>
    <w:rsid w:val="005C03A9"/>
    <w:rsid w:val="005C0496"/>
    <w:rsid w:val="005C06A2"/>
    <w:rsid w:val="005C2BFC"/>
    <w:rsid w:val="005C324B"/>
    <w:rsid w:val="005C43E2"/>
    <w:rsid w:val="005C454A"/>
    <w:rsid w:val="005C74C9"/>
    <w:rsid w:val="005D1B14"/>
    <w:rsid w:val="005D257B"/>
    <w:rsid w:val="005D6296"/>
    <w:rsid w:val="005D65B1"/>
    <w:rsid w:val="005D7D7E"/>
    <w:rsid w:val="005E1A6E"/>
    <w:rsid w:val="005E1D5C"/>
    <w:rsid w:val="005E25DC"/>
    <w:rsid w:val="005E52AE"/>
    <w:rsid w:val="005E5607"/>
    <w:rsid w:val="005E567C"/>
    <w:rsid w:val="005F0300"/>
    <w:rsid w:val="005F29CF"/>
    <w:rsid w:val="005F505E"/>
    <w:rsid w:val="005F56E9"/>
    <w:rsid w:val="00602976"/>
    <w:rsid w:val="0060388D"/>
    <w:rsid w:val="00603D9B"/>
    <w:rsid w:val="00604231"/>
    <w:rsid w:val="006068F3"/>
    <w:rsid w:val="0060798D"/>
    <w:rsid w:val="00610C2F"/>
    <w:rsid w:val="00614E5D"/>
    <w:rsid w:val="00615F2D"/>
    <w:rsid w:val="00616006"/>
    <w:rsid w:val="00620F6F"/>
    <w:rsid w:val="0062187C"/>
    <w:rsid w:val="006239BC"/>
    <w:rsid w:val="00625805"/>
    <w:rsid w:val="006258C2"/>
    <w:rsid w:val="00626B36"/>
    <w:rsid w:val="00627AC4"/>
    <w:rsid w:val="0063003B"/>
    <w:rsid w:val="006317F0"/>
    <w:rsid w:val="0063253B"/>
    <w:rsid w:val="006363C8"/>
    <w:rsid w:val="00637AB8"/>
    <w:rsid w:val="0064370D"/>
    <w:rsid w:val="00643771"/>
    <w:rsid w:val="00644946"/>
    <w:rsid w:val="00646AB8"/>
    <w:rsid w:val="00647BD9"/>
    <w:rsid w:val="00650195"/>
    <w:rsid w:val="00654A3E"/>
    <w:rsid w:val="00656733"/>
    <w:rsid w:val="00656DF0"/>
    <w:rsid w:val="00657C37"/>
    <w:rsid w:val="006624A7"/>
    <w:rsid w:val="00664D60"/>
    <w:rsid w:val="0066515F"/>
    <w:rsid w:val="006663E9"/>
    <w:rsid w:val="006668AF"/>
    <w:rsid w:val="0067040E"/>
    <w:rsid w:val="00670A7E"/>
    <w:rsid w:val="0067278C"/>
    <w:rsid w:val="0067352B"/>
    <w:rsid w:val="00676803"/>
    <w:rsid w:val="006769C8"/>
    <w:rsid w:val="00676DAA"/>
    <w:rsid w:val="006770C7"/>
    <w:rsid w:val="006819B7"/>
    <w:rsid w:val="00686439"/>
    <w:rsid w:val="00687A11"/>
    <w:rsid w:val="006905CF"/>
    <w:rsid w:val="00690A8C"/>
    <w:rsid w:val="00697A88"/>
    <w:rsid w:val="00697CF1"/>
    <w:rsid w:val="006A0D5A"/>
    <w:rsid w:val="006A3398"/>
    <w:rsid w:val="006A3E9E"/>
    <w:rsid w:val="006A5F6C"/>
    <w:rsid w:val="006A6051"/>
    <w:rsid w:val="006A7985"/>
    <w:rsid w:val="006B2C8E"/>
    <w:rsid w:val="006B31D9"/>
    <w:rsid w:val="006B6253"/>
    <w:rsid w:val="006C0102"/>
    <w:rsid w:val="006C0416"/>
    <w:rsid w:val="006C07D4"/>
    <w:rsid w:val="006C1EAE"/>
    <w:rsid w:val="006C41AD"/>
    <w:rsid w:val="006D04BD"/>
    <w:rsid w:val="006D05F6"/>
    <w:rsid w:val="006D47EF"/>
    <w:rsid w:val="006D51FD"/>
    <w:rsid w:val="006D6644"/>
    <w:rsid w:val="006D6F97"/>
    <w:rsid w:val="006D7180"/>
    <w:rsid w:val="006E0F1C"/>
    <w:rsid w:val="006E433B"/>
    <w:rsid w:val="006E6B98"/>
    <w:rsid w:val="006E6E30"/>
    <w:rsid w:val="006E7899"/>
    <w:rsid w:val="006E7C78"/>
    <w:rsid w:val="006F27F4"/>
    <w:rsid w:val="006F2E23"/>
    <w:rsid w:val="006F4C30"/>
    <w:rsid w:val="006F6505"/>
    <w:rsid w:val="006F6C1B"/>
    <w:rsid w:val="006F7024"/>
    <w:rsid w:val="007007C0"/>
    <w:rsid w:val="00701FFC"/>
    <w:rsid w:val="00703A7C"/>
    <w:rsid w:val="007044B3"/>
    <w:rsid w:val="0070589B"/>
    <w:rsid w:val="00706A09"/>
    <w:rsid w:val="007076DA"/>
    <w:rsid w:val="00707860"/>
    <w:rsid w:val="007129B6"/>
    <w:rsid w:val="0071368E"/>
    <w:rsid w:val="00717131"/>
    <w:rsid w:val="00717AA0"/>
    <w:rsid w:val="007207BF"/>
    <w:rsid w:val="00721730"/>
    <w:rsid w:val="0072410F"/>
    <w:rsid w:val="00725CB0"/>
    <w:rsid w:val="0072696C"/>
    <w:rsid w:val="00727B23"/>
    <w:rsid w:val="00727B95"/>
    <w:rsid w:val="007323A3"/>
    <w:rsid w:val="0073517D"/>
    <w:rsid w:val="0073685C"/>
    <w:rsid w:val="00737EA5"/>
    <w:rsid w:val="00737F24"/>
    <w:rsid w:val="007400AE"/>
    <w:rsid w:val="00741F3E"/>
    <w:rsid w:val="00742724"/>
    <w:rsid w:val="00742F88"/>
    <w:rsid w:val="00743AA8"/>
    <w:rsid w:val="00750659"/>
    <w:rsid w:val="00750840"/>
    <w:rsid w:val="00750D64"/>
    <w:rsid w:val="00753FCE"/>
    <w:rsid w:val="00755EB3"/>
    <w:rsid w:val="0075630D"/>
    <w:rsid w:val="00757617"/>
    <w:rsid w:val="00763AD8"/>
    <w:rsid w:val="00764F68"/>
    <w:rsid w:val="00765016"/>
    <w:rsid w:val="00767EDE"/>
    <w:rsid w:val="007700C5"/>
    <w:rsid w:val="0077100C"/>
    <w:rsid w:val="00772137"/>
    <w:rsid w:val="00776C39"/>
    <w:rsid w:val="00780E5B"/>
    <w:rsid w:val="00781D00"/>
    <w:rsid w:val="00782054"/>
    <w:rsid w:val="00786D11"/>
    <w:rsid w:val="00786D58"/>
    <w:rsid w:val="007900F3"/>
    <w:rsid w:val="00791B69"/>
    <w:rsid w:val="00793297"/>
    <w:rsid w:val="0079498E"/>
    <w:rsid w:val="007949BC"/>
    <w:rsid w:val="00795408"/>
    <w:rsid w:val="00796F10"/>
    <w:rsid w:val="0079765B"/>
    <w:rsid w:val="00797B45"/>
    <w:rsid w:val="007A0C0E"/>
    <w:rsid w:val="007A0F57"/>
    <w:rsid w:val="007A2BD7"/>
    <w:rsid w:val="007A3530"/>
    <w:rsid w:val="007A6AB5"/>
    <w:rsid w:val="007A6C67"/>
    <w:rsid w:val="007A6DFE"/>
    <w:rsid w:val="007A7288"/>
    <w:rsid w:val="007B14D9"/>
    <w:rsid w:val="007B1C67"/>
    <w:rsid w:val="007B2B46"/>
    <w:rsid w:val="007B30F2"/>
    <w:rsid w:val="007B377F"/>
    <w:rsid w:val="007B4274"/>
    <w:rsid w:val="007B443D"/>
    <w:rsid w:val="007B5117"/>
    <w:rsid w:val="007B599D"/>
    <w:rsid w:val="007B6650"/>
    <w:rsid w:val="007B6A74"/>
    <w:rsid w:val="007B6C85"/>
    <w:rsid w:val="007C2987"/>
    <w:rsid w:val="007C2DC8"/>
    <w:rsid w:val="007C4F91"/>
    <w:rsid w:val="007C50BE"/>
    <w:rsid w:val="007C5490"/>
    <w:rsid w:val="007C6471"/>
    <w:rsid w:val="007D097E"/>
    <w:rsid w:val="007D230B"/>
    <w:rsid w:val="007D2D80"/>
    <w:rsid w:val="007D3681"/>
    <w:rsid w:val="007D3824"/>
    <w:rsid w:val="007D49A1"/>
    <w:rsid w:val="007D4B49"/>
    <w:rsid w:val="007D59DD"/>
    <w:rsid w:val="007D7D5F"/>
    <w:rsid w:val="007E1F66"/>
    <w:rsid w:val="007E2CB5"/>
    <w:rsid w:val="007E4C10"/>
    <w:rsid w:val="007E6501"/>
    <w:rsid w:val="007E6C25"/>
    <w:rsid w:val="007E75BC"/>
    <w:rsid w:val="007F1E73"/>
    <w:rsid w:val="007F32D7"/>
    <w:rsid w:val="007F4F97"/>
    <w:rsid w:val="007F669E"/>
    <w:rsid w:val="007F7AAF"/>
    <w:rsid w:val="00801632"/>
    <w:rsid w:val="008030F6"/>
    <w:rsid w:val="008034AF"/>
    <w:rsid w:val="0080520B"/>
    <w:rsid w:val="00805B49"/>
    <w:rsid w:val="0080720C"/>
    <w:rsid w:val="00807B3E"/>
    <w:rsid w:val="00810396"/>
    <w:rsid w:val="008107E8"/>
    <w:rsid w:val="00810D4A"/>
    <w:rsid w:val="00812C75"/>
    <w:rsid w:val="00812F82"/>
    <w:rsid w:val="008134AC"/>
    <w:rsid w:val="008146FD"/>
    <w:rsid w:val="00816AAB"/>
    <w:rsid w:val="00820402"/>
    <w:rsid w:val="008243B2"/>
    <w:rsid w:val="00824F08"/>
    <w:rsid w:val="00826667"/>
    <w:rsid w:val="00827BF8"/>
    <w:rsid w:val="008310DF"/>
    <w:rsid w:val="00831105"/>
    <w:rsid w:val="00831F7B"/>
    <w:rsid w:val="00835487"/>
    <w:rsid w:val="008411BF"/>
    <w:rsid w:val="008425D8"/>
    <w:rsid w:val="008427AE"/>
    <w:rsid w:val="00843A14"/>
    <w:rsid w:val="00844598"/>
    <w:rsid w:val="00844A4B"/>
    <w:rsid w:val="00852689"/>
    <w:rsid w:val="00854676"/>
    <w:rsid w:val="00864CB5"/>
    <w:rsid w:val="00865296"/>
    <w:rsid w:val="008659C5"/>
    <w:rsid w:val="00866750"/>
    <w:rsid w:val="00867086"/>
    <w:rsid w:val="00871123"/>
    <w:rsid w:val="00874663"/>
    <w:rsid w:val="008778A6"/>
    <w:rsid w:val="00881B95"/>
    <w:rsid w:val="00883186"/>
    <w:rsid w:val="008831CA"/>
    <w:rsid w:val="008870B4"/>
    <w:rsid w:val="00887FDA"/>
    <w:rsid w:val="00890F77"/>
    <w:rsid w:val="0089272A"/>
    <w:rsid w:val="00892D5B"/>
    <w:rsid w:val="00894890"/>
    <w:rsid w:val="00897141"/>
    <w:rsid w:val="00897247"/>
    <w:rsid w:val="008A422A"/>
    <w:rsid w:val="008A5395"/>
    <w:rsid w:val="008B08F0"/>
    <w:rsid w:val="008B0CF9"/>
    <w:rsid w:val="008B262C"/>
    <w:rsid w:val="008B2DAD"/>
    <w:rsid w:val="008B44F5"/>
    <w:rsid w:val="008B6FC8"/>
    <w:rsid w:val="008C01E4"/>
    <w:rsid w:val="008C19E9"/>
    <w:rsid w:val="008C26E9"/>
    <w:rsid w:val="008C2E64"/>
    <w:rsid w:val="008C557C"/>
    <w:rsid w:val="008C60FB"/>
    <w:rsid w:val="008C774E"/>
    <w:rsid w:val="008D25A7"/>
    <w:rsid w:val="008D3950"/>
    <w:rsid w:val="008D4652"/>
    <w:rsid w:val="008D6D9D"/>
    <w:rsid w:val="008D6F08"/>
    <w:rsid w:val="008E0906"/>
    <w:rsid w:val="008E0C85"/>
    <w:rsid w:val="008E4A55"/>
    <w:rsid w:val="008F1691"/>
    <w:rsid w:val="008F22E2"/>
    <w:rsid w:val="008F310E"/>
    <w:rsid w:val="008F4C93"/>
    <w:rsid w:val="008F5698"/>
    <w:rsid w:val="008F639E"/>
    <w:rsid w:val="008F697D"/>
    <w:rsid w:val="008F7149"/>
    <w:rsid w:val="008F76B2"/>
    <w:rsid w:val="00901EF2"/>
    <w:rsid w:val="00903EB6"/>
    <w:rsid w:val="00904670"/>
    <w:rsid w:val="00904906"/>
    <w:rsid w:val="00905A79"/>
    <w:rsid w:val="0090702F"/>
    <w:rsid w:val="00907318"/>
    <w:rsid w:val="009079D0"/>
    <w:rsid w:val="0091117F"/>
    <w:rsid w:val="00913D0A"/>
    <w:rsid w:val="009148A1"/>
    <w:rsid w:val="00915DF2"/>
    <w:rsid w:val="0092028B"/>
    <w:rsid w:val="00921C71"/>
    <w:rsid w:val="00922F84"/>
    <w:rsid w:val="00923B7F"/>
    <w:rsid w:val="00924972"/>
    <w:rsid w:val="009309D7"/>
    <w:rsid w:val="00932E1E"/>
    <w:rsid w:val="00933A66"/>
    <w:rsid w:val="00934068"/>
    <w:rsid w:val="00935ED2"/>
    <w:rsid w:val="00936348"/>
    <w:rsid w:val="00937854"/>
    <w:rsid w:val="009400F4"/>
    <w:rsid w:val="009469E0"/>
    <w:rsid w:val="0094728D"/>
    <w:rsid w:val="00947E1D"/>
    <w:rsid w:val="00951AEA"/>
    <w:rsid w:val="00951C4D"/>
    <w:rsid w:val="00952955"/>
    <w:rsid w:val="00952E03"/>
    <w:rsid w:val="0095396E"/>
    <w:rsid w:val="00953A8E"/>
    <w:rsid w:val="00954468"/>
    <w:rsid w:val="009547E2"/>
    <w:rsid w:val="00956488"/>
    <w:rsid w:val="00956F2D"/>
    <w:rsid w:val="00956F5F"/>
    <w:rsid w:val="009570A4"/>
    <w:rsid w:val="009579ED"/>
    <w:rsid w:val="00960880"/>
    <w:rsid w:val="009610DC"/>
    <w:rsid w:val="00961780"/>
    <w:rsid w:val="009620A0"/>
    <w:rsid w:val="009622EF"/>
    <w:rsid w:val="00963171"/>
    <w:rsid w:val="0096378C"/>
    <w:rsid w:val="00964038"/>
    <w:rsid w:val="0096623E"/>
    <w:rsid w:val="009669D2"/>
    <w:rsid w:val="00967352"/>
    <w:rsid w:val="00970E1F"/>
    <w:rsid w:val="0097154F"/>
    <w:rsid w:val="00973998"/>
    <w:rsid w:val="00974109"/>
    <w:rsid w:val="00982528"/>
    <w:rsid w:val="0098457F"/>
    <w:rsid w:val="00985996"/>
    <w:rsid w:val="009859DE"/>
    <w:rsid w:val="00985EC1"/>
    <w:rsid w:val="00986978"/>
    <w:rsid w:val="009869EA"/>
    <w:rsid w:val="00986C3B"/>
    <w:rsid w:val="00992F8C"/>
    <w:rsid w:val="00993BF4"/>
    <w:rsid w:val="00994F74"/>
    <w:rsid w:val="0099563A"/>
    <w:rsid w:val="009A12AC"/>
    <w:rsid w:val="009A13F4"/>
    <w:rsid w:val="009A2FBF"/>
    <w:rsid w:val="009A372E"/>
    <w:rsid w:val="009A3EA9"/>
    <w:rsid w:val="009A44BE"/>
    <w:rsid w:val="009A50C4"/>
    <w:rsid w:val="009A7A9B"/>
    <w:rsid w:val="009B029F"/>
    <w:rsid w:val="009B1636"/>
    <w:rsid w:val="009B2143"/>
    <w:rsid w:val="009B27F8"/>
    <w:rsid w:val="009B4156"/>
    <w:rsid w:val="009B4A8B"/>
    <w:rsid w:val="009B74FB"/>
    <w:rsid w:val="009C0660"/>
    <w:rsid w:val="009C0C9F"/>
    <w:rsid w:val="009C2665"/>
    <w:rsid w:val="009C31A4"/>
    <w:rsid w:val="009C4845"/>
    <w:rsid w:val="009C7314"/>
    <w:rsid w:val="009D2442"/>
    <w:rsid w:val="009D3DC1"/>
    <w:rsid w:val="009D46B6"/>
    <w:rsid w:val="009D5D9F"/>
    <w:rsid w:val="009D7424"/>
    <w:rsid w:val="009D7F4D"/>
    <w:rsid w:val="009E0FA2"/>
    <w:rsid w:val="009E2244"/>
    <w:rsid w:val="009E2D42"/>
    <w:rsid w:val="009E31DE"/>
    <w:rsid w:val="009E51B2"/>
    <w:rsid w:val="009E57DF"/>
    <w:rsid w:val="009F2686"/>
    <w:rsid w:val="009F57FD"/>
    <w:rsid w:val="009F7F9F"/>
    <w:rsid w:val="00A011B4"/>
    <w:rsid w:val="00A01E02"/>
    <w:rsid w:val="00A02E26"/>
    <w:rsid w:val="00A04869"/>
    <w:rsid w:val="00A05BA0"/>
    <w:rsid w:val="00A07835"/>
    <w:rsid w:val="00A10150"/>
    <w:rsid w:val="00A10C74"/>
    <w:rsid w:val="00A122F8"/>
    <w:rsid w:val="00A159C9"/>
    <w:rsid w:val="00A167FB"/>
    <w:rsid w:val="00A1777B"/>
    <w:rsid w:val="00A21B70"/>
    <w:rsid w:val="00A21D02"/>
    <w:rsid w:val="00A21DDB"/>
    <w:rsid w:val="00A22387"/>
    <w:rsid w:val="00A23CF6"/>
    <w:rsid w:val="00A2690C"/>
    <w:rsid w:val="00A2792F"/>
    <w:rsid w:val="00A30970"/>
    <w:rsid w:val="00A315E4"/>
    <w:rsid w:val="00A31C51"/>
    <w:rsid w:val="00A31D96"/>
    <w:rsid w:val="00A31FEE"/>
    <w:rsid w:val="00A32FF5"/>
    <w:rsid w:val="00A33722"/>
    <w:rsid w:val="00A33C55"/>
    <w:rsid w:val="00A377A6"/>
    <w:rsid w:val="00A37F7A"/>
    <w:rsid w:val="00A406C3"/>
    <w:rsid w:val="00A415D1"/>
    <w:rsid w:val="00A425FD"/>
    <w:rsid w:val="00A42875"/>
    <w:rsid w:val="00A434D5"/>
    <w:rsid w:val="00A446F6"/>
    <w:rsid w:val="00A44DC1"/>
    <w:rsid w:val="00A46A5F"/>
    <w:rsid w:val="00A47168"/>
    <w:rsid w:val="00A47A98"/>
    <w:rsid w:val="00A47EE7"/>
    <w:rsid w:val="00A50610"/>
    <w:rsid w:val="00A50B43"/>
    <w:rsid w:val="00A51927"/>
    <w:rsid w:val="00A51C87"/>
    <w:rsid w:val="00A54197"/>
    <w:rsid w:val="00A57647"/>
    <w:rsid w:val="00A610F9"/>
    <w:rsid w:val="00A61821"/>
    <w:rsid w:val="00A61D35"/>
    <w:rsid w:val="00A61E3A"/>
    <w:rsid w:val="00A631BA"/>
    <w:rsid w:val="00A65297"/>
    <w:rsid w:val="00A65C27"/>
    <w:rsid w:val="00A67605"/>
    <w:rsid w:val="00A67CA5"/>
    <w:rsid w:val="00A67E79"/>
    <w:rsid w:val="00A753B2"/>
    <w:rsid w:val="00A75546"/>
    <w:rsid w:val="00A75CCD"/>
    <w:rsid w:val="00A768F2"/>
    <w:rsid w:val="00A80458"/>
    <w:rsid w:val="00A80506"/>
    <w:rsid w:val="00A806AE"/>
    <w:rsid w:val="00A8118F"/>
    <w:rsid w:val="00A82EA4"/>
    <w:rsid w:val="00A83458"/>
    <w:rsid w:val="00A83CC6"/>
    <w:rsid w:val="00A84218"/>
    <w:rsid w:val="00A84B03"/>
    <w:rsid w:val="00A84D8C"/>
    <w:rsid w:val="00A86C41"/>
    <w:rsid w:val="00A90148"/>
    <w:rsid w:val="00A917F8"/>
    <w:rsid w:val="00A967B7"/>
    <w:rsid w:val="00AA059E"/>
    <w:rsid w:val="00AA0D8C"/>
    <w:rsid w:val="00AA1C35"/>
    <w:rsid w:val="00AA25BC"/>
    <w:rsid w:val="00AA3077"/>
    <w:rsid w:val="00AA3E2A"/>
    <w:rsid w:val="00AA3F69"/>
    <w:rsid w:val="00AA46AF"/>
    <w:rsid w:val="00AA5AE7"/>
    <w:rsid w:val="00AB0071"/>
    <w:rsid w:val="00AB07A4"/>
    <w:rsid w:val="00AB34C1"/>
    <w:rsid w:val="00AB3A8F"/>
    <w:rsid w:val="00AB4E9E"/>
    <w:rsid w:val="00AB6C99"/>
    <w:rsid w:val="00AB7198"/>
    <w:rsid w:val="00AC11D5"/>
    <w:rsid w:val="00AC15E5"/>
    <w:rsid w:val="00AC22BB"/>
    <w:rsid w:val="00AC4080"/>
    <w:rsid w:val="00AC53A7"/>
    <w:rsid w:val="00AC5A6D"/>
    <w:rsid w:val="00AC5D73"/>
    <w:rsid w:val="00AC73AD"/>
    <w:rsid w:val="00AC7BED"/>
    <w:rsid w:val="00AD067D"/>
    <w:rsid w:val="00AD1933"/>
    <w:rsid w:val="00AD1CF6"/>
    <w:rsid w:val="00AD316D"/>
    <w:rsid w:val="00AD5334"/>
    <w:rsid w:val="00AD5FFD"/>
    <w:rsid w:val="00AD6BBA"/>
    <w:rsid w:val="00AD705A"/>
    <w:rsid w:val="00AD76F1"/>
    <w:rsid w:val="00AD78F9"/>
    <w:rsid w:val="00AE008D"/>
    <w:rsid w:val="00AE30E0"/>
    <w:rsid w:val="00AE346F"/>
    <w:rsid w:val="00AE3AD5"/>
    <w:rsid w:val="00AE7876"/>
    <w:rsid w:val="00AF0810"/>
    <w:rsid w:val="00AF2329"/>
    <w:rsid w:val="00AF29AD"/>
    <w:rsid w:val="00AF31A5"/>
    <w:rsid w:val="00AF3660"/>
    <w:rsid w:val="00AF564F"/>
    <w:rsid w:val="00AF7A20"/>
    <w:rsid w:val="00B01312"/>
    <w:rsid w:val="00B013BD"/>
    <w:rsid w:val="00B02D98"/>
    <w:rsid w:val="00B06685"/>
    <w:rsid w:val="00B105F3"/>
    <w:rsid w:val="00B11B03"/>
    <w:rsid w:val="00B13897"/>
    <w:rsid w:val="00B1584C"/>
    <w:rsid w:val="00B15D2F"/>
    <w:rsid w:val="00B16399"/>
    <w:rsid w:val="00B174CD"/>
    <w:rsid w:val="00B1760F"/>
    <w:rsid w:val="00B177E5"/>
    <w:rsid w:val="00B17CED"/>
    <w:rsid w:val="00B217CC"/>
    <w:rsid w:val="00B21CB7"/>
    <w:rsid w:val="00B22D93"/>
    <w:rsid w:val="00B2586D"/>
    <w:rsid w:val="00B25AE4"/>
    <w:rsid w:val="00B265C9"/>
    <w:rsid w:val="00B26909"/>
    <w:rsid w:val="00B26CDF"/>
    <w:rsid w:val="00B27664"/>
    <w:rsid w:val="00B31169"/>
    <w:rsid w:val="00B31828"/>
    <w:rsid w:val="00B34C68"/>
    <w:rsid w:val="00B373A3"/>
    <w:rsid w:val="00B41E25"/>
    <w:rsid w:val="00B42BEE"/>
    <w:rsid w:val="00B432ED"/>
    <w:rsid w:val="00B4397C"/>
    <w:rsid w:val="00B452B7"/>
    <w:rsid w:val="00B458E3"/>
    <w:rsid w:val="00B47923"/>
    <w:rsid w:val="00B5078A"/>
    <w:rsid w:val="00B518FF"/>
    <w:rsid w:val="00B539D2"/>
    <w:rsid w:val="00B53FBC"/>
    <w:rsid w:val="00B54F17"/>
    <w:rsid w:val="00B560EA"/>
    <w:rsid w:val="00B561EE"/>
    <w:rsid w:val="00B57D47"/>
    <w:rsid w:val="00B6210E"/>
    <w:rsid w:val="00B62B63"/>
    <w:rsid w:val="00B632E3"/>
    <w:rsid w:val="00B649F1"/>
    <w:rsid w:val="00B64DC8"/>
    <w:rsid w:val="00B65951"/>
    <w:rsid w:val="00B65A6E"/>
    <w:rsid w:val="00B676B2"/>
    <w:rsid w:val="00B70688"/>
    <w:rsid w:val="00B75FD9"/>
    <w:rsid w:val="00B77091"/>
    <w:rsid w:val="00B773F4"/>
    <w:rsid w:val="00B81BC0"/>
    <w:rsid w:val="00B837C1"/>
    <w:rsid w:val="00B841E0"/>
    <w:rsid w:val="00B860BA"/>
    <w:rsid w:val="00B865F5"/>
    <w:rsid w:val="00B870A0"/>
    <w:rsid w:val="00B90D3F"/>
    <w:rsid w:val="00B91DFE"/>
    <w:rsid w:val="00B92858"/>
    <w:rsid w:val="00B92875"/>
    <w:rsid w:val="00B92D1D"/>
    <w:rsid w:val="00B9557C"/>
    <w:rsid w:val="00B95668"/>
    <w:rsid w:val="00B966E9"/>
    <w:rsid w:val="00B96BC7"/>
    <w:rsid w:val="00B97229"/>
    <w:rsid w:val="00B97538"/>
    <w:rsid w:val="00BA08A3"/>
    <w:rsid w:val="00BA1BBC"/>
    <w:rsid w:val="00BA2EED"/>
    <w:rsid w:val="00BA3D7D"/>
    <w:rsid w:val="00BA5AB3"/>
    <w:rsid w:val="00BA6451"/>
    <w:rsid w:val="00BA78C7"/>
    <w:rsid w:val="00BB0E85"/>
    <w:rsid w:val="00BB227E"/>
    <w:rsid w:val="00BB3CBA"/>
    <w:rsid w:val="00BB4F22"/>
    <w:rsid w:val="00BB7E3D"/>
    <w:rsid w:val="00BC0FCE"/>
    <w:rsid w:val="00BC3CD1"/>
    <w:rsid w:val="00BC51F2"/>
    <w:rsid w:val="00BC5EC6"/>
    <w:rsid w:val="00BC5F0E"/>
    <w:rsid w:val="00BD2211"/>
    <w:rsid w:val="00BD221D"/>
    <w:rsid w:val="00BD3E65"/>
    <w:rsid w:val="00BD5934"/>
    <w:rsid w:val="00BD7785"/>
    <w:rsid w:val="00BE10BC"/>
    <w:rsid w:val="00BE3B2E"/>
    <w:rsid w:val="00BE4D93"/>
    <w:rsid w:val="00BE5120"/>
    <w:rsid w:val="00BE6E6D"/>
    <w:rsid w:val="00BE7DE8"/>
    <w:rsid w:val="00BF1CBD"/>
    <w:rsid w:val="00BF2254"/>
    <w:rsid w:val="00BF31BF"/>
    <w:rsid w:val="00BF3B1F"/>
    <w:rsid w:val="00BF45A4"/>
    <w:rsid w:val="00BF52C4"/>
    <w:rsid w:val="00BF62EC"/>
    <w:rsid w:val="00BF6458"/>
    <w:rsid w:val="00BF7A31"/>
    <w:rsid w:val="00C004D7"/>
    <w:rsid w:val="00C006BE"/>
    <w:rsid w:val="00C05B8E"/>
    <w:rsid w:val="00C06F1D"/>
    <w:rsid w:val="00C1018C"/>
    <w:rsid w:val="00C1063D"/>
    <w:rsid w:val="00C1174B"/>
    <w:rsid w:val="00C15E0E"/>
    <w:rsid w:val="00C17038"/>
    <w:rsid w:val="00C2017F"/>
    <w:rsid w:val="00C202D0"/>
    <w:rsid w:val="00C207E8"/>
    <w:rsid w:val="00C226BC"/>
    <w:rsid w:val="00C23FB5"/>
    <w:rsid w:val="00C24A1A"/>
    <w:rsid w:val="00C25553"/>
    <w:rsid w:val="00C331BB"/>
    <w:rsid w:val="00C41A08"/>
    <w:rsid w:val="00C41FD0"/>
    <w:rsid w:val="00C422B9"/>
    <w:rsid w:val="00C4240A"/>
    <w:rsid w:val="00C4241E"/>
    <w:rsid w:val="00C43FAD"/>
    <w:rsid w:val="00C445E8"/>
    <w:rsid w:val="00C44DD0"/>
    <w:rsid w:val="00C474CE"/>
    <w:rsid w:val="00C47BF7"/>
    <w:rsid w:val="00C504EC"/>
    <w:rsid w:val="00C50EFE"/>
    <w:rsid w:val="00C5123C"/>
    <w:rsid w:val="00C53CC1"/>
    <w:rsid w:val="00C566DE"/>
    <w:rsid w:val="00C615A3"/>
    <w:rsid w:val="00C6198D"/>
    <w:rsid w:val="00C635DA"/>
    <w:rsid w:val="00C639E7"/>
    <w:rsid w:val="00C659BE"/>
    <w:rsid w:val="00C71C2F"/>
    <w:rsid w:val="00C72A68"/>
    <w:rsid w:val="00C72E1D"/>
    <w:rsid w:val="00C7725C"/>
    <w:rsid w:val="00C80300"/>
    <w:rsid w:val="00C81946"/>
    <w:rsid w:val="00C81F45"/>
    <w:rsid w:val="00C82307"/>
    <w:rsid w:val="00C82D1A"/>
    <w:rsid w:val="00C82D5C"/>
    <w:rsid w:val="00C839AF"/>
    <w:rsid w:val="00C8613B"/>
    <w:rsid w:val="00C900DE"/>
    <w:rsid w:val="00C92622"/>
    <w:rsid w:val="00C96941"/>
    <w:rsid w:val="00C970AF"/>
    <w:rsid w:val="00C97228"/>
    <w:rsid w:val="00C9780D"/>
    <w:rsid w:val="00CA02DA"/>
    <w:rsid w:val="00CA1A54"/>
    <w:rsid w:val="00CA1CB3"/>
    <w:rsid w:val="00CA4594"/>
    <w:rsid w:val="00CA655A"/>
    <w:rsid w:val="00CA6DE6"/>
    <w:rsid w:val="00CB011A"/>
    <w:rsid w:val="00CB76E8"/>
    <w:rsid w:val="00CC00B9"/>
    <w:rsid w:val="00CC2721"/>
    <w:rsid w:val="00CC46B2"/>
    <w:rsid w:val="00CC5718"/>
    <w:rsid w:val="00CC7A21"/>
    <w:rsid w:val="00CD1352"/>
    <w:rsid w:val="00CD1CBE"/>
    <w:rsid w:val="00CD1E1C"/>
    <w:rsid w:val="00CD1E3E"/>
    <w:rsid w:val="00CD2EDC"/>
    <w:rsid w:val="00CD32E2"/>
    <w:rsid w:val="00CD4B0B"/>
    <w:rsid w:val="00CD6698"/>
    <w:rsid w:val="00CE02FB"/>
    <w:rsid w:val="00CE1E5B"/>
    <w:rsid w:val="00CE2230"/>
    <w:rsid w:val="00CE28C6"/>
    <w:rsid w:val="00CE5EAC"/>
    <w:rsid w:val="00CF0E1F"/>
    <w:rsid w:val="00CF1D92"/>
    <w:rsid w:val="00CF1E25"/>
    <w:rsid w:val="00CF23AF"/>
    <w:rsid w:val="00CF2D92"/>
    <w:rsid w:val="00CF5D91"/>
    <w:rsid w:val="00D0025C"/>
    <w:rsid w:val="00D004FB"/>
    <w:rsid w:val="00D010D3"/>
    <w:rsid w:val="00D02BBC"/>
    <w:rsid w:val="00D02C36"/>
    <w:rsid w:val="00D057B0"/>
    <w:rsid w:val="00D068F2"/>
    <w:rsid w:val="00D071BE"/>
    <w:rsid w:val="00D12172"/>
    <w:rsid w:val="00D129E4"/>
    <w:rsid w:val="00D12B8C"/>
    <w:rsid w:val="00D13B9E"/>
    <w:rsid w:val="00D200F6"/>
    <w:rsid w:val="00D21646"/>
    <w:rsid w:val="00D2171F"/>
    <w:rsid w:val="00D23A53"/>
    <w:rsid w:val="00D32A24"/>
    <w:rsid w:val="00D3431F"/>
    <w:rsid w:val="00D366BB"/>
    <w:rsid w:val="00D36A3A"/>
    <w:rsid w:val="00D378D9"/>
    <w:rsid w:val="00D379B6"/>
    <w:rsid w:val="00D40F2E"/>
    <w:rsid w:val="00D41B79"/>
    <w:rsid w:val="00D42505"/>
    <w:rsid w:val="00D454F2"/>
    <w:rsid w:val="00D47CE9"/>
    <w:rsid w:val="00D52995"/>
    <w:rsid w:val="00D53759"/>
    <w:rsid w:val="00D540BD"/>
    <w:rsid w:val="00D60425"/>
    <w:rsid w:val="00D61A83"/>
    <w:rsid w:val="00D6352D"/>
    <w:rsid w:val="00D65E9A"/>
    <w:rsid w:val="00D70539"/>
    <w:rsid w:val="00D728AD"/>
    <w:rsid w:val="00D72ADE"/>
    <w:rsid w:val="00D72B4B"/>
    <w:rsid w:val="00D75233"/>
    <w:rsid w:val="00D76847"/>
    <w:rsid w:val="00D76EA5"/>
    <w:rsid w:val="00D7728F"/>
    <w:rsid w:val="00D77696"/>
    <w:rsid w:val="00D77FCD"/>
    <w:rsid w:val="00D81CC4"/>
    <w:rsid w:val="00D823EB"/>
    <w:rsid w:val="00D90823"/>
    <w:rsid w:val="00D93EFF"/>
    <w:rsid w:val="00D9765E"/>
    <w:rsid w:val="00DA1473"/>
    <w:rsid w:val="00DA1544"/>
    <w:rsid w:val="00DA4591"/>
    <w:rsid w:val="00DA4AE5"/>
    <w:rsid w:val="00DA6430"/>
    <w:rsid w:val="00DA681A"/>
    <w:rsid w:val="00DA6B7E"/>
    <w:rsid w:val="00DB63BE"/>
    <w:rsid w:val="00DB63DB"/>
    <w:rsid w:val="00DB7824"/>
    <w:rsid w:val="00DC308E"/>
    <w:rsid w:val="00DC3986"/>
    <w:rsid w:val="00DC5E0F"/>
    <w:rsid w:val="00DC5EA9"/>
    <w:rsid w:val="00DC6C76"/>
    <w:rsid w:val="00DC7F73"/>
    <w:rsid w:val="00DD0692"/>
    <w:rsid w:val="00DE191A"/>
    <w:rsid w:val="00DE1A0F"/>
    <w:rsid w:val="00DE1B6F"/>
    <w:rsid w:val="00DE2733"/>
    <w:rsid w:val="00DE3123"/>
    <w:rsid w:val="00DE339F"/>
    <w:rsid w:val="00DE3ABE"/>
    <w:rsid w:val="00DE65D3"/>
    <w:rsid w:val="00DF1535"/>
    <w:rsid w:val="00DF2CDA"/>
    <w:rsid w:val="00DF473D"/>
    <w:rsid w:val="00DF53F5"/>
    <w:rsid w:val="00DF5D6C"/>
    <w:rsid w:val="00DF61FD"/>
    <w:rsid w:val="00DF6D25"/>
    <w:rsid w:val="00DF6DB2"/>
    <w:rsid w:val="00DF6F1F"/>
    <w:rsid w:val="00DF7199"/>
    <w:rsid w:val="00E00FE3"/>
    <w:rsid w:val="00E03B38"/>
    <w:rsid w:val="00E03C6D"/>
    <w:rsid w:val="00E0445C"/>
    <w:rsid w:val="00E11EE3"/>
    <w:rsid w:val="00E12A0A"/>
    <w:rsid w:val="00E135F9"/>
    <w:rsid w:val="00E14349"/>
    <w:rsid w:val="00E20C28"/>
    <w:rsid w:val="00E225C2"/>
    <w:rsid w:val="00E22A77"/>
    <w:rsid w:val="00E22D71"/>
    <w:rsid w:val="00E22E84"/>
    <w:rsid w:val="00E24307"/>
    <w:rsid w:val="00E24B18"/>
    <w:rsid w:val="00E2710C"/>
    <w:rsid w:val="00E3016C"/>
    <w:rsid w:val="00E348BC"/>
    <w:rsid w:val="00E35467"/>
    <w:rsid w:val="00E35B8D"/>
    <w:rsid w:val="00E4307D"/>
    <w:rsid w:val="00E4318F"/>
    <w:rsid w:val="00E4392E"/>
    <w:rsid w:val="00E46544"/>
    <w:rsid w:val="00E50B9E"/>
    <w:rsid w:val="00E51044"/>
    <w:rsid w:val="00E54395"/>
    <w:rsid w:val="00E5448F"/>
    <w:rsid w:val="00E54741"/>
    <w:rsid w:val="00E568E5"/>
    <w:rsid w:val="00E573CB"/>
    <w:rsid w:val="00E57AAD"/>
    <w:rsid w:val="00E6453F"/>
    <w:rsid w:val="00E647AA"/>
    <w:rsid w:val="00E659EF"/>
    <w:rsid w:val="00E677A6"/>
    <w:rsid w:val="00E70150"/>
    <w:rsid w:val="00E70CBD"/>
    <w:rsid w:val="00E710DA"/>
    <w:rsid w:val="00E713AF"/>
    <w:rsid w:val="00E717E8"/>
    <w:rsid w:val="00E72BAF"/>
    <w:rsid w:val="00E73D81"/>
    <w:rsid w:val="00E754F4"/>
    <w:rsid w:val="00E770E5"/>
    <w:rsid w:val="00E77AD7"/>
    <w:rsid w:val="00E8100E"/>
    <w:rsid w:val="00E84633"/>
    <w:rsid w:val="00E84E16"/>
    <w:rsid w:val="00E865D1"/>
    <w:rsid w:val="00E87183"/>
    <w:rsid w:val="00E87623"/>
    <w:rsid w:val="00E91677"/>
    <w:rsid w:val="00E952A8"/>
    <w:rsid w:val="00EA057C"/>
    <w:rsid w:val="00EA2D3D"/>
    <w:rsid w:val="00EA5B84"/>
    <w:rsid w:val="00EB079E"/>
    <w:rsid w:val="00EB20F9"/>
    <w:rsid w:val="00EB24EB"/>
    <w:rsid w:val="00EB2623"/>
    <w:rsid w:val="00EB2DB8"/>
    <w:rsid w:val="00EB34AF"/>
    <w:rsid w:val="00EB5537"/>
    <w:rsid w:val="00EB5D32"/>
    <w:rsid w:val="00EB74BF"/>
    <w:rsid w:val="00EB7D13"/>
    <w:rsid w:val="00EC0164"/>
    <w:rsid w:val="00EC145C"/>
    <w:rsid w:val="00EC1DE8"/>
    <w:rsid w:val="00EC4235"/>
    <w:rsid w:val="00ED0394"/>
    <w:rsid w:val="00ED06CC"/>
    <w:rsid w:val="00ED1282"/>
    <w:rsid w:val="00ED2C8E"/>
    <w:rsid w:val="00ED379E"/>
    <w:rsid w:val="00ED728A"/>
    <w:rsid w:val="00ED7680"/>
    <w:rsid w:val="00EE0424"/>
    <w:rsid w:val="00EE07D0"/>
    <w:rsid w:val="00EE0D47"/>
    <w:rsid w:val="00EE46F6"/>
    <w:rsid w:val="00EE5358"/>
    <w:rsid w:val="00EF1B6A"/>
    <w:rsid w:val="00EF3C59"/>
    <w:rsid w:val="00EF40B4"/>
    <w:rsid w:val="00EF54D8"/>
    <w:rsid w:val="00EF6C4C"/>
    <w:rsid w:val="00EF71E9"/>
    <w:rsid w:val="00EF799A"/>
    <w:rsid w:val="00F006D2"/>
    <w:rsid w:val="00F00BD1"/>
    <w:rsid w:val="00F01528"/>
    <w:rsid w:val="00F01FD9"/>
    <w:rsid w:val="00F026B2"/>
    <w:rsid w:val="00F03434"/>
    <w:rsid w:val="00F03D5B"/>
    <w:rsid w:val="00F04B07"/>
    <w:rsid w:val="00F0577C"/>
    <w:rsid w:val="00F05BA8"/>
    <w:rsid w:val="00F06BD0"/>
    <w:rsid w:val="00F1456F"/>
    <w:rsid w:val="00F16F13"/>
    <w:rsid w:val="00F16F4C"/>
    <w:rsid w:val="00F17D87"/>
    <w:rsid w:val="00F20AEA"/>
    <w:rsid w:val="00F219C3"/>
    <w:rsid w:val="00F23E9A"/>
    <w:rsid w:val="00F242D9"/>
    <w:rsid w:val="00F24388"/>
    <w:rsid w:val="00F259FE"/>
    <w:rsid w:val="00F3715D"/>
    <w:rsid w:val="00F37708"/>
    <w:rsid w:val="00F4460B"/>
    <w:rsid w:val="00F44B62"/>
    <w:rsid w:val="00F5072C"/>
    <w:rsid w:val="00F51CBF"/>
    <w:rsid w:val="00F51F07"/>
    <w:rsid w:val="00F526D5"/>
    <w:rsid w:val="00F5411D"/>
    <w:rsid w:val="00F565B9"/>
    <w:rsid w:val="00F56D2B"/>
    <w:rsid w:val="00F57D2D"/>
    <w:rsid w:val="00F606D8"/>
    <w:rsid w:val="00F60A1B"/>
    <w:rsid w:val="00F60A7D"/>
    <w:rsid w:val="00F61360"/>
    <w:rsid w:val="00F62A49"/>
    <w:rsid w:val="00F64F0D"/>
    <w:rsid w:val="00F7026A"/>
    <w:rsid w:val="00F715B8"/>
    <w:rsid w:val="00F71826"/>
    <w:rsid w:val="00F72B45"/>
    <w:rsid w:val="00F73B00"/>
    <w:rsid w:val="00F74457"/>
    <w:rsid w:val="00F764EE"/>
    <w:rsid w:val="00F7664F"/>
    <w:rsid w:val="00F77D04"/>
    <w:rsid w:val="00F80070"/>
    <w:rsid w:val="00F807C6"/>
    <w:rsid w:val="00F80E00"/>
    <w:rsid w:val="00F818F6"/>
    <w:rsid w:val="00F84737"/>
    <w:rsid w:val="00F85EE4"/>
    <w:rsid w:val="00F861D5"/>
    <w:rsid w:val="00F87B69"/>
    <w:rsid w:val="00F905AB"/>
    <w:rsid w:val="00F90C95"/>
    <w:rsid w:val="00F9103E"/>
    <w:rsid w:val="00F9324D"/>
    <w:rsid w:val="00F94E31"/>
    <w:rsid w:val="00F95923"/>
    <w:rsid w:val="00F95BD7"/>
    <w:rsid w:val="00F96A39"/>
    <w:rsid w:val="00F96DB3"/>
    <w:rsid w:val="00F97463"/>
    <w:rsid w:val="00FA353A"/>
    <w:rsid w:val="00FA44B6"/>
    <w:rsid w:val="00FA4B50"/>
    <w:rsid w:val="00FA4DC6"/>
    <w:rsid w:val="00FA5D99"/>
    <w:rsid w:val="00FB030E"/>
    <w:rsid w:val="00FB571F"/>
    <w:rsid w:val="00FC0412"/>
    <w:rsid w:val="00FC1E22"/>
    <w:rsid w:val="00FC42BA"/>
    <w:rsid w:val="00FC4B30"/>
    <w:rsid w:val="00FC6166"/>
    <w:rsid w:val="00FC77BB"/>
    <w:rsid w:val="00FD08C1"/>
    <w:rsid w:val="00FD1B31"/>
    <w:rsid w:val="00FD2C54"/>
    <w:rsid w:val="00FD6F78"/>
    <w:rsid w:val="00FD7A7A"/>
    <w:rsid w:val="00FE10C1"/>
    <w:rsid w:val="00FE190E"/>
    <w:rsid w:val="00FE20A9"/>
    <w:rsid w:val="00FE290E"/>
    <w:rsid w:val="00FE48A9"/>
    <w:rsid w:val="00FE711A"/>
    <w:rsid w:val="00FF08B7"/>
    <w:rsid w:val="00FF12B8"/>
    <w:rsid w:val="00FF13B5"/>
    <w:rsid w:val="00FF171B"/>
    <w:rsid w:val="00FF439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B1DDC8"/>
  <w14:defaultImageDpi w14:val="330"/>
  <w15:docId w15:val="{D1768A0D-D08C-41FD-964F-98E26F40C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6181"/>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252E15"/>
    <w:pPr>
      <w:keepNext/>
      <w:keepLines/>
      <w:spacing w:before="280" w:after="80"/>
    </w:pPr>
    <w:rPr>
      <w:rFonts w:cstheme="minorHAnsi"/>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252E15"/>
    <w:rPr>
      <w:rFonts w:ascii="Calibri Light" w:hAnsi="Calibri Light" w:cstheme="minorHAnsi"/>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iPriority w:val="99"/>
    <w:unhideWhenUsed/>
    <w:qFormat/>
    <w:rsid w:val="005E25DC"/>
    <w:rPr>
      <w:sz w:val="18"/>
    </w:rPr>
  </w:style>
  <w:style w:type="character" w:customStyle="1" w:styleId="FootnoteTextChar">
    <w:name w:val="Footnote Text Char"/>
    <w:aliases w:val="EMI Footnote Text Char"/>
    <w:basedOn w:val="DefaultParagraphFont"/>
    <w:link w:val="FootnoteText"/>
    <w:uiPriority w:val="99"/>
    <w:rsid w:val="005E25DC"/>
    <w:rPr>
      <w:sz w:val="18"/>
    </w:rPr>
  </w:style>
  <w:style w:type="character" w:styleId="FootnoteReference">
    <w:name w:val="footnote reference"/>
    <w:basedOn w:val="DefaultParagraphFont"/>
    <w:uiPriority w:val="99"/>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8F7149"/>
    <w:rPr>
      <w:b/>
      <w:bCs/>
      <w:caps/>
    </w:rPr>
  </w:style>
  <w:style w:type="character" w:customStyle="1" w:styleId="BodyTextChar">
    <w:name w:val="Body Text Char"/>
    <w:basedOn w:val="DefaultParagraphFont"/>
    <w:link w:val="BodyText"/>
    <w:uiPriority w:val="99"/>
    <w:rsid w:val="008F7149"/>
    <w:rPr>
      <w:rFonts w:ascii="Calibri Light" w:hAnsi="Calibri Light"/>
      <w:b/>
      <w:bCs/>
      <w:caps/>
      <w:sz w:val="22"/>
    </w:rPr>
  </w:style>
  <w:style w:type="paragraph" w:customStyle="1" w:styleId="eTRMBulletedText">
    <w:name w:val="eTRM Bulleted Text"/>
    <w:basedOn w:val="Normal"/>
    <w:autoRedefine/>
    <w:qFormat/>
    <w:rsid w:val="00750659"/>
    <w:pPr>
      <w:numPr>
        <w:numId w:val="6"/>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9869EA"/>
    <w:pPr>
      <w:keepNext/>
      <w:keepLines/>
      <w:spacing w:line="320" w:lineRule="exact"/>
      <w:contextualSpacing/>
      <w:jc w:val="center"/>
      <w:outlineLvl w:val="0"/>
    </w:pPr>
    <w:rPr>
      <w:rFonts w:ascii="Calibri" w:eastAsiaTheme="majorEastAsia" w:hAnsi="Calibri" w:cstheme="majorBidi"/>
      <w:b/>
      <w:caps/>
      <w:color w:val="FFFFFF" w:themeColor="background1"/>
      <w:spacing w:val="60"/>
      <w:sz w:val="28"/>
      <w:szCs w:val="36"/>
    </w:rPr>
  </w:style>
  <w:style w:type="character" w:customStyle="1" w:styleId="eTRMHeading1Char">
    <w:name w:val="eTRM Heading 1 Char"/>
    <w:basedOn w:val="DefaultParagraphFont"/>
    <w:link w:val="eTRMHeading1"/>
    <w:rsid w:val="009869EA"/>
    <w:rPr>
      <w:rFonts w:ascii="Calibri" w:eastAsiaTheme="majorEastAsia" w:hAnsi="Calibri" w:cstheme="majorBidi"/>
      <w:b/>
      <w:caps/>
      <w:color w:val="FFFFFF" w:themeColor="background1"/>
      <w:spacing w:val="60"/>
      <w:sz w:val="28"/>
      <w:szCs w:val="36"/>
    </w:rPr>
  </w:style>
  <w:style w:type="paragraph" w:customStyle="1" w:styleId="eTRMHeading2">
    <w:name w:val="eTRM Heading 2"/>
    <w:basedOn w:val="Normal"/>
    <w:link w:val="eTRMHeading2Char"/>
    <w:autoRedefine/>
    <w:qFormat/>
    <w:rsid w:val="00E225C2"/>
    <w:pPr>
      <w:keepNext/>
      <w:keepLines/>
      <w:spacing w:line="360" w:lineRule="exact"/>
      <w:jc w:val="center"/>
      <w:outlineLvl w:val="1"/>
    </w:pPr>
    <w:rPr>
      <w:rFonts w:eastAsiaTheme="majorEastAsia" w:cstheme="majorBidi"/>
      <w:caps/>
      <w:color w:val="FFFFFF" w:themeColor="background1"/>
      <w:spacing w:val="60"/>
      <w:sz w:val="32"/>
    </w:rPr>
  </w:style>
  <w:style w:type="character" w:customStyle="1" w:styleId="eTRMHeading2Char">
    <w:name w:val="eTRM Heading 2 Char"/>
    <w:basedOn w:val="DefaultParagraphFont"/>
    <w:link w:val="eTRMHeading2"/>
    <w:rsid w:val="00E225C2"/>
    <w:rPr>
      <w:rFonts w:ascii="Calibri Light" w:eastAsiaTheme="majorEastAsia" w:hAnsi="Calibri Light" w:cstheme="majorBidi"/>
      <w:caps/>
      <w:color w:val="FFFFFF" w:themeColor="background1"/>
      <w:spacing w:val="60"/>
      <w:sz w:val="32"/>
    </w:rPr>
  </w:style>
  <w:style w:type="paragraph" w:customStyle="1" w:styleId="eTRMHeading3">
    <w:name w:val="eTRM Heading 3"/>
    <w:basedOn w:val="Heading3"/>
    <w:link w:val="eTRMHeading3Char"/>
    <w:autoRedefine/>
    <w:qFormat/>
    <w:rsid w:val="008F7149"/>
    <w:pPr>
      <w:spacing w:line="300" w:lineRule="exact"/>
    </w:pPr>
    <w:rPr>
      <w:rFonts w:ascii="Calibri Light" w:hAnsi="Calibri Light"/>
      <w:b/>
      <w:bCs/>
      <w:caps/>
      <w:color w:val="CFAB7A"/>
      <w:sz w:val="24"/>
    </w:rPr>
  </w:style>
  <w:style w:type="character" w:customStyle="1" w:styleId="eTRMHeading3Char">
    <w:name w:val="eTRM Heading 3 Char"/>
    <w:basedOn w:val="DefaultParagraphFont"/>
    <w:link w:val="eTRMHeading3"/>
    <w:rsid w:val="008F7149"/>
    <w:rPr>
      <w:rFonts w:ascii="Calibri Light" w:eastAsiaTheme="majorEastAsia" w:hAnsi="Calibri Light" w:cstheme="majorBidi"/>
      <w:b/>
      <w:bCs/>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753FCE"/>
    <w:rPr>
      <w:i/>
      <w:color w:val="5F5F5F"/>
      <w:sz w:val="24"/>
    </w:rPr>
  </w:style>
  <w:style w:type="paragraph" w:customStyle="1" w:styleId="eTRMFootnoteText">
    <w:name w:val="eTRM Footnote Text"/>
    <w:basedOn w:val="FootnoteText"/>
    <w:next w:val="Normal"/>
    <w:link w:val="eTRMFootnoteTextChar"/>
    <w:autoRedefine/>
    <w:qFormat/>
    <w:rsid w:val="000C5378"/>
    <w:pPr>
      <w:spacing w:before="20" w:after="20"/>
    </w:pPr>
  </w:style>
  <w:style w:type="character" w:customStyle="1" w:styleId="eTRMFootnoteTextChar">
    <w:name w:val="eTRM Footnote Text Char"/>
    <w:basedOn w:val="FootnoteTextChar"/>
    <w:link w:val="eTRMFootnoteText"/>
    <w:rsid w:val="000C5378"/>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paragraph" w:customStyle="1" w:styleId="Normal1">
    <w:name w:val="Normal1"/>
    <w:rsid w:val="00A377A6"/>
    <w:rPr>
      <w:rFonts w:ascii="Calibri" w:eastAsia="Calibri" w:hAnsi="Calibri" w:cs="Calibri"/>
      <w:color w:val="000000"/>
      <w:sz w:val="22"/>
      <w:szCs w:val="22"/>
    </w:rPr>
  </w:style>
  <w:style w:type="character" w:customStyle="1" w:styleId="apple-converted-space">
    <w:name w:val="apple-converted-space"/>
    <w:basedOn w:val="DefaultParagraphFont"/>
    <w:rsid w:val="00690A8C"/>
  </w:style>
  <w:style w:type="paragraph" w:customStyle="1" w:styleId="Normal2">
    <w:name w:val="Normal2"/>
    <w:rsid w:val="00690A8C"/>
    <w:pPr>
      <w:widowControl w:val="0"/>
    </w:pPr>
    <w:rPr>
      <w:rFonts w:ascii="Calibri" w:eastAsia="Calibri" w:hAnsi="Calibri" w:cs="Calibri"/>
      <w:color w:val="000000"/>
      <w:sz w:val="22"/>
      <w:szCs w:val="22"/>
    </w:rPr>
  </w:style>
  <w:style w:type="character" w:customStyle="1" w:styleId="gmailmsg">
    <w:name w:val="gmail_msg"/>
    <w:basedOn w:val="DefaultParagraphFont"/>
    <w:rsid w:val="005F56E9"/>
  </w:style>
  <w:style w:type="paragraph" w:customStyle="1" w:styleId="m-4164623072496684233gmail-normal1">
    <w:name w:val="m_-4164623072496684233gmail-normal1"/>
    <w:basedOn w:val="Normal"/>
    <w:rsid w:val="005F56E9"/>
    <w:pPr>
      <w:spacing w:before="100" w:beforeAutospacing="1" w:after="100" w:afterAutospacing="1" w:line="240" w:lineRule="auto"/>
    </w:pPr>
    <w:rPr>
      <w:rFonts w:ascii="Times" w:eastAsia="Calibri" w:hAnsi="Times" w:cs="Calibri"/>
      <w:sz w:val="20"/>
      <w:szCs w:val="20"/>
    </w:rPr>
  </w:style>
  <w:style w:type="paragraph" w:styleId="NormalWeb">
    <w:name w:val="Normal (Web)"/>
    <w:basedOn w:val="Normal"/>
    <w:uiPriority w:val="99"/>
    <w:unhideWhenUsed/>
    <w:rsid w:val="005F56E9"/>
    <w:pPr>
      <w:spacing w:before="100" w:beforeAutospacing="1" w:after="100" w:afterAutospacing="1" w:line="240" w:lineRule="auto"/>
    </w:pPr>
    <w:rPr>
      <w:rFonts w:ascii="Times" w:eastAsia="Calibri" w:hAnsi="Times" w:cs="Times New Roman"/>
      <w:sz w:val="20"/>
      <w:szCs w:val="20"/>
    </w:rPr>
  </w:style>
  <w:style w:type="table" w:customStyle="1" w:styleId="TableGrid2">
    <w:name w:val="Table Grid2"/>
    <w:basedOn w:val="TableNormal"/>
    <w:next w:val="TableGrid"/>
    <w:uiPriority w:val="59"/>
    <w:rsid w:val="00B47923"/>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
    <w:name w:val="Norma"/>
    <w:qFormat/>
    <w:rsid w:val="00753FCE"/>
    <w:pPr>
      <w:spacing w:before="120" w:after="120" w:line="220" w:lineRule="atLeast"/>
    </w:pPr>
    <w:rPr>
      <w:rFonts w:ascii="Calibri Light" w:hAnsi="Calibri Light"/>
      <w:sz w:val="22"/>
    </w:rPr>
  </w:style>
  <w:style w:type="character" w:styleId="UnresolvedMention">
    <w:name w:val="Unresolved Mention"/>
    <w:basedOn w:val="DefaultParagraphFont"/>
    <w:uiPriority w:val="99"/>
    <w:semiHidden/>
    <w:unhideWhenUsed/>
    <w:rsid w:val="007D7D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70828">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5065306">
      <w:bodyDiv w:val="1"/>
      <w:marLeft w:val="0"/>
      <w:marRight w:val="0"/>
      <w:marTop w:val="0"/>
      <w:marBottom w:val="0"/>
      <w:divBdr>
        <w:top w:val="none" w:sz="0" w:space="0" w:color="auto"/>
        <w:left w:val="none" w:sz="0" w:space="0" w:color="auto"/>
        <w:bottom w:val="none" w:sz="0" w:space="0" w:color="auto"/>
        <w:right w:val="none" w:sz="0" w:space="0" w:color="auto"/>
      </w:divBdr>
    </w:div>
    <w:div w:id="470487194">
      <w:bodyDiv w:val="1"/>
      <w:marLeft w:val="0"/>
      <w:marRight w:val="0"/>
      <w:marTop w:val="0"/>
      <w:marBottom w:val="0"/>
      <w:divBdr>
        <w:top w:val="none" w:sz="0" w:space="0" w:color="auto"/>
        <w:left w:val="none" w:sz="0" w:space="0" w:color="auto"/>
        <w:bottom w:val="none" w:sz="0" w:space="0" w:color="auto"/>
        <w:right w:val="none" w:sz="0" w:space="0" w:color="auto"/>
      </w:divBdr>
    </w:div>
    <w:div w:id="478501489">
      <w:bodyDiv w:val="1"/>
      <w:marLeft w:val="0"/>
      <w:marRight w:val="0"/>
      <w:marTop w:val="0"/>
      <w:marBottom w:val="0"/>
      <w:divBdr>
        <w:top w:val="none" w:sz="0" w:space="0" w:color="auto"/>
        <w:left w:val="none" w:sz="0" w:space="0" w:color="auto"/>
        <w:bottom w:val="none" w:sz="0" w:space="0" w:color="auto"/>
        <w:right w:val="none" w:sz="0" w:space="0" w:color="auto"/>
      </w:divBdr>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732387881">
      <w:bodyDiv w:val="1"/>
      <w:marLeft w:val="0"/>
      <w:marRight w:val="0"/>
      <w:marTop w:val="0"/>
      <w:marBottom w:val="0"/>
      <w:divBdr>
        <w:top w:val="none" w:sz="0" w:space="0" w:color="auto"/>
        <w:left w:val="none" w:sz="0" w:space="0" w:color="auto"/>
        <w:bottom w:val="none" w:sz="0" w:space="0" w:color="auto"/>
        <w:right w:val="none" w:sz="0" w:space="0" w:color="auto"/>
      </w:divBdr>
    </w:div>
    <w:div w:id="793331158">
      <w:bodyDiv w:val="1"/>
      <w:marLeft w:val="0"/>
      <w:marRight w:val="0"/>
      <w:marTop w:val="0"/>
      <w:marBottom w:val="0"/>
      <w:divBdr>
        <w:top w:val="none" w:sz="0" w:space="0" w:color="auto"/>
        <w:left w:val="none" w:sz="0" w:space="0" w:color="auto"/>
        <w:bottom w:val="none" w:sz="0" w:space="0" w:color="auto"/>
        <w:right w:val="none" w:sz="0" w:space="0" w:color="auto"/>
      </w:divBdr>
    </w:div>
    <w:div w:id="811291914">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39891953">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362365028">
      <w:bodyDiv w:val="1"/>
      <w:marLeft w:val="0"/>
      <w:marRight w:val="0"/>
      <w:marTop w:val="0"/>
      <w:marBottom w:val="0"/>
      <w:divBdr>
        <w:top w:val="none" w:sz="0" w:space="0" w:color="auto"/>
        <w:left w:val="none" w:sz="0" w:space="0" w:color="auto"/>
        <w:bottom w:val="none" w:sz="0" w:space="0" w:color="auto"/>
        <w:right w:val="none" w:sz="0" w:space="0" w:color="auto"/>
      </w:divBdr>
    </w:div>
    <w:div w:id="1541628834">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723794105">
      <w:bodyDiv w:val="1"/>
      <w:marLeft w:val="0"/>
      <w:marRight w:val="0"/>
      <w:marTop w:val="0"/>
      <w:marBottom w:val="0"/>
      <w:divBdr>
        <w:top w:val="none" w:sz="0" w:space="0" w:color="auto"/>
        <w:left w:val="none" w:sz="0" w:space="0" w:color="auto"/>
        <w:bottom w:val="none" w:sz="0" w:space="0" w:color="auto"/>
        <w:right w:val="none" w:sz="0" w:space="0" w:color="auto"/>
      </w:divBdr>
    </w:div>
    <w:div w:id="1761412775">
      <w:bodyDiv w:val="1"/>
      <w:marLeft w:val="0"/>
      <w:marRight w:val="0"/>
      <w:marTop w:val="0"/>
      <w:marBottom w:val="0"/>
      <w:divBdr>
        <w:top w:val="none" w:sz="0" w:space="0" w:color="auto"/>
        <w:left w:val="none" w:sz="0" w:space="0" w:color="auto"/>
        <w:bottom w:val="none" w:sz="0" w:space="0" w:color="auto"/>
        <w:right w:val="none" w:sz="0" w:space="0" w:color="auto"/>
      </w:divBdr>
    </w:div>
    <w:div w:id="1838884286">
      <w:bodyDiv w:val="1"/>
      <w:marLeft w:val="0"/>
      <w:marRight w:val="0"/>
      <w:marTop w:val="0"/>
      <w:marBottom w:val="0"/>
      <w:divBdr>
        <w:top w:val="none" w:sz="0" w:space="0" w:color="auto"/>
        <w:left w:val="none" w:sz="0" w:space="0" w:color="auto"/>
        <w:bottom w:val="none" w:sz="0" w:space="0" w:color="auto"/>
        <w:right w:val="none" w:sz="0" w:space="0" w:color="auto"/>
      </w:divBdr>
    </w:div>
    <w:div w:id="1856963542">
      <w:bodyDiv w:val="1"/>
      <w:marLeft w:val="0"/>
      <w:marRight w:val="0"/>
      <w:marTop w:val="0"/>
      <w:marBottom w:val="0"/>
      <w:divBdr>
        <w:top w:val="none" w:sz="0" w:space="0" w:color="auto"/>
        <w:left w:val="none" w:sz="0" w:space="0" w:color="auto"/>
        <w:bottom w:val="none" w:sz="0" w:space="0" w:color="auto"/>
        <w:right w:val="none" w:sz="0" w:space="0" w:color="auto"/>
      </w:divBdr>
    </w:div>
    <w:div w:id="1882552763">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756173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9879A-550B-4B97-A527-96B040B12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0</TotalTime>
  <Pages>18</Pages>
  <Words>5101</Words>
  <Characters>29080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34113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3</cp:revision>
  <cp:lastPrinted>2017-06-29T20:58:00Z</cp:lastPrinted>
  <dcterms:created xsi:type="dcterms:W3CDTF">2021-11-24T00:43:00Z</dcterms:created>
  <dcterms:modified xsi:type="dcterms:W3CDTF">2021-11-24T00:50:00Z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2fbb032-08bf-4f1e-af46-2528cd3f96ca_Enabled">
    <vt:lpwstr>true</vt:lpwstr>
  </property>
  <property fmtid="{D5CDD505-2E9C-101B-9397-08002B2CF9AE}" pid="3" name="MSIP_Label_22fbb032-08bf-4f1e-af46-2528cd3f96ca_SetDate">
    <vt:lpwstr>2021-10-25T12:45:40Z</vt:lpwstr>
  </property>
  <property fmtid="{D5CDD505-2E9C-101B-9397-08002B2CF9AE}" pid="4" name="MSIP_Label_22fbb032-08bf-4f1e-af46-2528cd3f96ca_Method">
    <vt:lpwstr>Privileged</vt:lpwstr>
  </property>
  <property fmtid="{D5CDD505-2E9C-101B-9397-08002B2CF9AE}" pid="5" name="MSIP_Label_22fbb032-08bf-4f1e-af46-2528cd3f96ca_Name">
    <vt:lpwstr>22fbb032-08bf-4f1e-af46-2528cd3f96ca</vt:lpwstr>
  </property>
  <property fmtid="{D5CDD505-2E9C-101B-9397-08002B2CF9AE}" pid="6" name="MSIP_Label_22fbb032-08bf-4f1e-af46-2528cd3f96ca_SiteId">
    <vt:lpwstr>adf10e2b-b6e9-41d6-be2f-c12bb566019c</vt:lpwstr>
  </property>
  <property fmtid="{D5CDD505-2E9C-101B-9397-08002B2CF9AE}" pid="7" name="MSIP_Label_22fbb032-08bf-4f1e-af46-2528cd3f96ca_ActionId">
    <vt:lpwstr>8d222b85-e4eb-4614-b791-57f87f8d93a0</vt:lpwstr>
  </property>
  <property fmtid="{D5CDD505-2E9C-101B-9397-08002B2CF9AE}" pid="8" name="MSIP_Label_22fbb032-08bf-4f1e-af46-2528cd3f96ca_ContentBits">
    <vt:lpwstr>0</vt:lpwstr>
  </property>
</Properties>
</file>