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67BD4DD1" w14:textId="77777777" w:rsidTr="00A50610">
        <w:trPr>
          <w:cantSplit/>
          <w:trHeight w:hRule="exact" w:val="1566"/>
          <w:jc w:val="right"/>
        </w:trPr>
        <w:tc>
          <w:tcPr>
            <w:tcW w:w="9000" w:type="dxa"/>
            <w:shd w:val="clear" w:color="auto" w:fill="8DC63F"/>
            <w:vAlign w:val="center"/>
          </w:tcPr>
          <w:p w14:paraId="3EF67A49" w14:textId="10A90DF8" w:rsidR="00BD221D" w:rsidRPr="00E225C2" w:rsidRDefault="003D70D3" w:rsidP="00A50610">
            <w:pPr>
              <w:pStyle w:val="eTRMHeading1"/>
            </w:pPr>
            <w:r w:rsidRPr="00E225C2">
              <w:t>HVAC</w:t>
            </w:r>
          </w:p>
          <w:p w14:paraId="0E5D1892" w14:textId="15AD8FAB" w:rsidR="00BD221D" w:rsidRDefault="00BA1BBC" w:rsidP="00E225C2">
            <w:pPr>
              <w:pStyle w:val="eTRMHeading2"/>
            </w:pPr>
            <w:r w:rsidRPr="00203ECA">
              <w:t>Smart Thermostat, Residential</w:t>
            </w:r>
          </w:p>
          <w:p w14:paraId="10BE1877" w14:textId="02B3D3C9" w:rsidR="00E225C2" w:rsidRPr="00A50610" w:rsidRDefault="00E225C2" w:rsidP="00E225C2">
            <w:pPr>
              <w:pStyle w:val="eTRMHeading2"/>
              <w:rPr>
                <w:spacing w:val="0"/>
              </w:rPr>
            </w:pPr>
            <w:r w:rsidRPr="00A50610">
              <w:rPr>
                <w:spacing w:val="0"/>
                <w:sz w:val="28"/>
                <w:szCs w:val="22"/>
              </w:rPr>
              <w:t>SWHC039-</w:t>
            </w:r>
            <w:r w:rsidR="00554225" w:rsidRPr="00A50610">
              <w:rPr>
                <w:spacing w:val="0"/>
                <w:sz w:val="28"/>
                <w:szCs w:val="22"/>
              </w:rPr>
              <w:t>0</w:t>
            </w:r>
            <w:r w:rsidR="00554225">
              <w:rPr>
                <w:spacing w:val="0"/>
                <w:sz w:val="28"/>
                <w:szCs w:val="22"/>
              </w:rPr>
              <w:t>3</w:t>
            </w:r>
          </w:p>
        </w:tc>
      </w:tr>
    </w:tbl>
    <w:p w14:paraId="645F3ACB" w14:textId="77777777" w:rsidR="00BD221D" w:rsidRPr="00203ECA" w:rsidRDefault="00BD221D" w:rsidP="00BD221D"/>
    <w:p w14:paraId="31745A8D" w14:textId="45DC1270" w:rsidR="00D12B8C" w:rsidRPr="00203ECA" w:rsidRDefault="007E1F66" w:rsidP="0053748E">
      <w:pPr>
        <w:jc w:val="center"/>
        <w:rPr>
          <w:spacing w:val="80"/>
          <w:sz w:val="28"/>
        </w:rPr>
      </w:pPr>
      <w:r w:rsidRPr="00203ECA">
        <w:rPr>
          <w:spacing w:val="80"/>
          <w:sz w:val="28"/>
        </w:rPr>
        <w:t>CONTENTS</w:t>
      </w:r>
    </w:p>
    <w:p w14:paraId="29F2BDF4" w14:textId="2E9F81D3" w:rsidR="005B4ECB"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5B4ECB">
        <w:rPr>
          <w:noProof/>
        </w:rPr>
        <w:t>Measure Name</w:t>
      </w:r>
      <w:r w:rsidR="005B4ECB">
        <w:rPr>
          <w:noProof/>
        </w:rPr>
        <w:tab/>
      </w:r>
      <w:r w:rsidR="005B4ECB">
        <w:rPr>
          <w:noProof/>
        </w:rPr>
        <w:fldChar w:fldCharType="begin"/>
      </w:r>
      <w:r w:rsidR="005B4ECB">
        <w:rPr>
          <w:noProof/>
        </w:rPr>
        <w:instrText xml:space="preserve"> PAGEREF _Toc42244437 \h </w:instrText>
      </w:r>
      <w:r w:rsidR="005B4ECB">
        <w:rPr>
          <w:noProof/>
        </w:rPr>
      </w:r>
      <w:r w:rsidR="005B4ECB">
        <w:rPr>
          <w:noProof/>
        </w:rPr>
        <w:fldChar w:fldCharType="separate"/>
      </w:r>
      <w:r w:rsidR="005B4ECB">
        <w:rPr>
          <w:noProof/>
        </w:rPr>
        <w:t>2</w:t>
      </w:r>
      <w:r w:rsidR="005B4ECB">
        <w:rPr>
          <w:noProof/>
        </w:rPr>
        <w:fldChar w:fldCharType="end"/>
      </w:r>
    </w:p>
    <w:p w14:paraId="606E0205" w14:textId="7A8B98A8" w:rsidR="005B4ECB" w:rsidRDefault="005B4ECB">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_Toc42244438 \h </w:instrText>
      </w:r>
      <w:r>
        <w:rPr>
          <w:noProof/>
        </w:rPr>
      </w:r>
      <w:r>
        <w:rPr>
          <w:noProof/>
        </w:rPr>
        <w:fldChar w:fldCharType="separate"/>
      </w:r>
      <w:r>
        <w:rPr>
          <w:noProof/>
        </w:rPr>
        <w:t>2</w:t>
      </w:r>
      <w:r>
        <w:rPr>
          <w:noProof/>
        </w:rPr>
        <w:fldChar w:fldCharType="end"/>
      </w:r>
    </w:p>
    <w:p w14:paraId="7750657C" w14:textId="5FB5B4D3" w:rsidR="005B4ECB" w:rsidRDefault="005B4ECB">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_Toc42244439 \h </w:instrText>
      </w:r>
      <w:r>
        <w:rPr>
          <w:noProof/>
        </w:rPr>
      </w:r>
      <w:r>
        <w:rPr>
          <w:noProof/>
        </w:rPr>
        <w:fldChar w:fldCharType="separate"/>
      </w:r>
      <w:r>
        <w:rPr>
          <w:noProof/>
        </w:rPr>
        <w:t>2</w:t>
      </w:r>
      <w:r>
        <w:rPr>
          <w:noProof/>
        </w:rPr>
        <w:fldChar w:fldCharType="end"/>
      </w:r>
    </w:p>
    <w:p w14:paraId="625246EC" w14:textId="016754A2" w:rsidR="005B4ECB" w:rsidRDefault="005B4ECB">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_Toc42244440 \h </w:instrText>
      </w:r>
      <w:r>
        <w:rPr>
          <w:noProof/>
        </w:rPr>
      </w:r>
      <w:r>
        <w:rPr>
          <w:noProof/>
        </w:rPr>
        <w:fldChar w:fldCharType="separate"/>
      </w:r>
      <w:r>
        <w:rPr>
          <w:noProof/>
        </w:rPr>
        <w:t>2</w:t>
      </w:r>
      <w:r>
        <w:rPr>
          <w:noProof/>
        </w:rPr>
        <w:fldChar w:fldCharType="end"/>
      </w:r>
    </w:p>
    <w:p w14:paraId="0977B5C3" w14:textId="38778575" w:rsidR="005B4ECB" w:rsidRDefault="005B4ECB">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_Toc42244441 \h </w:instrText>
      </w:r>
      <w:r>
        <w:rPr>
          <w:noProof/>
        </w:rPr>
      </w:r>
      <w:r>
        <w:rPr>
          <w:noProof/>
        </w:rPr>
        <w:fldChar w:fldCharType="separate"/>
      </w:r>
      <w:r>
        <w:rPr>
          <w:noProof/>
        </w:rPr>
        <w:t>2</w:t>
      </w:r>
      <w:r>
        <w:rPr>
          <w:noProof/>
        </w:rPr>
        <w:fldChar w:fldCharType="end"/>
      </w:r>
    </w:p>
    <w:p w14:paraId="5084AE24" w14:textId="65A9825B" w:rsidR="005B4ECB" w:rsidRDefault="005B4ECB">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_Toc42244442 \h </w:instrText>
      </w:r>
      <w:r>
        <w:rPr>
          <w:noProof/>
        </w:rPr>
      </w:r>
      <w:r>
        <w:rPr>
          <w:noProof/>
        </w:rPr>
        <w:fldChar w:fldCharType="separate"/>
      </w:r>
      <w:r>
        <w:rPr>
          <w:noProof/>
        </w:rPr>
        <w:t>3</w:t>
      </w:r>
      <w:r>
        <w:rPr>
          <w:noProof/>
        </w:rPr>
        <w:fldChar w:fldCharType="end"/>
      </w:r>
    </w:p>
    <w:p w14:paraId="0D196CAE" w14:textId="6CDF835F" w:rsidR="005B4ECB" w:rsidRDefault="005B4ECB">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_Toc42244443 \h </w:instrText>
      </w:r>
      <w:r>
        <w:rPr>
          <w:noProof/>
        </w:rPr>
      </w:r>
      <w:r>
        <w:rPr>
          <w:noProof/>
        </w:rPr>
        <w:fldChar w:fldCharType="separate"/>
      </w:r>
      <w:r>
        <w:rPr>
          <w:noProof/>
        </w:rPr>
        <w:t>3</w:t>
      </w:r>
      <w:r>
        <w:rPr>
          <w:noProof/>
        </w:rPr>
        <w:fldChar w:fldCharType="end"/>
      </w:r>
    </w:p>
    <w:p w14:paraId="236AFB45" w14:textId="04D2BAC8" w:rsidR="005B4ECB" w:rsidRDefault="005B4ECB">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_Toc42244444 \h </w:instrText>
      </w:r>
      <w:r>
        <w:rPr>
          <w:noProof/>
        </w:rPr>
      </w:r>
      <w:r>
        <w:rPr>
          <w:noProof/>
        </w:rPr>
        <w:fldChar w:fldCharType="separate"/>
      </w:r>
      <w:r>
        <w:rPr>
          <w:noProof/>
        </w:rPr>
        <w:t>3</w:t>
      </w:r>
      <w:r>
        <w:rPr>
          <w:noProof/>
        </w:rPr>
        <w:fldChar w:fldCharType="end"/>
      </w:r>
    </w:p>
    <w:p w14:paraId="5A365869" w14:textId="3E8EDCF9" w:rsidR="005B4ECB" w:rsidRDefault="005B4ECB">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_Toc42244445 \h </w:instrText>
      </w:r>
      <w:r>
        <w:rPr>
          <w:noProof/>
        </w:rPr>
      </w:r>
      <w:r>
        <w:rPr>
          <w:noProof/>
        </w:rPr>
        <w:fldChar w:fldCharType="separate"/>
      </w:r>
      <w:r>
        <w:rPr>
          <w:noProof/>
        </w:rPr>
        <w:t>5</w:t>
      </w:r>
      <w:r>
        <w:rPr>
          <w:noProof/>
        </w:rPr>
        <w:fldChar w:fldCharType="end"/>
      </w:r>
    </w:p>
    <w:p w14:paraId="71EAA5E2" w14:textId="6902626A" w:rsidR="005B4ECB" w:rsidRDefault="005B4ECB">
      <w:pPr>
        <w:pStyle w:val="TOC3"/>
        <w:rPr>
          <w:rFonts w:asciiTheme="minorHAnsi" w:hAnsiTheme="minorHAnsi"/>
          <w:noProof/>
          <w:szCs w:val="22"/>
        </w:rPr>
      </w:pPr>
      <w:r>
        <w:rPr>
          <w:noProof/>
        </w:rPr>
        <w:t xml:space="preserve">Data Collection Requirements </w:t>
      </w:r>
      <w:r>
        <w:rPr>
          <w:noProof/>
        </w:rPr>
        <w:tab/>
      </w:r>
      <w:r>
        <w:rPr>
          <w:noProof/>
        </w:rPr>
        <w:fldChar w:fldCharType="begin"/>
      </w:r>
      <w:r>
        <w:rPr>
          <w:noProof/>
        </w:rPr>
        <w:instrText xml:space="preserve"> PAGEREF _Toc42244446 \h </w:instrText>
      </w:r>
      <w:r>
        <w:rPr>
          <w:noProof/>
        </w:rPr>
      </w:r>
      <w:r>
        <w:rPr>
          <w:noProof/>
        </w:rPr>
        <w:fldChar w:fldCharType="separate"/>
      </w:r>
      <w:r>
        <w:rPr>
          <w:noProof/>
        </w:rPr>
        <w:t>5</w:t>
      </w:r>
      <w:r>
        <w:rPr>
          <w:noProof/>
        </w:rPr>
        <w:fldChar w:fldCharType="end"/>
      </w:r>
    </w:p>
    <w:p w14:paraId="51EAC4F7" w14:textId="0B75981B" w:rsidR="005B4ECB" w:rsidRDefault="005B4ECB">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_Toc42244447 \h </w:instrText>
      </w:r>
      <w:r>
        <w:rPr>
          <w:noProof/>
        </w:rPr>
      </w:r>
      <w:r>
        <w:rPr>
          <w:noProof/>
        </w:rPr>
        <w:fldChar w:fldCharType="separate"/>
      </w:r>
      <w:r>
        <w:rPr>
          <w:noProof/>
        </w:rPr>
        <w:t>5</w:t>
      </w:r>
      <w:r>
        <w:rPr>
          <w:noProof/>
        </w:rPr>
        <w:fldChar w:fldCharType="end"/>
      </w:r>
    </w:p>
    <w:p w14:paraId="369306EE" w14:textId="3CF448C7" w:rsidR="005B4ECB" w:rsidRDefault="005B4ECB">
      <w:pPr>
        <w:pStyle w:val="TOC3"/>
        <w:rPr>
          <w:rFonts w:asciiTheme="minorHAnsi" w:hAnsiTheme="minorHAnsi"/>
          <w:noProof/>
          <w:szCs w:val="22"/>
        </w:rPr>
      </w:pPr>
      <w:r>
        <w:rPr>
          <w:noProof/>
        </w:rPr>
        <w:t>Electric Savings (</w:t>
      </w:r>
      <w:r w:rsidRPr="00041D42">
        <w:rPr>
          <w:noProof/>
        </w:rPr>
        <w:t>kWh</w:t>
      </w:r>
      <w:r>
        <w:rPr>
          <w:noProof/>
        </w:rPr>
        <w:t>) and Gas Savings (therms)</w:t>
      </w:r>
      <w:r>
        <w:rPr>
          <w:noProof/>
        </w:rPr>
        <w:tab/>
      </w:r>
      <w:r>
        <w:rPr>
          <w:noProof/>
        </w:rPr>
        <w:fldChar w:fldCharType="begin"/>
      </w:r>
      <w:r>
        <w:rPr>
          <w:noProof/>
        </w:rPr>
        <w:instrText xml:space="preserve"> PAGEREF _Toc42244448 \h </w:instrText>
      </w:r>
      <w:r>
        <w:rPr>
          <w:noProof/>
        </w:rPr>
      </w:r>
      <w:r>
        <w:rPr>
          <w:noProof/>
        </w:rPr>
        <w:fldChar w:fldCharType="separate"/>
      </w:r>
      <w:r>
        <w:rPr>
          <w:noProof/>
        </w:rPr>
        <w:t>6</w:t>
      </w:r>
      <w:r>
        <w:rPr>
          <w:noProof/>
        </w:rPr>
        <w:fldChar w:fldCharType="end"/>
      </w:r>
    </w:p>
    <w:p w14:paraId="417DB213" w14:textId="5308117E" w:rsidR="005B4ECB" w:rsidRDefault="005B4ECB">
      <w:pPr>
        <w:pStyle w:val="TOC3"/>
        <w:rPr>
          <w:rFonts w:asciiTheme="minorHAnsi" w:hAnsiTheme="minorHAnsi"/>
          <w:noProof/>
          <w:szCs w:val="22"/>
        </w:rPr>
      </w:pPr>
      <w:r>
        <w:rPr>
          <w:noProof/>
        </w:rPr>
        <w:t>Data Source for Downstream Programs</w:t>
      </w:r>
      <w:r>
        <w:rPr>
          <w:noProof/>
        </w:rPr>
        <w:tab/>
      </w:r>
      <w:r>
        <w:rPr>
          <w:noProof/>
        </w:rPr>
        <w:fldChar w:fldCharType="begin"/>
      </w:r>
      <w:r>
        <w:rPr>
          <w:noProof/>
        </w:rPr>
        <w:instrText xml:space="preserve"> PAGEREF _Toc42244449 \h </w:instrText>
      </w:r>
      <w:r>
        <w:rPr>
          <w:noProof/>
        </w:rPr>
      </w:r>
      <w:r>
        <w:rPr>
          <w:noProof/>
        </w:rPr>
        <w:fldChar w:fldCharType="separate"/>
      </w:r>
      <w:r>
        <w:rPr>
          <w:noProof/>
        </w:rPr>
        <w:t>6</w:t>
      </w:r>
      <w:r>
        <w:rPr>
          <w:noProof/>
        </w:rPr>
        <w:fldChar w:fldCharType="end"/>
      </w:r>
    </w:p>
    <w:p w14:paraId="0E256609" w14:textId="6FC54436" w:rsidR="005B4ECB" w:rsidRDefault="005B4ECB">
      <w:pPr>
        <w:pStyle w:val="TOC3"/>
        <w:rPr>
          <w:rFonts w:asciiTheme="minorHAnsi" w:hAnsiTheme="minorHAnsi"/>
          <w:noProof/>
          <w:szCs w:val="22"/>
        </w:rPr>
      </w:pPr>
      <w:r>
        <w:rPr>
          <w:noProof/>
        </w:rPr>
        <w:t>Data Source for Direct Install programs</w:t>
      </w:r>
      <w:r>
        <w:rPr>
          <w:noProof/>
        </w:rPr>
        <w:tab/>
      </w:r>
      <w:r>
        <w:rPr>
          <w:noProof/>
        </w:rPr>
        <w:fldChar w:fldCharType="begin"/>
      </w:r>
      <w:r>
        <w:rPr>
          <w:noProof/>
        </w:rPr>
        <w:instrText xml:space="preserve"> PAGEREF _Toc42244450 \h </w:instrText>
      </w:r>
      <w:r>
        <w:rPr>
          <w:noProof/>
        </w:rPr>
      </w:r>
      <w:r>
        <w:rPr>
          <w:noProof/>
        </w:rPr>
        <w:fldChar w:fldCharType="separate"/>
      </w:r>
      <w:r>
        <w:rPr>
          <w:noProof/>
        </w:rPr>
        <w:t>6</w:t>
      </w:r>
      <w:r>
        <w:rPr>
          <w:noProof/>
        </w:rPr>
        <w:fldChar w:fldCharType="end"/>
      </w:r>
    </w:p>
    <w:p w14:paraId="4BC826A9" w14:textId="093FD0B1" w:rsidR="005B4ECB" w:rsidRDefault="005B4ECB">
      <w:pPr>
        <w:pStyle w:val="TOC3"/>
        <w:rPr>
          <w:rFonts w:asciiTheme="minorHAnsi" w:hAnsiTheme="minorHAnsi"/>
          <w:noProof/>
          <w:szCs w:val="22"/>
        </w:rPr>
      </w:pPr>
      <w:r>
        <w:rPr>
          <w:noProof/>
        </w:rPr>
        <w:t>Peak Electric Demand Reduction (</w:t>
      </w:r>
      <w:r w:rsidRPr="00041D42">
        <w:rPr>
          <w:noProof/>
        </w:rPr>
        <w:t>kW</w:t>
      </w:r>
      <w:r>
        <w:rPr>
          <w:noProof/>
        </w:rPr>
        <w:t>)</w:t>
      </w:r>
      <w:r>
        <w:rPr>
          <w:noProof/>
        </w:rPr>
        <w:tab/>
      </w:r>
      <w:r>
        <w:rPr>
          <w:noProof/>
        </w:rPr>
        <w:fldChar w:fldCharType="begin"/>
      </w:r>
      <w:r>
        <w:rPr>
          <w:noProof/>
        </w:rPr>
        <w:instrText xml:space="preserve"> PAGEREF _Toc42244451 \h </w:instrText>
      </w:r>
      <w:r>
        <w:rPr>
          <w:noProof/>
        </w:rPr>
      </w:r>
      <w:r>
        <w:rPr>
          <w:noProof/>
        </w:rPr>
        <w:fldChar w:fldCharType="separate"/>
      </w:r>
      <w:r>
        <w:rPr>
          <w:noProof/>
        </w:rPr>
        <w:t>7</w:t>
      </w:r>
      <w:r>
        <w:rPr>
          <w:noProof/>
        </w:rPr>
        <w:fldChar w:fldCharType="end"/>
      </w:r>
    </w:p>
    <w:p w14:paraId="587FEE7F" w14:textId="496F6D4F" w:rsidR="005B4ECB" w:rsidRDefault="005B4ECB">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_Toc42244452 \h </w:instrText>
      </w:r>
      <w:r>
        <w:rPr>
          <w:noProof/>
        </w:rPr>
      </w:r>
      <w:r>
        <w:rPr>
          <w:noProof/>
        </w:rPr>
        <w:fldChar w:fldCharType="separate"/>
      </w:r>
      <w:r>
        <w:rPr>
          <w:noProof/>
        </w:rPr>
        <w:t>7</w:t>
      </w:r>
      <w:r>
        <w:rPr>
          <w:noProof/>
        </w:rPr>
        <w:fldChar w:fldCharType="end"/>
      </w:r>
    </w:p>
    <w:p w14:paraId="3EED5474" w14:textId="599F678E" w:rsidR="005B4ECB" w:rsidRDefault="005B4ECB">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_Toc42244453 \h </w:instrText>
      </w:r>
      <w:r>
        <w:rPr>
          <w:noProof/>
        </w:rPr>
      </w:r>
      <w:r>
        <w:rPr>
          <w:noProof/>
        </w:rPr>
        <w:fldChar w:fldCharType="separate"/>
      </w:r>
      <w:r>
        <w:rPr>
          <w:noProof/>
        </w:rPr>
        <w:t>8</w:t>
      </w:r>
      <w:r>
        <w:rPr>
          <w:noProof/>
        </w:rPr>
        <w:fldChar w:fldCharType="end"/>
      </w:r>
    </w:p>
    <w:p w14:paraId="31CDC992" w14:textId="3278530E" w:rsidR="005B4ECB" w:rsidRDefault="005B4ECB">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_Toc42244454 \h </w:instrText>
      </w:r>
      <w:r>
        <w:rPr>
          <w:noProof/>
        </w:rPr>
      </w:r>
      <w:r>
        <w:rPr>
          <w:noProof/>
        </w:rPr>
        <w:fldChar w:fldCharType="separate"/>
      </w:r>
      <w:r>
        <w:rPr>
          <w:noProof/>
        </w:rPr>
        <w:t>8</w:t>
      </w:r>
      <w:r>
        <w:rPr>
          <w:noProof/>
        </w:rPr>
        <w:fldChar w:fldCharType="end"/>
      </w:r>
    </w:p>
    <w:p w14:paraId="3EBAC14D" w14:textId="13099FC6" w:rsidR="005B4ECB" w:rsidRDefault="005B4ECB">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_Toc42244455 \h </w:instrText>
      </w:r>
      <w:r>
        <w:rPr>
          <w:noProof/>
        </w:rPr>
      </w:r>
      <w:r>
        <w:rPr>
          <w:noProof/>
        </w:rPr>
        <w:fldChar w:fldCharType="separate"/>
      </w:r>
      <w:r>
        <w:rPr>
          <w:noProof/>
        </w:rPr>
        <w:t>9</w:t>
      </w:r>
      <w:r>
        <w:rPr>
          <w:noProof/>
        </w:rPr>
        <w:fldChar w:fldCharType="end"/>
      </w:r>
    </w:p>
    <w:p w14:paraId="1D9689F5" w14:textId="406CF5A2" w:rsidR="005B4ECB" w:rsidRDefault="005B4ECB">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_Toc42244456 \h </w:instrText>
      </w:r>
      <w:r>
        <w:rPr>
          <w:noProof/>
        </w:rPr>
      </w:r>
      <w:r>
        <w:rPr>
          <w:noProof/>
        </w:rPr>
        <w:fldChar w:fldCharType="separate"/>
      </w:r>
      <w:r>
        <w:rPr>
          <w:noProof/>
        </w:rPr>
        <w:t>9</w:t>
      </w:r>
      <w:r>
        <w:rPr>
          <w:noProof/>
        </w:rPr>
        <w:fldChar w:fldCharType="end"/>
      </w:r>
    </w:p>
    <w:p w14:paraId="33372D75" w14:textId="0DE52B97" w:rsidR="005B4ECB" w:rsidRDefault="005B4ECB">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_Toc42244457 \h </w:instrText>
      </w:r>
      <w:r>
        <w:rPr>
          <w:noProof/>
        </w:rPr>
      </w:r>
      <w:r>
        <w:rPr>
          <w:noProof/>
        </w:rPr>
        <w:fldChar w:fldCharType="separate"/>
      </w:r>
      <w:r>
        <w:rPr>
          <w:noProof/>
        </w:rPr>
        <w:t>10</w:t>
      </w:r>
      <w:r>
        <w:rPr>
          <w:noProof/>
        </w:rPr>
        <w:fldChar w:fldCharType="end"/>
      </w:r>
    </w:p>
    <w:p w14:paraId="66D7B6D8" w14:textId="1A180B52" w:rsidR="005B4ECB" w:rsidRDefault="005B4ECB">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_Toc42244458 \h </w:instrText>
      </w:r>
      <w:r>
        <w:rPr>
          <w:noProof/>
        </w:rPr>
      </w:r>
      <w:r>
        <w:rPr>
          <w:noProof/>
        </w:rPr>
        <w:fldChar w:fldCharType="separate"/>
      </w:r>
      <w:r>
        <w:rPr>
          <w:noProof/>
        </w:rPr>
        <w:t>10</w:t>
      </w:r>
      <w:r>
        <w:rPr>
          <w:noProof/>
        </w:rPr>
        <w:fldChar w:fldCharType="end"/>
      </w:r>
    </w:p>
    <w:p w14:paraId="7C8E7866" w14:textId="2B7A23BC" w:rsidR="005B4ECB" w:rsidRDefault="005B4ECB">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_Toc42244459 \h </w:instrText>
      </w:r>
      <w:r>
        <w:rPr>
          <w:noProof/>
        </w:rPr>
      </w:r>
      <w:r>
        <w:rPr>
          <w:noProof/>
        </w:rPr>
        <w:fldChar w:fldCharType="separate"/>
      </w:r>
      <w:r>
        <w:rPr>
          <w:noProof/>
        </w:rPr>
        <w:t>10</w:t>
      </w:r>
      <w:r>
        <w:rPr>
          <w:noProof/>
        </w:rPr>
        <w:fldChar w:fldCharType="end"/>
      </w:r>
    </w:p>
    <w:p w14:paraId="00ADCB88" w14:textId="5E045EA2" w:rsidR="005B4ECB" w:rsidRDefault="005B4ECB">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_Toc42244460 \h </w:instrText>
      </w:r>
      <w:r>
        <w:rPr>
          <w:noProof/>
        </w:rPr>
      </w:r>
      <w:r>
        <w:rPr>
          <w:noProof/>
        </w:rPr>
        <w:fldChar w:fldCharType="separate"/>
      </w:r>
      <w:r>
        <w:rPr>
          <w:noProof/>
        </w:rPr>
        <w:t>11</w:t>
      </w:r>
      <w:r>
        <w:rPr>
          <w:noProof/>
        </w:rPr>
        <w:fldChar w:fldCharType="end"/>
      </w:r>
    </w:p>
    <w:p w14:paraId="2665D83B" w14:textId="5237E94C" w:rsidR="005B4ECB" w:rsidRDefault="005B4ECB">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_Toc42244461 \h </w:instrText>
      </w:r>
      <w:r>
        <w:rPr>
          <w:noProof/>
        </w:rPr>
      </w:r>
      <w:r>
        <w:rPr>
          <w:noProof/>
        </w:rPr>
        <w:fldChar w:fldCharType="separate"/>
      </w:r>
      <w:r>
        <w:rPr>
          <w:noProof/>
        </w:rPr>
        <w:t>11</w:t>
      </w:r>
      <w:r>
        <w:rPr>
          <w:noProof/>
        </w:rPr>
        <w:fldChar w:fldCharType="end"/>
      </w:r>
    </w:p>
    <w:p w14:paraId="4C194BAF" w14:textId="22338AE1" w:rsidR="001C6C9B" w:rsidRPr="00203ECA" w:rsidRDefault="001C6C9B" w:rsidP="00D12B8C">
      <w:r w:rsidRPr="00203ECA">
        <w:fldChar w:fldCharType="end"/>
      </w:r>
    </w:p>
    <w:p w14:paraId="7DD78D3A" w14:textId="77777777" w:rsidR="007E1F66" w:rsidRPr="00203ECA" w:rsidRDefault="007E1F66" w:rsidP="00352543">
      <w:pPr>
        <w:pStyle w:val="eTRMHeading3"/>
        <w:sectPr w:rsidR="007E1F66" w:rsidRPr="00203ECA"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77777777" w:rsidR="00871123" w:rsidRPr="00203ECA" w:rsidRDefault="00871123" w:rsidP="00352543">
      <w:pPr>
        <w:pStyle w:val="eTRMHeading3"/>
      </w:pPr>
      <w:bookmarkStart w:id="0" w:name="_Toc486490839"/>
      <w:bookmarkStart w:id="1" w:name="_Toc486580912"/>
      <w:bookmarkStart w:id="2" w:name="_Toc42244437"/>
      <w:r w:rsidRPr="00203ECA">
        <w:lastRenderedPageBreak/>
        <w:t>Measure Name</w:t>
      </w:r>
      <w:bookmarkEnd w:id="0"/>
      <w:bookmarkEnd w:id="1"/>
      <w:bookmarkEnd w:id="2"/>
    </w:p>
    <w:p w14:paraId="3B952704" w14:textId="3E6D4360" w:rsidR="00871123" w:rsidRPr="00203ECA" w:rsidRDefault="00BA1BBC" w:rsidP="00462BB6">
      <w:pPr>
        <w:spacing w:before="20" w:after="20" w:line="280" w:lineRule="exact"/>
      </w:pPr>
      <w:r w:rsidRPr="00203ECA">
        <w:t>Smart Thermostat, Residential</w:t>
      </w:r>
    </w:p>
    <w:p w14:paraId="4EAED972" w14:textId="77777777" w:rsidR="00871123" w:rsidRPr="00203ECA" w:rsidRDefault="00871123" w:rsidP="00462BB6">
      <w:pPr>
        <w:spacing w:before="20" w:after="20" w:line="280" w:lineRule="exact"/>
      </w:pPr>
    </w:p>
    <w:p w14:paraId="6406A9D4" w14:textId="77777777" w:rsidR="00871123" w:rsidRPr="00203ECA" w:rsidRDefault="00871123" w:rsidP="00352543">
      <w:pPr>
        <w:pStyle w:val="eTRMHeading3"/>
      </w:pPr>
      <w:bookmarkStart w:id="3" w:name="_Toc486490840"/>
      <w:bookmarkStart w:id="4" w:name="_Toc486580913"/>
      <w:bookmarkStart w:id="5" w:name="_Toc42244438"/>
      <w:r w:rsidRPr="00203ECA">
        <w:t>Statewide Measure ID</w:t>
      </w:r>
      <w:bookmarkEnd w:id="3"/>
      <w:bookmarkEnd w:id="4"/>
      <w:bookmarkEnd w:id="5"/>
    </w:p>
    <w:p w14:paraId="6EAE2100" w14:textId="35856A92" w:rsidR="00871123" w:rsidRPr="00203ECA" w:rsidRDefault="00FD6F78" w:rsidP="00AC53A7">
      <w:r w:rsidRPr="00203ECA">
        <w:t>SWHC039</w:t>
      </w:r>
      <w:r w:rsidR="00831F7B">
        <w:t>-0</w:t>
      </w:r>
      <w:r w:rsidR="00554225">
        <w:t>3</w:t>
      </w:r>
    </w:p>
    <w:p w14:paraId="2B553EA2" w14:textId="77777777" w:rsidR="00871123" w:rsidRPr="00203ECA" w:rsidRDefault="00871123" w:rsidP="006C0416"/>
    <w:p w14:paraId="0F7CA2E6" w14:textId="77777777" w:rsidR="00E70CBD" w:rsidRPr="00203ECA" w:rsidRDefault="00E70CBD" w:rsidP="00352543">
      <w:pPr>
        <w:pStyle w:val="eTRMHeading3"/>
      </w:pPr>
      <w:bookmarkStart w:id="6" w:name="_Toc486490847"/>
      <w:bookmarkStart w:id="7" w:name="_Toc486580918"/>
      <w:bookmarkStart w:id="8" w:name="_Toc42244439"/>
      <w:r w:rsidRPr="00203ECA">
        <w:t>Technology Summary</w:t>
      </w:r>
      <w:bookmarkEnd w:id="6"/>
      <w:bookmarkEnd w:id="7"/>
      <w:bookmarkEnd w:id="8"/>
      <w:r w:rsidRPr="00203ECA">
        <w:t xml:space="preserve"> </w:t>
      </w:r>
    </w:p>
    <w:p w14:paraId="3D4A071F" w14:textId="4AA1D9BE" w:rsidR="00E225C2" w:rsidRDefault="00F861D5" w:rsidP="00F861D5">
      <w:pPr>
        <w:rPr>
          <w:bCs/>
        </w:rPr>
      </w:pPr>
      <w:r w:rsidRPr="00F861D5">
        <w:t xml:space="preserve">A </w:t>
      </w:r>
      <w:r w:rsidR="00E225C2" w:rsidRPr="00A50610">
        <w:rPr>
          <w:bCs/>
        </w:rPr>
        <w:t>s</w:t>
      </w:r>
      <w:r w:rsidRPr="00A50610">
        <w:rPr>
          <w:bCs/>
        </w:rPr>
        <w:t xml:space="preserve">mart </w:t>
      </w:r>
      <w:r w:rsidR="00E225C2" w:rsidRPr="00A50610">
        <w:rPr>
          <w:bCs/>
        </w:rPr>
        <w:t>t</w:t>
      </w:r>
      <w:r w:rsidRPr="00A50610">
        <w:rPr>
          <w:bCs/>
        </w:rPr>
        <w:t>hermostat</w:t>
      </w:r>
      <w:r w:rsidRPr="00F861D5">
        <w:rPr>
          <w:b/>
        </w:rPr>
        <w:t xml:space="preserve"> </w:t>
      </w:r>
      <w:r w:rsidRPr="00F861D5">
        <w:t xml:space="preserve">is a device that controls heating, ventilation, and air-conditioning (HVAC) equipment to regulate the temperature of the room or space in which it is installed, has the ability to make automated adjustments to the set point of the HVAC system to drive energy savings (electric and gas), and has the ability to communicate with sources external to the HVAC system. For connection, the </w:t>
      </w:r>
      <w:r w:rsidR="00E225C2">
        <w:t>s</w:t>
      </w:r>
      <w:r w:rsidRPr="00F861D5">
        <w:t xml:space="preserve">mart </w:t>
      </w:r>
      <w:r w:rsidR="00E225C2">
        <w:t>t</w:t>
      </w:r>
      <w:r w:rsidRPr="00F861D5">
        <w:t xml:space="preserve">hermostat may rely on a home area network (e.g. Wi-Fi) and an internet connection that is independent of the </w:t>
      </w:r>
      <w:r w:rsidR="00E225C2" w:rsidRPr="0081735D">
        <w:rPr>
          <w:bCs/>
        </w:rPr>
        <w:t>smart thermostat</w:t>
      </w:r>
      <w:r w:rsidR="001C1D6F">
        <w:rPr>
          <w:bCs/>
        </w:rPr>
        <w:t>.</w:t>
      </w:r>
    </w:p>
    <w:p w14:paraId="3E2B350D" w14:textId="77777777" w:rsidR="00291F3B" w:rsidRPr="00291F3B" w:rsidRDefault="00291F3B" w:rsidP="00F861D5">
      <w:pPr>
        <w:rPr>
          <w:bCs/>
        </w:rPr>
      </w:pPr>
    </w:p>
    <w:p w14:paraId="5AF18021" w14:textId="77777777" w:rsidR="007D230B" w:rsidRPr="00203ECA" w:rsidRDefault="007D230B" w:rsidP="00352543">
      <w:pPr>
        <w:pStyle w:val="eTRMHeading3"/>
      </w:pPr>
      <w:bookmarkStart w:id="9" w:name="_Toc486490848"/>
      <w:bookmarkStart w:id="10" w:name="_Toc486580919"/>
      <w:bookmarkStart w:id="11" w:name="_Toc42244440"/>
      <w:r w:rsidRPr="00203ECA">
        <w:t>Measure Case Description</w:t>
      </w:r>
      <w:bookmarkEnd w:id="9"/>
      <w:bookmarkEnd w:id="10"/>
      <w:bookmarkEnd w:id="11"/>
    </w:p>
    <w:p w14:paraId="279AB2FB" w14:textId="74D1139C" w:rsidR="005B4ECB" w:rsidRPr="00203ECA" w:rsidRDefault="008659C5" w:rsidP="008E0906">
      <w:r w:rsidRPr="00203ECA">
        <w:t>The measure case is defined as</w:t>
      </w:r>
      <w:r w:rsidR="001501B3" w:rsidRPr="00203ECA">
        <w:t xml:space="preserve"> the installation of </w:t>
      </w:r>
      <w:r w:rsidR="00A377A6" w:rsidRPr="00203ECA">
        <w:t xml:space="preserve">Residential </w:t>
      </w:r>
      <w:r w:rsidR="00E225C2" w:rsidRPr="0081735D">
        <w:rPr>
          <w:bCs/>
        </w:rPr>
        <w:t>smart thermostat</w:t>
      </w:r>
      <w:r w:rsidR="00E225C2" w:rsidRPr="00F861D5">
        <w:rPr>
          <w:b/>
        </w:rPr>
        <w:t xml:space="preserve"> </w:t>
      </w:r>
      <w:r w:rsidR="002E4F0D" w:rsidRPr="00203ECA">
        <w:t xml:space="preserve">with two-way communication and automatic scheduling capabilities. </w:t>
      </w:r>
      <w:r w:rsidR="005B4ECB">
        <w:t xml:space="preserve">Measure offerings are separated based on existing HVAC system types and delivery types because those parameters impact savings and NTG values. </w:t>
      </w: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65"/>
        <w:gridCol w:w="1890"/>
        <w:gridCol w:w="3327"/>
        <w:gridCol w:w="2068"/>
      </w:tblGrid>
      <w:tr w:rsidR="000E674F" w:rsidRPr="006B6253" w14:paraId="120A6E44" w14:textId="7CBD5865" w:rsidTr="00750659">
        <w:tc>
          <w:tcPr>
            <w:tcW w:w="2065" w:type="dxa"/>
            <w:shd w:val="clear" w:color="auto" w:fill="F2F2F2" w:themeFill="background1" w:themeFillShade="F2"/>
            <w:vAlign w:val="center"/>
          </w:tcPr>
          <w:p w14:paraId="33A133E5" w14:textId="30CFD0EC" w:rsidR="000E674F" w:rsidRPr="006B6253" w:rsidRDefault="000E674F" w:rsidP="000E674F">
            <w:pPr>
              <w:spacing w:before="0" w:after="0" w:line="240" w:lineRule="auto"/>
              <w:rPr>
                <w:b/>
                <w:sz w:val="20"/>
                <w:szCs w:val="20"/>
              </w:rPr>
            </w:pPr>
            <w:r>
              <w:rPr>
                <w:b/>
                <w:sz w:val="20"/>
                <w:szCs w:val="20"/>
              </w:rPr>
              <w:t>Measure Offering ID</w:t>
            </w:r>
          </w:p>
        </w:tc>
        <w:tc>
          <w:tcPr>
            <w:tcW w:w="1890" w:type="dxa"/>
            <w:shd w:val="clear" w:color="auto" w:fill="F2F2F2" w:themeFill="background1" w:themeFillShade="F2"/>
            <w:vAlign w:val="center"/>
          </w:tcPr>
          <w:p w14:paraId="4A509FAC" w14:textId="627BF34A" w:rsidR="000E674F" w:rsidRPr="006B6253" w:rsidRDefault="000E674F" w:rsidP="000E674F">
            <w:pPr>
              <w:spacing w:before="0" w:after="0" w:line="240" w:lineRule="auto"/>
              <w:rPr>
                <w:b/>
                <w:sz w:val="20"/>
                <w:szCs w:val="20"/>
              </w:rPr>
            </w:pPr>
            <w:r>
              <w:rPr>
                <w:b/>
                <w:sz w:val="20"/>
                <w:szCs w:val="20"/>
              </w:rPr>
              <w:t>Description</w:t>
            </w:r>
          </w:p>
        </w:tc>
        <w:tc>
          <w:tcPr>
            <w:tcW w:w="3327" w:type="dxa"/>
            <w:shd w:val="clear" w:color="auto" w:fill="F2F2F2" w:themeFill="background1" w:themeFillShade="F2"/>
          </w:tcPr>
          <w:p w14:paraId="0D069AF3" w14:textId="57D6E2CC" w:rsidR="000E674F" w:rsidRPr="006B6253" w:rsidRDefault="000E674F" w:rsidP="000E674F">
            <w:pPr>
              <w:spacing w:before="0" w:after="0" w:line="240" w:lineRule="auto"/>
              <w:rPr>
                <w:b/>
                <w:sz w:val="20"/>
                <w:szCs w:val="20"/>
              </w:rPr>
            </w:pPr>
            <w:r>
              <w:rPr>
                <w:b/>
                <w:sz w:val="20"/>
                <w:szCs w:val="20"/>
              </w:rPr>
              <w:t>HVAC Type</w:t>
            </w:r>
          </w:p>
        </w:tc>
        <w:tc>
          <w:tcPr>
            <w:tcW w:w="2068" w:type="dxa"/>
            <w:shd w:val="clear" w:color="auto" w:fill="F2F2F2" w:themeFill="background1" w:themeFillShade="F2"/>
          </w:tcPr>
          <w:p w14:paraId="06F50A0A" w14:textId="22FDBC6D" w:rsidR="000E674F" w:rsidRPr="006B6253" w:rsidRDefault="000E674F" w:rsidP="000E674F">
            <w:pPr>
              <w:spacing w:before="0" w:after="0" w:line="240" w:lineRule="auto"/>
              <w:rPr>
                <w:b/>
                <w:sz w:val="20"/>
                <w:szCs w:val="20"/>
              </w:rPr>
            </w:pPr>
            <w:r>
              <w:rPr>
                <w:b/>
                <w:sz w:val="20"/>
                <w:szCs w:val="20"/>
              </w:rPr>
              <w:t>Delivery Type</w:t>
            </w:r>
          </w:p>
        </w:tc>
      </w:tr>
      <w:tr w:rsidR="000E674F" w:rsidRPr="006B6253" w14:paraId="70E8C1D3" w14:textId="018ED21E" w:rsidTr="00750659">
        <w:trPr>
          <w:trHeight w:val="224"/>
        </w:trPr>
        <w:tc>
          <w:tcPr>
            <w:tcW w:w="2065" w:type="dxa"/>
          </w:tcPr>
          <w:p w14:paraId="3534E5F2" w14:textId="440E94B7" w:rsidR="000E674F" w:rsidRPr="000E674F" w:rsidRDefault="000E674F" w:rsidP="000E674F">
            <w:pPr>
              <w:spacing w:before="0" w:after="0" w:line="240" w:lineRule="auto"/>
              <w:rPr>
                <w:b/>
                <w:sz w:val="20"/>
                <w:szCs w:val="20"/>
              </w:rPr>
            </w:pPr>
            <w:r w:rsidRPr="00750659">
              <w:rPr>
                <w:sz w:val="20"/>
                <w:szCs w:val="20"/>
              </w:rPr>
              <w:t>SWHC039A</w:t>
            </w:r>
          </w:p>
        </w:tc>
        <w:tc>
          <w:tcPr>
            <w:tcW w:w="1890" w:type="dxa"/>
            <w:vMerge w:val="restart"/>
            <w:vAlign w:val="center"/>
          </w:tcPr>
          <w:p w14:paraId="49663414" w14:textId="1B3C6103" w:rsidR="000E674F" w:rsidRPr="00750659" w:rsidRDefault="000E674F" w:rsidP="00750659">
            <w:pPr>
              <w:spacing w:before="0" w:after="0" w:line="240" w:lineRule="auto"/>
              <w:jc w:val="center"/>
              <w:rPr>
                <w:bCs/>
                <w:sz w:val="20"/>
                <w:szCs w:val="20"/>
              </w:rPr>
            </w:pPr>
            <w:r w:rsidRPr="00750659">
              <w:rPr>
                <w:bCs/>
                <w:sz w:val="20"/>
                <w:szCs w:val="20"/>
              </w:rPr>
              <w:t>Residential Smart Thermostat</w:t>
            </w:r>
          </w:p>
        </w:tc>
        <w:tc>
          <w:tcPr>
            <w:tcW w:w="3327" w:type="dxa"/>
          </w:tcPr>
          <w:p w14:paraId="441F4895" w14:textId="112B7AF3" w:rsidR="000E674F" w:rsidRPr="000E674F" w:rsidRDefault="000E674F" w:rsidP="000E674F">
            <w:pPr>
              <w:spacing w:before="0" w:after="0" w:line="240" w:lineRule="auto"/>
              <w:rPr>
                <w:sz w:val="20"/>
                <w:szCs w:val="20"/>
              </w:rPr>
            </w:pPr>
            <w:r w:rsidRPr="000E674F">
              <w:rPr>
                <w:sz w:val="20"/>
                <w:szCs w:val="20"/>
              </w:rPr>
              <w:t>Central AC with Gas Heat</w:t>
            </w:r>
          </w:p>
        </w:tc>
        <w:tc>
          <w:tcPr>
            <w:tcW w:w="2068" w:type="dxa"/>
            <w:vAlign w:val="bottom"/>
          </w:tcPr>
          <w:p w14:paraId="5F1F6A04" w14:textId="7A0CD302" w:rsidR="000E674F" w:rsidRPr="000E674F" w:rsidRDefault="000E674F" w:rsidP="000E674F">
            <w:pPr>
              <w:spacing w:before="0" w:after="0" w:line="240" w:lineRule="auto"/>
              <w:rPr>
                <w:sz w:val="20"/>
                <w:szCs w:val="20"/>
              </w:rPr>
            </w:pPr>
            <w:proofErr w:type="spellStart"/>
            <w:r w:rsidRPr="00750659">
              <w:rPr>
                <w:rFonts w:ascii="Calibri" w:hAnsi="Calibri"/>
                <w:sz w:val="20"/>
                <w:szCs w:val="20"/>
              </w:rPr>
              <w:t>DnDeemed</w:t>
            </w:r>
            <w:proofErr w:type="spellEnd"/>
          </w:p>
        </w:tc>
      </w:tr>
      <w:tr w:rsidR="000E674F" w:rsidRPr="006B6253" w14:paraId="4F81A1C6" w14:textId="5333003B" w:rsidTr="00750659">
        <w:trPr>
          <w:trHeight w:val="125"/>
        </w:trPr>
        <w:tc>
          <w:tcPr>
            <w:tcW w:w="2065" w:type="dxa"/>
          </w:tcPr>
          <w:p w14:paraId="2C609E56" w14:textId="7E6C0239" w:rsidR="000E674F" w:rsidRPr="000E674F" w:rsidRDefault="000E674F" w:rsidP="000E674F">
            <w:pPr>
              <w:spacing w:before="0" w:after="0" w:line="240" w:lineRule="auto"/>
              <w:rPr>
                <w:b/>
                <w:sz w:val="20"/>
                <w:szCs w:val="20"/>
              </w:rPr>
            </w:pPr>
            <w:r w:rsidRPr="00750659">
              <w:rPr>
                <w:sz w:val="20"/>
                <w:szCs w:val="20"/>
              </w:rPr>
              <w:t>SWHC039B</w:t>
            </w:r>
          </w:p>
        </w:tc>
        <w:tc>
          <w:tcPr>
            <w:tcW w:w="1890" w:type="dxa"/>
            <w:vMerge/>
          </w:tcPr>
          <w:p w14:paraId="11A70543" w14:textId="614DBB09" w:rsidR="000E674F" w:rsidRPr="000E674F" w:rsidRDefault="000E674F" w:rsidP="000E674F">
            <w:pPr>
              <w:spacing w:before="0" w:after="0" w:line="240" w:lineRule="auto"/>
              <w:rPr>
                <w:b/>
                <w:sz w:val="20"/>
                <w:szCs w:val="20"/>
              </w:rPr>
            </w:pPr>
          </w:p>
        </w:tc>
        <w:tc>
          <w:tcPr>
            <w:tcW w:w="3327" w:type="dxa"/>
          </w:tcPr>
          <w:p w14:paraId="7AF4AD0F" w14:textId="1C061247" w:rsidR="000E674F" w:rsidRPr="000E674F" w:rsidRDefault="000E674F" w:rsidP="000E674F">
            <w:pPr>
              <w:spacing w:before="0" w:after="0" w:line="240" w:lineRule="auto"/>
              <w:rPr>
                <w:sz w:val="20"/>
                <w:szCs w:val="20"/>
              </w:rPr>
            </w:pPr>
            <w:r w:rsidRPr="000E674F">
              <w:rPr>
                <w:sz w:val="20"/>
                <w:szCs w:val="20"/>
              </w:rPr>
              <w:t>Central Heat Pump</w:t>
            </w:r>
          </w:p>
        </w:tc>
        <w:tc>
          <w:tcPr>
            <w:tcW w:w="2068" w:type="dxa"/>
            <w:vAlign w:val="bottom"/>
          </w:tcPr>
          <w:p w14:paraId="669CC880" w14:textId="5907EA30" w:rsidR="000E674F" w:rsidRPr="000E674F" w:rsidRDefault="000E674F" w:rsidP="000E674F">
            <w:pPr>
              <w:spacing w:before="0" w:after="0" w:line="240" w:lineRule="auto"/>
              <w:rPr>
                <w:sz w:val="20"/>
                <w:szCs w:val="20"/>
              </w:rPr>
            </w:pPr>
            <w:proofErr w:type="spellStart"/>
            <w:r w:rsidRPr="00750659">
              <w:rPr>
                <w:rFonts w:ascii="Calibri" w:hAnsi="Calibri"/>
                <w:sz w:val="20"/>
                <w:szCs w:val="20"/>
              </w:rPr>
              <w:t>DnDeemed</w:t>
            </w:r>
            <w:proofErr w:type="spellEnd"/>
          </w:p>
        </w:tc>
      </w:tr>
      <w:tr w:rsidR="000E674F" w:rsidRPr="006B6253" w14:paraId="5FF690FB" w14:textId="27C4B403" w:rsidTr="00750659">
        <w:tc>
          <w:tcPr>
            <w:tcW w:w="2065" w:type="dxa"/>
          </w:tcPr>
          <w:p w14:paraId="3B27F8E1" w14:textId="109E4B6E" w:rsidR="000E674F" w:rsidRPr="000E674F" w:rsidRDefault="000E674F" w:rsidP="000E674F">
            <w:pPr>
              <w:spacing w:before="0" w:after="0" w:line="240" w:lineRule="auto"/>
              <w:rPr>
                <w:b/>
                <w:sz w:val="20"/>
                <w:szCs w:val="20"/>
              </w:rPr>
            </w:pPr>
            <w:r w:rsidRPr="00750659">
              <w:rPr>
                <w:sz w:val="20"/>
                <w:szCs w:val="20"/>
              </w:rPr>
              <w:t>SWHC039C</w:t>
            </w:r>
          </w:p>
        </w:tc>
        <w:tc>
          <w:tcPr>
            <w:tcW w:w="1890" w:type="dxa"/>
            <w:vMerge/>
          </w:tcPr>
          <w:p w14:paraId="0783A250" w14:textId="7E0D2853" w:rsidR="000E674F" w:rsidRPr="000E674F" w:rsidRDefault="000E674F" w:rsidP="000E674F">
            <w:pPr>
              <w:spacing w:before="0" w:after="0" w:line="240" w:lineRule="auto"/>
              <w:rPr>
                <w:b/>
                <w:sz w:val="20"/>
                <w:szCs w:val="20"/>
              </w:rPr>
            </w:pPr>
          </w:p>
        </w:tc>
        <w:tc>
          <w:tcPr>
            <w:tcW w:w="3327" w:type="dxa"/>
          </w:tcPr>
          <w:p w14:paraId="71212FF8" w14:textId="7DC84F64" w:rsidR="000E674F" w:rsidRPr="000E674F" w:rsidRDefault="000E674F" w:rsidP="000E674F">
            <w:pPr>
              <w:spacing w:before="0" w:after="0" w:line="240" w:lineRule="auto"/>
              <w:rPr>
                <w:sz w:val="20"/>
                <w:szCs w:val="20"/>
              </w:rPr>
            </w:pPr>
            <w:r w:rsidRPr="000E674F">
              <w:rPr>
                <w:sz w:val="20"/>
                <w:szCs w:val="20"/>
              </w:rPr>
              <w:t>Central AC with Gas Heat</w:t>
            </w:r>
          </w:p>
        </w:tc>
        <w:tc>
          <w:tcPr>
            <w:tcW w:w="2068" w:type="dxa"/>
            <w:vAlign w:val="bottom"/>
          </w:tcPr>
          <w:p w14:paraId="403AA4F1" w14:textId="1FB01406" w:rsidR="000E674F" w:rsidRPr="000E674F" w:rsidRDefault="000E674F" w:rsidP="000E674F">
            <w:pPr>
              <w:spacing w:before="0" w:after="0" w:line="240" w:lineRule="auto"/>
              <w:rPr>
                <w:sz w:val="20"/>
                <w:szCs w:val="20"/>
              </w:rPr>
            </w:pPr>
            <w:proofErr w:type="spellStart"/>
            <w:r w:rsidRPr="00750659">
              <w:rPr>
                <w:rFonts w:ascii="Calibri" w:hAnsi="Calibri"/>
                <w:sz w:val="20"/>
                <w:szCs w:val="20"/>
              </w:rPr>
              <w:t>DnDeemDI</w:t>
            </w:r>
            <w:proofErr w:type="spellEnd"/>
          </w:p>
        </w:tc>
      </w:tr>
      <w:tr w:rsidR="000E674F" w:rsidRPr="006B6253" w14:paraId="159AB1BC" w14:textId="24D680D4" w:rsidTr="00750659">
        <w:tc>
          <w:tcPr>
            <w:tcW w:w="2065" w:type="dxa"/>
          </w:tcPr>
          <w:p w14:paraId="1124D6B0" w14:textId="23C08538" w:rsidR="000E674F" w:rsidRPr="000E674F" w:rsidRDefault="000E674F" w:rsidP="000E674F">
            <w:pPr>
              <w:spacing w:before="0" w:after="0" w:line="240" w:lineRule="auto"/>
              <w:rPr>
                <w:sz w:val="20"/>
                <w:szCs w:val="20"/>
              </w:rPr>
            </w:pPr>
            <w:r w:rsidRPr="00750659">
              <w:rPr>
                <w:sz w:val="20"/>
                <w:szCs w:val="20"/>
              </w:rPr>
              <w:t>SWHC039D</w:t>
            </w:r>
          </w:p>
        </w:tc>
        <w:tc>
          <w:tcPr>
            <w:tcW w:w="1890" w:type="dxa"/>
            <w:vMerge/>
          </w:tcPr>
          <w:p w14:paraId="4D4CC7D2" w14:textId="59D0F31C" w:rsidR="000E674F" w:rsidRPr="000E674F" w:rsidRDefault="000E674F" w:rsidP="000E674F">
            <w:pPr>
              <w:spacing w:before="0" w:after="0" w:line="240" w:lineRule="auto"/>
              <w:rPr>
                <w:sz w:val="20"/>
                <w:szCs w:val="20"/>
              </w:rPr>
            </w:pPr>
          </w:p>
        </w:tc>
        <w:tc>
          <w:tcPr>
            <w:tcW w:w="3327" w:type="dxa"/>
          </w:tcPr>
          <w:p w14:paraId="4EBF276D" w14:textId="089AB96D" w:rsidR="000E674F" w:rsidRPr="000E674F" w:rsidRDefault="000E674F" w:rsidP="000E674F">
            <w:pPr>
              <w:spacing w:before="0" w:after="0" w:line="240" w:lineRule="auto"/>
              <w:rPr>
                <w:sz w:val="20"/>
                <w:szCs w:val="20"/>
              </w:rPr>
            </w:pPr>
            <w:r w:rsidRPr="000E674F">
              <w:rPr>
                <w:sz w:val="20"/>
                <w:szCs w:val="20"/>
              </w:rPr>
              <w:t>Central Heat Pump</w:t>
            </w:r>
          </w:p>
        </w:tc>
        <w:tc>
          <w:tcPr>
            <w:tcW w:w="2068" w:type="dxa"/>
            <w:vAlign w:val="bottom"/>
          </w:tcPr>
          <w:p w14:paraId="5418FF3C" w14:textId="40FCE2D3" w:rsidR="000E674F" w:rsidRPr="000E674F" w:rsidRDefault="000E674F" w:rsidP="000E674F">
            <w:pPr>
              <w:spacing w:before="0" w:after="0" w:line="240" w:lineRule="auto"/>
              <w:rPr>
                <w:sz w:val="20"/>
                <w:szCs w:val="20"/>
              </w:rPr>
            </w:pPr>
            <w:proofErr w:type="spellStart"/>
            <w:r w:rsidRPr="00750659">
              <w:rPr>
                <w:rFonts w:ascii="Calibri" w:hAnsi="Calibri"/>
                <w:sz w:val="20"/>
                <w:szCs w:val="20"/>
              </w:rPr>
              <w:t>DnDeemDI</w:t>
            </w:r>
            <w:proofErr w:type="spellEnd"/>
          </w:p>
        </w:tc>
      </w:tr>
    </w:tbl>
    <w:p w14:paraId="15163014" w14:textId="77777777" w:rsidR="001501B3" w:rsidRPr="00203ECA" w:rsidRDefault="001501B3" w:rsidP="00DE339F"/>
    <w:p w14:paraId="54FD79D6" w14:textId="77777777" w:rsidR="00E70CBD" w:rsidRPr="00203ECA" w:rsidRDefault="00E70CBD" w:rsidP="00352543">
      <w:pPr>
        <w:pStyle w:val="eTRMHeading3"/>
      </w:pPr>
      <w:bookmarkStart w:id="12" w:name="_Toc486490849"/>
      <w:bookmarkStart w:id="13" w:name="_Toc486580920"/>
      <w:bookmarkStart w:id="14" w:name="_Toc42244441"/>
      <w:r w:rsidRPr="00203ECA">
        <w:t>Base Case Description</w:t>
      </w:r>
      <w:bookmarkEnd w:id="12"/>
      <w:bookmarkEnd w:id="13"/>
      <w:bookmarkEnd w:id="14"/>
      <w:r w:rsidRPr="00203ECA">
        <w:t xml:space="preserve"> </w:t>
      </w:r>
    </w:p>
    <w:p w14:paraId="31229FBE" w14:textId="7B144C7A" w:rsidR="002942B0" w:rsidRPr="00203ECA" w:rsidRDefault="001501B3" w:rsidP="002942B0">
      <w:r w:rsidRPr="00203ECA">
        <w:rPr>
          <w:rFonts w:cstheme="minorHAnsi"/>
          <w:szCs w:val="20"/>
        </w:rPr>
        <w:t xml:space="preserve">The base case is </w:t>
      </w:r>
      <w:r w:rsidR="008659C5" w:rsidRPr="00203ECA">
        <w:rPr>
          <w:rFonts w:cstheme="minorHAnsi"/>
          <w:szCs w:val="20"/>
        </w:rPr>
        <w:t>defined as</w:t>
      </w:r>
      <w:r w:rsidR="00BA1BBC" w:rsidRPr="00203ECA">
        <w:rPr>
          <w:rFonts w:cstheme="minorHAnsi"/>
          <w:szCs w:val="20"/>
        </w:rPr>
        <w:t xml:space="preserve"> </w:t>
      </w:r>
      <w:r w:rsidR="00005129">
        <w:rPr>
          <w:rFonts w:cstheme="minorHAnsi"/>
          <w:szCs w:val="20"/>
        </w:rPr>
        <w:t>either</w:t>
      </w:r>
      <w:r w:rsidR="00A377A6" w:rsidRPr="00203ECA">
        <w:t xml:space="preserve"> </w:t>
      </w:r>
      <w:r w:rsidR="008E0906" w:rsidRPr="00203ECA">
        <w:t>s</w:t>
      </w:r>
      <w:r w:rsidR="00A377A6" w:rsidRPr="00203ECA">
        <w:t xml:space="preserve">etback </w:t>
      </w:r>
      <w:r w:rsidR="008E0906" w:rsidRPr="00203ECA">
        <w:t>p</w:t>
      </w:r>
      <w:r w:rsidR="00A377A6" w:rsidRPr="00203ECA">
        <w:t xml:space="preserve">rogrammable </w:t>
      </w:r>
      <w:r w:rsidR="008E0906" w:rsidRPr="00203ECA">
        <w:t>t</w:t>
      </w:r>
      <w:r w:rsidR="00A377A6" w:rsidRPr="00203ECA">
        <w:t xml:space="preserve">hermostats </w:t>
      </w:r>
      <w:r w:rsidR="00005129">
        <w:t>or</w:t>
      </w:r>
      <w:r w:rsidR="00005129" w:rsidRPr="00203ECA">
        <w:t xml:space="preserve"> </w:t>
      </w:r>
      <w:r w:rsidR="008E0906" w:rsidRPr="00203ECA">
        <w:t>n</w:t>
      </w:r>
      <w:r w:rsidR="00A377A6" w:rsidRPr="00203ECA">
        <w:t>on-</w:t>
      </w:r>
      <w:r w:rsidR="008E0906" w:rsidRPr="00203ECA">
        <w:t>p</w:t>
      </w:r>
      <w:r w:rsidR="00A377A6" w:rsidRPr="00203ECA">
        <w:t xml:space="preserve">rogrammable </w:t>
      </w:r>
      <w:r w:rsidR="008E0906" w:rsidRPr="00203ECA">
        <w:t>t</w:t>
      </w:r>
      <w:r w:rsidR="00A377A6" w:rsidRPr="00203ECA">
        <w:t>hermostats</w:t>
      </w:r>
      <w:r w:rsidR="008E0906" w:rsidRPr="00203ECA">
        <w:t>.</w:t>
      </w:r>
    </w:p>
    <w:p w14:paraId="1B231CE5" w14:textId="3FE3DDDA" w:rsidR="00B47923" w:rsidRPr="00203ECA" w:rsidRDefault="00E225C2" w:rsidP="002942B0">
      <w:pPr>
        <w:rPr>
          <w:rFonts w:cstheme="minorHAnsi"/>
          <w:szCs w:val="20"/>
        </w:rPr>
      </w:pPr>
      <w:r>
        <w:rPr>
          <w:rFonts w:cstheme="minorHAnsi"/>
          <w:szCs w:val="20"/>
        </w:rPr>
        <w:t>The b</w:t>
      </w:r>
      <w:r w:rsidR="00B47923" w:rsidRPr="00203ECA">
        <w:rPr>
          <w:rFonts w:cstheme="minorHAnsi"/>
          <w:szCs w:val="20"/>
        </w:rPr>
        <w:t xml:space="preserve">aseline characterization is </w:t>
      </w:r>
      <w:r>
        <w:rPr>
          <w:rFonts w:cstheme="minorHAnsi"/>
          <w:szCs w:val="20"/>
        </w:rPr>
        <w:t xml:space="preserve">based upon </w:t>
      </w:r>
      <w:r w:rsidRPr="00A50610">
        <w:rPr>
          <w:rFonts w:cstheme="minorHAnsi"/>
          <w:i/>
          <w:iCs/>
          <w:szCs w:val="20"/>
        </w:rPr>
        <w:t xml:space="preserve">the </w:t>
      </w:r>
      <w:r w:rsidR="00B47923" w:rsidRPr="00A50610">
        <w:rPr>
          <w:rFonts w:cstheme="minorHAnsi"/>
          <w:i/>
          <w:iCs/>
          <w:szCs w:val="20"/>
        </w:rPr>
        <w:t>Smart Thermostat Program Process Evaluation</w:t>
      </w:r>
      <w:r w:rsidR="00B47923" w:rsidRPr="00203ECA">
        <w:rPr>
          <w:rFonts w:cstheme="minorHAnsi"/>
          <w:szCs w:val="20"/>
        </w:rPr>
        <w:t xml:space="preserve"> </w:t>
      </w:r>
      <w:r>
        <w:rPr>
          <w:rFonts w:cstheme="minorHAnsi"/>
          <w:szCs w:val="20"/>
        </w:rPr>
        <w:t>conducted for Pacific Gas and Electric Company (PG&amp;E).</w:t>
      </w:r>
      <w:r>
        <w:rPr>
          <w:rStyle w:val="FootnoteReference"/>
          <w:rFonts w:cstheme="minorHAnsi"/>
          <w:szCs w:val="20"/>
        </w:rPr>
        <w:footnoteReference w:id="1"/>
      </w:r>
      <w:r w:rsidRPr="00203ECA">
        <w:rPr>
          <w:rFonts w:cstheme="minorHAnsi"/>
          <w:szCs w:val="20"/>
        </w:rPr>
        <w:t xml:space="preserve"> </w:t>
      </w:r>
      <w:r w:rsidR="00753FCE">
        <w:rPr>
          <w:rFonts w:cstheme="minorHAnsi"/>
          <w:szCs w:val="20"/>
        </w:rPr>
        <w:t>This study administered</w:t>
      </w:r>
      <w:r w:rsidR="00B47923" w:rsidRPr="00203ECA">
        <w:rPr>
          <w:rFonts w:cstheme="minorHAnsi"/>
          <w:szCs w:val="20"/>
        </w:rPr>
        <w:t xml:space="preserve"> participant surveys between October 2017 and February 2018 </w:t>
      </w:r>
      <w:r w:rsidR="00753FCE">
        <w:rPr>
          <w:rFonts w:cstheme="minorHAnsi"/>
          <w:szCs w:val="20"/>
        </w:rPr>
        <w:t>to ascertain</w:t>
      </w:r>
      <w:r w:rsidR="00B47923" w:rsidRPr="00203ECA">
        <w:rPr>
          <w:rFonts w:cstheme="minorHAnsi"/>
          <w:szCs w:val="20"/>
        </w:rPr>
        <w:t xml:space="preserve"> </w:t>
      </w:r>
      <w:r w:rsidR="00753FCE">
        <w:rPr>
          <w:rFonts w:cstheme="minorHAnsi"/>
          <w:szCs w:val="20"/>
        </w:rPr>
        <w:t>customer</w:t>
      </w:r>
      <w:r w:rsidR="00753FCE" w:rsidRPr="00203ECA">
        <w:rPr>
          <w:rFonts w:cstheme="minorHAnsi"/>
          <w:szCs w:val="20"/>
        </w:rPr>
        <w:t xml:space="preserve"> </w:t>
      </w:r>
      <w:r w:rsidR="00B47923" w:rsidRPr="00203ECA">
        <w:rPr>
          <w:rFonts w:cstheme="minorHAnsi"/>
          <w:szCs w:val="20"/>
        </w:rPr>
        <w:t xml:space="preserve">experience with the program including motivation for participation, thermostat installation and use, the influence of the program on their purchase decision, </w:t>
      </w:r>
      <w:r w:rsidR="00753FCE">
        <w:rPr>
          <w:rFonts w:cstheme="minorHAnsi"/>
          <w:szCs w:val="20"/>
        </w:rPr>
        <w:t xml:space="preserve">and </w:t>
      </w:r>
      <w:r w:rsidR="00B47923" w:rsidRPr="00203ECA">
        <w:rPr>
          <w:rFonts w:cstheme="minorHAnsi"/>
          <w:szCs w:val="20"/>
        </w:rPr>
        <w:t>satisfaction</w:t>
      </w:r>
      <w:r w:rsidR="00753FCE">
        <w:rPr>
          <w:rFonts w:cstheme="minorHAnsi"/>
          <w:szCs w:val="20"/>
        </w:rPr>
        <w:t xml:space="preserve">. The study also gathered </w:t>
      </w:r>
      <w:r w:rsidR="00B47923" w:rsidRPr="00203ECA">
        <w:rPr>
          <w:rFonts w:cstheme="minorHAnsi"/>
          <w:szCs w:val="20"/>
        </w:rPr>
        <w:t xml:space="preserve">housing characteristics </w:t>
      </w:r>
      <w:r w:rsidR="00753FCE">
        <w:rPr>
          <w:rFonts w:cstheme="minorHAnsi"/>
          <w:szCs w:val="20"/>
        </w:rPr>
        <w:t xml:space="preserve">data </w:t>
      </w:r>
      <w:r w:rsidR="00B47923" w:rsidRPr="00203ECA">
        <w:rPr>
          <w:rFonts w:cstheme="minorHAnsi"/>
          <w:szCs w:val="20"/>
        </w:rPr>
        <w:t xml:space="preserve">including existing baseline conditions </w:t>
      </w:r>
      <w:r w:rsidR="00753FCE">
        <w:rPr>
          <w:rFonts w:cstheme="minorHAnsi"/>
          <w:szCs w:val="20"/>
        </w:rPr>
        <w:t>of the</w:t>
      </w:r>
      <w:r w:rsidR="00753FCE" w:rsidRPr="00203ECA">
        <w:rPr>
          <w:rFonts w:cstheme="minorHAnsi"/>
          <w:szCs w:val="20"/>
        </w:rPr>
        <w:t xml:space="preserve"> </w:t>
      </w:r>
      <w:r w:rsidR="00B47923" w:rsidRPr="00203ECA">
        <w:rPr>
          <w:rFonts w:cstheme="minorHAnsi"/>
          <w:szCs w:val="20"/>
        </w:rPr>
        <w:t xml:space="preserve">thermostat type controlling their corresponding HVAC equipment. The following table describes base case technology characterization as informed by referenced study.  </w:t>
      </w:r>
    </w:p>
    <w:p w14:paraId="302F7EC0" w14:textId="77777777" w:rsidR="00B47923" w:rsidRPr="006B6253" w:rsidRDefault="00B47923" w:rsidP="00A50610">
      <w:pPr>
        <w:pStyle w:val="Caption"/>
      </w:pPr>
      <w:r w:rsidRPr="006B6253">
        <w:lastRenderedPageBreak/>
        <w:t>Base Case Technology Characterization</w:t>
      </w: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55"/>
        <w:gridCol w:w="3960"/>
      </w:tblGrid>
      <w:tr w:rsidR="00B47923" w:rsidRPr="006B6253" w14:paraId="0B62583C" w14:textId="77777777" w:rsidTr="00E225C2">
        <w:tc>
          <w:tcPr>
            <w:tcW w:w="3955" w:type="dxa"/>
            <w:shd w:val="clear" w:color="auto" w:fill="F2F2F2" w:themeFill="background1" w:themeFillShade="F2"/>
            <w:vAlign w:val="center"/>
          </w:tcPr>
          <w:p w14:paraId="291E666A" w14:textId="77777777" w:rsidR="00B47923" w:rsidRPr="006B6253" w:rsidRDefault="00B47923" w:rsidP="00B47923">
            <w:pPr>
              <w:spacing w:before="0" w:after="0" w:line="240" w:lineRule="auto"/>
              <w:rPr>
                <w:b/>
                <w:sz w:val="20"/>
                <w:szCs w:val="20"/>
              </w:rPr>
            </w:pPr>
            <w:r w:rsidRPr="006B6253">
              <w:rPr>
                <w:b/>
                <w:sz w:val="20"/>
                <w:szCs w:val="20"/>
              </w:rPr>
              <w:t>Thermostat Type</w:t>
            </w:r>
          </w:p>
        </w:tc>
        <w:tc>
          <w:tcPr>
            <w:tcW w:w="3960" w:type="dxa"/>
            <w:shd w:val="clear" w:color="auto" w:fill="F2F2F2" w:themeFill="background1" w:themeFillShade="F2"/>
            <w:vAlign w:val="center"/>
          </w:tcPr>
          <w:p w14:paraId="0E4BC21C" w14:textId="77777777" w:rsidR="00B47923" w:rsidRPr="006B6253" w:rsidRDefault="00B47923" w:rsidP="00B47923">
            <w:pPr>
              <w:spacing w:before="0" w:after="0" w:line="240" w:lineRule="auto"/>
              <w:rPr>
                <w:b/>
                <w:sz w:val="20"/>
                <w:szCs w:val="20"/>
              </w:rPr>
            </w:pPr>
            <w:r w:rsidRPr="006B6253">
              <w:rPr>
                <w:b/>
                <w:sz w:val="20"/>
                <w:szCs w:val="20"/>
              </w:rPr>
              <w:t>Adjusted Survey Population of Thermostats</w:t>
            </w:r>
          </w:p>
        </w:tc>
      </w:tr>
      <w:tr w:rsidR="00B47923" w:rsidRPr="006B6253" w14:paraId="4121C5C5" w14:textId="77777777" w:rsidTr="00E225C2">
        <w:trPr>
          <w:trHeight w:val="224"/>
        </w:trPr>
        <w:tc>
          <w:tcPr>
            <w:tcW w:w="3955" w:type="dxa"/>
          </w:tcPr>
          <w:p w14:paraId="56DFA1C7" w14:textId="77777777" w:rsidR="00B47923" w:rsidRPr="006B6253" w:rsidRDefault="00B47923" w:rsidP="00B47923">
            <w:pPr>
              <w:spacing w:before="0" w:after="0" w:line="240" w:lineRule="auto"/>
              <w:rPr>
                <w:b/>
                <w:sz w:val="20"/>
                <w:szCs w:val="20"/>
              </w:rPr>
            </w:pPr>
            <w:r w:rsidRPr="006B6253">
              <w:rPr>
                <w:sz w:val="20"/>
                <w:szCs w:val="20"/>
              </w:rPr>
              <w:t>Manual Thermostat</w:t>
            </w:r>
          </w:p>
        </w:tc>
        <w:tc>
          <w:tcPr>
            <w:tcW w:w="3960" w:type="dxa"/>
          </w:tcPr>
          <w:p w14:paraId="5C4E4108" w14:textId="77777777" w:rsidR="00B47923" w:rsidRPr="006B6253" w:rsidRDefault="00B47923" w:rsidP="00B47923">
            <w:pPr>
              <w:spacing w:before="0" w:after="0" w:line="240" w:lineRule="auto"/>
              <w:rPr>
                <w:b/>
                <w:sz w:val="20"/>
                <w:szCs w:val="20"/>
              </w:rPr>
            </w:pPr>
            <w:r w:rsidRPr="006B6253">
              <w:rPr>
                <w:sz w:val="20"/>
                <w:szCs w:val="20"/>
              </w:rPr>
              <w:t>11%</w:t>
            </w:r>
          </w:p>
        </w:tc>
      </w:tr>
      <w:tr w:rsidR="00B47923" w:rsidRPr="006B6253" w14:paraId="165CF02B" w14:textId="77777777" w:rsidTr="00E225C2">
        <w:tc>
          <w:tcPr>
            <w:tcW w:w="3955" w:type="dxa"/>
          </w:tcPr>
          <w:p w14:paraId="47ACE5B1" w14:textId="77777777" w:rsidR="00B47923" w:rsidRPr="006B6253" w:rsidRDefault="00B47923" w:rsidP="00B47923">
            <w:pPr>
              <w:spacing w:before="0" w:after="0" w:line="240" w:lineRule="auto"/>
              <w:rPr>
                <w:b/>
                <w:sz w:val="20"/>
                <w:szCs w:val="20"/>
              </w:rPr>
            </w:pPr>
            <w:r w:rsidRPr="006B6253">
              <w:rPr>
                <w:sz w:val="20"/>
                <w:szCs w:val="20"/>
              </w:rPr>
              <w:t>Programmable Thermostat</w:t>
            </w:r>
          </w:p>
        </w:tc>
        <w:tc>
          <w:tcPr>
            <w:tcW w:w="3960" w:type="dxa"/>
          </w:tcPr>
          <w:p w14:paraId="4EF489F2" w14:textId="77777777" w:rsidR="00B47923" w:rsidRPr="006B6253" w:rsidRDefault="00B47923" w:rsidP="00B47923">
            <w:pPr>
              <w:spacing w:before="0" w:after="0" w:line="240" w:lineRule="auto"/>
              <w:rPr>
                <w:b/>
                <w:sz w:val="20"/>
                <w:szCs w:val="20"/>
              </w:rPr>
            </w:pPr>
            <w:r w:rsidRPr="006B6253">
              <w:rPr>
                <w:sz w:val="20"/>
                <w:szCs w:val="20"/>
              </w:rPr>
              <w:t>76%</w:t>
            </w:r>
          </w:p>
        </w:tc>
      </w:tr>
      <w:tr w:rsidR="00B47923" w:rsidRPr="006B6253" w14:paraId="169385AB" w14:textId="77777777" w:rsidTr="00E225C2">
        <w:tc>
          <w:tcPr>
            <w:tcW w:w="3955" w:type="dxa"/>
          </w:tcPr>
          <w:p w14:paraId="067660A4" w14:textId="77777777" w:rsidR="00B47923" w:rsidRPr="006B6253" w:rsidRDefault="00B47923" w:rsidP="00B47923">
            <w:pPr>
              <w:spacing w:before="0" w:after="0" w:line="240" w:lineRule="auto"/>
              <w:rPr>
                <w:b/>
                <w:sz w:val="20"/>
                <w:szCs w:val="20"/>
              </w:rPr>
            </w:pPr>
            <w:r w:rsidRPr="006B6253">
              <w:rPr>
                <w:sz w:val="20"/>
                <w:szCs w:val="20"/>
              </w:rPr>
              <w:t>Smart Thermostat</w:t>
            </w:r>
          </w:p>
        </w:tc>
        <w:tc>
          <w:tcPr>
            <w:tcW w:w="3960" w:type="dxa"/>
          </w:tcPr>
          <w:p w14:paraId="06661DD7" w14:textId="77777777" w:rsidR="00B47923" w:rsidRPr="006B6253" w:rsidRDefault="00B47923" w:rsidP="00B47923">
            <w:pPr>
              <w:spacing w:before="0" w:after="0" w:line="240" w:lineRule="auto"/>
              <w:rPr>
                <w:b/>
                <w:sz w:val="20"/>
                <w:szCs w:val="20"/>
              </w:rPr>
            </w:pPr>
            <w:r w:rsidRPr="006B6253">
              <w:rPr>
                <w:sz w:val="20"/>
                <w:szCs w:val="20"/>
              </w:rPr>
              <w:t>6% (Non-qualifying customers)</w:t>
            </w:r>
          </w:p>
        </w:tc>
      </w:tr>
      <w:tr w:rsidR="00B47923" w:rsidRPr="006B6253" w14:paraId="7CE958BD" w14:textId="77777777" w:rsidTr="00E225C2">
        <w:tc>
          <w:tcPr>
            <w:tcW w:w="3955" w:type="dxa"/>
          </w:tcPr>
          <w:p w14:paraId="347BAC51" w14:textId="77777777" w:rsidR="00B47923" w:rsidRPr="006B6253" w:rsidRDefault="00B47923" w:rsidP="00B47923">
            <w:pPr>
              <w:spacing w:before="0" w:after="0" w:line="240" w:lineRule="auto"/>
              <w:rPr>
                <w:sz w:val="20"/>
                <w:szCs w:val="20"/>
              </w:rPr>
            </w:pPr>
            <w:r w:rsidRPr="006B6253">
              <w:rPr>
                <w:sz w:val="20"/>
                <w:szCs w:val="20"/>
              </w:rPr>
              <w:t>Other / Unknown</w:t>
            </w:r>
          </w:p>
        </w:tc>
        <w:tc>
          <w:tcPr>
            <w:tcW w:w="3960" w:type="dxa"/>
          </w:tcPr>
          <w:p w14:paraId="078E65F0" w14:textId="77777777" w:rsidR="00B47923" w:rsidRPr="006B6253" w:rsidRDefault="00B47923" w:rsidP="00B47923">
            <w:pPr>
              <w:spacing w:before="0" w:after="0" w:line="240" w:lineRule="auto"/>
              <w:rPr>
                <w:sz w:val="20"/>
                <w:szCs w:val="20"/>
              </w:rPr>
            </w:pPr>
            <w:r w:rsidRPr="006B6253">
              <w:rPr>
                <w:sz w:val="20"/>
                <w:szCs w:val="20"/>
              </w:rPr>
              <w:t xml:space="preserve">7% </w:t>
            </w:r>
          </w:p>
        </w:tc>
      </w:tr>
    </w:tbl>
    <w:p w14:paraId="185E0669" w14:textId="77777777" w:rsidR="00A84B03" w:rsidRPr="006B6253" w:rsidRDefault="00A84B03" w:rsidP="002942B0">
      <w:pPr>
        <w:rPr>
          <w:rFonts w:cstheme="minorHAnsi"/>
          <w:szCs w:val="20"/>
        </w:rPr>
      </w:pPr>
    </w:p>
    <w:p w14:paraId="7D9DA4A6" w14:textId="1D64723D" w:rsidR="007D230B" w:rsidRPr="00203ECA" w:rsidRDefault="007D230B" w:rsidP="00352543">
      <w:pPr>
        <w:pStyle w:val="eTRMHeading3"/>
      </w:pPr>
      <w:bookmarkStart w:id="15" w:name="_Toc486490850"/>
      <w:bookmarkStart w:id="16" w:name="_Toc486580921"/>
      <w:bookmarkStart w:id="17" w:name="_Toc42244442"/>
      <w:r w:rsidRPr="00203ECA">
        <w:t>Code Requirements</w:t>
      </w:r>
      <w:bookmarkEnd w:id="15"/>
      <w:bookmarkEnd w:id="16"/>
      <w:bookmarkEnd w:id="17"/>
    </w:p>
    <w:p w14:paraId="7B396E0C" w14:textId="4CB4CF38" w:rsidR="00E713AF" w:rsidRPr="00203ECA" w:rsidRDefault="00992F8C" w:rsidP="00E713AF">
      <w:r w:rsidRPr="00203ECA">
        <w:t xml:space="preserve">Thermostats </w:t>
      </w:r>
      <w:r w:rsidR="00753FCE">
        <w:t>are covered by the</w:t>
      </w:r>
      <w:r w:rsidRPr="00203ECA">
        <w:t xml:space="preserve"> California Building Energy Efficiency Standards (Title 24), but </w:t>
      </w:r>
      <w:r w:rsidR="000055F1">
        <w:t xml:space="preserve">the </w:t>
      </w:r>
      <w:r w:rsidRPr="00203ECA">
        <w:t>smart thermostat</w:t>
      </w:r>
      <w:r w:rsidR="000055F1">
        <w:t xml:space="preserve"> technology</w:t>
      </w:r>
      <w:r w:rsidRPr="00203ECA">
        <w:t xml:space="preserve"> </w:t>
      </w:r>
      <w:r w:rsidR="000055F1">
        <w:t>defined for this measure</w:t>
      </w:r>
      <w:r w:rsidRPr="00203ECA">
        <w:t xml:space="preserve"> are not a subject to </w:t>
      </w:r>
      <w:r w:rsidR="00753FCE">
        <w:t>the standards</w:t>
      </w:r>
      <w:r w:rsidRPr="00203ECA">
        <w:t xml:space="preserve">. </w:t>
      </w:r>
    </w:p>
    <w:p w14:paraId="7662BB1E" w14:textId="77777777" w:rsidR="00992F8C" w:rsidRPr="00203ECA" w:rsidRDefault="00992F8C" w:rsidP="00992F8C">
      <w:r w:rsidRPr="00203ECA">
        <w:t xml:space="preserve">This measure is not governed by the California Appliance Efficiency Standards (Title 20) or federal regulations. </w:t>
      </w:r>
    </w:p>
    <w:p w14:paraId="664897D9" w14:textId="4F7E7E12" w:rsidR="00E713AF" w:rsidRPr="00203ECA" w:rsidRDefault="00E713AF" w:rsidP="00E713AF">
      <w:r w:rsidRPr="00203ECA">
        <w:t xml:space="preserve">Note that the applicable codes and standards for these measures dictate only that the thermostats be capable of shutting systems </w:t>
      </w:r>
      <w:r w:rsidR="00753FCE">
        <w:t>OFF</w:t>
      </w:r>
      <w:r w:rsidR="00753FCE" w:rsidRPr="00203ECA">
        <w:t xml:space="preserve"> </w:t>
      </w:r>
      <w:r w:rsidRPr="00203ECA">
        <w:t>and adjusting temperature setpoints during unoccupied hours. There are no requirements to shut down systems during unoccupied hours, or to make any specific unoccupied temperature setpoint adjustments</w:t>
      </w:r>
    </w:p>
    <w:p w14:paraId="7E96141F" w14:textId="15CF5126" w:rsidR="00FD2C54" w:rsidRPr="00203ECA" w:rsidRDefault="00FD2C54" w:rsidP="0010657B">
      <w:pPr>
        <w:pStyle w:val="Caption"/>
      </w:pPr>
      <w:r w:rsidRPr="00203ECA">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790"/>
        <w:gridCol w:w="1980"/>
      </w:tblGrid>
      <w:tr w:rsidR="00FC77BB" w:rsidRPr="00203ECA" w14:paraId="4623D54B" w14:textId="689B6080" w:rsidTr="00E713AF">
        <w:trPr>
          <w:cantSplit/>
          <w:trHeight w:val="20"/>
        </w:trPr>
        <w:tc>
          <w:tcPr>
            <w:tcW w:w="4765" w:type="dxa"/>
            <w:shd w:val="clear" w:color="auto" w:fill="F2F2F2" w:themeFill="background1" w:themeFillShade="F2"/>
            <w:vAlign w:val="bottom"/>
          </w:tcPr>
          <w:p w14:paraId="5E8EE0C5" w14:textId="77777777" w:rsidR="00FC77BB" w:rsidRPr="00203ECA" w:rsidRDefault="00FC77BB" w:rsidP="004F705B">
            <w:pPr>
              <w:keepNext/>
              <w:keepLines/>
              <w:spacing w:before="20" w:after="20"/>
              <w:rPr>
                <w:b/>
                <w:sz w:val="20"/>
                <w:szCs w:val="20"/>
              </w:rPr>
            </w:pPr>
            <w:r w:rsidRPr="00203ECA">
              <w:rPr>
                <w:b/>
                <w:sz w:val="20"/>
              </w:rPr>
              <w:t>Code</w:t>
            </w:r>
          </w:p>
        </w:tc>
        <w:tc>
          <w:tcPr>
            <w:tcW w:w="2790" w:type="dxa"/>
            <w:shd w:val="clear" w:color="auto" w:fill="F2F2F2" w:themeFill="background1" w:themeFillShade="F2"/>
            <w:vAlign w:val="bottom"/>
          </w:tcPr>
          <w:p w14:paraId="2A51DAFB" w14:textId="77777777" w:rsidR="00FC77BB" w:rsidRPr="00203ECA" w:rsidRDefault="00FC77BB" w:rsidP="004F705B">
            <w:pPr>
              <w:keepNext/>
              <w:keepLines/>
              <w:spacing w:before="20" w:after="20"/>
              <w:jc w:val="center"/>
              <w:rPr>
                <w:b/>
                <w:sz w:val="20"/>
                <w:szCs w:val="20"/>
              </w:rPr>
            </w:pPr>
            <w:r w:rsidRPr="00203ECA">
              <w:rPr>
                <w:b/>
                <w:sz w:val="20"/>
              </w:rPr>
              <w:t>Applicable Code Reference</w:t>
            </w:r>
          </w:p>
        </w:tc>
        <w:tc>
          <w:tcPr>
            <w:tcW w:w="1980" w:type="dxa"/>
            <w:shd w:val="clear" w:color="auto" w:fill="F2F2F2" w:themeFill="background1" w:themeFillShade="F2"/>
            <w:vAlign w:val="bottom"/>
          </w:tcPr>
          <w:p w14:paraId="214A9ADD" w14:textId="77777777" w:rsidR="00FC77BB" w:rsidRPr="00203ECA" w:rsidRDefault="00FC77BB" w:rsidP="004F705B">
            <w:pPr>
              <w:keepNext/>
              <w:keepLines/>
              <w:spacing w:before="20" w:after="20"/>
              <w:jc w:val="center"/>
              <w:rPr>
                <w:b/>
                <w:sz w:val="20"/>
                <w:szCs w:val="20"/>
              </w:rPr>
            </w:pPr>
            <w:r w:rsidRPr="00203ECA">
              <w:rPr>
                <w:b/>
                <w:sz w:val="20"/>
              </w:rPr>
              <w:t>Effective Date</w:t>
            </w:r>
          </w:p>
        </w:tc>
      </w:tr>
      <w:tr w:rsidR="00FC77BB" w:rsidRPr="00203ECA" w14:paraId="782F7264" w14:textId="345CFA23" w:rsidTr="00E713AF">
        <w:trPr>
          <w:cantSplit/>
          <w:trHeight w:val="20"/>
        </w:trPr>
        <w:tc>
          <w:tcPr>
            <w:tcW w:w="4765" w:type="dxa"/>
            <w:shd w:val="clear" w:color="auto" w:fill="auto"/>
          </w:tcPr>
          <w:p w14:paraId="67BA833F" w14:textId="27DFA027" w:rsidR="00FC77BB" w:rsidRPr="00203ECA" w:rsidRDefault="00FC77BB" w:rsidP="004F705B">
            <w:pPr>
              <w:keepNext/>
              <w:keepLines/>
              <w:spacing w:before="20" w:after="20"/>
              <w:rPr>
                <w:sz w:val="20"/>
                <w:szCs w:val="20"/>
              </w:rPr>
            </w:pPr>
            <w:r w:rsidRPr="00203ECA">
              <w:rPr>
                <w:sz w:val="20"/>
              </w:rPr>
              <w:t xml:space="preserve">CA Appliance Efficiency Regulations – Title 20 </w:t>
            </w:r>
            <w:r w:rsidR="00753FCE">
              <w:rPr>
                <w:sz w:val="20"/>
              </w:rPr>
              <w:t>(</w:t>
            </w:r>
            <w:r w:rsidR="004534B5" w:rsidRPr="00203ECA">
              <w:rPr>
                <w:sz w:val="20"/>
              </w:rPr>
              <w:t>20</w:t>
            </w:r>
            <w:r w:rsidR="00554225">
              <w:rPr>
                <w:sz w:val="20"/>
              </w:rPr>
              <w:t>20</w:t>
            </w:r>
            <w:r w:rsidR="00753FCE">
              <w:rPr>
                <w:sz w:val="20"/>
              </w:rPr>
              <w:t>)</w:t>
            </w:r>
          </w:p>
        </w:tc>
        <w:tc>
          <w:tcPr>
            <w:tcW w:w="2790" w:type="dxa"/>
            <w:shd w:val="clear" w:color="auto" w:fill="auto"/>
          </w:tcPr>
          <w:p w14:paraId="794A0264" w14:textId="5AF948D7" w:rsidR="00FC77BB" w:rsidRPr="00203ECA" w:rsidRDefault="006C1EAE" w:rsidP="004F705B">
            <w:pPr>
              <w:keepNext/>
              <w:keepLines/>
              <w:spacing w:before="20" w:after="20"/>
              <w:rPr>
                <w:sz w:val="20"/>
                <w:szCs w:val="20"/>
              </w:rPr>
            </w:pPr>
            <w:r w:rsidRPr="00203ECA">
              <w:rPr>
                <w:sz w:val="20"/>
                <w:szCs w:val="20"/>
              </w:rPr>
              <w:t>None</w:t>
            </w:r>
          </w:p>
        </w:tc>
        <w:tc>
          <w:tcPr>
            <w:tcW w:w="1980" w:type="dxa"/>
            <w:shd w:val="clear" w:color="auto" w:fill="auto"/>
          </w:tcPr>
          <w:p w14:paraId="274AB5DC" w14:textId="490FC724" w:rsidR="00FC77BB" w:rsidRPr="00203ECA" w:rsidRDefault="004534B5" w:rsidP="00E713AF">
            <w:pPr>
              <w:keepNext/>
              <w:keepLines/>
              <w:spacing w:before="20" w:after="20"/>
              <w:rPr>
                <w:sz w:val="20"/>
                <w:szCs w:val="20"/>
              </w:rPr>
            </w:pPr>
            <w:r w:rsidRPr="00203ECA">
              <w:rPr>
                <w:sz w:val="20"/>
                <w:szCs w:val="20"/>
              </w:rPr>
              <w:t xml:space="preserve">January 1, </w:t>
            </w:r>
            <w:r w:rsidR="00554225" w:rsidRPr="00203ECA">
              <w:rPr>
                <w:sz w:val="20"/>
                <w:szCs w:val="20"/>
              </w:rPr>
              <w:t>20</w:t>
            </w:r>
            <w:r w:rsidR="00554225">
              <w:rPr>
                <w:sz w:val="20"/>
                <w:szCs w:val="20"/>
              </w:rPr>
              <w:t>20</w:t>
            </w:r>
          </w:p>
        </w:tc>
      </w:tr>
      <w:tr w:rsidR="00FC77BB" w:rsidRPr="00203ECA" w14:paraId="1238F946" w14:textId="64CC1E4E" w:rsidTr="00E713AF">
        <w:trPr>
          <w:cantSplit/>
          <w:trHeight w:val="20"/>
        </w:trPr>
        <w:tc>
          <w:tcPr>
            <w:tcW w:w="4765" w:type="dxa"/>
            <w:shd w:val="clear" w:color="auto" w:fill="auto"/>
          </w:tcPr>
          <w:p w14:paraId="4F444C61" w14:textId="3D2A2C16" w:rsidR="00FC77BB" w:rsidRPr="00203ECA" w:rsidRDefault="00FC77BB" w:rsidP="00FD2C54">
            <w:pPr>
              <w:keepNext/>
              <w:keepLines/>
              <w:spacing w:before="20" w:after="20"/>
              <w:rPr>
                <w:sz w:val="20"/>
                <w:szCs w:val="20"/>
              </w:rPr>
            </w:pPr>
            <w:r w:rsidRPr="00203ECA">
              <w:rPr>
                <w:sz w:val="20"/>
              </w:rPr>
              <w:t xml:space="preserve">CA Building Energy Efficiency Standards – Title 24 </w:t>
            </w:r>
            <w:r w:rsidR="00E713AF" w:rsidRPr="00203ECA">
              <w:rPr>
                <w:sz w:val="20"/>
              </w:rPr>
              <w:t>(201</w:t>
            </w:r>
            <w:r w:rsidR="004534B5" w:rsidRPr="00203ECA">
              <w:rPr>
                <w:sz w:val="20"/>
              </w:rPr>
              <w:t>9</w:t>
            </w:r>
            <w:r w:rsidR="00E713AF" w:rsidRPr="00203ECA">
              <w:rPr>
                <w:sz w:val="20"/>
              </w:rPr>
              <w:t>)</w:t>
            </w:r>
          </w:p>
        </w:tc>
        <w:tc>
          <w:tcPr>
            <w:tcW w:w="2790" w:type="dxa"/>
            <w:shd w:val="clear" w:color="auto" w:fill="auto"/>
          </w:tcPr>
          <w:p w14:paraId="0A330E5E" w14:textId="35BBDA2A" w:rsidR="00FC77BB" w:rsidRPr="00203ECA" w:rsidRDefault="004534B5" w:rsidP="00BA3D7D">
            <w:pPr>
              <w:keepNext/>
              <w:keepLines/>
              <w:spacing w:before="20" w:after="20"/>
              <w:rPr>
                <w:sz w:val="20"/>
                <w:szCs w:val="20"/>
              </w:rPr>
            </w:pPr>
            <w:r w:rsidRPr="00203ECA">
              <w:rPr>
                <w:sz w:val="20"/>
                <w:szCs w:val="20"/>
              </w:rPr>
              <w:t>None</w:t>
            </w:r>
          </w:p>
        </w:tc>
        <w:tc>
          <w:tcPr>
            <w:tcW w:w="1980" w:type="dxa"/>
            <w:shd w:val="clear" w:color="auto" w:fill="auto"/>
          </w:tcPr>
          <w:p w14:paraId="63BAD98E" w14:textId="24E7F04D" w:rsidR="00FC77BB" w:rsidRPr="00203ECA" w:rsidRDefault="00E713AF" w:rsidP="00E713AF">
            <w:pPr>
              <w:keepNext/>
              <w:keepLines/>
              <w:spacing w:before="20" w:after="20"/>
              <w:rPr>
                <w:sz w:val="20"/>
                <w:szCs w:val="20"/>
              </w:rPr>
            </w:pPr>
            <w:r w:rsidRPr="00203ECA">
              <w:rPr>
                <w:sz w:val="20"/>
                <w:szCs w:val="20"/>
              </w:rPr>
              <w:t xml:space="preserve">January 1, </w:t>
            </w:r>
            <w:r w:rsidR="00487109" w:rsidRPr="00203ECA">
              <w:rPr>
                <w:sz w:val="20"/>
                <w:szCs w:val="20"/>
              </w:rPr>
              <w:t>20</w:t>
            </w:r>
            <w:r w:rsidR="00487109">
              <w:rPr>
                <w:sz w:val="20"/>
                <w:szCs w:val="20"/>
              </w:rPr>
              <w:t>20</w:t>
            </w:r>
          </w:p>
        </w:tc>
      </w:tr>
      <w:tr w:rsidR="00FC77BB" w:rsidRPr="00203ECA" w14:paraId="23FB50B6" w14:textId="5078B94B" w:rsidTr="00E713AF">
        <w:trPr>
          <w:cantSplit/>
          <w:trHeight w:val="20"/>
        </w:trPr>
        <w:tc>
          <w:tcPr>
            <w:tcW w:w="4765" w:type="dxa"/>
            <w:shd w:val="clear" w:color="auto" w:fill="auto"/>
          </w:tcPr>
          <w:p w14:paraId="2EBFC05B" w14:textId="77777777" w:rsidR="00FC77BB" w:rsidRPr="00203ECA" w:rsidRDefault="00FC77BB" w:rsidP="00BA3D7D">
            <w:pPr>
              <w:keepNext/>
              <w:keepLines/>
              <w:spacing w:before="20" w:after="20"/>
              <w:rPr>
                <w:sz w:val="20"/>
                <w:szCs w:val="20"/>
              </w:rPr>
            </w:pPr>
            <w:r w:rsidRPr="00203ECA">
              <w:rPr>
                <w:sz w:val="20"/>
              </w:rPr>
              <w:t>Federal Standards</w:t>
            </w:r>
          </w:p>
        </w:tc>
        <w:tc>
          <w:tcPr>
            <w:tcW w:w="2790" w:type="dxa"/>
            <w:shd w:val="clear" w:color="auto" w:fill="auto"/>
          </w:tcPr>
          <w:p w14:paraId="0D43394E" w14:textId="13715D8C" w:rsidR="00FC77BB" w:rsidRPr="00203ECA" w:rsidRDefault="006C1EAE" w:rsidP="00BA3D7D">
            <w:pPr>
              <w:keepNext/>
              <w:keepLines/>
              <w:spacing w:before="20" w:after="20"/>
              <w:rPr>
                <w:sz w:val="20"/>
                <w:szCs w:val="20"/>
              </w:rPr>
            </w:pPr>
            <w:r w:rsidRPr="00203ECA">
              <w:rPr>
                <w:sz w:val="20"/>
                <w:szCs w:val="20"/>
              </w:rPr>
              <w:t>Non</w:t>
            </w:r>
            <w:r w:rsidR="00E713AF" w:rsidRPr="00203ECA">
              <w:rPr>
                <w:sz w:val="20"/>
                <w:szCs w:val="20"/>
              </w:rPr>
              <w:t>e</w:t>
            </w:r>
          </w:p>
        </w:tc>
        <w:tc>
          <w:tcPr>
            <w:tcW w:w="1980" w:type="dxa"/>
            <w:shd w:val="clear" w:color="auto" w:fill="auto"/>
          </w:tcPr>
          <w:p w14:paraId="66FA1B6F" w14:textId="320A70F8" w:rsidR="00FC77BB" w:rsidRPr="00203ECA" w:rsidRDefault="006C1EAE" w:rsidP="00E713AF">
            <w:pPr>
              <w:keepNext/>
              <w:keepLines/>
              <w:spacing w:before="20" w:after="20"/>
              <w:rPr>
                <w:sz w:val="20"/>
                <w:szCs w:val="20"/>
              </w:rPr>
            </w:pPr>
            <w:r w:rsidRPr="00203ECA">
              <w:rPr>
                <w:sz w:val="20"/>
                <w:szCs w:val="20"/>
              </w:rPr>
              <w:t>n/a</w:t>
            </w:r>
          </w:p>
        </w:tc>
      </w:tr>
    </w:tbl>
    <w:p w14:paraId="36F1DFC0" w14:textId="77777777" w:rsidR="00E713AF" w:rsidRPr="00203ECA" w:rsidRDefault="00E713AF" w:rsidP="0011498C"/>
    <w:p w14:paraId="1EE16D20" w14:textId="77777777" w:rsidR="007D230B" w:rsidRPr="00203ECA" w:rsidRDefault="007D230B" w:rsidP="00352543">
      <w:pPr>
        <w:pStyle w:val="eTRMHeading3"/>
      </w:pPr>
      <w:bookmarkStart w:id="18" w:name="_Toc486490851"/>
      <w:bookmarkStart w:id="19" w:name="_Toc486580922"/>
      <w:bookmarkStart w:id="20" w:name="_Toc42244443"/>
      <w:r w:rsidRPr="00203ECA">
        <w:t>Normalizing Unit</w:t>
      </w:r>
      <w:bookmarkEnd w:id="18"/>
      <w:bookmarkEnd w:id="19"/>
      <w:bookmarkEnd w:id="20"/>
    </w:p>
    <w:p w14:paraId="17E5AA43" w14:textId="699ECCA0" w:rsidR="008B0CF9" w:rsidRDefault="003B45C4" w:rsidP="00486585">
      <w:r>
        <w:t>Household</w:t>
      </w:r>
    </w:p>
    <w:p w14:paraId="0C1D0DA4" w14:textId="77777777" w:rsidR="000055F1" w:rsidRPr="00203ECA" w:rsidRDefault="000055F1" w:rsidP="00486585"/>
    <w:p w14:paraId="2F4904E6" w14:textId="77777777" w:rsidR="007D230B" w:rsidRPr="00203ECA" w:rsidRDefault="007D230B" w:rsidP="00352543">
      <w:pPr>
        <w:pStyle w:val="eTRMHeading3"/>
      </w:pPr>
      <w:bookmarkStart w:id="21" w:name="_Toc486490852"/>
      <w:bookmarkStart w:id="22" w:name="_Toc486580923"/>
      <w:bookmarkStart w:id="23" w:name="_Toc42244444"/>
      <w:bookmarkStart w:id="24" w:name="_Hlk515365299"/>
      <w:bookmarkStart w:id="25" w:name="_Hlk515878271"/>
      <w:r w:rsidRPr="00203ECA">
        <w:t>Program Requirements</w:t>
      </w:r>
      <w:bookmarkEnd w:id="21"/>
      <w:bookmarkEnd w:id="22"/>
      <w:bookmarkEnd w:id="23"/>
      <w:r w:rsidRPr="00203ECA">
        <w:t xml:space="preserve"> </w:t>
      </w:r>
    </w:p>
    <w:p w14:paraId="5B286E57" w14:textId="77777777" w:rsidR="00753FCE" w:rsidRDefault="00753FCE" w:rsidP="00753FCE">
      <w:pPr>
        <w:pStyle w:val="eTRMHeading5"/>
        <w:keepNext/>
        <w:keepLines/>
      </w:pPr>
      <w:bookmarkStart w:id="26" w:name="_Hlk516047641"/>
      <w:r>
        <w:t>Measure Implementation Eligibility</w:t>
      </w:r>
    </w:p>
    <w:p w14:paraId="391DDB18" w14:textId="77777777" w:rsidR="00753FCE" w:rsidRDefault="00753FCE" w:rsidP="00753FCE">
      <w:pPr>
        <w:pStyle w:val="Norma"/>
      </w:pPr>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496AF93E" w14:textId="2663A222" w:rsidR="00753FCE" w:rsidRPr="00CC4643" w:rsidRDefault="00753FCE" w:rsidP="00753FCE">
      <w:pPr>
        <w:pStyle w:val="Norma"/>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w:t>
      </w:r>
      <w:r w:rsidR="00AA059E">
        <w:rPr>
          <w:i/>
        </w:rPr>
        <w:t xml:space="preserve"> (or available)</w:t>
      </w:r>
      <w:r>
        <w:rPr>
          <w:i/>
        </w:rPr>
        <w:t xml:space="preserve"> for some measure offerings by</w:t>
      </w:r>
      <w:r w:rsidRPr="00CC4643">
        <w:rPr>
          <w:i/>
        </w:rPr>
        <w:t xml:space="preserve"> all program administrators.</w:t>
      </w:r>
    </w:p>
    <w:bookmarkEnd w:id="24"/>
    <w:p w14:paraId="4C20D576" w14:textId="4D68E683" w:rsidR="001B426F" w:rsidRPr="00203ECA" w:rsidRDefault="001B426F" w:rsidP="00750659">
      <w:pPr>
        <w:pStyle w:val="Caption"/>
        <w:spacing w:before="0" w:after="0"/>
      </w:pPr>
      <w:r w:rsidRPr="00203ECA">
        <w:lastRenderedPageBreak/>
        <w:t>Implementation Eligibility</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605"/>
        <w:gridCol w:w="2790"/>
        <w:gridCol w:w="2340"/>
        <w:gridCol w:w="1615"/>
      </w:tblGrid>
      <w:tr w:rsidR="000E674F" w:rsidRPr="00203ECA" w14:paraId="40946250" w14:textId="77777777" w:rsidTr="00750659">
        <w:trPr>
          <w:trHeight w:val="290"/>
        </w:trPr>
        <w:tc>
          <w:tcPr>
            <w:tcW w:w="2605" w:type="dxa"/>
            <w:shd w:val="clear" w:color="auto" w:fill="F2F2F2" w:themeFill="background1" w:themeFillShade="F2"/>
          </w:tcPr>
          <w:p w14:paraId="550BD668" w14:textId="74D938B8" w:rsidR="000E674F" w:rsidRPr="00203ECA" w:rsidRDefault="000E674F">
            <w:pPr>
              <w:keepNext/>
              <w:spacing w:before="0" w:after="0"/>
              <w:rPr>
                <w:b/>
                <w:bCs/>
                <w:sz w:val="20"/>
              </w:rPr>
            </w:pPr>
            <w:r>
              <w:rPr>
                <w:b/>
                <w:bCs/>
                <w:sz w:val="20"/>
              </w:rPr>
              <w:t>Applicable Offerings</w:t>
            </w:r>
          </w:p>
        </w:tc>
        <w:tc>
          <w:tcPr>
            <w:tcW w:w="2790" w:type="dxa"/>
            <w:shd w:val="clear" w:color="auto" w:fill="F2F2F2" w:themeFill="background1" w:themeFillShade="F2"/>
            <w:noWrap/>
            <w:tcMar>
              <w:top w:w="0" w:type="dxa"/>
              <w:left w:w="108" w:type="dxa"/>
              <w:bottom w:w="0" w:type="dxa"/>
              <w:right w:w="108" w:type="dxa"/>
            </w:tcMar>
            <w:vAlign w:val="bottom"/>
            <w:hideMark/>
          </w:tcPr>
          <w:p w14:paraId="22A9E909" w14:textId="13D7B372" w:rsidR="000E674F" w:rsidRPr="00203ECA" w:rsidRDefault="000E674F">
            <w:pPr>
              <w:keepNext/>
              <w:spacing w:before="0" w:after="0"/>
              <w:rPr>
                <w:b/>
                <w:bCs/>
                <w:sz w:val="20"/>
              </w:rPr>
            </w:pPr>
            <w:r w:rsidRPr="00203ECA">
              <w:rPr>
                <w:b/>
                <w:bCs/>
                <w:sz w:val="20"/>
              </w:rPr>
              <w:t>Measure Application Type</w:t>
            </w:r>
          </w:p>
        </w:tc>
        <w:tc>
          <w:tcPr>
            <w:tcW w:w="2340" w:type="dxa"/>
            <w:shd w:val="clear" w:color="auto" w:fill="F2F2F2" w:themeFill="background1" w:themeFillShade="F2"/>
            <w:noWrap/>
            <w:tcMar>
              <w:top w:w="0" w:type="dxa"/>
              <w:left w:w="108" w:type="dxa"/>
              <w:bottom w:w="0" w:type="dxa"/>
              <w:right w:w="108" w:type="dxa"/>
            </w:tcMar>
            <w:vAlign w:val="bottom"/>
            <w:hideMark/>
          </w:tcPr>
          <w:p w14:paraId="6B5DB796" w14:textId="77777777" w:rsidR="000E674F" w:rsidRPr="00203ECA" w:rsidRDefault="000E674F">
            <w:pPr>
              <w:keepNext/>
              <w:spacing w:before="0" w:after="0"/>
              <w:rPr>
                <w:b/>
                <w:bCs/>
                <w:sz w:val="20"/>
              </w:rPr>
            </w:pPr>
            <w:r w:rsidRPr="00203ECA">
              <w:rPr>
                <w:b/>
                <w:bCs/>
                <w:sz w:val="20"/>
              </w:rPr>
              <w:t>Delivery Type</w:t>
            </w:r>
          </w:p>
        </w:tc>
        <w:tc>
          <w:tcPr>
            <w:tcW w:w="1615" w:type="dxa"/>
            <w:shd w:val="clear" w:color="auto" w:fill="F2F2F2" w:themeFill="background1" w:themeFillShade="F2"/>
            <w:noWrap/>
            <w:tcMar>
              <w:top w:w="0" w:type="dxa"/>
              <w:left w:w="108" w:type="dxa"/>
              <w:bottom w:w="0" w:type="dxa"/>
              <w:right w:w="108" w:type="dxa"/>
            </w:tcMar>
            <w:vAlign w:val="bottom"/>
            <w:hideMark/>
          </w:tcPr>
          <w:p w14:paraId="0558F3FA" w14:textId="77777777" w:rsidR="000E674F" w:rsidRPr="00203ECA" w:rsidRDefault="000E674F">
            <w:pPr>
              <w:keepNext/>
              <w:spacing w:before="0" w:after="0"/>
              <w:rPr>
                <w:b/>
                <w:bCs/>
                <w:sz w:val="20"/>
              </w:rPr>
            </w:pPr>
            <w:r w:rsidRPr="00203ECA">
              <w:rPr>
                <w:b/>
                <w:bCs/>
                <w:sz w:val="20"/>
              </w:rPr>
              <w:t>Sector</w:t>
            </w:r>
          </w:p>
        </w:tc>
      </w:tr>
      <w:tr w:rsidR="000E674F" w:rsidRPr="00203ECA" w14:paraId="54F21FF2" w14:textId="77777777" w:rsidTr="00750659">
        <w:trPr>
          <w:trHeight w:val="290"/>
        </w:trPr>
        <w:tc>
          <w:tcPr>
            <w:tcW w:w="2605" w:type="dxa"/>
          </w:tcPr>
          <w:p w14:paraId="5DA01760" w14:textId="6F34BF63" w:rsidR="000E674F" w:rsidRDefault="000E674F">
            <w:pPr>
              <w:keepNext/>
              <w:spacing w:before="0" w:after="0"/>
              <w:rPr>
                <w:color w:val="000000"/>
                <w:sz w:val="20"/>
              </w:rPr>
            </w:pPr>
            <w:r w:rsidRPr="000E674F">
              <w:rPr>
                <w:color w:val="000000"/>
                <w:sz w:val="20"/>
              </w:rPr>
              <w:t>SWHC039A</w:t>
            </w:r>
            <w:r>
              <w:rPr>
                <w:color w:val="000000"/>
                <w:sz w:val="20"/>
              </w:rPr>
              <w:t xml:space="preserve">, </w:t>
            </w:r>
            <w:r w:rsidRPr="000E674F">
              <w:rPr>
                <w:color w:val="000000"/>
                <w:sz w:val="20"/>
              </w:rPr>
              <w:t>SWHC039B</w:t>
            </w:r>
          </w:p>
        </w:tc>
        <w:tc>
          <w:tcPr>
            <w:tcW w:w="2790" w:type="dxa"/>
            <w:noWrap/>
            <w:tcMar>
              <w:top w:w="0" w:type="dxa"/>
              <w:left w:w="108" w:type="dxa"/>
              <w:bottom w:w="0" w:type="dxa"/>
              <w:right w:w="108" w:type="dxa"/>
            </w:tcMar>
            <w:vAlign w:val="center"/>
          </w:tcPr>
          <w:p w14:paraId="178C5C26" w14:textId="422D4440" w:rsidR="000E674F" w:rsidRPr="00203ECA" w:rsidRDefault="000E674F">
            <w:pPr>
              <w:keepNext/>
              <w:spacing w:before="0" w:after="0"/>
              <w:rPr>
                <w:color w:val="000000"/>
                <w:sz w:val="20"/>
              </w:rPr>
            </w:pPr>
            <w:r>
              <w:rPr>
                <w:color w:val="000000"/>
                <w:sz w:val="20"/>
              </w:rPr>
              <w:t>Normal replacement</w:t>
            </w:r>
          </w:p>
        </w:tc>
        <w:tc>
          <w:tcPr>
            <w:tcW w:w="2340" w:type="dxa"/>
            <w:noWrap/>
            <w:tcMar>
              <w:top w:w="0" w:type="dxa"/>
              <w:left w:w="108" w:type="dxa"/>
              <w:bottom w:w="0" w:type="dxa"/>
              <w:right w:w="108" w:type="dxa"/>
            </w:tcMar>
            <w:vAlign w:val="center"/>
          </w:tcPr>
          <w:p w14:paraId="7EB7E369" w14:textId="21D432A5" w:rsidR="000E674F" w:rsidRPr="00203ECA" w:rsidRDefault="000E674F">
            <w:pPr>
              <w:keepNext/>
              <w:spacing w:before="0" w:after="0"/>
              <w:rPr>
                <w:color w:val="000000"/>
                <w:sz w:val="20"/>
              </w:rPr>
            </w:pPr>
            <w:proofErr w:type="spellStart"/>
            <w:r>
              <w:rPr>
                <w:color w:val="000000"/>
                <w:sz w:val="20"/>
              </w:rPr>
              <w:t>DnDeemed</w:t>
            </w:r>
            <w:proofErr w:type="spellEnd"/>
          </w:p>
        </w:tc>
        <w:tc>
          <w:tcPr>
            <w:tcW w:w="1615" w:type="dxa"/>
            <w:noWrap/>
            <w:tcMar>
              <w:top w:w="0" w:type="dxa"/>
              <w:left w:w="108" w:type="dxa"/>
              <w:bottom w:w="0" w:type="dxa"/>
              <w:right w:w="108" w:type="dxa"/>
            </w:tcMar>
            <w:vAlign w:val="center"/>
          </w:tcPr>
          <w:p w14:paraId="6F9C2987" w14:textId="28026712" w:rsidR="000E674F" w:rsidRPr="00203ECA" w:rsidRDefault="000E674F">
            <w:pPr>
              <w:keepNext/>
              <w:spacing w:before="0" w:after="0"/>
              <w:rPr>
                <w:color w:val="000000"/>
                <w:sz w:val="20"/>
              </w:rPr>
            </w:pPr>
            <w:r w:rsidRPr="00203ECA">
              <w:rPr>
                <w:color w:val="000000"/>
                <w:sz w:val="20"/>
              </w:rPr>
              <w:t>Res</w:t>
            </w:r>
          </w:p>
        </w:tc>
      </w:tr>
      <w:tr w:rsidR="000E674F" w:rsidRPr="00203ECA" w14:paraId="5D22EDDB" w14:textId="77777777" w:rsidTr="00750659">
        <w:trPr>
          <w:trHeight w:val="290"/>
        </w:trPr>
        <w:tc>
          <w:tcPr>
            <w:tcW w:w="2605" w:type="dxa"/>
          </w:tcPr>
          <w:p w14:paraId="5EC6F4F1" w14:textId="1960276C" w:rsidR="000E674F" w:rsidRDefault="000E674F">
            <w:pPr>
              <w:keepNext/>
              <w:spacing w:before="0" w:after="0"/>
              <w:rPr>
                <w:color w:val="000000"/>
                <w:sz w:val="20"/>
              </w:rPr>
            </w:pPr>
            <w:r w:rsidRPr="000E674F">
              <w:rPr>
                <w:color w:val="000000"/>
                <w:sz w:val="20"/>
              </w:rPr>
              <w:t>SWHC039C</w:t>
            </w:r>
            <w:r>
              <w:rPr>
                <w:color w:val="000000"/>
                <w:sz w:val="20"/>
              </w:rPr>
              <w:t xml:space="preserve">, </w:t>
            </w:r>
            <w:r w:rsidRPr="000E674F">
              <w:rPr>
                <w:color w:val="000000"/>
                <w:sz w:val="20"/>
              </w:rPr>
              <w:t>SWHC039D</w:t>
            </w:r>
          </w:p>
        </w:tc>
        <w:tc>
          <w:tcPr>
            <w:tcW w:w="2790" w:type="dxa"/>
            <w:noWrap/>
            <w:tcMar>
              <w:top w:w="0" w:type="dxa"/>
              <w:left w:w="108" w:type="dxa"/>
              <w:bottom w:w="0" w:type="dxa"/>
              <w:right w:w="108" w:type="dxa"/>
            </w:tcMar>
            <w:vAlign w:val="center"/>
          </w:tcPr>
          <w:p w14:paraId="67C06326" w14:textId="61ADACB1" w:rsidR="000E674F" w:rsidRPr="00203ECA" w:rsidRDefault="000E674F">
            <w:pPr>
              <w:keepNext/>
              <w:spacing w:before="0" w:after="0"/>
              <w:rPr>
                <w:color w:val="000000"/>
                <w:sz w:val="20"/>
              </w:rPr>
            </w:pPr>
            <w:r>
              <w:rPr>
                <w:color w:val="000000"/>
                <w:sz w:val="20"/>
              </w:rPr>
              <w:t>Normal replacement</w:t>
            </w:r>
          </w:p>
        </w:tc>
        <w:tc>
          <w:tcPr>
            <w:tcW w:w="2340" w:type="dxa"/>
            <w:noWrap/>
            <w:tcMar>
              <w:top w:w="0" w:type="dxa"/>
              <w:left w:w="108" w:type="dxa"/>
              <w:bottom w:w="0" w:type="dxa"/>
              <w:right w:w="108" w:type="dxa"/>
            </w:tcMar>
            <w:vAlign w:val="center"/>
          </w:tcPr>
          <w:p w14:paraId="5AA899A5" w14:textId="067D26BC" w:rsidR="000E674F" w:rsidRPr="00203ECA" w:rsidRDefault="000E674F">
            <w:pPr>
              <w:keepNext/>
              <w:spacing w:before="0" w:after="0"/>
              <w:rPr>
                <w:color w:val="000000"/>
                <w:sz w:val="20"/>
              </w:rPr>
            </w:pPr>
            <w:proofErr w:type="spellStart"/>
            <w:r>
              <w:rPr>
                <w:color w:val="000000"/>
                <w:sz w:val="20"/>
              </w:rPr>
              <w:t>DnDeemDI</w:t>
            </w:r>
            <w:proofErr w:type="spellEnd"/>
          </w:p>
        </w:tc>
        <w:tc>
          <w:tcPr>
            <w:tcW w:w="1615" w:type="dxa"/>
            <w:noWrap/>
            <w:tcMar>
              <w:top w:w="0" w:type="dxa"/>
              <w:left w:w="108" w:type="dxa"/>
              <w:bottom w:w="0" w:type="dxa"/>
              <w:right w:w="108" w:type="dxa"/>
            </w:tcMar>
            <w:vAlign w:val="center"/>
          </w:tcPr>
          <w:p w14:paraId="111B3DEA" w14:textId="5B0E2E35" w:rsidR="000E674F" w:rsidRPr="00203ECA" w:rsidRDefault="000E674F">
            <w:pPr>
              <w:keepNext/>
              <w:spacing w:before="0" w:after="0"/>
              <w:rPr>
                <w:color w:val="000000"/>
                <w:sz w:val="20"/>
              </w:rPr>
            </w:pPr>
            <w:r w:rsidRPr="00203ECA">
              <w:rPr>
                <w:color w:val="000000"/>
                <w:sz w:val="20"/>
              </w:rPr>
              <w:t>Res</w:t>
            </w:r>
          </w:p>
        </w:tc>
      </w:tr>
    </w:tbl>
    <w:p w14:paraId="73035A5C" w14:textId="683635E7" w:rsidR="001B426F" w:rsidRDefault="001B426F" w:rsidP="00750659">
      <w:pPr>
        <w:spacing w:before="0" w:after="0"/>
      </w:pPr>
    </w:p>
    <w:p w14:paraId="38A8ACB8" w14:textId="5E96F7DE" w:rsidR="000055F1" w:rsidRPr="00203ECA" w:rsidRDefault="00753FCE" w:rsidP="00750659">
      <w:pPr>
        <w:spacing w:before="0" w:after="0"/>
      </w:pPr>
      <w:r>
        <w:t>The</w:t>
      </w:r>
      <w:r w:rsidRPr="00203ECA">
        <w:t xml:space="preserve"> </w:t>
      </w:r>
      <w:r>
        <w:t>normal</w:t>
      </w:r>
      <w:r w:rsidR="005B4ECB">
        <w:t xml:space="preserve"> replacement</w:t>
      </w:r>
      <w:r w:rsidRPr="00203ECA">
        <w:t xml:space="preserve"> measure application type is determined appropriate</w:t>
      </w:r>
      <w:r>
        <w:t xml:space="preserve"> g</w:t>
      </w:r>
      <w:r w:rsidR="000055F1" w:rsidRPr="00203ECA">
        <w:t>iven</w:t>
      </w:r>
      <w:r w:rsidR="00866750">
        <w:t xml:space="preserve"> baseline characterization </w:t>
      </w:r>
      <w:r w:rsidR="001C7348">
        <w:t xml:space="preserve">determined by </w:t>
      </w:r>
      <w:r w:rsidR="005B3468">
        <w:t xml:space="preserve">the </w:t>
      </w:r>
      <w:r>
        <w:t>S</w:t>
      </w:r>
      <w:r w:rsidR="005B3468">
        <w:t xml:space="preserve">mart </w:t>
      </w:r>
      <w:r>
        <w:t>T</w:t>
      </w:r>
      <w:r w:rsidR="005B3468">
        <w:t xml:space="preserve">hermostat </w:t>
      </w:r>
      <w:r>
        <w:t>P</w:t>
      </w:r>
      <w:r w:rsidR="005B3468">
        <w:t xml:space="preserve">rocess </w:t>
      </w:r>
      <w:r>
        <w:t>E</w:t>
      </w:r>
      <w:r w:rsidR="005B3468">
        <w:t>valuation</w:t>
      </w:r>
      <w:r w:rsidR="00866750">
        <w:t>.</w:t>
      </w:r>
      <w:r>
        <w:rPr>
          <w:rStyle w:val="FootnoteReference"/>
        </w:rPr>
        <w:footnoteReference w:id="2"/>
      </w:r>
      <w:r w:rsidR="005B3468">
        <w:t xml:space="preserve"> </w:t>
      </w:r>
    </w:p>
    <w:p w14:paraId="09D1F96E" w14:textId="77777777" w:rsidR="000055F1" w:rsidRPr="00203ECA" w:rsidRDefault="000055F1" w:rsidP="001B426F"/>
    <w:bookmarkEnd w:id="25"/>
    <w:bookmarkEnd w:id="26"/>
    <w:p w14:paraId="50711562" w14:textId="5D0894B2" w:rsidR="00AA46AF" w:rsidRPr="00203ECA" w:rsidRDefault="00196649" w:rsidP="00154391">
      <w:pPr>
        <w:pStyle w:val="eTRMHeading5"/>
      </w:pPr>
      <w:r w:rsidRPr="00203ECA">
        <w:t>Eligible Products</w:t>
      </w:r>
    </w:p>
    <w:p w14:paraId="737D2E9A" w14:textId="3C92145A" w:rsidR="00A377A6" w:rsidRPr="00203ECA" w:rsidRDefault="00A377A6" w:rsidP="00A377A6">
      <w:pPr>
        <w:rPr>
          <w:b/>
          <w:sz w:val="28"/>
          <w:szCs w:val="28"/>
        </w:rPr>
      </w:pPr>
      <w:r w:rsidRPr="00203ECA">
        <w:rPr>
          <w:b/>
        </w:rPr>
        <w:t>General Eligibility Requirements</w:t>
      </w:r>
      <w:r w:rsidR="00753FCE">
        <w:rPr>
          <w:b/>
        </w:rPr>
        <w:t>:</w:t>
      </w:r>
      <w:r w:rsidRPr="00203ECA">
        <w:rPr>
          <w:rStyle w:val="FootnoteReference"/>
          <w:b/>
          <w:sz w:val="20"/>
          <w:szCs w:val="20"/>
        </w:rPr>
        <w:footnoteReference w:id="3"/>
      </w:r>
    </w:p>
    <w:p w14:paraId="2471C714" w14:textId="27417DCB" w:rsidR="00A377A6" w:rsidRPr="00203ECA" w:rsidRDefault="00A377A6" w:rsidP="00A50610">
      <w:r w:rsidRPr="00203ECA">
        <w:t>The program administrator (PA) shall employ QA/QC procedures to ensure that the thermostat is installed in an eligible home and is attached to the type of HVAC equipment that is being incentivized, whether it is for natural gas or electricity savings.</w:t>
      </w:r>
    </w:p>
    <w:p w14:paraId="3BEF1891" w14:textId="3FB5AFCD" w:rsidR="00A377A6" w:rsidRPr="00203ECA" w:rsidRDefault="00A377A6" w:rsidP="00A50610">
      <w:r w:rsidRPr="00203ECA">
        <w:t>The PA shall confirm that the customer has a newly purchased smart thermostat. At minimum, the PA shall obtain a copy of the thermostat sales receipt and the PA shall confirm the purchase date is on or after the program start date.</w:t>
      </w:r>
    </w:p>
    <w:p w14:paraId="5E8E4565" w14:textId="76A30501" w:rsidR="00A377A6" w:rsidRPr="00203ECA" w:rsidRDefault="00A377A6" w:rsidP="00A50610">
      <w:pPr>
        <w:rPr>
          <w:b/>
        </w:rPr>
      </w:pPr>
      <w:r w:rsidRPr="00203ECA">
        <w:t xml:space="preserve">The PA shall determine customer eligibility prior to rebate payment. Upon request, all data associated with determining eligibility shall be provided to Energy Division of the California Public Utilities Commission (CPUC). All PAs shall extend this requirement to all third-party vendors that assist PAs with determining customer eligibility. To the extent that they are used to determine eligibility, data regarding dates of purchase, location of home, customer HVAC equipment type, pre-installation HVAC energy use, </w:t>
      </w:r>
      <w:r w:rsidR="00F74457" w:rsidRPr="00203ECA">
        <w:t>etc.</w:t>
      </w:r>
      <w:r w:rsidRPr="00203ECA">
        <w:t xml:space="preserve"> shall be made available.</w:t>
      </w:r>
    </w:p>
    <w:p w14:paraId="41C039C7" w14:textId="77777777" w:rsidR="001C7348" w:rsidRDefault="001C7348" w:rsidP="00F74457">
      <w:pPr>
        <w:rPr>
          <w:b/>
        </w:rPr>
      </w:pPr>
    </w:p>
    <w:p w14:paraId="130921EA" w14:textId="4FBA8655" w:rsidR="00A377A6" w:rsidRPr="00203ECA" w:rsidRDefault="00A377A6" w:rsidP="00F74457">
      <w:pPr>
        <w:rPr>
          <w:b/>
        </w:rPr>
      </w:pPr>
      <w:r w:rsidRPr="00203ECA">
        <w:rPr>
          <w:b/>
        </w:rPr>
        <w:t>Device Eligibility Requirements:</w:t>
      </w:r>
    </w:p>
    <w:p w14:paraId="62F0A93E" w14:textId="06F61634" w:rsidR="001B629E" w:rsidRPr="00203ECA" w:rsidRDefault="00753FCE" w:rsidP="00A50610">
      <w:r>
        <w:t>The s</w:t>
      </w:r>
      <w:r w:rsidR="001B629E" w:rsidRPr="00203ECA">
        <w:t xml:space="preserve">mart thermostat must </w:t>
      </w:r>
      <w:r w:rsidR="00556D54">
        <w:t>be in full compliance</w:t>
      </w:r>
      <w:r w:rsidR="001B629E" w:rsidRPr="00203ECA">
        <w:t xml:space="preserve"> with </w:t>
      </w:r>
      <w:r w:rsidR="00B217CC">
        <w:t xml:space="preserve">the </w:t>
      </w:r>
      <w:r w:rsidR="001B629E" w:rsidRPr="00203ECA">
        <w:t>ENERGYSTAR</w:t>
      </w:r>
      <w:r w:rsidR="00B217CC">
        <w:t>®</w:t>
      </w:r>
      <w:r w:rsidR="001B629E" w:rsidRPr="00203ECA">
        <w:t xml:space="preserve"> </w:t>
      </w:r>
      <w:r w:rsidR="00614E5D">
        <w:t>P</w:t>
      </w:r>
      <w:r w:rsidR="001B629E" w:rsidRPr="00203ECA">
        <w:t xml:space="preserve">rogram </w:t>
      </w:r>
      <w:r w:rsidR="00614E5D">
        <w:t>R</w:t>
      </w:r>
      <w:r w:rsidR="001B629E" w:rsidRPr="00203ECA">
        <w:t xml:space="preserve">equirements and </w:t>
      </w:r>
      <w:r w:rsidR="00614E5D">
        <w:t>P</w:t>
      </w:r>
      <w:r w:rsidR="001B629E" w:rsidRPr="00203ECA">
        <w:t xml:space="preserve">roduct </w:t>
      </w:r>
      <w:r w:rsidR="00614E5D">
        <w:t>S</w:t>
      </w:r>
      <w:r w:rsidR="001B629E" w:rsidRPr="00203ECA">
        <w:t>pecification for Connected Thermostats products Version 1</w:t>
      </w:r>
      <w:r w:rsidR="00B217CC">
        <w:t>.0</w:t>
      </w:r>
      <w:r w:rsidR="001B629E" w:rsidRPr="00203ECA">
        <w:t xml:space="preserve"> or later.</w:t>
      </w:r>
      <w:r w:rsidR="00B217CC">
        <w:rPr>
          <w:rStyle w:val="FootnoteReference"/>
        </w:rPr>
        <w:footnoteReference w:id="4"/>
      </w:r>
      <w:r w:rsidR="001B629E" w:rsidRPr="00203ECA">
        <w:t xml:space="preserve"> </w:t>
      </w:r>
    </w:p>
    <w:p w14:paraId="49C47276" w14:textId="1184C1F7" w:rsidR="00A377A6" w:rsidRPr="00203ECA" w:rsidRDefault="00F74457" w:rsidP="00A50610">
      <w:r w:rsidRPr="00203ECA">
        <w:t>The customer m</w:t>
      </w:r>
      <w:r w:rsidR="00A377A6" w:rsidRPr="00203ECA">
        <w:t xml:space="preserve">ust use the thermostat to control heating and/or cooling equipment supplied by fuels provided by the </w:t>
      </w:r>
      <w:r w:rsidR="00B217CC">
        <w:t>program administrator</w:t>
      </w:r>
      <w:r w:rsidR="00614E5D">
        <w:t>:</w:t>
      </w:r>
    </w:p>
    <w:p w14:paraId="1068048B" w14:textId="77777777" w:rsidR="00A377A6" w:rsidRPr="00E77AD7" w:rsidRDefault="00A377A6" w:rsidP="00750659">
      <w:pPr>
        <w:pStyle w:val="eTRMBulletedText"/>
      </w:pPr>
      <w:r w:rsidRPr="00B217CC">
        <w:t>For single-fuel utilities (or dual-fuel utilities in a portion of their service area where they only supply one fuel), o</w:t>
      </w:r>
      <w:r w:rsidRPr="00E77AD7">
        <w:t>nly savings for the applicable delivered fuel may be claimed</w:t>
      </w:r>
    </w:p>
    <w:p w14:paraId="0182FCA6" w14:textId="77777777" w:rsidR="00A377A6" w:rsidRPr="00E77AD7" w:rsidRDefault="00A377A6" w:rsidP="00750659">
      <w:pPr>
        <w:pStyle w:val="eTRMBulletedText"/>
      </w:pPr>
      <w:r w:rsidRPr="00E77AD7">
        <w:t>Eligible heating equipment: gas forced-air furnace, electric forced-air furnace, heat pump</w:t>
      </w:r>
    </w:p>
    <w:p w14:paraId="19232FF8" w14:textId="77777777" w:rsidR="00A377A6" w:rsidRPr="00E77AD7" w:rsidRDefault="00A377A6" w:rsidP="00750659">
      <w:pPr>
        <w:pStyle w:val="eTRMBulletedText"/>
      </w:pPr>
      <w:r w:rsidRPr="00E77AD7">
        <w:t>Eligible cooling equipment: central air conditioning</w:t>
      </w:r>
    </w:p>
    <w:p w14:paraId="75F3F164" w14:textId="77777777" w:rsidR="00A377A6" w:rsidRPr="00203ECA" w:rsidRDefault="00A377A6" w:rsidP="00614E5D"/>
    <w:p w14:paraId="7CE938DA" w14:textId="62DB1AE2" w:rsidR="007B6A74" w:rsidRPr="00203ECA" w:rsidRDefault="007B6A74" w:rsidP="00401C43">
      <w:pPr>
        <w:pStyle w:val="eTRMHeading5"/>
      </w:pPr>
      <w:r w:rsidRPr="00203ECA">
        <w:t>Eligible Building Types</w:t>
      </w:r>
      <w:r w:rsidR="00E57AAD" w:rsidRPr="00203ECA">
        <w:t xml:space="preserve"> and Vintages</w:t>
      </w:r>
    </w:p>
    <w:p w14:paraId="7AA25502" w14:textId="767993D0" w:rsidR="00571D95" w:rsidRPr="00203ECA" w:rsidRDefault="001501B3" w:rsidP="00571D95">
      <w:r w:rsidRPr="00203ECA">
        <w:t xml:space="preserve">This measure is applicable for all residential building types </w:t>
      </w:r>
      <w:r w:rsidR="00302B26" w:rsidRPr="00203ECA">
        <w:t>(</w:t>
      </w:r>
      <w:r w:rsidR="00302B26" w:rsidRPr="00203ECA">
        <w:rPr>
          <w:rFonts w:cstheme="minorHAnsi"/>
          <w:szCs w:val="22"/>
        </w:rPr>
        <w:t xml:space="preserve">single family, multifamily, and mobile homes) </w:t>
      </w:r>
      <w:r w:rsidRPr="00203ECA">
        <w:t>of any vintage.</w:t>
      </w:r>
    </w:p>
    <w:p w14:paraId="2C747E71" w14:textId="77777777" w:rsidR="001501B3" w:rsidRPr="00203ECA" w:rsidRDefault="001501B3" w:rsidP="00571D95"/>
    <w:p w14:paraId="1A3705F3" w14:textId="4BC0985D" w:rsidR="007B6A74" w:rsidRPr="00203ECA" w:rsidRDefault="00196649" w:rsidP="00154391">
      <w:pPr>
        <w:pStyle w:val="eTRMHeading5"/>
      </w:pPr>
      <w:r w:rsidRPr="00203ECA">
        <w:t>Eligible Climate Zones</w:t>
      </w:r>
    </w:p>
    <w:p w14:paraId="497060F8" w14:textId="6713DF66" w:rsidR="00A377A6" w:rsidRPr="00203ECA" w:rsidRDefault="004B6780" w:rsidP="00A377A6">
      <w:r w:rsidRPr="00203ECA">
        <w:t xml:space="preserve">This measure is applicable </w:t>
      </w:r>
      <w:r w:rsidR="00273571" w:rsidRPr="00203ECA">
        <w:t>in</w:t>
      </w:r>
      <w:r w:rsidRPr="00203ECA">
        <w:t xml:space="preserve"> </w:t>
      </w:r>
      <w:r w:rsidR="00890F77" w:rsidRPr="00203ECA">
        <w:t>all</w:t>
      </w:r>
      <w:r w:rsidRPr="00203ECA">
        <w:t xml:space="preserve"> California </w:t>
      </w:r>
      <w:r w:rsidR="00933A66">
        <w:t>C</w:t>
      </w:r>
      <w:r w:rsidRPr="00203ECA">
        <w:t xml:space="preserve">limate </w:t>
      </w:r>
      <w:r w:rsidR="00933A66">
        <w:t>Z</w:t>
      </w:r>
      <w:r w:rsidRPr="00203ECA">
        <w:t>ones</w:t>
      </w:r>
      <w:r w:rsidR="0092028B">
        <w:t xml:space="preserve"> with allowable measure savings claims as reported in </w:t>
      </w:r>
      <w:r w:rsidR="006770C7">
        <w:t xml:space="preserve">corresponding </w:t>
      </w:r>
      <w:r w:rsidR="0092028B">
        <w:t>energy savings tables.  For some Climate Zones</w:t>
      </w:r>
      <w:r w:rsidR="004F25B3">
        <w:t xml:space="preserve"> (primarily for Downstream programs</w:t>
      </w:r>
      <w:r w:rsidR="00493F6D">
        <w:t xml:space="preserve">, </w:t>
      </w:r>
      <w:r w:rsidR="004F25B3">
        <w:t>as determined by latest</w:t>
      </w:r>
      <w:r w:rsidR="006770C7">
        <w:t xml:space="preserve"> </w:t>
      </w:r>
      <w:r w:rsidR="004F25B3">
        <w:t>Impact Evaluation study</w:t>
      </w:r>
      <w:r w:rsidR="004F25B3">
        <w:rPr>
          <w:rStyle w:val="FootnoteReference"/>
        </w:rPr>
        <w:footnoteReference w:id="5"/>
      </w:r>
      <w:r w:rsidR="006770C7">
        <w:t>)</w:t>
      </w:r>
      <w:r w:rsidR="004F25B3">
        <w:t xml:space="preserve">, </w:t>
      </w:r>
      <w:r w:rsidR="003336D9">
        <w:t>the measure</w:t>
      </w:r>
      <w:r w:rsidR="006770C7">
        <w:t xml:space="preserve"> is not expected to realize energy savings when controlling </w:t>
      </w:r>
      <w:r w:rsidR="0092028B">
        <w:t xml:space="preserve">cooling and/or heating </w:t>
      </w:r>
      <w:r w:rsidR="006770C7">
        <w:t xml:space="preserve">operating </w:t>
      </w:r>
      <w:r w:rsidR="0092028B">
        <w:t>mode</w:t>
      </w:r>
      <w:r w:rsidR="00493F6D">
        <w:t xml:space="preserve"> and/or energy consumption on controlled equipment is expected to increase in the measure case.  For these cases, measure savings are zero out.  </w:t>
      </w:r>
    </w:p>
    <w:p w14:paraId="34FF761D" w14:textId="77777777" w:rsidR="006C41AD" w:rsidRPr="00203ECA" w:rsidRDefault="006C41AD" w:rsidP="004B06E3"/>
    <w:p w14:paraId="47630D60" w14:textId="77777777" w:rsidR="007D230B" w:rsidRPr="00203ECA" w:rsidRDefault="007D230B" w:rsidP="00352543">
      <w:pPr>
        <w:pStyle w:val="eTRMHeading3"/>
      </w:pPr>
      <w:bookmarkStart w:id="29" w:name="_Toc486490853"/>
      <w:bookmarkStart w:id="30" w:name="_Toc486580924"/>
      <w:bookmarkStart w:id="31" w:name="_Toc42244445"/>
      <w:r w:rsidRPr="00203ECA">
        <w:t>Program Exclusions</w:t>
      </w:r>
      <w:bookmarkEnd w:id="29"/>
      <w:bookmarkEnd w:id="30"/>
      <w:bookmarkEnd w:id="31"/>
      <w:r w:rsidRPr="00203ECA">
        <w:t xml:space="preserve"> </w:t>
      </w:r>
    </w:p>
    <w:p w14:paraId="69AE2FFD" w14:textId="07CA5F40" w:rsidR="0047771D" w:rsidRDefault="00831F7B" w:rsidP="004B06E3">
      <w:r>
        <w:t>None</w:t>
      </w:r>
      <w:r w:rsidR="00614E5D">
        <w:t>.</w:t>
      </w:r>
    </w:p>
    <w:p w14:paraId="61B25EFF" w14:textId="77777777" w:rsidR="00D41B79" w:rsidRPr="00203ECA" w:rsidRDefault="00D41B79" w:rsidP="004B06E3"/>
    <w:p w14:paraId="655E299F" w14:textId="38C42BE8" w:rsidR="007D230B" w:rsidRPr="00203ECA" w:rsidRDefault="007D230B" w:rsidP="00352543">
      <w:pPr>
        <w:pStyle w:val="eTRMHeading3"/>
      </w:pPr>
      <w:bookmarkStart w:id="32" w:name="_Toc486490854"/>
      <w:bookmarkStart w:id="33" w:name="_Toc486580925"/>
      <w:bookmarkStart w:id="34" w:name="_Toc42244446"/>
      <w:r w:rsidRPr="00203ECA">
        <w:t>Data Collection Requirements</w:t>
      </w:r>
      <w:bookmarkEnd w:id="32"/>
      <w:bookmarkEnd w:id="33"/>
      <w:r w:rsidRPr="00203ECA">
        <w:t xml:space="preserve"> </w:t>
      </w:r>
      <w:bookmarkEnd w:id="34"/>
    </w:p>
    <w:p w14:paraId="1CF2912B" w14:textId="70E3B1DA" w:rsidR="00E710DA" w:rsidRPr="00750659" w:rsidRDefault="00E710DA" w:rsidP="00590ED1">
      <w:r w:rsidRPr="00750659">
        <w:t>Per Impact Evaluation</w:t>
      </w:r>
      <w:r w:rsidR="009C2665">
        <w:rPr>
          <w:rStyle w:val="FootnoteReference"/>
        </w:rPr>
        <w:footnoteReference w:id="6"/>
      </w:r>
      <w:r w:rsidR="009C2665">
        <w:t xml:space="preserve"> </w:t>
      </w:r>
      <w:r w:rsidRPr="00750659">
        <w:t>recommendation</w:t>
      </w:r>
      <w:r>
        <w:t>s</w:t>
      </w:r>
      <w:r w:rsidR="00E87183">
        <w:t xml:space="preserve">, </w:t>
      </w:r>
      <w:r w:rsidR="00E87183" w:rsidRPr="000E674F">
        <w:t xml:space="preserve">data collection requirements and </w:t>
      </w:r>
      <w:r w:rsidR="00E87183" w:rsidRPr="00C72E1D">
        <w:t>additional work</w:t>
      </w:r>
      <w:r w:rsidR="002112B3" w:rsidRPr="00C72E1D">
        <w:t xml:space="preserve"> (to be supported by program evaluators)</w:t>
      </w:r>
      <w:r w:rsidR="00E87183" w:rsidRPr="00C72E1D">
        <w:t xml:space="preserve"> specifically</w:t>
      </w:r>
      <w:r w:rsidR="00106418" w:rsidRPr="00C72E1D">
        <w:t xml:space="preserve"> needed</w:t>
      </w:r>
      <w:r w:rsidR="00E87183" w:rsidRPr="00C72E1D">
        <w:t xml:space="preserve"> to support further validation and/or evaluation of energy savings estimates from 2018PY Impact Evaluation, to include the following:</w:t>
      </w:r>
      <w:r w:rsidR="00E87183">
        <w:t xml:space="preserve"> </w:t>
      </w:r>
    </w:p>
    <w:p w14:paraId="3CCC98BF" w14:textId="70C8A68D" w:rsidR="00E710DA" w:rsidRPr="00750659" w:rsidRDefault="0048035F" w:rsidP="00750659">
      <w:pPr>
        <w:pStyle w:val="eTRMBulletedText"/>
      </w:pPr>
      <w:r>
        <w:t>“</w:t>
      </w:r>
      <w:r w:rsidR="00E710DA" w:rsidRPr="00750659">
        <w:t xml:space="preserve">Differences between participants and comparison group </w:t>
      </w:r>
      <w:r w:rsidR="00E710DA" w:rsidRPr="001C7348">
        <w:t>households point to potential increasing trends in</w:t>
      </w:r>
      <w:r w:rsidR="00E710DA" w:rsidRPr="00750659">
        <w:t xml:space="preserve"> </w:t>
      </w:r>
      <w:r w:rsidR="00E710DA" w:rsidRPr="001C7348">
        <w:t>baseload consumption among participants. The next</w:t>
      </w:r>
      <w:r w:rsidR="00E710DA" w:rsidRPr="00750659">
        <w:t xml:space="preserve"> </w:t>
      </w:r>
      <w:r w:rsidR="00E710DA" w:rsidRPr="001C7348">
        <w:t>smart thermostat evaluation should develop methods</w:t>
      </w:r>
      <w:r w:rsidR="00E710DA" w:rsidRPr="00750659">
        <w:t xml:space="preserve"> </w:t>
      </w:r>
      <w:r w:rsidR="00E710DA" w:rsidRPr="001C7348">
        <w:t>for identifying trends in pre-installation consumption to</w:t>
      </w:r>
      <w:r w:rsidR="00E710DA" w:rsidRPr="00750659">
        <w:t xml:space="preserve"> </w:t>
      </w:r>
      <w:r w:rsidR="00E710DA" w:rsidRPr="001C7348">
        <w:t>include as a</w:t>
      </w:r>
      <w:r w:rsidR="00E710DA" w:rsidRPr="00750659">
        <w:t xml:space="preserve"> </w:t>
      </w:r>
      <w:r w:rsidR="00E710DA" w:rsidRPr="001C7348">
        <w:t>matching variable as well as other methods</w:t>
      </w:r>
      <w:r w:rsidR="00E710DA" w:rsidRPr="00750659">
        <w:t xml:space="preserve"> </w:t>
      </w:r>
      <w:r w:rsidR="00E710DA" w:rsidRPr="001C7348">
        <w:t>to minimize potential self-selection bias. Also, the</w:t>
      </w:r>
      <w:r w:rsidR="00E710DA" w:rsidRPr="00750659">
        <w:t xml:space="preserve"> </w:t>
      </w:r>
      <w:r w:rsidR="00E710DA" w:rsidRPr="001C7348">
        <w:t>current study could be updated with a new matched</w:t>
      </w:r>
      <w:r w:rsidR="00E710DA" w:rsidRPr="00750659">
        <w:t xml:space="preserve"> </w:t>
      </w:r>
      <w:r w:rsidR="00E710DA" w:rsidRPr="001C7348">
        <w:t>comparison group comprised of more recent program</w:t>
      </w:r>
      <w:r w:rsidR="00E710DA" w:rsidRPr="00750659">
        <w:t xml:space="preserve"> </w:t>
      </w:r>
      <w:r w:rsidR="00E710DA" w:rsidRPr="001C7348">
        <w:t>participants who were not available for inclusion within</w:t>
      </w:r>
      <w:r w:rsidR="00E710DA" w:rsidRPr="00750659">
        <w:t xml:space="preserve"> </w:t>
      </w:r>
      <w:r w:rsidR="00E710DA" w:rsidRPr="001C7348">
        <w:t>the existing evaluation timeframe.</w:t>
      </w:r>
      <w:r>
        <w:t>”</w:t>
      </w:r>
    </w:p>
    <w:p w14:paraId="2E84B1A8" w14:textId="1A56E945" w:rsidR="00E710DA" w:rsidRPr="00750659" w:rsidRDefault="0048035F" w:rsidP="00750659">
      <w:pPr>
        <w:pStyle w:val="eTRMBulletedText"/>
      </w:pPr>
      <w:r>
        <w:t>“</w:t>
      </w:r>
      <w:r w:rsidR="00E710DA" w:rsidRPr="00750659">
        <w:t>Load savings shapes are an increasingly important outcome from studies like this and further research is required to move them beyond the exploratory phase. This should not only provide better estimates of load savings shapes but also provide annual savings estimates that are consistent with those obtained from other methods, including the two-stage method used in this study.</w:t>
      </w:r>
      <w:r>
        <w:t>”</w:t>
      </w:r>
    </w:p>
    <w:p w14:paraId="2FF16269" w14:textId="77777777" w:rsidR="00227FB9" w:rsidRPr="00203ECA" w:rsidRDefault="00227FB9" w:rsidP="00590ED1"/>
    <w:p w14:paraId="4891FCAB" w14:textId="77777777" w:rsidR="007D230B" w:rsidRPr="00203ECA" w:rsidRDefault="007D230B" w:rsidP="00352543">
      <w:pPr>
        <w:pStyle w:val="eTRMHeading3"/>
      </w:pPr>
      <w:bookmarkStart w:id="35" w:name="_Toc486490855"/>
      <w:bookmarkStart w:id="36" w:name="_Toc486580926"/>
      <w:bookmarkStart w:id="37" w:name="_Toc42244447"/>
      <w:r w:rsidRPr="00203ECA">
        <w:lastRenderedPageBreak/>
        <w:t>Use Category</w:t>
      </w:r>
      <w:bookmarkEnd w:id="35"/>
      <w:bookmarkEnd w:id="36"/>
      <w:bookmarkEnd w:id="37"/>
    </w:p>
    <w:p w14:paraId="13382FF9" w14:textId="4E0C7A23" w:rsidR="004142EF" w:rsidRPr="00203ECA" w:rsidRDefault="00273571" w:rsidP="004B06E3">
      <w:r w:rsidRPr="00203ECA">
        <w:t>HVAC</w:t>
      </w:r>
    </w:p>
    <w:p w14:paraId="4FB6641C" w14:textId="77777777" w:rsidR="00273571" w:rsidRPr="00203ECA" w:rsidRDefault="00273571" w:rsidP="004B06E3"/>
    <w:p w14:paraId="0B69DAED" w14:textId="0E7DBBB7" w:rsidR="00106418" w:rsidRDefault="007D230B" w:rsidP="00352543">
      <w:pPr>
        <w:pStyle w:val="eTRMHeading3"/>
      </w:pPr>
      <w:bookmarkStart w:id="38" w:name="_Toc486490857"/>
      <w:bookmarkStart w:id="39" w:name="_Toc486580928"/>
      <w:bookmarkStart w:id="40" w:name="_Toc42244448"/>
      <w:bookmarkStart w:id="41" w:name="_Hlk14956134"/>
      <w:r w:rsidRPr="00203ECA">
        <w:t>Electric Savings</w:t>
      </w:r>
      <w:r w:rsidR="00245AFF" w:rsidRPr="00203ECA">
        <w:t xml:space="preserve"> (</w:t>
      </w:r>
      <w:r w:rsidR="00E14349" w:rsidRPr="00203ECA">
        <w:t>k</w:t>
      </w:r>
      <w:r w:rsidR="00245AFF" w:rsidRPr="00203ECA">
        <w:t>Wh)</w:t>
      </w:r>
      <w:bookmarkEnd w:id="38"/>
      <w:bookmarkEnd w:id="39"/>
      <w:r w:rsidR="00EB7D13">
        <w:t xml:space="preserve"> and Gas Savings (therms)</w:t>
      </w:r>
      <w:bookmarkEnd w:id="40"/>
    </w:p>
    <w:p w14:paraId="284ED675" w14:textId="77777777" w:rsidR="00431708" w:rsidRDefault="00227FB9" w:rsidP="00E225C2">
      <w:r>
        <w:t>The electric unit energy savings (UES) represents</w:t>
      </w:r>
      <w:r w:rsidR="00E225C2" w:rsidRPr="00F861D5">
        <w:t xml:space="preserve"> the per household heating and cooling energy savings from the installation of a </w:t>
      </w:r>
      <w:r w:rsidR="00E225C2" w:rsidRPr="0081735D">
        <w:rPr>
          <w:bCs/>
        </w:rPr>
        <w:t>smart thermostat</w:t>
      </w:r>
      <w:r w:rsidR="00E225C2" w:rsidRPr="00F861D5">
        <w:rPr>
          <w:b/>
        </w:rPr>
        <w:t xml:space="preserve"> </w:t>
      </w:r>
      <w:r w:rsidR="00E225C2" w:rsidRPr="00F861D5">
        <w:t xml:space="preserve">in </w:t>
      </w:r>
      <w:r>
        <w:t>a</w:t>
      </w:r>
      <w:r w:rsidR="00E225C2" w:rsidRPr="00F861D5">
        <w:t xml:space="preserve"> residential household. The calculation approach account</w:t>
      </w:r>
      <w:r>
        <w:t>s for</w:t>
      </w:r>
      <w:r w:rsidR="00E225C2" w:rsidRPr="00F861D5">
        <w:t xml:space="preserve"> the range in energy savings change associated with smart thermostat installations, and the results represent an average savings of the technology by the climate zone based on referenced studies and/or evaluations.</w:t>
      </w:r>
    </w:p>
    <w:p w14:paraId="500993B0" w14:textId="073CB1EC" w:rsidR="00077FF3" w:rsidRDefault="00C96941" w:rsidP="00E225C2">
      <w:r>
        <w:t xml:space="preserve">Savings for Downstream and Direct Install programs </w:t>
      </w:r>
      <w:r w:rsidR="00431708">
        <w:t>will expire</w:t>
      </w:r>
      <w:r>
        <w:t xml:space="preserve"> on 12/31/2021</w:t>
      </w:r>
      <w:r w:rsidR="00431708">
        <w:t xml:space="preserve">. </w:t>
      </w:r>
    </w:p>
    <w:p w14:paraId="7812134A" w14:textId="77777777" w:rsidR="009F2686" w:rsidRDefault="009F2686" w:rsidP="00E225C2"/>
    <w:p w14:paraId="77EC5452" w14:textId="10704BB0" w:rsidR="00260EC9" w:rsidRPr="002C2D46" w:rsidRDefault="00260EC9" w:rsidP="00352543">
      <w:pPr>
        <w:pStyle w:val="eTRMHeading3"/>
      </w:pPr>
      <w:bookmarkStart w:id="42" w:name="_Toc42244449"/>
      <w:bookmarkEnd w:id="41"/>
      <w:r w:rsidRPr="002C2D46">
        <w:t>Downstream Programs</w:t>
      </w:r>
      <w:bookmarkEnd w:id="42"/>
    </w:p>
    <w:p w14:paraId="2C0AC059" w14:textId="164693E8" w:rsidR="001C7348" w:rsidRDefault="0030342A" w:rsidP="0030342A">
      <w:pPr>
        <w:spacing w:before="0" w:after="0"/>
      </w:pPr>
      <w:r w:rsidRPr="002C2D46">
        <w:t xml:space="preserve">Measure savings </w:t>
      </w:r>
      <w:r w:rsidR="00260EC9">
        <w:t xml:space="preserve">for Downstream programs </w:t>
      </w:r>
      <w:r w:rsidRPr="002C2D46">
        <w:t>are adopted directly from</w:t>
      </w:r>
      <w:r w:rsidR="007D4B49">
        <w:t xml:space="preserve"> the</w:t>
      </w:r>
      <w:r w:rsidRPr="002C2D46">
        <w:t xml:space="preserve"> </w:t>
      </w:r>
      <w:r w:rsidRPr="002C2D46">
        <w:rPr>
          <w:b/>
          <w:bCs/>
        </w:rPr>
        <w:t>Impact Evaluation of Smart Thermostats Residential Sector - Program Year 2018 - CALMAC ID: CPU0205.01 - April 16, 2020 - DNV GL</w:t>
      </w:r>
      <w:r w:rsidRPr="002C2D46">
        <w:t>.</w:t>
      </w:r>
      <w:r w:rsidR="005B4ECB">
        <w:rPr>
          <w:rStyle w:val="FootnoteReference"/>
        </w:rPr>
        <w:footnoteReference w:id="7"/>
      </w:r>
      <w:r w:rsidRPr="002C2D46">
        <w:t xml:space="preserve">  The evaluation takes a two-stage modeling approach to estimate the effect of smart thermostats on energy consumption. The approach uses variable degree-day PRISM</w:t>
      </w:r>
      <w:r w:rsidRPr="002C2D46">
        <w:rPr>
          <w:rStyle w:val="FootnoteReference"/>
        </w:rPr>
        <w:footnoteReference w:id="8"/>
      </w:r>
      <w:r w:rsidRPr="002C2D46">
        <w:t>, site-level models with a matched comparison group in a difference-in-difference (DID) framework.</w:t>
      </w:r>
      <w:r w:rsidR="003E639D">
        <w:t xml:space="preserve">  For details on measure savings estimates methods refer to referenced study.</w:t>
      </w:r>
      <w:r w:rsidR="005B4ECB">
        <w:rPr>
          <w:rStyle w:val="FootnoteReference"/>
        </w:rPr>
        <w:footnoteReference w:id="9"/>
      </w:r>
      <w:r w:rsidR="00ED1282">
        <w:t xml:space="preserve"> </w:t>
      </w:r>
    </w:p>
    <w:p w14:paraId="7306E63B" w14:textId="2DA6BB53" w:rsidR="000E674F" w:rsidRDefault="000E674F" w:rsidP="0030342A">
      <w:pPr>
        <w:spacing w:before="0" w:after="0"/>
      </w:pPr>
    </w:p>
    <w:p w14:paraId="4F600C88" w14:textId="4AD5DD9D" w:rsidR="001311F3" w:rsidRPr="00D34150" w:rsidRDefault="000E674F">
      <w:pPr>
        <w:spacing w:before="0" w:after="0"/>
        <w:rPr>
          <w:highlight w:val="lightGray"/>
        </w:rPr>
      </w:pPr>
      <w:r>
        <w:t xml:space="preserve">The Impact Evaluation included </w:t>
      </w:r>
      <w:r w:rsidR="00472DB8">
        <w:t>IOU-specific savings potentials</w:t>
      </w:r>
      <w:r w:rsidR="00431708">
        <w:t>.  However, the study (originally) did not included IOU-weighted savings for overlapping Climate Zones</w:t>
      </w:r>
      <w:r w:rsidR="006D05F6">
        <w:t xml:space="preserve"> and </w:t>
      </w:r>
      <w:r>
        <w:t xml:space="preserve">savings for </w:t>
      </w:r>
      <w:r w:rsidR="005B4ECB">
        <w:t>C</w:t>
      </w:r>
      <w:r>
        <w:t xml:space="preserve">limate </w:t>
      </w:r>
      <w:r w:rsidR="005B4ECB">
        <w:t>Z</w:t>
      </w:r>
      <w:r>
        <w:t>one 1</w:t>
      </w:r>
      <w:r w:rsidR="006D05F6">
        <w:t xml:space="preserve">.  </w:t>
      </w:r>
      <w:r w:rsidR="00F95BD7">
        <w:t>Further</w:t>
      </w:r>
      <w:r w:rsidR="006D05F6">
        <w:t xml:space="preserve">, the study </w:t>
      </w:r>
      <w:r>
        <w:t xml:space="preserve">did not delineate </w:t>
      </w:r>
      <w:r w:rsidR="00BC51F2">
        <w:t xml:space="preserve">measure savings </w:t>
      </w:r>
      <w:r>
        <w:t>between</w:t>
      </w:r>
      <w:r w:rsidR="00BC51F2">
        <w:t xml:space="preserve"> central systems with electric heating</w:t>
      </w:r>
      <w:r w:rsidR="0072410F">
        <w:t xml:space="preserve"> (or heat pump</w:t>
      </w:r>
      <w:r w:rsidR="00431708">
        <w:t xml:space="preserve"> heating</w:t>
      </w:r>
      <w:r w:rsidR="0072410F">
        <w:t xml:space="preserve">) </w:t>
      </w:r>
      <w:r w:rsidR="00BC51F2">
        <w:t>versus gas heating</w:t>
      </w:r>
      <w:r w:rsidR="001311F3">
        <w:t>.</w:t>
      </w:r>
      <w:r w:rsidR="00D65E9A">
        <w:t xml:space="preserve">  </w:t>
      </w:r>
      <w:r w:rsidR="00431708">
        <w:t>After</w:t>
      </w:r>
      <w:r w:rsidR="00F95BD7">
        <w:t xml:space="preserve"> </w:t>
      </w:r>
      <w:r w:rsidR="006D05F6">
        <w:t>collaboration between</w:t>
      </w:r>
      <w:r w:rsidR="00431708">
        <w:t xml:space="preserve"> IOUs and CPUC, m</w:t>
      </w:r>
      <w:r w:rsidR="00D65E9A">
        <w:t xml:space="preserve">easure savings were </w:t>
      </w:r>
      <w:r w:rsidR="00C72E1D">
        <w:t>adjusted,</w:t>
      </w:r>
      <w:r w:rsidR="00431708">
        <w:t xml:space="preserve"> </w:t>
      </w:r>
      <w:r w:rsidR="00284944">
        <w:t>and clarifications were provided</w:t>
      </w:r>
      <w:r w:rsidR="00D65E9A">
        <w:t xml:space="preserve"> by </w:t>
      </w:r>
      <w:r w:rsidR="002C2D46">
        <w:t xml:space="preserve">the </w:t>
      </w:r>
      <w:r w:rsidR="00D65E9A">
        <w:t xml:space="preserve">CPUC to address these </w:t>
      </w:r>
      <w:r w:rsidR="002C2D46">
        <w:t>data gaps</w:t>
      </w:r>
      <w:r w:rsidR="00431708">
        <w:t>.</w:t>
      </w:r>
      <w:r w:rsidR="005B4ECB">
        <w:rPr>
          <w:rStyle w:val="FootnoteReference"/>
        </w:rPr>
        <w:footnoteReference w:id="10"/>
      </w:r>
      <w:r w:rsidR="006D6F97">
        <w:t xml:space="preserve"> </w:t>
      </w:r>
      <w:r w:rsidR="00ED1282">
        <w:t>Final measure savings estimates</w:t>
      </w:r>
      <w:r w:rsidR="002A47F8">
        <w:t xml:space="preserve"> </w:t>
      </w:r>
      <w:r w:rsidR="00ED1282">
        <w:t>were provided by commission staff</w:t>
      </w:r>
      <w:r w:rsidR="002A47F8">
        <w:t xml:space="preserve"> consultant</w:t>
      </w:r>
      <w:r w:rsidR="006D05F6">
        <w:t xml:space="preserve"> to IOUs </w:t>
      </w:r>
      <w:r w:rsidR="00ED1282">
        <w:t>via email</w:t>
      </w:r>
      <w:r w:rsidR="00431708">
        <w:t>.</w:t>
      </w:r>
      <w:r w:rsidR="00C96941">
        <w:rPr>
          <w:rStyle w:val="FootnoteReference"/>
        </w:rPr>
        <w:footnoteReference w:id="11"/>
      </w:r>
      <w:r w:rsidR="00BC51F2">
        <w:t xml:space="preserve"> </w:t>
      </w:r>
    </w:p>
    <w:p w14:paraId="7307954B" w14:textId="56367691" w:rsidR="0030342A" w:rsidRPr="002C2D46" w:rsidRDefault="0030342A" w:rsidP="002C2D46">
      <w:pPr>
        <w:spacing w:before="0" w:after="0"/>
      </w:pPr>
    </w:p>
    <w:p w14:paraId="170845A9" w14:textId="1E721F8F" w:rsidR="00106418" w:rsidRDefault="00106418" w:rsidP="00352543">
      <w:pPr>
        <w:pStyle w:val="eTRMHeading3"/>
      </w:pPr>
      <w:bookmarkStart w:id="43" w:name="_Toc42244450"/>
      <w:r w:rsidRPr="001311F3">
        <w:lastRenderedPageBreak/>
        <w:t>Direct Install programs</w:t>
      </w:r>
      <w:bookmarkEnd w:id="43"/>
    </w:p>
    <w:p w14:paraId="684936BB" w14:textId="593F4E6D" w:rsidR="00463EBE" w:rsidRDefault="00171436" w:rsidP="00F60A7D">
      <w:pPr>
        <w:spacing w:before="0" w:after="0"/>
      </w:pPr>
      <w:r>
        <w:t>For Direct Install program, measure savings</w:t>
      </w:r>
      <w:r w:rsidR="00260EC9">
        <w:t xml:space="preserve"> estimates </w:t>
      </w:r>
      <w:r>
        <w:t>from previous version of the workpaper (</w:t>
      </w:r>
      <w:r w:rsidRPr="00171436">
        <w:t>SWHC039-0</w:t>
      </w:r>
      <w:r w:rsidR="001311F3">
        <w:t>1</w:t>
      </w:r>
      <w:r>
        <w:t>) are</w:t>
      </w:r>
      <w:r w:rsidR="00F60A7D">
        <w:t xml:space="preserve"> </w:t>
      </w:r>
      <w:r w:rsidR="00260EC9">
        <w:t xml:space="preserve">retained </w:t>
      </w:r>
      <w:r w:rsidR="00F60A7D">
        <w:t xml:space="preserve">given that latest </w:t>
      </w:r>
      <w:r w:rsidR="00260EC9">
        <w:t xml:space="preserve">2018PY </w:t>
      </w:r>
      <w:r w:rsidR="00F60A7D">
        <w:t>Impact Evaluation study</w:t>
      </w:r>
      <w:r w:rsidR="00284944">
        <w:t xml:space="preserve"> did not </w:t>
      </w:r>
      <w:r w:rsidR="00F60A7D">
        <w:t>specifically</w:t>
      </w:r>
      <w:r w:rsidR="00284944">
        <w:t xml:space="preserve"> supported the evaluation of measure savings potentials from Direct Install programs.  </w:t>
      </w:r>
    </w:p>
    <w:p w14:paraId="20BA5851" w14:textId="77777777" w:rsidR="00312FFB" w:rsidRDefault="00312FFB" w:rsidP="00F60A7D">
      <w:pPr>
        <w:spacing w:before="0" w:after="0"/>
      </w:pPr>
    </w:p>
    <w:p w14:paraId="7CD0B19C" w14:textId="33669FBF" w:rsidR="00312FFB" w:rsidRPr="00312FFB" w:rsidRDefault="00312FFB" w:rsidP="00312FFB">
      <w:pPr>
        <w:spacing w:before="0" w:after="0"/>
      </w:pPr>
      <w:r w:rsidRPr="00312FFB">
        <w:t>Relevant studies</w:t>
      </w:r>
      <w:r>
        <w:t xml:space="preserve"> </w:t>
      </w:r>
      <w:r w:rsidRPr="00312FFB">
        <w:t>leveraged to support measure impact analysis</w:t>
      </w:r>
      <w:r>
        <w:t xml:space="preserve"> (for </w:t>
      </w:r>
      <w:r w:rsidR="007007C0">
        <w:t xml:space="preserve">SHWHC039-1 version of the Workpaper) </w:t>
      </w:r>
      <w:r w:rsidRPr="00312FFB">
        <w:t xml:space="preserve">are summarized below. </w:t>
      </w:r>
      <w:r>
        <w:t xml:space="preserve"> </w:t>
      </w:r>
      <w:r w:rsidRPr="00312FFB">
        <w:t xml:space="preserve">These studies support adequate experimental methods and supporting documentation for evaluation of the measure. </w:t>
      </w:r>
    </w:p>
    <w:p w14:paraId="37931FA5" w14:textId="77777777" w:rsidR="00312FFB" w:rsidRDefault="00312FFB" w:rsidP="00312FFB">
      <w:pPr>
        <w:spacing w:before="0" w:after="0"/>
        <w:rPr>
          <w:b/>
          <w:bCs/>
        </w:rPr>
      </w:pPr>
    </w:p>
    <w:p w14:paraId="6D3A9D50" w14:textId="7C893A6B" w:rsidR="00312FFB" w:rsidRPr="00312FFB" w:rsidRDefault="00312FFB" w:rsidP="00312FFB">
      <w:pPr>
        <w:spacing w:before="0" w:after="0"/>
      </w:pPr>
      <w:r w:rsidRPr="00312FFB">
        <w:rPr>
          <w:b/>
          <w:bCs/>
        </w:rPr>
        <w:t>Smart Thermostat Study: First Year Findings (PG&amp;E, 2016).</w:t>
      </w:r>
      <w:r w:rsidRPr="00312FFB">
        <w:rPr>
          <w:b/>
          <w:bCs/>
          <w:vertAlign w:val="superscript"/>
        </w:rPr>
        <w:footnoteReference w:id="12"/>
      </w:r>
      <w:r w:rsidRPr="00312FFB">
        <w:rPr>
          <w:b/>
          <w:bCs/>
        </w:rPr>
        <w:t xml:space="preserve"> </w:t>
      </w:r>
      <w:r w:rsidRPr="00312FFB">
        <w:t>Pacific Gas and Electric (PG&amp;E)</w:t>
      </w:r>
      <w:r w:rsidRPr="00312FFB">
        <w:rPr>
          <w:b/>
          <w:bCs/>
        </w:rPr>
        <w:t xml:space="preserve"> </w:t>
      </w:r>
      <w:r w:rsidRPr="00312FFB">
        <w:t>designed the Smart Thermostat Study as an Emerging Technologies Program scaled field placement (PG&amp;E ET Study) to gather data from customer homes that have been randomly assigned to receive a free smart thermostat. The Study is a randomized encouragement design (RED) trial in which several thousand homes were randomly assigned to the encouraged group, all of whom were offered a free, directly-installed smart thermostat, and two thousand similar homes were randomly assigned to a control group, none of whom were offered a thermostat. Three different brands of thermostats were tested in the study; the goal was to install 1,000 of each type of thermostat in participants’ homes. Note that the regression models used in the analysis of this workpaper are modified from those published in the ET Report. See Methodology Overview Section for the details on the revised calculation methodology.</w:t>
      </w:r>
    </w:p>
    <w:p w14:paraId="52A1C7BA" w14:textId="77777777" w:rsidR="00312FFB" w:rsidRPr="00312FFB" w:rsidRDefault="00312FFB" w:rsidP="00312FFB">
      <w:pPr>
        <w:spacing w:before="0" w:after="0"/>
      </w:pPr>
    </w:p>
    <w:p w14:paraId="237817E5" w14:textId="77777777" w:rsidR="00312FFB" w:rsidRPr="00312FFB" w:rsidRDefault="00312FFB" w:rsidP="00312FFB">
      <w:pPr>
        <w:spacing w:before="0" w:after="0"/>
      </w:pPr>
      <w:r w:rsidRPr="00312FFB">
        <w:rPr>
          <w:b/>
        </w:rPr>
        <w:t>PG&amp;E Smart Thermostat Program Process Evaluation (Opinion Dynamics, 2018).</w:t>
      </w:r>
      <w:r w:rsidRPr="00312FFB">
        <w:rPr>
          <w:b/>
          <w:vertAlign w:val="superscript"/>
        </w:rPr>
        <w:footnoteReference w:id="13"/>
      </w:r>
      <w:r w:rsidRPr="00312FFB">
        <w:rPr>
          <w:b/>
        </w:rPr>
        <w:t xml:space="preserve"> </w:t>
      </w:r>
      <w:r w:rsidRPr="00312FFB">
        <w:t xml:space="preserve">This process evaluation is based upon on participant surveys conducted between October 2017 and February 2018.  Participants provided feedback on their experience with the program including their motivation for participation, thermostat installation and use, the influence of the program on their purchase decision, satisfaction, and housing characteristics.  </w:t>
      </w:r>
    </w:p>
    <w:p w14:paraId="58794D01" w14:textId="4835C094" w:rsidR="00312FFB" w:rsidRDefault="00312FFB">
      <w:pPr>
        <w:spacing w:before="0" w:after="0" w:line="240" w:lineRule="auto"/>
      </w:pPr>
    </w:p>
    <w:p w14:paraId="3303CE5F" w14:textId="53701E0A" w:rsidR="00312FFB" w:rsidRPr="00B53FBC" w:rsidRDefault="00312FFB" w:rsidP="002C2D46">
      <w:pPr>
        <w:pStyle w:val="eTRMHeading4"/>
        <w:spacing w:before="0"/>
        <w:rPr>
          <w:b/>
          <w:bCs/>
        </w:rPr>
      </w:pPr>
      <w:r w:rsidRPr="00B53FBC">
        <w:rPr>
          <w:b/>
          <w:bCs/>
        </w:rPr>
        <w:t>Methodology Overview</w:t>
      </w:r>
      <w:r w:rsidR="0001009E">
        <w:rPr>
          <w:b/>
          <w:bCs/>
        </w:rPr>
        <w:t xml:space="preserve"> (Direct Install)</w:t>
      </w:r>
    </w:p>
    <w:p w14:paraId="58EEE301" w14:textId="77777777" w:rsidR="00312FFB" w:rsidRDefault="00312FFB" w:rsidP="00312FFB">
      <w:pPr>
        <w:spacing w:before="0" w:after="0"/>
        <w:rPr>
          <w:i/>
        </w:rPr>
      </w:pPr>
    </w:p>
    <w:p w14:paraId="3410E35C" w14:textId="2D554ABB" w:rsidR="00312FFB" w:rsidRPr="002C2D46" w:rsidRDefault="00312FFB" w:rsidP="00312FFB">
      <w:pPr>
        <w:spacing w:before="0" w:after="0"/>
        <w:rPr>
          <w:b/>
          <w:bCs/>
          <w:i/>
        </w:rPr>
      </w:pPr>
      <w:r w:rsidRPr="002C2D46">
        <w:rPr>
          <w:b/>
          <w:bCs/>
          <w:i/>
        </w:rPr>
        <w:t>HVAC Cooling</w:t>
      </w:r>
    </w:p>
    <w:p w14:paraId="3C20A60D" w14:textId="77777777" w:rsidR="00312FFB" w:rsidRPr="00312FFB" w:rsidRDefault="00312FFB" w:rsidP="00312FFB">
      <w:pPr>
        <w:spacing w:before="0" w:after="0"/>
        <w:rPr>
          <w:i/>
        </w:rPr>
      </w:pPr>
    </w:p>
    <w:p w14:paraId="06EF19E4" w14:textId="44CDC062" w:rsidR="00312FFB" w:rsidRPr="00312FFB" w:rsidRDefault="00312FFB" w:rsidP="00312FFB">
      <w:pPr>
        <w:spacing w:before="0" w:after="0"/>
      </w:pPr>
      <w:r w:rsidRPr="00312FFB">
        <w:t>Measure savings on HVAC cooling energy were estimated based on PGE’s Year 1 study.  PGE’s Year 2 study</w:t>
      </w:r>
      <w:r w:rsidR="00721730">
        <w:rPr>
          <w:rStyle w:val="FootnoteReference"/>
        </w:rPr>
        <w:footnoteReference w:id="14"/>
      </w:r>
      <w:r w:rsidRPr="00312FFB">
        <w:t xml:space="preserve"> was evaluated but not directly included in final calculation approach/methods given abnormalities further described in this Section.  These studies were designed using a Randomized Encouragement Design (RED). A RED design is an appropriate alternative to a Randomized Control Trial (RCT), when it is known that not all the treatment customers will accept the treatment, i.e., when treatment is voluntary.  </w:t>
      </w:r>
    </w:p>
    <w:p w14:paraId="1DC0EEA9" w14:textId="77777777" w:rsidR="00312FFB" w:rsidRPr="00312FFB" w:rsidRDefault="00312FFB" w:rsidP="00312FFB">
      <w:pPr>
        <w:spacing w:before="0" w:after="0"/>
      </w:pPr>
      <w:r w:rsidRPr="00312FFB">
        <w:lastRenderedPageBreak/>
        <w:t xml:space="preserve">Energy savings were estimated by first using a statistical difference-in-differences (DID) approach, and second, using a fixed-effect regression approach.  This two-step process allowed preliminary estimates of savings that are unconstrained by the assumptions of a regression model.  Then, those estimates were refined using a regression approach. </w:t>
      </w:r>
    </w:p>
    <w:p w14:paraId="4990D3CA" w14:textId="77777777" w:rsidR="00312FFB" w:rsidRDefault="00312FFB" w:rsidP="00312FFB">
      <w:pPr>
        <w:spacing w:before="0" w:after="0"/>
      </w:pPr>
    </w:p>
    <w:p w14:paraId="0D909108" w14:textId="4B8F0A74" w:rsidR="00312FFB" w:rsidRPr="00312FFB" w:rsidRDefault="00312FFB" w:rsidP="00312FFB">
      <w:pPr>
        <w:spacing w:before="0" w:after="0"/>
      </w:pPr>
      <w:r w:rsidRPr="00312FFB">
        <w:t>As part of the statistical DID, the method compares the monthly usage of the encouraged customers to the randomly assigned control group customers, both during the participation period (treatment period) and for a time before participation started (pretreatment period). Comparison during the treatment period gives an unadjusted estimate of the impacts. This estimate is then corrected using the difference during the pretreatment period to adjust for any preexisting differences between the encouraged and control groups.</w:t>
      </w:r>
    </w:p>
    <w:p w14:paraId="7C51E4D1" w14:textId="77777777" w:rsidR="00312FFB" w:rsidRDefault="00312FFB" w:rsidP="00312FFB">
      <w:pPr>
        <w:spacing w:before="0" w:after="0"/>
      </w:pPr>
    </w:p>
    <w:p w14:paraId="7E1885E4" w14:textId="5419C971" w:rsidR="00312FFB" w:rsidRPr="00312FFB" w:rsidRDefault="00312FFB" w:rsidP="00312FFB">
      <w:pPr>
        <w:spacing w:before="0" w:after="0"/>
      </w:pPr>
      <w:r w:rsidRPr="00312FFB">
        <w:t xml:space="preserve">In the second step of the analysis, savings were estimated using regression models in which energy use is evaluated as a function of other explanatory variables (e.g., weather) that the statistical DID is unable to do.  The models include the encouraged and control customers in both the treatment and pre-treatment periods.  </w:t>
      </w:r>
    </w:p>
    <w:p w14:paraId="0DD57F8E" w14:textId="77777777" w:rsidR="00312FFB" w:rsidRPr="00312FFB" w:rsidRDefault="00312FFB" w:rsidP="00312FFB">
      <w:pPr>
        <w:spacing w:before="0" w:after="0"/>
      </w:pPr>
    </w:p>
    <w:p w14:paraId="528B2AA6" w14:textId="6CC40DED" w:rsidR="00312FFB" w:rsidRDefault="00312FFB" w:rsidP="00312FFB">
      <w:pPr>
        <w:spacing w:before="0" w:after="0"/>
        <w:rPr>
          <w:b/>
          <w:bCs/>
          <w:i/>
        </w:rPr>
      </w:pPr>
      <w:r w:rsidRPr="002C2D46">
        <w:rPr>
          <w:b/>
          <w:bCs/>
          <w:i/>
        </w:rPr>
        <w:t>Approach</w:t>
      </w:r>
    </w:p>
    <w:p w14:paraId="38571B6F" w14:textId="77777777" w:rsidR="00312FFB" w:rsidRPr="002C2D46" w:rsidRDefault="00312FFB" w:rsidP="00312FFB">
      <w:pPr>
        <w:spacing w:before="0" w:after="0"/>
        <w:rPr>
          <w:b/>
          <w:bCs/>
          <w:i/>
        </w:rPr>
      </w:pPr>
    </w:p>
    <w:p w14:paraId="3FF007C2" w14:textId="77777777" w:rsidR="00312FFB" w:rsidRPr="00312FFB" w:rsidRDefault="00312FFB" w:rsidP="00312FFB">
      <w:pPr>
        <w:spacing w:before="0" w:after="0"/>
      </w:pPr>
      <w:r w:rsidRPr="00312FFB">
        <w:t xml:space="preserve">The approach to developing statewide ex-ante estimate based on PG&amp;E’s Year 1 Smart Thermostat Study results is described below.  First, modifications to the ex-post models and associated rationale are described, followed by a description of the final ex-ante model and finally, the actual extrapolation approach and results. </w:t>
      </w:r>
    </w:p>
    <w:p w14:paraId="76667511" w14:textId="77777777" w:rsidR="00312FFB" w:rsidRPr="00312FFB" w:rsidRDefault="00312FFB" w:rsidP="00312FFB">
      <w:pPr>
        <w:spacing w:before="0" w:after="0"/>
        <w:rPr>
          <w:b/>
        </w:rPr>
      </w:pPr>
    </w:p>
    <w:p w14:paraId="53A5F3FA" w14:textId="3A1C322F" w:rsidR="00312FFB" w:rsidRDefault="00312FFB" w:rsidP="00312FFB">
      <w:pPr>
        <w:spacing w:before="0" w:after="0"/>
      </w:pPr>
      <w:r w:rsidRPr="00312FFB">
        <w:rPr>
          <w:b/>
          <w:bCs/>
        </w:rPr>
        <w:t xml:space="preserve">Modifications to the Ex-Post Models. </w:t>
      </w:r>
      <w:r w:rsidRPr="00312FFB">
        <w:t>The regression models that were developed for the original analysis were developed with several goals in mind:</w:t>
      </w:r>
    </w:p>
    <w:p w14:paraId="66BE1282" w14:textId="77777777" w:rsidR="00312FFB" w:rsidRPr="00312FFB" w:rsidRDefault="00312FFB" w:rsidP="00312FFB">
      <w:pPr>
        <w:spacing w:before="0" w:after="0"/>
      </w:pPr>
    </w:p>
    <w:p w14:paraId="208D9FC1" w14:textId="77777777" w:rsidR="00312FFB" w:rsidRPr="00312FFB" w:rsidRDefault="00312FFB" w:rsidP="002C2D46">
      <w:pPr>
        <w:pStyle w:val="ListParagraph"/>
        <w:numPr>
          <w:ilvl w:val="0"/>
          <w:numId w:val="40"/>
        </w:numPr>
        <w:spacing w:before="0" w:after="0"/>
      </w:pPr>
      <w:r w:rsidRPr="00312FFB">
        <w:t>Estimating ex-post impacts for three different thermostats, while accounting for the RED design.</w:t>
      </w:r>
    </w:p>
    <w:p w14:paraId="7850B664" w14:textId="77777777" w:rsidR="00312FFB" w:rsidRDefault="00312FFB" w:rsidP="00312FFB">
      <w:pPr>
        <w:pStyle w:val="ListParagraph"/>
        <w:numPr>
          <w:ilvl w:val="0"/>
          <w:numId w:val="40"/>
        </w:numPr>
        <w:spacing w:before="0" w:after="0"/>
      </w:pPr>
      <w:r w:rsidRPr="00312FFB">
        <w:t>Attaining reasonable comparison between the statistical Difference in Difference (DID) and the regression output.</w:t>
      </w:r>
    </w:p>
    <w:p w14:paraId="67C411C1" w14:textId="0BDEAAF2" w:rsidR="00312FFB" w:rsidRPr="00312FFB" w:rsidRDefault="00312FFB" w:rsidP="002C2D46">
      <w:pPr>
        <w:pStyle w:val="ListParagraph"/>
        <w:numPr>
          <w:ilvl w:val="0"/>
          <w:numId w:val="40"/>
        </w:numPr>
        <w:spacing w:before="0" w:after="0"/>
      </w:pPr>
      <w:r w:rsidRPr="00312FFB">
        <w:t xml:space="preserve">Estimating monthly impacts with a primary focus on summer savings for electric customers. </w:t>
      </w:r>
    </w:p>
    <w:p w14:paraId="70B064E9" w14:textId="77777777" w:rsidR="00312FFB" w:rsidRDefault="00312FFB" w:rsidP="00312FFB">
      <w:pPr>
        <w:spacing w:before="0" w:after="0"/>
      </w:pPr>
    </w:p>
    <w:p w14:paraId="34B75FE7" w14:textId="77777777" w:rsidR="00312FFB" w:rsidRDefault="00312FFB" w:rsidP="00312FFB">
      <w:pPr>
        <w:spacing w:before="0" w:after="0"/>
      </w:pPr>
      <w:r w:rsidRPr="00312FFB">
        <w:t>The original ex-post analysis goals do not align with the goals of an annual ex-ante estimate. Through collaboration with the CPUC Ex Ante Review consultants, the EM&amp;V consultant understood the goals of the ex-ante analysis to be as follows:</w:t>
      </w:r>
    </w:p>
    <w:p w14:paraId="60242DEE" w14:textId="77777777" w:rsidR="00312FFB" w:rsidRDefault="00312FFB" w:rsidP="002C2D46">
      <w:pPr>
        <w:pStyle w:val="ListParagraph"/>
        <w:spacing w:before="0" w:after="0"/>
      </w:pPr>
    </w:p>
    <w:p w14:paraId="10617EF8" w14:textId="77777777" w:rsidR="00312FFB" w:rsidRDefault="00312FFB" w:rsidP="00312FFB">
      <w:pPr>
        <w:pStyle w:val="ListParagraph"/>
        <w:numPr>
          <w:ilvl w:val="0"/>
          <w:numId w:val="41"/>
        </w:numPr>
        <w:spacing w:before="0" w:after="0"/>
      </w:pPr>
      <w:r w:rsidRPr="00312FFB">
        <w:t>Develop a model that is appropriate for extrapolation to weather conditions outside of what participants experienced.</w:t>
      </w:r>
    </w:p>
    <w:p w14:paraId="7DF30B0A" w14:textId="77777777" w:rsidR="00312FFB" w:rsidRDefault="00312FFB" w:rsidP="00312FFB">
      <w:pPr>
        <w:pStyle w:val="ListParagraph"/>
        <w:numPr>
          <w:ilvl w:val="0"/>
          <w:numId w:val="41"/>
        </w:numPr>
        <w:spacing w:before="0" w:after="0"/>
      </w:pPr>
      <w:r w:rsidRPr="00312FFB">
        <w:t>Attain a single estimate for smart thermostats that is representative of the types of thermostats that PG&amp;E customers are installing, rather than three separate estimates.</w:t>
      </w:r>
    </w:p>
    <w:p w14:paraId="4BBA88A2" w14:textId="750C8FBC" w:rsidR="00312FFB" w:rsidRPr="00312FFB" w:rsidRDefault="00312FFB" w:rsidP="002C2D46">
      <w:pPr>
        <w:pStyle w:val="ListParagraph"/>
        <w:numPr>
          <w:ilvl w:val="0"/>
          <w:numId w:val="41"/>
        </w:numPr>
        <w:spacing w:before="0" w:after="0"/>
      </w:pPr>
      <w:r w:rsidRPr="00312FFB">
        <w:t xml:space="preserve">Develop a normalized annual estimate of savings without focusing on a specific season. </w:t>
      </w:r>
    </w:p>
    <w:p w14:paraId="4E18907C" w14:textId="77777777" w:rsidR="00312FFB" w:rsidRPr="00312FFB" w:rsidRDefault="00312FFB" w:rsidP="00312FFB">
      <w:pPr>
        <w:spacing w:before="0" w:after="0"/>
      </w:pPr>
    </w:p>
    <w:p w14:paraId="1F6BB286" w14:textId="77777777" w:rsidR="00312FFB" w:rsidRPr="00312FFB" w:rsidRDefault="00312FFB" w:rsidP="00312FFB">
      <w:pPr>
        <w:spacing w:before="0" w:after="0"/>
      </w:pPr>
      <w:r w:rsidRPr="00312FFB">
        <w:rPr>
          <w:b/>
          <w:bCs/>
        </w:rPr>
        <w:t xml:space="preserve">Updated Ex-Ante Model. </w:t>
      </w:r>
      <w:r w:rsidRPr="00312FFB">
        <w:t xml:space="preserve">Based on the ex-ante analysis goals, the EM&amp;V consultant collaborated with CPUC Ex Ante Review consultants to develop an updated model that is appropriate for an ex-ante estimate. EM&amp;V consultant also updated the analysis to estimate the annual savings directly rather than estimate savings at a monthly level. The updated model has the following characteristics: </w:t>
      </w:r>
    </w:p>
    <w:p w14:paraId="1F689C0B" w14:textId="77777777" w:rsidR="00312FFB" w:rsidRDefault="00312FFB" w:rsidP="00312FFB">
      <w:pPr>
        <w:spacing w:before="0" w:after="0"/>
      </w:pPr>
    </w:p>
    <w:p w14:paraId="198EA08F" w14:textId="77777777" w:rsidR="00312FFB" w:rsidRDefault="00312FFB" w:rsidP="00312FFB">
      <w:pPr>
        <w:pStyle w:val="ListParagraph"/>
        <w:numPr>
          <w:ilvl w:val="0"/>
          <w:numId w:val="42"/>
        </w:numPr>
        <w:spacing w:before="0" w:after="0"/>
      </w:pPr>
      <w:r w:rsidRPr="00312FFB">
        <w:lastRenderedPageBreak/>
        <w:t>The model maintains the full structure of the DID and weather elements regardless of significance, which provides more stability for the estimates during extrapolation.</w:t>
      </w:r>
    </w:p>
    <w:p w14:paraId="498FEB10" w14:textId="77777777" w:rsidR="00312FFB" w:rsidRDefault="00312FFB" w:rsidP="00312FFB">
      <w:pPr>
        <w:pStyle w:val="ListParagraph"/>
        <w:numPr>
          <w:ilvl w:val="0"/>
          <w:numId w:val="42"/>
        </w:numPr>
        <w:spacing w:before="0" w:after="0"/>
      </w:pPr>
      <w:r w:rsidRPr="00312FFB">
        <w:t>The model employs a fixed effect approach.</w:t>
      </w:r>
    </w:p>
    <w:p w14:paraId="79529C94" w14:textId="53C86322" w:rsidR="00312FFB" w:rsidRPr="00312FFB" w:rsidRDefault="00312FFB" w:rsidP="002C2D46">
      <w:pPr>
        <w:pStyle w:val="ListParagraph"/>
        <w:numPr>
          <w:ilvl w:val="0"/>
          <w:numId w:val="42"/>
        </w:numPr>
        <w:spacing w:before="0" w:after="0"/>
      </w:pPr>
      <w:r w:rsidRPr="00312FFB">
        <w:t xml:space="preserve">The model estimates the overall effect of the two thermostats with highest participation of the PGE program making up over 97% of the PG&amp;E current rebates jointly. </w:t>
      </w:r>
    </w:p>
    <w:p w14:paraId="714DC223" w14:textId="77777777" w:rsidR="00312FFB" w:rsidRPr="00312FFB" w:rsidRDefault="00312FFB" w:rsidP="00312FFB">
      <w:pPr>
        <w:spacing w:before="0" w:after="0"/>
      </w:pPr>
    </w:p>
    <w:p w14:paraId="4F1DB9F7" w14:textId="77777777" w:rsidR="00312FFB" w:rsidRPr="00312FFB" w:rsidRDefault="00312FFB" w:rsidP="00312FFB">
      <w:pPr>
        <w:spacing w:before="0" w:after="0"/>
      </w:pPr>
      <w:r w:rsidRPr="00312FFB">
        <w:t>The final ex ante model specification is below:</w:t>
      </w:r>
    </w:p>
    <w:p w14:paraId="42741F4F" w14:textId="77777777" w:rsidR="00312FFB" w:rsidRPr="00312FFB" w:rsidRDefault="00312FFB" w:rsidP="00312FFB">
      <w:pPr>
        <w:spacing w:before="0" w:after="0"/>
      </w:pPr>
    </w:p>
    <w:p w14:paraId="7BE1E6B9" w14:textId="0DAEFCF0" w:rsidR="00312FFB" w:rsidRPr="00312FFB" w:rsidRDefault="000F52D6" w:rsidP="00312FFB">
      <w:pPr>
        <w:spacing w:before="0" w:after="0"/>
      </w:pPr>
      <m:oMathPara>
        <m:oMathParaPr>
          <m:jc m:val="center"/>
        </m:oMathParaPr>
        <m:oMath>
          <m:sSub>
            <m:sSubPr>
              <m:ctrlPr>
                <w:rPr>
                  <w:rFonts w:ascii="Cambria Math" w:hAnsi="Cambria Math"/>
                  <w:i/>
                </w:rPr>
              </m:ctrlPr>
            </m:sSubPr>
            <m:e>
              <m:r>
                <w:rPr>
                  <w:rFonts w:ascii="Cambria Math" w:hAnsi="Cambria Math"/>
                </w:rPr>
                <m:t>kWh</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trt_period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trt_period *encgd)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3</m:t>
              </m:r>
            </m:sub>
          </m:sSub>
          <m:sSub>
            <m:sSubPr>
              <m:ctrlPr>
                <w:rPr>
                  <w:rFonts w:ascii="Cambria Math" w:hAnsi="Cambria Math"/>
                  <w:i/>
                </w:rPr>
              </m:ctrlPr>
            </m:sSubPr>
            <m:e>
              <m:r>
                <w:rPr>
                  <w:rFonts w:ascii="Cambria Math" w:hAnsi="Cambria Math"/>
                </w:rPr>
                <m:t>CDD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4</m:t>
              </m:r>
            </m:sub>
          </m:sSub>
          <m:r>
            <w:rPr>
              <w:rFonts w:ascii="Cambria Math" w:hAnsi="Cambria Math"/>
            </w:rPr>
            <m:t xml:space="preserve"> </m:t>
          </m:r>
          <m:sSub>
            <m:sSubPr>
              <m:ctrlPr>
                <w:rPr>
                  <w:rFonts w:ascii="Cambria Math" w:hAnsi="Cambria Math"/>
                  <w:i/>
                </w:rPr>
              </m:ctrlPr>
            </m:sSubPr>
            <m:e>
              <m:r>
                <w:rPr>
                  <w:rFonts w:ascii="Cambria Math" w:hAnsi="Cambria Math"/>
                </w:rPr>
                <m:t>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5</m:t>
              </m:r>
            </m:sub>
          </m:sSub>
          <m:r>
            <w:rPr>
              <w:rFonts w:ascii="Cambria Math" w:hAnsi="Cambria Math"/>
            </w:rPr>
            <m:t xml:space="preserve"> (</m:t>
          </m:r>
          <m:sSub>
            <m:sSubPr>
              <m:ctrlPr>
                <w:rPr>
                  <w:rFonts w:ascii="Cambria Math" w:hAnsi="Cambria Math"/>
                  <w:i/>
                </w:rPr>
              </m:ctrlPr>
            </m:sSubPr>
            <m:e>
              <m:r>
                <w:rPr>
                  <w:rFonts w:ascii="Cambria Math" w:hAnsi="Cambria Math"/>
                </w:rPr>
                <m:t>trt_period *CDD)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6</m:t>
              </m:r>
            </m:sub>
          </m:sSub>
          <m:r>
            <w:rPr>
              <w:rFonts w:ascii="Cambria Math" w:hAnsi="Cambria Math"/>
            </w:rPr>
            <m:t xml:space="preserve"> (</m:t>
          </m:r>
          <m:sSub>
            <m:sSubPr>
              <m:ctrlPr>
                <w:rPr>
                  <w:rFonts w:ascii="Cambria Math" w:hAnsi="Cambria Math"/>
                  <w:i/>
                </w:rPr>
              </m:ctrlPr>
            </m:sSubPr>
            <m:e>
              <m:r>
                <w:rPr>
                  <w:rFonts w:ascii="Cambria Math" w:hAnsi="Cambria Math"/>
                </w:rPr>
                <m:t>trt_period *HDD)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7</m:t>
              </m:r>
            </m:sub>
          </m:sSub>
          <m:r>
            <w:rPr>
              <w:rFonts w:ascii="Cambria Math" w:hAnsi="Cambria Math"/>
            </w:rPr>
            <m:t xml:space="preserve"> (</m:t>
          </m:r>
          <m:sSub>
            <m:sSubPr>
              <m:ctrlPr>
                <w:rPr>
                  <w:rFonts w:ascii="Cambria Math" w:hAnsi="Cambria Math"/>
                  <w:i/>
                </w:rPr>
              </m:ctrlPr>
            </m:sSubPr>
            <m:e>
              <m:r>
                <w:rPr>
                  <w:rFonts w:ascii="Cambria Math" w:hAnsi="Cambria Math"/>
                </w:rPr>
                <m:t>encgd *CDD)</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8</m:t>
              </m:r>
            </m:sub>
          </m:sSub>
          <m:r>
            <w:rPr>
              <w:rFonts w:ascii="Cambria Math" w:hAnsi="Cambria Math"/>
            </w:rPr>
            <m:t xml:space="preserve"> (</m:t>
          </m:r>
          <m:sSub>
            <m:sSubPr>
              <m:ctrlPr>
                <w:rPr>
                  <w:rFonts w:ascii="Cambria Math" w:hAnsi="Cambria Math"/>
                  <w:i/>
                </w:rPr>
              </m:ctrlPr>
            </m:sSubPr>
            <m:e>
              <m:r>
                <w:rPr>
                  <w:rFonts w:ascii="Cambria Math" w:hAnsi="Cambria Math"/>
                </w:rPr>
                <m:t>encgd *HDD)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9</m:t>
              </m:r>
            </m:sub>
          </m:sSub>
          <m:r>
            <w:rPr>
              <w:rFonts w:ascii="Cambria Math" w:hAnsi="Cambria Math"/>
            </w:rPr>
            <m:t xml:space="preserve"> (trt_period*</m:t>
          </m:r>
          <m:sSub>
            <m:sSubPr>
              <m:ctrlPr>
                <w:rPr>
                  <w:rFonts w:ascii="Cambria Math" w:hAnsi="Cambria Math"/>
                  <w:i/>
                </w:rPr>
              </m:ctrlPr>
            </m:sSubPr>
            <m:e>
              <m:r>
                <w:rPr>
                  <w:rFonts w:ascii="Cambria Math" w:hAnsi="Cambria Math"/>
                </w:rPr>
                <m:t>encgd *CDD)</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10</m:t>
              </m:r>
            </m:sub>
          </m:sSub>
          <m:r>
            <w:rPr>
              <w:rFonts w:ascii="Cambria Math" w:hAnsi="Cambria Math"/>
            </w:rPr>
            <m:t xml:space="preserve"> (tr</m:t>
          </m:r>
          <m:sSub>
            <m:sSubPr>
              <m:ctrlPr>
                <w:rPr>
                  <w:rFonts w:ascii="Cambria Math" w:hAnsi="Cambria Math"/>
                  <w:i/>
                </w:rPr>
              </m:ctrlPr>
            </m:sSubPr>
            <m:e>
              <m:r>
                <w:rPr>
                  <w:rFonts w:ascii="Cambria Math" w:hAnsi="Cambria Math"/>
                </w:rPr>
                <m:t>t</m:t>
              </m:r>
            </m:e>
            <m:sub>
              <m:r>
                <w:rPr>
                  <w:rFonts w:ascii="Cambria Math" w:hAnsi="Cambria Math"/>
                </w:rPr>
                <m:t>period</m:t>
              </m:r>
            </m:sub>
          </m:sSub>
          <m:r>
            <w:rPr>
              <w:rFonts w:ascii="Cambria Math" w:hAnsi="Cambria Math"/>
            </w:rPr>
            <m:t>*</m:t>
          </m:r>
          <m:sSub>
            <m:sSubPr>
              <m:ctrlPr>
                <w:rPr>
                  <w:rFonts w:ascii="Cambria Math" w:hAnsi="Cambria Math"/>
                  <w:i/>
                </w:rPr>
              </m:ctrlPr>
            </m:sSubPr>
            <m:e>
              <m:r>
                <w:rPr>
                  <w:rFonts w:ascii="Cambria Math" w:hAnsi="Cambria Math"/>
                </w:rPr>
                <m:t>encgd *HDD)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it</m:t>
              </m:r>
            </m:sub>
          </m:sSub>
        </m:oMath>
      </m:oMathPara>
    </w:p>
    <w:p w14:paraId="245D3CEC" w14:textId="3139AB3E" w:rsidR="00312FFB" w:rsidRDefault="00312FFB" w:rsidP="00312FFB">
      <w:pPr>
        <w:spacing w:before="0" w:after="0"/>
      </w:pPr>
      <w:r w:rsidRPr="00312FFB">
        <w:t>where:</w:t>
      </w:r>
    </w:p>
    <w:p w14:paraId="0C6B289E" w14:textId="77777777" w:rsidR="00312FFB" w:rsidRPr="00312FFB" w:rsidRDefault="00312FFB" w:rsidP="00312FFB">
      <w:pPr>
        <w:spacing w:before="0" w:after="0"/>
      </w:pPr>
    </w:p>
    <w:p w14:paraId="27F6EB00" w14:textId="3557DAB7" w:rsidR="00312FFB" w:rsidRPr="00312FFB" w:rsidRDefault="000F52D6">
      <w:pPr>
        <w:spacing w:before="0" w:after="0"/>
        <w:rPr>
          <w:i/>
        </w:rPr>
      </w:pPr>
      <m:oMath>
        <m:sSub>
          <m:sSubPr>
            <m:ctrlPr>
              <w:rPr>
                <w:rFonts w:ascii="Cambria Math" w:hAnsi="Cambria Math"/>
                <w:i/>
              </w:rPr>
            </m:ctrlPr>
          </m:sSubPr>
          <m:e>
            <m:r>
              <w:rPr>
                <w:rFonts w:ascii="Cambria Math" w:hAnsi="Cambria Math"/>
              </w:rPr>
              <m:t>kWh</m:t>
            </m:r>
          </m:e>
          <m:sub>
            <m:r>
              <w:rPr>
                <w:rFonts w:ascii="Cambria Math" w:hAnsi="Cambria Math"/>
              </w:rPr>
              <m:t>it</m:t>
            </m:r>
          </m:sub>
        </m:sSub>
        <m:r>
          <w:rPr>
            <w:rFonts w:ascii="Cambria Math" w:hAnsi="Cambria Math"/>
          </w:rPr>
          <m:t xml:space="preserve"> </m:t>
        </m:r>
      </m:oMath>
      <w:r w:rsidR="00312FFB" w:rsidRPr="00312FFB">
        <w:rPr>
          <w:i/>
        </w:rPr>
        <w:t xml:space="preserve">= the kWh consumption of customer </w:t>
      </w:r>
      <m:oMath>
        <m:r>
          <w:rPr>
            <w:rFonts w:ascii="Cambria Math" w:hAnsi="Cambria Math"/>
          </w:rPr>
          <m:t>i</m:t>
        </m:r>
      </m:oMath>
      <w:r w:rsidR="00312FFB" w:rsidRPr="00312FFB">
        <w:rPr>
          <w:i/>
        </w:rPr>
        <w:t xml:space="preserve"> in month </w:t>
      </w:r>
      <m:oMath>
        <m:r>
          <w:rPr>
            <w:rFonts w:ascii="Cambria Math" w:hAnsi="Cambria Math"/>
          </w:rPr>
          <m:t>t</m:t>
        </m:r>
      </m:oMath>
    </w:p>
    <w:p w14:paraId="46A21A7E" w14:textId="69AC6508" w:rsidR="00312FFB" w:rsidRPr="00312FFB" w:rsidRDefault="000F52D6" w:rsidP="00312FFB">
      <w:pPr>
        <w:spacing w:before="0" w:after="0"/>
        <w:rPr>
          <w:i/>
        </w:rPr>
      </w:pP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312FFB" w:rsidRPr="00312FFB">
        <w:rPr>
          <w:i/>
        </w:rPr>
        <w:t xml:space="preserve"> = a fixed effect for each customer </w:t>
      </w:r>
      <m:oMath>
        <m:r>
          <w:rPr>
            <w:rFonts w:ascii="Cambria Math" w:hAnsi="Cambria Math"/>
          </w:rPr>
          <m:t>i</m:t>
        </m:r>
      </m:oMath>
    </w:p>
    <w:p w14:paraId="53DF3627" w14:textId="0DC04B98" w:rsidR="00312FFB" w:rsidRPr="00312FFB" w:rsidRDefault="000F52D6" w:rsidP="00312FFB">
      <w:pPr>
        <w:spacing w:before="0" w:after="0"/>
        <w:rPr>
          <w:i/>
        </w:rPr>
      </w:pPr>
      <m:oMath>
        <m:sSub>
          <m:sSubPr>
            <m:ctrlPr>
              <w:rPr>
                <w:rFonts w:ascii="Cambria Math" w:hAnsi="Cambria Math"/>
                <w:i/>
              </w:rPr>
            </m:ctrlPr>
          </m:sSubPr>
          <m:e>
            <m:r>
              <w:rPr>
                <w:rFonts w:ascii="Cambria Math" w:hAnsi="Cambria Math"/>
              </w:rPr>
              <m:t>trt_period</m:t>
            </m:r>
          </m:e>
          <m:sub>
            <m:r>
              <w:rPr>
                <w:rFonts w:ascii="Cambria Math" w:hAnsi="Cambria Math"/>
              </w:rPr>
              <m:t>it</m:t>
            </m:r>
          </m:sub>
        </m:sSub>
      </m:oMath>
      <w:r w:rsidR="00312FFB" w:rsidRPr="00312FFB">
        <w:rPr>
          <w:i/>
        </w:rPr>
        <w:t xml:space="preserve">= an indicator that takes on a value of </w:t>
      </w:r>
      <m:oMath>
        <m:r>
          <w:rPr>
            <w:rFonts w:ascii="Cambria Math" w:hAnsi="Cambria Math"/>
          </w:rPr>
          <m:t>1</m:t>
        </m:r>
      </m:oMath>
      <w:r w:rsidR="00312FFB" w:rsidRPr="00312FFB">
        <w:rPr>
          <w:i/>
        </w:rPr>
        <w:t xml:space="preserve"> for each customer </w:t>
      </w:r>
      <m:oMath>
        <m:r>
          <w:rPr>
            <w:rFonts w:ascii="Cambria Math" w:hAnsi="Cambria Math"/>
          </w:rPr>
          <m:t>i</m:t>
        </m:r>
      </m:oMath>
      <w:r w:rsidR="00312FFB" w:rsidRPr="00312FFB">
        <w:rPr>
          <w:i/>
        </w:rPr>
        <w:t xml:space="preserve"> when month </w:t>
      </w:r>
      <m:oMath>
        <m:r>
          <w:rPr>
            <w:rFonts w:ascii="Cambria Math" w:hAnsi="Cambria Math"/>
          </w:rPr>
          <m:t>t</m:t>
        </m:r>
      </m:oMath>
      <w:r w:rsidR="00312FFB" w:rsidRPr="00312FFB">
        <w:rPr>
          <w:i/>
        </w:rPr>
        <w:t xml:space="preserve"> is in the treatment period</w:t>
      </w:r>
    </w:p>
    <w:p w14:paraId="352D62F7" w14:textId="7BD75507" w:rsidR="00312FFB" w:rsidRPr="00312FFB" w:rsidRDefault="000F52D6" w:rsidP="00312FFB">
      <w:pPr>
        <w:spacing w:before="0" w:after="0"/>
        <w:rPr>
          <w:i/>
        </w:rPr>
      </w:pPr>
      <m:oMath>
        <m:sSub>
          <m:sSubPr>
            <m:ctrlPr>
              <w:rPr>
                <w:rFonts w:ascii="Cambria Math" w:hAnsi="Cambria Math"/>
                <w:i/>
              </w:rPr>
            </m:ctrlPr>
          </m:sSubPr>
          <m:e>
            <m:r>
              <w:rPr>
                <w:rFonts w:ascii="Cambria Math" w:hAnsi="Cambria Math"/>
              </w:rPr>
              <m:t>encgd</m:t>
            </m:r>
          </m:e>
          <m:sub>
            <m:r>
              <w:rPr>
                <w:rFonts w:ascii="Cambria Math" w:hAnsi="Cambria Math"/>
              </w:rPr>
              <m:t>i</m:t>
            </m:r>
          </m:sub>
        </m:sSub>
        <m:r>
          <w:rPr>
            <w:rFonts w:ascii="Cambria Math" w:hAnsi="Cambria Math"/>
          </w:rPr>
          <m:t xml:space="preserve"> </m:t>
        </m:r>
      </m:oMath>
      <w:r w:rsidR="00312FFB" w:rsidRPr="00312FFB">
        <w:rPr>
          <w:i/>
        </w:rPr>
        <w:t xml:space="preserve">= an indicator which takes on a value of </w:t>
      </w:r>
      <m:oMath>
        <m:r>
          <w:rPr>
            <w:rFonts w:ascii="Cambria Math" w:hAnsi="Cambria Math"/>
          </w:rPr>
          <m:t>1</m:t>
        </m:r>
      </m:oMath>
      <w:r w:rsidR="00312FFB" w:rsidRPr="00312FFB">
        <w:rPr>
          <w:i/>
        </w:rPr>
        <w:t xml:space="preserve"> customer </w:t>
      </w:r>
      <m:oMath>
        <m:r>
          <w:rPr>
            <w:rFonts w:ascii="Cambria Math" w:hAnsi="Cambria Math"/>
          </w:rPr>
          <m:t>i</m:t>
        </m:r>
      </m:oMath>
      <w:r w:rsidR="00312FFB" w:rsidRPr="00312FFB">
        <w:rPr>
          <w:i/>
        </w:rPr>
        <w:t xml:space="preserve"> is in the encouraged group</w:t>
      </w:r>
    </w:p>
    <w:p w14:paraId="293A6DAE" w14:textId="7F3C64E2" w:rsidR="00312FFB" w:rsidRPr="00312FFB" w:rsidRDefault="000F52D6" w:rsidP="00312FFB">
      <w:pPr>
        <w:spacing w:before="0" w:after="0"/>
        <w:rPr>
          <w:i/>
        </w:rPr>
      </w:pPr>
      <m:oMath>
        <m:sSub>
          <m:sSubPr>
            <m:ctrlPr>
              <w:rPr>
                <w:rFonts w:ascii="Cambria Math" w:hAnsi="Cambria Math"/>
                <w:i/>
              </w:rPr>
            </m:ctrlPr>
          </m:sSubPr>
          <m:e>
            <m:r>
              <w:rPr>
                <w:rFonts w:ascii="Cambria Math" w:hAnsi="Cambria Math"/>
              </w:rPr>
              <m:t>CDD</m:t>
            </m:r>
          </m:e>
          <m:sub>
            <m:r>
              <w:rPr>
                <w:rFonts w:ascii="Cambria Math" w:hAnsi="Cambria Math"/>
              </w:rPr>
              <m:t>it</m:t>
            </m:r>
          </m:sub>
        </m:sSub>
        <m:r>
          <w:rPr>
            <w:rFonts w:ascii="Cambria Math" w:hAnsi="Cambria Math"/>
          </w:rPr>
          <m:t xml:space="preserve"> </m:t>
        </m:r>
      </m:oMath>
      <w:r w:rsidR="00312FFB" w:rsidRPr="00312FFB">
        <w:rPr>
          <w:i/>
        </w:rPr>
        <w:t xml:space="preserve">= total cooling degrees for customer </w:t>
      </w:r>
      <m:oMath>
        <m:r>
          <w:rPr>
            <w:rFonts w:ascii="Cambria Math" w:hAnsi="Cambria Math"/>
          </w:rPr>
          <m:t>i</m:t>
        </m:r>
      </m:oMath>
      <w:r w:rsidR="00312FFB" w:rsidRPr="00312FFB">
        <w:rPr>
          <w:i/>
        </w:rPr>
        <w:t xml:space="preserve"> in month </w:t>
      </w:r>
      <m:oMath>
        <m:r>
          <w:rPr>
            <w:rFonts w:ascii="Cambria Math" w:hAnsi="Cambria Math"/>
          </w:rPr>
          <m:t>t</m:t>
        </m:r>
      </m:oMath>
    </w:p>
    <w:p w14:paraId="418E7EC8" w14:textId="40A382E3" w:rsidR="00312FFB" w:rsidRPr="00312FFB" w:rsidRDefault="000F52D6" w:rsidP="00312FFB">
      <w:pPr>
        <w:spacing w:before="0" w:after="0"/>
        <w:rPr>
          <w:i/>
        </w:rPr>
      </w:pPr>
      <m:oMath>
        <m:sSub>
          <m:sSubPr>
            <m:ctrlPr>
              <w:rPr>
                <w:rFonts w:ascii="Cambria Math" w:hAnsi="Cambria Math"/>
                <w:i/>
              </w:rPr>
            </m:ctrlPr>
          </m:sSubPr>
          <m:e>
            <m:r>
              <w:rPr>
                <w:rFonts w:ascii="Cambria Math" w:hAnsi="Cambria Math"/>
              </w:rPr>
              <m:t>HDD</m:t>
            </m:r>
          </m:e>
          <m:sub>
            <m:r>
              <w:rPr>
                <w:rFonts w:ascii="Cambria Math" w:hAnsi="Cambria Math"/>
              </w:rPr>
              <m:t>it</m:t>
            </m:r>
          </m:sub>
        </m:sSub>
      </m:oMath>
      <w:r w:rsidR="00312FFB" w:rsidRPr="00312FFB">
        <w:rPr>
          <w:i/>
        </w:rPr>
        <w:t xml:space="preserve"> = total heating degrees for customer </w:t>
      </w:r>
      <m:oMath>
        <m:r>
          <w:rPr>
            <w:rFonts w:ascii="Cambria Math" w:hAnsi="Cambria Math"/>
          </w:rPr>
          <m:t>i</m:t>
        </m:r>
      </m:oMath>
      <w:r w:rsidR="00312FFB" w:rsidRPr="00312FFB">
        <w:rPr>
          <w:i/>
        </w:rPr>
        <w:t xml:space="preserve"> in month </w:t>
      </w:r>
      <m:oMath>
        <m:r>
          <w:rPr>
            <w:rFonts w:ascii="Cambria Math" w:hAnsi="Cambria Math"/>
          </w:rPr>
          <m:t>t</m:t>
        </m:r>
      </m:oMath>
    </w:p>
    <w:p w14:paraId="12A29EF1" w14:textId="440FFA53" w:rsidR="00312FFB" w:rsidRPr="00312FFB" w:rsidRDefault="00312FFB" w:rsidP="00312FFB">
      <w:pPr>
        <w:spacing w:before="0" w:after="0"/>
        <w:rPr>
          <w:i/>
        </w:rPr>
      </w:pPr>
      <m:oMath>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it</m:t>
            </m:r>
          </m:sub>
        </m:sSub>
      </m:oMath>
      <w:r w:rsidRPr="00312FFB">
        <w:rPr>
          <w:i/>
        </w:rPr>
        <w:t xml:space="preserve"> = the error for customer </w:t>
      </w:r>
      <m:oMath>
        <m:r>
          <w:rPr>
            <w:rFonts w:ascii="Cambria Math" w:hAnsi="Cambria Math"/>
          </w:rPr>
          <m:t>i</m:t>
        </m:r>
      </m:oMath>
      <w:r w:rsidRPr="00312FFB">
        <w:rPr>
          <w:i/>
        </w:rPr>
        <w:t xml:space="preserve"> in month </w:t>
      </w:r>
      <m:oMath>
        <m:r>
          <w:rPr>
            <w:rFonts w:ascii="Cambria Math" w:hAnsi="Cambria Math"/>
          </w:rPr>
          <m:t>t</m:t>
        </m:r>
      </m:oMath>
    </w:p>
    <w:p w14:paraId="03B846B1" w14:textId="77777777" w:rsidR="00312FFB" w:rsidRPr="00312FFB" w:rsidRDefault="00312FFB" w:rsidP="00312FFB">
      <w:pPr>
        <w:spacing w:before="0" w:after="0"/>
        <w:rPr>
          <w:b/>
        </w:rPr>
      </w:pPr>
    </w:p>
    <w:p w14:paraId="29215C08" w14:textId="77777777" w:rsidR="00312FFB" w:rsidRDefault="00312FFB" w:rsidP="00312FFB">
      <w:pPr>
        <w:spacing w:before="0" w:after="0"/>
      </w:pPr>
      <w:r w:rsidRPr="00312FFB">
        <w:rPr>
          <w:b/>
          <w:bCs/>
        </w:rPr>
        <w:t xml:space="preserve">Extrapolation. </w:t>
      </w:r>
      <w:r w:rsidRPr="00312FFB">
        <w:t>To determine the most appropriate methodology for the ex-ante estimates of savings, the following points were considered:</w:t>
      </w:r>
    </w:p>
    <w:p w14:paraId="64B30702" w14:textId="77777777" w:rsidR="00312FFB" w:rsidRDefault="00312FFB" w:rsidP="002C2D46">
      <w:pPr>
        <w:pStyle w:val="ListParagraph"/>
        <w:spacing w:before="0" w:after="0"/>
      </w:pPr>
    </w:p>
    <w:p w14:paraId="21B65E89" w14:textId="77777777" w:rsidR="00312FFB" w:rsidRDefault="00312FFB" w:rsidP="00312FFB">
      <w:pPr>
        <w:pStyle w:val="ListParagraph"/>
        <w:numPr>
          <w:ilvl w:val="0"/>
          <w:numId w:val="43"/>
        </w:numPr>
        <w:spacing w:before="0" w:after="0"/>
      </w:pPr>
      <w:r w:rsidRPr="00312FFB">
        <w:t>The PG&amp;E First Year Study was not designed to be representative of all Californians.</w:t>
      </w:r>
    </w:p>
    <w:p w14:paraId="42A8A09F" w14:textId="77777777" w:rsidR="00312FFB" w:rsidRDefault="00312FFB" w:rsidP="00312FFB">
      <w:pPr>
        <w:pStyle w:val="ListParagraph"/>
        <w:numPr>
          <w:ilvl w:val="0"/>
          <w:numId w:val="43"/>
        </w:numPr>
        <w:spacing w:before="0" w:after="0"/>
      </w:pPr>
      <w:r w:rsidRPr="00312FFB">
        <w:t>The PG&amp;E First Year Study model was estimated using actual cooling degree days (CDD) and heating degree days (HDD) from the PG&amp;E 23 weather stations, not CEC climate zone data.</w:t>
      </w:r>
    </w:p>
    <w:p w14:paraId="1D7C4DF6" w14:textId="77777777" w:rsidR="00312FFB" w:rsidRDefault="00312FFB" w:rsidP="00312FFB">
      <w:pPr>
        <w:pStyle w:val="ListParagraph"/>
        <w:numPr>
          <w:ilvl w:val="0"/>
          <w:numId w:val="43"/>
        </w:numPr>
        <w:spacing w:before="0" w:after="0"/>
      </w:pPr>
      <w:r w:rsidRPr="00312FFB">
        <w:t>The results do not represent weather normal impacts, but actual ex-post impacts.</w:t>
      </w:r>
    </w:p>
    <w:p w14:paraId="5FF42FB7" w14:textId="77777777" w:rsidR="00D823EB" w:rsidRDefault="00312FFB" w:rsidP="00312FFB">
      <w:pPr>
        <w:pStyle w:val="ListParagraph"/>
        <w:numPr>
          <w:ilvl w:val="0"/>
          <w:numId w:val="43"/>
        </w:numPr>
        <w:spacing w:before="0" w:after="0"/>
      </w:pPr>
      <w:r w:rsidRPr="00312FFB">
        <w:t>Impacts from participants in PG&amp;E hottest zones may not be representative of all California customers, i.e. the weather relationships estimated by the ex-ante regression model may not be applicable across the entire state.</w:t>
      </w:r>
    </w:p>
    <w:p w14:paraId="4A60621A" w14:textId="35D7689B" w:rsidR="00312FFB" w:rsidRDefault="00312FFB" w:rsidP="00312FFB">
      <w:pPr>
        <w:pStyle w:val="ListParagraph"/>
        <w:numPr>
          <w:ilvl w:val="0"/>
          <w:numId w:val="43"/>
        </w:numPr>
        <w:spacing w:before="0" w:after="0"/>
      </w:pPr>
      <w:r w:rsidRPr="00312FFB">
        <w:t>In the second year of the study (Year 2) we noted the following anomalies compared to the first year (Year 1):</w:t>
      </w:r>
    </w:p>
    <w:p w14:paraId="23D4D615" w14:textId="77777777" w:rsidR="00D823EB" w:rsidRPr="00312FFB" w:rsidRDefault="00D823EB" w:rsidP="002C2D46">
      <w:pPr>
        <w:pStyle w:val="ListParagraph"/>
        <w:spacing w:before="0" w:after="0"/>
      </w:pPr>
    </w:p>
    <w:p w14:paraId="6EA0571C" w14:textId="77777777" w:rsidR="00312FFB" w:rsidRPr="00312FFB" w:rsidRDefault="00312FFB" w:rsidP="00312FFB">
      <w:pPr>
        <w:numPr>
          <w:ilvl w:val="1"/>
          <w:numId w:val="39"/>
        </w:numPr>
        <w:spacing w:before="0" w:after="0"/>
      </w:pPr>
      <w:r w:rsidRPr="00312FFB">
        <w:t xml:space="preserve">The study participants experienced weather that was quite different with a more extreme summer. </w:t>
      </w:r>
    </w:p>
    <w:p w14:paraId="183ABAF2" w14:textId="77777777" w:rsidR="00312FFB" w:rsidRPr="00312FFB" w:rsidRDefault="00312FFB" w:rsidP="00312FFB">
      <w:pPr>
        <w:numPr>
          <w:ilvl w:val="1"/>
          <w:numId w:val="39"/>
        </w:numPr>
        <w:spacing w:before="0" w:after="0"/>
      </w:pPr>
      <w:r w:rsidRPr="00312FFB">
        <w:t xml:space="preserve">The samples eroded due to move outs and other account changes. The shrinking samples made the encouraged effect even harder to detect. </w:t>
      </w:r>
    </w:p>
    <w:p w14:paraId="20228D70" w14:textId="77777777" w:rsidR="00312FFB" w:rsidRPr="00312FFB" w:rsidRDefault="00312FFB" w:rsidP="00312FFB">
      <w:pPr>
        <w:numPr>
          <w:ilvl w:val="1"/>
          <w:numId w:val="39"/>
        </w:numPr>
        <w:spacing w:before="0" w:after="0"/>
      </w:pPr>
      <w:r w:rsidRPr="00312FFB">
        <w:t xml:space="preserve">Based on conducted survey, both control group customers and encouraged customers began installing smart thermostats, nearly 15% of each group installed thermostats independent of the program. </w:t>
      </w:r>
    </w:p>
    <w:p w14:paraId="6898CC04" w14:textId="77777777" w:rsidR="00312FFB" w:rsidRPr="00312FFB" w:rsidRDefault="00312FFB" w:rsidP="00312FFB">
      <w:pPr>
        <w:numPr>
          <w:ilvl w:val="1"/>
          <w:numId w:val="39"/>
        </w:numPr>
        <w:spacing w:before="0" w:after="0"/>
        <w:rPr>
          <w:b/>
          <w:i/>
        </w:rPr>
      </w:pPr>
      <w:r w:rsidRPr="00312FFB">
        <w:t>The savings patterns seemed to shift, with more savings being seen in the spring (and even winter) and less savings in the summer. These shifts in savings trends seemed counterintuitive.</w:t>
      </w:r>
    </w:p>
    <w:p w14:paraId="388FF391" w14:textId="77777777" w:rsidR="00D823EB" w:rsidRDefault="00D823EB" w:rsidP="00312FFB">
      <w:pPr>
        <w:spacing w:before="0" w:after="0"/>
      </w:pPr>
    </w:p>
    <w:p w14:paraId="663B2343" w14:textId="29330AC6" w:rsidR="00312FFB" w:rsidRDefault="00387CC6" w:rsidP="00312FFB">
      <w:pPr>
        <w:spacing w:before="0" w:after="0"/>
      </w:pPr>
      <w:r>
        <w:lastRenderedPageBreak/>
        <w:t>G</w:t>
      </w:r>
      <w:r w:rsidR="006D05F6">
        <w:t xml:space="preserve">eneral </w:t>
      </w:r>
      <w:r w:rsidR="00312FFB" w:rsidRPr="00312FFB">
        <w:t>approach</w:t>
      </w:r>
      <w:r w:rsidR="006D05F6">
        <w:t xml:space="preserve"> for supporting the analysis</w:t>
      </w:r>
      <w:r w:rsidR="00312FFB" w:rsidRPr="00312FFB">
        <w:t xml:space="preserve"> is summarized below.</w:t>
      </w:r>
    </w:p>
    <w:p w14:paraId="148B2ED6" w14:textId="77777777" w:rsidR="00D823EB" w:rsidRPr="00312FFB" w:rsidRDefault="00D823EB" w:rsidP="00312FFB">
      <w:pPr>
        <w:spacing w:before="0" w:after="0"/>
      </w:pPr>
    </w:p>
    <w:p w14:paraId="05C4B389" w14:textId="77777777" w:rsidR="00312FFB" w:rsidRPr="00312FFB" w:rsidRDefault="00312FFB" w:rsidP="00312FFB">
      <w:pPr>
        <w:spacing w:before="0" w:after="0"/>
      </w:pPr>
      <w:r w:rsidRPr="00312FFB">
        <w:rPr>
          <w:b/>
        </w:rPr>
        <w:t xml:space="preserve">Estimate the average HVAC cooling + fan energy consumption using the DEER prototypes. </w:t>
      </w:r>
      <w:r w:rsidRPr="00312FFB">
        <w:t xml:space="preserve">This was done by enabling latest single-family DEER prototype using the MASControl3 software application with the following assumptions: All 16 climates cones; Median Vintage - 2007; Central HVAC with Gas Furnace &lt; 45 </w:t>
      </w:r>
      <w:proofErr w:type="spellStart"/>
      <w:r w:rsidRPr="00312FFB">
        <w:t>kBtuh</w:t>
      </w:r>
      <w:proofErr w:type="spellEnd"/>
      <w:r w:rsidRPr="00312FFB">
        <w:t xml:space="preserve">; SEER14; AFUE 0.80; DEER weighted Thermostat Schedules; and CTZ2010 weather. </w:t>
      </w:r>
    </w:p>
    <w:p w14:paraId="54A89B72" w14:textId="77777777" w:rsidR="00D823EB" w:rsidRDefault="00D823EB" w:rsidP="00312FFB">
      <w:pPr>
        <w:spacing w:before="0" w:after="0"/>
        <w:rPr>
          <w:b/>
        </w:rPr>
      </w:pPr>
    </w:p>
    <w:p w14:paraId="66283B5A" w14:textId="3A9080C3" w:rsidR="00312FFB" w:rsidRPr="00312FFB" w:rsidRDefault="00312FFB" w:rsidP="00312FFB">
      <w:pPr>
        <w:spacing w:before="0" w:after="0"/>
      </w:pPr>
      <w:r w:rsidRPr="00312FFB">
        <w:rPr>
          <w:b/>
        </w:rPr>
        <w:t xml:space="preserve">Use ex-ante model to generate an annual savings estimate. </w:t>
      </w:r>
      <w:r w:rsidRPr="00312FFB">
        <w:t xml:space="preserve">Generate a single annual savings estimate from the ex-ante model using First Year study data only. Second Year study data was evaluated but not directly included in final analysis due to the anomalies outlined above. The ex-ante model was used to estimate the annual savings attributable to the smart thermostats. To do this, the savings were estimated as a linear combination of the following parameters from the ex-ante model. </w:t>
      </w:r>
    </w:p>
    <w:p w14:paraId="3079C875" w14:textId="77777777" w:rsidR="00312FFB" w:rsidRPr="00312FFB" w:rsidRDefault="00312FFB" w:rsidP="00312FFB">
      <w:pPr>
        <w:spacing w:before="0" w:after="0"/>
      </w:pPr>
      <w:r w:rsidRPr="00312FFB">
        <w:t xml:space="preserve">This estimate represents the annual savings for the encouraged group. A weighted acceptance rate was used to estimate the savings of the treated group under the RED.  </w:t>
      </w:r>
    </w:p>
    <w:p w14:paraId="7E7A92B2" w14:textId="77777777" w:rsidR="00D823EB" w:rsidRDefault="00D823EB" w:rsidP="00312FFB">
      <w:pPr>
        <w:spacing w:before="0" w:after="0"/>
        <w:rPr>
          <w:b/>
        </w:rPr>
      </w:pPr>
    </w:p>
    <w:p w14:paraId="4B0C0566" w14:textId="63603FC0" w:rsidR="00312FFB" w:rsidRPr="00312FFB" w:rsidRDefault="00312FFB" w:rsidP="00312FFB">
      <w:pPr>
        <w:spacing w:before="0" w:after="0"/>
      </w:pPr>
      <w:r w:rsidRPr="00312FFB">
        <w:rPr>
          <w:b/>
        </w:rPr>
        <w:t xml:space="preserve">Use the ex-ante model to estimate an annual cooling baseline load and percent impact. </w:t>
      </w:r>
      <w:r w:rsidRPr="00312FFB">
        <w:t>Use the ex-ante model to estimate the annual HVAC cooling baseline for the encouraged group and estimate the percent impact. When using the ex-ante model, the HVAC cooling baseline represents the ex-ante model estimate of weather responsive load based on the relationship between CDD and kWh. The HVAC cooling baseline load was then estimated for the encouraged group. This represents the ex-ante model estimate of weather responsive load absent the thermostat based on the estimated relationship between CDD and kWh. To estimate the cooling baseline load, we use the following linear combination of variables from the ex-ante model:</w:t>
      </w:r>
    </w:p>
    <w:p w14:paraId="1C1ADDA0" w14:textId="77777777" w:rsidR="002F3A65" w:rsidRDefault="002F3A65" w:rsidP="00312FFB">
      <w:pPr>
        <w:spacing w:before="0" w:after="0"/>
      </w:pPr>
    </w:p>
    <w:p w14:paraId="2737EC2E" w14:textId="745FD929" w:rsidR="00312FFB" w:rsidRPr="00312FFB" w:rsidRDefault="00312FFB" w:rsidP="00312FFB">
      <w:pPr>
        <w:spacing w:before="0" w:after="0"/>
      </w:pPr>
      <w:r w:rsidRPr="00312FFB">
        <w:t xml:space="preserve">The annual savings estimate in percent terms was calculated by dividing the annual savings by the cooling baseline. The percentage impacts are reflective of how pilot participants responded to the treatment but using percentages allows us to scale the impacts to represent PG&amp;E participants in each climate zone. </w:t>
      </w:r>
    </w:p>
    <w:p w14:paraId="36CC10EC" w14:textId="77777777" w:rsidR="002F3A65" w:rsidRDefault="002F3A65" w:rsidP="00312FFB">
      <w:pPr>
        <w:spacing w:before="0" w:after="0"/>
        <w:rPr>
          <w:b/>
        </w:rPr>
      </w:pPr>
    </w:p>
    <w:p w14:paraId="276C5730" w14:textId="4DB513F9" w:rsidR="00312FFB" w:rsidRPr="00312FFB" w:rsidRDefault="00312FFB" w:rsidP="00312FFB">
      <w:pPr>
        <w:spacing w:before="0" w:after="0"/>
      </w:pPr>
      <w:r w:rsidRPr="00312FFB">
        <w:rPr>
          <w:b/>
        </w:rPr>
        <w:t xml:space="preserve">Apply percentage impacts to DEER HVAC + fan cooling consumption estimates for each CEC climate zone to estimate impacts. </w:t>
      </w:r>
      <w:r w:rsidRPr="00312FFB">
        <w:t>Apply the percent impact from step 2 to the HVAC cooling + fan energy consumption for a single-family home with central air conditioning (CAC) in each of the California 16 climate zones based on the single-family DEER prototype.</w:t>
      </w:r>
    </w:p>
    <w:p w14:paraId="41272C18" w14:textId="77777777" w:rsidR="002F3A65" w:rsidRDefault="002F3A65" w:rsidP="00312FFB">
      <w:pPr>
        <w:spacing w:before="0" w:after="0"/>
      </w:pPr>
    </w:p>
    <w:p w14:paraId="025981F1" w14:textId="4DB202ED" w:rsidR="00312FFB" w:rsidRPr="00312FFB" w:rsidRDefault="00312FFB" w:rsidP="00312FFB">
      <w:pPr>
        <w:spacing w:before="0" w:after="0"/>
      </w:pPr>
      <w:r w:rsidRPr="00312FFB">
        <w:t xml:space="preserve">The final step in the analysis is to apply the annual percentage savings from the ex-ante model to the HVAC + fan cooling consumption for an average single-family home with CAC in each of the California 16 climate zones as estimated by the appropriate single-family DEER prototype. This provides an estimate of how other Californians would respond to the thermostats assuming they would respond similarly to the PG&amp;E program participants. </w:t>
      </w:r>
    </w:p>
    <w:p w14:paraId="463FCCE6" w14:textId="77777777" w:rsidR="002F3A65" w:rsidRDefault="002F3A65" w:rsidP="00312FFB">
      <w:pPr>
        <w:spacing w:before="0" w:after="0"/>
      </w:pPr>
    </w:p>
    <w:p w14:paraId="3EDAA230" w14:textId="16D36113" w:rsidR="00312FFB" w:rsidRPr="00312FFB" w:rsidRDefault="00312FFB" w:rsidP="00312FFB">
      <w:pPr>
        <w:spacing w:before="0" w:after="0"/>
      </w:pPr>
      <w:r w:rsidRPr="00312FFB">
        <w:t xml:space="preserve">One key advantage of the proposed approach is that it does not require applying parameter estimates (relationships) across very different climate zones (inland vs. coastal vs. desert) which would in turn would assume that all customers have the same relationship with weather regardless of their climate. It does, however, assume that all customers in the state would have a response that would be </w:t>
      </w:r>
      <w:proofErr w:type="gramStart"/>
      <w:r w:rsidRPr="00312FFB">
        <w:t>similar to</w:t>
      </w:r>
      <w:proofErr w:type="gramEnd"/>
      <w:r w:rsidRPr="00312FFB">
        <w:t xml:space="preserve"> those that participated in the pilot.  </w:t>
      </w:r>
    </w:p>
    <w:p w14:paraId="648CE8A6" w14:textId="77777777" w:rsidR="00312FFB" w:rsidRPr="00312FFB" w:rsidRDefault="00312FFB" w:rsidP="00312FFB">
      <w:pPr>
        <w:spacing w:before="0" w:after="0"/>
      </w:pPr>
    </w:p>
    <w:p w14:paraId="67488194" w14:textId="77777777" w:rsidR="00C72E1D" w:rsidRDefault="00C72E1D">
      <w:pPr>
        <w:spacing w:before="0" w:after="0" w:line="240" w:lineRule="auto"/>
        <w:rPr>
          <w:rFonts w:eastAsiaTheme="majorEastAsia" w:cstheme="majorBidi"/>
          <w:color w:val="CFAB7A"/>
          <w:sz w:val="24"/>
          <w:szCs w:val="22"/>
        </w:rPr>
      </w:pPr>
      <w:r>
        <w:br w:type="page"/>
      </w:r>
    </w:p>
    <w:p w14:paraId="0CC617A7" w14:textId="09A3ADA0" w:rsidR="00312FFB" w:rsidRPr="00312FFB" w:rsidRDefault="00312FFB" w:rsidP="002C2D46">
      <w:pPr>
        <w:pStyle w:val="eTRMHeading4"/>
      </w:pPr>
      <w:r w:rsidRPr="00312FFB">
        <w:lastRenderedPageBreak/>
        <w:t xml:space="preserve">Results </w:t>
      </w:r>
    </w:p>
    <w:p w14:paraId="5095484E" w14:textId="77777777" w:rsidR="002F3A65" w:rsidRDefault="002F3A65" w:rsidP="00312FFB">
      <w:pPr>
        <w:spacing w:before="0" w:after="0"/>
      </w:pPr>
    </w:p>
    <w:p w14:paraId="26861200" w14:textId="2CB5AC07" w:rsidR="00312FFB" w:rsidRPr="00312FFB" w:rsidRDefault="00312FFB" w:rsidP="00312FFB">
      <w:pPr>
        <w:spacing w:before="0" w:after="0"/>
      </w:pPr>
      <w:r w:rsidRPr="00312FFB">
        <w:t xml:space="preserve">The results of the extrapolation analysis are presented in this section. The ex-ante model output is presented first, followed by the cooling baseline, and finally the savings estimates. </w:t>
      </w:r>
    </w:p>
    <w:p w14:paraId="4E2733DE" w14:textId="77777777" w:rsidR="002F3A65" w:rsidRDefault="002F3A65" w:rsidP="00312FFB">
      <w:pPr>
        <w:spacing w:before="0" w:after="0"/>
        <w:rPr>
          <w:i/>
        </w:rPr>
      </w:pPr>
    </w:p>
    <w:p w14:paraId="006D438D" w14:textId="0A03C848" w:rsidR="00312FFB" w:rsidRPr="002C2D46" w:rsidRDefault="00312FFB" w:rsidP="00312FFB">
      <w:pPr>
        <w:spacing w:before="0" w:after="0"/>
        <w:rPr>
          <w:b/>
          <w:bCs/>
          <w:i/>
        </w:rPr>
      </w:pPr>
      <w:r w:rsidRPr="002C2D46">
        <w:rPr>
          <w:b/>
          <w:bCs/>
          <w:i/>
        </w:rPr>
        <w:t>Ex-ante Model Output</w:t>
      </w:r>
    </w:p>
    <w:p w14:paraId="2F7A4A4C" w14:textId="77777777" w:rsidR="002F3A65" w:rsidRDefault="002F3A65" w:rsidP="00312FFB">
      <w:pPr>
        <w:spacing w:before="0" w:after="0"/>
      </w:pPr>
    </w:p>
    <w:p w14:paraId="7AC51883" w14:textId="50FDB0F3" w:rsidR="00312FFB" w:rsidRPr="00312FFB" w:rsidRDefault="00312FFB" w:rsidP="00312FFB">
      <w:pPr>
        <w:spacing w:before="0" w:after="0"/>
      </w:pPr>
      <w:r w:rsidRPr="00312FFB">
        <w:t xml:space="preserve">The figure below presents the output of the updated ex-ante model from Stata. As with any standard modeling output the parameter estimates are presented on the left and the associated statistics on the right. It should be noted that Stata does not output a typical r-squared value. However, the “within” r-squared is analogous to an r-squared from a regular OLS model (without fixed effects) and the statistic </w:t>
      </w:r>
      <w:r w:rsidRPr="00312FFB">
        <w:rPr>
          <w:i/>
          <w:iCs/>
        </w:rPr>
        <w:t>rho</w:t>
      </w:r>
      <w:r w:rsidRPr="00312FFB">
        <w:t xml:space="preserve"> represents the total fraction of variation captured by the fixed effects. </w:t>
      </w:r>
    </w:p>
    <w:p w14:paraId="764A64CE" w14:textId="77777777" w:rsidR="00312FFB" w:rsidRPr="00312FFB" w:rsidRDefault="00312FFB" w:rsidP="00312FFB">
      <w:pPr>
        <w:spacing w:before="0" w:after="0"/>
      </w:pPr>
    </w:p>
    <w:p w14:paraId="1F0A2AF3" w14:textId="77777777" w:rsidR="00312FFB" w:rsidRPr="00312FFB" w:rsidRDefault="00312FFB" w:rsidP="002C2D46">
      <w:pPr>
        <w:spacing w:before="0" w:after="0"/>
        <w:jc w:val="center"/>
        <w:rPr>
          <w:b/>
        </w:rPr>
      </w:pPr>
      <w:r w:rsidRPr="00312FFB">
        <w:rPr>
          <w:b/>
        </w:rPr>
        <w:t>Ex-Ante Model Output</w:t>
      </w:r>
    </w:p>
    <w:p w14:paraId="641E6658" w14:textId="596AD5A4" w:rsidR="00312FFB" w:rsidRPr="00312FFB" w:rsidRDefault="00312FFB" w:rsidP="002C2D46">
      <w:pPr>
        <w:spacing w:before="0" w:after="0"/>
        <w:jc w:val="center"/>
      </w:pPr>
      <w:r w:rsidRPr="00312FFB">
        <w:rPr>
          <w:noProof/>
        </w:rPr>
        <w:drawing>
          <wp:inline distT="0" distB="0" distL="0" distR="0" wp14:anchorId="753F3EFA" wp14:editId="0BBD88C9">
            <wp:extent cx="3810000" cy="335254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8111" cy="3359679"/>
                    </a:xfrm>
                    <a:prstGeom prst="rect">
                      <a:avLst/>
                    </a:prstGeom>
                    <a:noFill/>
                    <a:ln>
                      <a:noFill/>
                    </a:ln>
                  </pic:spPr>
                </pic:pic>
              </a:graphicData>
            </a:graphic>
          </wp:inline>
        </w:drawing>
      </w:r>
    </w:p>
    <w:p w14:paraId="7D493567" w14:textId="77777777" w:rsidR="00312FFB" w:rsidRPr="00312FFB" w:rsidRDefault="00312FFB" w:rsidP="00312FFB">
      <w:pPr>
        <w:spacing w:before="0" w:after="0"/>
      </w:pPr>
    </w:p>
    <w:p w14:paraId="7C929EC9" w14:textId="77777777" w:rsidR="00312FFB" w:rsidRPr="00312FFB" w:rsidRDefault="00312FFB" w:rsidP="00312FFB">
      <w:pPr>
        <w:spacing w:before="0" w:after="0"/>
      </w:pPr>
    </w:p>
    <w:p w14:paraId="1FE2744A" w14:textId="77777777" w:rsidR="00312FFB" w:rsidRPr="00312FFB" w:rsidRDefault="00312FFB" w:rsidP="00312FFB">
      <w:pPr>
        <w:spacing w:before="0" w:after="0"/>
      </w:pPr>
      <w:r w:rsidRPr="00312FFB">
        <w:rPr>
          <w:b/>
          <w:bCs/>
        </w:rPr>
        <w:t>Ex-Ante Cooling Baseline Estimates versus. DEER HVAC + fan Cooling Baseline Estimates.</w:t>
      </w:r>
      <w:r w:rsidRPr="00312FFB">
        <w:rPr>
          <w:b/>
          <w:bCs/>
          <w:vertAlign w:val="superscript"/>
        </w:rPr>
        <w:footnoteReference w:id="15"/>
      </w:r>
      <w:r w:rsidRPr="00312FFB">
        <w:rPr>
          <w:b/>
          <w:bCs/>
        </w:rPr>
        <w:t xml:space="preserve"> </w:t>
      </w:r>
      <w:r w:rsidRPr="00312FFB">
        <w:t xml:space="preserve">In this section, the HVAC cooling baseline estimate is presented from the ex-ante model, followed by the </w:t>
      </w:r>
      <w:proofErr w:type="gramStart"/>
      <w:r w:rsidRPr="00312FFB">
        <w:t>single family</w:t>
      </w:r>
      <w:proofErr w:type="gramEnd"/>
      <w:r w:rsidRPr="00312FFB">
        <w:t xml:space="preserve"> DEER HVAC + fan cooling baseline estimates, and finally, a comparison of the two. </w:t>
      </w:r>
    </w:p>
    <w:p w14:paraId="4F0E0E10" w14:textId="77777777" w:rsidR="002F3A65" w:rsidRDefault="002F3A65" w:rsidP="00312FFB">
      <w:pPr>
        <w:spacing w:before="0" w:after="0"/>
      </w:pPr>
    </w:p>
    <w:p w14:paraId="4D940AAE" w14:textId="01810E4B" w:rsidR="00312FFB" w:rsidRPr="00312FFB" w:rsidRDefault="00312FFB" w:rsidP="00312FFB">
      <w:pPr>
        <w:spacing w:before="0" w:after="0"/>
      </w:pPr>
      <w:r w:rsidRPr="00312FFB">
        <w:t xml:space="preserve">The table below presents the ex-ante model estimate of the total baseline and the cooling baseline. The ex-ante cooling baseline is also presented as a percent of the total. The model estimates that the cooling </w:t>
      </w:r>
      <w:r w:rsidRPr="00312FFB">
        <w:lastRenderedPageBreak/>
        <w:t>load makes up between 3% and 48% of the total baseline load depending on the month of the year. The overall pattern makes sense given what is known about the climate zones included in the pilot, with the hottest months of the year occurring in the mid-summer months of July and August.</w:t>
      </w:r>
    </w:p>
    <w:p w14:paraId="436AA035" w14:textId="77777777" w:rsidR="00312FFB" w:rsidRPr="00312FFB" w:rsidRDefault="00312FFB" w:rsidP="00312FFB">
      <w:pPr>
        <w:spacing w:before="0" w:after="0"/>
      </w:pPr>
    </w:p>
    <w:p w14:paraId="6C90F9C7" w14:textId="77777777" w:rsidR="00312FFB" w:rsidRPr="00312FFB" w:rsidRDefault="00312FFB" w:rsidP="00312FFB">
      <w:pPr>
        <w:spacing w:before="0" w:after="0"/>
      </w:pPr>
      <w:r w:rsidRPr="00312FFB">
        <w:rPr>
          <w:i/>
          <w:iCs/>
        </w:rPr>
        <w:t>Ex Ante Cooling Baseline Savings Estimates.</w:t>
      </w:r>
      <w:r w:rsidRPr="00312FFB">
        <w:rPr>
          <w:i/>
          <w:iCs/>
          <w:vertAlign w:val="superscript"/>
        </w:rPr>
        <w:footnoteReference w:id="16"/>
      </w:r>
      <w:r w:rsidRPr="00312FFB">
        <w:rPr>
          <w:b/>
          <w:bCs/>
        </w:rPr>
        <w:t xml:space="preserve"> </w:t>
      </w:r>
      <w:r w:rsidRPr="00312FFB">
        <w:t xml:space="preserve">The ex-ante model </w:t>
      </w:r>
      <w:proofErr w:type="gramStart"/>
      <w:r w:rsidRPr="00312FFB">
        <w:t>estimate</w:t>
      </w:r>
      <w:proofErr w:type="gramEnd"/>
      <w:r w:rsidRPr="00312FFB">
        <w:t xml:space="preserve"> of the savings as a percent of the ex-ante cooling baseline results in savings that account for about 11% percent of the total HVAC cooling baseline at an annual level.  </w:t>
      </w:r>
    </w:p>
    <w:p w14:paraId="10CB300C" w14:textId="77777777" w:rsidR="00312FFB" w:rsidRPr="00312FFB" w:rsidRDefault="00312FFB" w:rsidP="00312FFB">
      <w:pPr>
        <w:spacing w:before="0" w:after="0"/>
      </w:pPr>
    </w:p>
    <w:p w14:paraId="5DFEED70" w14:textId="77777777" w:rsidR="00312FFB" w:rsidRPr="00312FFB" w:rsidRDefault="00312FFB" w:rsidP="00312FFB">
      <w:pPr>
        <w:spacing w:before="0" w:after="0"/>
      </w:pPr>
      <w:r w:rsidRPr="00312FFB">
        <w:t>The table below documents the ex-ante impact for each climate zone. The impact is calculated by applying the 11% impact predicted by the model to the annual cooling load in each zone.  The nominal impact (kWh) and the impact as a percent of the total annual load are presented below.</w:t>
      </w:r>
      <w:r w:rsidRPr="00312FFB">
        <w:rPr>
          <w:vertAlign w:val="superscript"/>
        </w:rPr>
        <w:footnoteReference w:id="17"/>
      </w:r>
      <w:r w:rsidRPr="00312FFB">
        <w:t xml:space="preserve"> Ex-Ante input models and hourly data reports will be provided on request.</w:t>
      </w:r>
    </w:p>
    <w:p w14:paraId="1AC9FDE1" w14:textId="77777777" w:rsidR="002F3A65" w:rsidRDefault="002F3A65" w:rsidP="00312FFB">
      <w:pPr>
        <w:spacing w:before="0" w:after="0"/>
        <w:rPr>
          <w:i/>
          <w:iCs/>
        </w:rPr>
      </w:pPr>
    </w:p>
    <w:p w14:paraId="17E7BA8E" w14:textId="693E6C34" w:rsidR="00312FFB" w:rsidRPr="00312FFB" w:rsidRDefault="00312FFB" w:rsidP="00312FFB">
      <w:pPr>
        <w:spacing w:before="0" w:after="0"/>
      </w:pPr>
      <w:r w:rsidRPr="002C2D46">
        <w:rPr>
          <w:b/>
          <w:bCs/>
          <w:i/>
          <w:iCs/>
        </w:rPr>
        <w:t>Measure Savings Scaling for Multifamily and Double-wide Mobile Homes (HVAC Cooling).</w:t>
      </w:r>
      <w:r w:rsidRPr="00312FFB">
        <w:rPr>
          <w:i/>
          <w:iCs/>
        </w:rPr>
        <w:t xml:space="preserve"> </w:t>
      </w:r>
      <w:r w:rsidRPr="00312FFB">
        <w:t xml:space="preserve">Given that the First Year and Second Year Emerging Technologies studies excluded evaluation of measure savings for multifamily and double-wide mobile homes, scaling (energy savings) factors were estimated for these residence types using the latest DEER2020 HVAC Upgrade measures based on the ratio of the normalized energy impacts (e.g., kWh/Ton) compared to  the single family residence type.  </w:t>
      </w:r>
    </w:p>
    <w:p w14:paraId="4CC3F62A" w14:textId="77777777" w:rsidR="002F3A65" w:rsidRDefault="002F3A65" w:rsidP="00312FFB">
      <w:pPr>
        <w:spacing w:before="0" w:after="0"/>
      </w:pPr>
    </w:p>
    <w:p w14:paraId="2FEC9D66" w14:textId="521D654C" w:rsidR="00312FFB" w:rsidRPr="00312FFB" w:rsidRDefault="00312FFB" w:rsidP="00312FFB">
      <w:pPr>
        <w:spacing w:before="0" w:after="0"/>
      </w:pPr>
      <w:r w:rsidRPr="00312FFB">
        <w:t xml:space="preserve">The estimated adjustment factors vary by climate zone. However, no direct correlation was observed between the adjustment factors and climate zones, as there are several intricate factors varying among the climate zones that determine the energy impacts. </w:t>
      </w:r>
    </w:p>
    <w:p w14:paraId="47D746E8" w14:textId="77777777" w:rsidR="002F3A65" w:rsidRDefault="002F3A65" w:rsidP="00312FFB">
      <w:pPr>
        <w:spacing w:before="0" w:after="0"/>
      </w:pPr>
    </w:p>
    <w:p w14:paraId="235F144B" w14:textId="14C79622" w:rsidR="00312FFB" w:rsidRPr="00312FFB" w:rsidRDefault="00312FFB" w:rsidP="00312FFB">
      <w:pPr>
        <w:spacing w:before="0" w:after="0"/>
      </w:pPr>
      <w:r w:rsidRPr="00312FFB">
        <w:t xml:space="preserve">Further adjustments were applied to the multifamily scaling factor to account for variation in system capacity between the multifamily DEER models and system capacity seen by the program. This analysis was conducted using the DEER multifamily prototype adjusted from 1.0 ton (DEER defaulted - average per dwelling) to 2.0 tons (program informed average capacity per dwelling). </w:t>
      </w:r>
    </w:p>
    <w:p w14:paraId="1BD0E698" w14:textId="77777777" w:rsidR="002F3A65" w:rsidRDefault="002F3A65" w:rsidP="00312FFB">
      <w:pPr>
        <w:spacing w:before="0" w:after="0"/>
        <w:rPr>
          <w:b/>
        </w:rPr>
      </w:pPr>
    </w:p>
    <w:p w14:paraId="119A4A9B" w14:textId="28C800BC" w:rsidR="00312FFB" w:rsidRPr="00312FFB" w:rsidRDefault="00312FFB" w:rsidP="00312FFB">
      <w:pPr>
        <w:spacing w:before="0" w:after="0"/>
        <w:rPr>
          <w:b/>
        </w:rPr>
      </w:pPr>
      <w:r w:rsidRPr="00312FFB">
        <w:rPr>
          <w:b/>
        </w:rPr>
        <w:t>Adjustment Factors for Double-wide Mobile Homes and Multifamily</w:t>
      </w:r>
      <w:r w:rsidRPr="00312FFB">
        <w:rPr>
          <w:b/>
          <w:vertAlign w:val="superscript"/>
        </w:rPr>
        <w:footnoteReference w:id="18"/>
      </w:r>
    </w:p>
    <w:tbl>
      <w:tblPr>
        <w:tblW w:w="3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69"/>
        <w:gridCol w:w="1870"/>
        <w:gridCol w:w="1871"/>
      </w:tblGrid>
      <w:tr w:rsidR="00312FFB" w:rsidRPr="002A5F1E" w14:paraId="6585707A" w14:textId="77777777" w:rsidTr="00312FFB">
        <w:trPr>
          <w:trHeight w:val="144"/>
          <w:tblHeader/>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672CC91D" w14:textId="77777777" w:rsidR="00312FFB" w:rsidRPr="002C2D46" w:rsidRDefault="00312FFB" w:rsidP="00312FFB">
            <w:pPr>
              <w:spacing w:before="0" w:after="0"/>
              <w:rPr>
                <w:b/>
                <w:sz w:val="20"/>
                <w:szCs w:val="20"/>
              </w:rPr>
            </w:pPr>
            <w:r w:rsidRPr="002C2D46">
              <w:rPr>
                <w:b/>
                <w:sz w:val="20"/>
                <w:szCs w:val="20"/>
              </w:rPr>
              <w:t>Climate Zone</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3C2C4F34" w14:textId="77777777" w:rsidR="00312FFB" w:rsidRPr="002C2D46" w:rsidRDefault="00312FFB" w:rsidP="00312FFB">
            <w:pPr>
              <w:spacing w:before="0" w:after="0"/>
              <w:rPr>
                <w:b/>
                <w:bCs/>
                <w:sz w:val="20"/>
                <w:szCs w:val="20"/>
              </w:rPr>
            </w:pPr>
            <w:r w:rsidRPr="002C2D46">
              <w:rPr>
                <w:b/>
                <w:bCs/>
                <w:sz w:val="20"/>
                <w:szCs w:val="20"/>
              </w:rPr>
              <w:t>Adjustment Factor - Double-wide Mobile Home</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vAlign w:val="bottom"/>
            <w:hideMark/>
          </w:tcPr>
          <w:p w14:paraId="0AE7466D" w14:textId="77777777" w:rsidR="00312FFB" w:rsidRPr="002C2D46" w:rsidRDefault="00312FFB" w:rsidP="00312FFB">
            <w:pPr>
              <w:spacing w:before="0" w:after="0"/>
              <w:rPr>
                <w:b/>
                <w:bCs/>
                <w:sz w:val="20"/>
                <w:szCs w:val="20"/>
              </w:rPr>
            </w:pPr>
            <w:r w:rsidRPr="002C2D46">
              <w:rPr>
                <w:b/>
                <w:bCs/>
                <w:sz w:val="20"/>
                <w:szCs w:val="20"/>
              </w:rPr>
              <w:t>Adjustment Factor - Multifamily</w:t>
            </w:r>
          </w:p>
        </w:tc>
      </w:tr>
      <w:tr w:rsidR="00312FFB" w:rsidRPr="002A5F1E" w14:paraId="21C921BD"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B38F0F4" w14:textId="77777777" w:rsidR="00312FFB" w:rsidRPr="002C2D46" w:rsidRDefault="00312FFB" w:rsidP="00312FFB">
            <w:pPr>
              <w:spacing w:before="0" w:after="0"/>
              <w:rPr>
                <w:sz w:val="20"/>
                <w:szCs w:val="20"/>
              </w:rPr>
            </w:pPr>
            <w:r w:rsidRPr="002C2D46">
              <w:rPr>
                <w:sz w:val="20"/>
                <w:szCs w:val="20"/>
              </w:rPr>
              <w:t>CZ01</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280AB69" w14:textId="77777777" w:rsidR="00312FFB" w:rsidRPr="002C2D46" w:rsidRDefault="00312FFB" w:rsidP="00312FFB">
            <w:pPr>
              <w:spacing w:before="0" w:after="0"/>
              <w:rPr>
                <w:sz w:val="20"/>
                <w:szCs w:val="20"/>
              </w:rPr>
            </w:pPr>
            <w:r w:rsidRPr="002C2D46">
              <w:rPr>
                <w:sz w:val="20"/>
                <w:szCs w:val="20"/>
              </w:rPr>
              <w:t>0.46</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7D3CD520" w14:textId="77777777" w:rsidR="00312FFB" w:rsidRPr="002C2D46" w:rsidRDefault="00312FFB" w:rsidP="00312FFB">
            <w:pPr>
              <w:spacing w:before="0" w:after="0"/>
              <w:rPr>
                <w:sz w:val="20"/>
                <w:szCs w:val="20"/>
              </w:rPr>
            </w:pPr>
            <w:r w:rsidRPr="002C2D46">
              <w:rPr>
                <w:sz w:val="20"/>
                <w:szCs w:val="20"/>
              </w:rPr>
              <w:t>0.96</w:t>
            </w:r>
          </w:p>
        </w:tc>
      </w:tr>
      <w:tr w:rsidR="00312FFB" w:rsidRPr="002A5F1E" w14:paraId="396B015E"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C2025E7" w14:textId="77777777" w:rsidR="00312FFB" w:rsidRPr="002C2D46" w:rsidRDefault="00312FFB" w:rsidP="00312FFB">
            <w:pPr>
              <w:spacing w:before="0" w:after="0"/>
              <w:rPr>
                <w:sz w:val="20"/>
                <w:szCs w:val="20"/>
              </w:rPr>
            </w:pPr>
            <w:r w:rsidRPr="002C2D46">
              <w:rPr>
                <w:sz w:val="20"/>
                <w:szCs w:val="20"/>
              </w:rPr>
              <w:t>CZ02</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85AEB61" w14:textId="77777777" w:rsidR="00312FFB" w:rsidRPr="002C2D46" w:rsidRDefault="00312FFB" w:rsidP="00312FFB">
            <w:pPr>
              <w:spacing w:before="0" w:after="0"/>
              <w:rPr>
                <w:sz w:val="20"/>
                <w:szCs w:val="20"/>
              </w:rPr>
            </w:pPr>
            <w:r w:rsidRPr="002C2D46">
              <w:rPr>
                <w:sz w:val="20"/>
                <w:szCs w:val="20"/>
              </w:rPr>
              <w:t>0.86</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304C7A0" w14:textId="77777777" w:rsidR="00312FFB" w:rsidRPr="002C2D46" w:rsidRDefault="00312FFB" w:rsidP="00312FFB">
            <w:pPr>
              <w:spacing w:before="0" w:after="0"/>
              <w:rPr>
                <w:sz w:val="20"/>
                <w:szCs w:val="20"/>
              </w:rPr>
            </w:pPr>
            <w:r w:rsidRPr="002C2D46">
              <w:rPr>
                <w:sz w:val="20"/>
                <w:szCs w:val="20"/>
              </w:rPr>
              <w:t>0.79</w:t>
            </w:r>
          </w:p>
        </w:tc>
      </w:tr>
      <w:tr w:rsidR="00312FFB" w:rsidRPr="002A5F1E" w14:paraId="6271A898"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9204E7C" w14:textId="77777777" w:rsidR="00312FFB" w:rsidRPr="002C2D46" w:rsidRDefault="00312FFB" w:rsidP="00312FFB">
            <w:pPr>
              <w:spacing w:before="0" w:after="0"/>
              <w:rPr>
                <w:sz w:val="20"/>
                <w:szCs w:val="20"/>
              </w:rPr>
            </w:pPr>
            <w:r w:rsidRPr="002C2D46">
              <w:rPr>
                <w:sz w:val="20"/>
                <w:szCs w:val="20"/>
              </w:rPr>
              <w:t>CZ03</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76FD4FF" w14:textId="77777777" w:rsidR="00312FFB" w:rsidRPr="002C2D46" w:rsidRDefault="00312FFB" w:rsidP="00312FFB">
            <w:pPr>
              <w:spacing w:before="0" w:after="0"/>
              <w:rPr>
                <w:sz w:val="20"/>
                <w:szCs w:val="20"/>
              </w:rPr>
            </w:pPr>
            <w:r w:rsidRPr="002C2D46">
              <w:rPr>
                <w:sz w:val="20"/>
                <w:szCs w:val="20"/>
              </w:rPr>
              <w:t>0.87</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84B0E55" w14:textId="77777777" w:rsidR="00312FFB" w:rsidRPr="002C2D46" w:rsidRDefault="00312FFB" w:rsidP="00312FFB">
            <w:pPr>
              <w:spacing w:before="0" w:after="0"/>
              <w:rPr>
                <w:sz w:val="20"/>
                <w:szCs w:val="20"/>
              </w:rPr>
            </w:pPr>
            <w:r w:rsidRPr="002C2D46">
              <w:rPr>
                <w:sz w:val="20"/>
                <w:szCs w:val="20"/>
              </w:rPr>
              <w:t>0.72</w:t>
            </w:r>
          </w:p>
        </w:tc>
      </w:tr>
      <w:tr w:rsidR="00312FFB" w:rsidRPr="002A5F1E" w14:paraId="021213A0"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D5DC7A1" w14:textId="77777777" w:rsidR="00312FFB" w:rsidRPr="002C2D46" w:rsidRDefault="00312FFB" w:rsidP="00312FFB">
            <w:pPr>
              <w:spacing w:before="0" w:after="0"/>
              <w:rPr>
                <w:sz w:val="20"/>
                <w:szCs w:val="20"/>
              </w:rPr>
            </w:pPr>
            <w:r w:rsidRPr="002C2D46">
              <w:rPr>
                <w:sz w:val="20"/>
                <w:szCs w:val="20"/>
              </w:rPr>
              <w:lastRenderedPageBreak/>
              <w:t>CZ04</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1C0415B" w14:textId="77777777" w:rsidR="00312FFB" w:rsidRPr="002C2D46" w:rsidRDefault="00312FFB" w:rsidP="00312FFB">
            <w:pPr>
              <w:spacing w:before="0" w:after="0"/>
              <w:rPr>
                <w:sz w:val="20"/>
                <w:szCs w:val="20"/>
              </w:rPr>
            </w:pPr>
            <w:r w:rsidRPr="002C2D46">
              <w:rPr>
                <w:sz w:val="20"/>
                <w:szCs w:val="20"/>
              </w:rPr>
              <w:t>0.88</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798200A" w14:textId="77777777" w:rsidR="00312FFB" w:rsidRPr="002C2D46" w:rsidRDefault="00312FFB" w:rsidP="00312FFB">
            <w:pPr>
              <w:spacing w:before="0" w:after="0"/>
              <w:rPr>
                <w:sz w:val="20"/>
                <w:szCs w:val="20"/>
              </w:rPr>
            </w:pPr>
            <w:r w:rsidRPr="002C2D46">
              <w:rPr>
                <w:sz w:val="20"/>
                <w:szCs w:val="20"/>
              </w:rPr>
              <w:t>0.95</w:t>
            </w:r>
          </w:p>
        </w:tc>
      </w:tr>
      <w:tr w:rsidR="00312FFB" w:rsidRPr="002A5F1E" w14:paraId="5CB86195"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A879B7F" w14:textId="77777777" w:rsidR="00312FFB" w:rsidRPr="002C2D46" w:rsidRDefault="00312FFB" w:rsidP="00312FFB">
            <w:pPr>
              <w:spacing w:before="0" w:after="0"/>
              <w:rPr>
                <w:sz w:val="20"/>
                <w:szCs w:val="20"/>
              </w:rPr>
            </w:pPr>
            <w:r w:rsidRPr="002C2D46">
              <w:rPr>
                <w:sz w:val="20"/>
                <w:szCs w:val="20"/>
              </w:rPr>
              <w:t>CZ05</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F651DBA" w14:textId="77777777" w:rsidR="00312FFB" w:rsidRPr="002C2D46" w:rsidRDefault="00312FFB" w:rsidP="00312FFB">
            <w:pPr>
              <w:spacing w:before="0" w:after="0"/>
              <w:rPr>
                <w:sz w:val="20"/>
                <w:szCs w:val="20"/>
              </w:rPr>
            </w:pPr>
            <w:r w:rsidRPr="002C2D46">
              <w:rPr>
                <w:sz w:val="20"/>
                <w:szCs w:val="20"/>
              </w:rPr>
              <w:t>0.94</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53210B9" w14:textId="77777777" w:rsidR="00312FFB" w:rsidRPr="002C2D46" w:rsidRDefault="00312FFB" w:rsidP="00312FFB">
            <w:pPr>
              <w:spacing w:before="0" w:after="0"/>
              <w:rPr>
                <w:sz w:val="20"/>
                <w:szCs w:val="20"/>
              </w:rPr>
            </w:pPr>
            <w:r w:rsidRPr="002C2D46">
              <w:rPr>
                <w:sz w:val="20"/>
                <w:szCs w:val="20"/>
              </w:rPr>
              <w:t>0.57</w:t>
            </w:r>
          </w:p>
        </w:tc>
      </w:tr>
      <w:tr w:rsidR="00312FFB" w:rsidRPr="002A5F1E" w14:paraId="4019CCD2"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884878E" w14:textId="77777777" w:rsidR="00312FFB" w:rsidRPr="002C2D46" w:rsidRDefault="00312FFB" w:rsidP="00312FFB">
            <w:pPr>
              <w:spacing w:before="0" w:after="0"/>
              <w:rPr>
                <w:sz w:val="20"/>
                <w:szCs w:val="20"/>
              </w:rPr>
            </w:pPr>
            <w:r w:rsidRPr="002C2D46">
              <w:rPr>
                <w:sz w:val="20"/>
                <w:szCs w:val="20"/>
              </w:rPr>
              <w:t>CZ06</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7F511C76" w14:textId="77777777" w:rsidR="00312FFB" w:rsidRPr="002C2D46" w:rsidRDefault="00312FFB" w:rsidP="00312FFB">
            <w:pPr>
              <w:spacing w:before="0" w:after="0"/>
              <w:rPr>
                <w:sz w:val="20"/>
                <w:szCs w:val="20"/>
              </w:rPr>
            </w:pPr>
            <w:r w:rsidRPr="002C2D46">
              <w:rPr>
                <w:sz w:val="20"/>
                <w:szCs w:val="20"/>
              </w:rPr>
              <w:t>1.40</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5BDDED0" w14:textId="77777777" w:rsidR="00312FFB" w:rsidRPr="002C2D46" w:rsidRDefault="00312FFB" w:rsidP="00312FFB">
            <w:pPr>
              <w:spacing w:before="0" w:after="0"/>
              <w:rPr>
                <w:sz w:val="20"/>
                <w:szCs w:val="20"/>
              </w:rPr>
            </w:pPr>
            <w:r w:rsidRPr="002C2D46">
              <w:rPr>
                <w:sz w:val="20"/>
                <w:szCs w:val="20"/>
              </w:rPr>
              <w:t>0.85</w:t>
            </w:r>
          </w:p>
        </w:tc>
      </w:tr>
      <w:tr w:rsidR="00312FFB" w:rsidRPr="002A5F1E" w14:paraId="1DD6E55D"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8D36669" w14:textId="77777777" w:rsidR="00312FFB" w:rsidRPr="002C2D46" w:rsidRDefault="00312FFB" w:rsidP="00312FFB">
            <w:pPr>
              <w:spacing w:before="0" w:after="0"/>
              <w:rPr>
                <w:sz w:val="20"/>
                <w:szCs w:val="20"/>
              </w:rPr>
            </w:pPr>
            <w:r w:rsidRPr="002C2D46">
              <w:rPr>
                <w:sz w:val="20"/>
                <w:szCs w:val="20"/>
              </w:rPr>
              <w:t>CZ07</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10CA6FC" w14:textId="77777777" w:rsidR="00312FFB" w:rsidRPr="002C2D46" w:rsidRDefault="00312FFB" w:rsidP="00312FFB">
            <w:pPr>
              <w:spacing w:before="0" w:after="0"/>
              <w:rPr>
                <w:sz w:val="20"/>
                <w:szCs w:val="20"/>
              </w:rPr>
            </w:pPr>
            <w:r w:rsidRPr="002C2D46">
              <w:rPr>
                <w:sz w:val="20"/>
                <w:szCs w:val="20"/>
              </w:rPr>
              <w:t>0.74</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7D6EC70B" w14:textId="77777777" w:rsidR="00312FFB" w:rsidRPr="002C2D46" w:rsidRDefault="00312FFB" w:rsidP="00312FFB">
            <w:pPr>
              <w:spacing w:before="0" w:after="0"/>
              <w:rPr>
                <w:sz w:val="20"/>
                <w:szCs w:val="20"/>
              </w:rPr>
            </w:pPr>
            <w:r w:rsidRPr="002C2D46">
              <w:rPr>
                <w:sz w:val="20"/>
                <w:szCs w:val="20"/>
              </w:rPr>
              <w:t>1.02</w:t>
            </w:r>
          </w:p>
        </w:tc>
      </w:tr>
      <w:tr w:rsidR="00312FFB" w:rsidRPr="002A5F1E" w14:paraId="6BC2223C"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829D7B5" w14:textId="77777777" w:rsidR="00312FFB" w:rsidRPr="002C2D46" w:rsidRDefault="00312FFB" w:rsidP="00312FFB">
            <w:pPr>
              <w:spacing w:before="0" w:after="0"/>
              <w:rPr>
                <w:sz w:val="20"/>
                <w:szCs w:val="20"/>
              </w:rPr>
            </w:pPr>
            <w:r w:rsidRPr="002C2D46">
              <w:rPr>
                <w:sz w:val="20"/>
                <w:szCs w:val="20"/>
              </w:rPr>
              <w:t>CZ08</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8451A10" w14:textId="77777777" w:rsidR="00312FFB" w:rsidRPr="002C2D46" w:rsidRDefault="00312FFB" w:rsidP="00312FFB">
            <w:pPr>
              <w:spacing w:before="0" w:after="0"/>
              <w:rPr>
                <w:sz w:val="20"/>
                <w:szCs w:val="20"/>
              </w:rPr>
            </w:pPr>
            <w:r w:rsidRPr="002C2D46">
              <w:rPr>
                <w:sz w:val="20"/>
                <w:szCs w:val="20"/>
              </w:rPr>
              <w:t>0.97</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E05B373" w14:textId="77777777" w:rsidR="00312FFB" w:rsidRPr="002C2D46" w:rsidRDefault="00312FFB" w:rsidP="00312FFB">
            <w:pPr>
              <w:spacing w:before="0" w:after="0"/>
              <w:rPr>
                <w:sz w:val="20"/>
                <w:szCs w:val="20"/>
              </w:rPr>
            </w:pPr>
            <w:r w:rsidRPr="002C2D46">
              <w:rPr>
                <w:sz w:val="20"/>
                <w:szCs w:val="20"/>
              </w:rPr>
              <w:t>0.84</w:t>
            </w:r>
          </w:p>
        </w:tc>
      </w:tr>
      <w:tr w:rsidR="00312FFB" w:rsidRPr="002A5F1E" w14:paraId="4C0F60CF"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1A84186" w14:textId="77777777" w:rsidR="00312FFB" w:rsidRPr="002C2D46" w:rsidRDefault="00312FFB" w:rsidP="00312FFB">
            <w:pPr>
              <w:spacing w:before="0" w:after="0"/>
              <w:rPr>
                <w:sz w:val="20"/>
                <w:szCs w:val="20"/>
              </w:rPr>
            </w:pPr>
            <w:r w:rsidRPr="002C2D46">
              <w:rPr>
                <w:sz w:val="20"/>
                <w:szCs w:val="20"/>
              </w:rPr>
              <w:t>CZ09</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7EE6708A" w14:textId="77777777" w:rsidR="00312FFB" w:rsidRPr="002C2D46" w:rsidRDefault="00312FFB" w:rsidP="00312FFB">
            <w:pPr>
              <w:spacing w:before="0" w:after="0"/>
              <w:rPr>
                <w:sz w:val="20"/>
                <w:szCs w:val="20"/>
              </w:rPr>
            </w:pPr>
            <w:r w:rsidRPr="002C2D46">
              <w:rPr>
                <w:sz w:val="20"/>
                <w:szCs w:val="20"/>
              </w:rPr>
              <w:t>0.97</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9786D8B" w14:textId="77777777" w:rsidR="00312FFB" w:rsidRPr="002C2D46" w:rsidRDefault="00312FFB" w:rsidP="00312FFB">
            <w:pPr>
              <w:spacing w:before="0" w:after="0"/>
              <w:rPr>
                <w:sz w:val="20"/>
                <w:szCs w:val="20"/>
              </w:rPr>
            </w:pPr>
            <w:r w:rsidRPr="002C2D46">
              <w:rPr>
                <w:sz w:val="20"/>
                <w:szCs w:val="20"/>
              </w:rPr>
              <w:t>0.98</w:t>
            </w:r>
          </w:p>
        </w:tc>
      </w:tr>
      <w:tr w:rsidR="00312FFB" w:rsidRPr="002A5F1E" w14:paraId="51DF2F5E"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501D3F2" w14:textId="77777777" w:rsidR="00312FFB" w:rsidRPr="002C2D46" w:rsidRDefault="00312FFB" w:rsidP="00312FFB">
            <w:pPr>
              <w:spacing w:before="0" w:after="0"/>
              <w:rPr>
                <w:sz w:val="20"/>
                <w:szCs w:val="20"/>
              </w:rPr>
            </w:pPr>
            <w:r w:rsidRPr="002C2D46">
              <w:rPr>
                <w:sz w:val="20"/>
                <w:szCs w:val="20"/>
              </w:rPr>
              <w:t>CZ10</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22CB039" w14:textId="77777777" w:rsidR="00312FFB" w:rsidRPr="002C2D46" w:rsidRDefault="00312FFB" w:rsidP="00312FFB">
            <w:pPr>
              <w:spacing w:before="0" w:after="0"/>
              <w:rPr>
                <w:sz w:val="20"/>
                <w:szCs w:val="20"/>
              </w:rPr>
            </w:pPr>
            <w:r w:rsidRPr="002C2D46">
              <w:rPr>
                <w:sz w:val="20"/>
                <w:szCs w:val="20"/>
              </w:rPr>
              <w:t>1.06</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77715538" w14:textId="77777777" w:rsidR="00312FFB" w:rsidRPr="002C2D46" w:rsidRDefault="00312FFB" w:rsidP="00312FFB">
            <w:pPr>
              <w:spacing w:before="0" w:after="0"/>
              <w:rPr>
                <w:sz w:val="20"/>
                <w:szCs w:val="20"/>
              </w:rPr>
            </w:pPr>
            <w:r w:rsidRPr="002C2D46">
              <w:rPr>
                <w:sz w:val="20"/>
                <w:szCs w:val="20"/>
              </w:rPr>
              <w:t>0.72</w:t>
            </w:r>
          </w:p>
        </w:tc>
      </w:tr>
      <w:tr w:rsidR="00312FFB" w:rsidRPr="002A5F1E" w14:paraId="3D7074B7"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7A2903E2" w14:textId="77777777" w:rsidR="00312FFB" w:rsidRPr="002C2D46" w:rsidRDefault="00312FFB" w:rsidP="00312FFB">
            <w:pPr>
              <w:spacing w:before="0" w:after="0"/>
              <w:rPr>
                <w:sz w:val="20"/>
                <w:szCs w:val="20"/>
              </w:rPr>
            </w:pPr>
            <w:r w:rsidRPr="002C2D46">
              <w:rPr>
                <w:sz w:val="20"/>
                <w:szCs w:val="20"/>
              </w:rPr>
              <w:t>CZ11</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286F408" w14:textId="77777777" w:rsidR="00312FFB" w:rsidRPr="002C2D46" w:rsidRDefault="00312FFB" w:rsidP="00312FFB">
            <w:pPr>
              <w:spacing w:before="0" w:after="0"/>
              <w:rPr>
                <w:sz w:val="20"/>
                <w:szCs w:val="20"/>
              </w:rPr>
            </w:pPr>
            <w:r w:rsidRPr="002C2D46">
              <w:rPr>
                <w:sz w:val="20"/>
                <w:szCs w:val="20"/>
              </w:rPr>
              <w:t>1.31</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E4CA55B" w14:textId="77777777" w:rsidR="00312FFB" w:rsidRPr="002C2D46" w:rsidRDefault="00312FFB" w:rsidP="00312FFB">
            <w:pPr>
              <w:spacing w:before="0" w:after="0"/>
              <w:rPr>
                <w:sz w:val="20"/>
                <w:szCs w:val="20"/>
              </w:rPr>
            </w:pPr>
            <w:r w:rsidRPr="002C2D46">
              <w:rPr>
                <w:sz w:val="20"/>
                <w:szCs w:val="20"/>
              </w:rPr>
              <w:t>1.53</w:t>
            </w:r>
          </w:p>
        </w:tc>
      </w:tr>
      <w:tr w:rsidR="00312FFB" w:rsidRPr="002A5F1E" w14:paraId="2042200D"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1E3A7676" w14:textId="77777777" w:rsidR="00312FFB" w:rsidRPr="002C2D46" w:rsidRDefault="00312FFB" w:rsidP="00312FFB">
            <w:pPr>
              <w:spacing w:before="0" w:after="0"/>
              <w:rPr>
                <w:sz w:val="20"/>
                <w:szCs w:val="20"/>
              </w:rPr>
            </w:pPr>
            <w:r w:rsidRPr="002C2D46">
              <w:rPr>
                <w:sz w:val="20"/>
                <w:szCs w:val="20"/>
              </w:rPr>
              <w:t>CZ12</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3DF4883" w14:textId="77777777" w:rsidR="00312FFB" w:rsidRPr="002C2D46" w:rsidRDefault="00312FFB" w:rsidP="00312FFB">
            <w:pPr>
              <w:spacing w:before="0" w:after="0"/>
              <w:rPr>
                <w:sz w:val="20"/>
                <w:szCs w:val="20"/>
              </w:rPr>
            </w:pPr>
            <w:r w:rsidRPr="002C2D46">
              <w:rPr>
                <w:sz w:val="20"/>
                <w:szCs w:val="20"/>
              </w:rPr>
              <w:t>1.25</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7ED938B" w14:textId="77777777" w:rsidR="00312FFB" w:rsidRPr="002C2D46" w:rsidRDefault="00312FFB" w:rsidP="00312FFB">
            <w:pPr>
              <w:spacing w:before="0" w:after="0"/>
              <w:rPr>
                <w:sz w:val="20"/>
                <w:szCs w:val="20"/>
              </w:rPr>
            </w:pPr>
            <w:r w:rsidRPr="002C2D46">
              <w:rPr>
                <w:sz w:val="20"/>
                <w:szCs w:val="20"/>
              </w:rPr>
              <w:t>1.31</w:t>
            </w:r>
          </w:p>
        </w:tc>
      </w:tr>
      <w:tr w:rsidR="00312FFB" w:rsidRPr="002A5F1E" w14:paraId="2675A1AD"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3D4636C" w14:textId="77777777" w:rsidR="00312FFB" w:rsidRPr="002C2D46" w:rsidRDefault="00312FFB" w:rsidP="00312FFB">
            <w:pPr>
              <w:spacing w:before="0" w:after="0"/>
              <w:rPr>
                <w:sz w:val="20"/>
                <w:szCs w:val="20"/>
              </w:rPr>
            </w:pPr>
            <w:r w:rsidRPr="002C2D46">
              <w:rPr>
                <w:sz w:val="20"/>
                <w:szCs w:val="20"/>
              </w:rPr>
              <w:t>CZ13</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5F6F1C4" w14:textId="77777777" w:rsidR="00312FFB" w:rsidRPr="002C2D46" w:rsidRDefault="00312FFB" w:rsidP="00312FFB">
            <w:pPr>
              <w:spacing w:before="0" w:after="0"/>
              <w:rPr>
                <w:sz w:val="20"/>
                <w:szCs w:val="20"/>
              </w:rPr>
            </w:pPr>
            <w:r w:rsidRPr="002C2D46">
              <w:rPr>
                <w:sz w:val="20"/>
                <w:szCs w:val="20"/>
              </w:rPr>
              <w:t>1.13</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DA5A347" w14:textId="77777777" w:rsidR="00312FFB" w:rsidRPr="002C2D46" w:rsidRDefault="00312FFB" w:rsidP="00312FFB">
            <w:pPr>
              <w:spacing w:before="0" w:after="0"/>
              <w:rPr>
                <w:sz w:val="20"/>
                <w:szCs w:val="20"/>
              </w:rPr>
            </w:pPr>
            <w:r w:rsidRPr="002C2D46">
              <w:rPr>
                <w:sz w:val="20"/>
                <w:szCs w:val="20"/>
              </w:rPr>
              <w:t>1.29</w:t>
            </w:r>
          </w:p>
        </w:tc>
      </w:tr>
      <w:tr w:rsidR="00312FFB" w:rsidRPr="002A5F1E" w14:paraId="6A651C99"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09C83D3F" w14:textId="77777777" w:rsidR="00312FFB" w:rsidRPr="002C2D46" w:rsidRDefault="00312FFB" w:rsidP="00312FFB">
            <w:pPr>
              <w:spacing w:before="0" w:after="0"/>
              <w:rPr>
                <w:sz w:val="20"/>
                <w:szCs w:val="20"/>
              </w:rPr>
            </w:pPr>
            <w:r w:rsidRPr="002C2D46">
              <w:rPr>
                <w:sz w:val="20"/>
                <w:szCs w:val="20"/>
              </w:rPr>
              <w:t>CZ14</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1E253BB" w14:textId="77777777" w:rsidR="00312FFB" w:rsidRPr="002C2D46" w:rsidRDefault="00312FFB" w:rsidP="00312FFB">
            <w:pPr>
              <w:spacing w:before="0" w:after="0"/>
              <w:rPr>
                <w:sz w:val="20"/>
                <w:szCs w:val="20"/>
              </w:rPr>
            </w:pPr>
            <w:r w:rsidRPr="002C2D46">
              <w:rPr>
                <w:sz w:val="20"/>
                <w:szCs w:val="20"/>
              </w:rPr>
              <w:t>0.77</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2B30F77" w14:textId="77777777" w:rsidR="00312FFB" w:rsidRPr="002C2D46" w:rsidRDefault="00312FFB" w:rsidP="00312FFB">
            <w:pPr>
              <w:spacing w:before="0" w:after="0"/>
              <w:rPr>
                <w:sz w:val="20"/>
                <w:szCs w:val="20"/>
              </w:rPr>
            </w:pPr>
            <w:r w:rsidRPr="002C2D46">
              <w:rPr>
                <w:sz w:val="20"/>
                <w:szCs w:val="20"/>
              </w:rPr>
              <w:t>1.18</w:t>
            </w:r>
          </w:p>
        </w:tc>
      </w:tr>
      <w:tr w:rsidR="00312FFB" w:rsidRPr="002A5F1E" w14:paraId="44FCF375"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40707A7" w14:textId="77777777" w:rsidR="00312FFB" w:rsidRPr="002C2D46" w:rsidRDefault="00312FFB" w:rsidP="00312FFB">
            <w:pPr>
              <w:spacing w:before="0" w:after="0"/>
              <w:rPr>
                <w:sz w:val="20"/>
                <w:szCs w:val="20"/>
              </w:rPr>
            </w:pPr>
            <w:r w:rsidRPr="002C2D46">
              <w:rPr>
                <w:sz w:val="20"/>
                <w:szCs w:val="20"/>
              </w:rPr>
              <w:t>CZ15</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5CBD64FD" w14:textId="77777777" w:rsidR="00312FFB" w:rsidRPr="002C2D46" w:rsidRDefault="00312FFB" w:rsidP="00312FFB">
            <w:pPr>
              <w:spacing w:before="0" w:after="0"/>
              <w:rPr>
                <w:sz w:val="20"/>
                <w:szCs w:val="20"/>
              </w:rPr>
            </w:pPr>
            <w:r w:rsidRPr="002C2D46">
              <w:rPr>
                <w:sz w:val="20"/>
                <w:szCs w:val="20"/>
              </w:rPr>
              <w:t>1.24</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68D81726" w14:textId="77777777" w:rsidR="00312FFB" w:rsidRPr="002C2D46" w:rsidRDefault="00312FFB" w:rsidP="00312FFB">
            <w:pPr>
              <w:spacing w:before="0" w:after="0"/>
              <w:rPr>
                <w:sz w:val="20"/>
                <w:szCs w:val="20"/>
              </w:rPr>
            </w:pPr>
            <w:r w:rsidRPr="002C2D46">
              <w:rPr>
                <w:sz w:val="20"/>
                <w:szCs w:val="20"/>
              </w:rPr>
              <w:t>1.23</w:t>
            </w:r>
          </w:p>
        </w:tc>
      </w:tr>
      <w:tr w:rsidR="00312FFB" w:rsidRPr="002A5F1E" w14:paraId="4028DA81" w14:textId="77777777" w:rsidTr="00312FFB">
        <w:trPr>
          <w:trHeight w:val="144"/>
        </w:trPr>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3714A380" w14:textId="77777777" w:rsidR="00312FFB" w:rsidRPr="002C2D46" w:rsidRDefault="00312FFB" w:rsidP="00312FFB">
            <w:pPr>
              <w:spacing w:before="0" w:after="0"/>
              <w:rPr>
                <w:sz w:val="20"/>
                <w:szCs w:val="20"/>
              </w:rPr>
            </w:pPr>
            <w:r w:rsidRPr="002C2D46">
              <w:rPr>
                <w:sz w:val="20"/>
                <w:szCs w:val="20"/>
              </w:rPr>
              <w:t>CZ16</w:t>
            </w:r>
          </w:p>
        </w:tc>
        <w:tc>
          <w:tcPr>
            <w:tcW w:w="176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2DD130BB" w14:textId="77777777" w:rsidR="00312FFB" w:rsidRPr="002C2D46" w:rsidRDefault="00312FFB" w:rsidP="00312FFB">
            <w:pPr>
              <w:spacing w:before="0" w:after="0"/>
              <w:rPr>
                <w:sz w:val="20"/>
                <w:szCs w:val="20"/>
              </w:rPr>
            </w:pPr>
            <w:r w:rsidRPr="002C2D46">
              <w:rPr>
                <w:sz w:val="20"/>
                <w:szCs w:val="20"/>
              </w:rPr>
              <w:t>1.89</w:t>
            </w:r>
          </w:p>
        </w:tc>
        <w:tc>
          <w:tcPr>
            <w:tcW w:w="176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hideMark/>
          </w:tcPr>
          <w:p w14:paraId="4D47377F" w14:textId="77777777" w:rsidR="00312FFB" w:rsidRPr="002C2D46" w:rsidRDefault="00312FFB" w:rsidP="00312FFB">
            <w:pPr>
              <w:spacing w:before="0" w:after="0"/>
              <w:rPr>
                <w:sz w:val="20"/>
                <w:szCs w:val="20"/>
              </w:rPr>
            </w:pPr>
            <w:r w:rsidRPr="002C2D46">
              <w:rPr>
                <w:sz w:val="20"/>
                <w:szCs w:val="20"/>
              </w:rPr>
              <w:t>1.53</w:t>
            </w:r>
          </w:p>
        </w:tc>
      </w:tr>
    </w:tbl>
    <w:p w14:paraId="71DE2E22" w14:textId="77777777" w:rsidR="002F3A65" w:rsidRDefault="002F3A65" w:rsidP="00352543">
      <w:pPr>
        <w:pStyle w:val="eTRMHeading3"/>
      </w:pPr>
      <w:bookmarkStart w:id="44" w:name="_Toc42244451"/>
    </w:p>
    <w:p w14:paraId="04F74919" w14:textId="638D2D92" w:rsidR="0030342A" w:rsidRPr="00203ECA" w:rsidRDefault="0030342A" w:rsidP="00352543">
      <w:pPr>
        <w:pStyle w:val="eTRMHeading3"/>
      </w:pPr>
      <w:r w:rsidRPr="00203ECA">
        <w:t>Peak Electric Demand Reduction (kW)</w:t>
      </w:r>
      <w:bookmarkEnd w:id="44"/>
      <w:r w:rsidR="0001009E">
        <w:t xml:space="preserve"> </w:t>
      </w:r>
    </w:p>
    <w:p w14:paraId="4132BF6A" w14:textId="330B54A3" w:rsidR="002F3A65" w:rsidRDefault="0030342A" w:rsidP="0030342A">
      <w:r w:rsidRPr="00207A97">
        <w:t>No peak demand reductions are</w:t>
      </w:r>
      <w:r>
        <w:t xml:space="preserve"> included within this workpaper</w:t>
      </w:r>
      <w:r w:rsidR="0001009E">
        <w:t xml:space="preserve"> (for any of the supported programs)</w:t>
      </w:r>
      <w:r>
        <w:t xml:space="preserve"> given that methodology </w:t>
      </w:r>
      <w:bookmarkStart w:id="45" w:name="_GoBack"/>
      <w:bookmarkEnd w:id="45"/>
      <w:r>
        <w:t xml:space="preserve">supporting evaluation of measure savings (including AMI data) is not “granular” enough to adequately support evaluation of peak demand savings. </w:t>
      </w:r>
    </w:p>
    <w:p w14:paraId="6C92C477" w14:textId="77777777" w:rsidR="002F3A65" w:rsidRDefault="002F3A65" w:rsidP="00352543">
      <w:pPr>
        <w:pStyle w:val="eTRMHeading3"/>
      </w:pPr>
      <w:bookmarkStart w:id="46" w:name="_Toc486490858"/>
      <w:bookmarkStart w:id="47" w:name="_Toc486580929"/>
      <w:bookmarkStart w:id="48" w:name="_Toc12621691"/>
    </w:p>
    <w:p w14:paraId="30B8AF0D" w14:textId="3698E628" w:rsidR="002F3A65" w:rsidRPr="006819B7" w:rsidRDefault="002F3A65" w:rsidP="00352543">
      <w:pPr>
        <w:pStyle w:val="eTRMHeading3"/>
      </w:pPr>
      <w:r w:rsidRPr="006819B7">
        <w:t>Gas Savings (Therms)</w:t>
      </w:r>
      <w:bookmarkEnd w:id="46"/>
      <w:bookmarkEnd w:id="47"/>
      <w:bookmarkEnd w:id="48"/>
      <w:r w:rsidR="00376B8C">
        <w:t xml:space="preserve"> - </w:t>
      </w:r>
      <w:r w:rsidR="009F2686" w:rsidRPr="006819B7">
        <w:t>Direct install</w:t>
      </w:r>
    </w:p>
    <w:p w14:paraId="38205B11" w14:textId="77777777" w:rsidR="002F3A65" w:rsidRPr="002F3A65" w:rsidRDefault="002F3A65" w:rsidP="002F3A65">
      <w:pPr>
        <w:rPr>
          <w:i/>
        </w:rPr>
      </w:pPr>
      <w:r w:rsidRPr="002F3A65">
        <w:rPr>
          <w:i/>
        </w:rPr>
        <w:t>HVAC Heating</w:t>
      </w:r>
    </w:p>
    <w:p w14:paraId="4C5270BE" w14:textId="1FD5302B" w:rsidR="002F3A65" w:rsidRPr="002F3A65" w:rsidRDefault="002F3A65" w:rsidP="002F3A65">
      <w:r w:rsidRPr="002F3A65">
        <w:t xml:space="preserve">Measure savings potential of gas heating previously </w:t>
      </w:r>
      <w:r w:rsidR="007C50BE">
        <w:t>evaluated</w:t>
      </w:r>
      <w:r w:rsidRPr="002F3A65">
        <w:t xml:space="preserve"> by Southern California Edison (SCE)</w:t>
      </w:r>
      <w:r w:rsidRPr="002F3A65">
        <w:rPr>
          <w:vertAlign w:val="superscript"/>
        </w:rPr>
        <w:footnoteReference w:id="19"/>
      </w:r>
      <w:r w:rsidRPr="002F3A65">
        <w:t xml:space="preserve"> </w:t>
      </w:r>
      <w:r w:rsidR="007C50BE">
        <w:t xml:space="preserve">(and included in previous approved version of the Workpaper – SWHC039 Revision 1) </w:t>
      </w:r>
      <w:r w:rsidRPr="002F3A65">
        <w:t>were adopted for this measure</w:t>
      </w:r>
      <w:r w:rsidR="007C50BE">
        <w:t xml:space="preserve">, </w:t>
      </w:r>
      <w:r w:rsidRPr="002F3A65">
        <w:t>until an additional gas impact evaluation</w:t>
      </w:r>
      <w:r w:rsidR="007C50BE">
        <w:t xml:space="preserve"> for Direct Install programs </w:t>
      </w:r>
      <w:r w:rsidRPr="002F3A65">
        <w:t xml:space="preserve">is conducted for revised savings potentials. </w:t>
      </w:r>
    </w:p>
    <w:p w14:paraId="24801AD9" w14:textId="550BAC1B" w:rsidR="002F3A65" w:rsidRDefault="002F3A65" w:rsidP="007C50BE">
      <w:r w:rsidRPr="002F3A65">
        <w:t>The energy impact analysis used a fixed-effects regression model and the heating setpoint data from SCT units collected by a manufacturer. The second baseline heating savings from this analysis for 16 climate zones in single-family building provided the basis for approximating gas savings potentials for multifamily and double-wide mobile homes.  The most currently available residential DEER prototypes with baseline heating consumption were utilized to calculate adjustment factors and derive gas impacts for the multifamily and double-wide mobile home building types.</w:t>
      </w:r>
    </w:p>
    <w:p w14:paraId="03F34CCF" w14:textId="77777777" w:rsidR="007C50BE" w:rsidRPr="002C2D46" w:rsidRDefault="007C50BE" w:rsidP="002C2D46"/>
    <w:p w14:paraId="54528A28" w14:textId="77777777" w:rsidR="00534C43" w:rsidRDefault="00534C43">
      <w:pPr>
        <w:spacing w:before="0" w:after="0" w:line="240" w:lineRule="auto"/>
        <w:rPr>
          <w:b/>
        </w:rPr>
      </w:pPr>
      <w:r>
        <w:rPr>
          <w:b/>
        </w:rPr>
        <w:br w:type="page"/>
      </w:r>
    </w:p>
    <w:p w14:paraId="7744CD3E" w14:textId="3C7E4CBC" w:rsidR="002F3A65" w:rsidRPr="002F3A65" w:rsidRDefault="002F3A65">
      <w:pPr>
        <w:rPr>
          <w:b/>
        </w:rPr>
      </w:pPr>
      <w:r>
        <w:rPr>
          <w:b/>
        </w:rPr>
        <w:lastRenderedPageBreak/>
        <w:t xml:space="preserve">Sample </w:t>
      </w:r>
      <w:r w:rsidRPr="002F3A65">
        <w:rPr>
          <w:b/>
        </w:rPr>
        <w:t>Adjustment Factors for Heating Savings using DEER Prototype Heating Consumptions (CZ09)</w:t>
      </w:r>
    </w:p>
    <w:tbl>
      <w:tblPr>
        <w:tblStyle w:val="TableGrid"/>
        <w:tblW w:w="89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411"/>
        <w:gridCol w:w="1561"/>
        <w:gridCol w:w="1561"/>
        <w:gridCol w:w="1561"/>
        <w:gridCol w:w="1419"/>
        <w:gridCol w:w="1419"/>
      </w:tblGrid>
      <w:tr w:rsidR="002F3A65" w:rsidRPr="007C50BE" w14:paraId="08845FE3" w14:textId="77777777" w:rsidTr="00922F84">
        <w:trPr>
          <w:trHeight w:val="20"/>
        </w:trPr>
        <w:tc>
          <w:tcPr>
            <w:tcW w:w="1411" w:type="dxa"/>
            <w:shd w:val="clear" w:color="auto" w:fill="F2F2F2" w:themeFill="background1" w:themeFillShade="F2"/>
            <w:vAlign w:val="bottom"/>
          </w:tcPr>
          <w:p w14:paraId="646B733B" w14:textId="77777777" w:rsidR="002F3A65" w:rsidRDefault="002F3A65" w:rsidP="007C50BE">
            <w:pPr>
              <w:spacing w:before="0" w:after="0"/>
              <w:rPr>
                <w:b/>
                <w:sz w:val="20"/>
                <w:szCs w:val="20"/>
              </w:rPr>
            </w:pPr>
            <w:r w:rsidRPr="002C2D46">
              <w:rPr>
                <w:b/>
                <w:sz w:val="20"/>
                <w:szCs w:val="20"/>
              </w:rPr>
              <w:t>Building Type</w:t>
            </w:r>
          </w:p>
          <w:p w14:paraId="2582C91F" w14:textId="27D65444" w:rsidR="007C50BE" w:rsidRPr="002C2D46" w:rsidRDefault="007C50BE" w:rsidP="002C2D46">
            <w:pPr>
              <w:spacing w:before="0" w:after="0"/>
              <w:rPr>
                <w:b/>
                <w:sz w:val="20"/>
                <w:szCs w:val="20"/>
              </w:rPr>
            </w:pPr>
          </w:p>
        </w:tc>
        <w:tc>
          <w:tcPr>
            <w:tcW w:w="1561" w:type="dxa"/>
            <w:shd w:val="clear" w:color="auto" w:fill="F2F2F2" w:themeFill="background1" w:themeFillShade="F2"/>
            <w:vAlign w:val="bottom"/>
          </w:tcPr>
          <w:p w14:paraId="256A7F02" w14:textId="77777777" w:rsidR="002F3A65" w:rsidRPr="002C2D46" w:rsidRDefault="002F3A65" w:rsidP="002C2D46">
            <w:pPr>
              <w:spacing w:before="0" w:after="0"/>
              <w:rPr>
                <w:b/>
                <w:sz w:val="20"/>
                <w:szCs w:val="20"/>
              </w:rPr>
            </w:pPr>
            <w:r w:rsidRPr="002C2D46">
              <w:rPr>
                <w:b/>
                <w:sz w:val="20"/>
                <w:szCs w:val="20"/>
              </w:rPr>
              <w:t>Annual Heating Energy</w:t>
            </w:r>
          </w:p>
          <w:p w14:paraId="019733EA" w14:textId="77777777" w:rsidR="002F3A65" w:rsidRPr="002C2D46" w:rsidRDefault="002F3A65" w:rsidP="002C2D46">
            <w:pPr>
              <w:spacing w:before="0" w:after="0"/>
              <w:rPr>
                <w:b/>
                <w:sz w:val="20"/>
                <w:szCs w:val="20"/>
              </w:rPr>
            </w:pPr>
            <w:r w:rsidRPr="002C2D46">
              <w:rPr>
                <w:b/>
                <w:sz w:val="20"/>
                <w:szCs w:val="20"/>
              </w:rPr>
              <w:t>(Btu x 10</w:t>
            </w:r>
            <w:r w:rsidRPr="002C2D46">
              <w:rPr>
                <w:b/>
                <w:sz w:val="20"/>
                <w:szCs w:val="20"/>
                <w:vertAlign w:val="superscript"/>
              </w:rPr>
              <w:t>6</w:t>
            </w:r>
            <w:r w:rsidRPr="002C2D46">
              <w:rPr>
                <w:b/>
                <w:sz w:val="20"/>
                <w:szCs w:val="20"/>
              </w:rPr>
              <w:t xml:space="preserve">) </w:t>
            </w:r>
            <w:r w:rsidRPr="002C2D46">
              <w:rPr>
                <w:b/>
                <w:sz w:val="20"/>
                <w:szCs w:val="20"/>
                <w:vertAlign w:val="superscript"/>
              </w:rPr>
              <w:t>a</w:t>
            </w:r>
          </w:p>
        </w:tc>
        <w:tc>
          <w:tcPr>
            <w:tcW w:w="1561" w:type="dxa"/>
            <w:shd w:val="clear" w:color="auto" w:fill="F2F2F2" w:themeFill="background1" w:themeFillShade="F2"/>
            <w:vAlign w:val="bottom"/>
          </w:tcPr>
          <w:p w14:paraId="20AF56BA" w14:textId="77777777" w:rsidR="002F3A65" w:rsidRPr="002C2D46" w:rsidRDefault="002F3A65" w:rsidP="002C2D46">
            <w:pPr>
              <w:spacing w:before="0" w:after="0"/>
              <w:rPr>
                <w:b/>
                <w:sz w:val="20"/>
                <w:szCs w:val="20"/>
              </w:rPr>
            </w:pPr>
            <w:r w:rsidRPr="002C2D46">
              <w:rPr>
                <w:b/>
                <w:sz w:val="20"/>
                <w:szCs w:val="20"/>
              </w:rPr>
              <w:t>Annual Heating Energy</w:t>
            </w:r>
          </w:p>
          <w:p w14:paraId="019ED253" w14:textId="77777777" w:rsidR="002F3A65" w:rsidRPr="002C2D46" w:rsidRDefault="002F3A65" w:rsidP="002C2D46">
            <w:pPr>
              <w:spacing w:before="0" w:after="0"/>
              <w:rPr>
                <w:b/>
                <w:sz w:val="20"/>
                <w:szCs w:val="20"/>
              </w:rPr>
            </w:pPr>
            <w:r w:rsidRPr="002C2D46">
              <w:rPr>
                <w:b/>
                <w:sz w:val="20"/>
                <w:szCs w:val="20"/>
              </w:rPr>
              <w:t>(Therms)</w:t>
            </w:r>
          </w:p>
        </w:tc>
        <w:tc>
          <w:tcPr>
            <w:tcW w:w="1561" w:type="dxa"/>
            <w:shd w:val="clear" w:color="auto" w:fill="F2F2F2" w:themeFill="background1" w:themeFillShade="F2"/>
            <w:vAlign w:val="bottom"/>
          </w:tcPr>
          <w:p w14:paraId="44F77456" w14:textId="77777777" w:rsidR="002F3A65" w:rsidRPr="002C2D46" w:rsidRDefault="002F3A65" w:rsidP="002C2D46">
            <w:pPr>
              <w:spacing w:before="0" w:after="0"/>
              <w:rPr>
                <w:b/>
                <w:sz w:val="20"/>
                <w:szCs w:val="20"/>
              </w:rPr>
            </w:pPr>
            <w:r w:rsidRPr="002C2D46">
              <w:rPr>
                <w:b/>
                <w:sz w:val="20"/>
                <w:szCs w:val="20"/>
              </w:rPr>
              <w:t>Annual Heating per System</w:t>
            </w:r>
          </w:p>
          <w:p w14:paraId="6436CF96" w14:textId="77777777" w:rsidR="002F3A65" w:rsidRPr="002C2D46" w:rsidRDefault="002F3A65" w:rsidP="002C2D46">
            <w:pPr>
              <w:spacing w:before="0" w:after="0"/>
              <w:rPr>
                <w:b/>
                <w:sz w:val="20"/>
                <w:szCs w:val="20"/>
              </w:rPr>
            </w:pPr>
            <w:r w:rsidRPr="002C2D46">
              <w:rPr>
                <w:b/>
                <w:sz w:val="20"/>
                <w:szCs w:val="20"/>
              </w:rPr>
              <w:t>(Therms)</w:t>
            </w:r>
          </w:p>
        </w:tc>
        <w:tc>
          <w:tcPr>
            <w:tcW w:w="1419" w:type="dxa"/>
            <w:shd w:val="clear" w:color="auto" w:fill="F2F2F2" w:themeFill="background1" w:themeFillShade="F2"/>
            <w:vAlign w:val="bottom"/>
          </w:tcPr>
          <w:p w14:paraId="25C68E00" w14:textId="77777777" w:rsidR="002F3A65" w:rsidRPr="002C2D46" w:rsidRDefault="002F3A65" w:rsidP="002C2D46">
            <w:pPr>
              <w:spacing w:before="0" w:after="0"/>
              <w:rPr>
                <w:b/>
                <w:sz w:val="20"/>
                <w:szCs w:val="20"/>
              </w:rPr>
            </w:pPr>
            <w:r w:rsidRPr="002C2D46">
              <w:rPr>
                <w:b/>
                <w:sz w:val="20"/>
                <w:szCs w:val="20"/>
              </w:rPr>
              <w:t>Adjustment Factor</w:t>
            </w:r>
          </w:p>
        </w:tc>
        <w:tc>
          <w:tcPr>
            <w:tcW w:w="1419" w:type="dxa"/>
            <w:shd w:val="clear" w:color="auto" w:fill="F2F2F2" w:themeFill="background1" w:themeFillShade="F2"/>
            <w:vAlign w:val="bottom"/>
          </w:tcPr>
          <w:p w14:paraId="4D426E0A" w14:textId="77777777" w:rsidR="002F3A65" w:rsidRPr="002C2D46" w:rsidRDefault="002F3A65" w:rsidP="002C2D46">
            <w:pPr>
              <w:spacing w:before="0" w:after="0"/>
              <w:rPr>
                <w:b/>
                <w:sz w:val="20"/>
                <w:szCs w:val="20"/>
              </w:rPr>
            </w:pPr>
            <w:r w:rsidRPr="002C2D46">
              <w:rPr>
                <w:b/>
                <w:sz w:val="20"/>
                <w:szCs w:val="20"/>
              </w:rPr>
              <w:t>Savings Contribution</w:t>
            </w:r>
          </w:p>
        </w:tc>
      </w:tr>
      <w:tr w:rsidR="002F3A65" w:rsidRPr="007C50BE" w14:paraId="353CD75D" w14:textId="77777777" w:rsidTr="00922F84">
        <w:trPr>
          <w:trHeight w:val="20"/>
        </w:trPr>
        <w:tc>
          <w:tcPr>
            <w:tcW w:w="1411" w:type="dxa"/>
            <w:vAlign w:val="center"/>
          </w:tcPr>
          <w:p w14:paraId="595F2A4E" w14:textId="77777777" w:rsidR="002F3A65" w:rsidRPr="002C2D46" w:rsidRDefault="002F3A65" w:rsidP="002C2D46">
            <w:pPr>
              <w:spacing w:before="0" w:after="0"/>
              <w:rPr>
                <w:sz w:val="20"/>
                <w:szCs w:val="20"/>
              </w:rPr>
            </w:pPr>
            <w:r w:rsidRPr="002C2D46">
              <w:rPr>
                <w:sz w:val="20"/>
                <w:szCs w:val="20"/>
              </w:rPr>
              <w:t>Single family</w:t>
            </w:r>
          </w:p>
        </w:tc>
        <w:tc>
          <w:tcPr>
            <w:tcW w:w="1561" w:type="dxa"/>
            <w:vAlign w:val="center"/>
          </w:tcPr>
          <w:p w14:paraId="32E6DDEF" w14:textId="77777777" w:rsidR="002F3A65" w:rsidRPr="002C2D46" w:rsidRDefault="002F3A65" w:rsidP="002C2D46">
            <w:pPr>
              <w:spacing w:before="0" w:after="0"/>
              <w:rPr>
                <w:sz w:val="20"/>
                <w:szCs w:val="20"/>
              </w:rPr>
            </w:pPr>
            <w:r w:rsidRPr="002C2D46">
              <w:rPr>
                <w:sz w:val="20"/>
                <w:szCs w:val="20"/>
              </w:rPr>
              <w:t>49.4</w:t>
            </w:r>
          </w:p>
        </w:tc>
        <w:tc>
          <w:tcPr>
            <w:tcW w:w="1561" w:type="dxa"/>
            <w:vAlign w:val="center"/>
          </w:tcPr>
          <w:p w14:paraId="5DDCED5E" w14:textId="77777777" w:rsidR="002F3A65" w:rsidRPr="002C2D46" w:rsidRDefault="002F3A65" w:rsidP="002C2D46">
            <w:pPr>
              <w:spacing w:before="0" w:after="0"/>
              <w:rPr>
                <w:sz w:val="20"/>
                <w:szCs w:val="20"/>
              </w:rPr>
            </w:pPr>
            <w:r w:rsidRPr="002C2D46">
              <w:rPr>
                <w:sz w:val="20"/>
                <w:szCs w:val="20"/>
              </w:rPr>
              <w:t>494.0</w:t>
            </w:r>
          </w:p>
        </w:tc>
        <w:tc>
          <w:tcPr>
            <w:tcW w:w="1561" w:type="dxa"/>
            <w:vAlign w:val="center"/>
          </w:tcPr>
          <w:p w14:paraId="7F8B1D4A" w14:textId="77777777" w:rsidR="002F3A65" w:rsidRPr="002C2D46" w:rsidRDefault="002F3A65" w:rsidP="002C2D46">
            <w:pPr>
              <w:spacing w:before="0" w:after="0"/>
              <w:rPr>
                <w:sz w:val="20"/>
                <w:szCs w:val="20"/>
              </w:rPr>
            </w:pPr>
            <w:r w:rsidRPr="002C2D46">
              <w:rPr>
                <w:sz w:val="20"/>
                <w:szCs w:val="20"/>
              </w:rPr>
              <w:t>123.5</w:t>
            </w:r>
          </w:p>
        </w:tc>
        <w:tc>
          <w:tcPr>
            <w:tcW w:w="1419" w:type="dxa"/>
            <w:vAlign w:val="center"/>
          </w:tcPr>
          <w:p w14:paraId="16EFA08A" w14:textId="77777777" w:rsidR="002F3A65" w:rsidRPr="002C2D46" w:rsidRDefault="002F3A65" w:rsidP="002C2D46">
            <w:pPr>
              <w:spacing w:before="0" w:after="0"/>
              <w:rPr>
                <w:sz w:val="20"/>
                <w:szCs w:val="20"/>
              </w:rPr>
            </w:pPr>
            <w:r w:rsidRPr="002C2D46">
              <w:rPr>
                <w:sz w:val="20"/>
                <w:szCs w:val="20"/>
              </w:rPr>
              <w:t>100.0%</w:t>
            </w:r>
          </w:p>
        </w:tc>
        <w:tc>
          <w:tcPr>
            <w:tcW w:w="1419" w:type="dxa"/>
            <w:shd w:val="clear" w:color="auto" w:fill="auto"/>
            <w:vAlign w:val="center"/>
          </w:tcPr>
          <w:p w14:paraId="01EE7CF8" w14:textId="77777777" w:rsidR="002F3A65" w:rsidRPr="002C2D46" w:rsidRDefault="002F3A65" w:rsidP="002C2D46">
            <w:pPr>
              <w:spacing w:before="0" w:after="0"/>
              <w:rPr>
                <w:sz w:val="20"/>
                <w:szCs w:val="20"/>
              </w:rPr>
            </w:pPr>
            <w:r w:rsidRPr="002C2D46">
              <w:rPr>
                <w:sz w:val="20"/>
                <w:szCs w:val="20"/>
              </w:rPr>
              <w:t>8.9%</w:t>
            </w:r>
          </w:p>
        </w:tc>
      </w:tr>
      <w:tr w:rsidR="002F3A65" w:rsidRPr="007C50BE" w14:paraId="486553B7" w14:textId="77777777" w:rsidTr="00922F84">
        <w:trPr>
          <w:trHeight w:val="20"/>
        </w:trPr>
        <w:tc>
          <w:tcPr>
            <w:tcW w:w="1411" w:type="dxa"/>
            <w:vAlign w:val="center"/>
          </w:tcPr>
          <w:p w14:paraId="7A1ED723" w14:textId="77777777" w:rsidR="002F3A65" w:rsidRPr="002C2D46" w:rsidRDefault="002F3A65" w:rsidP="002C2D46">
            <w:pPr>
              <w:spacing w:before="0" w:after="0"/>
              <w:rPr>
                <w:sz w:val="20"/>
                <w:szCs w:val="20"/>
              </w:rPr>
            </w:pPr>
            <w:r w:rsidRPr="002C2D46">
              <w:rPr>
                <w:sz w:val="20"/>
                <w:szCs w:val="20"/>
              </w:rPr>
              <w:t>Multifamily</w:t>
            </w:r>
          </w:p>
        </w:tc>
        <w:tc>
          <w:tcPr>
            <w:tcW w:w="1561" w:type="dxa"/>
            <w:vAlign w:val="center"/>
          </w:tcPr>
          <w:p w14:paraId="0C304E15" w14:textId="77777777" w:rsidR="002F3A65" w:rsidRPr="002C2D46" w:rsidRDefault="002F3A65" w:rsidP="002C2D46">
            <w:pPr>
              <w:spacing w:before="0" w:after="0"/>
              <w:rPr>
                <w:sz w:val="20"/>
                <w:szCs w:val="20"/>
              </w:rPr>
            </w:pPr>
            <w:r w:rsidRPr="002C2D46">
              <w:rPr>
                <w:sz w:val="20"/>
                <w:szCs w:val="20"/>
              </w:rPr>
              <w:t>108.9</w:t>
            </w:r>
          </w:p>
        </w:tc>
        <w:tc>
          <w:tcPr>
            <w:tcW w:w="1561" w:type="dxa"/>
            <w:vAlign w:val="center"/>
          </w:tcPr>
          <w:p w14:paraId="3430328D" w14:textId="77777777" w:rsidR="002F3A65" w:rsidRPr="002C2D46" w:rsidRDefault="002F3A65" w:rsidP="002C2D46">
            <w:pPr>
              <w:spacing w:before="0" w:after="0"/>
              <w:rPr>
                <w:sz w:val="20"/>
                <w:szCs w:val="20"/>
              </w:rPr>
            </w:pPr>
            <w:r w:rsidRPr="002C2D46">
              <w:rPr>
                <w:sz w:val="20"/>
                <w:szCs w:val="20"/>
              </w:rPr>
              <w:t>1,089.2</w:t>
            </w:r>
          </w:p>
        </w:tc>
        <w:tc>
          <w:tcPr>
            <w:tcW w:w="1561" w:type="dxa"/>
            <w:vAlign w:val="center"/>
          </w:tcPr>
          <w:p w14:paraId="38102A88" w14:textId="77777777" w:rsidR="002F3A65" w:rsidRPr="002C2D46" w:rsidRDefault="002F3A65" w:rsidP="002C2D46">
            <w:pPr>
              <w:spacing w:before="0" w:after="0"/>
              <w:rPr>
                <w:sz w:val="20"/>
                <w:szCs w:val="20"/>
              </w:rPr>
            </w:pPr>
            <w:r w:rsidRPr="002C2D46">
              <w:rPr>
                <w:sz w:val="20"/>
                <w:szCs w:val="20"/>
              </w:rPr>
              <w:t>38.9</w:t>
            </w:r>
          </w:p>
        </w:tc>
        <w:tc>
          <w:tcPr>
            <w:tcW w:w="1419" w:type="dxa"/>
            <w:vAlign w:val="center"/>
          </w:tcPr>
          <w:p w14:paraId="5F3C7F0B" w14:textId="77777777" w:rsidR="002F3A65" w:rsidRPr="002C2D46" w:rsidRDefault="002F3A65" w:rsidP="002C2D46">
            <w:pPr>
              <w:spacing w:before="0" w:after="0"/>
              <w:rPr>
                <w:sz w:val="20"/>
                <w:szCs w:val="20"/>
              </w:rPr>
            </w:pPr>
            <w:r w:rsidRPr="002C2D46">
              <w:rPr>
                <w:sz w:val="20"/>
                <w:szCs w:val="20"/>
              </w:rPr>
              <w:t>31.5%</w:t>
            </w:r>
          </w:p>
        </w:tc>
        <w:tc>
          <w:tcPr>
            <w:tcW w:w="1419" w:type="dxa"/>
            <w:shd w:val="clear" w:color="auto" w:fill="auto"/>
            <w:vAlign w:val="center"/>
          </w:tcPr>
          <w:p w14:paraId="2EE2A875" w14:textId="77777777" w:rsidR="002F3A65" w:rsidRPr="002C2D46" w:rsidRDefault="002F3A65" w:rsidP="002C2D46">
            <w:pPr>
              <w:spacing w:before="0" w:after="0"/>
              <w:rPr>
                <w:sz w:val="20"/>
                <w:szCs w:val="20"/>
              </w:rPr>
            </w:pPr>
            <w:r w:rsidRPr="002C2D46">
              <w:rPr>
                <w:sz w:val="20"/>
                <w:szCs w:val="20"/>
              </w:rPr>
              <w:t>8.9%</w:t>
            </w:r>
          </w:p>
        </w:tc>
      </w:tr>
      <w:tr w:rsidR="002F3A65" w:rsidRPr="007C50BE" w14:paraId="5438C717" w14:textId="77777777" w:rsidTr="00922F84">
        <w:trPr>
          <w:trHeight w:val="20"/>
        </w:trPr>
        <w:tc>
          <w:tcPr>
            <w:tcW w:w="1411" w:type="dxa"/>
            <w:vAlign w:val="center"/>
          </w:tcPr>
          <w:p w14:paraId="72496AB2" w14:textId="77777777" w:rsidR="002F3A65" w:rsidRPr="002C2D46" w:rsidRDefault="002F3A65" w:rsidP="002C2D46">
            <w:pPr>
              <w:spacing w:before="0" w:after="0"/>
              <w:rPr>
                <w:sz w:val="20"/>
                <w:szCs w:val="20"/>
              </w:rPr>
            </w:pPr>
            <w:r w:rsidRPr="002C2D46">
              <w:rPr>
                <w:sz w:val="20"/>
                <w:szCs w:val="20"/>
              </w:rPr>
              <w:t>Double-wide Mobile Home</w:t>
            </w:r>
          </w:p>
        </w:tc>
        <w:tc>
          <w:tcPr>
            <w:tcW w:w="1561" w:type="dxa"/>
            <w:vAlign w:val="center"/>
          </w:tcPr>
          <w:p w14:paraId="058F18FE" w14:textId="77777777" w:rsidR="002F3A65" w:rsidRPr="002C2D46" w:rsidRDefault="002F3A65" w:rsidP="002C2D46">
            <w:pPr>
              <w:spacing w:before="0" w:after="0"/>
              <w:rPr>
                <w:sz w:val="20"/>
                <w:szCs w:val="20"/>
              </w:rPr>
            </w:pPr>
            <w:r w:rsidRPr="002C2D46">
              <w:rPr>
                <w:sz w:val="20"/>
                <w:szCs w:val="20"/>
              </w:rPr>
              <w:t>17.7</w:t>
            </w:r>
          </w:p>
        </w:tc>
        <w:tc>
          <w:tcPr>
            <w:tcW w:w="1561" w:type="dxa"/>
            <w:vAlign w:val="center"/>
          </w:tcPr>
          <w:p w14:paraId="5DBE7228" w14:textId="77777777" w:rsidR="002F3A65" w:rsidRPr="002C2D46" w:rsidRDefault="002F3A65" w:rsidP="002C2D46">
            <w:pPr>
              <w:spacing w:before="0" w:after="0"/>
              <w:rPr>
                <w:sz w:val="20"/>
                <w:szCs w:val="20"/>
              </w:rPr>
            </w:pPr>
            <w:r w:rsidRPr="002C2D46">
              <w:rPr>
                <w:sz w:val="20"/>
                <w:szCs w:val="20"/>
              </w:rPr>
              <w:t>177.2</w:t>
            </w:r>
          </w:p>
        </w:tc>
        <w:tc>
          <w:tcPr>
            <w:tcW w:w="1561" w:type="dxa"/>
            <w:vAlign w:val="center"/>
          </w:tcPr>
          <w:p w14:paraId="6E2E56F9" w14:textId="77777777" w:rsidR="002F3A65" w:rsidRPr="002C2D46" w:rsidRDefault="002F3A65" w:rsidP="002C2D46">
            <w:pPr>
              <w:spacing w:before="0" w:after="0"/>
              <w:rPr>
                <w:sz w:val="20"/>
                <w:szCs w:val="20"/>
              </w:rPr>
            </w:pPr>
            <w:r w:rsidRPr="002C2D46">
              <w:rPr>
                <w:sz w:val="20"/>
                <w:szCs w:val="20"/>
              </w:rPr>
              <w:t>88.6</w:t>
            </w:r>
          </w:p>
        </w:tc>
        <w:tc>
          <w:tcPr>
            <w:tcW w:w="1419" w:type="dxa"/>
            <w:vAlign w:val="center"/>
          </w:tcPr>
          <w:p w14:paraId="02CB849F" w14:textId="77777777" w:rsidR="002F3A65" w:rsidRPr="002C2D46" w:rsidRDefault="002F3A65" w:rsidP="002C2D46">
            <w:pPr>
              <w:spacing w:before="0" w:after="0"/>
              <w:rPr>
                <w:sz w:val="20"/>
                <w:szCs w:val="20"/>
              </w:rPr>
            </w:pPr>
            <w:r w:rsidRPr="002C2D46">
              <w:rPr>
                <w:sz w:val="20"/>
                <w:szCs w:val="20"/>
              </w:rPr>
              <w:t>71.7%</w:t>
            </w:r>
          </w:p>
        </w:tc>
        <w:tc>
          <w:tcPr>
            <w:tcW w:w="1419" w:type="dxa"/>
            <w:shd w:val="clear" w:color="auto" w:fill="auto"/>
            <w:vAlign w:val="center"/>
          </w:tcPr>
          <w:p w14:paraId="54AB8C78" w14:textId="77777777" w:rsidR="002F3A65" w:rsidRPr="002C2D46" w:rsidRDefault="002F3A65" w:rsidP="002C2D46">
            <w:pPr>
              <w:spacing w:before="0" w:after="0"/>
              <w:rPr>
                <w:sz w:val="20"/>
                <w:szCs w:val="20"/>
              </w:rPr>
            </w:pPr>
            <w:r w:rsidRPr="002C2D46">
              <w:rPr>
                <w:sz w:val="20"/>
                <w:szCs w:val="20"/>
              </w:rPr>
              <w:t>8.9%</w:t>
            </w:r>
          </w:p>
        </w:tc>
      </w:tr>
    </w:tbl>
    <w:p w14:paraId="213A92A0" w14:textId="77777777" w:rsidR="002F3A65" w:rsidRPr="002F3A65" w:rsidRDefault="002F3A65" w:rsidP="002C2D46">
      <w:pPr>
        <w:spacing w:before="0" w:after="0"/>
      </w:pPr>
      <w:r w:rsidRPr="002F3A65">
        <w:t xml:space="preserve">a. Space heating from MC3 annual consumption summary. </w:t>
      </w:r>
    </w:p>
    <w:p w14:paraId="5F17D2B9" w14:textId="77777777" w:rsidR="002F3A65" w:rsidRPr="002F3A65" w:rsidRDefault="002F3A65" w:rsidP="002C2D46">
      <w:pPr>
        <w:spacing w:before="0" w:after="0"/>
      </w:pPr>
    </w:p>
    <w:p w14:paraId="4DDCD51F" w14:textId="3956A3CC" w:rsidR="007D230B" w:rsidRPr="00203ECA" w:rsidRDefault="00245AFF" w:rsidP="00352543">
      <w:pPr>
        <w:pStyle w:val="eTRMHeading3"/>
      </w:pPr>
      <w:bookmarkStart w:id="50" w:name="_Toc42244452"/>
      <w:bookmarkStart w:id="51" w:name="_Toc486490859"/>
      <w:bookmarkStart w:id="52" w:name="_Toc486580930"/>
      <w:r w:rsidRPr="00203ECA">
        <w:t>Life Cycle</w:t>
      </w:r>
      <w:bookmarkEnd w:id="50"/>
      <w:r w:rsidR="007D230B" w:rsidRPr="00203ECA">
        <w:t xml:space="preserve"> </w:t>
      </w:r>
      <w:bookmarkEnd w:id="51"/>
      <w:bookmarkEnd w:id="52"/>
    </w:p>
    <w:p w14:paraId="6459579D" w14:textId="73108BAB" w:rsidR="00177EB6" w:rsidRPr="00203ECA" w:rsidRDefault="007F669E" w:rsidP="004142EF">
      <w:r w:rsidRPr="00203ECA">
        <w:t xml:space="preserve">Effective useful life (EUL) is an estimate of the median number of years that a measure installed through a program is still in place and operable. </w:t>
      </w:r>
      <w:r w:rsidR="007C4F91" w:rsidRPr="00203ECA">
        <w:rPr>
          <w:rFonts w:hint="eastAsia"/>
        </w:rPr>
        <w:t>EUL values are employed with CPUC authorized annual avoided costs and measure</w:t>
      </w:r>
      <w:r w:rsidR="007C4F91" w:rsidRPr="00203ECA">
        <w:rPr>
          <w:rFonts w:hint="eastAsia"/>
        </w:rPr>
        <w:t>‐</w:t>
      </w:r>
      <w:r w:rsidR="007C4F91" w:rsidRPr="00203ECA">
        <w:rPr>
          <w:rFonts w:hint="eastAsia"/>
        </w:rPr>
        <w:t>specific energy savings to determine lifecycle dollar benefits associated with a measure.</w:t>
      </w:r>
    </w:p>
    <w:p w14:paraId="10EDC19C" w14:textId="687E95D6" w:rsidR="0079765B" w:rsidRPr="00203ECA" w:rsidRDefault="0079765B" w:rsidP="0079765B">
      <w:r w:rsidRPr="00A50610">
        <w:rPr>
          <w:b/>
          <w:bCs/>
        </w:rPr>
        <w:t>Effective Useful Life Evaluation Protocol</w:t>
      </w:r>
      <w:r w:rsidR="00EB2DB8">
        <w:rPr>
          <w:b/>
          <w:bCs/>
        </w:rPr>
        <w:t xml:space="preserve">. </w:t>
      </w:r>
      <w:r w:rsidRPr="00203ECA">
        <w:t xml:space="preserve">Per </w:t>
      </w:r>
      <w:r w:rsidR="00226FB8">
        <w:t xml:space="preserve">the </w:t>
      </w:r>
      <w:r w:rsidRPr="00203ECA">
        <w:t>California Energy Efficiency Evaluation Protocols,</w:t>
      </w:r>
      <w:r w:rsidR="00226FB8">
        <w:rPr>
          <w:rStyle w:val="FootnoteReference"/>
        </w:rPr>
        <w:footnoteReference w:id="20"/>
      </w:r>
      <w:r w:rsidRPr="00203ECA">
        <w:t xml:space="preserve"> there are two allowable methods for EUL analysis: basic rigor and enhanced rigor.  Both methods require survival analysis or other analysis methods that specifically control for right-censored data. Right-censored data are failures that might take place after data collection. </w:t>
      </w:r>
    </w:p>
    <w:p w14:paraId="435B70EB" w14:textId="72332ED9" w:rsidR="0079765B" w:rsidRPr="00203ECA" w:rsidRDefault="0079765B" w:rsidP="0079765B">
      <w:r w:rsidRPr="00A50610">
        <w:rPr>
          <w:b/>
          <w:bCs/>
        </w:rPr>
        <w:t>Effective Useful Life Analysis and Results</w:t>
      </w:r>
      <w:r w:rsidR="00EB2DB8">
        <w:rPr>
          <w:b/>
          <w:bCs/>
        </w:rPr>
        <w:t>.</w:t>
      </w:r>
      <w:r w:rsidR="00EB2DB8">
        <w:rPr>
          <w:rStyle w:val="FootnoteReference"/>
          <w:b/>
          <w:bCs/>
        </w:rPr>
        <w:footnoteReference w:id="21"/>
      </w:r>
      <w:r w:rsidR="00EB2DB8">
        <w:rPr>
          <w:b/>
          <w:bCs/>
        </w:rPr>
        <w:t xml:space="preserve"> </w:t>
      </w:r>
      <w:r w:rsidRPr="00203ECA">
        <w:t xml:space="preserve">Using non-parametric Kaplan-Meier estimation methodology in </w:t>
      </w:r>
      <w:r w:rsidR="00EB2DB8">
        <w:t xml:space="preserve">the </w:t>
      </w:r>
      <w:r w:rsidRPr="00203ECA">
        <w:t xml:space="preserve">R statistical software, a survival analysis was used on data provided by two main smart thermostat vendors. Specifically, a survival analysis method was used on the thermostat connectivity data to account for right censorship in the data and to provide unbiased estimates of survival functions and rates. </w:t>
      </w:r>
    </w:p>
    <w:p w14:paraId="124149A8" w14:textId="30991DAA" w:rsidR="0079765B" w:rsidRPr="00203ECA" w:rsidRDefault="0079765B" w:rsidP="0079765B">
      <w:r w:rsidRPr="00203ECA">
        <w:t>The EUL analysis combined non-linear and linear results to quantify the uncertainty around the EUL estimates, which assisted with program implementation data, results on a weighted average value of 9.1 years.</w:t>
      </w:r>
    </w:p>
    <w:p w14:paraId="2BE8EC3E" w14:textId="47A039E8" w:rsidR="007D230B" w:rsidRPr="00203ECA" w:rsidRDefault="007F669E" w:rsidP="004142EF">
      <w:r w:rsidRPr="00203ECA">
        <w:t xml:space="preserve">The EUL specified for </w:t>
      </w:r>
      <w:r w:rsidR="00690A8C" w:rsidRPr="00203ECA">
        <w:t>the smart communicating thermostat measure</w:t>
      </w:r>
      <w:r w:rsidRPr="00203ECA">
        <w:t xml:space="preserve"> are </w:t>
      </w:r>
      <w:r w:rsidR="00690A8C" w:rsidRPr="00203ECA">
        <w:t>specified</w:t>
      </w:r>
      <w:r w:rsidRPr="00203ECA">
        <w:t xml:space="preserve"> </w:t>
      </w:r>
      <w:r w:rsidR="002F78E9" w:rsidRPr="00203ECA">
        <w:t>below.</w:t>
      </w:r>
      <w:r w:rsidR="00D76847">
        <w:t xml:space="preserve"> The EUL ID is currently included in the PEAR database</w:t>
      </w:r>
      <w:r w:rsidR="00357263">
        <w:rPr>
          <w:rStyle w:val="FootnoteReference"/>
        </w:rPr>
        <w:footnoteReference w:id="22"/>
      </w:r>
      <w:r w:rsidR="00D76847">
        <w:t xml:space="preserve">. </w:t>
      </w:r>
      <w:r w:rsidR="00B97538">
        <w:t xml:space="preserve"> </w:t>
      </w:r>
    </w:p>
    <w:p w14:paraId="7D542FEF" w14:textId="6CDDBB79" w:rsidR="00FD2C54" w:rsidRPr="00203ECA" w:rsidRDefault="00FD2C54" w:rsidP="0010657B">
      <w:pPr>
        <w:pStyle w:val="Caption"/>
      </w:pPr>
      <w:r w:rsidRPr="00203ECA">
        <w:lastRenderedPageBreak/>
        <w:t>Effective Useful Life</w:t>
      </w:r>
      <w:r w:rsidR="00BB4F22" w:rsidRPr="00203ECA">
        <w:t xml:space="preserve"> and Remaining Useful Life</w:t>
      </w:r>
    </w:p>
    <w:tbl>
      <w:tblPr>
        <w:tblW w:w="97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15"/>
        <w:gridCol w:w="2233"/>
        <w:gridCol w:w="1282"/>
        <w:gridCol w:w="4575"/>
      </w:tblGrid>
      <w:tr w:rsidR="00554225" w:rsidRPr="00203ECA" w14:paraId="1FE81044" w14:textId="0C091959" w:rsidTr="002C2D46">
        <w:trPr>
          <w:cantSplit/>
          <w:trHeight w:val="19"/>
        </w:trPr>
        <w:tc>
          <w:tcPr>
            <w:tcW w:w="1615" w:type="dxa"/>
            <w:shd w:val="clear" w:color="auto" w:fill="F2F2F2" w:themeFill="background1" w:themeFillShade="F2"/>
            <w:vAlign w:val="bottom"/>
          </w:tcPr>
          <w:p w14:paraId="1666F440" w14:textId="31AB2C31"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Parameter</w:t>
            </w:r>
          </w:p>
        </w:tc>
        <w:tc>
          <w:tcPr>
            <w:tcW w:w="2233" w:type="dxa"/>
            <w:shd w:val="clear" w:color="auto" w:fill="F2F2F2" w:themeFill="background1" w:themeFillShade="F2"/>
          </w:tcPr>
          <w:p w14:paraId="5B993F61" w14:textId="563FA8E2" w:rsidR="00554225" w:rsidRPr="00203ECA" w:rsidRDefault="00554225" w:rsidP="009C31A4">
            <w:pPr>
              <w:keepNext/>
              <w:keepLines/>
              <w:spacing w:before="20" w:after="20"/>
              <w:jc w:val="center"/>
              <w:rPr>
                <w:rFonts w:cstheme="minorHAnsi"/>
                <w:b/>
                <w:sz w:val="20"/>
                <w:szCs w:val="20"/>
              </w:rPr>
            </w:pPr>
            <w:r>
              <w:rPr>
                <w:rFonts w:cstheme="minorHAnsi"/>
                <w:b/>
                <w:sz w:val="20"/>
                <w:szCs w:val="20"/>
              </w:rPr>
              <w:t>EUL ID</w:t>
            </w:r>
          </w:p>
        </w:tc>
        <w:tc>
          <w:tcPr>
            <w:tcW w:w="1282" w:type="dxa"/>
            <w:shd w:val="clear" w:color="auto" w:fill="F2F2F2" w:themeFill="background1" w:themeFillShade="F2"/>
          </w:tcPr>
          <w:p w14:paraId="18E57BF8" w14:textId="5B3000BD"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Value</w:t>
            </w:r>
          </w:p>
        </w:tc>
        <w:tc>
          <w:tcPr>
            <w:tcW w:w="4575" w:type="dxa"/>
            <w:shd w:val="clear" w:color="auto" w:fill="F2F2F2" w:themeFill="background1" w:themeFillShade="F2"/>
          </w:tcPr>
          <w:p w14:paraId="541E1750" w14:textId="139E5C00"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Source</w:t>
            </w:r>
          </w:p>
        </w:tc>
      </w:tr>
      <w:tr w:rsidR="00554225" w:rsidRPr="00203ECA" w14:paraId="7B636A73" w14:textId="217149CE" w:rsidTr="002C2D46">
        <w:trPr>
          <w:cantSplit/>
          <w:trHeight w:val="19"/>
        </w:trPr>
        <w:tc>
          <w:tcPr>
            <w:tcW w:w="1615" w:type="dxa"/>
            <w:vAlign w:val="center"/>
          </w:tcPr>
          <w:p w14:paraId="64E6D65F" w14:textId="362EF4BD" w:rsidR="00554225" w:rsidRPr="00203ECA" w:rsidRDefault="00554225" w:rsidP="002C2D46">
            <w:pPr>
              <w:keepNext/>
              <w:keepLines/>
              <w:spacing w:before="20" w:after="20"/>
              <w:jc w:val="center"/>
              <w:rPr>
                <w:sz w:val="20"/>
                <w:szCs w:val="20"/>
              </w:rPr>
            </w:pPr>
            <w:r w:rsidRPr="00203ECA">
              <w:rPr>
                <w:rFonts w:cstheme="minorHAnsi"/>
                <w:sz w:val="20"/>
                <w:szCs w:val="20"/>
              </w:rPr>
              <w:t>EUL (</w:t>
            </w:r>
            <w:proofErr w:type="spellStart"/>
            <w:r w:rsidRPr="00203ECA">
              <w:rPr>
                <w:rFonts w:cstheme="minorHAnsi"/>
                <w:sz w:val="20"/>
                <w:szCs w:val="20"/>
              </w:rPr>
              <w:t>yrs</w:t>
            </w:r>
            <w:proofErr w:type="spellEnd"/>
            <w:r w:rsidRPr="00203ECA">
              <w:rPr>
                <w:rFonts w:cstheme="minorHAnsi"/>
                <w:sz w:val="20"/>
                <w:szCs w:val="20"/>
              </w:rPr>
              <w:t>)</w:t>
            </w:r>
          </w:p>
        </w:tc>
        <w:tc>
          <w:tcPr>
            <w:tcW w:w="2233" w:type="dxa"/>
            <w:vAlign w:val="center"/>
          </w:tcPr>
          <w:p w14:paraId="17C339D3" w14:textId="11C6F4FD" w:rsidR="00554225" w:rsidRPr="002C2D46" w:rsidRDefault="00A610F9" w:rsidP="002C2D46">
            <w:pPr>
              <w:spacing w:before="0" w:after="0" w:line="240" w:lineRule="auto"/>
              <w:jc w:val="center"/>
              <w:rPr>
                <w:rFonts w:cs="Calibri Light"/>
                <w:color w:val="000000"/>
                <w:szCs w:val="22"/>
              </w:rPr>
            </w:pPr>
            <w:r w:rsidRPr="002C2D46">
              <w:rPr>
                <w:rFonts w:cs="Calibri Light"/>
                <w:color w:val="000000"/>
                <w:sz w:val="20"/>
                <w:szCs w:val="20"/>
              </w:rPr>
              <w:t>HV-</w:t>
            </w:r>
            <w:proofErr w:type="spellStart"/>
            <w:r w:rsidRPr="002C2D46">
              <w:rPr>
                <w:rFonts w:cs="Calibri Light"/>
                <w:color w:val="000000"/>
                <w:sz w:val="20"/>
                <w:szCs w:val="20"/>
              </w:rPr>
              <w:t>SmartTstat</w:t>
            </w:r>
            <w:proofErr w:type="spellEnd"/>
          </w:p>
        </w:tc>
        <w:tc>
          <w:tcPr>
            <w:tcW w:w="1282" w:type="dxa"/>
            <w:vAlign w:val="center"/>
          </w:tcPr>
          <w:p w14:paraId="636160CC" w14:textId="21215B95" w:rsidR="00554225" w:rsidRPr="00203ECA" w:rsidRDefault="00554225">
            <w:pPr>
              <w:keepNext/>
              <w:keepLines/>
              <w:spacing w:before="20" w:after="20"/>
              <w:jc w:val="center"/>
              <w:rPr>
                <w:sz w:val="20"/>
                <w:szCs w:val="20"/>
              </w:rPr>
            </w:pPr>
            <w:r w:rsidRPr="00203ECA">
              <w:rPr>
                <w:sz w:val="20"/>
                <w:szCs w:val="20"/>
              </w:rPr>
              <w:t>9.1</w:t>
            </w:r>
          </w:p>
        </w:tc>
        <w:tc>
          <w:tcPr>
            <w:tcW w:w="4575" w:type="dxa"/>
          </w:tcPr>
          <w:p w14:paraId="75A720ED" w14:textId="4C524C5E" w:rsidR="00554225" w:rsidRDefault="00357263" w:rsidP="00A50610">
            <w:pPr>
              <w:keepNext/>
              <w:keepLines/>
              <w:spacing w:before="20" w:after="20"/>
              <w:rPr>
                <w:rFonts w:cs="Calibri Light"/>
                <w:sz w:val="18"/>
                <w:szCs w:val="20"/>
              </w:rPr>
            </w:pPr>
            <w:r>
              <w:rPr>
                <w:rFonts w:cs="Calibri Light"/>
                <w:sz w:val="18"/>
                <w:szCs w:val="20"/>
              </w:rPr>
              <w:t xml:space="preserve">Original Source: </w:t>
            </w:r>
            <w:r w:rsidR="00554225" w:rsidRPr="00A50610">
              <w:rPr>
                <w:rFonts w:cs="Calibri Light"/>
                <w:sz w:val="18"/>
                <w:szCs w:val="20"/>
              </w:rPr>
              <w:t>Cadmus Group. 2019. “EUL analysis of Residential Smart Communicating Thermostat – Vendor A and B.” Memorandum to Andres Fergadiotti and Cassie Cuaresma, Southern California Edison. February 1.</w:t>
            </w:r>
          </w:p>
          <w:p w14:paraId="12293357" w14:textId="28BF8EE5" w:rsidR="00357263" w:rsidRPr="00A50610" w:rsidRDefault="00357263" w:rsidP="00A50610">
            <w:pPr>
              <w:keepNext/>
              <w:keepLines/>
              <w:spacing w:before="20" w:after="20"/>
              <w:rPr>
                <w:rFonts w:cs="Calibri Light"/>
                <w:sz w:val="18"/>
                <w:szCs w:val="20"/>
                <w:highlight w:val="yellow"/>
              </w:rPr>
            </w:pPr>
            <w:r w:rsidRPr="000A4C01">
              <w:rPr>
                <w:sz w:val="18"/>
                <w:szCs w:val="18"/>
              </w:rPr>
              <w:t>California Public Utilities Commission (CPUC). 20</w:t>
            </w:r>
            <w:r>
              <w:rPr>
                <w:sz w:val="18"/>
                <w:szCs w:val="18"/>
              </w:rPr>
              <w:t>20</w:t>
            </w:r>
            <w:r w:rsidRPr="000A4C01">
              <w:rPr>
                <w:sz w:val="18"/>
                <w:szCs w:val="18"/>
              </w:rPr>
              <w:t>. “</w:t>
            </w:r>
            <w:r w:rsidRPr="00357263">
              <w:rPr>
                <w:sz w:val="18"/>
                <w:szCs w:val="18"/>
              </w:rPr>
              <w:t>SupportTable_EUL</w:t>
            </w:r>
            <w:r>
              <w:rPr>
                <w:sz w:val="18"/>
                <w:szCs w:val="18"/>
              </w:rPr>
              <w:t>.CSV</w:t>
            </w:r>
            <w:r w:rsidRPr="000A4C01">
              <w:rPr>
                <w:sz w:val="18"/>
                <w:szCs w:val="18"/>
              </w:rPr>
              <w:t>.”</w:t>
            </w:r>
            <w:r>
              <w:rPr>
                <w:sz w:val="18"/>
                <w:szCs w:val="18"/>
              </w:rPr>
              <w:t xml:space="preserve"> Obtained from PEAR database.</w:t>
            </w:r>
          </w:p>
        </w:tc>
      </w:tr>
      <w:tr w:rsidR="00554225" w:rsidRPr="00203ECA" w14:paraId="6F51CE71" w14:textId="77777777" w:rsidTr="002C2D46">
        <w:trPr>
          <w:cantSplit/>
          <w:trHeight w:val="19"/>
        </w:trPr>
        <w:tc>
          <w:tcPr>
            <w:tcW w:w="1615" w:type="dxa"/>
            <w:vAlign w:val="center"/>
          </w:tcPr>
          <w:p w14:paraId="42C96CC1" w14:textId="6891FAB3" w:rsidR="00554225" w:rsidRPr="00203ECA" w:rsidRDefault="00554225" w:rsidP="002C2D46">
            <w:pPr>
              <w:keepNext/>
              <w:keepLines/>
              <w:spacing w:before="20" w:after="20"/>
              <w:jc w:val="center"/>
              <w:rPr>
                <w:rFonts w:cstheme="minorHAnsi"/>
                <w:sz w:val="20"/>
                <w:szCs w:val="20"/>
              </w:rPr>
            </w:pPr>
            <w:r>
              <w:rPr>
                <w:rFonts w:cstheme="minorHAnsi"/>
                <w:sz w:val="20"/>
                <w:szCs w:val="20"/>
              </w:rPr>
              <w:t>RUL (</w:t>
            </w:r>
            <w:proofErr w:type="spellStart"/>
            <w:r>
              <w:rPr>
                <w:rFonts w:cstheme="minorHAnsi"/>
                <w:sz w:val="20"/>
                <w:szCs w:val="20"/>
              </w:rPr>
              <w:t>yrs</w:t>
            </w:r>
            <w:proofErr w:type="spellEnd"/>
            <w:r>
              <w:rPr>
                <w:rFonts w:cstheme="minorHAnsi"/>
                <w:sz w:val="20"/>
                <w:szCs w:val="20"/>
              </w:rPr>
              <w:t>)</w:t>
            </w:r>
          </w:p>
        </w:tc>
        <w:tc>
          <w:tcPr>
            <w:tcW w:w="2233" w:type="dxa"/>
            <w:vAlign w:val="center"/>
          </w:tcPr>
          <w:p w14:paraId="5F9D242F" w14:textId="06F8F3AA" w:rsidR="00554225" w:rsidRDefault="00A610F9">
            <w:pPr>
              <w:keepNext/>
              <w:keepLines/>
              <w:spacing w:before="20" w:after="20"/>
              <w:jc w:val="center"/>
              <w:rPr>
                <w:sz w:val="20"/>
                <w:szCs w:val="20"/>
              </w:rPr>
            </w:pPr>
            <w:r>
              <w:rPr>
                <w:sz w:val="20"/>
                <w:szCs w:val="20"/>
              </w:rPr>
              <w:t>n/a</w:t>
            </w:r>
          </w:p>
        </w:tc>
        <w:tc>
          <w:tcPr>
            <w:tcW w:w="1282" w:type="dxa"/>
            <w:vAlign w:val="center"/>
          </w:tcPr>
          <w:p w14:paraId="445DF391" w14:textId="378E0D33" w:rsidR="00554225" w:rsidRPr="00203ECA" w:rsidRDefault="00554225">
            <w:pPr>
              <w:keepNext/>
              <w:keepLines/>
              <w:spacing w:before="20" w:after="20"/>
              <w:jc w:val="center"/>
              <w:rPr>
                <w:sz w:val="20"/>
                <w:szCs w:val="20"/>
              </w:rPr>
            </w:pPr>
            <w:r>
              <w:rPr>
                <w:sz w:val="20"/>
                <w:szCs w:val="20"/>
              </w:rPr>
              <w:t>n/a</w:t>
            </w:r>
          </w:p>
        </w:tc>
        <w:tc>
          <w:tcPr>
            <w:tcW w:w="4575" w:type="dxa"/>
          </w:tcPr>
          <w:p w14:paraId="6355D824" w14:textId="77777777" w:rsidR="00554225" w:rsidRPr="006C0416" w:rsidRDefault="00554225" w:rsidP="00177EB6">
            <w:pPr>
              <w:keepNext/>
              <w:keepLines/>
              <w:spacing w:before="20" w:after="20"/>
              <w:jc w:val="center"/>
              <w:rPr>
                <w:sz w:val="20"/>
                <w:szCs w:val="20"/>
                <w:highlight w:val="yellow"/>
              </w:rPr>
            </w:pPr>
          </w:p>
        </w:tc>
      </w:tr>
    </w:tbl>
    <w:p w14:paraId="741676B9" w14:textId="73B9775D" w:rsidR="00690A8C" w:rsidRPr="00203ECA" w:rsidRDefault="00690A8C" w:rsidP="00690A8C"/>
    <w:p w14:paraId="3B14B593" w14:textId="1610AB6E" w:rsidR="007D230B" w:rsidRPr="00203ECA" w:rsidRDefault="007D230B" w:rsidP="00352543">
      <w:pPr>
        <w:pStyle w:val="eTRMHeading3"/>
      </w:pPr>
      <w:bookmarkStart w:id="53" w:name="_Toc486490860"/>
      <w:bookmarkStart w:id="54" w:name="_Toc486580931"/>
      <w:bookmarkStart w:id="55" w:name="_Toc42244453"/>
      <w:r w:rsidRPr="00203ECA">
        <w:t>Base Case Material Cost ($/unit)</w:t>
      </w:r>
      <w:bookmarkEnd w:id="53"/>
      <w:bookmarkEnd w:id="54"/>
      <w:bookmarkEnd w:id="55"/>
    </w:p>
    <w:p w14:paraId="27111673" w14:textId="06B23999" w:rsidR="001B2045" w:rsidRDefault="007A0F57" w:rsidP="001B2045">
      <w:r w:rsidRPr="006E6B98">
        <w:t xml:space="preserve">The base case </w:t>
      </w:r>
      <w:r w:rsidR="00D76847">
        <w:t xml:space="preserve">material </w:t>
      </w:r>
      <w:r w:rsidRPr="006E6B98">
        <w:t xml:space="preserve">cost was obtained through online prices research from various retailer websites in the </w:t>
      </w:r>
      <w:r w:rsidR="00554225">
        <w:t>second</w:t>
      </w:r>
      <w:r w:rsidR="00554225" w:rsidRPr="006E6B98">
        <w:t xml:space="preserve"> </w:t>
      </w:r>
      <w:r w:rsidRPr="006E6B98">
        <w:t>quarter of 20</w:t>
      </w:r>
      <w:r w:rsidR="00554225">
        <w:t>20</w:t>
      </w:r>
      <w:r w:rsidRPr="006E6B98">
        <w:t>.</w:t>
      </w:r>
      <w:r w:rsidR="00EB2DB8">
        <w:rPr>
          <w:rStyle w:val="FootnoteReference"/>
        </w:rPr>
        <w:footnoteReference w:id="23"/>
      </w:r>
      <w:r w:rsidRPr="006E6B98">
        <w:t xml:space="preserve"> </w:t>
      </w:r>
      <w:r w:rsidR="001B2045" w:rsidRPr="006E6B98">
        <w:t>The total equipment cost includes 8.75% tax. Shipping cost has not been included in the material price as majority of the retailers offer free shipping.</w:t>
      </w:r>
    </w:p>
    <w:p w14:paraId="09EB7533" w14:textId="7E5852D5" w:rsidR="007A0F57" w:rsidRPr="006E6B98" w:rsidRDefault="007A0F57" w:rsidP="006E6B98">
      <w:r w:rsidRPr="006E6B98">
        <w:t xml:space="preserve">The installed market percent for baseline programmable, non-programmable, and smart thermostats was found using </w:t>
      </w:r>
      <w:r w:rsidR="00D76847">
        <w:t>PG&amp;E’s 2018</w:t>
      </w:r>
      <w:r w:rsidR="00D76847" w:rsidRPr="006E6B98">
        <w:t xml:space="preserve"> </w:t>
      </w:r>
      <w:r w:rsidRPr="006E6B98">
        <w:t>Evaluation</w:t>
      </w:r>
      <w:r w:rsidR="007D7D5F">
        <w:rPr>
          <w:rStyle w:val="FootnoteReference"/>
        </w:rPr>
        <w:footnoteReference w:id="24"/>
      </w:r>
      <w:r w:rsidRPr="006E6B98">
        <w:t xml:space="preserve">. The percentages of baseline equipment from the Base Case Description </w:t>
      </w:r>
      <w:r w:rsidR="00DC5EA9" w:rsidRPr="006E6B98">
        <w:t>S</w:t>
      </w:r>
      <w:r w:rsidRPr="006E6B98">
        <w:t xml:space="preserve">ection were used to weight the online retailer prices to establish a weighted baseline cost. </w:t>
      </w:r>
    </w:p>
    <w:p w14:paraId="61EAE780" w14:textId="77777777" w:rsidR="007A0F57" w:rsidRPr="006E6B98" w:rsidRDefault="007A0F57" w:rsidP="00A50610">
      <w:pPr>
        <w:pStyle w:val="Caption"/>
      </w:pPr>
      <w:r w:rsidRPr="006E6B98">
        <w:t>Weighted Baseline Material Cost</w:t>
      </w:r>
    </w:p>
    <w:tbl>
      <w:tblPr>
        <w:tblW w:w="4886"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397"/>
        <w:gridCol w:w="1914"/>
        <w:gridCol w:w="1913"/>
        <w:gridCol w:w="1913"/>
      </w:tblGrid>
      <w:tr w:rsidR="00B174CD" w:rsidRPr="006E6B98" w14:paraId="2DA2BD26" w14:textId="03B718B8" w:rsidTr="002C2D46">
        <w:trPr>
          <w:trHeight w:val="510"/>
        </w:trPr>
        <w:tc>
          <w:tcPr>
            <w:tcW w:w="3397" w:type="dxa"/>
            <w:shd w:val="clear" w:color="auto" w:fill="F2F2F2" w:themeFill="background1" w:themeFillShade="F2"/>
            <w:noWrap/>
            <w:vAlign w:val="bottom"/>
            <w:hideMark/>
          </w:tcPr>
          <w:p w14:paraId="0BBFFA89" w14:textId="77777777" w:rsidR="00B174CD" w:rsidRPr="006E6B98" w:rsidRDefault="00B174CD" w:rsidP="00B174CD">
            <w:pPr>
              <w:spacing w:before="20" w:after="20" w:line="240" w:lineRule="auto"/>
              <w:jc w:val="center"/>
              <w:rPr>
                <w:rFonts w:eastAsia="Times New Roman" w:cstheme="majorHAnsi"/>
                <w:b/>
                <w:bCs/>
                <w:sz w:val="20"/>
                <w:szCs w:val="20"/>
              </w:rPr>
            </w:pPr>
            <w:r w:rsidRPr="006E6B98">
              <w:rPr>
                <w:rFonts w:eastAsia="Times New Roman" w:cstheme="majorHAnsi"/>
                <w:b/>
                <w:bCs/>
                <w:sz w:val="20"/>
                <w:szCs w:val="20"/>
              </w:rPr>
              <w:t>Equipment</w:t>
            </w:r>
          </w:p>
        </w:tc>
        <w:tc>
          <w:tcPr>
            <w:tcW w:w="1914" w:type="dxa"/>
            <w:shd w:val="clear" w:color="auto" w:fill="F2F2F2" w:themeFill="background1" w:themeFillShade="F2"/>
            <w:vAlign w:val="bottom"/>
            <w:hideMark/>
          </w:tcPr>
          <w:p w14:paraId="61828CAF" w14:textId="77777777" w:rsidR="00B174CD" w:rsidRPr="006E6B98" w:rsidRDefault="00B174CD" w:rsidP="00B174CD">
            <w:pPr>
              <w:spacing w:before="20" w:after="20" w:line="240" w:lineRule="auto"/>
              <w:jc w:val="center"/>
              <w:rPr>
                <w:rFonts w:eastAsia="Times New Roman" w:cstheme="majorHAnsi"/>
                <w:b/>
                <w:bCs/>
                <w:sz w:val="20"/>
                <w:szCs w:val="20"/>
              </w:rPr>
            </w:pPr>
            <w:r w:rsidRPr="006E6B98">
              <w:rPr>
                <w:rFonts w:eastAsia="Times New Roman" w:cstheme="majorHAnsi"/>
                <w:b/>
                <w:bCs/>
                <w:sz w:val="20"/>
                <w:szCs w:val="20"/>
              </w:rPr>
              <w:t>Market Distribution</w:t>
            </w:r>
          </w:p>
        </w:tc>
        <w:tc>
          <w:tcPr>
            <w:tcW w:w="1913" w:type="dxa"/>
            <w:shd w:val="clear" w:color="auto" w:fill="F2F2F2" w:themeFill="background1" w:themeFillShade="F2"/>
            <w:vAlign w:val="bottom"/>
          </w:tcPr>
          <w:p w14:paraId="4670F111" w14:textId="070FDEA6" w:rsidR="00B174CD" w:rsidRPr="00B174CD" w:rsidRDefault="00B174CD" w:rsidP="00B174CD">
            <w:pPr>
              <w:spacing w:before="20" w:after="20" w:line="240" w:lineRule="auto"/>
              <w:jc w:val="center"/>
              <w:rPr>
                <w:rFonts w:eastAsia="Times New Roman" w:cstheme="majorHAnsi"/>
                <w:b/>
                <w:bCs/>
                <w:sz w:val="20"/>
                <w:szCs w:val="20"/>
              </w:rPr>
            </w:pPr>
            <w:r w:rsidRPr="006E6B98">
              <w:rPr>
                <w:rFonts w:eastAsia="Times New Roman" w:cstheme="majorHAnsi"/>
                <w:b/>
                <w:bCs/>
                <w:sz w:val="20"/>
                <w:szCs w:val="20"/>
              </w:rPr>
              <w:t>Material Cost per unit</w:t>
            </w:r>
          </w:p>
        </w:tc>
        <w:tc>
          <w:tcPr>
            <w:tcW w:w="1913" w:type="dxa"/>
            <w:shd w:val="clear" w:color="auto" w:fill="F2F2F2" w:themeFill="background1" w:themeFillShade="F2"/>
          </w:tcPr>
          <w:p w14:paraId="223C019E" w14:textId="4AB8A300" w:rsidR="00B174CD" w:rsidRPr="006E6B98" w:rsidRDefault="00B174CD" w:rsidP="00B174CD">
            <w:pPr>
              <w:spacing w:before="20" w:after="20" w:line="240" w:lineRule="auto"/>
              <w:jc w:val="center"/>
              <w:rPr>
                <w:rFonts w:eastAsia="Times New Roman" w:cstheme="majorHAnsi"/>
                <w:b/>
                <w:bCs/>
                <w:sz w:val="20"/>
                <w:szCs w:val="20"/>
              </w:rPr>
            </w:pPr>
            <w:r w:rsidRPr="00B174CD">
              <w:rPr>
                <w:rFonts w:eastAsia="Times New Roman" w:cstheme="majorHAnsi"/>
                <w:b/>
                <w:bCs/>
                <w:sz w:val="20"/>
                <w:szCs w:val="20"/>
              </w:rPr>
              <w:t>Total Baseline Weighted Cost ($)</w:t>
            </w:r>
            <w:r>
              <w:rPr>
                <w:rStyle w:val="FootnoteReference"/>
                <w:rFonts w:eastAsia="Times New Roman" w:cstheme="majorHAnsi"/>
                <w:b/>
                <w:bCs/>
                <w:sz w:val="20"/>
                <w:szCs w:val="20"/>
              </w:rPr>
              <w:footnoteReference w:id="25"/>
            </w:r>
          </w:p>
        </w:tc>
      </w:tr>
      <w:tr w:rsidR="00B174CD" w:rsidRPr="006E6B98" w14:paraId="2ABD7BCC" w14:textId="7316DBC5" w:rsidTr="002C2D46">
        <w:trPr>
          <w:trHeight w:val="300"/>
        </w:trPr>
        <w:tc>
          <w:tcPr>
            <w:tcW w:w="3397" w:type="dxa"/>
            <w:shd w:val="clear" w:color="auto" w:fill="auto"/>
            <w:vAlign w:val="center"/>
            <w:hideMark/>
          </w:tcPr>
          <w:p w14:paraId="573F3791" w14:textId="77777777" w:rsidR="00B174CD" w:rsidRPr="006E6B98" w:rsidRDefault="00B174CD" w:rsidP="00B174CD">
            <w:pPr>
              <w:spacing w:before="20" w:after="20" w:line="240" w:lineRule="auto"/>
              <w:rPr>
                <w:rFonts w:eastAsia="Times New Roman" w:cstheme="majorBidi"/>
                <w:sz w:val="20"/>
                <w:szCs w:val="20"/>
              </w:rPr>
            </w:pPr>
            <w:r w:rsidRPr="006E6B98">
              <w:rPr>
                <w:rFonts w:eastAsia="Times New Roman" w:cstheme="majorBidi"/>
                <w:sz w:val="20"/>
                <w:szCs w:val="20"/>
              </w:rPr>
              <w:t>Manual Thermostat</w:t>
            </w:r>
          </w:p>
        </w:tc>
        <w:tc>
          <w:tcPr>
            <w:tcW w:w="1914" w:type="dxa"/>
            <w:shd w:val="clear" w:color="auto" w:fill="auto"/>
            <w:noWrap/>
            <w:vAlign w:val="center"/>
            <w:hideMark/>
          </w:tcPr>
          <w:p w14:paraId="4D27D529" w14:textId="77777777" w:rsidR="00B174CD" w:rsidRPr="006E6B98" w:rsidRDefault="00B174CD" w:rsidP="00B174CD">
            <w:pPr>
              <w:spacing w:before="20" w:after="20" w:line="240" w:lineRule="auto"/>
              <w:jc w:val="center"/>
              <w:rPr>
                <w:rFonts w:eastAsia="Times New Roman" w:cstheme="majorHAnsi"/>
                <w:sz w:val="20"/>
                <w:szCs w:val="20"/>
              </w:rPr>
            </w:pPr>
            <w:r w:rsidRPr="006E6B98">
              <w:rPr>
                <w:rFonts w:eastAsia="Times New Roman" w:cstheme="majorHAnsi"/>
                <w:sz w:val="20"/>
                <w:szCs w:val="20"/>
              </w:rPr>
              <w:t>12%</w:t>
            </w:r>
          </w:p>
        </w:tc>
        <w:tc>
          <w:tcPr>
            <w:tcW w:w="1913" w:type="dxa"/>
            <w:vAlign w:val="center"/>
          </w:tcPr>
          <w:p w14:paraId="3777FCBB" w14:textId="7D5ABA0F" w:rsidR="00B174CD" w:rsidRDefault="00B174CD" w:rsidP="00B174CD">
            <w:pPr>
              <w:spacing w:before="20" w:after="20" w:line="240" w:lineRule="auto"/>
              <w:jc w:val="center"/>
              <w:rPr>
                <w:rFonts w:eastAsia="Times New Roman" w:cstheme="majorHAnsi"/>
                <w:sz w:val="20"/>
                <w:szCs w:val="20"/>
              </w:rPr>
            </w:pPr>
            <w:r w:rsidRPr="006E6B98">
              <w:rPr>
                <w:rFonts w:eastAsia="Times New Roman" w:cstheme="majorHAnsi"/>
                <w:sz w:val="20"/>
                <w:szCs w:val="20"/>
              </w:rPr>
              <w:t xml:space="preserve">$ </w:t>
            </w:r>
            <w:r w:rsidR="0080720C">
              <w:rPr>
                <w:rFonts w:eastAsia="Times New Roman" w:cstheme="majorHAnsi"/>
                <w:sz w:val="20"/>
                <w:szCs w:val="20"/>
              </w:rPr>
              <w:t>39.06</w:t>
            </w:r>
          </w:p>
        </w:tc>
        <w:tc>
          <w:tcPr>
            <w:tcW w:w="1913" w:type="dxa"/>
            <w:vMerge w:val="restart"/>
            <w:vAlign w:val="center"/>
          </w:tcPr>
          <w:p w14:paraId="4EF9F872" w14:textId="777D9836" w:rsidR="00B174CD" w:rsidRPr="006E6B98" w:rsidRDefault="00B174CD">
            <w:pPr>
              <w:spacing w:before="20" w:after="20" w:line="240" w:lineRule="auto"/>
              <w:jc w:val="center"/>
              <w:rPr>
                <w:rFonts w:eastAsia="Times New Roman" w:cstheme="majorHAnsi"/>
                <w:sz w:val="20"/>
                <w:szCs w:val="20"/>
              </w:rPr>
            </w:pPr>
            <w:r>
              <w:rPr>
                <w:rFonts w:eastAsia="Times New Roman" w:cstheme="majorHAnsi"/>
                <w:sz w:val="20"/>
                <w:szCs w:val="20"/>
              </w:rPr>
              <w:t>$61.11</w:t>
            </w:r>
          </w:p>
        </w:tc>
      </w:tr>
      <w:tr w:rsidR="00B174CD" w:rsidRPr="006E6B98" w14:paraId="419027C9" w14:textId="66BD0C32" w:rsidTr="002C2D46">
        <w:trPr>
          <w:trHeight w:val="300"/>
        </w:trPr>
        <w:tc>
          <w:tcPr>
            <w:tcW w:w="3397" w:type="dxa"/>
            <w:shd w:val="clear" w:color="auto" w:fill="auto"/>
            <w:vAlign w:val="center"/>
            <w:hideMark/>
          </w:tcPr>
          <w:p w14:paraId="42430F1C" w14:textId="31B30C92" w:rsidR="00B174CD" w:rsidRPr="006E6B98" w:rsidRDefault="00B174CD" w:rsidP="00B174CD">
            <w:pPr>
              <w:spacing w:before="20" w:after="20" w:line="240" w:lineRule="auto"/>
              <w:rPr>
                <w:rFonts w:eastAsia="Times New Roman" w:cstheme="majorBidi"/>
                <w:sz w:val="20"/>
                <w:szCs w:val="20"/>
              </w:rPr>
            </w:pPr>
            <w:r w:rsidRPr="006E6B98">
              <w:rPr>
                <w:rFonts w:eastAsia="Times New Roman" w:cstheme="majorBidi"/>
                <w:sz w:val="20"/>
                <w:szCs w:val="20"/>
              </w:rPr>
              <w:t>Programmable Thermostat</w:t>
            </w:r>
            <w:r>
              <w:rPr>
                <w:rFonts w:eastAsia="Times New Roman" w:cstheme="majorBidi"/>
                <w:sz w:val="20"/>
                <w:szCs w:val="20"/>
              </w:rPr>
              <w:t xml:space="preserve"> </w:t>
            </w:r>
            <w:r w:rsidRPr="00EB2DB8">
              <w:rPr>
                <w:rFonts w:eastAsia="Times New Roman" w:cstheme="majorBidi"/>
                <w:sz w:val="20"/>
                <w:szCs w:val="20"/>
                <w:vertAlign w:val="superscript"/>
              </w:rPr>
              <w:t>(a)</w:t>
            </w:r>
          </w:p>
        </w:tc>
        <w:tc>
          <w:tcPr>
            <w:tcW w:w="1914" w:type="dxa"/>
            <w:shd w:val="clear" w:color="auto" w:fill="auto"/>
            <w:noWrap/>
            <w:vAlign w:val="center"/>
            <w:hideMark/>
          </w:tcPr>
          <w:p w14:paraId="3241C1F1" w14:textId="77777777" w:rsidR="00B174CD" w:rsidRPr="006E6B98" w:rsidRDefault="00B174CD" w:rsidP="00B174CD">
            <w:pPr>
              <w:spacing w:before="20" w:after="20" w:line="240" w:lineRule="auto"/>
              <w:jc w:val="center"/>
              <w:rPr>
                <w:rFonts w:eastAsia="Times New Roman" w:cstheme="majorBidi"/>
                <w:sz w:val="20"/>
                <w:szCs w:val="20"/>
              </w:rPr>
            </w:pPr>
            <w:r w:rsidRPr="006E6B98">
              <w:rPr>
                <w:rFonts w:eastAsia="Times New Roman" w:cstheme="majorBidi"/>
                <w:sz w:val="20"/>
                <w:szCs w:val="20"/>
              </w:rPr>
              <w:t>88%</w:t>
            </w:r>
          </w:p>
        </w:tc>
        <w:tc>
          <w:tcPr>
            <w:tcW w:w="1913" w:type="dxa"/>
            <w:vAlign w:val="center"/>
          </w:tcPr>
          <w:p w14:paraId="2F336A0E" w14:textId="246A5A84" w:rsidR="00B174CD" w:rsidRPr="006E6B98" w:rsidRDefault="00B174CD" w:rsidP="00B174CD">
            <w:pPr>
              <w:spacing w:before="20" w:after="20" w:line="240" w:lineRule="auto"/>
              <w:jc w:val="center"/>
              <w:rPr>
                <w:rFonts w:eastAsia="Times New Roman" w:cstheme="majorBidi"/>
                <w:sz w:val="20"/>
                <w:szCs w:val="20"/>
              </w:rPr>
            </w:pPr>
            <w:r w:rsidRPr="006E6B98">
              <w:rPr>
                <w:rFonts w:eastAsia="Times New Roman" w:cstheme="majorHAnsi"/>
                <w:sz w:val="20"/>
                <w:szCs w:val="20"/>
              </w:rPr>
              <w:t xml:space="preserve">$ </w:t>
            </w:r>
            <w:r w:rsidR="0080720C">
              <w:rPr>
                <w:rFonts w:eastAsia="Times New Roman" w:cstheme="majorHAnsi"/>
                <w:sz w:val="20"/>
                <w:szCs w:val="20"/>
              </w:rPr>
              <w:t>64.03</w:t>
            </w:r>
          </w:p>
        </w:tc>
        <w:tc>
          <w:tcPr>
            <w:tcW w:w="1913" w:type="dxa"/>
            <w:vMerge/>
          </w:tcPr>
          <w:p w14:paraId="7D89D1BF" w14:textId="034DFCE9" w:rsidR="00B174CD" w:rsidRPr="006E6B98" w:rsidRDefault="00B174CD" w:rsidP="00B174CD">
            <w:pPr>
              <w:spacing w:before="20" w:after="20" w:line="240" w:lineRule="auto"/>
              <w:jc w:val="center"/>
              <w:rPr>
                <w:rFonts w:eastAsia="Times New Roman" w:cstheme="majorBidi"/>
                <w:sz w:val="20"/>
                <w:szCs w:val="20"/>
              </w:rPr>
            </w:pPr>
          </w:p>
        </w:tc>
      </w:tr>
    </w:tbl>
    <w:p w14:paraId="525310C0" w14:textId="54C120E3" w:rsidR="007A0F57" w:rsidRPr="006E6B98" w:rsidRDefault="00EB2DB8" w:rsidP="00A50610">
      <w:pPr>
        <w:pStyle w:val="eTRMTableFootnote"/>
      </w:pPr>
      <w:r>
        <w:t xml:space="preserve">a. </w:t>
      </w:r>
      <w:r w:rsidR="007A0F57" w:rsidRPr="006E6B98">
        <w:t>Unknown/Other thermostats were assumed to be programmable thermostats for the estimating market distribution</w:t>
      </w:r>
    </w:p>
    <w:p w14:paraId="2010A954" w14:textId="660D461D" w:rsidR="000055F1" w:rsidRPr="006E6B98" w:rsidRDefault="000055F1" w:rsidP="003C55D5">
      <w:pPr>
        <w:pStyle w:val="Normal1"/>
        <w:rPr>
          <w:rFonts w:ascii="Calibri Light" w:hAnsi="Calibri Light"/>
        </w:rPr>
      </w:pPr>
    </w:p>
    <w:p w14:paraId="44E8DBEB" w14:textId="3BBFE540" w:rsidR="007D230B" w:rsidRPr="00203ECA" w:rsidRDefault="007D230B" w:rsidP="00352543">
      <w:pPr>
        <w:pStyle w:val="eTRMHeading3"/>
      </w:pPr>
      <w:bookmarkStart w:id="56" w:name="_Toc486490861"/>
      <w:bookmarkStart w:id="57" w:name="_Toc486580932"/>
      <w:bookmarkStart w:id="58" w:name="_Toc42244454"/>
      <w:r w:rsidRPr="00203ECA">
        <w:t>Measure Case Material Cost ($/unit)</w:t>
      </w:r>
      <w:bookmarkEnd w:id="56"/>
      <w:bookmarkEnd w:id="57"/>
      <w:bookmarkEnd w:id="58"/>
    </w:p>
    <w:p w14:paraId="1FC4F11C" w14:textId="4C3ED719" w:rsidR="007A0F57" w:rsidRPr="00203ECA" w:rsidRDefault="007A0F57" w:rsidP="007A0F57">
      <w:pPr>
        <w:pStyle w:val="Normal1"/>
        <w:rPr>
          <w:rFonts w:ascii="Calibri Light" w:eastAsiaTheme="minorEastAsia" w:hAnsi="Calibri Light" w:cstheme="minorBidi"/>
          <w:color w:val="auto"/>
          <w:szCs w:val="24"/>
        </w:rPr>
      </w:pPr>
      <w:bookmarkStart w:id="59" w:name="_Toc486490862"/>
      <w:bookmarkStart w:id="60" w:name="_Toc486580933"/>
      <w:r w:rsidRPr="00203ECA">
        <w:rPr>
          <w:rFonts w:ascii="Calibri Light" w:eastAsiaTheme="minorEastAsia" w:hAnsi="Calibri Light" w:cstheme="minorBidi"/>
          <w:color w:val="auto"/>
          <w:szCs w:val="24"/>
        </w:rPr>
        <w:t xml:space="preserve">The measure case cost for the smart thermostats was obtained through online prices research from various retailer websites in the </w:t>
      </w:r>
      <w:r w:rsidR="00554225">
        <w:rPr>
          <w:rFonts w:ascii="Calibri Light" w:eastAsiaTheme="minorEastAsia" w:hAnsi="Calibri Light" w:cstheme="minorBidi"/>
          <w:color w:val="auto"/>
          <w:szCs w:val="24"/>
        </w:rPr>
        <w:t>second</w:t>
      </w:r>
      <w:r w:rsidR="00554225" w:rsidRPr="00203ECA">
        <w:rPr>
          <w:rFonts w:ascii="Calibri Light" w:eastAsiaTheme="minorEastAsia" w:hAnsi="Calibri Light" w:cstheme="minorBidi"/>
          <w:color w:val="auto"/>
          <w:szCs w:val="24"/>
        </w:rPr>
        <w:t xml:space="preserve"> </w:t>
      </w:r>
      <w:r w:rsidRPr="00203ECA">
        <w:rPr>
          <w:rFonts w:ascii="Calibri Light" w:eastAsiaTheme="minorEastAsia" w:hAnsi="Calibri Light" w:cstheme="minorBidi"/>
          <w:color w:val="auto"/>
          <w:szCs w:val="24"/>
        </w:rPr>
        <w:t>quarter of 20</w:t>
      </w:r>
      <w:r w:rsidR="00554225">
        <w:rPr>
          <w:rFonts w:ascii="Calibri Light" w:eastAsiaTheme="minorEastAsia" w:hAnsi="Calibri Light" w:cstheme="minorBidi"/>
          <w:color w:val="auto"/>
          <w:szCs w:val="24"/>
        </w:rPr>
        <w:t>20</w:t>
      </w:r>
      <w:r w:rsidRPr="00203ECA">
        <w:rPr>
          <w:rFonts w:ascii="Calibri Light" w:eastAsiaTheme="minorEastAsia" w:hAnsi="Calibri Light" w:cstheme="minorBidi"/>
          <w:color w:val="auto"/>
          <w:szCs w:val="24"/>
        </w:rPr>
        <w:t xml:space="preserve">. All the smart thermostat models are ENERGYSTAR certified and meet the workpaper eligibility requirements.  The total equipment cost includes 8.75% tax. Shipping cost has not been included in the material price as majority of the retailers offer free shipping. Until more updated studies are done, the online retail point of sales pricing is the best available data to support the measure equipment cost. </w:t>
      </w:r>
    </w:p>
    <w:p w14:paraId="61628454" w14:textId="4F151DB4" w:rsidR="007A0F57" w:rsidRDefault="007A0F57" w:rsidP="007A0F57">
      <w:pPr>
        <w:pStyle w:val="Normal1"/>
        <w:rPr>
          <w:rFonts w:ascii="Calibri Light" w:eastAsiaTheme="minorEastAsia" w:hAnsi="Calibri Light" w:cstheme="minorBidi"/>
          <w:color w:val="auto"/>
          <w:szCs w:val="24"/>
        </w:rPr>
      </w:pPr>
    </w:p>
    <w:p w14:paraId="5AF57F26" w14:textId="3B185546" w:rsidR="00905A79" w:rsidRDefault="00A610F9" w:rsidP="002C2D46">
      <w:pPr>
        <w:spacing w:before="0" w:after="0"/>
      </w:pPr>
      <w:r w:rsidRPr="00203ECA">
        <w:t>The measure cost update is adjusted based on smart thermostat adoption in the Utility programs in 2018</w:t>
      </w:r>
      <w:r w:rsidR="00D76847">
        <w:rPr>
          <w:rStyle w:val="FootnoteReference"/>
        </w:rPr>
        <w:footnoteReference w:id="26"/>
      </w:r>
      <w:r w:rsidRPr="00203ECA">
        <w:t xml:space="preserve">.  IOU program tracking </w:t>
      </w:r>
      <w:r w:rsidRPr="00CE5EAC">
        <w:t>data suggest</w:t>
      </w:r>
      <w:r>
        <w:t>s</w:t>
      </w:r>
      <w:r w:rsidRPr="00CE5EAC">
        <w:t xml:space="preserve"> that 80% of all smart thermostat rebate applications are for </w:t>
      </w:r>
      <w:r w:rsidRPr="00CE5EAC">
        <w:lastRenderedPageBreak/>
        <w:t xml:space="preserve">smart thermostat technology with occupancy sensing.  The material cost per unit is adjusted to include only the standard features of smart thermostats.  </w:t>
      </w:r>
      <w:r>
        <w:t xml:space="preserve">Furthermore, the program data shows that </w:t>
      </w:r>
      <w:proofErr w:type="gramStart"/>
      <w:r>
        <w:t>the majority of</w:t>
      </w:r>
      <w:proofErr w:type="gramEnd"/>
      <w:r>
        <w:t xml:space="preserve"> installations featured a handful of major models of smart thermostats. Online retailer cost data was weighted based on program participation percentages to establish the measure material costs. </w:t>
      </w:r>
    </w:p>
    <w:p w14:paraId="1DB9CE16" w14:textId="77777777" w:rsidR="00905A79" w:rsidRDefault="00905A79" w:rsidP="002C2D46">
      <w:pPr>
        <w:spacing w:before="0" w:after="0"/>
      </w:pPr>
    </w:p>
    <w:p w14:paraId="34465BD0" w14:textId="2F8C241D" w:rsidR="00A610F9" w:rsidRPr="006A3E9E" w:rsidRDefault="00905A79" w:rsidP="00905A79">
      <w:pPr>
        <w:spacing w:before="0" w:after="0"/>
      </w:pPr>
      <w:r w:rsidRPr="00AB7198">
        <w:t>The final (weighted) measure cost was estimated at $210.16.</w:t>
      </w:r>
      <w:r w:rsidRPr="00AB7198">
        <w:rPr>
          <w:rStyle w:val="FootnoteReference"/>
        </w:rPr>
        <w:footnoteReference w:id="27"/>
      </w:r>
    </w:p>
    <w:p w14:paraId="0A2ADB72" w14:textId="77777777" w:rsidR="00905A79" w:rsidRDefault="00905A79" w:rsidP="002C2D46">
      <w:pPr>
        <w:spacing w:before="0" w:after="0"/>
      </w:pPr>
    </w:p>
    <w:p w14:paraId="0929DAD7" w14:textId="77777777" w:rsidR="009D3DC1" w:rsidRDefault="007A0F57" w:rsidP="002C2D46">
      <w:pPr>
        <w:spacing w:before="0" w:after="0"/>
        <w:rPr>
          <w:b/>
          <w:bCs/>
        </w:rPr>
      </w:pPr>
      <w:r w:rsidRPr="00A50610">
        <w:rPr>
          <w:b/>
          <w:bCs/>
        </w:rPr>
        <w:t>Cost Methodology/Approach</w:t>
      </w:r>
      <w:r w:rsidR="00EB2DB8">
        <w:rPr>
          <w:b/>
          <w:bCs/>
        </w:rPr>
        <w:t>.</w:t>
      </w:r>
    </w:p>
    <w:p w14:paraId="4A41A260" w14:textId="758EF667" w:rsidR="002A3F16" w:rsidRPr="00203ECA" w:rsidRDefault="007A0F57" w:rsidP="00A50610">
      <w:r w:rsidRPr="00203ECA">
        <w:t>The incremental measure cost is the cost differential of the efficient option over the standard option attributable to features related to energy efficiency performance.</w:t>
      </w:r>
      <w:r w:rsidR="00EB2DB8">
        <w:rPr>
          <w:rStyle w:val="FootnoteReference"/>
        </w:rPr>
        <w:footnoteReference w:id="28"/>
      </w:r>
      <w:r w:rsidRPr="00203ECA">
        <w:t xml:space="preserve">  A robust analysis would involve developing a taxonomy of features and determining the cost of each feature or component.  This is generally done through such methods as product teardowns or hedonic price modeling.  However, for thermostats, these methods become unwieldy because it is difficult to develop a standardized set of features due to various possible implementations of the technology and we may not find a reliable correlation between features and price</w:t>
      </w:r>
      <w:r w:rsidR="002A3F16">
        <w:t>.</w:t>
      </w:r>
    </w:p>
    <w:p w14:paraId="2429172B" w14:textId="77777777" w:rsidR="007A0F57" w:rsidRPr="00203ECA" w:rsidRDefault="007A0F57" w:rsidP="002C2D46"/>
    <w:p w14:paraId="02691007" w14:textId="3C007D4F" w:rsidR="007D230B" w:rsidRPr="00203ECA" w:rsidRDefault="002E5874" w:rsidP="00352543">
      <w:pPr>
        <w:pStyle w:val="eTRMHeading3"/>
      </w:pPr>
      <w:bookmarkStart w:id="61" w:name="_Toc42244455"/>
      <w:r w:rsidRPr="00203ECA">
        <w:t xml:space="preserve">Base Case </w:t>
      </w:r>
      <w:r w:rsidR="007D230B" w:rsidRPr="00203ECA">
        <w:t>Labor Cost ($/unit)</w:t>
      </w:r>
      <w:bookmarkEnd w:id="59"/>
      <w:bookmarkEnd w:id="60"/>
      <w:bookmarkEnd w:id="61"/>
    </w:p>
    <w:p w14:paraId="14A8874A" w14:textId="0D4585EF" w:rsidR="00554225" w:rsidRPr="00203ECA" w:rsidRDefault="00EB2DB8" w:rsidP="00554225">
      <w:r>
        <w:t>The base case l</w:t>
      </w:r>
      <w:r w:rsidR="007A0F57" w:rsidRPr="00203ECA">
        <w:t xml:space="preserve">abor cost was </w:t>
      </w:r>
      <w:r>
        <w:t>obtained</w:t>
      </w:r>
      <w:r w:rsidRPr="00203ECA">
        <w:t xml:space="preserve"> </w:t>
      </w:r>
      <w:r w:rsidR="007A0F57" w:rsidRPr="00203ECA">
        <w:t xml:space="preserve">from </w:t>
      </w:r>
      <w:r w:rsidR="00CF23AF">
        <w:t xml:space="preserve">the </w:t>
      </w:r>
      <w:r w:rsidR="007A0F57" w:rsidRPr="00203ECA">
        <w:t xml:space="preserve">RSMeans Online database </w:t>
      </w:r>
      <w:r>
        <w:t xml:space="preserve">in </w:t>
      </w:r>
      <w:r w:rsidR="00554225">
        <w:t>2020</w:t>
      </w:r>
      <w:r w:rsidR="007A0F57" w:rsidRPr="00203ECA">
        <w:t>. The bare labor hours (0.40 hours)</w:t>
      </w:r>
      <w:r w:rsidR="007D7D5F">
        <w:rPr>
          <w:rStyle w:val="FootnoteReference"/>
        </w:rPr>
        <w:footnoteReference w:id="29"/>
      </w:r>
      <w:r w:rsidR="007A0F57" w:rsidRPr="00203ECA">
        <w:t xml:space="preserve"> of</w:t>
      </w:r>
      <w:r w:rsidR="007D7D5F">
        <w:t xml:space="preserve"> residential </w:t>
      </w:r>
      <w:r w:rsidR="007A0F57" w:rsidRPr="00203ECA">
        <w:t>electrician time (</w:t>
      </w:r>
      <w:r w:rsidR="007D7D5F">
        <w:t>$</w:t>
      </w:r>
      <w:r w:rsidR="00AB7198">
        <w:t>67.95</w:t>
      </w:r>
      <w:r w:rsidR="007A0F57" w:rsidRPr="00203ECA">
        <w:t>)</w:t>
      </w:r>
      <w:r w:rsidR="007D7D5F">
        <w:rPr>
          <w:rStyle w:val="FootnoteReference"/>
        </w:rPr>
        <w:footnoteReference w:id="30"/>
      </w:r>
      <w:r w:rsidR="007A0F57" w:rsidRPr="00203ECA">
        <w:t xml:space="preserve"> was used to estimate the labor cost.</w:t>
      </w:r>
      <w:r w:rsidR="00554225">
        <w:t xml:space="preserve"> The average RSMeans </w:t>
      </w:r>
      <w:r w:rsidR="007D7D5F">
        <w:t xml:space="preserve">regional </w:t>
      </w:r>
      <w:r w:rsidR="00554225">
        <w:t>cost index</w:t>
      </w:r>
      <w:r w:rsidR="007D7D5F">
        <w:rPr>
          <w:rStyle w:val="FootnoteReference"/>
        </w:rPr>
        <w:footnoteReference w:id="31"/>
      </w:r>
      <w:r w:rsidR="00554225">
        <w:t xml:space="preserve"> value for California</w:t>
      </w:r>
      <w:r w:rsidR="0001009E">
        <w:t xml:space="preserve"> (of 1.11)</w:t>
      </w:r>
      <w:r w:rsidR="00554225">
        <w:t xml:space="preserve"> was used </w:t>
      </w:r>
      <w:r w:rsidR="001B2045">
        <w:t xml:space="preserve">to </w:t>
      </w:r>
      <w:r w:rsidR="00554225">
        <w:t>adjust the national average hourly labor rate to the California region.</w:t>
      </w:r>
      <w:r w:rsidR="00786D11">
        <w:t xml:space="preserve">  The final labor cost for this measure was estimated at $</w:t>
      </w:r>
      <w:r w:rsidR="00AB7198">
        <w:t>30.18</w:t>
      </w:r>
      <w:r w:rsidR="00786D11">
        <w:t xml:space="preserve">. </w:t>
      </w:r>
    </w:p>
    <w:p w14:paraId="154180DA" w14:textId="205AEFCF" w:rsidR="007A0F57" w:rsidRPr="00203ECA" w:rsidRDefault="007A0F57" w:rsidP="007A0F57"/>
    <w:p w14:paraId="5E89BC5E" w14:textId="22B628A3" w:rsidR="002E5874" w:rsidRPr="00203ECA" w:rsidRDefault="002E5874" w:rsidP="00352543">
      <w:pPr>
        <w:pStyle w:val="eTRMHeading3"/>
      </w:pPr>
      <w:bookmarkStart w:id="62" w:name="_Toc42244456"/>
      <w:r w:rsidRPr="00203ECA">
        <w:t>Measure Case Labor Cost ($/unit)</w:t>
      </w:r>
      <w:bookmarkEnd w:id="62"/>
    </w:p>
    <w:p w14:paraId="5FCE367F" w14:textId="3C5D32D7" w:rsidR="007D230B" w:rsidRPr="00203ECA" w:rsidRDefault="007A0F57" w:rsidP="007700C5">
      <w:pPr>
        <w:spacing w:before="0" w:after="0"/>
      </w:pPr>
      <w:r w:rsidRPr="00203ECA">
        <w:t xml:space="preserve">The labor costs for both the measure and base case are assumed to be the same. </w:t>
      </w:r>
      <w:r w:rsidR="00EB2DB8">
        <w:t>See Base Case Labor Cost.</w:t>
      </w:r>
    </w:p>
    <w:p w14:paraId="433D150B" w14:textId="77777777" w:rsidR="007700C5" w:rsidRDefault="007700C5" w:rsidP="006C0416">
      <w:bookmarkStart w:id="63" w:name="_Toc486490863"/>
      <w:bookmarkStart w:id="64" w:name="_Toc486580934"/>
    </w:p>
    <w:p w14:paraId="050D9183" w14:textId="7ABF5C13" w:rsidR="007D230B" w:rsidRPr="00203ECA" w:rsidRDefault="004B06E3" w:rsidP="00352543">
      <w:pPr>
        <w:pStyle w:val="eTRMHeading3"/>
      </w:pPr>
      <w:bookmarkStart w:id="65" w:name="_Toc42244457"/>
      <w:r w:rsidRPr="00203ECA">
        <w:t>Net-to-Gross</w:t>
      </w:r>
      <w:bookmarkEnd w:id="63"/>
      <w:bookmarkEnd w:id="64"/>
      <w:r w:rsidR="008D4652" w:rsidRPr="00203ECA">
        <w:t xml:space="preserve"> (NTG)</w:t>
      </w:r>
      <w:bookmarkEnd w:id="65"/>
    </w:p>
    <w:p w14:paraId="31B8EF26" w14:textId="4E400A53" w:rsidR="001B2045" w:rsidRPr="00203ECA" w:rsidRDefault="00AA3E2A" w:rsidP="004142EF">
      <w:r w:rsidRPr="00203ECA">
        <w:t xml:space="preserve">The net-to-gross (NTG) ratio represents the portion of gross impacts that are determined to be directly attributed to a specific program intervention. The relevant NTG values for </w:t>
      </w:r>
      <w:r w:rsidR="002F78E9" w:rsidRPr="00203ECA">
        <w:t>this measure</w:t>
      </w:r>
      <w:r w:rsidRPr="00203ECA">
        <w:t xml:space="preserve"> are specified</w:t>
      </w:r>
      <w:r w:rsidR="002F086B">
        <w:t xml:space="preserve"> </w:t>
      </w:r>
      <w:r w:rsidR="002F78E9" w:rsidRPr="00203ECA">
        <w:t>below.</w:t>
      </w:r>
      <w:r w:rsidR="002F086B">
        <w:t xml:space="preserve">  These </w:t>
      </w:r>
      <w:r w:rsidR="001B2045">
        <w:t xml:space="preserve">values are based on the free ridership survey results published in the </w:t>
      </w:r>
      <w:r w:rsidR="00CF23AF">
        <w:t xml:space="preserve">Program Year </w:t>
      </w:r>
      <w:r w:rsidR="001B2045">
        <w:t xml:space="preserve">2018 </w:t>
      </w:r>
      <w:r w:rsidR="001B2045">
        <w:lastRenderedPageBreak/>
        <w:t>Impact Evaluation</w:t>
      </w:r>
      <w:r w:rsidR="002F086B">
        <w:t>.</w:t>
      </w:r>
      <w:r w:rsidR="001B2045">
        <w:rPr>
          <w:rStyle w:val="FootnoteReference"/>
        </w:rPr>
        <w:footnoteReference w:id="32"/>
      </w:r>
      <w:r w:rsidR="002F086B">
        <w:t xml:space="preserve"> </w:t>
      </w:r>
      <w:r w:rsidR="001B2045">
        <w:t xml:space="preserve">This information was used to estimate </w:t>
      </w:r>
      <w:r w:rsidR="00CF23AF">
        <w:t xml:space="preserve">weighted </w:t>
      </w:r>
      <w:r w:rsidR="001B2045">
        <w:t>NTG values for</w:t>
      </w:r>
      <w:r w:rsidR="002F086B">
        <w:t xml:space="preserve"> </w:t>
      </w:r>
      <w:r w:rsidR="00562EAA">
        <w:t xml:space="preserve">both Downstream and Direct Install </w:t>
      </w:r>
      <w:r w:rsidR="002F086B">
        <w:t xml:space="preserve">statewide programs </w:t>
      </w:r>
      <w:r w:rsidR="005F0300">
        <w:t>and included in DEER2021</w:t>
      </w:r>
      <w:r w:rsidR="00956F2D">
        <w:rPr>
          <w:rStyle w:val="FootnoteReference"/>
        </w:rPr>
        <w:footnoteReference w:id="33"/>
      </w:r>
      <w:r w:rsidR="001B2045">
        <w:t xml:space="preserve">. </w:t>
      </w:r>
    </w:p>
    <w:p w14:paraId="0D1CEED6" w14:textId="7936579E" w:rsidR="00DE1A0F" w:rsidRPr="00203ECA" w:rsidRDefault="00DE1A0F" w:rsidP="0010657B">
      <w:pPr>
        <w:pStyle w:val="Caption"/>
      </w:pPr>
      <w:bookmarkStart w:id="66" w:name="_Hlk40962294"/>
      <w:r w:rsidRPr="00203ECA">
        <w:t>Net-to-Gross Ratios</w:t>
      </w:r>
    </w:p>
    <w:tbl>
      <w:tblPr>
        <w:tblW w:w="99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5"/>
        <w:gridCol w:w="2610"/>
        <w:gridCol w:w="1314"/>
        <w:gridCol w:w="3976"/>
      </w:tblGrid>
      <w:tr w:rsidR="00554225" w:rsidRPr="00203ECA" w14:paraId="0D2B92AF" w14:textId="662FBAEE" w:rsidTr="002C2D46">
        <w:trPr>
          <w:cantSplit/>
          <w:trHeight w:val="19"/>
        </w:trPr>
        <w:tc>
          <w:tcPr>
            <w:tcW w:w="2065" w:type="dxa"/>
            <w:shd w:val="clear" w:color="000000" w:fill="F2F2F2" w:themeFill="background1" w:themeFillShade="F2"/>
            <w:vAlign w:val="bottom"/>
          </w:tcPr>
          <w:p w14:paraId="2A033AD8" w14:textId="3B553F77"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Parameter</w:t>
            </w:r>
          </w:p>
        </w:tc>
        <w:tc>
          <w:tcPr>
            <w:tcW w:w="2610" w:type="dxa"/>
            <w:shd w:val="clear" w:color="000000" w:fill="F2F2F2" w:themeFill="background1" w:themeFillShade="F2"/>
          </w:tcPr>
          <w:p w14:paraId="30DD0447" w14:textId="530B77AD" w:rsidR="00554225" w:rsidRPr="00203ECA" w:rsidRDefault="00554225" w:rsidP="006D6644">
            <w:pPr>
              <w:keepNext/>
              <w:keepLines/>
              <w:spacing w:before="0" w:after="0" w:line="200" w:lineRule="atLeast"/>
              <w:jc w:val="center"/>
              <w:rPr>
                <w:rFonts w:cs="Arial"/>
                <w:b/>
                <w:color w:val="000000"/>
                <w:sz w:val="20"/>
                <w:szCs w:val="20"/>
              </w:rPr>
            </w:pPr>
            <w:r>
              <w:rPr>
                <w:rFonts w:cs="Arial"/>
                <w:b/>
                <w:color w:val="000000"/>
                <w:sz w:val="20"/>
                <w:szCs w:val="20"/>
              </w:rPr>
              <w:t>NTG ID</w:t>
            </w:r>
          </w:p>
        </w:tc>
        <w:tc>
          <w:tcPr>
            <w:tcW w:w="1314" w:type="dxa"/>
            <w:shd w:val="clear" w:color="000000" w:fill="F2F2F2" w:themeFill="background1" w:themeFillShade="F2"/>
            <w:vAlign w:val="bottom"/>
          </w:tcPr>
          <w:p w14:paraId="547E5263" w14:textId="6AC8B538"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Value</w:t>
            </w:r>
          </w:p>
        </w:tc>
        <w:tc>
          <w:tcPr>
            <w:tcW w:w="3976" w:type="dxa"/>
            <w:shd w:val="clear" w:color="000000" w:fill="F2F2F2" w:themeFill="background1" w:themeFillShade="F2"/>
          </w:tcPr>
          <w:p w14:paraId="50233CF6" w14:textId="0C7F65AC"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Source</w:t>
            </w:r>
          </w:p>
        </w:tc>
      </w:tr>
      <w:tr w:rsidR="00CE02FB" w:rsidRPr="00203ECA" w14:paraId="682BF062" w14:textId="72E696E9" w:rsidTr="002C2D46">
        <w:trPr>
          <w:cantSplit/>
          <w:trHeight w:val="800"/>
        </w:trPr>
        <w:tc>
          <w:tcPr>
            <w:tcW w:w="2065" w:type="dxa"/>
            <w:vAlign w:val="center"/>
          </w:tcPr>
          <w:p w14:paraId="5BA6FA92" w14:textId="628339B4" w:rsidR="00CE02FB" w:rsidRPr="003D20E9" w:rsidRDefault="00CE02FB" w:rsidP="00CE02FB">
            <w:pPr>
              <w:keepNext/>
              <w:keepLines/>
              <w:spacing w:before="0" w:after="0" w:line="200" w:lineRule="atLeast"/>
              <w:rPr>
                <w:rFonts w:cstheme="minorHAnsi"/>
                <w:sz w:val="20"/>
                <w:szCs w:val="20"/>
              </w:rPr>
            </w:pPr>
            <w:r w:rsidRPr="001F5FCE">
              <w:rPr>
                <w:rFonts w:cs="Arial"/>
                <w:sz w:val="20"/>
                <w:szCs w:val="20"/>
              </w:rPr>
              <w:t>Downstream Deemed</w:t>
            </w:r>
            <w:r w:rsidRPr="003D20E9" w:rsidDel="00605DAF">
              <w:rPr>
                <w:rFonts w:cs="Arial"/>
                <w:sz w:val="20"/>
                <w:szCs w:val="20"/>
              </w:rPr>
              <w:t xml:space="preserve"> </w:t>
            </w:r>
          </w:p>
        </w:tc>
        <w:tc>
          <w:tcPr>
            <w:tcW w:w="2610" w:type="dxa"/>
            <w:vAlign w:val="center"/>
          </w:tcPr>
          <w:p w14:paraId="75869C36" w14:textId="7B8AD9DB" w:rsidR="00CE02FB" w:rsidRPr="007C2987" w:rsidRDefault="00CE02FB">
            <w:pPr>
              <w:keepNext/>
              <w:keepLines/>
              <w:spacing w:before="0" w:after="0" w:line="200" w:lineRule="atLeast"/>
              <w:jc w:val="center"/>
              <w:rPr>
                <w:sz w:val="20"/>
                <w:szCs w:val="22"/>
              </w:rPr>
            </w:pPr>
            <w:r w:rsidRPr="002C2D46">
              <w:rPr>
                <w:sz w:val="20"/>
                <w:szCs w:val="22"/>
              </w:rPr>
              <w:t>Res-</w:t>
            </w:r>
            <w:proofErr w:type="spellStart"/>
            <w:r w:rsidRPr="002C2D46">
              <w:rPr>
                <w:sz w:val="20"/>
                <w:szCs w:val="22"/>
              </w:rPr>
              <w:t>sAll</w:t>
            </w:r>
            <w:proofErr w:type="spellEnd"/>
            <w:r w:rsidRPr="002C2D46">
              <w:rPr>
                <w:sz w:val="20"/>
                <w:szCs w:val="22"/>
              </w:rPr>
              <w:t>-</w:t>
            </w:r>
            <w:proofErr w:type="spellStart"/>
            <w:r w:rsidRPr="002C2D46">
              <w:rPr>
                <w:sz w:val="20"/>
                <w:szCs w:val="22"/>
              </w:rPr>
              <w:t>mHVAC</w:t>
            </w:r>
            <w:proofErr w:type="spellEnd"/>
            <w:r w:rsidRPr="002C2D46">
              <w:rPr>
                <w:sz w:val="20"/>
                <w:szCs w:val="22"/>
              </w:rPr>
              <w:t>-SCT-</w:t>
            </w:r>
            <w:proofErr w:type="spellStart"/>
            <w:r w:rsidRPr="002C2D46">
              <w:rPr>
                <w:sz w:val="20"/>
                <w:szCs w:val="22"/>
              </w:rPr>
              <w:t>dn</w:t>
            </w:r>
            <w:proofErr w:type="spellEnd"/>
          </w:p>
        </w:tc>
        <w:tc>
          <w:tcPr>
            <w:tcW w:w="1314" w:type="dxa"/>
            <w:shd w:val="clear" w:color="auto" w:fill="auto"/>
            <w:noWrap/>
            <w:vAlign w:val="center"/>
          </w:tcPr>
          <w:p w14:paraId="62F18FF1" w14:textId="60720959" w:rsidR="00CE02FB" w:rsidRPr="003D20E9" w:rsidRDefault="00CE02FB" w:rsidP="00CE02FB">
            <w:pPr>
              <w:keepNext/>
              <w:keepLines/>
              <w:spacing w:before="0" w:after="0" w:line="200" w:lineRule="atLeast"/>
              <w:jc w:val="center"/>
              <w:rPr>
                <w:sz w:val="20"/>
                <w:szCs w:val="20"/>
              </w:rPr>
            </w:pPr>
            <w:r w:rsidRPr="002C2D46">
              <w:t>0.</w:t>
            </w:r>
            <w:r>
              <w:t>55</w:t>
            </w:r>
          </w:p>
        </w:tc>
        <w:tc>
          <w:tcPr>
            <w:tcW w:w="3976" w:type="dxa"/>
            <w:vMerge w:val="restart"/>
            <w:vAlign w:val="center"/>
          </w:tcPr>
          <w:p w14:paraId="0A2E4B1A" w14:textId="5F49872E" w:rsidR="00956F2D" w:rsidRDefault="00CE02FB">
            <w:pPr>
              <w:keepNext/>
              <w:keepLines/>
              <w:spacing w:before="0" w:after="0" w:line="200" w:lineRule="atLeast"/>
              <w:rPr>
                <w:sz w:val="18"/>
                <w:szCs w:val="18"/>
              </w:rPr>
            </w:pPr>
            <w:r w:rsidRPr="002C2D46">
              <w:rPr>
                <w:sz w:val="18"/>
                <w:szCs w:val="18"/>
              </w:rPr>
              <w:t>Weighted NTG</w:t>
            </w:r>
            <w:r w:rsidR="00300733">
              <w:rPr>
                <w:sz w:val="18"/>
                <w:szCs w:val="18"/>
              </w:rPr>
              <w:t xml:space="preserve"> values for </w:t>
            </w:r>
            <w:r>
              <w:rPr>
                <w:sz w:val="18"/>
                <w:szCs w:val="18"/>
              </w:rPr>
              <w:t>Direct Installed and Downstream programs</w:t>
            </w:r>
            <w:r w:rsidR="00300733">
              <w:rPr>
                <w:sz w:val="18"/>
                <w:szCs w:val="18"/>
              </w:rPr>
              <w:t xml:space="preserve"> as informed by </w:t>
            </w:r>
            <w:r w:rsidRPr="002C2D46">
              <w:rPr>
                <w:sz w:val="18"/>
                <w:szCs w:val="18"/>
              </w:rPr>
              <w:t>"Impact Evaluation of Smart Thermostats, Residential Sector - Program Year 2018</w:t>
            </w:r>
            <w:r w:rsidR="00300733">
              <w:rPr>
                <w:sz w:val="18"/>
                <w:szCs w:val="18"/>
              </w:rPr>
              <w:t>.</w:t>
            </w:r>
            <w:r w:rsidRPr="002C2D46">
              <w:rPr>
                <w:sz w:val="18"/>
                <w:szCs w:val="18"/>
              </w:rPr>
              <w:t>"</w:t>
            </w:r>
            <w:r w:rsidR="00300733">
              <w:rPr>
                <w:sz w:val="18"/>
                <w:szCs w:val="18"/>
              </w:rPr>
              <w:t xml:space="preserve"> </w:t>
            </w:r>
          </w:p>
          <w:p w14:paraId="133857EB" w14:textId="51407CB3" w:rsidR="005F0300" w:rsidRPr="006C0416" w:rsidRDefault="00956F2D">
            <w:pPr>
              <w:keepNext/>
              <w:keepLines/>
              <w:spacing w:before="0" w:after="0" w:line="200" w:lineRule="atLeast"/>
              <w:rPr>
                <w:sz w:val="20"/>
                <w:szCs w:val="20"/>
                <w:highlight w:val="yellow"/>
              </w:rPr>
            </w:pPr>
            <w:r w:rsidRPr="000A4C01">
              <w:rPr>
                <w:sz w:val="18"/>
                <w:szCs w:val="18"/>
              </w:rPr>
              <w:t>California Public Utilities Commission (CPUC). 20</w:t>
            </w:r>
            <w:r>
              <w:rPr>
                <w:sz w:val="18"/>
                <w:szCs w:val="18"/>
              </w:rPr>
              <w:t>20</w:t>
            </w:r>
            <w:r w:rsidRPr="000A4C01">
              <w:rPr>
                <w:sz w:val="18"/>
                <w:szCs w:val="18"/>
              </w:rPr>
              <w:t>. “</w:t>
            </w:r>
            <w:r w:rsidRPr="00956F2D">
              <w:rPr>
                <w:sz w:val="18"/>
                <w:szCs w:val="18"/>
              </w:rPr>
              <w:t>SupportTable_NTG2020</w:t>
            </w:r>
            <w:r>
              <w:rPr>
                <w:sz w:val="18"/>
                <w:szCs w:val="18"/>
              </w:rPr>
              <w:t>.CSV</w:t>
            </w:r>
            <w:r w:rsidRPr="000A4C01">
              <w:rPr>
                <w:sz w:val="18"/>
                <w:szCs w:val="18"/>
              </w:rPr>
              <w:t>.”</w:t>
            </w:r>
            <w:r>
              <w:rPr>
                <w:sz w:val="18"/>
                <w:szCs w:val="18"/>
              </w:rPr>
              <w:t xml:space="preserve"> Obtained from PEAR database.</w:t>
            </w:r>
          </w:p>
        </w:tc>
      </w:tr>
      <w:tr w:rsidR="00CE02FB" w:rsidRPr="00203ECA" w14:paraId="456AF0B4" w14:textId="77777777" w:rsidTr="002C2D46">
        <w:trPr>
          <w:cantSplit/>
          <w:trHeight w:val="350"/>
        </w:trPr>
        <w:tc>
          <w:tcPr>
            <w:tcW w:w="2065" w:type="dxa"/>
            <w:vAlign w:val="center"/>
          </w:tcPr>
          <w:p w14:paraId="02C457DE" w14:textId="4835C3D8" w:rsidR="00CE02FB" w:rsidRPr="003D20E9" w:rsidRDefault="00CE02FB" w:rsidP="00CE02FB">
            <w:pPr>
              <w:keepNext/>
              <w:keepLines/>
              <w:spacing w:before="0" w:after="0" w:line="200" w:lineRule="atLeast"/>
              <w:rPr>
                <w:rFonts w:cs="Arial"/>
                <w:sz w:val="20"/>
                <w:szCs w:val="20"/>
              </w:rPr>
            </w:pPr>
            <w:r>
              <w:rPr>
                <w:rFonts w:cs="Arial"/>
                <w:sz w:val="20"/>
                <w:szCs w:val="20"/>
              </w:rPr>
              <w:t>Direct Install</w:t>
            </w:r>
          </w:p>
        </w:tc>
        <w:tc>
          <w:tcPr>
            <w:tcW w:w="2610" w:type="dxa"/>
            <w:vAlign w:val="center"/>
          </w:tcPr>
          <w:p w14:paraId="416B97FF" w14:textId="432749B4" w:rsidR="00CE02FB" w:rsidRPr="007C2987" w:rsidRDefault="00CE02FB">
            <w:pPr>
              <w:keepNext/>
              <w:keepLines/>
              <w:spacing w:before="0" w:after="0" w:line="200" w:lineRule="atLeast"/>
              <w:jc w:val="center"/>
              <w:rPr>
                <w:sz w:val="20"/>
                <w:szCs w:val="22"/>
              </w:rPr>
            </w:pPr>
            <w:r w:rsidRPr="002C2D46">
              <w:rPr>
                <w:sz w:val="20"/>
                <w:szCs w:val="22"/>
              </w:rPr>
              <w:t>Res-</w:t>
            </w:r>
            <w:proofErr w:type="spellStart"/>
            <w:r w:rsidRPr="002C2D46">
              <w:rPr>
                <w:sz w:val="20"/>
                <w:szCs w:val="22"/>
              </w:rPr>
              <w:t>sAll</w:t>
            </w:r>
            <w:proofErr w:type="spellEnd"/>
            <w:r w:rsidRPr="002C2D46">
              <w:rPr>
                <w:sz w:val="20"/>
                <w:szCs w:val="22"/>
              </w:rPr>
              <w:t>-</w:t>
            </w:r>
            <w:proofErr w:type="spellStart"/>
            <w:r w:rsidRPr="002C2D46">
              <w:rPr>
                <w:sz w:val="20"/>
                <w:szCs w:val="22"/>
              </w:rPr>
              <w:t>mHVAC</w:t>
            </w:r>
            <w:proofErr w:type="spellEnd"/>
            <w:r w:rsidRPr="002C2D46">
              <w:rPr>
                <w:sz w:val="20"/>
                <w:szCs w:val="22"/>
              </w:rPr>
              <w:t>-SCT-di</w:t>
            </w:r>
          </w:p>
        </w:tc>
        <w:tc>
          <w:tcPr>
            <w:tcW w:w="1314" w:type="dxa"/>
            <w:shd w:val="clear" w:color="auto" w:fill="auto"/>
            <w:noWrap/>
            <w:vAlign w:val="center"/>
          </w:tcPr>
          <w:p w14:paraId="57B2DBE4" w14:textId="11EC761A" w:rsidR="00CE02FB" w:rsidRPr="003D20E9" w:rsidRDefault="00CE02FB" w:rsidP="00CE02FB">
            <w:pPr>
              <w:keepNext/>
              <w:keepLines/>
              <w:spacing w:before="0" w:after="0" w:line="200" w:lineRule="atLeast"/>
              <w:jc w:val="center"/>
              <w:rPr>
                <w:sz w:val="20"/>
                <w:szCs w:val="20"/>
              </w:rPr>
            </w:pPr>
            <w:r w:rsidRPr="002C2D46">
              <w:t>0.</w:t>
            </w:r>
            <w:r>
              <w:t>90</w:t>
            </w:r>
          </w:p>
        </w:tc>
        <w:tc>
          <w:tcPr>
            <w:tcW w:w="3976" w:type="dxa"/>
            <w:vMerge/>
            <w:vAlign w:val="center"/>
          </w:tcPr>
          <w:p w14:paraId="03AAAAE6" w14:textId="77777777" w:rsidR="00CE02FB" w:rsidRPr="005466DB" w:rsidRDefault="00CE02FB" w:rsidP="00CE02FB">
            <w:pPr>
              <w:keepNext/>
              <w:keepLines/>
              <w:spacing w:before="0" w:after="0" w:line="200" w:lineRule="atLeast"/>
              <w:rPr>
                <w:sz w:val="18"/>
                <w:szCs w:val="18"/>
              </w:rPr>
            </w:pPr>
          </w:p>
        </w:tc>
      </w:tr>
    </w:tbl>
    <w:p w14:paraId="6088FA7D" w14:textId="77777777" w:rsidR="000055F1" w:rsidRPr="00203ECA" w:rsidRDefault="000055F1" w:rsidP="00964038">
      <w:pPr>
        <w:rPr>
          <w:caps/>
        </w:rPr>
      </w:pPr>
      <w:bookmarkStart w:id="67" w:name="_Toc486490864"/>
      <w:bookmarkStart w:id="68" w:name="_Toc486580935"/>
      <w:bookmarkEnd w:id="66"/>
    </w:p>
    <w:p w14:paraId="323B5B02" w14:textId="2B8E84B2" w:rsidR="007D230B" w:rsidRPr="00203ECA" w:rsidRDefault="00D02C36" w:rsidP="00352543">
      <w:pPr>
        <w:pStyle w:val="eTRMHeading3"/>
      </w:pPr>
      <w:bookmarkStart w:id="69" w:name="_Toc42244458"/>
      <w:r w:rsidRPr="00203ECA">
        <w:t>Gross Savings Installation Adjustment (</w:t>
      </w:r>
      <w:r w:rsidR="007D230B" w:rsidRPr="00203ECA">
        <w:t>GSIA</w:t>
      </w:r>
      <w:bookmarkEnd w:id="67"/>
      <w:bookmarkEnd w:id="68"/>
      <w:r w:rsidRPr="00203ECA">
        <w:t>)</w:t>
      </w:r>
      <w:bookmarkEnd w:id="69"/>
    </w:p>
    <w:p w14:paraId="2A1F1C17" w14:textId="47AD6078" w:rsidR="007D230B" w:rsidRPr="00203ECA" w:rsidRDefault="00AA3E2A" w:rsidP="004142EF">
      <w:r w:rsidRPr="00203ECA">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022915CE" w14:textId="4D8D7AD0" w:rsidR="00DE1A0F" w:rsidRPr="00203ECA" w:rsidRDefault="002F78E9" w:rsidP="0010657B">
      <w:pPr>
        <w:pStyle w:val="Caption"/>
      </w:pPr>
      <w:r w:rsidRPr="00203ECA">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203ECA" w14:paraId="60BDA2BB" w14:textId="744FC0FC" w:rsidTr="00D6352D">
        <w:trPr>
          <w:cantSplit/>
          <w:trHeight w:val="20"/>
        </w:trPr>
        <w:tc>
          <w:tcPr>
            <w:tcW w:w="1093" w:type="pct"/>
            <w:shd w:val="clear" w:color="000000" w:fill="F2F2F2" w:themeFill="background1" w:themeFillShade="F2"/>
            <w:vAlign w:val="bottom"/>
          </w:tcPr>
          <w:p w14:paraId="7D363CC0" w14:textId="26519964" w:rsidR="00AA3E2A" w:rsidRPr="00203ECA" w:rsidRDefault="00177EB6" w:rsidP="00BA3D7D">
            <w:pPr>
              <w:spacing w:before="0" w:after="0" w:line="200" w:lineRule="atLeast"/>
              <w:jc w:val="center"/>
              <w:rPr>
                <w:rFonts w:cs="Arial"/>
                <w:b/>
                <w:color w:val="000000"/>
                <w:sz w:val="20"/>
                <w:szCs w:val="20"/>
              </w:rPr>
            </w:pPr>
            <w:r w:rsidRPr="00203ECA">
              <w:rPr>
                <w:rFonts w:cs="Arial"/>
                <w:b/>
                <w:color w:val="000000"/>
                <w:sz w:val="20"/>
                <w:szCs w:val="20"/>
              </w:rPr>
              <w:t>Parameter</w:t>
            </w:r>
          </w:p>
        </w:tc>
        <w:tc>
          <w:tcPr>
            <w:tcW w:w="905" w:type="pct"/>
            <w:shd w:val="clear" w:color="000000" w:fill="F2F2F2" w:themeFill="background1" w:themeFillShade="F2"/>
            <w:vAlign w:val="center"/>
          </w:tcPr>
          <w:p w14:paraId="2A1AC9D4" w14:textId="3263DC2B" w:rsidR="00AA3E2A" w:rsidRPr="00203ECA" w:rsidRDefault="00AA3E2A" w:rsidP="006D6644">
            <w:pPr>
              <w:spacing w:before="0" w:after="0" w:line="200" w:lineRule="atLeast"/>
              <w:jc w:val="center"/>
              <w:rPr>
                <w:rFonts w:cs="Arial"/>
                <w:b/>
                <w:color w:val="000000"/>
                <w:sz w:val="20"/>
                <w:szCs w:val="20"/>
              </w:rPr>
            </w:pPr>
            <w:r w:rsidRPr="00203ECA">
              <w:rPr>
                <w:rFonts w:cs="Arial"/>
                <w:b/>
                <w:sz w:val="20"/>
                <w:szCs w:val="20"/>
              </w:rPr>
              <w:t xml:space="preserve">GSIA </w:t>
            </w:r>
          </w:p>
        </w:tc>
        <w:tc>
          <w:tcPr>
            <w:tcW w:w="3002" w:type="pct"/>
            <w:shd w:val="clear" w:color="000000" w:fill="F2F2F2" w:themeFill="background1" w:themeFillShade="F2"/>
          </w:tcPr>
          <w:p w14:paraId="32AB7FEE" w14:textId="77936D4E" w:rsidR="00AA3E2A" w:rsidRPr="00203ECA" w:rsidRDefault="00AA3E2A" w:rsidP="006D6644">
            <w:pPr>
              <w:spacing w:before="0" w:after="0" w:line="200" w:lineRule="atLeast"/>
              <w:jc w:val="center"/>
              <w:rPr>
                <w:rFonts w:cs="Arial"/>
                <w:b/>
                <w:sz w:val="20"/>
                <w:szCs w:val="20"/>
              </w:rPr>
            </w:pPr>
            <w:r w:rsidRPr="00203ECA">
              <w:rPr>
                <w:rFonts w:cs="Arial"/>
                <w:b/>
                <w:sz w:val="20"/>
                <w:szCs w:val="20"/>
              </w:rPr>
              <w:t>Source</w:t>
            </w:r>
          </w:p>
        </w:tc>
      </w:tr>
      <w:tr w:rsidR="00D6352D" w:rsidRPr="00203ECA" w14:paraId="2209CD52" w14:textId="78579504" w:rsidTr="00A50610">
        <w:trPr>
          <w:cantSplit/>
          <w:trHeight w:val="20"/>
        </w:trPr>
        <w:tc>
          <w:tcPr>
            <w:tcW w:w="1093" w:type="pct"/>
            <w:vAlign w:val="center"/>
          </w:tcPr>
          <w:p w14:paraId="6618BC2B" w14:textId="76C9739F" w:rsidR="00D6352D" w:rsidRPr="00203ECA" w:rsidRDefault="00D6352D" w:rsidP="000055F1">
            <w:pPr>
              <w:spacing w:before="0" w:after="0" w:line="200" w:lineRule="atLeast"/>
              <w:rPr>
                <w:rFonts w:cstheme="minorHAnsi"/>
                <w:sz w:val="20"/>
                <w:szCs w:val="20"/>
              </w:rPr>
            </w:pPr>
            <w:r w:rsidRPr="00203ECA">
              <w:rPr>
                <w:rFonts w:cstheme="minorHAnsi"/>
                <w:sz w:val="20"/>
                <w:szCs w:val="20"/>
              </w:rPr>
              <w:t xml:space="preserve">GSIA </w:t>
            </w:r>
          </w:p>
        </w:tc>
        <w:tc>
          <w:tcPr>
            <w:tcW w:w="905" w:type="pct"/>
            <w:vAlign w:val="center"/>
          </w:tcPr>
          <w:p w14:paraId="6D1D8F27" w14:textId="13477C3E" w:rsidR="00D6352D" w:rsidRPr="00203ECA" w:rsidRDefault="00D6352D" w:rsidP="00D6352D">
            <w:pPr>
              <w:spacing w:before="0" w:after="0" w:line="200" w:lineRule="atLeast"/>
              <w:jc w:val="center"/>
              <w:rPr>
                <w:sz w:val="20"/>
                <w:szCs w:val="20"/>
              </w:rPr>
            </w:pPr>
            <w:r w:rsidRPr="00203ECA">
              <w:rPr>
                <w:sz w:val="20"/>
                <w:szCs w:val="20"/>
              </w:rPr>
              <w:t>1.0</w:t>
            </w:r>
          </w:p>
        </w:tc>
        <w:tc>
          <w:tcPr>
            <w:tcW w:w="3002" w:type="pct"/>
            <w:vAlign w:val="center"/>
          </w:tcPr>
          <w:p w14:paraId="52FCA633" w14:textId="230E318D" w:rsidR="00D6352D" w:rsidRPr="00203ECA" w:rsidRDefault="00D6352D" w:rsidP="00D6352D">
            <w:pPr>
              <w:spacing w:before="0" w:after="0" w:line="200" w:lineRule="atLeast"/>
              <w:rPr>
                <w:sz w:val="20"/>
                <w:szCs w:val="20"/>
              </w:rPr>
            </w:pPr>
            <w:r w:rsidRPr="00203ECA">
              <w:rPr>
                <w:rFonts w:eastAsia="Times New Roman" w:cs="Times New Roman"/>
                <w:sz w:val="18"/>
                <w:szCs w:val="18"/>
              </w:rPr>
              <w:t xml:space="preserve">California Public Utilities Commission (CPUC), Energy Division. 2013. </w:t>
            </w:r>
            <w:r w:rsidRPr="00203ECA">
              <w:rPr>
                <w:rFonts w:eastAsia="Times New Roman" w:cs="Times New Roman"/>
                <w:i/>
                <w:sz w:val="18"/>
                <w:szCs w:val="18"/>
              </w:rPr>
              <w:t>Energy Efficiency Policy Manual Version 5</w:t>
            </w:r>
            <w:r w:rsidRPr="00203ECA">
              <w:rPr>
                <w:rFonts w:eastAsia="Times New Roman" w:cs="Times New Roman"/>
                <w:sz w:val="18"/>
                <w:szCs w:val="18"/>
              </w:rPr>
              <w:t>. Page 31.</w:t>
            </w:r>
          </w:p>
        </w:tc>
      </w:tr>
    </w:tbl>
    <w:p w14:paraId="08395124" w14:textId="77777777" w:rsidR="00DE1A0F" w:rsidRPr="00203ECA" w:rsidRDefault="00DE1A0F" w:rsidP="00DE1A0F">
      <w:pPr>
        <w:rPr>
          <w:rFonts w:cs="Arial"/>
          <w:sz w:val="20"/>
          <w:szCs w:val="20"/>
        </w:rPr>
      </w:pPr>
    </w:p>
    <w:p w14:paraId="498C05E5" w14:textId="232D8547" w:rsidR="002C67DF" w:rsidRPr="00203ECA" w:rsidRDefault="002C67DF" w:rsidP="00352543">
      <w:pPr>
        <w:pStyle w:val="eTRMHeading3"/>
      </w:pPr>
      <w:bookmarkStart w:id="70" w:name="_Toc486490865"/>
      <w:bookmarkStart w:id="71" w:name="_Toc486580936"/>
      <w:bookmarkStart w:id="72" w:name="_Toc42244459"/>
      <w:r w:rsidRPr="00203ECA">
        <w:t xml:space="preserve">Non-Energy </w:t>
      </w:r>
      <w:bookmarkEnd w:id="70"/>
      <w:bookmarkEnd w:id="71"/>
      <w:r w:rsidR="00DA6B7E" w:rsidRPr="00203ECA">
        <w:t>Impacts</w:t>
      </w:r>
      <w:bookmarkEnd w:id="72"/>
    </w:p>
    <w:p w14:paraId="0D73FC70" w14:textId="27339D17" w:rsidR="00697A88" w:rsidRPr="00203ECA" w:rsidRDefault="00697A88" w:rsidP="00697A88">
      <w:pPr>
        <w:rPr>
          <w:rFonts w:cs="Arial"/>
          <w:szCs w:val="20"/>
        </w:rPr>
      </w:pPr>
      <w:r w:rsidRPr="00203ECA">
        <w:rPr>
          <w:rFonts w:cs="Arial"/>
          <w:szCs w:val="20"/>
        </w:rPr>
        <w:t xml:space="preserve">Non-energy benefits for this measure have not been </w:t>
      </w:r>
      <w:r w:rsidR="009D7F4D" w:rsidRPr="00203ECA">
        <w:rPr>
          <w:rFonts w:cs="Arial"/>
          <w:szCs w:val="20"/>
        </w:rPr>
        <w:t>quantified</w:t>
      </w:r>
      <w:r w:rsidRPr="00203ECA">
        <w:rPr>
          <w:rFonts w:cs="Arial"/>
          <w:szCs w:val="20"/>
        </w:rPr>
        <w:t>.</w:t>
      </w:r>
    </w:p>
    <w:p w14:paraId="0C37F289" w14:textId="77777777" w:rsidR="00697A88" w:rsidRPr="00203ECA" w:rsidRDefault="00697A88" w:rsidP="004142EF"/>
    <w:p w14:paraId="7D8551BB" w14:textId="760F7D39" w:rsidR="009C31A4" w:rsidRPr="00203ECA" w:rsidRDefault="009C31A4" w:rsidP="00352543">
      <w:pPr>
        <w:pStyle w:val="eTRMHeading3"/>
      </w:pPr>
      <w:bookmarkStart w:id="73" w:name="_Toc42244460"/>
      <w:r w:rsidRPr="00203ECA">
        <w:t>DEER Differences Analysis</w:t>
      </w:r>
      <w:bookmarkEnd w:id="73"/>
    </w:p>
    <w:p w14:paraId="575E579E" w14:textId="371D68E0" w:rsidR="002C67DF" w:rsidRPr="00203ECA" w:rsidRDefault="003F21D2" w:rsidP="004142EF">
      <w:r w:rsidRPr="00203ECA">
        <w:t>This section provides a summary of DEER-based inputs and methods, and the rationale for inputs and methods that are not DEER-based.</w:t>
      </w:r>
    </w:p>
    <w:p w14:paraId="756C62FB" w14:textId="615AAC71" w:rsidR="00EA057C" w:rsidRPr="00203ECA" w:rsidRDefault="00EA057C" w:rsidP="0010657B">
      <w:pPr>
        <w:pStyle w:val="Caption"/>
      </w:pPr>
      <w:r w:rsidRPr="00203ECA">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203ECA" w14:paraId="59D017C8" w14:textId="77777777" w:rsidTr="00EA057C">
        <w:trPr>
          <w:trHeight w:val="20"/>
        </w:trPr>
        <w:tc>
          <w:tcPr>
            <w:tcW w:w="1730" w:type="pct"/>
            <w:shd w:val="clear" w:color="auto" w:fill="F2F2F2" w:themeFill="background1" w:themeFillShade="F2"/>
          </w:tcPr>
          <w:p w14:paraId="5A1E2CE5" w14:textId="77777777" w:rsidR="00EA057C" w:rsidRPr="00203ECA" w:rsidRDefault="00EA057C" w:rsidP="00EA057C">
            <w:pPr>
              <w:keepNext/>
              <w:keepLines/>
              <w:tabs>
                <w:tab w:val="right" w:pos="2957"/>
              </w:tabs>
              <w:spacing w:before="20" w:after="20"/>
              <w:rPr>
                <w:rFonts w:cs="Arial"/>
                <w:b/>
                <w:sz w:val="20"/>
                <w:szCs w:val="20"/>
              </w:rPr>
            </w:pPr>
            <w:r w:rsidRPr="00203ECA">
              <w:rPr>
                <w:rFonts w:cs="Arial"/>
                <w:b/>
                <w:sz w:val="20"/>
                <w:szCs w:val="20"/>
              </w:rPr>
              <w:t>DEER Item</w:t>
            </w:r>
          </w:p>
        </w:tc>
        <w:tc>
          <w:tcPr>
            <w:tcW w:w="3270" w:type="pct"/>
            <w:shd w:val="clear" w:color="auto" w:fill="F2F2F2" w:themeFill="background1" w:themeFillShade="F2"/>
          </w:tcPr>
          <w:p w14:paraId="52AD34D1" w14:textId="0CFF441B" w:rsidR="00EA057C" w:rsidRPr="00203ECA" w:rsidRDefault="00EA057C" w:rsidP="00EA057C">
            <w:pPr>
              <w:keepNext/>
              <w:keepLines/>
              <w:spacing w:before="20" w:after="20"/>
              <w:rPr>
                <w:rFonts w:cs="Arial"/>
                <w:b/>
                <w:sz w:val="20"/>
                <w:szCs w:val="20"/>
              </w:rPr>
            </w:pPr>
            <w:r w:rsidRPr="00203ECA">
              <w:rPr>
                <w:rFonts w:cs="Arial"/>
                <w:b/>
                <w:sz w:val="20"/>
                <w:szCs w:val="20"/>
              </w:rPr>
              <w:t>Comment / Used for Workpaper</w:t>
            </w:r>
          </w:p>
        </w:tc>
      </w:tr>
      <w:tr w:rsidR="008E0906" w:rsidRPr="00203ECA" w14:paraId="33003020" w14:textId="77777777" w:rsidTr="00EA057C">
        <w:trPr>
          <w:trHeight w:val="20"/>
        </w:trPr>
        <w:tc>
          <w:tcPr>
            <w:tcW w:w="1730" w:type="pct"/>
          </w:tcPr>
          <w:p w14:paraId="1F2D360A" w14:textId="77777777" w:rsidR="008E0906" w:rsidRPr="00203ECA" w:rsidRDefault="008E0906" w:rsidP="008E0906">
            <w:pPr>
              <w:keepNext/>
              <w:keepLines/>
              <w:spacing w:before="20" w:after="20"/>
              <w:rPr>
                <w:rFonts w:cs="Arial"/>
                <w:sz w:val="20"/>
                <w:szCs w:val="20"/>
              </w:rPr>
            </w:pPr>
            <w:r w:rsidRPr="00203ECA">
              <w:rPr>
                <w:rFonts w:cs="Arial"/>
                <w:sz w:val="20"/>
                <w:szCs w:val="20"/>
              </w:rPr>
              <w:t>Modified DEER methodology</w:t>
            </w:r>
          </w:p>
        </w:tc>
        <w:tc>
          <w:tcPr>
            <w:tcW w:w="3270" w:type="pct"/>
          </w:tcPr>
          <w:p w14:paraId="247EE411" w14:textId="57E81912"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507422EA" w14:textId="77777777" w:rsidTr="00EA057C">
        <w:trPr>
          <w:trHeight w:val="20"/>
        </w:trPr>
        <w:tc>
          <w:tcPr>
            <w:tcW w:w="1730" w:type="pct"/>
          </w:tcPr>
          <w:p w14:paraId="29430E33" w14:textId="77777777" w:rsidR="008E0906" w:rsidRPr="00203ECA" w:rsidRDefault="008E0906" w:rsidP="008E0906">
            <w:pPr>
              <w:keepNext/>
              <w:keepLines/>
              <w:spacing w:before="20" w:after="20"/>
              <w:rPr>
                <w:rFonts w:cs="Arial"/>
                <w:sz w:val="20"/>
                <w:szCs w:val="20"/>
              </w:rPr>
            </w:pPr>
            <w:r w:rsidRPr="00203ECA">
              <w:rPr>
                <w:rFonts w:cs="Arial"/>
                <w:sz w:val="20"/>
                <w:szCs w:val="20"/>
              </w:rPr>
              <w:t>Scaled DEER measure</w:t>
            </w:r>
          </w:p>
        </w:tc>
        <w:tc>
          <w:tcPr>
            <w:tcW w:w="3270" w:type="pct"/>
          </w:tcPr>
          <w:p w14:paraId="0C847473" w14:textId="6CAA4EAD" w:rsidR="008E0906" w:rsidRPr="00203ECA" w:rsidRDefault="00E5448F" w:rsidP="008E0906">
            <w:pPr>
              <w:keepNext/>
              <w:keepLines/>
              <w:spacing w:before="20" w:after="20"/>
              <w:rPr>
                <w:rFonts w:cs="Calibri Light"/>
                <w:sz w:val="20"/>
                <w:szCs w:val="20"/>
              </w:rPr>
            </w:pPr>
            <w:r w:rsidRPr="00203ECA">
              <w:rPr>
                <w:sz w:val="20"/>
              </w:rPr>
              <w:t>No</w:t>
            </w:r>
          </w:p>
        </w:tc>
      </w:tr>
      <w:tr w:rsidR="008E0906" w:rsidRPr="00203ECA" w14:paraId="335CDE40" w14:textId="77777777" w:rsidTr="00EA057C">
        <w:trPr>
          <w:trHeight w:val="20"/>
        </w:trPr>
        <w:tc>
          <w:tcPr>
            <w:tcW w:w="1730" w:type="pct"/>
          </w:tcPr>
          <w:p w14:paraId="126C3B42" w14:textId="77777777" w:rsidR="008E0906" w:rsidRPr="00203ECA" w:rsidRDefault="008E0906" w:rsidP="008E0906">
            <w:pPr>
              <w:keepNext/>
              <w:keepLines/>
              <w:spacing w:before="20" w:after="20"/>
              <w:rPr>
                <w:rFonts w:cs="Arial"/>
                <w:sz w:val="20"/>
                <w:szCs w:val="20"/>
              </w:rPr>
            </w:pPr>
            <w:r w:rsidRPr="00203ECA">
              <w:rPr>
                <w:rFonts w:cs="Arial"/>
                <w:sz w:val="20"/>
                <w:szCs w:val="20"/>
              </w:rPr>
              <w:t>DEER Base Case</w:t>
            </w:r>
          </w:p>
        </w:tc>
        <w:tc>
          <w:tcPr>
            <w:tcW w:w="3270" w:type="pct"/>
          </w:tcPr>
          <w:p w14:paraId="5D2A1B0E" w14:textId="0AD34C37" w:rsidR="008E0906" w:rsidRPr="00203ECA" w:rsidRDefault="003D20E9" w:rsidP="008E0906">
            <w:pPr>
              <w:keepNext/>
              <w:keepLines/>
              <w:spacing w:before="20" w:after="20"/>
              <w:rPr>
                <w:rFonts w:cs="Calibri Light"/>
                <w:sz w:val="20"/>
                <w:szCs w:val="20"/>
              </w:rPr>
            </w:pPr>
            <w:r>
              <w:rPr>
                <w:sz w:val="20"/>
              </w:rPr>
              <w:t>No</w:t>
            </w:r>
          </w:p>
        </w:tc>
      </w:tr>
      <w:tr w:rsidR="008E0906" w:rsidRPr="00203ECA" w14:paraId="1F8399E1" w14:textId="77777777" w:rsidTr="00EA057C">
        <w:trPr>
          <w:trHeight w:val="20"/>
        </w:trPr>
        <w:tc>
          <w:tcPr>
            <w:tcW w:w="1730" w:type="pct"/>
          </w:tcPr>
          <w:p w14:paraId="0CC701E3"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Case</w:t>
            </w:r>
          </w:p>
        </w:tc>
        <w:tc>
          <w:tcPr>
            <w:tcW w:w="3270" w:type="pct"/>
          </w:tcPr>
          <w:p w14:paraId="49A023A0" w14:textId="07E047B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663742C6" w14:textId="77777777" w:rsidTr="00EA057C">
        <w:trPr>
          <w:trHeight w:val="20"/>
        </w:trPr>
        <w:tc>
          <w:tcPr>
            <w:tcW w:w="1730" w:type="pct"/>
          </w:tcPr>
          <w:p w14:paraId="16B2FDAB" w14:textId="77777777" w:rsidR="008E0906" w:rsidRPr="00203ECA" w:rsidRDefault="008E0906" w:rsidP="008E0906">
            <w:pPr>
              <w:keepNext/>
              <w:keepLines/>
              <w:spacing w:before="20" w:after="20"/>
              <w:rPr>
                <w:rFonts w:cs="Arial"/>
                <w:sz w:val="20"/>
                <w:szCs w:val="20"/>
              </w:rPr>
            </w:pPr>
            <w:r w:rsidRPr="00203ECA">
              <w:rPr>
                <w:rFonts w:cs="Arial"/>
                <w:sz w:val="20"/>
                <w:szCs w:val="20"/>
              </w:rPr>
              <w:t>DEER Building Types</w:t>
            </w:r>
          </w:p>
        </w:tc>
        <w:tc>
          <w:tcPr>
            <w:tcW w:w="3270" w:type="pct"/>
          </w:tcPr>
          <w:p w14:paraId="6BBA540C" w14:textId="369CEF89" w:rsidR="008E0906" w:rsidRPr="00203ECA" w:rsidRDefault="00E5448F" w:rsidP="008E0906">
            <w:pPr>
              <w:keepNext/>
              <w:keepLines/>
              <w:spacing w:before="20" w:after="20"/>
              <w:rPr>
                <w:rFonts w:cs="Calibri Light"/>
                <w:sz w:val="20"/>
                <w:szCs w:val="20"/>
              </w:rPr>
            </w:pPr>
            <w:r w:rsidRPr="00203ECA">
              <w:rPr>
                <w:rFonts w:cs="Calibri Light"/>
                <w:sz w:val="20"/>
                <w:szCs w:val="20"/>
              </w:rPr>
              <w:t>Yes</w:t>
            </w:r>
          </w:p>
        </w:tc>
      </w:tr>
      <w:tr w:rsidR="008E0906" w:rsidRPr="00203ECA" w14:paraId="424F1325" w14:textId="77777777" w:rsidTr="00EA057C">
        <w:trPr>
          <w:trHeight w:val="20"/>
        </w:trPr>
        <w:tc>
          <w:tcPr>
            <w:tcW w:w="1730" w:type="pct"/>
          </w:tcPr>
          <w:p w14:paraId="71098DDA" w14:textId="77777777" w:rsidR="008E0906" w:rsidRPr="00203ECA" w:rsidRDefault="008E0906" w:rsidP="008E0906">
            <w:pPr>
              <w:keepNext/>
              <w:keepLines/>
              <w:spacing w:before="20" w:after="20"/>
              <w:rPr>
                <w:rFonts w:cs="Arial"/>
                <w:sz w:val="20"/>
                <w:szCs w:val="20"/>
              </w:rPr>
            </w:pPr>
            <w:r w:rsidRPr="00203ECA">
              <w:rPr>
                <w:rFonts w:cs="Arial"/>
                <w:sz w:val="20"/>
                <w:szCs w:val="20"/>
              </w:rPr>
              <w:t>DEER Operating Hours</w:t>
            </w:r>
          </w:p>
        </w:tc>
        <w:tc>
          <w:tcPr>
            <w:tcW w:w="3270" w:type="pct"/>
          </w:tcPr>
          <w:p w14:paraId="1693E1EE" w14:textId="196E682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0B93AD47" w14:textId="77777777" w:rsidTr="00EA057C">
        <w:trPr>
          <w:trHeight w:val="20"/>
        </w:trPr>
        <w:tc>
          <w:tcPr>
            <w:tcW w:w="1730" w:type="pct"/>
          </w:tcPr>
          <w:p w14:paraId="6E9E484F" w14:textId="77777777" w:rsidR="008E0906" w:rsidRPr="00203ECA" w:rsidRDefault="008E0906" w:rsidP="008E0906">
            <w:pPr>
              <w:keepNext/>
              <w:keepLines/>
              <w:spacing w:before="20" w:after="20"/>
              <w:rPr>
                <w:rFonts w:cs="Arial"/>
                <w:sz w:val="20"/>
                <w:szCs w:val="20"/>
              </w:rPr>
            </w:pPr>
            <w:r w:rsidRPr="00203ECA">
              <w:rPr>
                <w:rFonts w:cs="Arial"/>
                <w:sz w:val="20"/>
                <w:szCs w:val="20"/>
              </w:rPr>
              <w:t xml:space="preserve">DEER </w:t>
            </w:r>
            <w:proofErr w:type="spellStart"/>
            <w:r w:rsidRPr="00203ECA">
              <w:rPr>
                <w:rFonts w:cs="Arial"/>
                <w:sz w:val="20"/>
                <w:szCs w:val="20"/>
              </w:rPr>
              <w:t>eQUEST</w:t>
            </w:r>
            <w:proofErr w:type="spellEnd"/>
            <w:r w:rsidRPr="00203ECA">
              <w:rPr>
                <w:rFonts w:cs="Arial"/>
                <w:sz w:val="20"/>
                <w:szCs w:val="20"/>
              </w:rPr>
              <w:t xml:space="preserve"> Prototypes</w:t>
            </w:r>
          </w:p>
        </w:tc>
        <w:tc>
          <w:tcPr>
            <w:tcW w:w="3270" w:type="pct"/>
          </w:tcPr>
          <w:p w14:paraId="4948DEAF" w14:textId="671F88A9" w:rsidR="008E0906" w:rsidRPr="00203ECA" w:rsidDel="00505CEC" w:rsidRDefault="003D20E9" w:rsidP="008E0906">
            <w:pPr>
              <w:keepNext/>
              <w:keepLines/>
              <w:spacing w:before="20" w:after="20"/>
              <w:rPr>
                <w:rFonts w:cs="Calibri Light"/>
                <w:sz w:val="20"/>
                <w:szCs w:val="20"/>
              </w:rPr>
            </w:pPr>
            <w:r>
              <w:rPr>
                <w:rFonts w:cs="Calibri Light"/>
                <w:sz w:val="20"/>
                <w:szCs w:val="20"/>
              </w:rPr>
              <w:t>No</w:t>
            </w:r>
          </w:p>
        </w:tc>
      </w:tr>
      <w:tr w:rsidR="008E0906" w:rsidRPr="00203ECA" w14:paraId="2CFDE9D3" w14:textId="77777777" w:rsidTr="00EA057C">
        <w:trPr>
          <w:trHeight w:val="180"/>
        </w:trPr>
        <w:tc>
          <w:tcPr>
            <w:tcW w:w="1730" w:type="pct"/>
          </w:tcPr>
          <w:p w14:paraId="3B6B3E22" w14:textId="77777777" w:rsidR="008E0906" w:rsidRPr="00203ECA" w:rsidRDefault="008E0906" w:rsidP="008E0906">
            <w:pPr>
              <w:keepNext/>
              <w:keepLines/>
              <w:spacing w:before="20" w:after="20"/>
              <w:rPr>
                <w:rFonts w:cs="Arial"/>
                <w:sz w:val="20"/>
                <w:szCs w:val="20"/>
              </w:rPr>
            </w:pPr>
            <w:r w:rsidRPr="00203ECA">
              <w:rPr>
                <w:rFonts w:cs="Arial"/>
                <w:sz w:val="20"/>
                <w:szCs w:val="20"/>
              </w:rPr>
              <w:t>DEER Version</w:t>
            </w:r>
          </w:p>
        </w:tc>
        <w:tc>
          <w:tcPr>
            <w:tcW w:w="3270" w:type="pct"/>
          </w:tcPr>
          <w:p w14:paraId="1C3B60D1" w14:textId="01D3A9D9" w:rsidR="008E0906" w:rsidRPr="00203ECA" w:rsidRDefault="00690A8C" w:rsidP="008E0906">
            <w:pPr>
              <w:keepNext/>
              <w:keepLines/>
              <w:spacing w:before="20" w:after="20"/>
              <w:rPr>
                <w:rFonts w:cs="Calibri Light"/>
                <w:sz w:val="20"/>
                <w:szCs w:val="20"/>
              </w:rPr>
            </w:pPr>
            <w:r w:rsidRPr="00203ECA">
              <w:rPr>
                <w:sz w:val="20"/>
              </w:rPr>
              <w:t>n/a</w:t>
            </w:r>
          </w:p>
        </w:tc>
      </w:tr>
      <w:tr w:rsidR="008E0906" w:rsidRPr="00203ECA" w14:paraId="3B7464D7" w14:textId="77777777" w:rsidTr="00EA057C">
        <w:trPr>
          <w:trHeight w:val="20"/>
        </w:trPr>
        <w:tc>
          <w:tcPr>
            <w:tcW w:w="1730" w:type="pct"/>
          </w:tcPr>
          <w:p w14:paraId="24000A76" w14:textId="77777777" w:rsidR="008E0906" w:rsidRPr="00203ECA" w:rsidRDefault="008E0906" w:rsidP="008E0906">
            <w:pPr>
              <w:keepNext/>
              <w:keepLines/>
              <w:spacing w:before="20" w:after="20"/>
              <w:rPr>
                <w:rFonts w:cs="Arial"/>
                <w:sz w:val="20"/>
                <w:szCs w:val="20"/>
              </w:rPr>
            </w:pPr>
            <w:r w:rsidRPr="00203ECA">
              <w:rPr>
                <w:rFonts w:cs="Arial"/>
                <w:sz w:val="20"/>
                <w:szCs w:val="20"/>
              </w:rPr>
              <w:t>Reason for Deviation from DEER</w:t>
            </w:r>
          </w:p>
        </w:tc>
        <w:tc>
          <w:tcPr>
            <w:tcW w:w="3270" w:type="pct"/>
          </w:tcPr>
          <w:p w14:paraId="125AAB90" w14:textId="5ABA85BC" w:rsidR="008E0906" w:rsidRPr="00203ECA" w:rsidRDefault="00E5448F" w:rsidP="008E0906">
            <w:pPr>
              <w:keepNext/>
              <w:keepLines/>
              <w:spacing w:before="20" w:after="20"/>
              <w:rPr>
                <w:rFonts w:cs="Calibri Light"/>
                <w:sz w:val="20"/>
                <w:szCs w:val="20"/>
              </w:rPr>
            </w:pPr>
            <w:r w:rsidRPr="00203ECA">
              <w:rPr>
                <w:sz w:val="20"/>
              </w:rPr>
              <w:t>The DEER 202</w:t>
            </w:r>
            <w:r w:rsidR="005F0300">
              <w:rPr>
                <w:sz w:val="20"/>
              </w:rPr>
              <w:t>1</w:t>
            </w:r>
            <w:r w:rsidRPr="00203ECA">
              <w:rPr>
                <w:sz w:val="20"/>
              </w:rPr>
              <w:t xml:space="preserve"> database does not support measure evaluation on Smart Thermostat technology.</w:t>
            </w:r>
          </w:p>
        </w:tc>
      </w:tr>
      <w:tr w:rsidR="008E0906" w:rsidRPr="00203ECA" w14:paraId="4A7EE859" w14:textId="77777777" w:rsidTr="00EA057C">
        <w:trPr>
          <w:trHeight w:val="20"/>
        </w:trPr>
        <w:tc>
          <w:tcPr>
            <w:tcW w:w="1730" w:type="pct"/>
          </w:tcPr>
          <w:p w14:paraId="7B4D686A"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IDs Used</w:t>
            </w:r>
          </w:p>
        </w:tc>
        <w:tc>
          <w:tcPr>
            <w:tcW w:w="3270" w:type="pct"/>
          </w:tcPr>
          <w:p w14:paraId="63ABA251" w14:textId="139B2637" w:rsidR="008E0906" w:rsidRPr="00203ECA" w:rsidRDefault="00690A8C" w:rsidP="008E0906">
            <w:pPr>
              <w:keepNext/>
              <w:keepLines/>
              <w:spacing w:before="20" w:after="20"/>
              <w:rPr>
                <w:rFonts w:cs="Calibri Light"/>
                <w:sz w:val="20"/>
                <w:szCs w:val="20"/>
              </w:rPr>
            </w:pPr>
            <w:r w:rsidRPr="00203ECA">
              <w:rPr>
                <w:sz w:val="20"/>
              </w:rPr>
              <w:t>n/a</w:t>
            </w:r>
          </w:p>
        </w:tc>
      </w:tr>
      <w:tr w:rsidR="00EA057C" w:rsidRPr="00203ECA" w14:paraId="5A83EC74" w14:textId="77777777" w:rsidTr="00EA057C">
        <w:trPr>
          <w:trHeight w:val="20"/>
        </w:trPr>
        <w:tc>
          <w:tcPr>
            <w:tcW w:w="1730" w:type="pct"/>
          </w:tcPr>
          <w:p w14:paraId="2C82A9E0" w14:textId="121308D7" w:rsidR="00EA057C" w:rsidRPr="00203ECA" w:rsidRDefault="00EA057C" w:rsidP="00EA057C">
            <w:pPr>
              <w:keepNext/>
              <w:keepLines/>
              <w:spacing w:before="20" w:after="20"/>
              <w:rPr>
                <w:rFonts w:cs="Arial"/>
                <w:sz w:val="20"/>
                <w:szCs w:val="20"/>
              </w:rPr>
            </w:pPr>
            <w:r w:rsidRPr="00203ECA">
              <w:rPr>
                <w:rFonts w:cs="Arial"/>
                <w:sz w:val="20"/>
                <w:szCs w:val="20"/>
              </w:rPr>
              <w:t>NTG</w:t>
            </w:r>
          </w:p>
        </w:tc>
        <w:tc>
          <w:tcPr>
            <w:tcW w:w="3270" w:type="pct"/>
          </w:tcPr>
          <w:p w14:paraId="2BBBB10C" w14:textId="6F7C1E6E" w:rsidR="005F0300" w:rsidRPr="002C2D46" w:rsidRDefault="005A74DC">
            <w:pPr>
              <w:keepNext/>
              <w:keepLines/>
              <w:spacing w:before="20" w:after="20"/>
              <w:rPr>
                <w:rFonts w:cs="Arial"/>
                <w:sz w:val="20"/>
                <w:szCs w:val="20"/>
              </w:rPr>
            </w:pPr>
            <w:r w:rsidRPr="00203ECA">
              <w:rPr>
                <w:rFonts w:cs="Arial"/>
                <w:sz w:val="20"/>
                <w:szCs w:val="20"/>
              </w:rPr>
              <w:t xml:space="preserve">Source: </w:t>
            </w:r>
            <w:r w:rsidR="005F0300">
              <w:rPr>
                <w:rFonts w:cs="Arial"/>
                <w:sz w:val="20"/>
                <w:szCs w:val="20"/>
              </w:rPr>
              <w:t xml:space="preserve">DEER IDs: </w:t>
            </w:r>
            <w:r w:rsidRPr="00203ECA">
              <w:rPr>
                <w:rFonts w:cs="Arial"/>
                <w:sz w:val="20"/>
                <w:szCs w:val="20"/>
              </w:rPr>
              <w:t xml:space="preserve"> </w:t>
            </w:r>
            <w:r w:rsidR="005F0300" w:rsidRPr="005F0300">
              <w:rPr>
                <w:rFonts w:cs="Arial"/>
                <w:sz w:val="20"/>
                <w:szCs w:val="20"/>
              </w:rPr>
              <w:t>Res-</w:t>
            </w:r>
            <w:proofErr w:type="spellStart"/>
            <w:r w:rsidR="005F0300" w:rsidRPr="005F0300">
              <w:rPr>
                <w:rFonts w:cs="Arial"/>
                <w:sz w:val="20"/>
                <w:szCs w:val="20"/>
              </w:rPr>
              <w:t>sAll</w:t>
            </w:r>
            <w:proofErr w:type="spellEnd"/>
            <w:r w:rsidR="005F0300" w:rsidRPr="005F0300">
              <w:rPr>
                <w:rFonts w:cs="Arial"/>
                <w:sz w:val="20"/>
                <w:szCs w:val="20"/>
              </w:rPr>
              <w:t>-</w:t>
            </w:r>
            <w:proofErr w:type="spellStart"/>
            <w:r w:rsidR="005F0300" w:rsidRPr="005F0300">
              <w:rPr>
                <w:rFonts w:cs="Arial"/>
                <w:sz w:val="20"/>
                <w:szCs w:val="20"/>
              </w:rPr>
              <w:t>mHVAC</w:t>
            </w:r>
            <w:proofErr w:type="spellEnd"/>
            <w:r w:rsidR="005F0300" w:rsidRPr="005F0300">
              <w:rPr>
                <w:rFonts w:cs="Arial"/>
                <w:sz w:val="20"/>
                <w:szCs w:val="20"/>
              </w:rPr>
              <w:t>-SCT-</w:t>
            </w:r>
            <w:proofErr w:type="spellStart"/>
            <w:r w:rsidR="005F0300" w:rsidRPr="005F0300">
              <w:rPr>
                <w:rFonts w:cs="Arial"/>
                <w:sz w:val="20"/>
                <w:szCs w:val="20"/>
              </w:rPr>
              <w:t>dn</w:t>
            </w:r>
            <w:proofErr w:type="spellEnd"/>
            <w:r w:rsidR="005F0300">
              <w:rPr>
                <w:rFonts w:cs="Arial"/>
                <w:sz w:val="20"/>
                <w:szCs w:val="20"/>
              </w:rPr>
              <w:t xml:space="preserve">, </w:t>
            </w:r>
            <w:r w:rsidR="005F0300" w:rsidRPr="005F0300">
              <w:rPr>
                <w:rFonts w:cs="Arial"/>
                <w:sz w:val="20"/>
                <w:szCs w:val="20"/>
              </w:rPr>
              <w:t>Res-</w:t>
            </w:r>
            <w:proofErr w:type="spellStart"/>
            <w:r w:rsidR="005F0300" w:rsidRPr="005F0300">
              <w:rPr>
                <w:rFonts w:cs="Arial"/>
                <w:sz w:val="20"/>
                <w:szCs w:val="20"/>
              </w:rPr>
              <w:t>sAll</w:t>
            </w:r>
            <w:proofErr w:type="spellEnd"/>
            <w:r w:rsidR="005F0300" w:rsidRPr="005F0300">
              <w:rPr>
                <w:rFonts w:cs="Arial"/>
                <w:sz w:val="20"/>
                <w:szCs w:val="20"/>
              </w:rPr>
              <w:t>-</w:t>
            </w:r>
            <w:proofErr w:type="spellStart"/>
            <w:r w:rsidR="005F0300" w:rsidRPr="005F0300">
              <w:rPr>
                <w:rFonts w:cs="Arial"/>
                <w:sz w:val="20"/>
                <w:szCs w:val="20"/>
              </w:rPr>
              <w:t>mHVAC</w:t>
            </w:r>
            <w:proofErr w:type="spellEnd"/>
            <w:r w:rsidR="005F0300" w:rsidRPr="005F0300">
              <w:rPr>
                <w:rFonts w:cs="Arial"/>
                <w:sz w:val="20"/>
                <w:szCs w:val="20"/>
              </w:rPr>
              <w:t>-SCT-d</w:t>
            </w:r>
            <w:r w:rsidR="005F0300">
              <w:rPr>
                <w:rFonts w:cs="Arial"/>
                <w:sz w:val="20"/>
                <w:szCs w:val="20"/>
              </w:rPr>
              <w:t>i</w:t>
            </w:r>
          </w:p>
        </w:tc>
      </w:tr>
      <w:tr w:rsidR="00EA057C" w:rsidRPr="00203ECA" w14:paraId="131D1F9D" w14:textId="77777777" w:rsidTr="00EA057C">
        <w:trPr>
          <w:trHeight w:val="20"/>
        </w:trPr>
        <w:tc>
          <w:tcPr>
            <w:tcW w:w="1730" w:type="pct"/>
          </w:tcPr>
          <w:p w14:paraId="45FFA983" w14:textId="5F527A83" w:rsidR="00EA057C" w:rsidRPr="00203ECA" w:rsidRDefault="00EA057C" w:rsidP="00EA057C">
            <w:pPr>
              <w:keepNext/>
              <w:keepLines/>
              <w:spacing w:before="20" w:after="20"/>
              <w:rPr>
                <w:rFonts w:cs="Arial"/>
                <w:sz w:val="20"/>
                <w:szCs w:val="20"/>
              </w:rPr>
            </w:pPr>
            <w:r w:rsidRPr="00203ECA">
              <w:rPr>
                <w:rFonts w:cs="Arial"/>
                <w:sz w:val="20"/>
                <w:szCs w:val="20"/>
              </w:rPr>
              <w:t>GSIA</w:t>
            </w:r>
          </w:p>
        </w:tc>
        <w:tc>
          <w:tcPr>
            <w:tcW w:w="3270" w:type="pct"/>
          </w:tcPr>
          <w:p w14:paraId="7C16D603" w14:textId="46149464" w:rsidR="00EA057C" w:rsidRPr="00203ECA" w:rsidRDefault="005A74DC" w:rsidP="005A74DC">
            <w:pPr>
              <w:keepNext/>
              <w:keepLines/>
              <w:spacing w:before="20" w:after="20"/>
              <w:rPr>
                <w:rFonts w:cs="Arial"/>
                <w:sz w:val="20"/>
                <w:szCs w:val="20"/>
              </w:rPr>
            </w:pPr>
            <w:r w:rsidRPr="00203ECA">
              <w:rPr>
                <w:rFonts w:cs="Arial"/>
                <w:sz w:val="20"/>
                <w:szCs w:val="20"/>
              </w:rPr>
              <w:t xml:space="preserve">Source: </w:t>
            </w:r>
            <w:r w:rsidR="00701FFC" w:rsidRPr="00203ECA">
              <w:rPr>
                <w:rFonts w:cs="Arial"/>
                <w:sz w:val="20"/>
                <w:szCs w:val="20"/>
              </w:rPr>
              <w:t>DEER</w:t>
            </w:r>
            <w:r w:rsidRPr="00203ECA">
              <w:rPr>
                <w:rFonts w:cs="Arial"/>
                <w:sz w:val="20"/>
                <w:szCs w:val="20"/>
              </w:rPr>
              <w:t xml:space="preserve">. The GSIA of </w:t>
            </w:r>
            <w:r w:rsidR="006C1EAE" w:rsidRPr="00203ECA">
              <w:rPr>
                <w:rFonts w:cs="Arial"/>
                <w:sz w:val="20"/>
                <w:szCs w:val="20"/>
              </w:rPr>
              <w:t>1.0</w:t>
            </w:r>
            <w:r w:rsidRPr="00203ECA">
              <w:rPr>
                <w:rFonts w:cs="Arial"/>
                <w:sz w:val="20"/>
                <w:szCs w:val="20"/>
              </w:rPr>
              <w:t xml:space="preserve"> is associated with GSIA ID: </w:t>
            </w:r>
            <w:r w:rsidR="006C1EAE" w:rsidRPr="00203ECA">
              <w:rPr>
                <w:rFonts w:cs="Arial"/>
                <w:i/>
                <w:sz w:val="20"/>
                <w:szCs w:val="20"/>
              </w:rPr>
              <w:t>Def-GSIA</w:t>
            </w:r>
          </w:p>
        </w:tc>
      </w:tr>
      <w:tr w:rsidR="00EA057C" w:rsidRPr="00203ECA" w14:paraId="4D0F7E1B" w14:textId="77777777" w:rsidTr="00EA057C">
        <w:trPr>
          <w:trHeight w:val="20"/>
        </w:trPr>
        <w:tc>
          <w:tcPr>
            <w:tcW w:w="1730" w:type="pct"/>
          </w:tcPr>
          <w:p w14:paraId="103BA947" w14:textId="6665B2EA" w:rsidR="00EA057C" w:rsidRPr="00203ECA" w:rsidRDefault="00EA057C" w:rsidP="00EA057C">
            <w:pPr>
              <w:keepNext/>
              <w:keepLines/>
              <w:spacing w:before="20" w:after="20"/>
              <w:rPr>
                <w:rFonts w:cs="Arial"/>
                <w:sz w:val="20"/>
                <w:szCs w:val="20"/>
              </w:rPr>
            </w:pPr>
            <w:r w:rsidRPr="00203ECA">
              <w:rPr>
                <w:rFonts w:cs="Arial"/>
                <w:sz w:val="20"/>
                <w:szCs w:val="20"/>
              </w:rPr>
              <w:t>EUL/RUL</w:t>
            </w:r>
          </w:p>
        </w:tc>
        <w:tc>
          <w:tcPr>
            <w:tcW w:w="3270" w:type="pct"/>
          </w:tcPr>
          <w:p w14:paraId="5BD9C961" w14:textId="5E2658D0" w:rsidR="00EA057C" w:rsidRPr="00203ECA" w:rsidRDefault="005A74DC" w:rsidP="00EA057C">
            <w:pPr>
              <w:keepNext/>
              <w:keepLines/>
              <w:spacing w:before="20" w:after="20"/>
              <w:rPr>
                <w:rFonts w:cs="Arial"/>
                <w:sz w:val="20"/>
                <w:szCs w:val="20"/>
              </w:rPr>
            </w:pPr>
            <w:r w:rsidRPr="00203ECA">
              <w:rPr>
                <w:rFonts w:cs="Arial"/>
                <w:sz w:val="20"/>
                <w:szCs w:val="20"/>
              </w:rPr>
              <w:t xml:space="preserve">Source: </w:t>
            </w:r>
            <w:r w:rsidR="003D20E9">
              <w:rPr>
                <w:rFonts w:cs="Arial"/>
                <w:sz w:val="20"/>
                <w:szCs w:val="20"/>
              </w:rPr>
              <w:t xml:space="preserve">DEER ID: </w:t>
            </w:r>
            <w:r w:rsidR="003D20E9" w:rsidRPr="00540046">
              <w:rPr>
                <w:rFonts w:cs="Calibri Light"/>
                <w:color w:val="000000"/>
                <w:sz w:val="20"/>
                <w:szCs w:val="20"/>
              </w:rPr>
              <w:t>HV-</w:t>
            </w:r>
            <w:proofErr w:type="spellStart"/>
            <w:r w:rsidR="003D20E9" w:rsidRPr="00540046">
              <w:rPr>
                <w:rFonts w:cs="Calibri Light"/>
                <w:color w:val="000000"/>
                <w:sz w:val="20"/>
                <w:szCs w:val="20"/>
              </w:rPr>
              <w:t>SmartTstat</w:t>
            </w:r>
            <w:proofErr w:type="spellEnd"/>
          </w:p>
        </w:tc>
      </w:tr>
    </w:tbl>
    <w:p w14:paraId="0E6FADD8" w14:textId="77777777" w:rsidR="000055F1" w:rsidRDefault="000055F1" w:rsidP="00E5448F">
      <w:bookmarkStart w:id="74" w:name="_Hlk516051142"/>
    </w:p>
    <w:p w14:paraId="59542C0D" w14:textId="77777777" w:rsidR="007D230B" w:rsidRPr="00203ECA" w:rsidRDefault="007D230B" w:rsidP="00352543">
      <w:pPr>
        <w:pStyle w:val="eTRMHeading3"/>
      </w:pPr>
      <w:bookmarkStart w:id="75" w:name="_Toc486490866"/>
      <w:bookmarkStart w:id="76" w:name="_Toc486580937"/>
      <w:bookmarkStart w:id="77" w:name="_Toc42244461"/>
      <w:bookmarkStart w:id="78" w:name="_Hlk516047558"/>
      <w:r w:rsidRPr="00203ECA">
        <w:t>Revision History</w:t>
      </w:r>
      <w:bookmarkEnd w:id="75"/>
      <w:bookmarkEnd w:id="76"/>
      <w:bookmarkEnd w:id="77"/>
    </w:p>
    <w:p w14:paraId="3661732B" w14:textId="6E964483" w:rsidR="00CA1CB3" w:rsidRPr="00203ECA" w:rsidRDefault="00742F88" w:rsidP="0010657B">
      <w:pPr>
        <w:pStyle w:val="Caption"/>
      </w:pPr>
      <w:bookmarkStart w:id="79" w:name="_Hlk515959178"/>
      <w:r w:rsidRPr="00203ECA">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485"/>
        <w:gridCol w:w="1978"/>
        <w:gridCol w:w="4946"/>
      </w:tblGrid>
      <w:tr w:rsidR="00CA1CB3" w:rsidRPr="00203ECA" w14:paraId="1904D58C" w14:textId="6E96D877" w:rsidTr="00E91677">
        <w:trPr>
          <w:trHeight w:val="20"/>
        </w:trPr>
        <w:tc>
          <w:tcPr>
            <w:tcW w:w="503" w:type="pct"/>
            <w:shd w:val="clear" w:color="auto" w:fill="F2F2F2" w:themeFill="background1" w:themeFillShade="F2"/>
            <w:vAlign w:val="bottom"/>
          </w:tcPr>
          <w:p w14:paraId="5365A71C" w14:textId="5EB86E00" w:rsidR="00CA1CB3" w:rsidRPr="00203ECA" w:rsidRDefault="00CA1CB3" w:rsidP="00871123">
            <w:pPr>
              <w:keepNext/>
              <w:keepLines/>
              <w:tabs>
                <w:tab w:val="right" w:pos="2957"/>
              </w:tabs>
              <w:spacing w:before="20" w:after="20"/>
              <w:rPr>
                <w:rFonts w:cs="Arial"/>
                <w:b/>
                <w:sz w:val="20"/>
                <w:szCs w:val="20"/>
              </w:rPr>
            </w:pPr>
            <w:r w:rsidRPr="00203ECA">
              <w:rPr>
                <w:rFonts w:cs="Arial"/>
                <w:b/>
                <w:sz w:val="20"/>
                <w:szCs w:val="20"/>
              </w:rPr>
              <w:t>Revision Number</w:t>
            </w:r>
          </w:p>
        </w:tc>
        <w:tc>
          <w:tcPr>
            <w:tcW w:w="794" w:type="pct"/>
            <w:shd w:val="clear" w:color="auto" w:fill="F2F2F2" w:themeFill="background1" w:themeFillShade="F2"/>
            <w:vAlign w:val="bottom"/>
          </w:tcPr>
          <w:p w14:paraId="7DC8BCED" w14:textId="43808C54" w:rsidR="00CA1CB3" w:rsidRPr="00203ECA" w:rsidRDefault="00AC53A7" w:rsidP="00871123">
            <w:pPr>
              <w:keepNext/>
              <w:keepLines/>
              <w:spacing w:before="20" w:after="20"/>
              <w:rPr>
                <w:rFonts w:cs="Arial"/>
                <w:b/>
                <w:sz w:val="20"/>
                <w:szCs w:val="20"/>
              </w:rPr>
            </w:pPr>
            <w:r>
              <w:rPr>
                <w:rFonts w:cs="Arial"/>
                <w:b/>
                <w:sz w:val="20"/>
                <w:szCs w:val="20"/>
              </w:rPr>
              <w:t xml:space="preserve">Revision Complete </w:t>
            </w:r>
            <w:r w:rsidR="00CA1CB3" w:rsidRPr="00203ECA">
              <w:rPr>
                <w:rFonts w:cs="Arial"/>
                <w:b/>
                <w:sz w:val="20"/>
                <w:szCs w:val="20"/>
              </w:rPr>
              <w:t>Date</w:t>
            </w:r>
          </w:p>
        </w:tc>
        <w:tc>
          <w:tcPr>
            <w:tcW w:w="1058" w:type="pct"/>
            <w:shd w:val="clear" w:color="auto" w:fill="F2F2F2" w:themeFill="background1" w:themeFillShade="F2"/>
            <w:vAlign w:val="bottom"/>
          </w:tcPr>
          <w:p w14:paraId="10DC2402" w14:textId="63223EB6" w:rsidR="00CA1CB3" w:rsidRPr="00203ECA" w:rsidRDefault="00CA1CB3" w:rsidP="00871123">
            <w:pPr>
              <w:keepNext/>
              <w:keepLines/>
              <w:spacing w:before="20" w:after="20"/>
              <w:rPr>
                <w:rFonts w:cs="Arial"/>
                <w:b/>
                <w:sz w:val="20"/>
                <w:szCs w:val="20"/>
              </w:rPr>
            </w:pPr>
            <w:r w:rsidRPr="00203ECA">
              <w:rPr>
                <w:rFonts w:cs="Arial"/>
                <w:b/>
                <w:sz w:val="20"/>
                <w:szCs w:val="20"/>
              </w:rPr>
              <w:t>Primary Author, Title, Organization</w:t>
            </w:r>
          </w:p>
        </w:tc>
        <w:tc>
          <w:tcPr>
            <w:tcW w:w="2645" w:type="pct"/>
            <w:shd w:val="clear" w:color="auto" w:fill="F2F2F2" w:themeFill="background1" w:themeFillShade="F2"/>
            <w:vAlign w:val="bottom"/>
          </w:tcPr>
          <w:p w14:paraId="2BFB4352" w14:textId="38706EDE" w:rsidR="00CA1CB3" w:rsidRPr="00203ECA" w:rsidRDefault="00CA1CB3" w:rsidP="00871123">
            <w:pPr>
              <w:keepNext/>
              <w:keepLines/>
              <w:spacing w:before="20" w:after="20"/>
              <w:rPr>
                <w:rFonts w:cs="Arial"/>
                <w:b/>
                <w:sz w:val="20"/>
                <w:szCs w:val="20"/>
              </w:rPr>
            </w:pPr>
            <w:r w:rsidRPr="00203ECA">
              <w:rPr>
                <w:rFonts w:cs="Arial"/>
                <w:b/>
                <w:sz w:val="20"/>
                <w:szCs w:val="20"/>
              </w:rPr>
              <w:t>Revision Summary and Rationale for Revision</w:t>
            </w:r>
          </w:p>
        </w:tc>
      </w:tr>
      <w:tr w:rsidR="00CA1CB3" w:rsidRPr="00CA1CB3" w14:paraId="0A9DBD7D" w14:textId="04A29668" w:rsidTr="00E91677">
        <w:trPr>
          <w:trHeight w:val="20"/>
        </w:trPr>
        <w:tc>
          <w:tcPr>
            <w:tcW w:w="503" w:type="pct"/>
          </w:tcPr>
          <w:p w14:paraId="38788C98" w14:textId="650C945D" w:rsidR="00CA1CB3" w:rsidRPr="00203ECA" w:rsidRDefault="00CA1CB3" w:rsidP="00871123">
            <w:pPr>
              <w:keepNext/>
              <w:keepLines/>
              <w:spacing w:before="20" w:after="20"/>
              <w:rPr>
                <w:rFonts w:cs="Arial"/>
                <w:sz w:val="20"/>
                <w:szCs w:val="20"/>
              </w:rPr>
            </w:pPr>
            <w:r w:rsidRPr="00203ECA">
              <w:rPr>
                <w:rFonts w:cs="Arial"/>
                <w:sz w:val="20"/>
                <w:szCs w:val="20"/>
              </w:rPr>
              <w:t>0</w:t>
            </w:r>
            <w:r w:rsidR="00742F88" w:rsidRPr="00203ECA">
              <w:rPr>
                <w:rFonts w:cs="Arial"/>
                <w:sz w:val="20"/>
                <w:szCs w:val="20"/>
              </w:rPr>
              <w:t>1</w:t>
            </w:r>
          </w:p>
        </w:tc>
        <w:tc>
          <w:tcPr>
            <w:tcW w:w="794" w:type="pct"/>
          </w:tcPr>
          <w:p w14:paraId="03B67B1D" w14:textId="4C59FD09" w:rsidR="00CA1CB3" w:rsidRPr="00203ECA" w:rsidRDefault="00AB07A4" w:rsidP="00871123">
            <w:pPr>
              <w:keepNext/>
              <w:keepLines/>
              <w:spacing w:before="20" w:after="20"/>
              <w:rPr>
                <w:rFonts w:cs="Arial"/>
                <w:sz w:val="20"/>
                <w:szCs w:val="20"/>
              </w:rPr>
            </w:pPr>
            <w:r w:rsidRPr="00203ECA">
              <w:rPr>
                <w:rFonts w:cs="Arial"/>
                <w:sz w:val="20"/>
                <w:szCs w:val="20"/>
              </w:rPr>
              <w:t>6/24/</w:t>
            </w:r>
            <w:r w:rsidR="000055F1">
              <w:rPr>
                <w:rFonts w:cs="Arial"/>
                <w:sz w:val="20"/>
                <w:szCs w:val="20"/>
              </w:rPr>
              <w:t>20</w:t>
            </w:r>
            <w:r w:rsidRPr="00203ECA">
              <w:rPr>
                <w:rFonts w:cs="Arial"/>
                <w:sz w:val="20"/>
                <w:szCs w:val="20"/>
              </w:rPr>
              <w:t>1</w:t>
            </w:r>
            <w:r w:rsidR="000055F1">
              <w:rPr>
                <w:rFonts w:cs="Arial"/>
                <w:sz w:val="20"/>
                <w:szCs w:val="20"/>
              </w:rPr>
              <w:t>9</w:t>
            </w:r>
          </w:p>
        </w:tc>
        <w:tc>
          <w:tcPr>
            <w:tcW w:w="1058" w:type="pct"/>
          </w:tcPr>
          <w:p w14:paraId="32D154D7" w14:textId="738AD736" w:rsidR="00CA1CB3" w:rsidRPr="00203ECA" w:rsidRDefault="00AB07A4" w:rsidP="00871123">
            <w:pPr>
              <w:keepNext/>
              <w:keepLines/>
              <w:spacing w:before="20" w:after="20"/>
              <w:rPr>
                <w:rFonts w:cs="Arial"/>
                <w:sz w:val="20"/>
                <w:szCs w:val="20"/>
              </w:rPr>
            </w:pPr>
            <w:r w:rsidRPr="00203ECA">
              <w:rPr>
                <w:rFonts w:cs="Arial"/>
                <w:sz w:val="20"/>
                <w:szCs w:val="20"/>
              </w:rPr>
              <w:t>Kara Vega, TRC</w:t>
            </w:r>
          </w:p>
        </w:tc>
        <w:tc>
          <w:tcPr>
            <w:tcW w:w="2645" w:type="pct"/>
          </w:tcPr>
          <w:p w14:paraId="71355A98" w14:textId="77777777" w:rsidR="007F4F97" w:rsidRDefault="00670A7E" w:rsidP="00ED728A">
            <w:pPr>
              <w:keepNext/>
              <w:keepLines/>
              <w:spacing w:before="20" w:after="20"/>
              <w:rPr>
                <w:rFonts w:cs="Arial"/>
                <w:sz w:val="20"/>
                <w:szCs w:val="20"/>
              </w:rPr>
            </w:pPr>
            <w:r w:rsidRPr="00203ECA">
              <w:rPr>
                <w:rFonts w:cs="Arial"/>
                <w:sz w:val="20"/>
                <w:szCs w:val="20"/>
              </w:rPr>
              <w:t xml:space="preserve">Draft of consolidated text </w:t>
            </w:r>
            <w:r w:rsidR="007F4F97" w:rsidRPr="00203ECA">
              <w:rPr>
                <w:rFonts w:cs="Arial"/>
                <w:sz w:val="20"/>
                <w:szCs w:val="20"/>
              </w:rPr>
              <w:t xml:space="preserve">for this statewide measure is </w:t>
            </w:r>
            <w:r w:rsidRPr="00203ECA">
              <w:rPr>
                <w:rFonts w:cs="Arial"/>
                <w:sz w:val="20"/>
                <w:szCs w:val="20"/>
              </w:rPr>
              <w:t>based upon</w:t>
            </w:r>
            <w:r w:rsidR="009669D2" w:rsidRPr="00203ECA">
              <w:rPr>
                <w:rFonts w:cs="Arial"/>
                <w:sz w:val="20"/>
                <w:szCs w:val="20"/>
              </w:rPr>
              <w:t>:</w:t>
            </w:r>
            <w:r w:rsidR="00ED728A">
              <w:rPr>
                <w:rFonts w:cs="Arial"/>
                <w:sz w:val="20"/>
                <w:szCs w:val="20"/>
              </w:rPr>
              <w:t xml:space="preserve"> </w:t>
            </w:r>
            <w:r w:rsidR="00BA1BBC" w:rsidRPr="00203ECA">
              <w:rPr>
                <w:rFonts w:cs="Arial"/>
                <w:sz w:val="20"/>
                <w:szCs w:val="20"/>
              </w:rPr>
              <w:t xml:space="preserve">SCE17HC054, Revision </w:t>
            </w:r>
            <w:r w:rsidR="00AB07A4" w:rsidRPr="00203ECA">
              <w:rPr>
                <w:rFonts w:cs="Arial"/>
                <w:sz w:val="20"/>
                <w:szCs w:val="20"/>
              </w:rPr>
              <w:t>1</w:t>
            </w:r>
            <w:r w:rsidR="00BA1BBC" w:rsidRPr="00203ECA">
              <w:rPr>
                <w:rFonts w:cs="Arial"/>
                <w:sz w:val="20"/>
                <w:szCs w:val="20"/>
              </w:rPr>
              <w:t xml:space="preserve"> (</w:t>
            </w:r>
            <w:r w:rsidR="00AB07A4" w:rsidRPr="00203ECA">
              <w:rPr>
                <w:rFonts w:cs="Arial"/>
                <w:sz w:val="20"/>
                <w:szCs w:val="20"/>
              </w:rPr>
              <w:t>May 31, 2019</w:t>
            </w:r>
            <w:r w:rsidR="00BA1BBC" w:rsidRPr="00203ECA">
              <w:rPr>
                <w:rFonts w:cs="Arial"/>
                <w:sz w:val="20"/>
                <w:szCs w:val="20"/>
              </w:rPr>
              <w:t>)</w:t>
            </w:r>
            <w:r w:rsidR="00E647AA" w:rsidRPr="00CA1CB3">
              <w:rPr>
                <w:rFonts w:cs="Arial"/>
                <w:sz w:val="20"/>
                <w:szCs w:val="20"/>
              </w:rPr>
              <w:t xml:space="preserve"> </w:t>
            </w:r>
          </w:p>
          <w:p w14:paraId="6C70C36F" w14:textId="0EC859F9" w:rsidR="00ED728A" w:rsidRPr="00CA1CB3" w:rsidRDefault="00ED728A" w:rsidP="00831F7B">
            <w:pPr>
              <w:keepNext/>
              <w:keepLines/>
              <w:spacing w:before="20" w:after="20"/>
              <w:rPr>
                <w:rFonts w:cs="Arial"/>
                <w:sz w:val="20"/>
                <w:szCs w:val="20"/>
              </w:rPr>
            </w:pPr>
            <w:r>
              <w:rPr>
                <w:rFonts w:cs="Arial"/>
                <w:sz w:val="20"/>
                <w:szCs w:val="20"/>
              </w:rPr>
              <w:t xml:space="preserve">Measure costs were </w:t>
            </w:r>
            <w:r w:rsidR="00831F7B">
              <w:rPr>
                <w:rFonts w:cs="Arial"/>
                <w:sz w:val="20"/>
                <w:szCs w:val="20"/>
              </w:rPr>
              <w:t xml:space="preserve">reassessed </w:t>
            </w:r>
            <w:r>
              <w:rPr>
                <w:rFonts w:cs="Arial"/>
                <w:sz w:val="20"/>
                <w:szCs w:val="20"/>
              </w:rPr>
              <w:t xml:space="preserve">based on review of online retailers in 2019 Q2. </w:t>
            </w:r>
          </w:p>
        </w:tc>
      </w:tr>
      <w:tr w:rsidR="00AC53A7" w:rsidRPr="00CA1CB3" w14:paraId="460647B7" w14:textId="77777777" w:rsidTr="00E91677">
        <w:trPr>
          <w:trHeight w:val="20"/>
        </w:trPr>
        <w:tc>
          <w:tcPr>
            <w:tcW w:w="503" w:type="pct"/>
          </w:tcPr>
          <w:p w14:paraId="59EAFB08" w14:textId="77777777" w:rsidR="00AC53A7" w:rsidRPr="00203ECA" w:rsidRDefault="00AC53A7" w:rsidP="00871123">
            <w:pPr>
              <w:keepNext/>
              <w:keepLines/>
              <w:spacing w:before="20" w:after="20"/>
              <w:rPr>
                <w:rFonts w:cs="Arial"/>
                <w:sz w:val="20"/>
                <w:szCs w:val="20"/>
              </w:rPr>
            </w:pPr>
          </w:p>
        </w:tc>
        <w:tc>
          <w:tcPr>
            <w:tcW w:w="794" w:type="pct"/>
          </w:tcPr>
          <w:p w14:paraId="26AD50F4" w14:textId="39012CD6" w:rsidR="00AC53A7" w:rsidRPr="00203ECA" w:rsidRDefault="00AC53A7" w:rsidP="00871123">
            <w:pPr>
              <w:keepNext/>
              <w:keepLines/>
              <w:spacing w:before="20" w:after="20"/>
              <w:rPr>
                <w:rFonts w:cs="Arial"/>
                <w:sz w:val="20"/>
                <w:szCs w:val="20"/>
              </w:rPr>
            </w:pPr>
            <w:r>
              <w:rPr>
                <w:rFonts w:cs="Arial"/>
                <w:sz w:val="20"/>
                <w:szCs w:val="20"/>
              </w:rPr>
              <w:t>06/28/2019</w:t>
            </w:r>
          </w:p>
        </w:tc>
        <w:tc>
          <w:tcPr>
            <w:tcW w:w="1058" w:type="pct"/>
          </w:tcPr>
          <w:p w14:paraId="62075B75" w14:textId="55E71CAC" w:rsidR="00AC53A7" w:rsidRPr="00203ECA" w:rsidRDefault="00AC53A7" w:rsidP="00871123">
            <w:pPr>
              <w:keepNext/>
              <w:keepLines/>
              <w:spacing w:before="20" w:after="20"/>
              <w:rPr>
                <w:rFonts w:cs="Arial"/>
                <w:sz w:val="20"/>
                <w:szCs w:val="20"/>
              </w:rPr>
            </w:pPr>
            <w:r>
              <w:rPr>
                <w:rFonts w:cs="Arial"/>
                <w:sz w:val="20"/>
                <w:szCs w:val="20"/>
              </w:rPr>
              <w:t>Jennifer Holmes, Cal TF Staff</w:t>
            </w:r>
          </w:p>
        </w:tc>
        <w:tc>
          <w:tcPr>
            <w:tcW w:w="2645" w:type="pct"/>
          </w:tcPr>
          <w:p w14:paraId="4F4C87E5" w14:textId="2B76AE90" w:rsidR="00AC53A7" w:rsidRPr="00203ECA" w:rsidRDefault="00AC53A7" w:rsidP="00ED728A">
            <w:pPr>
              <w:keepNext/>
              <w:keepLines/>
              <w:spacing w:before="20" w:after="20"/>
              <w:rPr>
                <w:rFonts w:cs="Arial"/>
                <w:sz w:val="20"/>
                <w:szCs w:val="20"/>
              </w:rPr>
            </w:pPr>
            <w:r>
              <w:rPr>
                <w:rFonts w:cs="Arial"/>
                <w:sz w:val="20"/>
                <w:szCs w:val="20"/>
              </w:rPr>
              <w:t>Revisions for submittal of version 01.</w:t>
            </w:r>
          </w:p>
        </w:tc>
      </w:tr>
      <w:tr w:rsidR="001C4992" w:rsidRPr="00CA1CB3" w14:paraId="0AC55E14" w14:textId="77777777" w:rsidTr="00E91677">
        <w:trPr>
          <w:trHeight w:val="20"/>
        </w:trPr>
        <w:tc>
          <w:tcPr>
            <w:tcW w:w="503" w:type="pct"/>
          </w:tcPr>
          <w:p w14:paraId="4CAFA36F" w14:textId="12B9B648" w:rsidR="001C4992" w:rsidRPr="00203ECA" w:rsidRDefault="001C4992" w:rsidP="00871123">
            <w:pPr>
              <w:keepNext/>
              <w:keepLines/>
              <w:spacing w:before="20" w:after="20"/>
              <w:rPr>
                <w:rFonts w:cs="Arial"/>
                <w:sz w:val="20"/>
                <w:szCs w:val="20"/>
              </w:rPr>
            </w:pPr>
            <w:r>
              <w:rPr>
                <w:rFonts w:cs="Arial"/>
                <w:sz w:val="20"/>
                <w:szCs w:val="20"/>
              </w:rPr>
              <w:t>02</w:t>
            </w:r>
          </w:p>
        </w:tc>
        <w:tc>
          <w:tcPr>
            <w:tcW w:w="794" w:type="pct"/>
          </w:tcPr>
          <w:p w14:paraId="091DBA0F" w14:textId="0F37C0E4" w:rsidR="001C4992" w:rsidRDefault="001C4992" w:rsidP="00871123">
            <w:pPr>
              <w:keepNext/>
              <w:keepLines/>
              <w:spacing w:before="20" w:after="20"/>
              <w:rPr>
                <w:rFonts w:cs="Arial"/>
                <w:sz w:val="20"/>
                <w:szCs w:val="20"/>
              </w:rPr>
            </w:pPr>
            <w:r>
              <w:rPr>
                <w:rFonts w:cs="Arial"/>
                <w:sz w:val="20"/>
                <w:szCs w:val="20"/>
              </w:rPr>
              <w:t>8/1/2019</w:t>
            </w:r>
          </w:p>
        </w:tc>
        <w:tc>
          <w:tcPr>
            <w:tcW w:w="1058" w:type="pct"/>
          </w:tcPr>
          <w:p w14:paraId="54779808" w14:textId="3FB66221" w:rsidR="001C4992" w:rsidRDefault="001C4992" w:rsidP="00871123">
            <w:pPr>
              <w:keepNext/>
              <w:keepLines/>
              <w:spacing w:before="20" w:after="20"/>
              <w:rPr>
                <w:rFonts w:cs="Arial"/>
                <w:sz w:val="20"/>
                <w:szCs w:val="20"/>
              </w:rPr>
            </w:pPr>
            <w:r>
              <w:rPr>
                <w:rFonts w:cs="Arial"/>
                <w:sz w:val="20"/>
                <w:szCs w:val="20"/>
              </w:rPr>
              <w:t>Matthew Mendoza, SoCalGas</w:t>
            </w:r>
          </w:p>
        </w:tc>
        <w:tc>
          <w:tcPr>
            <w:tcW w:w="2645" w:type="pct"/>
          </w:tcPr>
          <w:p w14:paraId="0B1048CC" w14:textId="29675EE2" w:rsidR="001C4992" w:rsidRDefault="00C82D5C" w:rsidP="00ED728A">
            <w:pPr>
              <w:keepNext/>
              <w:keepLines/>
              <w:spacing w:before="20" w:after="20"/>
              <w:rPr>
                <w:rFonts w:cs="Arial"/>
                <w:sz w:val="20"/>
                <w:szCs w:val="20"/>
              </w:rPr>
            </w:pPr>
            <w:r>
              <w:rPr>
                <w:rFonts w:cs="Arial"/>
                <w:sz w:val="20"/>
                <w:szCs w:val="20"/>
              </w:rPr>
              <w:t xml:space="preserve">Addition of the research/analysis performed by </w:t>
            </w:r>
            <w:proofErr w:type="spellStart"/>
            <w:r>
              <w:rPr>
                <w:rFonts w:cs="Arial"/>
                <w:sz w:val="20"/>
                <w:szCs w:val="20"/>
              </w:rPr>
              <w:t>Nexant</w:t>
            </w:r>
            <w:proofErr w:type="spellEnd"/>
            <w:r>
              <w:rPr>
                <w:rFonts w:cs="Arial"/>
                <w:sz w:val="20"/>
                <w:szCs w:val="20"/>
              </w:rPr>
              <w:t xml:space="preserve"> to update the gas savings estimates.</w:t>
            </w:r>
          </w:p>
        </w:tc>
      </w:tr>
      <w:tr w:rsidR="00F80E00" w:rsidRPr="00CA1CB3" w14:paraId="09E643AF" w14:textId="77777777" w:rsidTr="00E91677">
        <w:trPr>
          <w:trHeight w:val="20"/>
        </w:trPr>
        <w:tc>
          <w:tcPr>
            <w:tcW w:w="503" w:type="pct"/>
          </w:tcPr>
          <w:p w14:paraId="5E0661C9" w14:textId="51C1AE59" w:rsidR="00F80E00" w:rsidRDefault="0060798D" w:rsidP="00871123">
            <w:pPr>
              <w:keepNext/>
              <w:keepLines/>
              <w:spacing w:before="20" w:after="20"/>
              <w:rPr>
                <w:rFonts w:cs="Arial"/>
                <w:sz w:val="20"/>
                <w:szCs w:val="20"/>
              </w:rPr>
            </w:pPr>
            <w:r>
              <w:rPr>
                <w:rFonts w:cs="Arial"/>
                <w:sz w:val="20"/>
                <w:szCs w:val="20"/>
              </w:rPr>
              <w:t>0</w:t>
            </w:r>
            <w:r w:rsidR="00A415D1">
              <w:rPr>
                <w:rFonts w:cs="Arial"/>
                <w:sz w:val="20"/>
                <w:szCs w:val="20"/>
              </w:rPr>
              <w:t>3</w:t>
            </w:r>
          </w:p>
        </w:tc>
        <w:tc>
          <w:tcPr>
            <w:tcW w:w="794" w:type="pct"/>
          </w:tcPr>
          <w:p w14:paraId="35E245AB" w14:textId="31241EE3" w:rsidR="00F80E00" w:rsidRDefault="005F0300" w:rsidP="00871123">
            <w:pPr>
              <w:keepNext/>
              <w:keepLines/>
              <w:spacing w:before="20" w:after="20"/>
              <w:rPr>
                <w:rFonts w:cs="Arial"/>
                <w:sz w:val="20"/>
                <w:szCs w:val="20"/>
              </w:rPr>
            </w:pPr>
            <w:r>
              <w:rPr>
                <w:rFonts w:cs="Arial"/>
                <w:sz w:val="20"/>
                <w:szCs w:val="20"/>
              </w:rPr>
              <w:t>6/</w:t>
            </w:r>
            <w:r w:rsidR="0060798D">
              <w:rPr>
                <w:rFonts w:cs="Arial"/>
                <w:sz w:val="20"/>
                <w:szCs w:val="20"/>
              </w:rPr>
              <w:t>8</w:t>
            </w:r>
            <w:r w:rsidR="00F80E00">
              <w:rPr>
                <w:rFonts w:cs="Arial"/>
                <w:sz w:val="20"/>
                <w:szCs w:val="20"/>
              </w:rPr>
              <w:t>/2020</w:t>
            </w:r>
          </w:p>
        </w:tc>
        <w:tc>
          <w:tcPr>
            <w:tcW w:w="1058" w:type="pct"/>
          </w:tcPr>
          <w:p w14:paraId="44978F4E" w14:textId="1C066ECC" w:rsidR="00F80E00" w:rsidRDefault="00F80E00" w:rsidP="00871123">
            <w:pPr>
              <w:keepNext/>
              <w:keepLines/>
              <w:spacing w:before="20" w:after="20"/>
              <w:rPr>
                <w:rFonts w:cs="Arial"/>
                <w:sz w:val="20"/>
                <w:szCs w:val="20"/>
              </w:rPr>
            </w:pPr>
            <w:r>
              <w:rPr>
                <w:rFonts w:cs="Arial"/>
                <w:sz w:val="20"/>
                <w:szCs w:val="20"/>
              </w:rPr>
              <w:t>Lake Casco</w:t>
            </w:r>
            <w:r w:rsidR="00CF23AF">
              <w:rPr>
                <w:rFonts w:cs="Arial"/>
                <w:sz w:val="20"/>
                <w:szCs w:val="20"/>
              </w:rPr>
              <w:t xml:space="preserve">, </w:t>
            </w:r>
            <w:r>
              <w:rPr>
                <w:rFonts w:cs="Arial"/>
                <w:sz w:val="20"/>
                <w:szCs w:val="20"/>
              </w:rPr>
              <w:t>TRC</w:t>
            </w:r>
            <w:r w:rsidR="00C72E1D">
              <w:rPr>
                <w:rFonts w:cs="Arial"/>
                <w:sz w:val="20"/>
                <w:szCs w:val="20"/>
              </w:rPr>
              <w:t xml:space="preserve"> </w:t>
            </w:r>
          </w:p>
        </w:tc>
        <w:tc>
          <w:tcPr>
            <w:tcW w:w="2645" w:type="pct"/>
          </w:tcPr>
          <w:p w14:paraId="52DA7FC2" w14:textId="77777777" w:rsidR="00F80E00" w:rsidRDefault="00F80E00" w:rsidP="00ED728A">
            <w:pPr>
              <w:keepNext/>
              <w:keepLines/>
              <w:spacing w:before="20" w:after="20"/>
              <w:rPr>
                <w:rFonts w:cs="Arial"/>
                <w:sz w:val="20"/>
                <w:szCs w:val="20"/>
              </w:rPr>
            </w:pPr>
            <w:r>
              <w:rPr>
                <w:rFonts w:cs="Arial"/>
                <w:sz w:val="20"/>
                <w:szCs w:val="20"/>
              </w:rPr>
              <w:t>Updated savings values and NTG based on PY2018 Impact Evaluation.</w:t>
            </w:r>
          </w:p>
          <w:p w14:paraId="1ECE8B8D" w14:textId="0D4A1BAA" w:rsidR="00F80E00" w:rsidRDefault="00F80E00" w:rsidP="00ED728A">
            <w:pPr>
              <w:keepNext/>
              <w:keepLines/>
              <w:spacing w:before="20" w:after="20"/>
              <w:rPr>
                <w:rFonts w:cs="Arial"/>
                <w:sz w:val="20"/>
                <w:szCs w:val="20"/>
              </w:rPr>
            </w:pPr>
            <w:r>
              <w:rPr>
                <w:rFonts w:cs="Arial"/>
                <w:sz w:val="20"/>
                <w:szCs w:val="20"/>
              </w:rPr>
              <w:t>Added newest EUL ID for Smart Thermostat</w:t>
            </w:r>
          </w:p>
          <w:p w14:paraId="2F4257CE" w14:textId="77777777" w:rsidR="00F80E00" w:rsidRDefault="00F80E00" w:rsidP="00ED728A">
            <w:pPr>
              <w:keepNext/>
              <w:keepLines/>
              <w:spacing w:before="20" w:after="20"/>
              <w:rPr>
                <w:rFonts w:cs="Arial"/>
                <w:sz w:val="20"/>
                <w:szCs w:val="20"/>
              </w:rPr>
            </w:pPr>
            <w:r>
              <w:rPr>
                <w:rFonts w:cs="Arial"/>
                <w:sz w:val="20"/>
                <w:szCs w:val="20"/>
              </w:rPr>
              <w:t>Updated pricing based on 2020 online retailer data</w:t>
            </w:r>
          </w:p>
          <w:p w14:paraId="09F58CF4" w14:textId="77777777" w:rsidR="005F0300" w:rsidRDefault="003E527F" w:rsidP="00ED728A">
            <w:pPr>
              <w:keepNext/>
              <w:keepLines/>
              <w:spacing w:before="20" w:after="20"/>
              <w:rPr>
                <w:rFonts w:cs="Arial"/>
                <w:sz w:val="20"/>
                <w:szCs w:val="20"/>
              </w:rPr>
            </w:pPr>
            <w:r>
              <w:rPr>
                <w:rFonts w:cs="Arial"/>
                <w:sz w:val="20"/>
                <w:szCs w:val="20"/>
              </w:rPr>
              <w:t>Split measures between Downstream Direct Install and Downstream Deemed. Direct install measures maintain savings from the previous workpaper</w:t>
            </w:r>
            <w:r w:rsidR="005F0300">
              <w:rPr>
                <w:rFonts w:cs="Arial"/>
                <w:sz w:val="20"/>
                <w:szCs w:val="20"/>
              </w:rPr>
              <w:t xml:space="preserve">. </w:t>
            </w:r>
          </w:p>
          <w:p w14:paraId="0561898B" w14:textId="066D392F" w:rsidR="005F0300" w:rsidRDefault="003E527F" w:rsidP="00ED728A">
            <w:pPr>
              <w:keepNext/>
              <w:keepLines/>
              <w:spacing w:before="20" w:after="20"/>
              <w:rPr>
                <w:rFonts w:cs="Arial"/>
                <w:sz w:val="20"/>
                <w:szCs w:val="20"/>
              </w:rPr>
            </w:pPr>
            <w:r>
              <w:rPr>
                <w:rFonts w:cs="Arial"/>
                <w:sz w:val="20"/>
                <w:szCs w:val="20"/>
              </w:rPr>
              <w:t>Downstream Deemed measures use new PY2018 Impact evaluation savings</w:t>
            </w:r>
            <w:r w:rsidR="005F0300">
              <w:rPr>
                <w:rFonts w:cs="Arial"/>
                <w:sz w:val="20"/>
                <w:szCs w:val="20"/>
              </w:rPr>
              <w:t xml:space="preserve">. </w:t>
            </w:r>
          </w:p>
        </w:tc>
      </w:tr>
      <w:bookmarkEnd w:id="74"/>
      <w:bookmarkEnd w:id="78"/>
      <w:bookmarkEnd w:id="79"/>
    </w:tbl>
    <w:p w14:paraId="5C9CAB2A" w14:textId="77777777" w:rsidR="00085726" w:rsidRDefault="00085726" w:rsidP="00387072"/>
    <w:sectPr w:rsidR="00085726" w:rsidSect="005F505E">
      <w:headerReference w:type="default" r:id="rId15"/>
      <w:headerReference w:type="first" r:id="rId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16B47" w14:textId="77777777" w:rsidR="000F52D6" w:rsidRDefault="000F52D6" w:rsidP="00A2690C">
      <w:r>
        <w:separator/>
      </w:r>
    </w:p>
    <w:p w14:paraId="7CED507D" w14:textId="77777777" w:rsidR="000F52D6" w:rsidRDefault="000F52D6"/>
  </w:endnote>
  <w:endnote w:type="continuationSeparator" w:id="0">
    <w:p w14:paraId="27E4DFC9" w14:textId="77777777" w:rsidR="000F52D6" w:rsidRDefault="000F52D6" w:rsidP="00A2690C">
      <w:r>
        <w:continuationSeparator/>
      </w:r>
    </w:p>
    <w:p w14:paraId="1269D9EB" w14:textId="77777777" w:rsidR="000F52D6" w:rsidRDefault="000F5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431708" w:rsidRDefault="00431708"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7" name="Picture 7"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431708" w:rsidRPr="00B837C1" w:rsidRDefault="00431708"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431708" w:rsidRDefault="00431708"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431708" w:rsidRPr="00B837C1" w:rsidRDefault="00431708"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21</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431708" w:rsidRDefault="00431708"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431708" w:rsidRPr="005F505E" w:rsidRDefault="00431708"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0DA0E" w14:textId="77777777" w:rsidR="000F52D6" w:rsidRDefault="000F52D6" w:rsidP="00A2690C">
      <w:r>
        <w:separator/>
      </w:r>
    </w:p>
    <w:p w14:paraId="6A2A0A66" w14:textId="77777777" w:rsidR="000F52D6" w:rsidRDefault="000F52D6"/>
  </w:footnote>
  <w:footnote w:type="continuationSeparator" w:id="0">
    <w:p w14:paraId="7EA316A8" w14:textId="77777777" w:rsidR="000F52D6" w:rsidRDefault="000F52D6" w:rsidP="00A2690C">
      <w:r>
        <w:continuationSeparator/>
      </w:r>
    </w:p>
    <w:p w14:paraId="51A93473" w14:textId="77777777" w:rsidR="000F52D6" w:rsidRDefault="000F52D6"/>
  </w:footnote>
  <w:footnote w:id="1">
    <w:p w14:paraId="0CFB9D42" w14:textId="3F6D20C3" w:rsidR="00431708" w:rsidRDefault="00431708">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2">
    <w:p w14:paraId="5A4A299C" w14:textId="02E42399" w:rsidR="00431708" w:rsidRDefault="00431708">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3">
    <w:p w14:paraId="33164D7B" w14:textId="56B981CC" w:rsidR="00431708" w:rsidRPr="00666E20" w:rsidRDefault="00431708" w:rsidP="00A377A6">
      <w:pPr>
        <w:pStyle w:val="FootnoteText"/>
        <w:rPr>
          <w:sz w:val="16"/>
          <w:szCs w:val="16"/>
        </w:rPr>
      </w:pPr>
      <w:r w:rsidRPr="00BA2EED">
        <w:rPr>
          <w:rStyle w:val="FootnoteReference"/>
          <w:sz w:val="16"/>
          <w:szCs w:val="16"/>
        </w:rPr>
        <w:footnoteRef/>
      </w:r>
      <w:r w:rsidRPr="00BA2EED">
        <w:rPr>
          <w:sz w:val="16"/>
          <w:szCs w:val="16"/>
        </w:rPr>
        <w:t xml:space="preserve"> </w:t>
      </w:r>
      <w:r w:rsidRPr="00A50610">
        <w:rPr>
          <w:rStyle w:val="eTRMFootnoteTextChar"/>
        </w:rPr>
        <w:t>California Public Utilities Commission (CPUC), Energy Division. 2016. "Disposition for Residential Smart Thermostat Workpapers.” November 8.</w:t>
      </w:r>
      <w:r w:rsidRPr="00666E20">
        <w:rPr>
          <w:b/>
          <w:sz w:val="16"/>
          <w:szCs w:val="16"/>
          <w:u w:val="single"/>
        </w:rPr>
        <w:t xml:space="preserve"> </w:t>
      </w:r>
    </w:p>
  </w:footnote>
  <w:footnote w:id="4">
    <w:p w14:paraId="7D10E892" w14:textId="6B513403" w:rsidR="00431708" w:rsidRDefault="00431708">
      <w:pPr>
        <w:pStyle w:val="FootnoteText"/>
      </w:pPr>
      <w:r>
        <w:rPr>
          <w:rStyle w:val="FootnoteReference"/>
        </w:rPr>
        <w:footnoteRef/>
      </w:r>
      <w:r>
        <w:t xml:space="preserve"> ENERGY STAR. 2017. "ENERGY STAR® Program Requirements for Connected Thermostat Products: Version 1.0 (Rev. Jan 2017)." January.</w:t>
      </w:r>
    </w:p>
  </w:footnote>
  <w:footnote w:id="5">
    <w:p w14:paraId="212626EF" w14:textId="671EF70E" w:rsidR="00431708" w:rsidRDefault="00431708">
      <w:pPr>
        <w:pStyle w:val="FootnoteText"/>
      </w:pPr>
      <w:r>
        <w:rPr>
          <w:rStyle w:val="FootnoteReference"/>
        </w:rPr>
        <w:footnoteRef/>
      </w:r>
      <w:r>
        <w:t xml:space="preserve"> </w:t>
      </w:r>
      <w:r w:rsidRPr="004F25B3">
        <w:t>DNV GL. 2020. Impact Evaluation of Smart Thermostats Residential Sector - Program Year 2018. Prepared for the California Public Utilities Commission. April 16, 2020.</w:t>
      </w:r>
    </w:p>
  </w:footnote>
  <w:footnote w:id="6">
    <w:p w14:paraId="0AB95B24" w14:textId="7926F4D9" w:rsidR="00431708" w:rsidRDefault="00431708">
      <w:pPr>
        <w:pStyle w:val="FootnoteText"/>
      </w:pPr>
      <w:r>
        <w:rPr>
          <w:rStyle w:val="FootnoteReference"/>
        </w:rPr>
        <w:footnoteRef/>
      </w:r>
      <w:r>
        <w:t xml:space="preserve"> DNV GL. 2020. </w:t>
      </w:r>
      <w:r w:rsidRPr="001D6246">
        <w:rPr>
          <w:i/>
          <w:iCs/>
        </w:rPr>
        <w:t>Impact Evaluation of Smart Thermostats Residential Sector - Program Year 2018</w:t>
      </w:r>
      <w:r>
        <w:rPr>
          <w:i/>
          <w:iCs/>
        </w:rPr>
        <w:t>.</w:t>
      </w:r>
      <w:r>
        <w:t xml:space="preserve"> Prepared for the California Public Utilities Commission. April 16, 2020.</w:t>
      </w:r>
    </w:p>
  </w:footnote>
  <w:footnote w:id="7">
    <w:p w14:paraId="69990F3F" w14:textId="5688A86A" w:rsidR="00431708" w:rsidRDefault="00431708">
      <w:pPr>
        <w:pStyle w:val="FootnoteText"/>
      </w:pPr>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p>
  </w:footnote>
  <w:footnote w:id="8">
    <w:p w14:paraId="652A4B44" w14:textId="77777777" w:rsidR="00431708" w:rsidRDefault="00431708" w:rsidP="0030342A">
      <w:pPr>
        <w:pStyle w:val="FootnoteText"/>
      </w:pPr>
      <w:r>
        <w:rPr>
          <w:rStyle w:val="FootnoteReference"/>
        </w:rPr>
        <w:footnoteRef/>
      </w:r>
      <w:r>
        <w:t xml:space="preserve"> </w:t>
      </w:r>
      <w:r w:rsidRPr="00CE3F3C">
        <w:t>UNDERSTANDING MANUFACTURING ENERGY USE THROUGH STATISTICAL ANALYSIS, KELLY KISSOCK, et al.  Beginning in the 1980s, statistical modeling has been used to understand energy use in buildings. The Princeton Scorekeeping Method, PRISM, pioneered the practice of automatically fitting variable-base degree-day (VBDD) models to residential utility data (Fels, 1986; Fels et al. 1995). PRISM employs three primary types of statistical models: “heating only” (HO), “cooling only” (CO) and “heating and cooling” (HC). The heating-only and cooling-only models describe residential energy use in terms of three regression variables alpha, beta and tau, which also have physical significance in thermodynamic models of building energy use.</w:t>
      </w:r>
    </w:p>
  </w:footnote>
  <w:footnote w:id="9">
    <w:p w14:paraId="677B4858" w14:textId="79954A71" w:rsidR="00431708" w:rsidRDefault="00431708">
      <w:pPr>
        <w:pStyle w:val="FootnoteText"/>
      </w:pPr>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p>
  </w:footnote>
  <w:footnote w:id="10">
    <w:p w14:paraId="72F3F082" w14:textId="04F61C53" w:rsidR="00431708" w:rsidRPr="005B4ECB" w:rsidRDefault="00431708" w:rsidP="002C2D46">
      <w:pPr>
        <w:pStyle w:val="FootnoteText"/>
        <w:jc w:val="both"/>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 xml:space="preserve">SWHC039-03 NTG and </w:t>
      </w:r>
      <w:proofErr w:type="spellStart"/>
      <w:r w:rsidRPr="005B4ECB">
        <w:t>DnDeemed</w:t>
      </w:r>
      <w:proofErr w:type="spellEnd"/>
      <w:r w:rsidRPr="005B4ECB">
        <w:t xml:space="preserve"> Savings Email.pdf</w:t>
      </w:r>
      <w:r>
        <w:t>”</w:t>
      </w:r>
    </w:p>
  </w:footnote>
  <w:footnote w:id="11">
    <w:p w14:paraId="77DC84F9" w14:textId="7E2B962B" w:rsidR="00431708" w:rsidRDefault="00431708">
      <w:pPr>
        <w:pStyle w:val="FootnoteText"/>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 xml:space="preserve">SWHC039-03 NTG and </w:t>
      </w:r>
      <w:proofErr w:type="spellStart"/>
      <w:r w:rsidRPr="005B4ECB">
        <w:t>DnDeemed</w:t>
      </w:r>
      <w:proofErr w:type="spellEnd"/>
      <w:r w:rsidRPr="005B4ECB">
        <w:t xml:space="preserve"> Savings Email.pdf</w:t>
      </w:r>
      <w:r>
        <w:t>”</w:t>
      </w:r>
    </w:p>
  </w:footnote>
  <w:footnote w:id="12">
    <w:p w14:paraId="64C547FC" w14:textId="77777777" w:rsidR="00431708" w:rsidRDefault="00431708" w:rsidP="00312FFB">
      <w:pPr>
        <w:pStyle w:val="FootnoteText"/>
      </w:pPr>
      <w:r>
        <w:rPr>
          <w:rStyle w:val="FootnoteReference"/>
        </w:rPr>
        <w:footnoteRef/>
      </w:r>
      <w:r>
        <w:t xml:space="preserve"> Pacific Gas and Electric Company (PG&amp;E). 2016. </w:t>
      </w:r>
      <w:r>
        <w:rPr>
          <w:i/>
          <w:iCs/>
        </w:rPr>
        <w:t>PG&amp;E Smart Thermostat Study: First Year Findings.</w:t>
      </w:r>
      <w:r>
        <w:t xml:space="preserve"> Prepared by the Applied Energy Group. ET Project Number ET13PGE1462. December 21.</w:t>
      </w:r>
    </w:p>
  </w:footnote>
  <w:footnote w:id="13">
    <w:p w14:paraId="261C8945" w14:textId="77777777" w:rsidR="00431708" w:rsidRDefault="00431708" w:rsidP="00312FFB">
      <w:pPr>
        <w:pStyle w:val="FootnoteText"/>
      </w:pPr>
      <w:r>
        <w:rPr>
          <w:rStyle w:val="FootnoteReference"/>
        </w:rPr>
        <w:footnoteRef/>
      </w:r>
      <w:r>
        <w:t xml:space="preserve"> </w:t>
      </w:r>
      <w:r>
        <w:rPr>
          <w:rFonts w:cstheme="minorHAnsi"/>
          <w:szCs w:val="20"/>
        </w:rPr>
        <w:t xml:space="preserve">Opinion Dynamics (ODC). 2018. </w:t>
      </w:r>
      <w:r>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14">
    <w:p w14:paraId="48A40971" w14:textId="77777777" w:rsidR="00431708" w:rsidRDefault="00431708" w:rsidP="00721730">
      <w:pPr>
        <w:pStyle w:val="FootnoteText"/>
      </w:pPr>
      <w:r>
        <w:rPr>
          <w:rStyle w:val="FootnoteReference"/>
        </w:rPr>
        <w:footnoteRef/>
      </w:r>
      <w:r>
        <w:t xml:space="preserve"> Pacific Gas and Electric Company (PG&amp;E). 2018. </w:t>
      </w:r>
      <w:r>
        <w:rPr>
          <w:i/>
          <w:iCs/>
        </w:rPr>
        <w:t>PG&amp;E Smart Thermostat Study: Second Year Findings.</w:t>
      </w:r>
      <w:r>
        <w:t xml:space="preserve"> Prepared by the Applied Energy Group. ET Project Number ET14PGE8661. March 20.</w:t>
      </w:r>
    </w:p>
    <w:p w14:paraId="245A3A28" w14:textId="580B1BAD" w:rsidR="00431708" w:rsidRDefault="00431708">
      <w:pPr>
        <w:pStyle w:val="FootnoteText"/>
      </w:pPr>
    </w:p>
  </w:footnote>
  <w:footnote w:id="15">
    <w:p w14:paraId="157CD728" w14:textId="77777777" w:rsidR="00431708" w:rsidRDefault="00431708" w:rsidP="00312FFB">
      <w:pPr>
        <w:pStyle w:val="FootnoteText"/>
      </w:pPr>
      <w:r>
        <w:rPr>
          <w:rStyle w:val="FootnoteReference"/>
        </w:rPr>
        <w:footnoteRef/>
      </w:r>
      <w:r>
        <w:t xml:space="preserve"> Applied Energy Group (AEG). 2018. “Update: Developing Ex-Ante Statewide Estimates of Savings Based on PG&amp;E’s Smart Thermostat Study.” Memorandum submitted to Lucy Morris (PG&amp;E) and Ken Agnew (DNVGL). December 20.</w:t>
      </w:r>
    </w:p>
  </w:footnote>
  <w:footnote w:id="16">
    <w:p w14:paraId="7156E941" w14:textId="77777777" w:rsidR="00431708" w:rsidRDefault="00431708" w:rsidP="00312FFB">
      <w:pPr>
        <w:pStyle w:val="FootnoteText"/>
      </w:pPr>
      <w:r>
        <w:rPr>
          <w:rStyle w:val="FootnoteReference"/>
        </w:rPr>
        <w:footnoteRef/>
      </w:r>
      <w:r>
        <w:t xml:space="preserve"> Southern California Edison (SCE). 2019. “FMC_IMC Analysis_CONFIDENTIAL.xlsx” Proprietary data.</w:t>
      </w:r>
    </w:p>
    <w:p w14:paraId="2E3F46A5" w14:textId="77777777" w:rsidR="00431708" w:rsidRDefault="00431708" w:rsidP="00312FFB">
      <w:pPr>
        <w:pStyle w:val="FootnoteText"/>
      </w:pPr>
      <w:r>
        <w:rPr>
          <w:rFonts w:cs="Calibri"/>
          <w:szCs w:val="22"/>
        </w:rPr>
        <w:t xml:space="preserve">Cadmus Group. 2019. “EUL analysis of Residential Smart Communicating Thermostat – Vendor A and B.” Memorandum to Andres Fergadiotti and Cassie Cuaresma, Southern California Edison. February 1. </w:t>
      </w:r>
    </w:p>
  </w:footnote>
  <w:footnote w:id="17">
    <w:p w14:paraId="4C85EE4C" w14:textId="77777777" w:rsidR="00431708" w:rsidRDefault="00431708" w:rsidP="00312FFB">
      <w:pPr>
        <w:pStyle w:val="FootnoteText"/>
      </w:pPr>
      <w:r>
        <w:rPr>
          <w:rStyle w:val="FootnoteReference"/>
        </w:rPr>
        <w:footnoteRef/>
      </w:r>
      <w:r>
        <w:t xml:space="preserve"> Southern California Edison (SCE). 2019. “FMC_IMC Analysis_CONFIDENTIAL.xlsx” Proprietary data.</w:t>
      </w:r>
    </w:p>
    <w:p w14:paraId="4913C8F4" w14:textId="77777777" w:rsidR="00431708" w:rsidRDefault="00431708" w:rsidP="00312FFB">
      <w:pPr>
        <w:pStyle w:val="FootnoteText"/>
      </w:pPr>
      <w:r>
        <w:rPr>
          <w:rFonts w:cs="Calibri"/>
          <w:szCs w:val="22"/>
        </w:rPr>
        <w:t xml:space="preserve">Cadmus Group. 2019. “EUL analysis of Residential Smart Communicating Thermostat – Vendor A and B.” Memorandum to Andres Fergadiotti and Cassie Cuaresma, Southern California Edison. February 1. </w:t>
      </w:r>
    </w:p>
  </w:footnote>
  <w:footnote w:id="18">
    <w:p w14:paraId="17110F56" w14:textId="77777777" w:rsidR="00431708" w:rsidRDefault="00431708" w:rsidP="00312FFB">
      <w:pPr>
        <w:pStyle w:val="FootnoteText"/>
      </w:pPr>
      <w:r>
        <w:rPr>
          <w:rStyle w:val="FootnoteReference"/>
        </w:rPr>
        <w:footnoteRef/>
      </w:r>
      <w:r>
        <w:t xml:space="preserve"> Southern California Edison (SCE). 2019. “MFmDMoScaling_v05252019.xlsx.”</w:t>
      </w:r>
    </w:p>
    <w:p w14:paraId="04860FCB" w14:textId="77777777" w:rsidR="00431708" w:rsidRDefault="00431708" w:rsidP="00312FFB">
      <w:pPr>
        <w:pStyle w:val="FootnoteText"/>
      </w:pPr>
      <w:r>
        <w:t>Southern California Edison (SCE). 2019. “</w:t>
      </w:r>
      <w:proofErr w:type="spellStart"/>
      <w:r>
        <w:t>MFm</w:t>
      </w:r>
      <w:proofErr w:type="spellEnd"/>
      <w:r>
        <w:t xml:space="preserve"> HVAC System Cap Analysis.xlsx.”</w:t>
      </w:r>
      <w:r>
        <w:rPr>
          <w:rFonts w:cs="Calibri"/>
          <w:szCs w:val="22"/>
        </w:rPr>
        <w:t>.</w:t>
      </w:r>
    </w:p>
  </w:footnote>
  <w:footnote w:id="19">
    <w:p w14:paraId="2FFBF1CD" w14:textId="77777777" w:rsidR="00431708" w:rsidRDefault="00431708" w:rsidP="002F3A65">
      <w:pPr>
        <w:pStyle w:val="FootnoteText"/>
      </w:pPr>
      <w:r>
        <w:rPr>
          <w:rStyle w:val="FootnoteReference"/>
        </w:rPr>
        <w:footnoteRef/>
      </w:r>
      <w:r>
        <w:t xml:space="preserve"> </w:t>
      </w:r>
      <w:bookmarkStart w:id="49" w:name="_Hlk12621621"/>
      <w:r>
        <w:rPr>
          <w:rFonts w:cs="Calibri"/>
          <w:szCs w:val="22"/>
        </w:rPr>
        <w:t>Southern California Edison (SCE). 2017. “Workpaper</w:t>
      </w:r>
      <w:r w:rsidRPr="000A0789">
        <w:rPr>
          <w:rFonts w:cs="Calibri"/>
          <w:szCs w:val="22"/>
        </w:rPr>
        <w:t xml:space="preserve"> </w:t>
      </w:r>
      <w:r w:rsidRPr="00EB079E">
        <w:rPr>
          <w:rFonts w:cs="Calibri"/>
          <w:szCs w:val="22"/>
        </w:rPr>
        <w:t>SCE17HC054 Rev</w:t>
      </w:r>
      <w:r>
        <w:rPr>
          <w:rFonts w:cs="Calibri"/>
          <w:szCs w:val="22"/>
        </w:rPr>
        <w:t>ision 0. Residential Smart Communicating Thermostat.” March 8.</w:t>
      </w:r>
      <w:bookmarkEnd w:id="49"/>
    </w:p>
  </w:footnote>
  <w:footnote w:id="20">
    <w:p w14:paraId="76757C06" w14:textId="570CFAA9" w:rsidR="00431708" w:rsidRDefault="00431708">
      <w:pPr>
        <w:pStyle w:val="FootnoteText"/>
      </w:pPr>
      <w:r>
        <w:rPr>
          <w:rStyle w:val="FootnoteReference"/>
        </w:rPr>
        <w:footnoteRef/>
      </w:r>
      <w:r>
        <w:t xml:space="preserve"> California Public Utilities Commission (CPUC). 2006. </w:t>
      </w:r>
      <w:r w:rsidRPr="0081735D">
        <w:rPr>
          <w:i/>
          <w:iCs/>
        </w:rPr>
        <w:t xml:space="preserve">California Energy Efficiency Evaluation Protocols: Technical, Methodological, and Reporting Requirements for Evaluation Professionals. </w:t>
      </w:r>
      <w:r>
        <w:t xml:space="preserve">Prepared by the </w:t>
      </w:r>
      <w:proofErr w:type="spellStart"/>
      <w:r>
        <w:t>TecMarketWorks</w:t>
      </w:r>
      <w:proofErr w:type="spellEnd"/>
      <w:r>
        <w:t xml:space="preserve"> Team.</w:t>
      </w:r>
    </w:p>
  </w:footnote>
  <w:footnote w:id="21">
    <w:p w14:paraId="3E519322" w14:textId="16AC53E9" w:rsidR="00431708" w:rsidRDefault="00431708">
      <w:pPr>
        <w:pStyle w:val="FootnoteText"/>
      </w:pPr>
      <w:r>
        <w:rPr>
          <w:rStyle w:val="FootnoteReference"/>
        </w:rPr>
        <w:footnoteRef/>
      </w:r>
      <w:r>
        <w:t xml:space="preserve"> Cadmus Group. 2019. “EUL analysis of Residential Smart Communicating Thermostat – Vendor A and B.” Memorandum to Andres Fergadiotti and Cassie Cuaresma, Southern California Edison. February 1.</w:t>
      </w:r>
    </w:p>
  </w:footnote>
  <w:footnote w:id="22">
    <w:p w14:paraId="68DA4FBF" w14:textId="5583FA15" w:rsidR="00431708" w:rsidRDefault="00431708">
      <w:pPr>
        <w:pStyle w:val="FootnoteText"/>
      </w:pPr>
      <w:r>
        <w:rPr>
          <w:rStyle w:val="FootnoteReference"/>
        </w:rPr>
        <w:footnoteRef/>
      </w:r>
      <w:r>
        <w:t xml:space="preserve"> </w:t>
      </w:r>
      <w:r w:rsidRPr="000A4C01">
        <w:rPr>
          <w:szCs w:val="18"/>
        </w:rPr>
        <w:t>California Public Utilities Commission (CPUC). 20</w:t>
      </w:r>
      <w:r>
        <w:rPr>
          <w:szCs w:val="18"/>
        </w:rPr>
        <w:t>20</w:t>
      </w:r>
      <w:r w:rsidRPr="000A4C01">
        <w:rPr>
          <w:szCs w:val="18"/>
        </w:rPr>
        <w:t>. “</w:t>
      </w:r>
      <w:r w:rsidRPr="00357263">
        <w:rPr>
          <w:szCs w:val="18"/>
        </w:rPr>
        <w:t>SupportTable_EUL</w:t>
      </w:r>
      <w:r>
        <w:rPr>
          <w:szCs w:val="18"/>
        </w:rPr>
        <w:t>.CSV</w:t>
      </w:r>
      <w:r w:rsidRPr="000A4C01">
        <w:rPr>
          <w:szCs w:val="18"/>
        </w:rPr>
        <w:t>.”</w:t>
      </w:r>
      <w:r>
        <w:rPr>
          <w:szCs w:val="18"/>
        </w:rPr>
        <w:t xml:space="preserve"> Obtained from PEAR database.</w:t>
      </w:r>
    </w:p>
  </w:footnote>
  <w:footnote w:id="23">
    <w:p w14:paraId="21475240" w14:textId="68DA05FB" w:rsidR="00431708" w:rsidRDefault="00431708">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5-18-20_CONFIDENTIAL</w:t>
      </w:r>
      <w:r>
        <w:t>” Proprietary data.</w:t>
      </w:r>
    </w:p>
  </w:footnote>
  <w:footnote w:id="24">
    <w:p w14:paraId="1A8E9EA0" w14:textId="0B70E9DA" w:rsidR="00431708" w:rsidRDefault="00431708">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25">
    <w:p w14:paraId="28522213" w14:textId="03A8BDC5" w:rsidR="00431708" w:rsidRDefault="00431708">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w:t>
      </w:r>
      <w:r>
        <w:t>L.”</w:t>
      </w:r>
    </w:p>
  </w:footnote>
  <w:footnote w:id="26">
    <w:p w14:paraId="693A15D0" w14:textId="7B84E5B6" w:rsidR="00431708" w:rsidRDefault="00431708">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5-18-20_CONFIDENTIAL</w:t>
      </w:r>
      <w:r>
        <w:t>.”</w:t>
      </w:r>
    </w:p>
  </w:footnote>
  <w:footnote w:id="27">
    <w:p w14:paraId="2631C636" w14:textId="20DA3BB1" w:rsidR="00431708" w:rsidRDefault="00431708">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5-18-20_CONFIDENTIAL</w:t>
      </w:r>
      <w:r>
        <w:t>.”</w:t>
      </w:r>
    </w:p>
  </w:footnote>
  <w:footnote w:id="28">
    <w:p w14:paraId="3B777FE5" w14:textId="70B2E9A6" w:rsidR="00431708" w:rsidRDefault="00431708">
      <w:pPr>
        <w:pStyle w:val="FootnoteText"/>
      </w:pPr>
      <w:r>
        <w:rPr>
          <w:rStyle w:val="FootnoteReference"/>
        </w:rPr>
        <w:footnoteRef/>
      </w:r>
      <w:r>
        <w:t xml:space="preserve"> Southern California Edison (SCE). 2020. “</w:t>
      </w:r>
      <w:r w:rsidRPr="00E0445C">
        <w:t xml:space="preserve">SWHC039-03 Smart </w:t>
      </w:r>
      <w:proofErr w:type="spellStart"/>
      <w:r w:rsidRPr="00E0445C">
        <w:t>Tstat</w:t>
      </w:r>
      <w:proofErr w:type="spellEnd"/>
      <w:r w:rsidRPr="00E0445C">
        <w:t xml:space="preserve"> Cost 5-18-20_CONFIDENTIAL</w:t>
      </w:r>
      <w:r>
        <w:t>.”</w:t>
      </w:r>
      <w:r w:rsidDel="006F6C1B">
        <w:t xml:space="preserve"> </w:t>
      </w:r>
    </w:p>
  </w:footnote>
  <w:footnote w:id="29">
    <w:p w14:paraId="49A84C62" w14:textId="7F75CB33" w:rsidR="00431708" w:rsidRDefault="00431708">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30">
    <w:p w14:paraId="5309D4A9" w14:textId="0FA60003" w:rsidR="00431708" w:rsidRDefault="00431708">
      <w:pPr>
        <w:pStyle w:val="FootnoteText"/>
      </w:pPr>
      <w:r>
        <w:rPr>
          <w:rStyle w:val="FootnoteReference"/>
        </w:rPr>
        <w:footnoteRef/>
      </w:r>
      <w:r>
        <w:t xml:space="preserve"> </w:t>
      </w:r>
      <w:proofErr w:type="spellStart"/>
      <w:r w:rsidRPr="00873146">
        <w:t>RSMeans</w:t>
      </w:r>
      <w:proofErr w:type="spellEnd"/>
      <w:r w:rsidRPr="00873146">
        <w:t xml:space="preserve"> </w:t>
      </w:r>
      <w:r>
        <w:t>Residential Labor Rates, “</w:t>
      </w:r>
      <w:r w:rsidRPr="00B53FBC">
        <w:t>https://www.rsmeansonline.com/References/LABORRATE/2-Year%202020%20Labor%20Rates/Residential%20Labor%20Rates.PDF</w:t>
      </w:r>
      <w:r w:rsidRPr="00873146">
        <w:t>”</w:t>
      </w:r>
    </w:p>
  </w:footnote>
  <w:footnote w:id="31">
    <w:p w14:paraId="37EA05F2" w14:textId="1ECB0263" w:rsidR="00431708" w:rsidRDefault="00431708">
      <w:pPr>
        <w:pStyle w:val="FootnoteText"/>
      </w:pPr>
      <w:r>
        <w:rPr>
          <w:rStyle w:val="FootnoteReference"/>
        </w:rPr>
        <w:footnoteRef/>
      </w:r>
      <w:r>
        <w:t xml:space="preserve"> </w:t>
      </w:r>
      <w:r w:rsidRPr="005F1955">
        <w:t xml:space="preserve">RSMeans Historical Cost Index </w:t>
      </w:r>
      <w:r w:rsidRPr="002C2D46">
        <w:t>https://www.rsmeansonline.com/References/CCI/3-Historical%20Cost%20Indexes/3-Historical%20Cost%20Indexes.PDF</w:t>
      </w:r>
      <w:r>
        <w:rPr>
          <w:szCs w:val="18"/>
        </w:rPr>
        <w:t>,</w:t>
      </w:r>
    </w:p>
  </w:footnote>
  <w:footnote w:id="32">
    <w:p w14:paraId="3BE86216" w14:textId="2C393328" w:rsidR="00431708" w:rsidRPr="001B2045" w:rsidRDefault="00431708">
      <w:pPr>
        <w:pStyle w:val="FootnoteText"/>
      </w:pPr>
      <w:r>
        <w:rPr>
          <w:rStyle w:val="FootnoteReference"/>
        </w:rPr>
        <w:footnoteRef/>
      </w:r>
      <w:r>
        <w:t xml:space="preserve"> DNV GL. 2020. </w:t>
      </w:r>
      <w:r w:rsidRPr="002C2D46">
        <w:rPr>
          <w:i/>
          <w:iCs/>
        </w:rPr>
        <w:t>Impact Evaluation of Smart Thermostats Residential Sector - Program Year 2018</w:t>
      </w:r>
      <w:r>
        <w:rPr>
          <w:i/>
          <w:iCs/>
        </w:rPr>
        <w:t>.</w:t>
      </w:r>
      <w:r>
        <w:t xml:space="preserve"> Prepared for the California Public Utilities Commission. April 16, 2020.</w:t>
      </w:r>
    </w:p>
  </w:footnote>
  <w:footnote w:id="33">
    <w:p w14:paraId="5BB7AE15" w14:textId="79BB620F" w:rsidR="00431708" w:rsidRPr="00B53FBC" w:rsidRDefault="00431708" w:rsidP="00B53FBC">
      <w:pPr>
        <w:keepNext/>
        <w:keepLines/>
        <w:spacing w:before="0" w:after="0" w:line="200" w:lineRule="atLeast"/>
        <w:rPr>
          <w:szCs w:val="18"/>
        </w:rPr>
      </w:pPr>
      <w:r>
        <w:rPr>
          <w:rStyle w:val="FootnoteReference"/>
        </w:rPr>
        <w:footnoteRef/>
      </w:r>
      <w:r>
        <w:t xml:space="preserve"> </w:t>
      </w:r>
      <w:r w:rsidRPr="000A4C01">
        <w:rPr>
          <w:sz w:val="18"/>
          <w:szCs w:val="18"/>
        </w:rPr>
        <w:t>California Public Utilities Commission (CPUC). 20</w:t>
      </w:r>
      <w:r>
        <w:rPr>
          <w:sz w:val="18"/>
          <w:szCs w:val="18"/>
        </w:rPr>
        <w:t>20</w:t>
      </w:r>
      <w:r w:rsidRPr="000A4C01">
        <w:rPr>
          <w:sz w:val="18"/>
          <w:szCs w:val="18"/>
        </w:rPr>
        <w:t>. “</w:t>
      </w:r>
      <w:r w:rsidRPr="00956F2D">
        <w:rPr>
          <w:sz w:val="18"/>
          <w:szCs w:val="18"/>
        </w:rPr>
        <w:t>SupportTable_NTG2020</w:t>
      </w:r>
      <w:r>
        <w:rPr>
          <w:sz w:val="18"/>
          <w:szCs w:val="18"/>
        </w:rPr>
        <w:t>.CSV</w:t>
      </w:r>
      <w:r w:rsidRPr="000A4C01">
        <w:rPr>
          <w:sz w:val="18"/>
          <w:szCs w:val="18"/>
        </w:rPr>
        <w:t>.”</w:t>
      </w:r>
      <w:r>
        <w:rPr>
          <w:sz w:val="18"/>
          <w:szCs w:val="18"/>
        </w:rPr>
        <w:t xml:space="preserve"> Obtained from PEAR database.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431708" w:rsidRPr="000220A0" w:rsidRDefault="00431708"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1B9C1F3" w:rsidR="00431708" w:rsidRDefault="00431708">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431708" w:rsidRDefault="004317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431708" w:rsidRDefault="00431708" w:rsidP="00BD221D">
    <w:pPr>
      <w:jc w:val="center"/>
    </w:pPr>
  </w:p>
  <w:p w14:paraId="342310D5" w14:textId="5BACBCD8" w:rsidR="00431708" w:rsidRDefault="00431708" w:rsidP="00BD221D">
    <w:pPr>
      <w:jc w:val="center"/>
    </w:pPr>
    <w:r>
      <w:rPr>
        <w:noProof/>
      </w:rPr>
      <w:drawing>
        <wp:inline distT="0" distB="0" distL="0" distR="0" wp14:anchorId="4B2AF0A8" wp14:editId="7258E71E">
          <wp:extent cx="937307" cy="1405961"/>
          <wp:effectExtent l="0" t="0" r="2540" b="0"/>
          <wp:docPr id="9" name="Picture 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012C" w14:textId="0B7676D3" w:rsidR="00431708" w:rsidRDefault="00431708"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Smart Thermostat, Residential</w:t>
    </w:r>
  </w:p>
  <w:p w14:paraId="2AC97B25" w14:textId="77777777" w:rsidR="00431708" w:rsidRDefault="004317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431708" w:rsidRDefault="004317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5B0C6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65E39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786B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12AFC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A8FE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A252B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3D6C8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3BAAA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90F3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F4052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5044B"/>
    <w:multiLevelType w:val="hybridMultilevel"/>
    <w:tmpl w:val="976EC6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390C4A"/>
    <w:multiLevelType w:val="hybridMultilevel"/>
    <w:tmpl w:val="9F564E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38D554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0B3658D9"/>
    <w:multiLevelType w:val="hybridMultilevel"/>
    <w:tmpl w:val="6AB07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102B4F"/>
    <w:multiLevelType w:val="multilevel"/>
    <w:tmpl w:val="473AE3CE"/>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
      <w:lvlJc w:val="left"/>
      <w:pPr>
        <w:tabs>
          <w:tab w:val="num" w:pos="1440"/>
        </w:tabs>
        <w:ind w:left="1440" w:hanging="360"/>
      </w:pPr>
      <w:rPr>
        <w:rFonts w:ascii="Symbol" w:hAnsi="Symbol" w:hint="default"/>
        <w:color w:val="404040" w:themeColor="accent3" w:themeShade="80"/>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1D4176"/>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9" w15:restartNumberingAfterBreak="0">
    <w:nsid w:val="1B6C257D"/>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1D8360FC"/>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1" w15:restartNumberingAfterBreak="0">
    <w:nsid w:val="1EB009A9"/>
    <w:multiLevelType w:val="hybridMultilevel"/>
    <w:tmpl w:val="BECAE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AE52C5"/>
    <w:multiLevelType w:val="hybridMultilevel"/>
    <w:tmpl w:val="A3B499AA"/>
    <w:lvl w:ilvl="0" w:tplc="FDDA415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B60CC1"/>
    <w:multiLevelType w:val="hybridMultilevel"/>
    <w:tmpl w:val="D0CA6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D61CD5"/>
    <w:multiLevelType w:val="hybridMultilevel"/>
    <w:tmpl w:val="9522E6E4"/>
    <w:lvl w:ilvl="0" w:tplc="37DA2F3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15:restartNumberingAfterBreak="0">
    <w:nsid w:val="2E3D093E"/>
    <w:multiLevelType w:val="hybridMultilevel"/>
    <w:tmpl w:val="7A82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D24E5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9"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30"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04B3816"/>
    <w:multiLevelType w:val="hybridMultilevel"/>
    <w:tmpl w:val="C560A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86D347E"/>
    <w:multiLevelType w:val="hybridMultilevel"/>
    <w:tmpl w:val="21865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F165CE"/>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7" w15:restartNumberingAfterBreak="0">
    <w:nsid w:val="60E44DC5"/>
    <w:multiLevelType w:val="hybridMultilevel"/>
    <w:tmpl w:val="8F040F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3" w15:restartNumberingAfterBreak="0">
    <w:nsid w:val="76961D01"/>
    <w:multiLevelType w:val="multilevel"/>
    <w:tmpl w:val="96E09F54"/>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44" w15:restartNumberingAfterBreak="0">
    <w:nsid w:val="78134A25"/>
    <w:multiLevelType w:val="hybridMultilevel"/>
    <w:tmpl w:val="1452D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E62E7B"/>
    <w:multiLevelType w:val="hybridMultilevel"/>
    <w:tmpl w:val="D7EA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7F7ED3"/>
    <w:multiLevelType w:val="hybridMultilevel"/>
    <w:tmpl w:val="2BA265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3957D5"/>
    <w:multiLevelType w:val="hybridMultilevel"/>
    <w:tmpl w:val="ACCEE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D311BC"/>
    <w:multiLevelType w:val="hybridMultilevel"/>
    <w:tmpl w:val="00D2B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42"/>
  </w:num>
  <w:num w:numId="3">
    <w:abstractNumId w:val="3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40"/>
  </w:num>
  <w:num w:numId="5">
    <w:abstractNumId w:val="24"/>
  </w:num>
  <w:num w:numId="6">
    <w:abstractNumId w:val="25"/>
  </w:num>
  <w:num w:numId="7">
    <w:abstractNumId w:val="35"/>
  </w:num>
  <w:num w:numId="8">
    <w:abstractNumId w:val="43"/>
  </w:num>
  <w:num w:numId="9">
    <w:abstractNumId w:val="28"/>
  </w:num>
  <w:num w:numId="10">
    <w:abstractNumId w:val="12"/>
  </w:num>
  <w:num w:numId="11">
    <w:abstractNumId w:val="29"/>
  </w:num>
  <w:num w:numId="12">
    <w:abstractNumId w:val="26"/>
  </w:num>
  <w:num w:numId="13">
    <w:abstractNumId w:val="19"/>
  </w:num>
  <w:num w:numId="14">
    <w:abstractNumId w:val="44"/>
  </w:num>
  <w:num w:numId="15">
    <w:abstractNumId w:val="20"/>
  </w:num>
  <w:num w:numId="16">
    <w:abstractNumId w:val="18"/>
  </w:num>
  <w:num w:numId="17">
    <w:abstractNumId w:val="15"/>
  </w:num>
  <w:num w:numId="18">
    <w:abstractNumId w:val="34"/>
  </w:num>
  <w:num w:numId="19">
    <w:abstractNumId w:val="39"/>
  </w:num>
  <w:num w:numId="20">
    <w:abstractNumId w:val="14"/>
  </w:num>
  <w:num w:numId="21">
    <w:abstractNumId w:val="38"/>
  </w:num>
  <w:num w:numId="22">
    <w:abstractNumId w:val="16"/>
  </w:num>
  <w:num w:numId="23">
    <w:abstractNumId w:val="10"/>
  </w:num>
  <w:num w:numId="24">
    <w:abstractNumId w:val="21"/>
  </w:num>
  <w:num w:numId="25">
    <w:abstractNumId w:val="37"/>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7"/>
  </w:num>
  <w:num w:numId="37">
    <w:abstractNumId w:val="47"/>
  </w:num>
  <w:num w:numId="38">
    <w:abstractNumId w:val="31"/>
  </w:num>
  <w:num w:numId="39">
    <w:abstractNumId w:val="17"/>
  </w:num>
  <w:num w:numId="40">
    <w:abstractNumId w:val="33"/>
  </w:num>
  <w:num w:numId="41">
    <w:abstractNumId w:val="45"/>
  </w:num>
  <w:num w:numId="42">
    <w:abstractNumId w:val="13"/>
  </w:num>
  <w:num w:numId="43">
    <w:abstractNumId w:val="48"/>
  </w:num>
  <w:num w:numId="44">
    <w:abstractNumId w:val="27"/>
  </w:num>
  <w:num w:numId="45">
    <w:abstractNumId w:val="11"/>
  </w:num>
  <w:num w:numId="46">
    <w:abstractNumId w:val="46"/>
  </w:num>
  <w:num w:numId="47">
    <w:abstractNumId w:val="23"/>
  </w:num>
  <w:num w:numId="48">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064"/>
    <w:rsid w:val="00003C9A"/>
    <w:rsid w:val="00005129"/>
    <w:rsid w:val="000055F1"/>
    <w:rsid w:val="00005B06"/>
    <w:rsid w:val="000063B0"/>
    <w:rsid w:val="0001009E"/>
    <w:rsid w:val="000110D9"/>
    <w:rsid w:val="000111AF"/>
    <w:rsid w:val="0001609E"/>
    <w:rsid w:val="00016928"/>
    <w:rsid w:val="00021759"/>
    <w:rsid w:val="000220A0"/>
    <w:rsid w:val="000229F1"/>
    <w:rsid w:val="0002389A"/>
    <w:rsid w:val="00024B33"/>
    <w:rsid w:val="00026D58"/>
    <w:rsid w:val="000302DF"/>
    <w:rsid w:val="00031184"/>
    <w:rsid w:val="00033DF6"/>
    <w:rsid w:val="00037A06"/>
    <w:rsid w:val="000433BE"/>
    <w:rsid w:val="00044430"/>
    <w:rsid w:val="00044663"/>
    <w:rsid w:val="00046BB0"/>
    <w:rsid w:val="00050909"/>
    <w:rsid w:val="00051DBB"/>
    <w:rsid w:val="00052143"/>
    <w:rsid w:val="00052C95"/>
    <w:rsid w:val="000530E4"/>
    <w:rsid w:val="0005587A"/>
    <w:rsid w:val="00061D34"/>
    <w:rsid w:val="000621A8"/>
    <w:rsid w:val="00065E54"/>
    <w:rsid w:val="000672E5"/>
    <w:rsid w:val="00074E3E"/>
    <w:rsid w:val="00075C55"/>
    <w:rsid w:val="000767E9"/>
    <w:rsid w:val="00077FF3"/>
    <w:rsid w:val="0008002B"/>
    <w:rsid w:val="0008108C"/>
    <w:rsid w:val="000841AA"/>
    <w:rsid w:val="00085726"/>
    <w:rsid w:val="00087FD4"/>
    <w:rsid w:val="00090BBF"/>
    <w:rsid w:val="000910B7"/>
    <w:rsid w:val="00091581"/>
    <w:rsid w:val="00094517"/>
    <w:rsid w:val="00096485"/>
    <w:rsid w:val="00096C5B"/>
    <w:rsid w:val="000978C8"/>
    <w:rsid w:val="000A0789"/>
    <w:rsid w:val="000A270E"/>
    <w:rsid w:val="000A40A8"/>
    <w:rsid w:val="000A4D3A"/>
    <w:rsid w:val="000A5C07"/>
    <w:rsid w:val="000A5FC9"/>
    <w:rsid w:val="000A62EF"/>
    <w:rsid w:val="000A66B7"/>
    <w:rsid w:val="000A7058"/>
    <w:rsid w:val="000B139B"/>
    <w:rsid w:val="000B34D9"/>
    <w:rsid w:val="000B6004"/>
    <w:rsid w:val="000B7A2E"/>
    <w:rsid w:val="000C12C5"/>
    <w:rsid w:val="000C36B4"/>
    <w:rsid w:val="000C4BDE"/>
    <w:rsid w:val="000C5378"/>
    <w:rsid w:val="000C72C1"/>
    <w:rsid w:val="000C7B77"/>
    <w:rsid w:val="000D23FE"/>
    <w:rsid w:val="000E0244"/>
    <w:rsid w:val="000E044A"/>
    <w:rsid w:val="000E12CA"/>
    <w:rsid w:val="000E1D72"/>
    <w:rsid w:val="000E3FF6"/>
    <w:rsid w:val="000E674F"/>
    <w:rsid w:val="000F1833"/>
    <w:rsid w:val="000F52D6"/>
    <w:rsid w:val="000F574B"/>
    <w:rsid w:val="000F5FC7"/>
    <w:rsid w:val="000F7624"/>
    <w:rsid w:val="00103399"/>
    <w:rsid w:val="00103C45"/>
    <w:rsid w:val="0010471F"/>
    <w:rsid w:val="00104933"/>
    <w:rsid w:val="00106418"/>
    <w:rsid w:val="0010657B"/>
    <w:rsid w:val="00111A53"/>
    <w:rsid w:val="0011498C"/>
    <w:rsid w:val="00120592"/>
    <w:rsid w:val="001217DF"/>
    <w:rsid w:val="0012187D"/>
    <w:rsid w:val="00124BFE"/>
    <w:rsid w:val="00125561"/>
    <w:rsid w:val="00126121"/>
    <w:rsid w:val="00126809"/>
    <w:rsid w:val="00126B25"/>
    <w:rsid w:val="001311F3"/>
    <w:rsid w:val="00131C5A"/>
    <w:rsid w:val="00141AD7"/>
    <w:rsid w:val="00142D3C"/>
    <w:rsid w:val="00144158"/>
    <w:rsid w:val="001451AB"/>
    <w:rsid w:val="00145363"/>
    <w:rsid w:val="001474D9"/>
    <w:rsid w:val="001501B3"/>
    <w:rsid w:val="00151B9F"/>
    <w:rsid w:val="00153BB7"/>
    <w:rsid w:val="00154391"/>
    <w:rsid w:val="00155BC5"/>
    <w:rsid w:val="001564FC"/>
    <w:rsid w:val="00157985"/>
    <w:rsid w:val="00161DF1"/>
    <w:rsid w:val="001648F6"/>
    <w:rsid w:val="00166375"/>
    <w:rsid w:val="00171436"/>
    <w:rsid w:val="00171951"/>
    <w:rsid w:val="00171BB8"/>
    <w:rsid w:val="00174707"/>
    <w:rsid w:val="00176929"/>
    <w:rsid w:val="00177EB6"/>
    <w:rsid w:val="00180DAD"/>
    <w:rsid w:val="00181672"/>
    <w:rsid w:val="00181E01"/>
    <w:rsid w:val="001932FD"/>
    <w:rsid w:val="001944A0"/>
    <w:rsid w:val="001944B4"/>
    <w:rsid w:val="001959B0"/>
    <w:rsid w:val="00195B03"/>
    <w:rsid w:val="00196649"/>
    <w:rsid w:val="00197778"/>
    <w:rsid w:val="001978A8"/>
    <w:rsid w:val="001A11C7"/>
    <w:rsid w:val="001A4BE1"/>
    <w:rsid w:val="001A7A21"/>
    <w:rsid w:val="001B0D29"/>
    <w:rsid w:val="001B113B"/>
    <w:rsid w:val="001B1D23"/>
    <w:rsid w:val="001B2045"/>
    <w:rsid w:val="001B426F"/>
    <w:rsid w:val="001B629E"/>
    <w:rsid w:val="001B6649"/>
    <w:rsid w:val="001B680B"/>
    <w:rsid w:val="001C1D6F"/>
    <w:rsid w:val="001C2ACE"/>
    <w:rsid w:val="001C4992"/>
    <w:rsid w:val="001C6C9B"/>
    <w:rsid w:val="001C6D93"/>
    <w:rsid w:val="001C7134"/>
    <w:rsid w:val="001C7348"/>
    <w:rsid w:val="001D0318"/>
    <w:rsid w:val="001D44FB"/>
    <w:rsid w:val="001D5907"/>
    <w:rsid w:val="001D656F"/>
    <w:rsid w:val="001D65A6"/>
    <w:rsid w:val="001D7A57"/>
    <w:rsid w:val="001E0138"/>
    <w:rsid w:val="001E19A3"/>
    <w:rsid w:val="001E2A08"/>
    <w:rsid w:val="001E4C3F"/>
    <w:rsid w:val="001E4C90"/>
    <w:rsid w:val="001E6273"/>
    <w:rsid w:val="001F00E9"/>
    <w:rsid w:val="001F735E"/>
    <w:rsid w:val="001F73BB"/>
    <w:rsid w:val="002005A8"/>
    <w:rsid w:val="002006B6"/>
    <w:rsid w:val="002031BB"/>
    <w:rsid w:val="00203ECA"/>
    <w:rsid w:val="00205BAF"/>
    <w:rsid w:val="00207A97"/>
    <w:rsid w:val="00207F85"/>
    <w:rsid w:val="002112B3"/>
    <w:rsid w:val="0021226A"/>
    <w:rsid w:val="0021230E"/>
    <w:rsid w:val="0021746B"/>
    <w:rsid w:val="0022440E"/>
    <w:rsid w:val="00224A16"/>
    <w:rsid w:val="00224AC5"/>
    <w:rsid w:val="00225142"/>
    <w:rsid w:val="00226694"/>
    <w:rsid w:val="00226FB8"/>
    <w:rsid w:val="00227BDD"/>
    <w:rsid w:val="00227FB9"/>
    <w:rsid w:val="002318A4"/>
    <w:rsid w:val="002335FF"/>
    <w:rsid w:val="00233D87"/>
    <w:rsid w:val="0023666C"/>
    <w:rsid w:val="00236692"/>
    <w:rsid w:val="00236E0A"/>
    <w:rsid w:val="00237964"/>
    <w:rsid w:val="002434DE"/>
    <w:rsid w:val="0024462C"/>
    <w:rsid w:val="002450C9"/>
    <w:rsid w:val="00245AFF"/>
    <w:rsid w:val="0024628D"/>
    <w:rsid w:val="0024690E"/>
    <w:rsid w:val="00251ABC"/>
    <w:rsid w:val="002524CF"/>
    <w:rsid w:val="00252E9E"/>
    <w:rsid w:val="00256400"/>
    <w:rsid w:val="00256510"/>
    <w:rsid w:val="00260EC9"/>
    <w:rsid w:val="00265128"/>
    <w:rsid w:val="002652D2"/>
    <w:rsid w:val="00267E46"/>
    <w:rsid w:val="00271B18"/>
    <w:rsid w:val="00273571"/>
    <w:rsid w:val="00276F9B"/>
    <w:rsid w:val="00282D4D"/>
    <w:rsid w:val="00284944"/>
    <w:rsid w:val="00291F3B"/>
    <w:rsid w:val="002942B0"/>
    <w:rsid w:val="002947B9"/>
    <w:rsid w:val="00294F3F"/>
    <w:rsid w:val="0029555D"/>
    <w:rsid w:val="0029781E"/>
    <w:rsid w:val="002A1953"/>
    <w:rsid w:val="002A1F96"/>
    <w:rsid w:val="002A2471"/>
    <w:rsid w:val="002A2A94"/>
    <w:rsid w:val="002A3F16"/>
    <w:rsid w:val="002A47F8"/>
    <w:rsid w:val="002A54CE"/>
    <w:rsid w:val="002A5F1E"/>
    <w:rsid w:val="002B107C"/>
    <w:rsid w:val="002B2C97"/>
    <w:rsid w:val="002B3BF4"/>
    <w:rsid w:val="002B6DED"/>
    <w:rsid w:val="002B6F2A"/>
    <w:rsid w:val="002C06FC"/>
    <w:rsid w:val="002C1117"/>
    <w:rsid w:val="002C2D46"/>
    <w:rsid w:val="002C67DF"/>
    <w:rsid w:val="002C6BAF"/>
    <w:rsid w:val="002C6F62"/>
    <w:rsid w:val="002D0036"/>
    <w:rsid w:val="002D17CE"/>
    <w:rsid w:val="002D29F8"/>
    <w:rsid w:val="002D3FC4"/>
    <w:rsid w:val="002D40EE"/>
    <w:rsid w:val="002D4993"/>
    <w:rsid w:val="002D50E9"/>
    <w:rsid w:val="002D5CFA"/>
    <w:rsid w:val="002E0DE7"/>
    <w:rsid w:val="002E4F0D"/>
    <w:rsid w:val="002E5874"/>
    <w:rsid w:val="002E6963"/>
    <w:rsid w:val="002F036B"/>
    <w:rsid w:val="002F086B"/>
    <w:rsid w:val="002F3A65"/>
    <w:rsid w:val="002F41A0"/>
    <w:rsid w:val="002F78E9"/>
    <w:rsid w:val="00300733"/>
    <w:rsid w:val="00302222"/>
    <w:rsid w:val="00302688"/>
    <w:rsid w:val="00302A82"/>
    <w:rsid w:val="00302B26"/>
    <w:rsid w:val="0030342A"/>
    <w:rsid w:val="00304892"/>
    <w:rsid w:val="003103FB"/>
    <w:rsid w:val="003120BB"/>
    <w:rsid w:val="00312FFB"/>
    <w:rsid w:val="00313C99"/>
    <w:rsid w:val="00313E1D"/>
    <w:rsid w:val="00323395"/>
    <w:rsid w:val="003247FA"/>
    <w:rsid w:val="003309DA"/>
    <w:rsid w:val="003322EA"/>
    <w:rsid w:val="003336D9"/>
    <w:rsid w:val="00333809"/>
    <w:rsid w:val="00336313"/>
    <w:rsid w:val="00337D1D"/>
    <w:rsid w:val="00343BF1"/>
    <w:rsid w:val="0035060F"/>
    <w:rsid w:val="00352543"/>
    <w:rsid w:val="00352864"/>
    <w:rsid w:val="00357263"/>
    <w:rsid w:val="00362F9E"/>
    <w:rsid w:val="00363BE8"/>
    <w:rsid w:val="00363C0D"/>
    <w:rsid w:val="00370B5D"/>
    <w:rsid w:val="00372F61"/>
    <w:rsid w:val="00375F1C"/>
    <w:rsid w:val="00376B8C"/>
    <w:rsid w:val="00384941"/>
    <w:rsid w:val="00385069"/>
    <w:rsid w:val="00387072"/>
    <w:rsid w:val="00387CC6"/>
    <w:rsid w:val="00392097"/>
    <w:rsid w:val="00392684"/>
    <w:rsid w:val="00393E52"/>
    <w:rsid w:val="00395DD8"/>
    <w:rsid w:val="00396B2A"/>
    <w:rsid w:val="003A067C"/>
    <w:rsid w:val="003A58F4"/>
    <w:rsid w:val="003B45C4"/>
    <w:rsid w:val="003B709C"/>
    <w:rsid w:val="003B7610"/>
    <w:rsid w:val="003C0386"/>
    <w:rsid w:val="003C2CC3"/>
    <w:rsid w:val="003C55D5"/>
    <w:rsid w:val="003C7721"/>
    <w:rsid w:val="003D021C"/>
    <w:rsid w:val="003D06BD"/>
    <w:rsid w:val="003D1FB8"/>
    <w:rsid w:val="003D20E9"/>
    <w:rsid w:val="003D3D72"/>
    <w:rsid w:val="003D4289"/>
    <w:rsid w:val="003D6DFC"/>
    <w:rsid w:val="003D70D3"/>
    <w:rsid w:val="003D7104"/>
    <w:rsid w:val="003E1742"/>
    <w:rsid w:val="003E2013"/>
    <w:rsid w:val="003E2089"/>
    <w:rsid w:val="003E2462"/>
    <w:rsid w:val="003E50CF"/>
    <w:rsid w:val="003E527F"/>
    <w:rsid w:val="003E5605"/>
    <w:rsid w:val="003E5AAD"/>
    <w:rsid w:val="003E639D"/>
    <w:rsid w:val="003E7BC6"/>
    <w:rsid w:val="003F0587"/>
    <w:rsid w:val="003F21D2"/>
    <w:rsid w:val="003F269E"/>
    <w:rsid w:val="003F3619"/>
    <w:rsid w:val="003F4924"/>
    <w:rsid w:val="003F4964"/>
    <w:rsid w:val="003F5ADD"/>
    <w:rsid w:val="003F615C"/>
    <w:rsid w:val="003F65F3"/>
    <w:rsid w:val="003F6C3A"/>
    <w:rsid w:val="00401C43"/>
    <w:rsid w:val="00401F7F"/>
    <w:rsid w:val="004031A0"/>
    <w:rsid w:val="004046FF"/>
    <w:rsid w:val="00410790"/>
    <w:rsid w:val="00411EF4"/>
    <w:rsid w:val="004133BB"/>
    <w:rsid w:val="004142EF"/>
    <w:rsid w:val="00420661"/>
    <w:rsid w:val="00420958"/>
    <w:rsid w:val="00420EF1"/>
    <w:rsid w:val="00421920"/>
    <w:rsid w:val="004226FC"/>
    <w:rsid w:val="00423C7C"/>
    <w:rsid w:val="00423D33"/>
    <w:rsid w:val="004249A0"/>
    <w:rsid w:val="004312AE"/>
    <w:rsid w:val="0043155E"/>
    <w:rsid w:val="00431708"/>
    <w:rsid w:val="00432D49"/>
    <w:rsid w:val="004339EA"/>
    <w:rsid w:val="00433E8F"/>
    <w:rsid w:val="00434145"/>
    <w:rsid w:val="00442490"/>
    <w:rsid w:val="0044577B"/>
    <w:rsid w:val="0044591D"/>
    <w:rsid w:val="00451588"/>
    <w:rsid w:val="004517F1"/>
    <w:rsid w:val="00451FF6"/>
    <w:rsid w:val="004534B5"/>
    <w:rsid w:val="004546B3"/>
    <w:rsid w:val="004556DF"/>
    <w:rsid w:val="00460615"/>
    <w:rsid w:val="00461AE3"/>
    <w:rsid w:val="00462BB6"/>
    <w:rsid w:val="00463EBE"/>
    <w:rsid w:val="00464A63"/>
    <w:rsid w:val="00464DDC"/>
    <w:rsid w:val="00466DD6"/>
    <w:rsid w:val="00470298"/>
    <w:rsid w:val="00470670"/>
    <w:rsid w:val="00470F07"/>
    <w:rsid w:val="00472286"/>
    <w:rsid w:val="00472DB8"/>
    <w:rsid w:val="00475A47"/>
    <w:rsid w:val="00475D57"/>
    <w:rsid w:val="0047771D"/>
    <w:rsid w:val="0048035F"/>
    <w:rsid w:val="00484536"/>
    <w:rsid w:val="00486585"/>
    <w:rsid w:val="004865FC"/>
    <w:rsid w:val="00487109"/>
    <w:rsid w:val="0049289E"/>
    <w:rsid w:val="00492985"/>
    <w:rsid w:val="00492C3A"/>
    <w:rsid w:val="0049354B"/>
    <w:rsid w:val="00493F6D"/>
    <w:rsid w:val="004948F4"/>
    <w:rsid w:val="0049615E"/>
    <w:rsid w:val="0049662A"/>
    <w:rsid w:val="00497289"/>
    <w:rsid w:val="004A06AE"/>
    <w:rsid w:val="004A510D"/>
    <w:rsid w:val="004B06E3"/>
    <w:rsid w:val="004B2598"/>
    <w:rsid w:val="004B35DC"/>
    <w:rsid w:val="004B5888"/>
    <w:rsid w:val="004B6780"/>
    <w:rsid w:val="004B7CAA"/>
    <w:rsid w:val="004C2A36"/>
    <w:rsid w:val="004C317E"/>
    <w:rsid w:val="004C3663"/>
    <w:rsid w:val="004C57EC"/>
    <w:rsid w:val="004C69F2"/>
    <w:rsid w:val="004C7C7C"/>
    <w:rsid w:val="004D0C20"/>
    <w:rsid w:val="004D1461"/>
    <w:rsid w:val="004D19C8"/>
    <w:rsid w:val="004D3A71"/>
    <w:rsid w:val="004D3CE4"/>
    <w:rsid w:val="004D7E51"/>
    <w:rsid w:val="004E04EE"/>
    <w:rsid w:val="004E1B37"/>
    <w:rsid w:val="004E2704"/>
    <w:rsid w:val="004E3F72"/>
    <w:rsid w:val="004E4D01"/>
    <w:rsid w:val="004F25B3"/>
    <w:rsid w:val="004F705B"/>
    <w:rsid w:val="004F7DCB"/>
    <w:rsid w:val="00500964"/>
    <w:rsid w:val="00500C66"/>
    <w:rsid w:val="00505B94"/>
    <w:rsid w:val="00505F45"/>
    <w:rsid w:val="00506C5B"/>
    <w:rsid w:val="005104E8"/>
    <w:rsid w:val="0051094D"/>
    <w:rsid w:val="005130EC"/>
    <w:rsid w:val="005146E6"/>
    <w:rsid w:val="0051483C"/>
    <w:rsid w:val="005240D4"/>
    <w:rsid w:val="00534C43"/>
    <w:rsid w:val="005354F7"/>
    <w:rsid w:val="00535A42"/>
    <w:rsid w:val="0053748E"/>
    <w:rsid w:val="005449C6"/>
    <w:rsid w:val="00545146"/>
    <w:rsid w:val="00545452"/>
    <w:rsid w:val="00551F51"/>
    <w:rsid w:val="00554225"/>
    <w:rsid w:val="00556D54"/>
    <w:rsid w:val="0056177B"/>
    <w:rsid w:val="00562484"/>
    <w:rsid w:val="00562EAA"/>
    <w:rsid w:val="00566B42"/>
    <w:rsid w:val="0057165C"/>
    <w:rsid w:val="00571D95"/>
    <w:rsid w:val="005722C6"/>
    <w:rsid w:val="00573782"/>
    <w:rsid w:val="005754AA"/>
    <w:rsid w:val="00580FF8"/>
    <w:rsid w:val="005833A3"/>
    <w:rsid w:val="00585C8D"/>
    <w:rsid w:val="005862CC"/>
    <w:rsid w:val="00590ED1"/>
    <w:rsid w:val="005911FE"/>
    <w:rsid w:val="00591DF0"/>
    <w:rsid w:val="0059312F"/>
    <w:rsid w:val="00593220"/>
    <w:rsid w:val="0059380C"/>
    <w:rsid w:val="00595758"/>
    <w:rsid w:val="00596081"/>
    <w:rsid w:val="00596A76"/>
    <w:rsid w:val="005A3943"/>
    <w:rsid w:val="005A51E6"/>
    <w:rsid w:val="005A632E"/>
    <w:rsid w:val="005A74DC"/>
    <w:rsid w:val="005A7F7B"/>
    <w:rsid w:val="005B3468"/>
    <w:rsid w:val="005B4ECB"/>
    <w:rsid w:val="005B7418"/>
    <w:rsid w:val="005C03A9"/>
    <w:rsid w:val="005C0496"/>
    <w:rsid w:val="005C06A2"/>
    <w:rsid w:val="005C2BFC"/>
    <w:rsid w:val="005C324B"/>
    <w:rsid w:val="005C43E2"/>
    <w:rsid w:val="005C454A"/>
    <w:rsid w:val="005C74C9"/>
    <w:rsid w:val="005D1B14"/>
    <w:rsid w:val="005D257B"/>
    <w:rsid w:val="005D6296"/>
    <w:rsid w:val="005D65B1"/>
    <w:rsid w:val="005D7D7E"/>
    <w:rsid w:val="005E1D5C"/>
    <w:rsid w:val="005E25DC"/>
    <w:rsid w:val="005E52AE"/>
    <w:rsid w:val="005E5607"/>
    <w:rsid w:val="005E567C"/>
    <w:rsid w:val="005F0300"/>
    <w:rsid w:val="005F29CF"/>
    <w:rsid w:val="005F505E"/>
    <w:rsid w:val="005F56E9"/>
    <w:rsid w:val="00602976"/>
    <w:rsid w:val="0060388D"/>
    <w:rsid w:val="00603D9B"/>
    <w:rsid w:val="00604231"/>
    <w:rsid w:val="006068F3"/>
    <w:rsid w:val="0060798D"/>
    <w:rsid w:val="00610C2F"/>
    <w:rsid w:val="00614E5D"/>
    <w:rsid w:val="00615F2D"/>
    <w:rsid w:val="00616006"/>
    <w:rsid w:val="0062187C"/>
    <w:rsid w:val="006239BC"/>
    <w:rsid w:val="00625805"/>
    <w:rsid w:val="006258C2"/>
    <w:rsid w:val="00626B36"/>
    <w:rsid w:val="00627AC4"/>
    <w:rsid w:val="0063003B"/>
    <w:rsid w:val="0063253B"/>
    <w:rsid w:val="006363C8"/>
    <w:rsid w:val="00637AB8"/>
    <w:rsid w:val="0064370D"/>
    <w:rsid w:val="00643771"/>
    <w:rsid w:val="00644946"/>
    <w:rsid w:val="00646AB8"/>
    <w:rsid w:val="00647BD9"/>
    <w:rsid w:val="00654A3E"/>
    <w:rsid w:val="00657C37"/>
    <w:rsid w:val="006624A7"/>
    <w:rsid w:val="00664D60"/>
    <w:rsid w:val="0066515F"/>
    <w:rsid w:val="006663E9"/>
    <w:rsid w:val="006668AF"/>
    <w:rsid w:val="00670A7E"/>
    <w:rsid w:val="0067278C"/>
    <w:rsid w:val="00676803"/>
    <w:rsid w:val="006769C8"/>
    <w:rsid w:val="00676DAA"/>
    <w:rsid w:val="006770C7"/>
    <w:rsid w:val="006819B7"/>
    <w:rsid w:val="00686439"/>
    <w:rsid w:val="00687A11"/>
    <w:rsid w:val="006905CF"/>
    <w:rsid w:val="00690A8C"/>
    <w:rsid w:val="00697A88"/>
    <w:rsid w:val="00697CF1"/>
    <w:rsid w:val="006A0D5A"/>
    <w:rsid w:val="006A3E9E"/>
    <w:rsid w:val="006A5F6C"/>
    <w:rsid w:val="006A6051"/>
    <w:rsid w:val="006A7985"/>
    <w:rsid w:val="006B2C8E"/>
    <w:rsid w:val="006B31D9"/>
    <w:rsid w:val="006B6253"/>
    <w:rsid w:val="006C0102"/>
    <w:rsid w:val="006C0416"/>
    <w:rsid w:val="006C07D4"/>
    <w:rsid w:val="006C1EAE"/>
    <w:rsid w:val="006C41AD"/>
    <w:rsid w:val="006D04BD"/>
    <w:rsid w:val="006D05F6"/>
    <w:rsid w:val="006D47EF"/>
    <w:rsid w:val="006D6644"/>
    <w:rsid w:val="006D6F97"/>
    <w:rsid w:val="006D7180"/>
    <w:rsid w:val="006E0F1C"/>
    <w:rsid w:val="006E433B"/>
    <w:rsid w:val="006E6B98"/>
    <w:rsid w:val="006E7899"/>
    <w:rsid w:val="006E7C78"/>
    <w:rsid w:val="006F27F4"/>
    <w:rsid w:val="006F2E23"/>
    <w:rsid w:val="006F4C30"/>
    <w:rsid w:val="006F6505"/>
    <w:rsid w:val="006F6C1B"/>
    <w:rsid w:val="006F7024"/>
    <w:rsid w:val="007007C0"/>
    <w:rsid w:val="00701FFC"/>
    <w:rsid w:val="00703A7C"/>
    <w:rsid w:val="007044B3"/>
    <w:rsid w:val="007076DA"/>
    <w:rsid w:val="00707860"/>
    <w:rsid w:val="007129B6"/>
    <w:rsid w:val="00717131"/>
    <w:rsid w:val="00717AA0"/>
    <w:rsid w:val="007207BF"/>
    <w:rsid w:val="00721730"/>
    <w:rsid w:val="0072410F"/>
    <w:rsid w:val="00725CB0"/>
    <w:rsid w:val="007323A3"/>
    <w:rsid w:val="0073517D"/>
    <w:rsid w:val="0073685C"/>
    <w:rsid w:val="00737EA5"/>
    <w:rsid w:val="00737F24"/>
    <w:rsid w:val="007400AE"/>
    <w:rsid w:val="00741F3E"/>
    <w:rsid w:val="00742724"/>
    <w:rsid w:val="00742F88"/>
    <w:rsid w:val="00743AA8"/>
    <w:rsid w:val="00750659"/>
    <w:rsid w:val="00750840"/>
    <w:rsid w:val="00750D64"/>
    <w:rsid w:val="00753FCE"/>
    <w:rsid w:val="0075630D"/>
    <w:rsid w:val="00757617"/>
    <w:rsid w:val="00763AD8"/>
    <w:rsid w:val="00764F68"/>
    <w:rsid w:val="00765016"/>
    <w:rsid w:val="00767EDE"/>
    <w:rsid w:val="007700C5"/>
    <w:rsid w:val="0077100C"/>
    <w:rsid w:val="00772137"/>
    <w:rsid w:val="00776C39"/>
    <w:rsid w:val="00780E5B"/>
    <w:rsid w:val="00781D00"/>
    <w:rsid w:val="00782054"/>
    <w:rsid w:val="00786D11"/>
    <w:rsid w:val="00786D58"/>
    <w:rsid w:val="007900F3"/>
    <w:rsid w:val="00791B69"/>
    <w:rsid w:val="00793297"/>
    <w:rsid w:val="0079498E"/>
    <w:rsid w:val="007949BC"/>
    <w:rsid w:val="00795408"/>
    <w:rsid w:val="00796F10"/>
    <w:rsid w:val="0079765B"/>
    <w:rsid w:val="00797B45"/>
    <w:rsid w:val="007A0F57"/>
    <w:rsid w:val="007A3530"/>
    <w:rsid w:val="007A6AB5"/>
    <w:rsid w:val="007A6C67"/>
    <w:rsid w:val="007A6DFE"/>
    <w:rsid w:val="007A7288"/>
    <w:rsid w:val="007B14D9"/>
    <w:rsid w:val="007B2B46"/>
    <w:rsid w:val="007B30F2"/>
    <w:rsid w:val="007B377F"/>
    <w:rsid w:val="007B4274"/>
    <w:rsid w:val="007B443D"/>
    <w:rsid w:val="007B5117"/>
    <w:rsid w:val="007B599D"/>
    <w:rsid w:val="007B6650"/>
    <w:rsid w:val="007B6A74"/>
    <w:rsid w:val="007B6C85"/>
    <w:rsid w:val="007C2987"/>
    <w:rsid w:val="007C2DC8"/>
    <w:rsid w:val="007C4F91"/>
    <w:rsid w:val="007C50BE"/>
    <w:rsid w:val="007C6471"/>
    <w:rsid w:val="007D097E"/>
    <w:rsid w:val="007D230B"/>
    <w:rsid w:val="007D2D80"/>
    <w:rsid w:val="007D3681"/>
    <w:rsid w:val="007D3824"/>
    <w:rsid w:val="007D49A1"/>
    <w:rsid w:val="007D4B49"/>
    <w:rsid w:val="007D59DD"/>
    <w:rsid w:val="007D7D5F"/>
    <w:rsid w:val="007E1F66"/>
    <w:rsid w:val="007E2CB5"/>
    <w:rsid w:val="007E4C10"/>
    <w:rsid w:val="007E6501"/>
    <w:rsid w:val="007E6C25"/>
    <w:rsid w:val="007F1E73"/>
    <w:rsid w:val="007F32D7"/>
    <w:rsid w:val="007F4F97"/>
    <w:rsid w:val="007F669E"/>
    <w:rsid w:val="007F7AAF"/>
    <w:rsid w:val="00801632"/>
    <w:rsid w:val="008034AF"/>
    <w:rsid w:val="0080520B"/>
    <w:rsid w:val="00805B49"/>
    <w:rsid w:val="0080720C"/>
    <w:rsid w:val="00807B3E"/>
    <w:rsid w:val="00810396"/>
    <w:rsid w:val="008107E8"/>
    <w:rsid w:val="00810D4A"/>
    <w:rsid w:val="00812C75"/>
    <w:rsid w:val="00812F82"/>
    <w:rsid w:val="008134AC"/>
    <w:rsid w:val="008146FD"/>
    <w:rsid w:val="00816AAB"/>
    <w:rsid w:val="00820402"/>
    <w:rsid w:val="008243B2"/>
    <w:rsid w:val="00824F08"/>
    <w:rsid w:val="00826667"/>
    <w:rsid w:val="00827BF8"/>
    <w:rsid w:val="008310DF"/>
    <w:rsid w:val="00831105"/>
    <w:rsid w:val="00831F7B"/>
    <w:rsid w:val="00835487"/>
    <w:rsid w:val="008411BF"/>
    <w:rsid w:val="008425D8"/>
    <w:rsid w:val="00843A14"/>
    <w:rsid w:val="00844A4B"/>
    <w:rsid w:val="00852689"/>
    <w:rsid w:val="00854676"/>
    <w:rsid w:val="00864CB5"/>
    <w:rsid w:val="00865296"/>
    <w:rsid w:val="008659C5"/>
    <w:rsid w:val="00866750"/>
    <w:rsid w:val="00867086"/>
    <w:rsid w:val="00871123"/>
    <w:rsid w:val="00874663"/>
    <w:rsid w:val="008778A6"/>
    <w:rsid w:val="00881B95"/>
    <w:rsid w:val="00883186"/>
    <w:rsid w:val="008831CA"/>
    <w:rsid w:val="008870B4"/>
    <w:rsid w:val="00887FDA"/>
    <w:rsid w:val="00890F77"/>
    <w:rsid w:val="0089272A"/>
    <w:rsid w:val="00892D5B"/>
    <w:rsid w:val="00894890"/>
    <w:rsid w:val="00897247"/>
    <w:rsid w:val="008B08F0"/>
    <w:rsid w:val="008B0CF9"/>
    <w:rsid w:val="008B262C"/>
    <w:rsid w:val="008B2DAD"/>
    <w:rsid w:val="008B44F5"/>
    <w:rsid w:val="008B6FC8"/>
    <w:rsid w:val="008C01E4"/>
    <w:rsid w:val="008C19E9"/>
    <w:rsid w:val="008C26E9"/>
    <w:rsid w:val="008C557C"/>
    <w:rsid w:val="008C774E"/>
    <w:rsid w:val="008D25A7"/>
    <w:rsid w:val="008D4652"/>
    <w:rsid w:val="008D6D9D"/>
    <w:rsid w:val="008D6F08"/>
    <w:rsid w:val="008E0906"/>
    <w:rsid w:val="008E0C85"/>
    <w:rsid w:val="008E4A55"/>
    <w:rsid w:val="008F1691"/>
    <w:rsid w:val="008F22E2"/>
    <w:rsid w:val="008F310E"/>
    <w:rsid w:val="008F4C93"/>
    <w:rsid w:val="008F5698"/>
    <w:rsid w:val="008F639E"/>
    <w:rsid w:val="00901EF2"/>
    <w:rsid w:val="00903EB6"/>
    <w:rsid w:val="00904670"/>
    <w:rsid w:val="00904906"/>
    <w:rsid w:val="00905A79"/>
    <w:rsid w:val="0090702F"/>
    <w:rsid w:val="00907318"/>
    <w:rsid w:val="009079D0"/>
    <w:rsid w:val="0091117F"/>
    <w:rsid w:val="00913D0A"/>
    <w:rsid w:val="009148A1"/>
    <w:rsid w:val="00915DF2"/>
    <w:rsid w:val="0092028B"/>
    <w:rsid w:val="00922F84"/>
    <w:rsid w:val="00924972"/>
    <w:rsid w:val="009309D7"/>
    <w:rsid w:val="00932E1E"/>
    <w:rsid w:val="00933A66"/>
    <w:rsid w:val="00934068"/>
    <w:rsid w:val="00935ED2"/>
    <w:rsid w:val="00936348"/>
    <w:rsid w:val="00937854"/>
    <w:rsid w:val="009400F4"/>
    <w:rsid w:val="009469E0"/>
    <w:rsid w:val="0094728D"/>
    <w:rsid w:val="00947E1D"/>
    <w:rsid w:val="00951C4D"/>
    <w:rsid w:val="00952955"/>
    <w:rsid w:val="00952E03"/>
    <w:rsid w:val="0095396E"/>
    <w:rsid w:val="00953A8E"/>
    <w:rsid w:val="00954468"/>
    <w:rsid w:val="009547E2"/>
    <w:rsid w:val="00956488"/>
    <w:rsid w:val="00956F2D"/>
    <w:rsid w:val="00956F5F"/>
    <w:rsid w:val="009570A4"/>
    <w:rsid w:val="009579ED"/>
    <w:rsid w:val="009610DC"/>
    <w:rsid w:val="009620A0"/>
    <w:rsid w:val="009622EF"/>
    <w:rsid w:val="00963171"/>
    <w:rsid w:val="0096378C"/>
    <w:rsid w:val="00964038"/>
    <w:rsid w:val="0096623E"/>
    <w:rsid w:val="009669D2"/>
    <w:rsid w:val="00967352"/>
    <w:rsid w:val="00970E1F"/>
    <w:rsid w:val="0097154F"/>
    <w:rsid w:val="00973998"/>
    <w:rsid w:val="00974109"/>
    <w:rsid w:val="0098457F"/>
    <w:rsid w:val="00985996"/>
    <w:rsid w:val="009859DE"/>
    <w:rsid w:val="00986978"/>
    <w:rsid w:val="00986C3B"/>
    <w:rsid w:val="00992F8C"/>
    <w:rsid w:val="00994F74"/>
    <w:rsid w:val="0099563A"/>
    <w:rsid w:val="009A12AC"/>
    <w:rsid w:val="009A13F4"/>
    <w:rsid w:val="009A2FBF"/>
    <w:rsid w:val="009A3EA9"/>
    <w:rsid w:val="009A44BE"/>
    <w:rsid w:val="009A50C4"/>
    <w:rsid w:val="009B029F"/>
    <w:rsid w:val="009B2143"/>
    <w:rsid w:val="009B27F8"/>
    <w:rsid w:val="009B4156"/>
    <w:rsid w:val="009B4A8B"/>
    <w:rsid w:val="009B74FB"/>
    <w:rsid w:val="009C0660"/>
    <w:rsid w:val="009C2665"/>
    <w:rsid w:val="009C31A4"/>
    <w:rsid w:val="009C4845"/>
    <w:rsid w:val="009C7314"/>
    <w:rsid w:val="009D2442"/>
    <w:rsid w:val="009D3DC1"/>
    <w:rsid w:val="009D46B6"/>
    <w:rsid w:val="009D5D9F"/>
    <w:rsid w:val="009D7424"/>
    <w:rsid w:val="009D7F4D"/>
    <w:rsid w:val="009E0FA2"/>
    <w:rsid w:val="009E2244"/>
    <w:rsid w:val="009E2D42"/>
    <w:rsid w:val="009E31DE"/>
    <w:rsid w:val="009E51B2"/>
    <w:rsid w:val="009E57DF"/>
    <w:rsid w:val="009F2686"/>
    <w:rsid w:val="009F57FD"/>
    <w:rsid w:val="009F7F9F"/>
    <w:rsid w:val="00A011B4"/>
    <w:rsid w:val="00A01E02"/>
    <w:rsid w:val="00A02E26"/>
    <w:rsid w:val="00A05BA0"/>
    <w:rsid w:val="00A07835"/>
    <w:rsid w:val="00A10C74"/>
    <w:rsid w:val="00A159C9"/>
    <w:rsid w:val="00A167FB"/>
    <w:rsid w:val="00A21B70"/>
    <w:rsid w:val="00A21D02"/>
    <w:rsid w:val="00A21DDB"/>
    <w:rsid w:val="00A23CF6"/>
    <w:rsid w:val="00A2690C"/>
    <w:rsid w:val="00A2792F"/>
    <w:rsid w:val="00A30970"/>
    <w:rsid w:val="00A315E4"/>
    <w:rsid w:val="00A31C51"/>
    <w:rsid w:val="00A31D96"/>
    <w:rsid w:val="00A31FEE"/>
    <w:rsid w:val="00A32FF5"/>
    <w:rsid w:val="00A33722"/>
    <w:rsid w:val="00A33C55"/>
    <w:rsid w:val="00A377A6"/>
    <w:rsid w:val="00A37F7A"/>
    <w:rsid w:val="00A406C3"/>
    <w:rsid w:val="00A415D1"/>
    <w:rsid w:val="00A42875"/>
    <w:rsid w:val="00A44DC1"/>
    <w:rsid w:val="00A47168"/>
    <w:rsid w:val="00A47A98"/>
    <w:rsid w:val="00A47EE7"/>
    <w:rsid w:val="00A50610"/>
    <w:rsid w:val="00A50B43"/>
    <w:rsid w:val="00A51927"/>
    <w:rsid w:val="00A51C87"/>
    <w:rsid w:val="00A54197"/>
    <w:rsid w:val="00A57647"/>
    <w:rsid w:val="00A610F9"/>
    <w:rsid w:val="00A61821"/>
    <w:rsid w:val="00A61D35"/>
    <w:rsid w:val="00A61E3A"/>
    <w:rsid w:val="00A631BA"/>
    <w:rsid w:val="00A65297"/>
    <w:rsid w:val="00A65C27"/>
    <w:rsid w:val="00A67605"/>
    <w:rsid w:val="00A67CA5"/>
    <w:rsid w:val="00A67E79"/>
    <w:rsid w:val="00A753B2"/>
    <w:rsid w:val="00A75546"/>
    <w:rsid w:val="00A75CCD"/>
    <w:rsid w:val="00A80458"/>
    <w:rsid w:val="00A80506"/>
    <w:rsid w:val="00A806AE"/>
    <w:rsid w:val="00A8118F"/>
    <w:rsid w:val="00A82EA4"/>
    <w:rsid w:val="00A83458"/>
    <w:rsid w:val="00A83CC6"/>
    <w:rsid w:val="00A84218"/>
    <w:rsid w:val="00A84B03"/>
    <w:rsid w:val="00A84D8C"/>
    <w:rsid w:val="00A86C41"/>
    <w:rsid w:val="00A90148"/>
    <w:rsid w:val="00A917F8"/>
    <w:rsid w:val="00AA059E"/>
    <w:rsid w:val="00AA0D8C"/>
    <w:rsid w:val="00AA1C35"/>
    <w:rsid w:val="00AA25BC"/>
    <w:rsid w:val="00AA3077"/>
    <w:rsid w:val="00AA3E2A"/>
    <w:rsid w:val="00AA3F69"/>
    <w:rsid w:val="00AA46AF"/>
    <w:rsid w:val="00AA5AE7"/>
    <w:rsid w:val="00AB07A4"/>
    <w:rsid w:val="00AB34C1"/>
    <w:rsid w:val="00AB4E9E"/>
    <w:rsid w:val="00AB6C99"/>
    <w:rsid w:val="00AB7198"/>
    <w:rsid w:val="00AC11D5"/>
    <w:rsid w:val="00AC15E5"/>
    <w:rsid w:val="00AC22BB"/>
    <w:rsid w:val="00AC4080"/>
    <w:rsid w:val="00AC53A7"/>
    <w:rsid w:val="00AC5A6D"/>
    <w:rsid w:val="00AC5D73"/>
    <w:rsid w:val="00AC73AD"/>
    <w:rsid w:val="00AC7BED"/>
    <w:rsid w:val="00AD067D"/>
    <w:rsid w:val="00AD1933"/>
    <w:rsid w:val="00AD5334"/>
    <w:rsid w:val="00AD5FFD"/>
    <w:rsid w:val="00AD705A"/>
    <w:rsid w:val="00AD78F9"/>
    <w:rsid w:val="00AE008D"/>
    <w:rsid w:val="00AE30E0"/>
    <w:rsid w:val="00AE346F"/>
    <w:rsid w:val="00AE3AD5"/>
    <w:rsid w:val="00AF0810"/>
    <w:rsid w:val="00AF2329"/>
    <w:rsid w:val="00AF29AD"/>
    <w:rsid w:val="00AF3660"/>
    <w:rsid w:val="00AF564F"/>
    <w:rsid w:val="00AF7A20"/>
    <w:rsid w:val="00B01312"/>
    <w:rsid w:val="00B013BD"/>
    <w:rsid w:val="00B02D98"/>
    <w:rsid w:val="00B06685"/>
    <w:rsid w:val="00B13897"/>
    <w:rsid w:val="00B15D2F"/>
    <w:rsid w:val="00B16399"/>
    <w:rsid w:val="00B174CD"/>
    <w:rsid w:val="00B1760F"/>
    <w:rsid w:val="00B177E5"/>
    <w:rsid w:val="00B217CC"/>
    <w:rsid w:val="00B21CB7"/>
    <w:rsid w:val="00B22D93"/>
    <w:rsid w:val="00B2586D"/>
    <w:rsid w:val="00B25AE4"/>
    <w:rsid w:val="00B265C9"/>
    <w:rsid w:val="00B26909"/>
    <w:rsid w:val="00B27664"/>
    <w:rsid w:val="00B31169"/>
    <w:rsid w:val="00B31828"/>
    <w:rsid w:val="00B34C68"/>
    <w:rsid w:val="00B41E25"/>
    <w:rsid w:val="00B42BEE"/>
    <w:rsid w:val="00B432ED"/>
    <w:rsid w:val="00B452B7"/>
    <w:rsid w:val="00B458E3"/>
    <w:rsid w:val="00B47923"/>
    <w:rsid w:val="00B5078A"/>
    <w:rsid w:val="00B518FF"/>
    <w:rsid w:val="00B539D2"/>
    <w:rsid w:val="00B53FBC"/>
    <w:rsid w:val="00B54F17"/>
    <w:rsid w:val="00B560EA"/>
    <w:rsid w:val="00B561EE"/>
    <w:rsid w:val="00B57D47"/>
    <w:rsid w:val="00B6210E"/>
    <w:rsid w:val="00B62B63"/>
    <w:rsid w:val="00B632E3"/>
    <w:rsid w:val="00B649F1"/>
    <w:rsid w:val="00B64DC8"/>
    <w:rsid w:val="00B65951"/>
    <w:rsid w:val="00B65A6E"/>
    <w:rsid w:val="00B676B2"/>
    <w:rsid w:val="00B70688"/>
    <w:rsid w:val="00B75FD9"/>
    <w:rsid w:val="00B77091"/>
    <w:rsid w:val="00B773F4"/>
    <w:rsid w:val="00B81BC0"/>
    <w:rsid w:val="00B837C1"/>
    <w:rsid w:val="00B841E0"/>
    <w:rsid w:val="00B860BA"/>
    <w:rsid w:val="00B865F5"/>
    <w:rsid w:val="00B870A0"/>
    <w:rsid w:val="00B90D3F"/>
    <w:rsid w:val="00B91DFE"/>
    <w:rsid w:val="00B92858"/>
    <w:rsid w:val="00B92875"/>
    <w:rsid w:val="00B9557C"/>
    <w:rsid w:val="00B95668"/>
    <w:rsid w:val="00B966E9"/>
    <w:rsid w:val="00B96BC7"/>
    <w:rsid w:val="00B97229"/>
    <w:rsid w:val="00B97538"/>
    <w:rsid w:val="00BA08A3"/>
    <w:rsid w:val="00BA1BBC"/>
    <w:rsid w:val="00BA2EED"/>
    <w:rsid w:val="00BA3D7D"/>
    <w:rsid w:val="00BA5AB3"/>
    <w:rsid w:val="00BA6451"/>
    <w:rsid w:val="00BA78C7"/>
    <w:rsid w:val="00BB0E85"/>
    <w:rsid w:val="00BB227E"/>
    <w:rsid w:val="00BB3CBA"/>
    <w:rsid w:val="00BB4F22"/>
    <w:rsid w:val="00BB7E3D"/>
    <w:rsid w:val="00BC0FCE"/>
    <w:rsid w:val="00BC3CD1"/>
    <w:rsid w:val="00BC51F2"/>
    <w:rsid w:val="00BC5EC6"/>
    <w:rsid w:val="00BC5F0E"/>
    <w:rsid w:val="00BD2211"/>
    <w:rsid w:val="00BD221D"/>
    <w:rsid w:val="00BD3E65"/>
    <w:rsid w:val="00BD5934"/>
    <w:rsid w:val="00BD7785"/>
    <w:rsid w:val="00BE10BC"/>
    <w:rsid w:val="00BE3B2E"/>
    <w:rsid w:val="00BE4D93"/>
    <w:rsid w:val="00BE6E6D"/>
    <w:rsid w:val="00BE7DE8"/>
    <w:rsid w:val="00BF1CBD"/>
    <w:rsid w:val="00BF2254"/>
    <w:rsid w:val="00BF3B1F"/>
    <w:rsid w:val="00BF45A4"/>
    <w:rsid w:val="00BF52C4"/>
    <w:rsid w:val="00BF62EC"/>
    <w:rsid w:val="00BF6458"/>
    <w:rsid w:val="00BF7A31"/>
    <w:rsid w:val="00C004D7"/>
    <w:rsid w:val="00C006BE"/>
    <w:rsid w:val="00C05B8E"/>
    <w:rsid w:val="00C06F1D"/>
    <w:rsid w:val="00C1018C"/>
    <w:rsid w:val="00C1063D"/>
    <w:rsid w:val="00C15E0E"/>
    <w:rsid w:val="00C2017F"/>
    <w:rsid w:val="00C202D0"/>
    <w:rsid w:val="00C226BC"/>
    <w:rsid w:val="00C23FB5"/>
    <w:rsid w:val="00C24A1A"/>
    <w:rsid w:val="00C331BB"/>
    <w:rsid w:val="00C41A08"/>
    <w:rsid w:val="00C41FD0"/>
    <w:rsid w:val="00C422B9"/>
    <w:rsid w:val="00C4240A"/>
    <w:rsid w:val="00C4241E"/>
    <w:rsid w:val="00C43FAD"/>
    <w:rsid w:val="00C445E8"/>
    <w:rsid w:val="00C44DD0"/>
    <w:rsid w:val="00C47BF7"/>
    <w:rsid w:val="00C504EC"/>
    <w:rsid w:val="00C50EFE"/>
    <w:rsid w:val="00C5123C"/>
    <w:rsid w:val="00C53CC1"/>
    <w:rsid w:val="00C566DE"/>
    <w:rsid w:val="00C615A3"/>
    <w:rsid w:val="00C6198D"/>
    <w:rsid w:val="00C635DA"/>
    <w:rsid w:val="00C639E7"/>
    <w:rsid w:val="00C659BE"/>
    <w:rsid w:val="00C71C2F"/>
    <w:rsid w:val="00C72A68"/>
    <w:rsid w:val="00C72E1D"/>
    <w:rsid w:val="00C7725C"/>
    <w:rsid w:val="00C80300"/>
    <w:rsid w:val="00C81946"/>
    <w:rsid w:val="00C81F45"/>
    <w:rsid w:val="00C82307"/>
    <w:rsid w:val="00C82D1A"/>
    <w:rsid w:val="00C82D5C"/>
    <w:rsid w:val="00C8613B"/>
    <w:rsid w:val="00C900DE"/>
    <w:rsid w:val="00C92622"/>
    <w:rsid w:val="00C96941"/>
    <w:rsid w:val="00C970AF"/>
    <w:rsid w:val="00C97228"/>
    <w:rsid w:val="00C9780D"/>
    <w:rsid w:val="00CA02DA"/>
    <w:rsid w:val="00CA1A54"/>
    <w:rsid w:val="00CA1CB3"/>
    <w:rsid w:val="00CA4594"/>
    <w:rsid w:val="00CA655A"/>
    <w:rsid w:val="00CA6DE6"/>
    <w:rsid w:val="00CB011A"/>
    <w:rsid w:val="00CB76E8"/>
    <w:rsid w:val="00CC00B9"/>
    <w:rsid w:val="00CC2721"/>
    <w:rsid w:val="00CC46B2"/>
    <w:rsid w:val="00CC5718"/>
    <w:rsid w:val="00CC7A21"/>
    <w:rsid w:val="00CD1352"/>
    <w:rsid w:val="00CD1CBE"/>
    <w:rsid w:val="00CD1E1C"/>
    <w:rsid w:val="00CD1E3E"/>
    <w:rsid w:val="00CD2EDC"/>
    <w:rsid w:val="00CD32E2"/>
    <w:rsid w:val="00CD4B0B"/>
    <w:rsid w:val="00CD6698"/>
    <w:rsid w:val="00CE02FB"/>
    <w:rsid w:val="00CE1E5B"/>
    <w:rsid w:val="00CE2230"/>
    <w:rsid w:val="00CE28C6"/>
    <w:rsid w:val="00CE5EAC"/>
    <w:rsid w:val="00CF0E1F"/>
    <w:rsid w:val="00CF1D92"/>
    <w:rsid w:val="00CF1E25"/>
    <w:rsid w:val="00CF23AF"/>
    <w:rsid w:val="00CF2D92"/>
    <w:rsid w:val="00CF5D91"/>
    <w:rsid w:val="00D0025C"/>
    <w:rsid w:val="00D004FB"/>
    <w:rsid w:val="00D02BBC"/>
    <w:rsid w:val="00D02C36"/>
    <w:rsid w:val="00D057B0"/>
    <w:rsid w:val="00D12172"/>
    <w:rsid w:val="00D129E4"/>
    <w:rsid w:val="00D12B8C"/>
    <w:rsid w:val="00D13B9E"/>
    <w:rsid w:val="00D200F6"/>
    <w:rsid w:val="00D21646"/>
    <w:rsid w:val="00D2171F"/>
    <w:rsid w:val="00D23A53"/>
    <w:rsid w:val="00D3431F"/>
    <w:rsid w:val="00D366BB"/>
    <w:rsid w:val="00D36A3A"/>
    <w:rsid w:val="00D378D9"/>
    <w:rsid w:val="00D379B6"/>
    <w:rsid w:val="00D40F2E"/>
    <w:rsid w:val="00D41B79"/>
    <w:rsid w:val="00D42505"/>
    <w:rsid w:val="00D454F2"/>
    <w:rsid w:val="00D47CE9"/>
    <w:rsid w:val="00D52995"/>
    <w:rsid w:val="00D53759"/>
    <w:rsid w:val="00D540BD"/>
    <w:rsid w:val="00D60425"/>
    <w:rsid w:val="00D61A83"/>
    <w:rsid w:val="00D6352D"/>
    <w:rsid w:val="00D65E9A"/>
    <w:rsid w:val="00D728AD"/>
    <w:rsid w:val="00D72ADE"/>
    <w:rsid w:val="00D72B4B"/>
    <w:rsid w:val="00D75233"/>
    <w:rsid w:val="00D76847"/>
    <w:rsid w:val="00D76EA5"/>
    <w:rsid w:val="00D7728F"/>
    <w:rsid w:val="00D77696"/>
    <w:rsid w:val="00D81CC4"/>
    <w:rsid w:val="00D823EB"/>
    <w:rsid w:val="00D93EFF"/>
    <w:rsid w:val="00D9765E"/>
    <w:rsid w:val="00DA1473"/>
    <w:rsid w:val="00DA1544"/>
    <w:rsid w:val="00DA4591"/>
    <w:rsid w:val="00DA4AE5"/>
    <w:rsid w:val="00DA6430"/>
    <w:rsid w:val="00DA681A"/>
    <w:rsid w:val="00DA6B7E"/>
    <w:rsid w:val="00DB63BE"/>
    <w:rsid w:val="00DB63DB"/>
    <w:rsid w:val="00DB7824"/>
    <w:rsid w:val="00DC308E"/>
    <w:rsid w:val="00DC3986"/>
    <w:rsid w:val="00DC5E0F"/>
    <w:rsid w:val="00DC5EA9"/>
    <w:rsid w:val="00DC6C76"/>
    <w:rsid w:val="00DC7F73"/>
    <w:rsid w:val="00DD0692"/>
    <w:rsid w:val="00DE191A"/>
    <w:rsid w:val="00DE1A0F"/>
    <w:rsid w:val="00DE2733"/>
    <w:rsid w:val="00DE3123"/>
    <w:rsid w:val="00DE339F"/>
    <w:rsid w:val="00DE3ABE"/>
    <w:rsid w:val="00DE65D3"/>
    <w:rsid w:val="00DF1535"/>
    <w:rsid w:val="00DF53F5"/>
    <w:rsid w:val="00DF5D6C"/>
    <w:rsid w:val="00DF61FD"/>
    <w:rsid w:val="00DF6D25"/>
    <w:rsid w:val="00DF7199"/>
    <w:rsid w:val="00E00FE3"/>
    <w:rsid w:val="00E03B38"/>
    <w:rsid w:val="00E03C6D"/>
    <w:rsid w:val="00E0445C"/>
    <w:rsid w:val="00E11EE3"/>
    <w:rsid w:val="00E12A0A"/>
    <w:rsid w:val="00E135F9"/>
    <w:rsid w:val="00E14349"/>
    <w:rsid w:val="00E20C28"/>
    <w:rsid w:val="00E225C2"/>
    <w:rsid w:val="00E22A77"/>
    <w:rsid w:val="00E22E84"/>
    <w:rsid w:val="00E24307"/>
    <w:rsid w:val="00E24B18"/>
    <w:rsid w:val="00E2710C"/>
    <w:rsid w:val="00E3016C"/>
    <w:rsid w:val="00E348BC"/>
    <w:rsid w:val="00E35B8D"/>
    <w:rsid w:val="00E4307D"/>
    <w:rsid w:val="00E4318F"/>
    <w:rsid w:val="00E4392E"/>
    <w:rsid w:val="00E50B9E"/>
    <w:rsid w:val="00E54395"/>
    <w:rsid w:val="00E5448F"/>
    <w:rsid w:val="00E54741"/>
    <w:rsid w:val="00E568E5"/>
    <w:rsid w:val="00E573CB"/>
    <w:rsid w:val="00E57AAD"/>
    <w:rsid w:val="00E6453F"/>
    <w:rsid w:val="00E647AA"/>
    <w:rsid w:val="00E659EF"/>
    <w:rsid w:val="00E677A6"/>
    <w:rsid w:val="00E70150"/>
    <w:rsid w:val="00E70CBD"/>
    <w:rsid w:val="00E710DA"/>
    <w:rsid w:val="00E713AF"/>
    <w:rsid w:val="00E717E8"/>
    <w:rsid w:val="00E72BAF"/>
    <w:rsid w:val="00E73D81"/>
    <w:rsid w:val="00E754F4"/>
    <w:rsid w:val="00E770E5"/>
    <w:rsid w:val="00E77AD7"/>
    <w:rsid w:val="00E8100E"/>
    <w:rsid w:val="00E84633"/>
    <w:rsid w:val="00E84E16"/>
    <w:rsid w:val="00E865D1"/>
    <w:rsid w:val="00E87183"/>
    <w:rsid w:val="00E87623"/>
    <w:rsid w:val="00E91677"/>
    <w:rsid w:val="00EA057C"/>
    <w:rsid w:val="00EA2D3D"/>
    <w:rsid w:val="00EA5B84"/>
    <w:rsid w:val="00EB079E"/>
    <w:rsid w:val="00EB20F9"/>
    <w:rsid w:val="00EB24EB"/>
    <w:rsid w:val="00EB2623"/>
    <w:rsid w:val="00EB2DB8"/>
    <w:rsid w:val="00EB34AF"/>
    <w:rsid w:val="00EB5537"/>
    <w:rsid w:val="00EB5D32"/>
    <w:rsid w:val="00EB74BF"/>
    <w:rsid w:val="00EB7D13"/>
    <w:rsid w:val="00EC145C"/>
    <w:rsid w:val="00EC4235"/>
    <w:rsid w:val="00ED0394"/>
    <w:rsid w:val="00ED06CC"/>
    <w:rsid w:val="00ED1282"/>
    <w:rsid w:val="00ED2C8E"/>
    <w:rsid w:val="00ED379E"/>
    <w:rsid w:val="00ED728A"/>
    <w:rsid w:val="00ED7680"/>
    <w:rsid w:val="00EE0424"/>
    <w:rsid w:val="00EE07D0"/>
    <w:rsid w:val="00EE0D47"/>
    <w:rsid w:val="00EE5358"/>
    <w:rsid w:val="00EF1B6A"/>
    <w:rsid w:val="00EF3C59"/>
    <w:rsid w:val="00EF40B4"/>
    <w:rsid w:val="00EF54D8"/>
    <w:rsid w:val="00EF6C4C"/>
    <w:rsid w:val="00EF71E9"/>
    <w:rsid w:val="00EF799A"/>
    <w:rsid w:val="00F006D2"/>
    <w:rsid w:val="00F00BD1"/>
    <w:rsid w:val="00F01FD9"/>
    <w:rsid w:val="00F03D5B"/>
    <w:rsid w:val="00F04B07"/>
    <w:rsid w:val="00F0577C"/>
    <w:rsid w:val="00F05BA8"/>
    <w:rsid w:val="00F1456F"/>
    <w:rsid w:val="00F16F13"/>
    <w:rsid w:val="00F20AEA"/>
    <w:rsid w:val="00F219C3"/>
    <w:rsid w:val="00F23E9A"/>
    <w:rsid w:val="00F242D9"/>
    <w:rsid w:val="00F259FE"/>
    <w:rsid w:val="00F3715D"/>
    <w:rsid w:val="00F44B62"/>
    <w:rsid w:val="00F5072C"/>
    <w:rsid w:val="00F51CBF"/>
    <w:rsid w:val="00F51F07"/>
    <w:rsid w:val="00F526D5"/>
    <w:rsid w:val="00F5411D"/>
    <w:rsid w:val="00F56D2B"/>
    <w:rsid w:val="00F57D2D"/>
    <w:rsid w:val="00F606D8"/>
    <w:rsid w:val="00F60A7D"/>
    <w:rsid w:val="00F62A49"/>
    <w:rsid w:val="00F64F0D"/>
    <w:rsid w:val="00F7026A"/>
    <w:rsid w:val="00F715B8"/>
    <w:rsid w:val="00F71826"/>
    <w:rsid w:val="00F72B45"/>
    <w:rsid w:val="00F73B00"/>
    <w:rsid w:val="00F74457"/>
    <w:rsid w:val="00F764EE"/>
    <w:rsid w:val="00F7664F"/>
    <w:rsid w:val="00F77D04"/>
    <w:rsid w:val="00F80070"/>
    <w:rsid w:val="00F807C6"/>
    <w:rsid w:val="00F80E00"/>
    <w:rsid w:val="00F818F6"/>
    <w:rsid w:val="00F84737"/>
    <w:rsid w:val="00F85EE4"/>
    <w:rsid w:val="00F861D5"/>
    <w:rsid w:val="00F87B69"/>
    <w:rsid w:val="00F905AB"/>
    <w:rsid w:val="00F90C95"/>
    <w:rsid w:val="00F9103E"/>
    <w:rsid w:val="00F9324D"/>
    <w:rsid w:val="00F94E31"/>
    <w:rsid w:val="00F95923"/>
    <w:rsid w:val="00F95BD7"/>
    <w:rsid w:val="00F96A39"/>
    <w:rsid w:val="00F96DB3"/>
    <w:rsid w:val="00F97463"/>
    <w:rsid w:val="00FA44B6"/>
    <w:rsid w:val="00FA4B50"/>
    <w:rsid w:val="00FA4DC6"/>
    <w:rsid w:val="00FA5D99"/>
    <w:rsid w:val="00FB030E"/>
    <w:rsid w:val="00FB571F"/>
    <w:rsid w:val="00FC1E22"/>
    <w:rsid w:val="00FC42BA"/>
    <w:rsid w:val="00FC6166"/>
    <w:rsid w:val="00FC77BB"/>
    <w:rsid w:val="00FD08C1"/>
    <w:rsid w:val="00FD2C54"/>
    <w:rsid w:val="00FD6F78"/>
    <w:rsid w:val="00FD7A7A"/>
    <w:rsid w:val="00FE10C1"/>
    <w:rsid w:val="00FE190E"/>
    <w:rsid w:val="00FE20A9"/>
    <w:rsid w:val="00FE290E"/>
    <w:rsid w:val="00FE48A9"/>
    <w:rsid w:val="00FE711A"/>
    <w:rsid w:val="00FF08B7"/>
    <w:rsid w:val="00FF12B8"/>
    <w:rsid w:val="00FF13B5"/>
    <w:rsid w:val="00FF171B"/>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0657B"/>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10657B"/>
    <w:rPr>
      <w:rFonts w:ascii="Calibri Light" w:hAnsi="Calibri Light" w:cstheme="minorHAnsi"/>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750659"/>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E225C2"/>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6"/>
    </w:rPr>
  </w:style>
  <w:style w:type="character" w:customStyle="1" w:styleId="eTRMHeading1Char">
    <w:name w:val="eTRM Heading 1 Char"/>
    <w:basedOn w:val="DefaultParagraphFont"/>
    <w:link w:val="eTRMHeading1"/>
    <w:rsid w:val="00E225C2"/>
    <w:rPr>
      <w:rFonts w:ascii="Calibri" w:eastAsiaTheme="majorEastAsia" w:hAnsi="Calibri" w:cstheme="majorBidi"/>
      <w:b/>
      <w:caps/>
      <w:color w:val="FFFFFF" w:themeColor="background1"/>
      <w:spacing w:val="60"/>
      <w:sz w:val="28"/>
      <w:szCs w:val="36"/>
    </w:rPr>
  </w:style>
  <w:style w:type="paragraph" w:customStyle="1" w:styleId="eTRMHeading2">
    <w:name w:val="eTRM Heading 2"/>
    <w:basedOn w:val="Normal"/>
    <w:link w:val="eTRMHeading2Char"/>
    <w:autoRedefine/>
    <w:qFormat/>
    <w:rsid w:val="00E225C2"/>
    <w:pPr>
      <w:keepNext/>
      <w:keepLines/>
      <w:spacing w:line="360" w:lineRule="exact"/>
      <w:jc w:val="center"/>
      <w:outlineLvl w:val="1"/>
    </w:pPr>
    <w:rPr>
      <w:rFonts w:eastAsiaTheme="majorEastAsia" w:cstheme="majorBidi"/>
      <w:caps/>
      <w:color w:val="FFFFFF" w:themeColor="background1"/>
      <w:spacing w:val="60"/>
      <w:sz w:val="32"/>
    </w:rPr>
  </w:style>
  <w:style w:type="character" w:customStyle="1" w:styleId="eTRMHeading2Char">
    <w:name w:val="eTRM Heading 2 Char"/>
    <w:basedOn w:val="DefaultParagraphFont"/>
    <w:link w:val="eTRMHeading2"/>
    <w:rsid w:val="00E225C2"/>
    <w:rPr>
      <w:rFonts w:ascii="Calibri Light" w:eastAsiaTheme="majorEastAsia" w:hAnsi="Calibri Light" w:cstheme="majorBidi"/>
      <w:caps/>
      <w:color w:val="FFFFFF" w:themeColor="background1"/>
      <w:spacing w:val="60"/>
      <w:sz w:val="32"/>
    </w:rPr>
  </w:style>
  <w:style w:type="paragraph" w:customStyle="1" w:styleId="eTRMHeading3">
    <w:name w:val="eTRM Heading 3"/>
    <w:basedOn w:val="Heading3"/>
    <w:link w:val="eTRMHeading3Char"/>
    <w:autoRedefine/>
    <w:qFormat/>
    <w:rsid w:val="00352543"/>
    <w:pPr>
      <w:spacing w:line="300" w:lineRule="exact"/>
    </w:pPr>
    <w:rPr>
      <w:rFonts w:ascii="Calibri Light" w:hAnsi="Calibri Light"/>
      <w:b/>
      <w:bCs/>
      <w:caps/>
      <w:color w:val="CFAB7A"/>
      <w:sz w:val="24"/>
    </w:rPr>
  </w:style>
  <w:style w:type="character" w:customStyle="1" w:styleId="eTRMHeading3Char">
    <w:name w:val="eTRM Heading 3 Char"/>
    <w:basedOn w:val="DefaultParagraphFont"/>
    <w:link w:val="eTRMHeading3"/>
    <w:rsid w:val="00352543"/>
    <w:rPr>
      <w:rFonts w:ascii="Calibri Light" w:eastAsiaTheme="majorEastAsia" w:hAnsi="Calibri Light" w:cstheme="majorBidi"/>
      <w:b/>
      <w:bCs/>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753FCE"/>
    <w:rPr>
      <w:i/>
      <w:color w:val="5F5F5F"/>
      <w:sz w:val="24"/>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
    <w:name w:val="Norma"/>
    <w:qFormat/>
    <w:rsid w:val="00753FCE"/>
    <w:pPr>
      <w:spacing w:before="120" w:after="120" w:line="220" w:lineRule="atLeast"/>
    </w:pPr>
    <w:rPr>
      <w:rFonts w:ascii="Calibri Light" w:hAnsi="Calibri Light"/>
      <w:sz w:val="22"/>
    </w:rPr>
  </w:style>
  <w:style w:type="character" w:styleId="UnresolvedMention">
    <w:name w:val="Unresolved Mention"/>
    <w:basedOn w:val="DefaultParagraphFont"/>
    <w:uiPriority w:val="99"/>
    <w:semiHidden/>
    <w:unhideWhenUsed/>
    <w:rsid w:val="007D7D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70828">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065306">
      <w:bodyDiv w:val="1"/>
      <w:marLeft w:val="0"/>
      <w:marRight w:val="0"/>
      <w:marTop w:val="0"/>
      <w:marBottom w:val="0"/>
      <w:divBdr>
        <w:top w:val="none" w:sz="0" w:space="0" w:color="auto"/>
        <w:left w:val="none" w:sz="0" w:space="0" w:color="auto"/>
        <w:bottom w:val="none" w:sz="0" w:space="0" w:color="auto"/>
        <w:right w:val="none" w:sz="0" w:space="0" w:color="auto"/>
      </w:divBdr>
    </w:div>
    <w:div w:id="470487194">
      <w:bodyDiv w:val="1"/>
      <w:marLeft w:val="0"/>
      <w:marRight w:val="0"/>
      <w:marTop w:val="0"/>
      <w:marBottom w:val="0"/>
      <w:divBdr>
        <w:top w:val="none" w:sz="0" w:space="0" w:color="auto"/>
        <w:left w:val="none" w:sz="0" w:space="0" w:color="auto"/>
        <w:bottom w:val="none" w:sz="0" w:space="0" w:color="auto"/>
        <w:right w:val="none" w:sz="0" w:space="0" w:color="auto"/>
      </w:divBdr>
    </w:div>
    <w:div w:id="478501489">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32387881">
      <w:bodyDiv w:val="1"/>
      <w:marLeft w:val="0"/>
      <w:marRight w:val="0"/>
      <w:marTop w:val="0"/>
      <w:marBottom w:val="0"/>
      <w:divBdr>
        <w:top w:val="none" w:sz="0" w:space="0" w:color="auto"/>
        <w:left w:val="none" w:sz="0" w:space="0" w:color="auto"/>
        <w:bottom w:val="none" w:sz="0" w:space="0" w:color="auto"/>
        <w:right w:val="none" w:sz="0" w:space="0" w:color="auto"/>
      </w:divBdr>
    </w:div>
    <w:div w:id="793331158">
      <w:bodyDiv w:val="1"/>
      <w:marLeft w:val="0"/>
      <w:marRight w:val="0"/>
      <w:marTop w:val="0"/>
      <w:marBottom w:val="0"/>
      <w:divBdr>
        <w:top w:val="none" w:sz="0" w:space="0" w:color="auto"/>
        <w:left w:val="none" w:sz="0" w:space="0" w:color="auto"/>
        <w:bottom w:val="none" w:sz="0" w:space="0" w:color="auto"/>
        <w:right w:val="none" w:sz="0" w:space="0" w:color="auto"/>
      </w:divBdr>
    </w:div>
    <w:div w:id="81129191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39891953">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62365028">
      <w:bodyDiv w:val="1"/>
      <w:marLeft w:val="0"/>
      <w:marRight w:val="0"/>
      <w:marTop w:val="0"/>
      <w:marBottom w:val="0"/>
      <w:divBdr>
        <w:top w:val="none" w:sz="0" w:space="0" w:color="auto"/>
        <w:left w:val="none" w:sz="0" w:space="0" w:color="auto"/>
        <w:bottom w:val="none" w:sz="0" w:space="0" w:color="auto"/>
        <w:right w:val="none" w:sz="0" w:space="0" w:color="auto"/>
      </w:divBdr>
    </w:div>
    <w:div w:id="1541628834">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23794105">
      <w:bodyDiv w:val="1"/>
      <w:marLeft w:val="0"/>
      <w:marRight w:val="0"/>
      <w:marTop w:val="0"/>
      <w:marBottom w:val="0"/>
      <w:divBdr>
        <w:top w:val="none" w:sz="0" w:space="0" w:color="auto"/>
        <w:left w:val="none" w:sz="0" w:space="0" w:color="auto"/>
        <w:bottom w:val="none" w:sz="0" w:space="0" w:color="auto"/>
        <w:right w:val="none" w:sz="0" w:space="0" w:color="auto"/>
      </w:divBdr>
    </w:div>
    <w:div w:id="1761412775">
      <w:bodyDiv w:val="1"/>
      <w:marLeft w:val="0"/>
      <w:marRight w:val="0"/>
      <w:marTop w:val="0"/>
      <w:marBottom w:val="0"/>
      <w:divBdr>
        <w:top w:val="none" w:sz="0" w:space="0" w:color="auto"/>
        <w:left w:val="none" w:sz="0" w:space="0" w:color="auto"/>
        <w:bottom w:val="none" w:sz="0" w:space="0" w:color="auto"/>
        <w:right w:val="none" w:sz="0" w:space="0" w:color="auto"/>
      </w:divBdr>
    </w:div>
    <w:div w:id="1838884286">
      <w:bodyDiv w:val="1"/>
      <w:marLeft w:val="0"/>
      <w:marRight w:val="0"/>
      <w:marTop w:val="0"/>
      <w:marBottom w:val="0"/>
      <w:divBdr>
        <w:top w:val="none" w:sz="0" w:space="0" w:color="auto"/>
        <w:left w:val="none" w:sz="0" w:space="0" w:color="auto"/>
        <w:bottom w:val="none" w:sz="0" w:space="0" w:color="auto"/>
        <w:right w:val="none" w:sz="0" w:space="0" w:color="auto"/>
      </w:divBdr>
    </w:div>
    <w:div w:id="1856963542">
      <w:bodyDiv w:val="1"/>
      <w:marLeft w:val="0"/>
      <w:marRight w:val="0"/>
      <w:marTop w:val="0"/>
      <w:marBottom w:val="0"/>
      <w:divBdr>
        <w:top w:val="none" w:sz="0" w:space="0" w:color="auto"/>
        <w:left w:val="none" w:sz="0" w:space="0" w:color="auto"/>
        <w:bottom w:val="none" w:sz="0" w:space="0" w:color="auto"/>
        <w:right w:val="none" w:sz="0" w:space="0" w:color="auto"/>
      </w:divBdr>
    </w:div>
    <w:div w:id="1882552763">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5617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C063D-74BA-496A-91D9-CF73744A1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16</TotalTime>
  <Pages>18</Pages>
  <Words>5545</Words>
  <Characters>31609</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37080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3</cp:revision>
  <cp:lastPrinted>2017-06-29T20:58:00Z</cp:lastPrinted>
  <dcterms:created xsi:type="dcterms:W3CDTF">2020-06-23T17:23:00Z</dcterms:created>
  <dcterms:modified xsi:type="dcterms:W3CDTF">2020-06-23T17:34:00Z</dcterms:modified>
  <cp:category/>
</cp:coreProperties>
</file>