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436160" w14:textId="77777777" w:rsidR="00055004" w:rsidRDefault="00365BD5">
      <w:pPr>
        <w:pStyle w:val="BodyText"/>
        <w:ind w:left="4060"/>
        <w:rPr>
          <w:rFonts w:ascii="Times New Roman"/>
          <w:sz w:val="20"/>
        </w:rPr>
      </w:pPr>
      <w:r>
        <w:rPr>
          <w:rFonts w:ascii="Times New Roman"/>
          <w:noProof/>
          <w:sz w:val="20"/>
        </w:rPr>
        <w:drawing>
          <wp:inline distT="0" distB="0" distL="0" distR="0" wp14:anchorId="21436368" wp14:editId="21436369">
            <wp:extent cx="874473" cy="139903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874473" cy="1399031"/>
                    </a:xfrm>
                    <a:prstGeom prst="rect">
                      <a:avLst/>
                    </a:prstGeom>
                  </pic:spPr>
                </pic:pic>
              </a:graphicData>
            </a:graphic>
          </wp:inline>
        </w:drawing>
      </w:r>
    </w:p>
    <w:p w14:paraId="21436161" w14:textId="77777777" w:rsidR="00055004" w:rsidRDefault="00055004">
      <w:pPr>
        <w:pStyle w:val="BodyText"/>
        <w:rPr>
          <w:rFonts w:ascii="Times New Roman"/>
          <w:sz w:val="20"/>
        </w:rPr>
      </w:pPr>
    </w:p>
    <w:p w14:paraId="21436162" w14:textId="77777777" w:rsidR="00055004" w:rsidRDefault="00055004">
      <w:pPr>
        <w:pStyle w:val="BodyText"/>
        <w:rPr>
          <w:rFonts w:ascii="Times New Roman"/>
          <w:sz w:val="20"/>
        </w:rPr>
      </w:pPr>
    </w:p>
    <w:p w14:paraId="21436163" w14:textId="77777777" w:rsidR="00055004" w:rsidRDefault="00055004">
      <w:pPr>
        <w:pStyle w:val="BodyText"/>
        <w:rPr>
          <w:rFonts w:ascii="Times New Roman"/>
          <w:sz w:val="20"/>
        </w:rPr>
      </w:pPr>
    </w:p>
    <w:p w14:paraId="21436164" w14:textId="77777777" w:rsidR="00055004" w:rsidRDefault="00055004">
      <w:pPr>
        <w:pStyle w:val="BodyText"/>
        <w:rPr>
          <w:rFonts w:ascii="Times New Roman"/>
          <w:sz w:val="20"/>
        </w:rPr>
      </w:pPr>
    </w:p>
    <w:p w14:paraId="21436165" w14:textId="4DEC9050" w:rsidR="00055004" w:rsidRDefault="00AD1285">
      <w:pPr>
        <w:pStyle w:val="BodyText"/>
        <w:rPr>
          <w:rFonts w:ascii="Times New Roman"/>
          <w:sz w:val="10"/>
        </w:rPr>
      </w:pPr>
      <w:r>
        <w:rPr>
          <w:noProof/>
        </w:rPr>
        <mc:AlternateContent>
          <mc:Choice Requires="wps">
            <w:drawing>
              <wp:anchor distT="0" distB="0" distL="0" distR="0" simplePos="0" relativeHeight="251658240" behindDoc="1" locked="0" layoutInCell="1" allowOverlap="1" wp14:anchorId="2143636B" wp14:editId="2404242D">
                <wp:simplePos x="0" y="0"/>
                <wp:positionH relativeFrom="page">
                  <wp:posOffset>1143000</wp:posOffset>
                </wp:positionH>
                <wp:positionV relativeFrom="paragraph">
                  <wp:posOffset>88900</wp:posOffset>
                </wp:positionV>
                <wp:extent cx="5716270" cy="1178560"/>
                <wp:effectExtent l="0" t="0" r="0" b="0"/>
                <wp:wrapTopAndBottom/>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6270" cy="1178560"/>
                        </a:xfrm>
                        <a:prstGeom prst="rect">
                          <a:avLst/>
                        </a:prstGeom>
                        <a:solidFill>
                          <a:srgbClr val="8DC5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3638D" w14:textId="77777777" w:rsidR="00A3644A" w:rsidRDefault="00A3644A">
                            <w:pPr>
                              <w:spacing w:before="72"/>
                              <w:ind w:left="607" w:right="665"/>
                              <w:jc w:val="center"/>
                              <w:rPr>
                                <w:rFonts w:ascii="Calibri"/>
                                <w:b/>
                                <w:sz w:val="32"/>
                              </w:rPr>
                            </w:pPr>
                            <w:r>
                              <w:rPr>
                                <w:rFonts w:ascii="Calibri"/>
                                <w:b/>
                                <w:color w:val="FFFFFF"/>
                                <w:sz w:val="32"/>
                              </w:rPr>
                              <w:t>H V A C</w:t>
                            </w:r>
                          </w:p>
                          <w:p w14:paraId="2143638E" w14:textId="3EEC3D2F" w:rsidR="00A3644A" w:rsidRDefault="00A3644A">
                            <w:pPr>
                              <w:tabs>
                                <w:tab w:val="left" w:pos="2943"/>
                                <w:tab w:val="left" w:pos="3866"/>
                                <w:tab w:val="left" w:pos="5436"/>
                              </w:tabs>
                              <w:spacing w:before="107" w:line="220" w:lineRule="auto"/>
                              <w:ind w:left="607" w:right="692"/>
                              <w:jc w:val="center"/>
                              <w:rPr>
                                <w:sz w:val="32"/>
                              </w:rPr>
                            </w:pPr>
                            <w:r>
                              <w:rPr>
                                <w:color w:val="FFFFFF"/>
                                <w:sz w:val="32"/>
                              </w:rPr>
                              <w:t>B R U S H L E</w:t>
                            </w:r>
                            <w:r>
                              <w:rPr>
                                <w:color w:val="FFFFFF"/>
                                <w:spacing w:val="48"/>
                                <w:sz w:val="32"/>
                              </w:rPr>
                              <w:t xml:space="preserve"> </w:t>
                            </w:r>
                            <w:r>
                              <w:rPr>
                                <w:color w:val="FFFFFF"/>
                                <w:sz w:val="32"/>
                              </w:rPr>
                              <w:t>S</w:t>
                            </w:r>
                            <w:r>
                              <w:rPr>
                                <w:color w:val="FFFFFF"/>
                                <w:spacing w:val="8"/>
                                <w:sz w:val="32"/>
                              </w:rPr>
                              <w:t xml:space="preserve"> </w:t>
                            </w:r>
                            <w:proofErr w:type="spellStart"/>
                            <w:r>
                              <w:rPr>
                                <w:color w:val="FFFFFF"/>
                                <w:sz w:val="32"/>
                              </w:rPr>
                              <w:t>S</w:t>
                            </w:r>
                            <w:proofErr w:type="spellEnd"/>
                            <w:r>
                              <w:rPr>
                                <w:color w:val="FFFFFF"/>
                                <w:sz w:val="32"/>
                              </w:rPr>
                              <w:tab/>
                              <w:t>F</w:t>
                            </w:r>
                            <w:r>
                              <w:rPr>
                                <w:color w:val="FFFFFF"/>
                                <w:spacing w:val="5"/>
                                <w:sz w:val="32"/>
                              </w:rPr>
                              <w:t xml:space="preserve"> </w:t>
                            </w:r>
                            <w:r>
                              <w:rPr>
                                <w:color w:val="FFFFFF"/>
                                <w:sz w:val="32"/>
                              </w:rPr>
                              <w:t>A</w:t>
                            </w:r>
                            <w:r>
                              <w:rPr>
                                <w:color w:val="FFFFFF"/>
                                <w:spacing w:val="9"/>
                                <w:sz w:val="32"/>
                              </w:rPr>
                              <w:t xml:space="preserve"> </w:t>
                            </w:r>
                            <w:r>
                              <w:rPr>
                                <w:color w:val="FFFFFF"/>
                                <w:sz w:val="32"/>
                              </w:rPr>
                              <w:t>N</w:t>
                            </w:r>
                            <w:r>
                              <w:rPr>
                                <w:color w:val="FFFFFF"/>
                                <w:sz w:val="32"/>
                              </w:rPr>
                              <w:tab/>
                              <w:t>M O T</w:t>
                            </w:r>
                            <w:r>
                              <w:rPr>
                                <w:color w:val="FFFFFF"/>
                                <w:spacing w:val="21"/>
                                <w:sz w:val="32"/>
                              </w:rPr>
                              <w:t xml:space="preserve"> </w:t>
                            </w:r>
                            <w:r>
                              <w:rPr>
                                <w:color w:val="FFFFFF"/>
                                <w:sz w:val="32"/>
                              </w:rPr>
                              <w:t>O</w:t>
                            </w:r>
                            <w:r>
                              <w:rPr>
                                <w:color w:val="FFFFFF"/>
                                <w:spacing w:val="6"/>
                                <w:sz w:val="32"/>
                              </w:rPr>
                              <w:t xml:space="preserve"> </w:t>
                            </w:r>
                            <w:r>
                              <w:rPr>
                                <w:color w:val="FFFFFF"/>
                                <w:sz w:val="32"/>
                              </w:rPr>
                              <w:t>R</w:t>
                            </w:r>
                            <w:r>
                              <w:rPr>
                                <w:color w:val="FFFFFF"/>
                                <w:sz w:val="32"/>
                              </w:rPr>
                              <w:tab/>
                            </w:r>
                            <w:proofErr w:type="spellStart"/>
                            <w:r>
                              <w:rPr>
                                <w:color w:val="FFFFFF"/>
                                <w:sz w:val="32"/>
                              </w:rPr>
                              <w:t>R</w:t>
                            </w:r>
                            <w:proofErr w:type="spellEnd"/>
                            <w:r>
                              <w:rPr>
                                <w:color w:val="FFFFFF"/>
                                <w:sz w:val="32"/>
                              </w:rPr>
                              <w:t xml:space="preserve"> E P L A C E M E N T</w:t>
                            </w:r>
                            <w:r>
                              <w:rPr>
                                <w:color w:val="FFFFFF"/>
                                <w:spacing w:val="-12"/>
                                <w:sz w:val="32"/>
                              </w:rPr>
                              <w:t xml:space="preserve">, </w:t>
                            </w:r>
                            <w:r>
                              <w:rPr>
                                <w:color w:val="FFFFFF"/>
                                <w:sz w:val="32"/>
                              </w:rPr>
                              <w:t>R E S I D E N T I A</w:t>
                            </w:r>
                            <w:r>
                              <w:rPr>
                                <w:color w:val="FFFFFF"/>
                                <w:spacing w:val="71"/>
                                <w:sz w:val="32"/>
                              </w:rPr>
                              <w:t xml:space="preserve"> </w:t>
                            </w:r>
                            <w:r>
                              <w:rPr>
                                <w:color w:val="FFFFFF"/>
                                <w:sz w:val="32"/>
                              </w:rPr>
                              <w:t>L</w:t>
                            </w:r>
                          </w:p>
                          <w:p w14:paraId="2143638F" w14:textId="319E2835" w:rsidR="00A3644A" w:rsidRDefault="00A3644A">
                            <w:pPr>
                              <w:spacing w:before="135"/>
                              <w:ind w:left="607" w:right="610"/>
                              <w:jc w:val="center"/>
                              <w:rPr>
                                <w:sz w:val="28"/>
                              </w:rPr>
                            </w:pPr>
                            <w:r>
                              <w:rPr>
                                <w:color w:val="FFFFFF"/>
                                <w:sz w:val="28"/>
                              </w:rPr>
                              <w:t xml:space="preserve">S W H C </w:t>
                            </w:r>
                            <w:proofErr w:type="gramStart"/>
                            <w:r>
                              <w:rPr>
                                <w:color w:val="FFFFFF"/>
                                <w:sz w:val="28"/>
                              </w:rPr>
                              <w:t>0  3</w:t>
                            </w:r>
                            <w:proofErr w:type="gramEnd"/>
                            <w:r>
                              <w:rPr>
                                <w:color w:val="FFFFFF"/>
                                <w:sz w:val="28"/>
                              </w:rPr>
                              <w:t xml:space="preserve"> 8 - 0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143636B" id="_x0000_t202" coordsize="21600,21600" o:spt="202" path="m,l,21600r21600,l21600,xe">
                <v:stroke joinstyle="miter"/>
                <v:path gradientshapeok="t" o:connecttype="rect"/>
              </v:shapetype>
              <v:shape id="Text Box 8" o:spid="_x0000_s1026" type="#_x0000_t202" style="position:absolute;margin-left:90pt;margin-top:7pt;width:450.1pt;height:92.8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" fillcolor="#8dc53e" stroked="f">
                <v:textbox inset="0,0,0,0">
                  <w:txbxContent>
                    <w:p w14:paraId="2143638D" w14:textId="77777777" w:rsidR="00A3644A" w:rsidRDefault="00A3644A">
                      <w:pPr>
                        <w:spacing w:before="72"/>
                        <w:ind w:left="607" w:right="665"/>
                        <w:jc w:val="center"/>
                        <w:rPr>
                          <w:rFonts w:ascii="Calibri"/>
                          <w:b/>
                          <w:sz w:val="32"/>
                        </w:rPr>
                      </w:pPr>
                      <w:r>
                        <w:rPr>
                          <w:rFonts w:ascii="Calibri"/>
                          <w:b/>
                          <w:color w:val="FFFFFF"/>
                          <w:sz w:val="32"/>
                        </w:rPr>
                        <w:t>H V A C</w:t>
                      </w:r>
                    </w:p>
                    <w:p w14:paraId="2143638E" w14:textId="3EEC3D2F" w:rsidR="00A3644A" w:rsidRDefault="00A3644A">
                      <w:pPr>
                        <w:tabs>
                          <w:tab w:val="left" w:pos="2943"/>
                          <w:tab w:val="left" w:pos="3866"/>
                          <w:tab w:val="left" w:pos="5436"/>
                        </w:tabs>
                        <w:spacing w:before="107" w:line="220" w:lineRule="auto"/>
                        <w:ind w:left="607" w:right="692"/>
                        <w:jc w:val="center"/>
                        <w:rPr>
                          <w:sz w:val="32"/>
                        </w:rPr>
                      </w:pPr>
                      <w:r>
                        <w:rPr>
                          <w:color w:val="FFFFFF"/>
                          <w:sz w:val="32"/>
                        </w:rPr>
                        <w:t>B R U S H L E</w:t>
                      </w:r>
                      <w:r>
                        <w:rPr>
                          <w:color w:val="FFFFFF"/>
                          <w:spacing w:val="48"/>
                          <w:sz w:val="32"/>
                        </w:rPr>
                        <w:t xml:space="preserve"> </w:t>
                      </w:r>
                      <w:r>
                        <w:rPr>
                          <w:color w:val="FFFFFF"/>
                          <w:sz w:val="32"/>
                        </w:rPr>
                        <w:t>S</w:t>
                      </w:r>
                      <w:r>
                        <w:rPr>
                          <w:color w:val="FFFFFF"/>
                          <w:spacing w:val="8"/>
                          <w:sz w:val="32"/>
                        </w:rPr>
                        <w:t xml:space="preserve"> </w:t>
                      </w:r>
                      <w:proofErr w:type="spellStart"/>
                      <w:r>
                        <w:rPr>
                          <w:color w:val="FFFFFF"/>
                          <w:sz w:val="32"/>
                        </w:rPr>
                        <w:t>S</w:t>
                      </w:r>
                      <w:proofErr w:type="spellEnd"/>
                      <w:r>
                        <w:rPr>
                          <w:color w:val="FFFFFF"/>
                          <w:sz w:val="32"/>
                        </w:rPr>
                        <w:tab/>
                        <w:t>F</w:t>
                      </w:r>
                      <w:r>
                        <w:rPr>
                          <w:color w:val="FFFFFF"/>
                          <w:spacing w:val="5"/>
                          <w:sz w:val="32"/>
                        </w:rPr>
                        <w:t xml:space="preserve"> </w:t>
                      </w:r>
                      <w:r>
                        <w:rPr>
                          <w:color w:val="FFFFFF"/>
                          <w:sz w:val="32"/>
                        </w:rPr>
                        <w:t>A</w:t>
                      </w:r>
                      <w:r>
                        <w:rPr>
                          <w:color w:val="FFFFFF"/>
                          <w:spacing w:val="9"/>
                          <w:sz w:val="32"/>
                        </w:rPr>
                        <w:t xml:space="preserve"> </w:t>
                      </w:r>
                      <w:r>
                        <w:rPr>
                          <w:color w:val="FFFFFF"/>
                          <w:sz w:val="32"/>
                        </w:rPr>
                        <w:t>N</w:t>
                      </w:r>
                      <w:r>
                        <w:rPr>
                          <w:color w:val="FFFFFF"/>
                          <w:sz w:val="32"/>
                        </w:rPr>
                        <w:tab/>
                        <w:t>M O T</w:t>
                      </w:r>
                      <w:r>
                        <w:rPr>
                          <w:color w:val="FFFFFF"/>
                          <w:spacing w:val="21"/>
                          <w:sz w:val="32"/>
                        </w:rPr>
                        <w:t xml:space="preserve"> </w:t>
                      </w:r>
                      <w:r>
                        <w:rPr>
                          <w:color w:val="FFFFFF"/>
                          <w:sz w:val="32"/>
                        </w:rPr>
                        <w:t>O</w:t>
                      </w:r>
                      <w:r>
                        <w:rPr>
                          <w:color w:val="FFFFFF"/>
                          <w:spacing w:val="6"/>
                          <w:sz w:val="32"/>
                        </w:rPr>
                        <w:t xml:space="preserve"> </w:t>
                      </w:r>
                      <w:r>
                        <w:rPr>
                          <w:color w:val="FFFFFF"/>
                          <w:sz w:val="32"/>
                        </w:rPr>
                        <w:t>R</w:t>
                      </w:r>
                      <w:r>
                        <w:rPr>
                          <w:color w:val="FFFFFF"/>
                          <w:sz w:val="32"/>
                        </w:rPr>
                        <w:tab/>
                      </w:r>
                      <w:proofErr w:type="spellStart"/>
                      <w:r>
                        <w:rPr>
                          <w:color w:val="FFFFFF"/>
                          <w:sz w:val="32"/>
                        </w:rPr>
                        <w:t>R</w:t>
                      </w:r>
                      <w:proofErr w:type="spellEnd"/>
                      <w:r>
                        <w:rPr>
                          <w:color w:val="FFFFFF"/>
                          <w:sz w:val="32"/>
                        </w:rPr>
                        <w:t xml:space="preserve"> E P L A C E M E N T</w:t>
                      </w:r>
                      <w:r>
                        <w:rPr>
                          <w:color w:val="FFFFFF"/>
                          <w:spacing w:val="-12"/>
                          <w:sz w:val="32"/>
                        </w:rPr>
                        <w:t xml:space="preserve">, </w:t>
                      </w:r>
                      <w:r>
                        <w:rPr>
                          <w:color w:val="FFFFFF"/>
                          <w:sz w:val="32"/>
                        </w:rPr>
                        <w:t>R E S I D E N T I A</w:t>
                      </w:r>
                      <w:r>
                        <w:rPr>
                          <w:color w:val="FFFFFF"/>
                          <w:spacing w:val="71"/>
                          <w:sz w:val="32"/>
                        </w:rPr>
                        <w:t xml:space="preserve"> </w:t>
                      </w:r>
                      <w:r>
                        <w:rPr>
                          <w:color w:val="FFFFFF"/>
                          <w:sz w:val="32"/>
                        </w:rPr>
                        <w:t>L</w:t>
                      </w:r>
                    </w:p>
                    <w:p w14:paraId="2143638F" w14:textId="319E2835" w:rsidR="00A3644A" w:rsidRDefault="00A3644A">
                      <w:pPr>
                        <w:spacing w:before="135"/>
                        <w:ind w:left="607" w:right="610"/>
                        <w:jc w:val="center"/>
                        <w:rPr>
                          <w:sz w:val="28"/>
                        </w:rPr>
                      </w:pPr>
                      <w:r>
                        <w:rPr>
                          <w:color w:val="FFFFFF"/>
                          <w:sz w:val="28"/>
                        </w:rPr>
                        <w:t xml:space="preserve">S W H C </w:t>
                      </w:r>
                      <w:proofErr w:type="gramStart"/>
                      <w:r>
                        <w:rPr>
                          <w:color w:val="FFFFFF"/>
                          <w:sz w:val="28"/>
                        </w:rPr>
                        <w:t>0  3</w:t>
                      </w:r>
                      <w:proofErr w:type="gramEnd"/>
                      <w:r>
                        <w:rPr>
                          <w:color w:val="FFFFFF"/>
                          <w:sz w:val="28"/>
                        </w:rPr>
                        <w:t xml:space="preserve"> 8 - 0 2</w:t>
                      </w:r>
                    </w:p>
                  </w:txbxContent>
                </v:textbox>
                <w10:wrap type="topAndBottom" anchorx="page"/>
              </v:shape>
            </w:pict>
          </mc:Fallback>
        </mc:AlternateContent>
      </w:r>
    </w:p>
    <w:p w14:paraId="21436166" w14:textId="77777777" w:rsidR="00055004" w:rsidRDefault="00055004">
      <w:pPr>
        <w:pStyle w:val="BodyText"/>
        <w:rPr>
          <w:rFonts w:ascii="Times New Roman"/>
          <w:sz w:val="20"/>
        </w:rPr>
      </w:pPr>
    </w:p>
    <w:p w14:paraId="21436167" w14:textId="77777777" w:rsidR="00055004" w:rsidRDefault="00055004">
      <w:pPr>
        <w:pStyle w:val="BodyText"/>
        <w:spacing w:before="1"/>
        <w:rPr>
          <w:rFonts w:ascii="Times New Roman"/>
          <w:sz w:val="19"/>
        </w:rPr>
      </w:pPr>
    </w:p>
    <w:p w14:paraId="21436168" w14:textId="77777777" w:rsidR="00055004" w:rsidRDefault="00365BD5">
      <w:pPr>
        <w:spacing w:before="44"/>
        <w:ind w:left="2689" w:right="3666"/>
        <w:jc w:val="center"/>
        <w:rPr>
          <w:sz w:val="28"/>
        </w:rPr>
      </w:pPr>
      <w:r>
        <w:rPr>
          <w:sz w:val="28"/>
        </w:rPr>
        <w:t>C O N T E N T S</w:t>
      </w:r>
    </w:p>
    <w:sdt>
      <w:sdtPr>
        <w:id w:val="1896166985"/>
        <w:docPartObj>
          <w:docPartGallery w:val="Table of Contents"/>
          <w:docPartUnique/>
        </w:docPartObj>
      </w:sdtPr>
      <w:sdtEndPr/>
      <w:sdtContent>
        <w:p w14:paraId="018C7861" w14:textId="52EB0B5D" w:rsidR="00F72965" w:rsidRDefault="00365BD5">
          <w:pPr>
            <w:pStyle w:val="TOC1"/>
            <w:tabs>
              <w:tab w:val="right" w:leader="dot" w:pos="9470"/>
            </w:tabs>
            <w:rPr>
              <w:rFonts w:asciiTheme="minorHAnsi" w:eastAsiaTheme="minorEastAsia" w:hAnsiTheme="minorHAnsi" w:cstheme="minorBidi"/>
              <w:noProof/>
              <w:lang w:bidi="ar-SA"/>
            </w:rPr>
          </w:pPr>
          <w:r>
            <w:fldChar w:fldCharType="begin"/>
          </w:r>
          <w:r>
            <w:instrText xml:space="preserve">TOC \o "1-1" \h \z \u </w:instrText>
          </w:r>
          <w:r>
            <w:fldChar w:fldCharType="separate"/>
          </w:r>
          <w:hyperlink w:anchor="_Toc57630571" w:history="1">
            <w:r w:rsidR="00F72965" w:rsidRPr="002C6A6E">
              <w:rPr>
                <w:rStyle w:val="Hyperlink"/>
                <w:noProof/>
              </w:rPr>
              <w:t>MEASURE NAME</w:t>
            </w:r>
            <w:r w:rsidR="00F72965">
              <w:rPr>
                <w:noProof/>
                <w:webHidden/>
              </w:rPr>
              <w:tab/>
            </w:r>
            <w:r w:rsidR="00F72965">
              <w:rPr>
                <w:noProof/>
                <w:webHidden/>
              </w:rPr>
              <w:fldChar w:fldCharType="begin"/>
            </w:r>
            <w:r w:rsidR="00F72965">
              <w:rPr>
                <w:noProof/>
                <w:webHidden/>
              </w:rPr>
              <w:instrText xml:space="preserve"> PAGEREF _Toc57630571 \h </w:instrText>
            </w:r>
            <w:r w:rsidR="00F72965">
              <w:rPr>
                <w:noProof/>
                <w:webHidden/>
              </w:rPr>
            </w:r>
            <w:r w:rsidR="00F72965">
              <w:rPr>
                <w:noProof/>
                <w:webHidden/>
              </w:rPr>
              <w:fldChar w:fldCharType="separate"/>
            </w:r>
            <w:r w:rsidR="00F72965">
              <w:rPr>
                <w:noProof/>
                <w:webHidden/>
              </w:rPr>
              <w:t>2</w:t>
            </w:r>
            <w:r w:rsidR="00F72965">
              <w:rPr>
                <w:noProof/>
                <w:webHidden/>
              </w:rPr>
              <w:fldChar w:fldCharType="end"/>
            </w:r>
          </w:hyperlink>
        </w:p>
        <w:p w14:paraId="04F2C5BB" w14:textId="7632C2DA" w:rsidR="00F72965" w:rsidRDefault="00F72965">
          <w:pPr>
            <w:pStyle w:val="TOC1"/>
            <w:tabs>
              <w:tab w:val="right" w:leader="dot" w:pos="9470"/>
            </w:tabs>
            <w:rPr>
              <w:rFonts w:asciiTheme="minorHAnsi" w:eastAsiaTheme="minorEastAsia" w:hAnsiTheme="minorHAnsi" w:cstheme="minorBidi"/>
              <w:noProof/>
              <w:lang w:bidi="ar-SA"/>
            </w:rPr>
          </w:pPr>
          <w:hyperlink w:anchor="_Toc57630572" w:history="1">
            <w:r w:rsidRPr="002C6A6E">
              <w:rPr>
                <w:rStyle w:val="Hyperlink"/>
                <w:noProof/>
              </w:rPr>
              <w:t>STATEWIDE MEASURE ID</w:t>
            </w:r>
            <w:r>
              <w:rPr>
                <w:noProof/>
                <w:webHidden/>
              </w:rPr>
              <w:tab/>
            </w:r>
            <w:r>
              <w:rPr>
                <w:noProof/>
                <w:webHidden/>
              </w:rPr>
              <w:fldChar w:fldCharType="begin"/>
            </w:r>
            <w:r>
              <w:rPr>
                <w:noProof/>
                <w:webHidden/>
              </w:rPr>
              <w:instrText xml:space="preserve"> PAGEREF _Toc57630572 \h </w:instrText>
            </w:r>
            <w:r>
              <w:rPr>
                <w:noProof/>
                <w:webHidden/>
              </w:rPr>
            </w:r>
            <w:r>
              <w:rPr>
                <w:noProof/>
                <w:webHidden/>
              </w:rPr>
              <w:fldChar w:fldCharType="separate"/>
            </w:r>
            <w:r>
              <w:rPr>
                <w:noProof/>
                <w:webHidden/>
              </w:rPr>
              <w:t>2</w:t>
            </w:r>
            <w:r>
              <w:rPr>
                <w:noProof/>
                <w:webHidden/>
              </w:rPr>
              <w:fldChar w:fldCharType="end"/>
            </w:r>
          </w:hyperlink>
        </w:p>
        <w:p w14:paraId="70985C04" w14:textId="5AEEAE11" w:rsidR="00F72965" w:rsidRDefault="00F72965">
          <w:pPr>
            <w:pStyle w:val="TOC1"/>
            <w:tabs>
              <w:tab w:val="right" w:leader="dot" w:pos="9470"/>
            </w:tabs>
            <w:rPr>
              <w:rFonts w:asciiTheme="minorHAnsi" w:eastAsiaTheme="minorEastAsia" w:hAnsiTheme="minorHAnsi" w:cstheme="minorBidi"/>
              <w:noProof/>
              <w:lang w:bidi="ar-SA"/>
            </w:rPr>
          </w:pPr>
          <w:hyperlink w:anchor="_Toc57630573" w:history="1">
            <w:r w:rsidRPr="002C6A6E">
              <w:rPr>
                <w:rStyle w:val="Hyperlink"/>
                <w:noProof/>
              </w:rPr>
              <w:t>TECHNOLOGY SUMMARY</w:t>
            </w:r>
            <w:r>
              <w:rPr>
                <w:noProof/>
                <w:webHidden/>
              </w:rPr>
              <w:tab/>
            </w:r>
            <w:r>
              <w:rPr>
                <w:noProof/>
                <w:webHidden/>
              </w:rPr>
              <w:fldChar w:fldCharType="begin"/>
            </w:r>
            <w:r>
              <w:rPr>
                <w:noProof/>
                <w:webHidden/>
              </w:rPr>
              <w:instrText xml:space="preserve"> PAGEREF _Toc57630573 \h </w:instrText>
            </w:r>
            <w:r>
              <w:rPr>
                <w:noProof/>
                <w:webHidden/>
              </w:rPr>
            </w:r>
            <w:r>
              <w:rPr>
                <w:noProof/>
                <w:webHidden/>
              </w:rPr>
              <w:fldChar w:fldCharType="separate"/>
            </w:r>
            <w:r>
              <w:rPr>
                <w:noProof/>
                <w:webHidden/>
              </w:rPr>
              <w:t>2</w:t>
            </w:r>
            <w:r>
              <w:rPr>
                <w:noProof/>
                <w:webHidden/>
              </w:rPr>
              <w:fldChar w:fldCharType="end"/>
            </w:r>
          </w:hyperlink>
        </w:p>
        <w:p w14:paraId="200EFCED" w14:textId="4125332A" w:rsidR="00F72965" w:rsidRDefault="00F72965">
          <w:pPr>
            <w:pStyle w:val="TOC1"/>
            <w:tabs>
              <w:tab w:val="right" w:leader="dot" w:pos="9470"/>
            </w:tabs>
            <w:rPr>
              <w:rFonts w:asciiTheme="minorHAnsi" w:eastAsiaTheme="minorEastAsia" w:hAnsiTheme="minorHAnsi" w:cstheme="minorBidi"/>
              <w:noProof/>
              <w:lang w:bidi="ar-SA"/>
            </w:rPr>
          </w:pPr>
          <w:hyperlink w:anchor="_Toc57630574" w:history="1">
            <w:r w:rsidRPr="002C6A6E">
              <w:rPr>
                <w:rStyle w:val="Hyperlink"/>
                <w:noProof/>
              </w:rPr>
              <w:t>MEASURE CASE DESCRIPTION</w:t>
            </w:r>
            <w:r>
              <w:rPr>
                <w:noProof/>
                <w:webHidden/>
              </w:rPr>
              <w:tab/>
            </w:r>
            <w:r>
              <w:rPr>
                <w:noProof/>
                <w:webHidden/>
              </w:rPr>
              <w:fldChar w:fldCharType="begin"/>
            </w:r>
            <w:r>
              <w:rPr>
                <w:noProof/>
                <w:webHidden/>
              </w:rPr>
              <w:instrText xml:space="preserve"> PAGEREF _Toc57630574 \h </w:instrText>
            </w:r>
            <w:r>
              <w:rPr>
                <w:noProof/>
                <w:webHidden/>
              </w:rPr>
            </w:r>
            <w:r>
              <w:rPr>
                <w:noProof/>
                <w:webHidden/>
              </w:rPr>
              <w:fldChar w:fldCharType="separate"/>
            </w:r>
            <w:r>
              <w:rPr>
                <w:noProof/>
                <w:webHidden/>
              </w:rPr>
              <w:t>4</w:t>
            </w:r>
            <w:r>
              <w:rPr>
                <w:noProof/>
                <w:webHidden/>
              </w:rPr>
              <w:fldChar w:fldCharType="end"/>
            </w:r>
          </w:hyperlink>
        </w:p>
        <w:p w14:paraId="7A09C0DF" w14:textId="527BBE71" w:rsidR="00F72965" w:rsidRDefault="00F72965">
          <w:pPr>
            <w:pStyle w:val="TOC1"/>
            <w:tabs>
              <w:tab w:val="right" w:leader="dot" w:pos="9470"/>
            </w:tabs>
            <w:rPr>
              <w:rFonts w:asciiTheme="minorHAnsi" w:eastAsiaTheme="minorEastAsia" w:hAnsiTheme="minorHAnsi" w:cstheme="minorBidi"/>
              <w:noProof/>
              <w:lang w:bidi="ar-SA"/>
            </w:rPr>
          </w:pPr>
          <w:hyperlink w:anchor="_Toc57630575" w:history="1">
            <w:r w:rsidRPr="002C6A6E">
              <w:rPr>
                <w:rStyle w:val="Hyperlink"/>
                <w:noProof/>
              </w:rPr>
              <w:t>BASE CASE DESCRIPTION</w:t>
            </w:r>
            <w:r>
              <w:rPr>
                <w:noProof/>
                <w:webHidden/>
              </w:rPr>
              <w:tab/>
            </w:r>
            <w:r>
              <w:rPr>
                <w:noProof/>
                <w:webHidden/>
              </w:rPr>
              <w:fldChar w:fldCharType="begin"/>
            </w:r>
            <w:r>
              <w:rPr>
                <w:noProof/>
                <w:webHidden/>
              </w:rPr>
              <w:instrText xml:space="preserve"> PAGEREF _Toc57630575 \h </w:instrText>
            </w:r>
            <w:r>
              <w:rPr>
                <w:noProof/>
                <w:webHidden/>
              </w:rPr>
            </w:r>
            <w:r>
              <w:rPr>
                <w:noProof/>
                <w:webHidden/>
              </w:rPr>
              <w:fldChar w:fldCharType="separate"/>
            </w:r>
            <w:r>
              <w:rPr>
                <w:noProof/>
                <w:webHidden/>
              </w:rPr>
              <w:t>5</w:t>
            </w:r>
            <w:r>
              <w:rPr>
                <w:noProof/>
                <w:webHidden/>
              </w:rPr>
              <w:fldChar w:fldCharType="end"/>
            </w:r>
          </w:hyperlink>
        </w:p>
        <w:p w14:paraId="633934BA" w14:textId="2D94EF19" w:rsidR="00F72965" w:rsidRDefault="00F72965">
          <w:pPr>
            <w:pStyle w:val="TOC1"/>
            <w:tabs>
              <w:tab w:val="right" w:leader="dot" w:pos="9470"/>
            </w:tabs>
            <w:rPr>
              <w:rFonts w:asciiTheme="minorHAnsi" w:eastAsiaTheme="minorEastAsia" w:hAnsiTheme="minorHAnsi" w:cstheme="minorBidi"/>
              <w:noProof/>
              <w:lang w:bidi="ar-SA"/>
            </w:rPr>
          </w:pPr>
          <w:hyperlink w:anchor="_Toc57630576" w:history="1">
            <w:r w:rsidRPr="002C6A6E">
              <w:rPr>
                <w:rStyle w:val="Hyperlink"/>
                <w:noProof/>
              </w:rPr>
              <w:t>CODE REQUIREMENTS</w:t>
            </w:r>
            <w:r>
              <w:rPr>
                <w:noProof/>
                <w:webHidden/>
              </w:rPr>
              <w:tab/>
            </w:r>
            <w:r>
              <w:rPr>
                <w:noProof/>
                <w:webHidden/>
              </w:rPr>
              <w:fldChar w:fldCharType="begin"/>
            </w:r>
            <w:r>
              <w:rPr>
                <w:noProof/>
                <w:webHidden/>
              </w:rPr>
              <w:instrText xml:space="preserve"> PAGEREF _Toc57630576 \h </w:instrText>
            </w:r>
            <w:r>
              <w:rPr>
                <w:noProof/>
                <w:webHidden/>
              </w:rPr>
            </w:r>
            <w:r>
              <w:rPr>
                <w:noProof/>
                <w:webHidden/>
              </w:rPr>
              <w:fldChar w:fldCharType="separate"/>
            </w:r>
            <w:r>
              <w:rPr>
                <w:noProof/>
                <w:webHidden/>
              </w:rPr>
              <w:t>5</w:t>
            </w:r>
            <w:r>
              <w:rPr>
                <w:noProof/>
                <w:webHidden/>
              </w:rPr>
              <w:fldChar w:fldCharType="end"/>
            </w:r>
          </w:hyperlink>
        </w:p>
        <w:p w14:paraId="24A8BE61" w14:textId="4244F8BB" w:rsidR="00F72965" w:rsidRDefault="00F72965">
          <w:pPr>
            <w:pStyle w:val="TOC1"/>
            <w:tabs>
              <w:tab w:val="right" w:leader="dot" w:pos="9470"/>
            </w:tabs>
            <w:rPr>
              <w:rFonts w:asciiTheme="minorHAnsi" w:eastAsiaTheme="minorEastAsia" w:hAnsiTheme="minorHAnsi" w:cstheme="minorBidi"/>
              <w:noProof/>
              <w:lang w:bidi="ar-SA"/>
            </w:rPr>
          </w:pPr>
          <w:hyperlink w:anchor="_Toc57630577" w:history="1">
            <w:r w:rsidRPr="002C6A6E">
              <w:rPr>
                <w:rStyle w:val="Hyperlink"/>
                <w:noProof/>
              </w:rPr>
              <w:t>NORMALIZING UNIT</w:t>
            </w:r>
            <w:r>
              <w:rPr>
                <w:noProof/>
                <w:webHidden/>
              </w:rPr>
              <w:tab/>
            </w:r>
            <w:r>
              <w:rPr>
                <w:noProof/>
                <w:webHidden/>
              </w:rPr>
              <w:fldChar w:fldCharType="begin"/>
            </w:r>
            <w:r>
              <w:rPr>
                <w:noProof/>
                <w:webHidden/>
              </w:rPr>
              <w:instrText xml:space="preserve"> PAGEREF _Toc57630577 \h </w:instrText>
            </w:r>
            <w:r>
              <w:rPr>
                <w:noProof/>
                <w:webHidden/>
              </w:rPr>
            </w:r>
            <w:r>
              <w:rPr>
                <w:noProof/>
                <w:webHidden/>
              </w:rPr>
              <w:fldChar w:fldCharType="separate"/>
            </w:r>
            <w:r>
              <w:rPr>
                <w:noProof/>
                <w:webHidden/>
              </w:rPr>
              <w:t>6</w:t>
            </w:r>
            <w:r>
              <w:rPr>
                <w:noProof/>
                <w:webHidden/>
              </w:rPr>
              <w:fldChar w:fldCharType="end"/>
            </w:r>
          </w:hyperlink>
        </w:p>
        <w:p w14:paraId="789C5DE9" w14:textId="7F8B67CF" w:rsidR="00F72965" w:rsidRDefault="00F72965">
          <w:pPr>
            <w:pStyle w:val="TOC1"/>
            <w:tabs>
              <w:tab w:val="right" w:leader="dot" w:pos="9470"/>
            </w:tabs>
            <w:rPr>
              <w:rFonts w:asciiTheme="minorHAnsi" w:eastAsiaTheme="minorEastAsia" w:hAnsiTheme="minorHAnsi" w:cstheme="minorBidi"/>
              <w:noProof/>
              <w:lang w:bidi="ar-SA"/>
            </w:rPr>
          </w:pPr>
          <w:hyperlink w:anchor="_Toc57630578" w:history="1">
            <w:r w:rsidRPr="002C6A6E">
              <w:rPr>
                <w:rStyle w:val="Hyperlink"/>
                <w:noProof/>
              </w:rPr>
              <w:t>PROGRAM REQUIREMENTS</w:t>
            </w:r>
            <w:r>
              <w:rPr>
                <w:noProof/>
                <w:webHidden/>
              </w:rPr>
              <w:tab/>
            </w:r>
            <w:r>
              <w:rPr>
                <w:noProof/>
                <w:webHidden/>
              </w:rPr>
              <w:fldChar w:fldCharType="begin"/>
            </w:r>
            <w:r>
              <w:rPr>
                <w:noProof/>
                <w:webHidden/>
              </w:rPr>
              <w:instrText xml:space="preserve"> PAGEREF _Toc57630578 \h </w:instrText>
            </w:r>
            <w:r>
              <w:rPr>
                <w:noProof/>
                <w:webHidden/>
              </w:rPr>
            </w:r>
            <w:r>
              <w:rPr>
                <w:noProof/>
                <w:webHidden/>
              </w:rPr>
              <w:fldChar w:fldCharType="separate"/>
            </w:r>
            <w:r>
              <w:rPr>
                <w:noProof/>
                <w:webHidden/>
              </w:rPr>
              <w:t>6</w:t>
            </w:r>
            <w:r>
              <w:rPr>
                <w:noProof/>
                <w:webHidden/>
              </w:rPr>
              <w:fldChar w:fldCharType="end"/>
            </w:r>
          </w:hyperlink>
          <w:bookmarkStart w:id="0" w:name="_GoBack"/>
          <w:bookmarkEnd w:id="0"/>
        </w:p>
        <w:p w14:paraId="21CBA936" w14:textId="2E2414CE" w:rsidR="00F72965" w:rsidRDefault="00F72965">
          <w:pPr>
            <w:pStyle w:val="TOC1"/>
            <w:tabs>
              <w:tab w:val="right" w:leader="dot" w:pos="9470"/>
            </w:tabs>
            <w:rPr>
              <w:rFonts w:asciiTheme="minorHAnsi" w:eastAsiaTheme="minorEastAsia" w:hAnsiTheme="minorHAnsi" w:cstheme="minorBidi"/>
              <w:noProof/>
              <w:lang w:bidi="ar-SA"/>
            </w:rPr>
          </w:pPr>
          <w:hyperlink w:anchor="_Toc57630579" w:history="1">
            <w:r w:rsidRPr="002C6A6E">
              <w:rPr>
                <w:rStyle w:val="Hyperlink"/>
                <w:noProof/>
              </w:rPr>
              <w:t>PROGRAM EXCLUSIONS</w:t>
            </w:r>
            <w:r>
              <w:rPr>
                <w:noProof/>
                <w:webHidden/>
              </w:rPr>
              <w:tab/>
            </w:r>
            <w:r>
              <w:rPr>
                <w:noProof/>
                <w:webHidden/>
              </w:rPr>
              <w:fldChar w:fldCharType="begin"/>
            </w:r>
            <w:r>
              <w:rPr>
                <w:noProof/>
                <w:webHidden/>
              </w:rPr>
              <w:instrText xml:space="preserve"> PAGEREF _Toc57630579 \h </w:instrText>
            </w:r>
            <w:r>
              <w:rPr>
                <w:noProof/>
                <w:webHidden/>
              </w:rPr>
            </w:r>
            <w:r>
              <w:rPr>
                <w:noProof/>
                <w:webHidden/>
              </w:rPr>
              <w:fldChar w:fldCharType="separate"/>
            </w:r>
            <w:r>
              <w:rPr>
                <w:noProof/>
                <w:webHidden/>
              </w:rPr>
              <w:t>7</w:t>
            </w:r>
            <w:r>
              <w:rPr>
                <w:noProof/>
                <w:webHidden/>
              </w:rPr>
              <w:fldChar w:fldCharType="end"/>
            </w:r>
          </w:hyperlink>
        </w:p>
        <w:p w14:paraId="1D272FF2" w14:textId="6828BC0B" w:rsidR="00F72965" w:rsidRDefault="00F72965">
          <w:pPr>
            <w:pStyle w:val="TOC1"/>
            <w:tabs>
              <w:tab w:val="right" w:leader="dot" w:pos="9470"/>
            </w:tabs>
            <w:rPr>
              <w:rFonts w:asciiTheme="minorHAnsi" w:eastAsiaTheme="minorEastAsia" w:hAnsiTheme="minorHAnsi" w:cstheme="minorBidi"/>
              <w:noProof/>
              <w:lang w:bidi="ar-SA"/>
            </w:rPr>
          </w:pPr>
          <w:hyperlink w:anchor="_Toc57630580" w:history="1">
            <w:r w:rsidRPr="002C6A6E">
              <w:rPr>
                <w:rStyle w:val="Hyperlink"/>
                <w:noProof/>
              </w:rPr>
              <w:t>DATA COLLECTION REQUIREMENTS</w:t>
            </w:r>
            <w:r>
              <w:rPr>
                <w:noProof/>
                <w:webHidden/>
              </w:rPr>
              <w:tab/>
            </w:r>
            <w:r>
              <w:rPr>
                <w:noProof/>
                <w:webHidden/>
              </w:rPr>
              <w:fldChar w:fldCharType="begin"/>
            </w:r>
            <w:r>
              <w:rPr>
                <w:noProof/>
                <w:webHidden/>
              </w:rPr>
              <w:instrText xml:space="preserve"> PAGEREF _Toc57630580 \h </w:instrText>
            </w:r>
            <w:r>
              <w:rPr>
                <w:noProof/>
                <w:webHidden/>
              </w:rPr>
            </w:r>
            <w:r>
              <w:rPr>
                <w:noProof/>
                <w:webHidden/>
              </w:rPr>
              <w:fldChar w:fldCharType="separate"/>
            </w:r>
            <w:r>
              <w:rPr>
                <w:noProof/>
                <w:webHidden/>
              </w:rPr>
              <w:t>7</w:t>
            </w:r>
            <w:r>
              <w:rPr>
                <w:noProof/>
                <w:webHidden/>
              </w:rPr>
              <w:fldChar w:fldCharType="end"/>
            </w:r>
          </w:hyperlink>
        </w:p>
        <w:p w14:paraId="03671AA7" w14:textId="4E41C7A1" w:rsidR="00F72965" w:rsidRDefault="00F72965">
          <w:pPr>
            <w:pStyle w:val="TOC1"/>
            <w:tabs>
              <w:tab w:val="right" w:leader="dot" w:pos="9470"/>
            </w:tabs>
            <w:rPr>
              <w:rFonts w:asciiTheme="minorHAnsi" w:eastAsiaTheme="minorEastAsia" w:hAnsiTheme="minorHAnsi" w:cstheme="minorBidi"/>
              <w:noProof/>
              <w:lang w:bidi="ar-SA"/>
            </w:rPr>
          </w:pPr>
          <w:hyperlink w:anchor="_Toc57630581" w:history="1">
            <w:r w:rsidRPr="002C6A6E">
              <w:rPr>
                <w:rStyle w:val="Hyperlink"/>
                <w:noProof/>
              </w:rPr>
              <w:t>USE CATEGORY</w:t>
            </w:r>
            <w:r>
              <w:rPr>
                <w:noProof/>
                <w:webHidden/>
              </w:rPr>
              <w:tab/>
            </w:r>
            <w:r>
              <w:rPr>
                <w:noProof/>
                <w:webHidden/>
              </w:rPr>
              <w:fldChar w:fldCharType="begin"/>
            </w:r>
            <w:r>
              <w:rPr>
                <w:noProof/>
                <w:webHidden/>
              </w:rPr>
              <w:instrText xml:space="preserve"> PAGEREF _Toc57630581 \h </w:instrText>
            </w:r>
            <w:r>
              <w:rPr>
                <w:noProof/>
                <w:webHidden/>
              </w:rPr>
            </w:r>
            <w:r>
              <w:rPr>
                <w:noProof/>
                <w:webHidden/>
              </w:rPr>
              <w:fldChar w:fldCharType="separate"/>
            </w:r>
            <w:r>
              <w:rPr>
                <w:noProof/>
                <w:webHidden/>
              </w:rPr>
              <w:t>7</w:t>
            </w:r>
            <w:r>
              <w:rPr>
                <w:noProof/>
                <w:webHidden/>
              </w:rPr>
              <w:fldChar w:fldCharType="end"/>
            </w:r>
          </w:hyperlink>
        </w:p>
        <w:p w14:paraId="257633F0" w14:textId="34BC6B51" w:rsidR="00F72965" w:rsidRDefault="00F72965">
          <w:pPr>
            <w:pStyle w:val="TOC1"/>
            <w:tabs>
              <w:tab w:val="right" w:leader="dot" w:pos="9470"/>
            </w:tabs>
            <w:rPr>
              <w:rFonts w:asciiTheme="minorHAnsi" w:eastAsiaTheme="minorEastAsia" w:hAnsiTheme="minorHAnsi" w:cstheme="minorBidi"/>
              <w:noProof/>
              <w:lang w:bidi="ar-SA"/>
            </w:rPr>
          </w:pPr>
          <w:hyperlink w:anchor="_Toc57630582" w:history="1">
            <w:r w:rsidRPr="002C6A6E">
              <w:rPr>
                <w:rStyle w:val="Hyperlink"/>
                <w:noProof/>
              </w:rPr>
              <w:t>ELECTRIC SAVINGS (KWH)</w:t>
            </w:r>
            <w:r>
              <w:rPr>
                <w:noProof/>
                <w:webHidden/>
              </w:rPr>
              <w:tab/>
            </w:r>
            <w:r>
              <w:rPr>
                <w:noProof/>
                <w:webHidden/>
              </w:rPr>
              <w:fldChar w:fldCharType="begin"/>
            </w:r>
            <w:r>
              <w:rPr>
                <w:noProof/>
                <w:webHidden/>
              </w:rPr>
              <w:instrText xml:space="preserve"> PAGEREF _Toc57630582 \h </w:instrText>
            </w:r>
            <w:r>
              <w:rPr>
                <w:noProof/>
                <w:webHidden/>
              </w:rPr>
            </w:r>
            <w:r>
              <w:rPr>
                <w:noProof/>
                <w:webHidden/>
              </w:rPr>
              <w:fldChar w:fldCharType="separate"/>
            </w:r>
            <w:r>
              <w:rPr>
                <w:noProof/>
                <w:webHidden/>
              </w:rPr>
              <w:t>8</w:t>
            </w:r>
            <w:r>
              <w:rPr>
                <w:noProof/>
                <w:webHidden/>
              </w:rPr>
              <w:fldChar w:fldCharType="end"/>
            </w:r>
          </w:hyperlink>
        </w:p>
        <w:p w14:paraId="42B34BAA" w14:textId="59DEE282" w:rsidR="00F72965" w:rsidRDefault="00F72965">
          <w:pPr>
            <w:pStyle w:val="TOC1"/>
            <w:tabs>
              <w:tab w:val="right" w:leader="dot" w:pos="9470"/>
            </w:tabs>
            <w:rPr>
              <w:rFonts w:asciiTheme="minorHAnsi" w:eastAsiaTheme="minorEastAsia" w:hAnsiTheme="minorHAnsi" w:cstheme="minorBidi"/>
              <w:noProof/>
              <w:lang w:bidi="ar-SA"/>
            </w:rPr>
          </w:pPr>
          <w:hyperlink w:anchor="_Toc57630583" w:history="1">
            <w:r w:rsidRPr="002C6A6E">
              <w:rPr>
                <w:rStyle w:val="Hyperlink"/>
                <w:noProof/>
              </w:rPr>
              <w:t>PEAK ELECTRIC DEMAND REDUCTION (KW)</w:t>
            </w:r>
            <w:r>
              <w:rPr>
                <w:noProof/>
                <w:webHidden/>
              </w:rPr>
              <w:tab/>
            </w:r>
            <w:r>
              <w:rPr>
                <w:noProof/>
                <w:webHidden/>
              </w:rPr>
              <w:fldChar w:fldCharType="begin"/>
            </w:r>
            <w:r>
              <w:rPr>
                <w:noProof/>
                <w:webHidden/>
              </w:rPr>
              <w:instrText xml:space="preserve"> PAGEREF _Toc57630583 \h </w:instrText>
            </w:r>
            <w:r>
              <w:rPr>
                <w:noProof/>
                <w:webHidden/>
              </w:rPr>
            </w:r>
            <w:r>
              <w:rPr>
                <w:noProof/>
                <w:webHidden/>
              </w:rPr>
              <w:fldChar w:fldCharType="separate"/>
            </w:r>
            <w:r>
              <w:rPr>
                <w:noProof/>
                <w:webHidden/>
              </w:rPr>
              <w:t>9</w:t>
            </w:r>
            <w:r>
              <w:rPr>
                <w:noProof/>
                <w:webHidden/>
              </w:rPr>
              <w:fldChar w:fldCharType="end"/>
            </w:r>
          </w:hyperlink>
        </w:p>
        <w:p w14:paraId="736A8B8D" w14:textId="2137C2DF" w:rsidR="00F72965" w:rsidRDefault="00F72965">
          <w:pPr>
            <w:pStyle w:val="TOC1"/>
            <w:tabs>
              <w:tab w:val="right" w:leader="dot" w:pos="9470"/>
            </w:tabs>
            <w:rPr>
              <w:rFonts w:asciiTheme="minorHAnsi" w:eastAsiaTheme="minorEastAsia" w:hAnsiTheme="minorHAnsi" w:cstheme="minorBidi"/>
              <w:noProof/>
              <w:lang w:bidi="ar-SA"/>
            </w:rPr>
          </w:pPr>
          <w:hyperlink w:anchor="_Toc57630584" w:history="1">
            <w:r w:rsidRPr="002C6A6E">
              <w:rPr>
                <w:rStyle w:val="Hyperlink"/>
                <w:noProof/>
              </w:rPr>
              <w:t>GAS SAVINGS (THERMS)</w:t>
            </w:r>
            <w:r>
              <w:rPr>
                <w:noProof/>
                <w:webHidden/>
              </w:rPr>
              <w:tab/>
            </w:r>
            <w:r>
              <w:rPr>
                <w:noProof/>
                <w:webHidden/>
              </w:rPr>
              <w:fldChar w:fldCharType="begin"/>
            </w:r>
            <w:r>
              <w:rPr>
                <w:noProof/>
                <w:webHidden/>
              </w:rPr>
              <w:instrText xml:space="preserve"> PAGEREF _Toc57630584 \h </w:instrText>
            </w:r>
            <w:r>
              <w:rPr>
                <w:noProof/>
                <w:webHidden/>
              </w:rPr>
            </w:r>
            <w:r>
              <w:rPr>
                <w:noProof/>
                <w:webHidden/>
              </w:rPr>
              <w:fldChar w:fldCharType="separate"/>
            </w:r>
            <w:r>
              <w:rPr>
                <w:noProof/>
                <w:webHidden/>
              </w:rPr>
              <w:t>9</w:t>
            </w:r>
            <w:r>
              <w:rPr>
                <w:noProof/>
                <w:webHidden/>
              </w:rPr>
              <w:fldChar w:fldCharType="end"/>
            </w:r>
          </w:hyperlink>
        </w:p>
        <w:p w14:paraId="59789569" w14:textId="722DAE0E" w:rsidR="00F72965" w:rsidRDefault="00F72965">
          <w:pPr>
            <w:pStyle w:val="TOC1"/>
            <w:tabs>
              <w:tab w:val="right" w:leader="dot" w:pos="9470"/>
            </w:tabs>
            <w:rPr>
              <w:rFonts w:asciiTheme="minorHAnsi" w:eastAsiaTheme="minorEastAsia" w:hAnsiTheme="minorHAnsi" w:cstheme="minorBidi"/>
              <w:noProof/>
              <w:lang w:bidi="ar-SA"/>
            </w:rPr>
          </w:pPr>
          <w:hyperlink w:anchor="_Toc57630585" w:history="1">
            <w:r w:rsidRPr="002C6A6E">
              <w:rPr>
                <w:rStyle w:val="Hyperlink"/>
                <w:noProof/>
              </w:rPr>
              <w:t>LIFE CYCLE</w:t>
            </w:r>
            <w:r>
              <w:rPr>
                <w:noProof/>
                <w:webHidden/>
              </w:rPr>
              <w:tab/>
            </w:r>
            <w:r>
              <w:rPr>
                <w:noProof/>
                <w:webHidden/>
              </w:rPr>
              <w:fldChar w:fldCharType="begin"/>
            </w:r>
            <w:r>
              <w:rPr>
                <w:noProof/>
                <w:webHidden/>
              </w:rPr>
              <w:instrText xml:space="preserve"> PAGEREF _Toc57630585 \h </w:instrText>
            </w:r>
            <w:r>
              <w:rPr>
                <w:noProof/>
                <w:webHidden/>
              </w:rPr>
            </w:r>
            <w:r>
              <w:rPr>
                <w:noProof/>
                <w:webHidden/>
              </w:rPr>
              <w:fldChar w:fldCharType="separate"/>
            </w:r>
            <w:r>
              <w:rPr>
                <w:noProof/>
                <w:webHidden/>
              </w:rPr>
              <w:t>9</w:t>
            </w:r>
            <w:r>
              <w:rPr>
                <w:noProof/>
                <w:webHidden/>
              </w:rPr>
              <w:fldChar w:fldCharType="end"/>
            </w:r>
          </w:hyperlink>
        </w:p>
        <w:p w14:paraId="0208BA49" w14:textId="2E4B04F5" w:rsidR="00F72965" w:rsidRDefault="00F72965">
          <w:pPr>
            <w:pStyle w:val="TOC1"/>
            <w:tabs>
              <w:tab w:val="right" w:leader="dot" w:pos="9470"/>
            </w:tabs>
            <w:rPr>
              <w:rFonts w:asciiTheme="minorHAnsi" w:eastAsiaTheme="minorEastAsia" w:hAnsiTheme="minorHAnsi" w:cstheme="minorBidi"/>
              <w:noProof/>
              <w:lang w:bidi="ar-SA"/>
            </w:rPr>
          </w:pPr>
          <w:hyperlink w:anchor="_Toc57630586" w:history="1">
            <w:r w:rsidRPr="002C6A6E">
              <w:rPr>
                <w:rStyle w:val="Hyperlink"/>
                <w:noProof/>
              </w:rPr>
              <w:t>BASE CASE MATERIAL COST ($/UNIT)</w:t>
            </w:r>
            <w:r>
              <w:rPr>
                <w:noProof/>
                <w:webHidden/>
              </w:rPr>
              <w:tab/>
            </w:r>
            <w:r>
              <w:rPr>
                <w:noProof/>
                <w:webHidden/>
              </w:rPr>
              <w:fldChar w:fldCharType="begin"/>
            </w:r>
            <w:r>
              <w:rPr>
                <w:noProof/>
                <w:webHidden/>
              </w:rPr>
              <w:instrText xml:space="preserve"> PAGEREF _Toc57630586 \h </w:instrText>
            </w:r>
            <w:r>
              <w:rPr>
                <w:noProof/>
                <w:webHidden/>
              </w:rPr>
            </w:r>
            <w:r>
              <w:rPr>
                <w:noProof/>
                <w:webHidden/>
              </w:rPr>
              <w:fldChar w:fldCharType="separate"/>
            </w:r>
            <w:r>
              <w:rPr>
                <w:noProof/>
                <w:webHidden/>
              </w:rPr>
              <w:t>10</w:t>
            </w:r>
            <w:r>
              <w:rPr>
                <w:noProof/>
                <w:webHidden/>
              </w:rPr>
              <w:fldChar w:fldCharType="end"/>
            </w:r>
          </w:hyperlink>
        </w:p>
        <w:p w14:paraId="23DF2D88" w14:textId="1760FA30" w:rsidR="00F72965" w:rsidRDefault="00F72965">
          <w:pPr>
            <w:pStyle w:val="TOC1"/>
            <w:tabs>
              <w:tab w:val="right" w:leader="dot" w:pos="9470"/>
            </w:tabs>
            <w:rPr>
              <w:rFonts w:asciiTheme="minorHAnsi" w:eastAsiaTheme="minorEastAsia" w:hAnsiTheme="minorHAnsi" w:cstheme="minorBidi"/>
              <w:noProof/>
              <w:lang w:bidi="ar-SA"/>
            </w:rPr>
          </w:pPr>
          <w:hyperlink w:anchor="_Toc57630587" w:history="1">
            <w:r w:rsidRPr="002C6A6E">
              <w:rPr>
                <w:rStyle w:val="Hyperlink"/>
                <w:noProof/>
              </w:rPr>
              <w:t>MEASURE CASE MATERIAL COST ($/UNIT)</w:t>
            </w:r>
            <w:r>
              <w:rPr>
                <w:noProof/>
                <w:webHidden/>
              </w:rPr>
              <w:tab/>
            </w:r>
            <w:r>
              <w:rPr>
                <w:noProof/>
                <w:webHidden/>
              </w:rPr>
              <w:fldChar w:fldCharType="begin"/>
            </w:r>
            <w:r>
              <w:rPr>
                <w:noProof/>
                <w:webHidden/>
              </w:rPr>
              <w:instrText xml:space="preserve"> PAGEREF _Toc57630587 \h </w:instrText>
            </w:r>
            <w:r>
              <w:rPr>
                <w:noProof/>
                <w:webHidden/>
              </w:rPr>
            </w:r>
            <w:r>
              <w:rPr>
                <w:noProof/>
                <w:webHidden/>
              </w:rPr>
              <w:fldChar w:fldCharType="separate"/>
            </w:r>
            <w:r>
              <w:rPr>
                <w:noProof/>
                <w:webHidden/>
              </w:rPr>
              <w:t>10</w:t>
            </w:r>
            <w:r>
              <w:rPr>
                <w:noProof/>
                <w:webHidden/>
              </w:rPr>
              <w:fldChar w:fldCharType="end"/>
            </w:r>
          </w:hyperlink>
        </w:p>
        <w:p w14:paraId="43E277ED" w14:textId="79D6309F" w:rsidR="00F72965" w:rsidRDefault="00F72965">
          <w:pPr>
            <w:pStyle w:val="TOC1"/>
            <w:tabs>
              <w:tab w:val="right" w:leader="dot" w:pos="9470"/>
            </w:tabs>
            <w:rPr>
              <w:rFonts w:asciiTheme="minorHAnsi" w:eastAsiaTheme="minorEastAsia" w:hAnsiTheme="minorHAnsi" w:cstheme="minorBidi"/>
              <w:noProof/>
              <w:lang w:bidi="ar-SA"/>
            </w:rPr>
          </w:pPr>
          <w:hyperlink w:anchor="_Toc57630588" w:history="1">
            <w:r w:rsidRPr="002C6A6E">
              <w:rPr>
                <w:rStyle w:val="Hyperlink"/>
                <w:noProof/>
              </w:rPr>
              <w:t>BASE CASE LABOR COST ($/UNIT)</w:t>
            </w:r>
            <w:r>
              <w:rPr>
                <w:noProof/>
                <w:webHidden/>
              </w:rPr>
              <w:tab/>
            </w:r>
            <w:r>
              <w:rPr>
                <w:noProof/>
                <w:webHidden/>
              </w:rPr>
              <w:fldChar w:fldCharType="begin"/>
            </w:r>
            <w:r>
              <w:rPr>
                <w:noProof/>
                <w:webHidden/>
              </w:rPr>
              <w:instrText xml:space="preserve"> PAGEREF _Toc57630588 \h </w:instrText>
            </w:r>
            <w:r>
              <w:rPr>
                <w:noProof/>
                <w:webHidden/>
              </w:rPr>
            </w:r>
            <w:r>
              <w:rPr>
                <w:noProof/>
                <w:webHidden/>
              </w:rPr>
              <w:fldChar w:fldCharType="separate"/>
            </w:r>
            <w:r>
              <w:rPr>
                <w:noProof/>
                <w:webHidden/>
              </w:rPr>
              <w:t>10</w:t>
            </w:r>
            <w:r>
              <w:rPr>
                <w:noProof/>
                <w:webHidden/>
              </w:rPr>
              <w:fldChar w:fldCharType="end"/>
            </w:r>
          </w:hyperlink>
        </w:p>
        <w:p w14:paraId="621F8E72" w14:textId="31B8571A" w:rsidR="00F72965" w:rsidRDefault="00F72965">
          <w:pPr>
            <w:pStyle w:val="TOC1"/>
            <w:tabs>
              <w:tab w:val="right" w:leader="dot" w:pos="9470"/>
            </w:tabs>
            <w:rPr>
              <w:rFonts w:asciiTheme="minorHAnsi" w:eastAsiaTheme="minorEastAsia" w:hAnsiTheme="minorHAnsi" w:cstheme="minorBidi"/>
              <w:noProof/>
              <w:lang w:bidi="ar-SA"/>
            </w:rPr>
          </w:pPr>
          <w:hyperlink w:anchor="_Toc57630589" w:history="1">
            <w:r w:rsidRPr="002C6A6E">
              <w:rPr>
                <w:rStyle w:val="Hyperlink"/>
                <w:noProof/>
              </w:rPr>
              <w:t>MEASURE CASE LABOR COST ($/UNIT)</w:t>
            </w:r>
            <w:r>
              <w:rPr>
                <w:noProof/>
                <w:webHidden/>
              </w:rPr>
              <w:tab/>
            </w:r>
            <w:r>
              <w:rPr>
                <w:noProof/>
                <w:webHidden/>
              </w:rPr>
              <w:fldChar w:fldCharType="begin"/>
            </w:r>
            <w:r>
              <w:rPr>
                <w:noProof/>
                <w:webHidden/>
              </w:rPr>
              <w:instrText xml:space="preserve"> PAGEREF _Toc57630589 \h </w:instrText>
            </w:r>
            <w:r>
              <w:rPr>
                <w:noProof/>
                <w:webHidden/>
              </w:rPr>
            </w:r>
            <w:r>
              <w:rPr>
                <w:noProof/>
                <w:webHidden/>
              </w:rPr>
              <w:fldChar w:fldCharType="separate"/>
            </w:r>
            <w:r>
              <w:rPr>
                <w:noProof/>
                <w:webHidden/>
              </w:rPr>
              <w:t>11</w:t>
            </w:r>
            <w:r>
              <w:rPr>
                <w:noProof/>
                <w:webHidden/>
              </w:rPr>
              <w:fldChar w:fldCharType="end"/>
            </w:r>
          </w:hyperlink>
        </w:p>
        <w:p w14:paraId="6FA892F6" w14:textId="6F526217" w:rsidR="00F72965" w:rsidRDefault="00F72965">
          <w:pPr>
            <w:pStyle w:val="TOC1"/>
            <w:tabs>
              <w:tab w:val="right" w:leader="dot" w:pos="9470"/>
            </w:tabs>
            <w:rPr>
              <w:rFonts w:asciiTheme="minorHAnsi" w:eastAsiaTheme="minorEastAsia" w:hAnsiTheme="minorHAnsi" w:cstheme="minorBidi"/>
              <w:noProof/>
              <w:lang w:bidi="ar-SA"/>
            </w:rPr>
          </w:pPr>
          <w:hyperlink w:anchor="_Toc57630590" w:history="1">
            <w:r w:rsidRPr="002C6A6E">
              <w:rPr>
                <w:rStyle w:val="Hyperlink"/>
                <w:noProof/>
              </w:rPr>
              <w:t>NET-TO-GROSS (NTG)</w:t>
            </w:r>
            <w:r>
              <w:rPr>
                <w:noProof/>
                <w:webHidden/>
              </w:rPr>
              <w:tab/>
            </w:r>
            <w:r>
              <w:rPr>
                <w:noProof/>
                <w:webHidden/>
              </w:rPr>
              <w:fldChar w:fldCharType="begin"/>
            </w:r>
            <w:r>
              <w:rPr>
                <w:noProof/>
                <w:webHidden/>
              </w:rPr>
              <w:instrText xml:space="preserve"> PAGEREF _Toc57630590 \h </w:instrText>
            </w:r>
            <w:r>
              <w:rPr>
                <w:noProof/>
                <w:webHidden/>
              </w:rPr>
            </w:r>
            <w:r>
              <w:rPr>
                <w:noProof/>
                <w:webHidden/>
              </w:rPr>
              <w:fldChar w:fldCharType="separate"/>
            </w:r>
            <w:r>
              <w:rPr>
                <w:noProof/>
                <w:webHidden/>
              </w:rPr>
              <w:t>11</w:t>
            </w:r>
            <w:r>
              <w:rPr>
                <w:noProof/>
                <w:webHidden/>
              </w:rPr>
              <w:fldChar w:fldCharType="end"/>
            </w:r>
          </w:hyperlink>
        </w:p>
        <w:p w14:paraId="311AE89F" w14:textId="3575229D" w:rsidR="00F72965" w:rsidRDefault="00F72965">
          <w:pPr>
            <w:pStyle w:val="TOC1"/>
            <w:tabs>
              <w:tab w:val="right" w:leader="dot" w:pos="9470"/>
            </w:tabs>
            <w:rPr>
              <w:rFonts w:asciiTheme="minorHAnsi" w:eastAsiaTheme="minorEastAsia" w:hAnsiTheme="minorHAnsi" w:cstheme="minorBidi"/>
              <w:noProof/>
              <w:lang w:bidi="ar-SA"/>
            </w:rPr>
          </w:pPr>
          <w:hyperlink w:anchor="_Toc57630591" w:history="1">
            <w:r w:rsidRPr="002C6A6E">
              <w:rPr>
                <w:rStyle w:val="Hyperlink"/>
                <w:noProof/>
              </w:rPr>
              <w:t>GROSS SAVINGS INSTALLATION ADJUSTMENT (GSIA)</w:t>
            </w:r>
            <w:r>
              <w:rPr>
                <w:noProof/>
                <w:webHidden/>
              </w:rPr>
              <w:tab/>
            </w:r>
            <w:r>
              <w:rPr>
                <w:noProof/>
                <w:webHidden/>
              </w:rPr>
              <w:fldChar w:fldCharType="begin"/>
            </w:r>
            <w:r>
              <w:rPr>
                <w:noProof/>
                <w:webHidden/>
              </w:rPr>
              <w:instrText xml:space="preserve"> PAGEREF _Toc57630591 \h </w:instrText>
            </w:r>
            <w:r>
              <w:rPr>
                <w:noProof/>
                <w:webHidden/>
              </w:rPr>
            </w:r>
            <w:r>
              <w:rPr>
                <w:noProof/>
                <w:webHidden/>
              </w:rPr>
              <w:fldChar w:fldCharType="separate"/>
            </w:r>
            <w:r>
              <w:rPr>
                <w:noProof/>
                <w:webHidden/>
              </w:rPr>
              <w:t>11</w:t>
            </w:r>
            <w:r>
              <w:rPr>
                <w:noProof/>
                <w:webHidden/>
              </w:rPr>
              <w:fldChar w:fldCharType="end"/>
            </w:r>
          </w:hyperlink>
        </w:p>
        <w:p w14:paraId="705ADBF9" w14:textId="4E3E604C" w:rsidR="00F72965" w:rsidRDefault="00F72965">
          <w:pPr>
            <w:pStyle w:val="TOC1"/>
            <w:tabs>
              <w:tab w:val="right" w:leader="dot" w:pos="9470"/>
            </w:tabs>
            <w:rPr>
              <w:rFonts w:asciiTheme="minorHAnsi" w:eastAsiaTheme="minorEastAsia" w:hAnsiTheme="minorHAnsi" w:cstheme="minorBidi"/>
              <w:noProof/>
              <w:lang w:bidi="ar-SA"/>
            </w:rPr>
          </w:pPr>
          <w:hyperlink w:anchor="_Toc57630592" w:history="1">
            <w:r w:rsidRPr="002C6A6E">
              <w:rPr>
                <w:rStyle w:val="Hyperlink"/>
                <w:noProof/>
              </w:rPr>
              <w:t>NON-ENERGY IMPACTS</w:t>
            </w:r>
            <w:r>
              <w:rPr>
                <w:noProof/>
                <w:webHidden/>
              </w:rPr>
              <w:tab/>
            </w:r>
            <w:r>
              <w:rPr>
                <w:noProof/>
                <w:webHidden/>
              </w:rPr>
              <w:fldChar w:fldCharType="begin"/>
            </w:r>
            <w:r>
              <w:rPr>
                <w:noProof/>
                <w:webHidden/>
              </w:rPr>
              <w:instrText xml:space="preserve"> PAGEREF _Toc57630592 \h </w:instrText>
            </w:r>
            <w:r>
              <w:rPr>
                <w:noProof/>
                <w:webHidden/>
              </w:rPr>
            </w:r>
            <w:r>
              <w:rPr>
                <w:noProof/>
                <w:webHidden/>
              </w:rPr>
              <w:fldChar w:fldCharType="separate"/>
            </w:r>
            <w:r>
              <w:rPr>
                <w:noProof/>
                <w:webHidden/>
              </w:rPr>
              <w:t>11</w:t>
            </w:r>
            <w:r>
              <w:rPr>
                <w:noProof/>
                <w:webHidden/>
              </w:rPr>
              <w:fldChar w:fldCharType="end"/>
            </w:r>
          </w:hyperlink>
        </w:p>
        <w:p w14:paraId="68B5D2D8" w14:textId="7330A310" w:rsidR="00F72965" w:rsidRDefault="00F72965">
          <w:pPr>
            <w:pStyle w:val="TOC1"/>
            <w:tabs>
              <w:tab w:val="right" w:leader="dot" w:pos="9470"/>
            </w:tabs>
            <w:rPr>
              <w:rFonts w:asciiTheme="minorHAnsi" w:eastAsiaTheme="minorEastAsia" w:hAnsiTheme="minorHAnsi" w:cstheme="minorBidi"/>
              <w:noProof/>
              <w:lang w:bidi="ar-SA"/>
            </w:rPr>
          </w:pPr>
          <w:hyperlink w:anchor="_Toc57630593" w:history="1">
            <w:r w:rsidRPr="002C6A6E">
              <w:rPr>
                <w:rStyle w:val="Hyperlink"/>
                <w:noProof/>
              </w:rPr>
              <w:t>DEER DIFFERENCES ANALYSIS</w:t>
            </w:r>
            <w:r>
              <w:rPr>
                <w:noProof/>
                <w:webHidden/>
              </w:rPr>
              <w:tab/>
            </w:r>
            <w:r>
              <w:rPr>
                <w:noProof/>
                <w:webHidden/>
              </w:rPr>
              <w:fldChar w:fldCharType="begin"/>
            </w:r>
            <w:r>
              <w:rPr>
                <w:noProof/>
                <w:webHidden/>
              </w:rPr>
              <w:instrText xml:space="preserve"> PAGEREF _Toc57630593 \h </w:instrText>
            </w:r>
            <w:r>
              <w:rPr>
                <w:noProof/>
                <w:webHidden/>
              </w:rPr>
            </w:r>
            <w:r>
              <w:rPr>
                <w:noProof/>
                <w:webHidden/>
              </w:rPr>
              <w:fldChar w:fldCharType="separate"/>
            </w:r>
            <w:r>
              <w:rPr>
                <w:noProof/>
                <w:webHidden/>
              </w:rPr>
              <w:t>11</w:t>
            </w:r>
            <w:r>
              <w:rPr>
                <w:noProof/>
                <w:webHidden/>
              </w:rPr>
              <w:fldChar w:fldCharType="end"/>
            </w:r>
          </w:hyperlink>
        </w:p>
        <w:p w14:paraId="22669E2F" w14:textId="6F81C4E6" w:rsidR="00F72965" w:rsidRDefault="00F72965">
          <w:pPr>
            <w:pStyle w:val="TOC1"/>
            <w:tabs>
              <w:tab w:val="right" w:leader="dot" w:pos="9470"/>
            </w:tabs>
            <w:rPr>
              <w:rFonts w:asciiTheme="minorHAnsi" w:eastAsiaTheme="minorEastAsia" w:hAnsiTheme="minorHAnsi" w:cstheme="minorBidi"/>
              <w:noProof/>
              <w:lang w:bidi="ar-SA"/>
            </w:rPr>
          </w:pPr>
          <w:hyperlink w:anchor="_Toc57630594" w:history="1">
            <w:r w:rsidRPr="002C6A6E">
              <w:rPr>
                <w:rStyle w:val="Hyperlink"/>
                <w:noProof/>
              </w:rPr>
              <w:t>REVISION HISTORY</w:t>
            </w:r>
            <w:r>
              <w:rPr>
                <w:noProof/>
                <w:webHidden/>
              </w:rPr>
              <w:tab/>
            </w:r>
            <w:r>
              <w:rPr>
                <w:noProof/>
                <w:webHidden/>
              </w:rPr>
              <w:fldChar w:fldCharType="begin"/>
            </w:r>
            <w:r>
              <w:rPr>
                <w:noProof/>
                <w:webHidden/>
              </w:rPr>
              <w:instrText xml:space="preserve"> PAGEREF _Toc57630594 \h </w:instrText>
            </w:r>
            <w:r>
              <w:rPr>
                <w:noProof/>
                <w:webHidden/>
              </w:rPr>
            </w:r>
            <w:r>
              <w:rPr>
                <w:noProof/>
                <w:webHidden/>
              </w:rPr>
              <w:fldChar w:fldCharType="separate"/>
            </w:r>
            <w:r>
              <w:rPr>
                <w:noProof/>
                <w:webHidden/>
              </w:rPr>
              <w:t>12</w:t>
            </w:r>
            <w:r>
              <w:rPr>
                <w:noProof/>
                <w:webHidden/>
              </w:rPr>
              <w:fldChar w:fldCharType="end"/>
            </w:r>
          </w:hyperlink>
        </w:p>
        <w:p w14:paraId="21436181" w14:textId="55CF3243" w:rsidR="00055004" w:rsidRDefault="00365BD5">
          <w:r>
            <w:fldChar w:fldCharType="end"/>
          </w:r>
        </w:p>
      </w:sdtContent>
    </w:sdt>
    <w:p w14:paraId="21436182" w14:textId="77777777" w:rsidR="00055004" w:rsidRDefault="00055004">
      <w:pPr>
        <w:sectPr w:rsidR="00055004" w:rsidSect="00F92949">
          <w:footerReference w:type="default" r:id="rId9"/>
          <w:type w:val="continuous"/>
          <w:pgSz w:w="12240" w:h="15840"/>
          <w:pgMar w:top="1220" w:right="1440" w:bottom="1320" w:left="1320" w:header="720" w:footer="1129" w:gutter="0"/>
          <w:pgNumType w:start="1"/>
          <w:cols w:space="720"/>
        </w:sectPr>
      </w:pPr>
    </w:p>
    <w:p w14:paraId="21436183" w14:textId="77777777" w:rsidR="00055004" w:rsidRDefault="00055004">
      <w:pPr>
        <w:pStyle w:val="BodyText"/>
        <w:spacing w:before="5"/>
        <w:rPr>
          <w:sz w:val="25"/>
        </w:rPr>
      </w:pPr>
    </w:p>
    <w:p w14:paraId="21436184" w14:textId="77777777" w:rsidR="00055004" w:rsidRDefault="00365BD5">
      <w:pPr>
        <w:pStyle w:val="Heading1"/>
        <w:spacing w:before="1"/>
      </w:pPr>
      <w:bookmarkStart w:id="1" w:name="_Toc57630571"/>
      <w:r>
        <w:rPr>
          <w:color w:val="CFAB79"/>
        </w:rPr>
        <w:t>MEASURE NAME</w:t>
      </w:r>
      <w:bookmarkEnd w:id="1"/>
    </w:p>
    <w:p w14:paraId="21436185" w14:textId="77777777" w:rsidR="00055004" w:rsidRDefault="00365BD5">
      <w:pPr>
        <w:pStyle w:val="BodyText"/>
        <w:spacing w:before="33"/>
        <w:ind w:left="120"/>
      </w:pPr>
      <w:r>
        <w:t>Brushless Fan Motor Replacement, Residential</w:t>
      </w:r>
    </w:p>
    <w:p w14:paraId="21436186" w14:textId="77777777" w:rsidR="00055004" w:rsidRDefault="00055004">
      <w:pPr>
        <w:pStyle w:val="BodyText"/>
        <w:spacing w:before="9"/>
        <w:rPr>
          <w:sz w:val="26"/>
        </w:rPr>
      </w:pPr>
    </w:p>
    <w:p w14:paraId="21436187" w14:textId="77777777" w:rsidR="00055004" w:rsidRDefault="00365BD5">
      <w:pPr>
        <w:pStyle w:val="Heading1"/>
      </w:pPr>
      <w:bookmarkStart w:id="2" w:name="_Toc57630572"/>
      <w:r>
        <w:rPr>
          <w:color w:val="CFAB79"/>
        </w:rPr>
        <w:t>STATEWIDE MEASURE ID</w:t>
      </w:r>
      <w:bookmarkEnd w:id="2"/>
    </w:p>
    <w:p w14:paraId="21436188" w14:textId="023BBFB4" w:rsidR="00055004" w:rsidRDefault="004301D0">
      <w:pPr>
        <w:pStyle w:val="BodyText"/>
        <w:spacing w:before="113"/>
        <w:ind w:left="120"/>
      </w:pPr>
      <w:r>
        <w:t>SWHC038-02</w:t>
      </w:r>
    </w:p>
    <w:p w14:paraId="21436189" w14:textId="77777777" w:rsidR="00055004" w:rsidRDefault="00055004">
      <w:pPr>
        <w:pStyle w:val="BodyText"/>
        <w:spacing w:before="6"/>
        <w:rPr>
          <w:sz w:val="30"/>
        </w:rPr>
      </w:pPr>
    </w:p>
    <w:p w14:paraId="2143618A" w14:textId="77777777" w:rsidR="00055004" w:rsidRDefault="00365BD5">
      <w:pPr>
        <w:pStyle w:val="Heading1"/>
      </w:pPr>
      <w:bookmarkStart w:id="3" w:name="_Toc57630573"/>
      <w:r>
        <w:rPr>
          <w:color w:val="CFAB79"/>
        </w:rPr>
        <w:t>TECHNOLOGY SUMMARY</w:t>
      </w:r>
      <w:bookmarkEnd w:id="3"/>
    </w:p>
    <w:p w14:paraId="2143618B" w14:textId="77777777" w:rsidR="00055004" w:rsidRDefault="00365BD5">
      <w:pPr>
        <w:pStyle w:val="BodyText"/>
        <w:spacing w:before="115"/>
        <w:ind w:left="120"/>
      </w:pPr>
      <w:r>
        <w:t>A brushless fan motor (BFM) has several advantages over a permanent split capacitor (PSC) motor:</w:t>
      </w:r>
    </w:p>
    <w:p w14:paraId="2143618C" w14:textId="77777777" w:rsidR="00055004" w:rsidRDefault="00365BD5">
      <w:pPr>
        <w:pStyle w:val="ListParagraph"/>
        <w:numPr>
          <w:ilvl w:val="0"/>
          <w:numId w:val="1"/>
        </w:numPr>
        <w:tabs>
          <w:tab w:val="left" w:pos="840"/>
          <w:tab w:val="left" w:pos="841"/>
        </w:tabs>
        <w:spacing w:before="118" w:line="242" w:lineRule="auto"/>
        <w:ind w:right="1389"/>
        <w:rPr>
          <w:rFonts w:ascii="Symbol" w:hAnsi="Symbol"/>
          <w:color w:val="404040"/>
          <w:sz w:val="20"/>
        </w:rPr>
      </w:pPr>
      <w:r>
        <w:t>A PSC motor is typically used at two speeds, a cooling speed (high speed) and a heating speed (low</w:t>
      </w:r>
      <w:r>
        <w:rPr>
          <w:spacing w:val="-2"/>
        </w:rPr>
        <w:t xml:space="preserve"> </w:t>
      </w:r>
      <w:r>
        <w:t>speed).</w:t>
      </w:r>
    </w:p>
    <w:p w14:paraId="2143618D" w14:textId="77777777" w:rsidR="00055004" w:rsidRDefault="00365BD5">
      <w:pPr>
        <w:pStyle w:val="ListParagraph"/>
        <w:numPr>
          <w:ilvl w:val="0"/>
          <w:numId w:val="1"/>
        </w:numPr>
        <w:tabs>
          <w:tab w:val="left" w:pos="840"/>
          <w:tab w:val="left" w:pos="841"/>
        </w:tabs>
        <w:spacing w:before="15"/>
        <w:ind w:right="1018"/>
        <w:rPr>
          <w:rFonts w:ascii="Symbol" w:hAnsi="Symbol"/>
          <w:color w:val="404040"/>
          <w:sz w:val="20"/>
        </w:rPr>
      </w:pPr>
      <w:r>
        <w:t>Since a BFM has a higher efficiency at its design rating point and is more efficient at lower speeds than the PSC, it reduces fan watt draw and saves energy during both heating and cooling. It is also configured to produce the same airflow as the PSC motor it replaces, so there is no loss in performance.</w:t>
      </w:r>
    </w:p>
    <w:p w14:paraId="2143618E" w14:textId="77777777" w:rsidR="00055004" w:rsidRDefault="00365BD5">
      <w:pPr>
        <w:pStyle w:val="ListParagraph"/>
        <w:numPr>
          <w:ilvl w:val="0"/>
          <w:numId w:val="1"/>
        </w:numPr>
        <w:tabs>
          <w:tab w:val="left" w:pos="840"/>
          <w:tab w:val="left" w:pos="841"/>
        </w:tabs>
        <w:spacing w:before="20"/>
        <w:ind w:right="1107"/>
        <w:rPr>
          <w:rFonts w:ascii="Symbol" w:hAnsi="Symbol"/>
          <w:color w:val="404040"/>
          <w:sz w:val="20"/>
        </w:rPr>
      </w:pPr>
      <w:r>
        <w:t>In cooling mode, a BFM rejects less heat into the airstream (heat that the air conditioner must remove). However, a BFM applied to a gas furnace produces a small increase in gas consumption since the heat normally rejected by the motor into the airstream must be provided by natural gas.</w:t>
      </w:r>
    </w:p>
    <w:p w14:paraId="2143618F" w14:textId="77777777" w:rsidR="00055004" w:rsidRDefault="00365BD5">
      <w:pPr>
        <w:pStyle w:val="ListParagraph"/>
        <w:numPr>
          <w:ilvl w:val="0"/>
          <w:numId w:val="1"/>
        </w:numPr>
        <w:tabs>
          <w:tab w:val="left" w:pos="841"/>
        </w:tabs>
        <w:spacing w:before="20"/>
        <w:ind w:right="1416"/>
        <w:jc w:val="both"/>
        <w:rPr>
          <w:rFonts w:ascii="Symbol" w:hAnsi="Symbol"/>
          <w:color w:val="404040"/>
          <w:sz w:val="20"/>
        </w:rPr>
      </w:pPr>
      <w:r>
        <w:t>The mode of operation at which a furnace fan runs continuously (independent of compressor operation) is becoming more widespread in residences for the purposes of ventilation and/or added filtration. Therefore, more savings can be realized by the BFM because of these longer operating</w:t>
      </w:r>
      <w:r>
        <w:rPr>
          <w:spacing w:val="-1"/>
        </w:rPr>
        <w:t xml:space="preserve"> </w:t>
      </w:r>
      <w:r>
        <w:t>hours.</w:t>
      </w:r>
    </w:p>
    <w:p w14:paraId="21436190" w14:textId="77777777" w:rsidR="00055004" w:rsidRDefault="00365BD5">
      <w:pPr>
        <w:pStyle w:val="ListParagraph"/>
        <w:numPr>
          <w:ilvl w:val="0"/>
          <w:numId w:val="1"/>
        </w:numPr>
        <w:tabs>
          <w:tab w:val="left" w:pos="841"/>
        </w:tabs>
        <w:spacing w:before="20"/>
        <w:ind w:right="1064"/>
        <w:jc w:val="both"/>
        <w:rPr>
          <w:rFonts w:ascii="Symbol" w:hAnsi="Symbol"/>
          <w:color w:val="404040"/>
          <w:sz w:val="20"/>
        </w:rPr>
      </w:pPr>
      <w:r>
        <w:t>Field tests conducted as part of the Fan Watt Draw and Air Flow, Public Interest Energy Research (PIER) for the 2008 California Building Energy Efficiency Standards</w:t>
      </w:r>
      <w:r>
        <w:rPr>
          <w:vertAlign w:val="superscript"/>
        </w:rPr>
        <w:t>1</w:t>
      </w:r>
      <w:r>
        <w:t xml:space="preserve"> suggest a median cooling fan power draw of 632 watts for the California New Construction Field Test Furnace Fan Watt Draw – as shown in the figure below. This power draw is considered as the existing baseline power</w:t>
      </w:r>
      <w:r>
        <w:rPr>
          <w:spacing w:val="-33"/>
        </w:rPr>
        <w:t xml:space="preserve"> </w:t>
      </w:r>
      <w:r>
        <w:t>draw.</w:t>
      </w:r>
    </w:p>
    <w:p w14:paraId="21436191" w14:textId="77777777" w:rsidR="00055004" w:rsidRDefault="00055004">
      <w:pPr>
        <w:pStyle w:val="BodyText"/>
        <w:rPr>
          <w:sz w:val="20"/>
        </w:rPr>
      </w:pPr>
    </w:p>
    <w:p w14:paraId="21436192" w14:textId="77777777" w:rsidR="00055004" w:rsidRDefault="00055004">
      <w:pPr>
        <w:pStyle w:val="BodyText"/>
        <w:rPr>
          <w:sz w:val="20"/>
        </w:rPr>
      </w:pPr>
    </w:p>
    <w:p w14:paraId="21436193" w14:textId="77777777" w:rsidR="00055004" w:rsidRDefault="00055004">
      <w:pPr>
        <w:pStyle w:val="BodyText"/>
        <w:rPr>
          <w:sz w:val="20"/>
        </w:rPr>
      </w:pPr>
    </w:p>
    <w:p w14:paraId="21436194" w14:textId="77777777" w:rsidR="00055004" w:rsidRDefault="00055004">
      <w:pPr>
        <w:pStyle w:val="BodyText"/>
        <w:rPr>
          <w:sz w:val="20"/>
        </w:rPr>
      </w:pPr>
    </w:p>
    <w:p w14:paraId="21436195" w14:textId="77777777" w:rsidR="00055004" w:rsidRDefault="00055004">
      <w:pPr>
        <w:pStyle w:val="BodyText"/>
        <w:rPr>
          <w:sz w:val="20"/>
        </w:rPr>
      </w:pPr>
    </w:p>
    <w:p w14:paraId="21436196" w14:textId="77777777" w:rsidR="00055004" w:rsidRDefault="00055004">
      <w:pPr>
        <w:pStyle w:val="BodyText"/>
        <w:rPr>
          <w:sz w:val="20"/>
        </w:rPr>
      </w:pPr>
    </w:p>
    <w:p w14:paraId="21436197" w14:textId="77777777" w:rsidR="00055004" w:rsidRDefault="00055004">
      <w:pPr>
        <w:pStyle w:val="BodyText"/>
        <w:rPr>
          <w:sz w:val="20"/>
        </w:rPr>
      </w:pPr>
    </w:p>
    <w:p w14:paraId="21436198" w14:textId="77777777" w:rsidR="00055004" w:rsidRDefault="00055004">
      <w:pPr>
        <w:pStyle w:val="BodyText"/>
        <w:rPr>
          <w:sz w:val="20"/>
        </w:rPr>
      </w:pPr>
    </w:p>
    <w:p w14:paraId="21436199" w14:textId="77777777" w:rsidR="00055004" w:rsidRDefault="00055004">
      <w:pPr>
        <w:pStyle w:val="BodyText"/>
        <w:rPr>
          <w:sz w:val="20"/>
        </w:rPr>
      </w:pPr>
    </w:p>
    <w:p w14:paraId="2143619A" w14:textId="77777777" w:rsidR="00055004" w:rsidRDefault="00055004">
      <w:pPr>
        <w:pStyle w:val="BodyText"/>
        <w:rPr>
          <w:sz w:val="20"/>
        </w:rPr>
      </w:pPr>
    </w:p>
    <w:p w14:paraId="2143619B" w14:textId="77777777" w:rsidR="00055004" w:rsidRDefault="00055004">
      <w:pPr>
        <w:pStyle w:val="BodyText"/>
        <w:rPr>
          <w:sz w:val="20"/>
        </w:rPr>
      </w:pPr>
    </w:p>
    <w:p w14:paraId="2143619C" w14:textId="77777777" w:rsidR="00055004" w:rsidRDefault="00055004">
      <w:pPr>
        <w:pStyle w:val="BodyText"/>
        <w:rPr>
          <w:sz w:val="20"/>
        </w:rPr>
      </w:pPr>
    </w:p>
    <w:p w14:paraId="2143619D" w14:textId="77777777" w:rsidR="00055004" w:rsidRDefault="00055004">
      <w:pPr>
        <w:pStyle w:val="BodyText"/>
        <w:rPr>
          <w:sz w:val="20"/>
        </w:rPr>
      </w:pPr>
    </w:p>
    <w:p w14:paraId="2143619E" w14:textId="77777777" w:rsidR="00055004" w:rsidRDefault="00055004">
      <w:pPr>
        <w:pStyle w:val="BodyText"/>
        <w:rPr>
          <w:sz w:val="20"/>
        </w:rPr>
      </w:pPr>
    </w:p>
    <w:p w14:paraId="2143619F" w14:textId="77777777" w:rsidR="00055004" w:rsidRDefault="00055004">
      <w:pPr>
        <w:pStyle w:val="BodyText"/>
        <w:rPr>
          <w:sz w:val="20"/>
        </w:rPr>
      </w:pPr>
    </w:p>
    <w:p w14:paraId="214361A0" w14:textId="0FC2C033" w:rsidR="00055004" w:rsidRDefault="00AD1285">
      <w:pPr>
        <w:pStyle w:val="BodyText"/>
        <w:spacing w:before="3"/>
        <w:rPr>
          <w:sz w:val="15"/>
        </w:rPr>
      </w:pPr>
      <w:r>
        <w:rPr>
          <w:noProof/>
        </w:rPr>
        <mc:AlternateContent>
          <mc:Choice Requires="wps">
            <w:drawing>
              <wp:anchor distT="0" distB="0" distL="0" distR="0" simplePos="0" relativeHeight="251659264" behindDoc="1" locked="0" layoutInCell="1" allowOverlap="1" wp14:anchorId="2143636C" wp14:editId="228CD48C">
                <wp:simplePos x="0" y="0"/>
                <wp:positionH relativeFrom="page">
                  <wp:posOffset>914400</wp:posOffset>
                </wp:positionH>
                <wp:positionV relativeFrom="paragraph">
                  <wp:posOffset>148590</wp:posOffset>
                </wp:positionV>
                <wp:extent cx="1829435" cy="1270"/>
                <wp:effectExtent l="0" t="0" r="0" b="0"/>
                <wp:wrapTopAndBottom/>
                <wp:docPr id="2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2534417F" id="Freeform 7" o:spid="_x0000_s1026" style="position:absolute;margin-left:1in;margin-top:11.7pt;width:144.0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" path="m,l2881,e" filled="f" strokeweight=".72pt">
                <v:path arrowok="t" o:connecttype="custom" o:connectlocs="0,0;1829435,0" o:connectangles="0,0"/>
                <w10:wrap type="topAndBottom" anchorx="page"/>
              </v:shape>
            </w:pict>
          </mc:Fallback>
        </mc:AlternateContent>
      </w:r>
    </w:p>
    <w:p w14:paraId="214361A1" w14:textId="77777777" w:rsidR="00055004" w:rsidRDefault="00055004">
      <w:pPr>
        <w:pStyle w:val="BodyText"/>
        <w:rPr>
          <w:sz w:val="20"/>
        </w:rPr>
      </w:pPr>
    </w:p>
    <w:p w14:paraId="214361A2" w14:textId="77777777" w:rsidR="00055004" w:rsidRDefault="00055004">
      <w:pPr>
        <w:pStyle w:val="BodyText"/>
        <w:rPr>
          <w:sz w:val="20"/>
        </w:rPr>
      </w:pPr>
    </w:p>
    <w:p w14:paraId="214361A3" w14:textId="77777777" w:rsidR="00055004" w:rsidRDefault="00055004">
      <w:pPr>
        <w:pStyle w:val="BodyText"/>
        <w:spacing w:before="5"/>
        <w:rPr>
          <w:sz w:val="17"/>
        </w:rPr>
      </w:pPr>
    </w:p>
    <w:p w14:paraId="214361A4" w14:textId="77777777" w:rsidR="00055004" w:rsidRDefault="00365BD5">
      <w:pPr>
        <w:ind w:left="120" w:right="1004"/>
        <w:rPr>
          <w:sz w:val="18"/>
        </w:rPr>
      </w:pPr>
      <w:r>
        <w:rPr>
          <w:position w:val="5"/>
          <w:sz w:val="12"/>
        </w:rPr>
        <w:t xml:space="preserve">1 </w:t>
      </w:r>
      <w:r>
        <w:rPr>
          <w:sz w:val="18"/>
        </w:rPr>
        <w:t xml:space="preserve">Wilcox, B., J. Proctor, R. Chitwood, and K. </w:t>
      </w:r>
      <w:proofErr w:type="spellStart"/>
      <w:r>
        <w:rPr>
          <w:sz w:val="18"/>
        </w:rPr>
        <w:t>Nittler</w:t>
      </w:r>
      <w:proofErr w:type="spellEnd"/>
      <w:r>
        <w:rPr>
          <w:sz w:val="18"/>
        </w:rPr>
        <w:t xml:space="preserve">. 2006. </w:t>
      </w:r>
      <w:r>
        <w:rPr>
          <w:i/>
          <w:sz w:val="18"/>
        </w:rPr>
        <w:t xml:space="preserve">Fan Watt Draw and Air Flow – 2008 California Building Efficiency Standards. Fan Watt Draw and Air Flow in Cooling and Air Distribution Models. </w:t>
      </w:r>
      <w:r>
        <w:rPr>
          <w:sz w:val="18"/>
        </w:rPr>
        <w:t>July 12.</w:t>
      </w:r>
    </w:p>
    <w:p w14:paraId="214361A5" w14:textId="77777777" w:rsidR="00055004" w:rsidRDefault="00055004">
      <w:pPr>
        <w:rPr>
          <w:sz w:val="18"/>
        </w:rPr>
        <w:sectPr w:rsidR="00055004">
          <w:headerReference w:type="default" r:id="rId10"/>
          <w:footerReference w:type="default" r:id="rId11"/>
          <w:pgSz w:w="12240" w:h="15840"/>
          <w:pgMar w:top="1220" w:right="420" w:bottom="1320" w:left="1320" w:header="855" w:footer="1129" w:gutter="0"/>
          <w:pgNumType w:start="2"/>
          <w:cols w:space="720"/>
        </w:sectPr>
      </w:pPr>
    </w:p>
    <w:p w14:paraId="214361A6" w14:textId="77777777" w:rsidR="00055004" w:rsidRDefault="00055004">
      <w:pPr>
        <w:pStyle w:val="BodyText"/>
        <w:spacing w:before="1"/>
        <w:rPr>
          <w:sz w:val="29"/>
        </w:rPr>
      </w:pPr>
    </w:p>
    <w:p w14:paraId="214361A7" w14:textId="77777777" w:rsidR="00055004" w:rsidRDefault="00365BD5">
      <w:pPr>
        <w:pStyle w:val="BodyText"/>
        <w:ind w:left="1193"/>
        <w:rPr>
          <w:sz w:val="20"/>
        </w:rPr>
      </w:pPr>
      <w:r>
        <w:rPr>
          <w:noProof/>
          <w:sz w:val="20"/>
        </w:rPr>
        <w:drawing>
          <wp:inline distT="0" distB="0" distL="0" distR="0" wp14:anchorId="2143636D" wp14:editId="2143636E">
            <wp:extent cx="4594617" cy="2137791"/>
            <wp:effectExtent l="0" t="0" r="0" b="0"/>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2" cstate="print"/>
                    <a:stretch>
                      <a:fillRect/>
                    </a:stretch>
                  </pic:blipFill>
                  <pic:spPr>
                    <a:xfrm>
                      <a:off x="0" y="0"/>
                      <a:ext cx="4594617" cy="2137791"/>
                    </a:xfrm>
                    <a:prstGeom prst="rect">
                      <a:avLst/>
                    </a:prstGeom>
                  </pic:spPr>
                </pic:pic>
              </a:graphicData>
            </a:graphic>
          </wp:inline>
        </w:drawing>
      </w:r>
    </w:p>
    <w:p w14:paraId="214361A8" w14:textId="77777777" w:rsidR="00055004" w:rsidRDefault="00055004">
      <w:pPr>
        <w:pStyle w:val="BodyText"/>
        <w:spacing w:before="4"/>
        <w:rPr>
          <w:sz w:val="25"/>
        </w:rPr>
      </w:pPr>
    </w:p>
    <w:p w14:paraId="214361A9" w14:textId="77777777" w:rsidR="00055004" w:rsidRDefault="00365BD5">
      <w:pPr>
        <w:spacing w:before="59"/>
        <w:ind w:left="1653"/>
        <w:rPr>
          <w:sz w:val="20"/>
        </w:rPr>
      </w:pPr>
      <w:r>
        <w:rPr>
          <w:sz w:val="20"/>
        </w:rPr>
        <w:t>Fan Watt Draw – California New Construction Field Test Furnace Fan Watt Draw</w:t>
      </w:r>
    </w:p>
    <w:p w14:paraId="214361AA" w14:textId="77777777" w:rsidR="00055004" w:rsidRDefault="00055004">
      <w:pPr>
        <w:pStyle w:val="BodyText"/>
        <w:rPr>
          <w:sz w:val="20"/>
        </w:rPr>
      </w:pPr>
    </w:p>
    <w:p w14:paraId="214361AB" w14:textId="77777777" w:rsidR="00055004" w:rsidRDefault="00055004">
      <w:pPr>
        <w:pStyle w:val="BodyText"/>
        <w:spacing w:before="4"/>
        <w:rPr>
          <w:sz w:val="21"/>
        </w:rPr>
      </w:pPr>
    </w:p>
    <w:p w14:paraId="214361AC" w14:textId="77777777" w:rsidR="00055004" w:rsidRDefault="00365BD5">
      <w:pPr>
        <w:pStyle w:val="BodyText"/>
        <w:ind w:left="120" w:right="1004"/>
      </w:pPr>
      <w:r>
        <w:t xml:space="preserve">BFM </w:t>
      </w:r>
      <w:r>
        <w:rPr>
          <w:spacing w:val="-3"/>
        </w:rPr>
        <w:t xml:space="preserve">compared </w:t>
      </w:r>
      <w:r>
        <w:t xml:space="preserve">to </w:t>
      </w:r>
      <w:r>
        <w:rPr>
          <w:spacing w:val="-3"/>
        </w:rPr>
        <w:t xml:space="preserve">Electronically Commutated Motor </w:t>
      </w:r>
      <w:r>
        <w:t>(ECM). BFM motors are a subset of ECM motors; compared to an ECM motor the BFM with shut-off time delay has multiple advantages:</w:t>
      </w:r>
    </w:p>
    <w:p w14:paraId="214361AD" w14:textId="77777777" w:rsidR="00055004" w:rsidRDefault="00365BD5">
      <w:pPr>
        <w:pStyle w:val="ListParagraph"/>
        <w:numPr>
          <w:ilvl w:val="0"/>
          <w:numId w:val="1"/>
        </w:numPr>
        <w:tabs>
          <w:tab w:val="left" w:pos="840"/>
          <w:tab w:val="left" w:pos="841"/>
        </w:tabs>
        <w:spacing w:before="123"/>
        <w:ind w:hanging="361"/>
        <w:rPr>
          <w:rFonts w:ascii="Symbol" w:hAnsi="Symbol"/>
          <w:color w:val="404040"/>
          <w:sz w:val="20"/>
        </w:rPr>
      </w:pPr>
      <w:r>
        <w:t>Unlike an ECM motor, the BFM motor does not require a separate speed</w:t>
      </w:r>
      <w:r>
        <w:rPr>
          <w:spacing w:val="-14"/>
        </w:rPr>
        <w:t xml:space="preserve"> </w:t>
      </w:r>
      <w:r>
        <w:t>controller.</w:t>
      </w:r>
    </w:p>
    <w:p w14:paraId="214361AE" w14:textId="77777777" w:rsidR="00055004" w:rsidRDefault="00365BD5">
      <w:pPr>
        <w:pStyle w:val="ListParagraph"/>
        <w:numPr>
          <w:ilvl w:val="0"/>
          <w:numId w:val="1"/>
        </w:numPr>
        <w:tabs>
          <w:tab w:val="left" w:pos="840"/>
          <w:tab w:val="left" w:pos="841"/>
        </w:tabs>
        <w:spacing w:before="20"/>
        <w:ind w:hanging="361"/>
        <w:rPr>
          <w:rFonts w:ascii="Symbol" w:hAnsi="Symbol"/>
          <w:color w:val="404040"/>
          <w:sz w:val="20"/>
        </w:rPr>
      </w:pPr>
      <w:r>
        <w:t>Unlike an ECM motor, the BFM motor is available for retrofitting in existing</w:t>
      </w:r>
      <w:r>
        <w:rPr>
          <w:spacing w:val="-13"/>
        </w:rPr>
        <w:t xml:space="preserve"> </w:t>
      </w:r>
      <w:r>
        <w:t>furnaces.</w:t>
      </w:r>
    </w:p>
    <w:p w14:paraId="214361AF" w14:textId="77777777" w:rsidR="00055004" w:rsidRDefault="00365BD5">
      <w:pPr>
        <w:pStyle w:val="ListParagraph"/>
        <w:numPr>
          <w:ilvl w:val="0"/>
          <w:numId w:val="1"/>
        </w:numPr>
        <w:tabs>
          <w:tab w:val="left" w:pos="840"/>
          <w:tab w:val="left" w:pos="841"/>
        </w:tabs>
        <w:spacing w:before="17"/>
        <w:ind w:right="1030"/>
        <w:rPr>
          <w:rFonts w:ascii="Symbol" w:hAnsi="Symbol"/>
          <w:color w:val="404040"/>
          <w:sz w:val="20"/>
        </w:rPr>
      </w:pPr>
      <w:r>
        <w:t>An ECM motor is controlled to attempt to produce a given airflow regardless of the amount of power required; on the other hand, a BFM motor is controlled to produce the same airflow as the PSC it replaces, resulting in significantly higher energy and peak savings. Modeling conducted by the Lawrence Berkeley National Laboratory (LBNL)</w:t>
      </w:r>
      <w:r>
        <w:rPr>
          <w:vertAlign w:val="superscript"/>
        </w:rPr>
        <w:t>2</w:t>
      </w:r>
      <w:r>
        <w:t xml:space="preserve"> indicates that an ECM motor controlled to produce a given airflow will increase watt draw on units with restrictive duct</w:t>
      </w:r>
      <w:r>
        <w:rPr>
          <w:spacing w:val="-21"/>
        </w:rPr>
        <w:t xml:space="preserve"> </w:t>
      </w:r>
      <w:r>
        <w:t>systems.</w:t>
      </w:r>
    </w:p>
    <w:p w14:paraId="214361B0" w14:textId="77777777" w:rsidR="00055004" w:rsidRDefault="00365BD5">
      <w:pPr>
        <w:pStyle w:val="ListParagraph"/>
        <w:numPr>
          <w:ilvl w:val="0"/>
          <w:numId w:val="1"/>
        </w:numPr>
        <w:tabs>
          <w:tab w:val="left" w:pos="840"/>
          <w:tab w:val="left" w:pos="841"/>
        </w:tabs>
        <w:spacing w:before="21" w:line="242" w:lineRule="auto"/>
        <w:ind w:right="1075"/>
        <w:rPr>
          <w:rFonts w:ascii="Symbol" w:hAnsi="Symbol"/>
          <w:color w:val="404040"/>
          <w:sz w:val="20"/>
        </w:rPr>
      </w:pPr>
      <w:r>
        <w:t>A U.S. Department of Energy (DOE) report</w:t>
      </w:r>
      <w:r>
        <w:rPr>
          <w:vertAlign w:val="superscript"/>
        </w:rPr>
        <w:t>3</w:t>
      </w:r>
      <w:r>
        <w:t xml:space="preserve"> projected a savings of 75% (three times the savings of an ECM) for a Brushless Motor that was tuned to the capacity of the air conditioner and</w:t>
      </w:r>
      <w:r>
        <w:rPr>
          <w:spacing w:val="-29"/>
        </w:rPr>
        <w:t xml:space="preserve"> </w:t>
      </w:r>
      <w:r>
        <w:t>furnace.</w:t>
      </w:r>
    </w:p>
    <w:p w14:paraId="214361B1" w14:textId="16CE9F31" w:rsidR="00055004" w:rsidRPr="00E51701" w:rsidRDefault="00365BD5">
      <w:pPr>
        <w:pStyle w:val="ListParagraph"/>
        <w:numPr>
          <w:ilvl w:val="0"/>
          <w:numId w:val="1"/>
        </w:numPr>
        <w:tabs>
          <w:tab w:val="left" w:pos="840"/>
          <w:tab w:val="left" w:pos="841"/>
        </w:tabs>
        <w:spacing w:before="16"/>
        <w:ind w:hanging="361"/>
        <w:rPr>
          <w:rFonts w:ascii="Symbol" w:hAnsi="Symbol"/>
          <w:color w:val="404040"/>
          <w:sz w:val="20"/>
        </w:rPr>
      </w:pPr>
      <w:r>
        <w:t>A BFM motor costs less than an ECM</w:t>
      </w:r>
      <w:r>
        <w:rPr>
          <w:spacing w:val="-5"/>
        </w:rPr>
        <w:t xml:space="preserve"> </w:t>
      </w:r>
      <w:r>
        <w:t>motor.</w:t>
      </w:r>
    </w:p>
    <w:p w14:paraId="0FBDCD9B" w14:textId="581E1BCA" w:rsidR="00E51701" w:rsidRDefault="00E51701" w:rsidP="00E51701">
      <w:pPr>
        <w:tabs>
          <w:tab w:val="left" w:pos="840"/>
          <w:tab w:val="left" w:pos="841"/>
        </w:tabs>
        <w:spacing w:before="16"/>
        <w:rPr>
          <w:rFonts w:ascii="Symbol" w:hAnsi="Symbol"/>
          <w:color w:val="404040"/>
          <w:sz w:val="20"/>
        </w:rPr>
      </w:pPr>
    </w:p>
    <w:p w14:paraId="6EE069E6" w14:textId="77777777" w:rsidR="00E51701" w:rsidRDefault="00E51701" w:rsidP="00E51701">
      <w:pPr>
        <w:pStyle w:val="BodyText"/>
        <w:spacing w:before="56"/>
        <w:ind w:left="120" w:right="1004"/>
      </w:pPr>
      <w:r>
        <w:t>Fan Watt Draw and Air Flow in Cooling and Air Distribution Models - 2008 California Building Energy Standards (Wilcox, Proctor, and Chitwood; 2008).</w:t>
      </w:r>
      <w:r>
        <w:rPr>
          <w:vertAlign w:val="superscript"/>
        </w:rPr>
        <w:t>4</w:t>
      </w:r>
      <w:r>
        <w:t xml:space="preserve"> This study manufacturers data for 156 model numbers with PSC motors that had the airflow and blower fan watt draw listed at high speed and 0.50 IWC external static pressure. The median power draw for these units was 453 watts per 1,000 cfm, as shown in the figure below. The median power draw is substantially higher than the default 365 watts per 1,000 cfm.</w:t>
      </w:r>
    </w:p>
    <w:p w14:paraId="324B7D5D" w14:textId="77777777" w:rsidR="00E51701" w:rsidRDefault="00E51701" w:rsidP="00E51701">
      <w:pPr>
        <w:pStyle w:val="BodyText"/>
        <w:spacing w:before="2"/>
        <w:ind w:left="120" w:right="1271"/>
      </w:pPr>
      <w:r>
        <w:t>The median power draw is also lower than the typical field measured power draw (510 watts per 1,000 cfm).</w:t>
      </w:r>
    </w:p>
    <w:p w14:paraId="214361BA" w14:textId="77777777" w:rsidR="00055004" w:rsidRDefault="00055004">
      <w:pPr>
        <w:pStyle w:val="BodyText"/>
        <w:rPr>
          <w:sz w:val="20"/>
        </w:rPr>
      </w:pPr>
    </w:p>
    <w:p w14:paraId="214361BB" w14:textId="77777777" w:rsidR="00055004" w:rsidRDefault="00055004">
      <w:pPr>
        <w:pStyle w:val="BodyText"/>
        <w:rPr>
          <w:sz w:val="20"/>
        </w:rPr>
      </w:pPr>
    </w:p>
    <w:p w14:paraId="214361BC" w14:textId="15152657" w:rsidR="00055004" w:rsidRDefault="00055004">
      <w:pPr>
        <w:pStyle w:val="BodyText"/>
        <w:rPr>
          <w:sz w:val="20"/>
        </w:rPr>
      </w:pPr>
    </w:p>
    <w:p w14:paraId="676C8B01" w14:textId="77777777" w:rsidR="00E51701" w:rsidRDefault="00E51701">
      <w:pPr>
        <w:pStyle w:val="BodyText"/>
        <w:rPr>
          <w:sz w:val="20"/>
        </w:rPr>
      </w:pPr>
    </w:p>
    <w:p w14:paraId="214361BD" w14:textId="0A6E5C05" w:rsidR="00055004" w:rsidRDefault="00AD1285">
      <w:pPr>
        <w:pStyle w:val="BodyText"/>
        <w:spacing w:before="6"/>
        <w:rPr>
          <w:sz w:val="18"/>
        </w:rPr>
      </w:pPr>
      <w:r>
        <w:rPr>
          <w:noProof/>
        </w:rPr>
        <mc:AlternateContent>
          <mc:Choice Requires="wps">
            <w:drawing>
              <wp:anchor distT="0" distB="0" distL="0" distR="0" simplePos="0" relativeHeight="251660288" behindDoc="1" locked="0" layoutInCell="1" allowOverlap="1" wp14:anchorId="2143636F" wp14:editId="1EA7121B">
                <wp:simplePos x="0" y="0"/>
                <wp:positionH relativeFrom="page">
                  <wp:posOffset>914400</wp:posOffset>
                </wp:positionH>
                <wp:positionV relativeFrom="paragraph">
                  <wp:posOffset>173355</wp:posOffset>
                </wp:positionV>
                <wp:extent cx="1829435" cy="1270"/>
                <wp:effectExtent l="0" t="0" r="0" b="0"/>
                <wp:wrapTopAndBottom/>
                <wp:docPr id="2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2E0643AE" id="Freeform 6" o:spid="_x0000_s1026" style="position:absolute;margin-left:1in;margin-top:13.65pt;width:144.0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" path="m,l2881,e" filled="f" strokeweight=".72pt">
                <v:path arrowok="t" o:connecttype="custom" o:connectlocs="0,0;1829435,0" o:connectangles="0,0"/>
                <w10:wrap type="topAndBottom" anchorx="page"/>
              </v:shape>
            </w:pict>
          </mc:Fallback>
        </mc:AlternateContent>
      </w:r>
    </w:p>
    <w:p w14:paraId="214361BE" w14:textId="77777777" w:rsidR="00055004" w:rsidRDefault="00055004">
      <w:pPr>
        <w:pStyle w:val="BodyText"/>
        <w:rPr>
          <w:sz w:val="20"/>
        </w:rPr>
      </w:pPr>
    </w:p>
    <w:p w14:paraId="214361C0" w14:textId="77777777" w:rsidR="00055004" w:rsidRDefault="00365BD5">
      <w:pPr>
        <w:spacing w:before="69"/>
        <w:ind w:left="120" w:right="1396"/>
        <w:jc w:val="both"/>
        <w:rPr>
          <w:sz w:val="18"/>
        </w:rPr>
      </w:pPr>
      <w:r>
        <w:rPr>
          <w:position w:val="5"/>
          <w:sz w:val="12"/>
        </w:rPr>
        <w:t xml:space="preserve">2 </w:t>
      </w:r>
      <w:r>
        <w:rPr>
          <w:sz w:val="18"/>
        </w:rPr>
        <w:t xml:space="preserve">Franco, V., J. Lutz, A. </w:t>
      </w:r>
      <w:proofErr w:type="spellStart"/>
      <w:r>
        <w:rPr>
          <w:sz w:val="18"/>
        </w:rPr>
        <w:t>Lekov</w:t>
      </w:r>
      <w:proofErr w:type="spellEnd"/>
      <w:r>
        <w:rPr>
          <w:sz w:val="18"/>
        </w:rPr>
        <w:t>. 2008. “Furnace Blower Electricity: National and Regional Savings Potential.” Proceedings of the 2008 ACEEE Summer Study on Energy Efficiency in Buildings, 2-93. Washington, DC: American Council for an Energy Efficient Economy (ACEEE).</w:t>
      </w:r>
    </w:p>
    <w:p w14:paraId="214361C1" w14:textId="77777777" w:rsidR="00055004" w:rsidRDefault="00365BD5">
      <w:pPr>
        <w:spacing w:before="121"/>
        <w:ind w:left="120" w:right="1467"/>
        <w:jc w:val="both"/>
        <w:rPr>
          <w:sz w:val="18"/>
        </w:rPr>
      </w:pPr>
      <w:r>
        <w:rPr>
          <w:position w:val="5"/>
          <w:sz w:val="12"/>
        </w:rPr>
        <w:t xml:space="preserve">3 </w:t>
      </w:r>
      <w:r>
        <w:rPr>
          <w:sz w:val="18"/>
        </w:rPr>
        <w:t xml:space="preserve">Arthur D. Little, Inc. 1999. </w:t>
      </w:r>
      <w:r>
        <w:rPr>
          <w:i/>
          <w:sz w:val="18"/>
        </w:rPr>
        <w:t xml:space="preserve">Opportunities for Energy Savings in the Residential and Commercial Sectors with High-Efficiency Electric Motors. </w:t>
      </w:r>
      <w:r>
        <w:rPr>
          <w:sz w:val="18"/>
        </w:rPr>
        <w:t>Prepared for the U.S. Department of Energy (DOE). Reference 35495-14. December 1.</w:t>
      </w:r>
    </w:p>
    <w:p w14:paraId="214361C2" w14:textId="77777777" w:rsidR="00055004" w:rsidRDefault="00055004">
      <w:pPr>
        <w:jc w:val="both"/>
        <w:rPr>
          <w:sz w:val="18"/>
        </w:rPr>
        <w:sectPr w:rsidR="00055004">
          <w:pgSz w:w="12240" w:h="15840"/>
          <w:pgMar w:top="1220" w:right="420" w:bottom="1320" w:left="1320" w:header="855" w:footer="1129" w:gutter="0"/>
          <w:cols w:space="720"/>
        </w:sectPr>
      </w:pPr>
    </w:p>
    <w:p w14:paraId="214361C3" w14:textId="77777777" w:rsidR="00055004" w:rsidRDefault="00055004">
      <w:pPr>
        <w:pStyle w:val="BodyText"/>
        <w:spacing w:before="8"/>
        <w:rPr>
          <w:sz w:val="19"/>
        </w:rPr>
      </w:pPr>
    </w:p>
    <w:p w14:paraId="214361C6" w14:textId="77777777" w:rsidR="00055004" w:rsidRDefault="00365BD5">
      <w:pPr>
        <w:pStyle w:val="BodyText"/>
        <w:spacing w:before="120"/>
        <w:ind w:left="120" w:right="1182"/>
      </w:pPr>
      <w:r>
        <w:t>The field data show higher external static pressures around 0.80 IWC. For the 146 units with manufacturer data, for 0.80 IWC at high speed, the median is 496 watts per 1,000 cfm, close to the field measured 510 watts per 1,000 cfm.</w:t>
      </w:r>
    </w:p>
    <w:p w14:paraId="214361C7" w14:textId="77777777" w:rsidR="00055004" w:rsidRDefault="00365BD5">
      <w:pPr>
        <w:pStyle w:val="BodyText"/>
        <w:spacing w:before="2"/>
        <w:rPr>
          <w:sz w:val="11"/>
        </w:rPr>
      </w:pPr>
      <w:r>
        <w:rPr>
          <w:noProof/>
        </w:rPr>
        <w:drawing>
          <wp:anchor distT="0" distB="0" distL="0" distR="0" simplePos="0" relativeHeight="251658752" behindDoc="0" locked="0" layoutInCell="1" allowOverlap="1" wp14:anchorId="21436370" wp14:editId="21436371">
            <wp:simplePos x="0" y="0"/>
            <wp:positionH relativeFrom="page">
              <wp:posOffset>1857898</wp:posOffset>
            </wp:positionH>
            <wp:positionV relativeFrom="paragraph">
              <wp:posOffset>111350</wp:posOffset>
            </wp:positionV>
            <wp:extent cx="3990032" cy="2779490"/>
            <wp:effectExtent l="0" t="0" r="0" b="0"/>
            <wp:wrapTopAndBottom/>
            <wp:docPr id="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13" cstate="print"/>
                    <a:stretch>
                      <a:fillRect/>
                    </a:stretch>
                  </pic:blipFill>
                  <pic:spPr>
                    <a:xfrm>
                      <a:off x="0" y="0"/>
                      <a:ext cx="3990032" cy="2779490"/>
                    </a:xfrm>
                    <a:prstGeom prst="rect">
                      <a:avLst/>
                    </a:prstGeom>
                  </pic:spPr>
                </pic:pic>
              </a:graphicData>
            </a:graphic>
          </wp:anchor>
        </w:drawing>
      </w:r>
    </w:p>
    <w:p w14:paraId="214361C8" w14:textId="77777777" w:rsidR="00055004" w:rsidRDefault="00055004">
      <w:pPr>
        <w:pStyle w:val="BodyText"/>
        <w:spacing w:before="2"/>
        <w:rPr>
          <w:sz w:val="21"/>
        </w:rPr>
      </w:pPr>
    </w:p>
    <w:p w14:paraId="214361C9" w14:textId="77777777" w:rsidR="00055004" w:rsidRDefault="00365BD5">
      <w:pPr>
        <w:pStyle w:val="BodyText"/>
        <w:ind w:left="1745"/>
      </w:pPr>
      <w:r>
        <w:t>High Speed PSC Air Handler/Furnace Power at 0.50 IWC External Static</w:t>
      </w:r>
    </w:p>
    <w:p w14:paraId="214361CA" w14:textId="77777777" w:rsidR="00055004" w:rsidRDefault="00055004">
      <w:pPr>
        <w:pStyle w:val="BodyText"/>
      </w:pPr>
    </w:p>
    <w:p w14:paraId="214361CB" w14:textId="77777777" w:rsidR="00055004" w:rsidRDefault="00055004">
      <w:pPr>
        <w:pStyle w:val="BodyText"/>
        <w:spacing w:before="11"/>
        <w:rPr>
          <w:sz w:val="20"/>
        </w:rPr>
      </w:pPr>
    </w:p>
    <w:p w14:paraId="214361CC" w14:textId="77777777" w:rsidR="00055004" w:rsidRDefault="00365BD5">
      <w:pPr>
        <w:pStyle w:val="Heading1"/>
      </w:pPr>
      <w:bookmarkStart w:id="4" w:name="_Toc57630574"/>
      <w:r>
        <w:rPr>
          <w:color w:val="CFAB79"/>
        </w:rPr>
        <w:t>MEASURE CASE DESCRIPTION</w:t>
      </w:r>
      <w:bookmarkEnd w:id="4"/>
    </w:p>
    <w:p w14:paraId="214361CD" w14:textId="77777777" w:rsidR="00055004" w:rsidRDefault="00055004">
      <w:pPr>
        <w:pStyle w:val="BodyText"/>
        <w:spacing w:before="1"/>
        <w:rPr>
          <w:sz w:val="19"/>
        </w:rPr>
      </w:pPr>
    </w:p>
    <w:p w14:paraId="214361CE" w14:textId="24E4C632" w:rsidR="00055004" w:rsidRDefault="00365BD5">
      <w:pPr>
        <w:pStyle w:val="BodyText"/>
        <w:ind w:left="120" w:right="1116"/>
      </w:pPr>
      <w:r>
        <w:t>The measure case is defined as a central brushless fan motor (BFM) specifically configured as a drop-in retrofit for a standard permanent split capacitor (PSC) residential fan (blower) motor serving a central HVAC system. For this measure, a BFM is compared to a PSC as if they were both installed on identical systems (duct and furnace) at the same CFM and external static pressure.</w:t>
      </w:r>
    </w:p>
    <w:p w14:paraId="214361CF" w14:textId="23666A79" w:rsidR="00055004" w:rsidRDefault="00365BD5">
      <w:pPr>
        <w:pStyle w:val="BodyText"/>
        <w:spacing w:before="119"/>
        <w:ind w:left="120" w:right="1021"/>
      </w:pPr>
      <w:r>
        <w:t>This measure is applicable in all residential building types that use central air-cooled direct expansion (DX) cooling and/or furnace HVAC equipment.</w:t>
      </w:r>
    </w:p>
    <w:p w14:paraId="06BC8D73" w14:textId="77777777" w:rsidR="00E51701" w:rsidRDefault="00E51701" w:rsidP="00E51701">
      <w:pPr>
        <w:spacing w:before="59"/>
        <w:ind w:left="2771" w:right="3666"/>
        <w:jc w:val="center"/>
        <w:rPr>
          <w:sz w:val="20"/>
        </w:rPr>
      </w:pPr>
      <w:r>
        <w:rPr>
          <w:sz w:val="20"/>
        </w:rPr>
        <w:t>Measure Case Specification</w:t>
      </w:r>
    </w:p>
    <w:p w14:paraId="0A8B1CB8" w14:textId="77777777" w:rsidR="00E51701" w:rsidRDefault="00E51701" w:rsidP="00E51701">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252"/>
        <w:gridCol w:w="5036"/>
      </w:tblGrid>
      <w:tr w:rsidR="00E51701" w14:paraId="2169B598" w14:textId="77777777" w:rsidTr="00663783">
        <w:trPr>
          <w:trHeight w:val="489"/>
        </w:trPr>
        <w:tc>
          <w:tcPr>
            <w:tcW w:w="2252" w:type="dxa"/>
            <w:shd w:val="clear" w:color="auto" w:fill="F1F1F1"/>
          </w:tcPr>
          <w:p w14:paraId="15D96B34" w14:textId="77777777" w:rsidR="00E51701" w:rsidRDefault="00E51701" w:rsidP="00663783">
            <w:pPr>
              <w:pStyle w:val="TableParagraph"/>
              <w:spacing w:before="1" w:line="243" w:lineRule="exact"/>
              <w:ind w:left="326" w:right="318"/>
              <w:jc w:val="center"/>
              <w:rPr>
                <w:sz w:val="20"/>
              </w:rPr>
            </w:pPr>
            <w:r>
              <w:rPr>
                <w:sz w:val="20"/>
              </w:rPr>
              <w:t>Statewide Measure</w:t>
            </w:r>
          </w:p>
          <w:p w14:paraId="50F271BF" w14:textId="77777777" w:rsidR="00E51701" w:rsidRDefault="00E51701" w:rsidP="00663783">
            <w:pPr>
              <w:pStyle w:val="TableParagraph"/>
              <w:spacing w:before="0" w:line="225" w:lineRule="exact"/>
              <w:ind w:left="326" w:right="314"/>
              <w:jc w:val="center"/>
              <w:rPr>
                <w:sz w:val="20"/>
              </w:rPr>
            </w:pPr>
            <w:r>
              <w:rPr>
                <w:sz w:val="20"/>
              </w:rPr>
              <w:t>Offering ID</w:t>
            </w:r>
          </w:p>
        </w:tc>
        <w:tc>
          <w:tcPr>
            <w:tcW w:w="5036" w:type="dxa"/>
            <w:shd w:val="clear" w:color="auto" w:fill="F1F1F1"/>
          </w:tcPr>
          <w:p w14:paraId="00028DA6" w14:textId="77777777" w:rsidR="00E51701" w:rsidRDefault="00E51701" w:rsidP="00663783">
            <w:pPr>
              <w:pStyle w:val="TableParagraph"/>
              <w:spacing w:before="11"/>
              <w:ind w:left="0"/>
              <w:rPr>
                <w:sz w:val="19"/>
              </w:rPr>
            </w:pPr>
          </w:p>
          <w:p w14:paraId="7D00C3EF" w14:textId="77777777" w:rsidR="00E51701" w:rsidRDefault="00E51701" w:rsidP="00663783">
            <w:pPr>
              <w:pStyle w:val="TableParagraph"/>
              <w:spacing w:before="1" w:line="225" w:lineRule="exact"/>
              <w:ind w:left="1348"/>
              <w:rPr>
                <w:sz w:val="20"/>
              </w:rPr>
            </w:pPr>
            <w:r>
              <w:rPr>
                <w:sz w:val="20"/>
              </w:rPr>
              <w:t>Measure Offering Description</w:t>
            </w:r>
          </w:p>
        </w:tc>
      </w:tr>
      <w:tr w:rsidR="00E51701" w14:paraId="4E65A01A" w14:textId="77777777" w:rsidTr="00663783">
        <w:trPr>
          <w:trHeight w:val="289"/>
        </w:trPr>
        <w:tc>
          <w:tcPr>
            <w:tcW w:w="2252" w:type="dxa"/>
          </w:tcPr>
          <w:p w14:paraId="6F683CBE" w14:textId="77777777" w:rsidR="00E51701" w:rsidRDefault="00E51701" w:rsidP="00663783">
            <w:pPr>
              <w:pStyle w:val="TableParagraph"/>
              <w:spacing w:before="23"/>
              <w:ind w:left="115"/>
              <w:rPr>
                <w:sz w:val="20"/>
              </w:rPr>
            </w:pPr>
            <w:r>
              <w:rPr>
                <w:sz w:val="20"/>
              </w:rPr>
              <w:t>SWHC038A</w:t>
            </w:r>
          </w:p>
        </w:tc>
        <w:tc>
          <w:tcPr>
            <w:tcW w:w="5036" w:type="dxa"/>
          </w:tcPr>
          <w:p w14:paraId="0CEF2B87" w14:textId="77777777" w:rsidR="00E51701" w:rsidRDefault="00E51701" w:rsidP="00663783">
            <w:pPr>
              <w:pStyle w:val="TableParagraph"/>
              <w:spacing w:before="23"/>
              <w:ind w:left="114"/>
              <w:rPr>
                <w:sz w:val="20"/>
              </w:rPr>
            </w:pPr>
            <w:r>
              <w:rPr>
                <w:sz w:val="20"/>
              </w:rPr>
              <w:t>Central brushless fan motors (BFM or DC Motor)</w:t>
            </w:r>
          </w:p>
        </w:tc>
      </w:tr>
    </w:tbl>
    <w:p w14:paraId="2BBBD8EB" w14:textId="77777777" w:rsidR="00E51701" w:rsidRDefault="00E51701" w:rsidP="00E51701">
      <w:pPr>
        <w:pStyle w:val="BodyText"/>
        <w:rPr>
          <w:sz w:val="20"/>
        </w:rPr>
      </w:pPr>
    </w:p>
    <w:p w14:paraId="67885708" w14:textId="747FB468" w:rsidR="00E51701" w:rsidRDefault="00E51701">
      <w:pPr>
        <w:pStyle w:val="BodyText"/>
        <w:spacing w:before="119"/>
        <w:ind w:left="120" w:right="1021"/>
      </w:pPr>
    </w:p>
    <w:p w14:paraId="6238E633" w14:textId="77777777" w:rsidR="00E51701" w:rsidRDefault="00E51701">
      <w:pPr>
        <w:pStyle w:val="BodyText"/>
        <w:spacing w:before="119"/>
        <w:ind w:left="120" w:right="1021"/>
      </w:pPr>
    </w:p>
    <w:p w14:paraId="214361D0" w14:textId="77777777" w:rsidR="00055004" w:rsidRDefault="00055004">
      <w:pPr>
        <w:pStyle w:val="BodyText"/>
        <w:rPr>
          <w:sz w:val="20"/>
        </w:rPr>
      </w:pPr>
    </w:p>
    <w:p w14:paraId="214361D1" w14:textId="77777777" w:rsidR="00055004" w:rsidRDefault="00055004">
      <w:pPr>
        <w:pStyle w:val="BodyText"/>
        <w:rPr>
          <w:sz w:val="20"/>
        </w:rPr>
      </w:pPr>
    </w:p>
    <w:p w14:paraId="214361D2" w14:textId="77777777" w:rsidR="00055004" w:rsidRDefault="00055004">
      <w:pPr>
        <w:pStyle w:val="BodyText"/>
        <w:rPr>
          <w:sz w:val="20"/>
        </w:rPr>
      </w:pPr>
    </w:p>
    <w:p w14:paraId="214361D3" w14:textId="3C753446" w:rsidR="00055004" w:rsidRDefault="00AD1285">
      <w:pPr>
        <w:pStyle w:val="BodyText"/>
        <w:rPr>
          <w:sz w:val="19"/>
        </w:rPr>
      </w:pPr>
      <w:r>
        <w:rPr>
          <w:noProof/>
        </w:rPr>
        <mc:AlternateContent>
          <mc:Choice Requires="wps">
            <w:drawing>
              <wp:anchor distT="0" distB="0" distL="0" distR="0" simplePos="0" relativeHeight="251662336" behindDoc="1" locked="0" layoutInCell="1" allowOverlap="1" wp14:anchorId="21436372" wp14:editId="7DD3ABDD">
                <wp:simplePos x="0" y="0"/>
                <wp:positionH relativeFrom="page">
                  <wp:posOffset>914400</wp:posOffset>
                </wp:positionH>
                <wp:positionV relativeFrom="paragraph">
                  <wp:posOffset>177165</wp:posOffset>
                </wp:positionV>
                <wp:extent cx="1829435" cy="1270"/>
                <wp:effectExtent l="0" t="0" r="0" b="0"/>
                <wp:wrapTopAndBottom/>
                <wp:docPr id="2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7DA26A4C" id="Freeform 5" o:spid="_x0000_s1026" style="position:absolute;margin-left:1in;margin-top:13.95pt;width:144.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" path="m,l2881,e" filled="f" strokeweight=".72pt">
                <v:path arrowok="t" o:connecttype="custom" o:connectlocs="0,0;1829435,0" o:connectangles="0,0"/>
                <w10:wrap type="topAndBottom" anchorx="page"/>
              </v:shape>
            </w:pict>
          </mc:Fallback>
        </mc:AlternateContent>
      </w:r>
    </w:p>
    <w:p w14:paraId="214361D4" w14:textId="77777777" w:rsidR="00055004" w:rsidRDefault="00055004">
      <w:pPr>
        <w:pStyle w:val="BodyText"/>
        <w:rPr>
          <w:sz w:val="20"/>
        </w:rPr>
      </w:pPr>
    </w:p>
    <w:p w14:paraId="214361D6" w14:textId="77777777" w:rsidR="00055004" w:rsidRDefault="00365BD5">
      <w:pPr>
        <w:spacing w:before="69"/>
        <w:ind w:left="120" w:right="1004"/>
        <w:rPr>
          <w:sz w:val="18"/>
        </w:rPr>
      </w:pPr>
      <w:r>
        <w:rPr>
          <w:position w:val="5"/>
          <w:sz w:val="12"/>
        </w:rPr>
        <w:t xml:space="preserve">4 </w:t>
      </w:r>
      <w:r>
        <w:rPr>
          <w:sz w:val="18"/>
        </w:rPr>
        <w:t xml:space="preserve">Wilcox, B., J. Proctor, R. Chitwood, and K. </w:t>
      </w:r>
      <w:proofErr w:type="spellStart"/>
      <w:r>
        <w:rPr>
          <w:sz w:val="18"/>
        </w:rPr>
        <w:t>Nittler</w:t>
      </w:r>
      <w:proofErr w:type="spellEnd"/>
      <w:r>
        <w:rPr>
          <w:sz w:val="18"/>
        </w:rPr>
        <w:t xml:space="preserve">. 2006. </w:t>
      </w:r>
      <w:r>
        <w:rPr>
          <w:i/>
          <w:sz w:val="18"/>
        </w:rPr>
        <w:t xml:space="preserve">Fan Watt Draw and Air Flow – 2008 California Building Efficiency Standards. Fan Watt Draw and Air Flow in Cooling and Air Distribution Models. </w:t>
      </w:r>
      <w:r>
        <w:rPr>
          <w:sz w:val="18"/>
        </w:rPr>
        <w:t>July 12.</w:t>
      </w:r>
    </w:p>
    <w:p w14:paraId="214361D7" w14:textId="77777777" w:rsidR="00055004" w:rsidRDefault="00055004">
      <w:pPr>
        <w:rPr>
          <w:sz w:val="18"/>
        </w:rPr>
        <w:sectPr w:rsidR="00055004">
          <w:pgSz w:w="12240" w:h="15840"/>
          <w:pgMar w:top="1220" w:right="420" w:bottom="1320" w:left="1320" w:header="855" w:footer="1129" w:gutter="0"/>
          <w:cols w:space="720"/>
        </w:sectPr>
      </w:pPr>
    </w:p>
    <w:p w14:paraId="214361E5" w14:textId="77777777" w:rsidR="00055004" w:rsidRDefault="00365BD5">
      <w:pPr>
        <w:pStyle w:val="Heading1"/>
        <w:spacing w:before="1"/>
      </w:pPr>
      <w:bookmarkStart w:id="5" w:name="_Toc57630575"/>
      <w:r>
        <w:rPr>
          <w:color w:val="CFAB79"/>
        </w:rPr>
        <w:lastRenderedPageBreak/>
        <w:t>BASE CASE DESCRIPTION</w:t>
      </w:r>
      <w:bookmarkEnd w:id="5"/>
    </w:p>
    <w:p w14:paraId="214361E6" w14:textId="77777777" w:rsidR="00055004" w:rsidRDefault="00365BD5">
      <w:pPr>
        <w:pStyle w:val="BodyText"/>
        <w:spacing w:before="112"/>
        <w:ind w:left="120" w:right="1025"/>
      </w:pPr>
      <w:r>
        <w:t>The base case is defined as a permanent split capacitor (PSC) residential fan motor serving a HVAC system for which fan performance (watts/cfm) varies between existing condition and code/standard.</w:t>
      </w:r>
    </w:p>
    <w:p w14:paraId="214361E7" w14:textId="77777777" w:rsidR="00055004" w:rsidRDefault="00055004">
      <w:pPr>
        <w:pStyle w:val="BodyText"/>
        <w:spacing w:before="3"/>
        <w:rPr>
          <w:sz w:val="23"/>
        </w:rPr>
      </w:pPr>
    </w:p>
    <w:p w14:paraId="214361E8" w14:textId="77777777" w:rsidR="00055004" w:rsidRDefault="00365BD5">
      <w:pPr>
        <w:ind w:left="2770" w:right="3666"/>
        <w:jc w:val="center"/>
        <w:rPr>
          <w:sz w:val="20"/>
        </w:rPr>
      </w:pPr>
      <w:r>
        <w:rPr>
          <w:sz w:val="20"/>
        </w:rPr>
        <w:t>Base, Standard, and Measure Cases</w:t>
      </w:r>
    </w:p>
    <w:p w14:paraId="214361E9" w14:textId="77777777" w:rsidR="00055004" w:rsidRDefault="00055004">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811"/>
        <w:gridCol w:w="6541"/>
      </w:tblGrid>
      <w:tr w:rsidR="00055004" w14:paraId="214361EC" w14:textId="77777777">
        <w:trPr>
          <w:trHeight w:val="282"/>
        </w:trPr>
        <w:tc>
          <w:tcPr>
            <w:tcW w:w="2811" w:type="dxa"/>
            <w:shd w:val="clear" w:color="auto" w:fill="F1F1F1"/>
          </w:tcPr>
          <w:p w14:paraId="214361EA" w14:textId="77777777" w:rsidR="00055004" w:rsidRDefault="00365BD5">
            <w:pPr>
              <w:pStyle w:val="TableParagraph"/>
              <w:spacing w:line="242" w:lineRule="exact"/>
              <w:rPr>
                <w:sz w:val="20"/>
              </w:rPr>
            </w:pPr>
            <w:r>
              <w:rPr>
                <w:sz w:val="20"/>
              </w:rPr>
              <w:t>Case</w:t>
            </w:r>
          </w:p>
        </w:tc>
        <w:tc>
          <w:tcPr>
            <w:tcW w:w="6541" w:type="dxa"/>
            <w:shd w:val="clear" w:color="auto" w:fill="F1F1F1"/>
          </w:tcPr>
          <w:p w14:paraId="214361EB" w14:textId="77777777" w:rsidR="00055004" w:rsidRDefault="00365BD5">
            <w:pPr>
              <w:pStyle w:val="TableParagraph"/>
              <w:spacing w:line="242" w:lineRule="exact"/>
              <w:ind w:left="105"/>
              <w:rPr>
                <w:sz w:val="20"/>
              </w:rPr>
            </w:pPr>
            <w:r>
              <w:rPr>
                <w:sz w:val="20"/>
              </w:rPr>
              <w:t>Description of Typical Scenario</w:t>
            </w:r>
          </w:p>
        </w:tc>
      </w:tr>
      <w:tr w:rsidR="00055004" w14:paraId="214361EF" w14:textId="77777777">
        <w:trPr>
          <w:trHeight w:val="285"/>
        </w:trPr>
        <w:tc>
          <w:tcPr>
            <w:tcW w:w="2811" w:type="dxa"/>
          </w:tcPr>
          <w:p w14:paraId="214361ED" w14:textId="77777777" w:rsidR="00055004" w:rsidRDefault="00365BD5">
            <w:pPr>
              <w:pStyle w:val="TableParagraph"/>
              <w:spacing w:before="21"/>
              <w:rPr>
                <w:sz w:val="20"/>
              </w:rPr>
            </w:pPr>
            <w:r>
              <w:rPr>
                <w:sz w:val="20"/>
              </w:rPr>
              <w:t>Measure</w:t>
            </w:r>
          </w:p>
        </w:tc>
        <w:tc>
          <w:tcPr>
            <w:tcW w:w="6541" w:type="dxa"/>
          </w:tcPr>
          <w:p w14:paraId="214361EE" w14:textId="77777777" w:rsidR="00055004" w:rsidRDefault="00365BD5">
            <w:pPr>
              <w:pStyle w:val="TableParagraph"/>
              <w:spacing w:before="21"/>
              <w:ind w:left="105"/>
              <w:rPr>
                <w:sz w:val="20"/>
              </w:rPr>
            </w:pPr>
            <w:r>
              <w:rPr>
                <w:sz w:val="20"/>
              </w:rPr>
              <w:t>Central brushless fan motors (BFM or DC Motor)</w:t>
            </w:r>
          </w:p>
        </w:tc>
      </w:tr>
      <w:tr w:rsidR="00055004" w14:paraId="214361F2" w14:textId="77777777">
        <w:trPr>
          <w:trHeight w:val="282"/>
        </w:trPr>
        <w:tc>
          <w:tcPr>
            <w:tcW w:w="2811" w:type="dxa"/>
          </w:tcPr>
          <w:p w14:paraId="214361F0" w14:textId="77777777" w:rsidR="00055004" w:rsidRDefault="00365BD5">
            <w:pPr>
              <w:pStyle w:val="TableParagraph"/>
              <w:spacing w:line="242" w:lineRule="exact"/>
              <w:rPr>
                <w:sz w:val="20"/>
              </w:rPr>
            </w:pPr>
            <w:r>
              <w:rPr>
                <w:sz w:val="20"/>
              </w:rPr>
              <w:t>Existing Condition</w:t>
            </w:r>
          </w:p>
        </w:tc>
        <w:tc>
          <w:tcPr>
            <w:tcW w:w="6541" w:type="dxa"/>
          </w:tcPr>
          <w:p w14:paraId="214361F1" w14:textId="77777777" w:rsidR="00055004" w:rsidRDefault="00365BD5">
            <w:pPr>
              <w:pStyle w:val="TableParagraph"/>
              <w:spacing w:line="242" w:lineRule="exact"/>
              <w:ind w:left="105"/>
              <w:rPr>
                <w:sz w:val="20"/>
              </w:rPr>
            </w:pPr>
            <w:r>
              <w:rPr>
                <w:sz w:val="20"/>
              </w:rPr>
              <w:t>Permanent split capacitor (PSC) residential fan (blower) motors</w:t>
            </w:r>
          </w:p>
        </w:tc>
      </w:tr>
      <w:tr w:rsidR="00055004" w14:paraId="214361F5" w14:textId="77777777">
        <w:trPr>
          <w:trHeight w:val="285"/>
        </w:trPr>
        <w:tc>
          <w:tcPr>
            <w:tcW w:w="2811" w:type="dxa"/>
          </w:tcPr>
          <w:p w14:paraId="214361F3" w14:textId="77777777" w:rsidR="00055004" w:rsidRDefault="00365BD5">
            <w:pPr>
              <w:pStyle w:val="TableParagraph"/>
              <w:rPr>
                <w:sz w:val="20"/>
              </w:rPr>
            </w:pPr>
            <w:r>
              <w:rPr>
                <w:sz w:val="20"/>
              </w:rPr>
              <w:t>Code/Standard</w:t>
            </w:r>
          </w:p>
        </w:tc>
        <w:tc>
          <w:tcPr>
            <w:tcW w:w="6541" w:type="dxa"/>
          </w:tcPr>
          <w:p w14:paraId="214361F4" w14:textId="77777777" w:rsidR="00055004" w:rsidRDefault="00365BD5">
            <w:pPr>
              <w:pStyle w:val="TableParagraph"/>
              <w:ind w:left="105"/>
              <w:rPr>
                <w:sz w:val="20"/>
              </w:rPr>
            </w:pPr>
            <w:r>
              <w:rPr>
                <w:sz w:val="20"/>
              </w:rPr>
              <w:t>Permanent split capacitor (PSC) residential fan (blower) motors</w:t>
            </w:r>
          </w:p>
        </w:tc>
      </w:tr>
      <w:tr w:rsidR="00055004" w14:paraId="214361F8" w14:textId="77777777">
        <w:trPr>
          <w:trHeight w:val="285"/>
        </w:trPr>
        <w:tc>
          <w:tcPr>
            <w:tcW w:w="2811" w:type="dxa"/>
          </w:tcPr>
          <w:p w14:paraId="214361F6" w14:textId="77777777" w:rsidR="00055004" w:rsidRDefault="00365BD5">
            <w:pPr>
              <w:pStyle w:val="TableParagraph"/>
              <w:rPr>
                <w:sz w:val="20"/>
              </w:rPr>
            </w:pPr>
            <w:r>
              <w:rPr>
                <w:sz w:val="20"/>
              </w:rPr>
              <w:t>Industry Standard Practice</w:t>
            </w:r>
          </w:p>
        </w:tc>
        <w:tc>
          <w:tcPr>
            <w:tcW w:w="6541" w:type="dxa"/>
          </w:tcPr>
          <w:p w14:paraId="214361F7" w14:textId="77777777" w:rsidR="00055004" w:rsidRDefault="00365BD5">
            <w:pPr>
              <w:pStyle w:val="TableParagraph"/>
              <w:ind w:left="105"/>
              <w:rPr>
                <w:sz w:val="20"/>
              </w:rPr>
            </w:pPr>
            <w:r>
              <w:rPr>
                <w:sz w:val="20"/>
              </w:rPr>
              <w:t>Permanent split capacitor (PSC) residential fan (blower) motors</w:t>
            </w:r>
          </w:p>
        </w:tc>
      </w:tr>
    </w:tbl>
    <w:p w14:paraId="214361F9" w14:textId="77777777" w:rsidR="00055004" w:rsidRDefault="00055004">
      <w:pPr>
        <w:pStyle w:val="BodyText"/>
        <w:rPr>
          <w:sz w:val="20"/>
        </w:rPr>
      </w:pPr>
    </w:p>
    <w:p w14:paraId="214361FA" w14:textId="77777777" w:rsidR="00055004" w:rsidRDefault="00055004">
      <w:pPr>
        <w:pStyle w:val="BodyText"/>
        <w:spacing w:before="5"/>
      </w:pPr>
    </w:p>
    <w:p w14:paraId="214361FB" w14:textId="77777777" w:rsidR="00055004" w:rsidRDefault="00365BD5">
      <w:pPr>
        <w:pStyle w:val="Heading1"/>
      </w:pPr>
      <w:bookmarkStart w:id="6" w:name="_Toc57630576"/>
      <w:r>
        <w:rPr>
          <w:color w:val="CFAB79"/>
        </w:rPr>
        <w:t>CODE REQUIREMENTS</w:t>
      </w:r>
      <w:bookmarkEnd w:id="6"/>
    </w:p>
    <w:p w14:paraId="214361FC" w14:textId="77777777" w:rsidR="00055004" w:rsidRDefault="00365BD5">
      <w:pPr>
        <w:pStyle w:val="BodyText"/>
        <w:spacing w:before="117" w:line="237" w:lineRule="auto"/>
        <w:ind w:left="120" w:right="1588"/>
      </w:pPr>
      <w:r>
        <w:t>Applicable state and federal codes and standards for fans in Residential HVAC systems are specified below.</w:t>
      </w:r>
    </w:p>
    <w:p w14:paraId="214361FD" w14:textId="77777777" w:rsidR="00055004" w:rsidRDefault="00055004">
      <w:pPr>
        <w:pStyle w:val="BodyText"/>
        <w:spacing w:before="4"/>
        <w:rPr>
          <w:sz w:val="23"/>
        </w:rPr>
      </w:pPr>
    </w:p>
    <w:p w14:paraId="214361FE" w14:textId="77777777" w:rsidR="00055004" w:rsidRDefault="00365BD5">
      <w:pPr>
        <w:ind w:left="2774" w:right="3666"/>
        <w:jc w:val="center"/>
        <w:rPr>
          <w:sz w:val="20"/>
        </w:rPr>
      </w:pPr>
      <w:r>
        <w:rPr>
          <w:sz w:val="20"/>
        </w:rPr>
        <w:t>Applicable State and Federal Codes and Standards</w:t>
      </w:r>
    </w:p>
    <w:p w14:paraId="214361FF" w14:textId="77777777" w:rsidR="00055004" w:rsidRDefault="00055004">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4767"/>
        <w:gridCol w:w="2880"/>
        <w:gridCol w:w="1889"/>
      </w:tblGrid>
      <w:tr w:rsidR="00055004" w14:paraId="21436203" w14:textId="77777777">
        <w:trPr>
          <w:trHeight w:val="285"/>
        </w:trPr>
        <w:tc>
          <w:tcPr>
            <w:tcW w:w="4767" w:type="dxa"/>
            <w:shd w:val="clear" w:color="auto" w:fill="F1F1F1"/>
          </w:tcPr>
          <w:p w14:paraId="21436200" w14:textId="77777777" w:rsidR="00055004" w:rsidRDefault="00365BD5">
            <w:pPr>
              <w:pStyle w:val="TableParagraph"/>
              <w:spacing w:before="21"/>
              <w:rPr>
                <w:sz w:val="20"/>
              </w:rPr>
            </w:pPr>
            <w:r>
              <w:rPr>
                <w:sz w:val="20"/>
              </w:rPr>
              <w:t>Code</w:t>
            </w:r>
          </w:p>
        </w:tc>
        <w:tc>
          <w:tcPr>
            <w:tcW w:w="2880" w:type="dxa"/>
            <w:shd w:val="clear" w:color="auto" w:fill="F1F1F1"/>
          </w:tcPr>
          <w:p w14:paraId="21436201" w14:textId="77777777" w:rsidR="00055004" w:rsidRDefault="00365BD5">
            <w:pPr>
              <w:pStyle w:val="TableParagraph"/>
              <w:spacing w:before="21"/>
              <w:ind w:left="105"/>
              <w:rPr>
                <w:sz w:val="20"/>
              </w:rPr>
            </w:pPr>
            <w:r>
              <w:rPr>
                <w:sz w:val="20"/>
              </w:rPr>
              <w:t>Applicable Code Reference</w:t>
            </w:r>
          </w:p>
        </w:tc>
        <w:tc>
          <w:tcPr>
            <w:tcW w:w="1889" w:type="dxa"/>
            <w:shd w:val="clear" w:color="auto" w:fill="F1F1F1"/>
          </w:tcPr>
          <w:p w14:paraId="21436202" w14:textId="77777777" w:rsidR="00055004" w:rsidRDefault="00365BD5">
            <w:pPr>
              <w:pStyle w:val="TableParagraph"/>
              <w:spacing w:before="21"/>
              <w:ind w:left="106"/>
              <w:rPr>
                <w:sz w:val="20"/>
              </w:rPr>
            </w:pPr>
            <w:r>
              <w:rPr>
                <w:sz w:val="20"/>
              </w:rPr>
              <w:t>Effective Date</w:t>
            </w:r>
          </w:p>
        </w:tc>
      </w:tr>
      <w:tr w:rsidR="00055004" w14:paraId="21436207" w14:textId="77777777">
        <w:trPr>
          <w:trHeight w:val="282"/>
        </w:trPr>
        <w:tc>
          <w:tcPr>
            <w:tcW w:w="4767" w:type="dxa"/>
          </w:tcPr>
          <w:p w14:paraId="21436204" w14:textId="77777777" w:rsidR="00055004" w:rsidRDefault="00365BD5">
            <w:pPr>
              <w:pStyle w:val="TableParagraph"/>
              <w:spacing w:line="242" w:lineRule="exact"/>
              <w:rPr>
                <w:sz w:val="20"/>
              </w:rPr>
            </w:pPr>
            <w:r>
              <w:rPr>
                <w:sz w:val="20"/>
              </w:rPr>
              <w:t>CA Appliance Efficiency Regulations – Title 20</w:t>
            </w:r>
          </w:p>
        </w:tc>
        <w:tc>
          <w:tcPr>
            <w:tcW w:w="2880" w:type="dxa"/>
          </w:tcPr>
          <w:p w14:paraId="21436205" w14:textId="77777777" w:rsidR="00055004" w:rsidRDefault="00365BD5">
            <w:pPr>
              <w:pStyle w:val="TableParagraph"/>
              <w:spacing w:line="242" w:lineRule="exact"/>
              <w:ind w:left="105"/>
              <w:rPr>
                <w:sz w:val="20"/>
              </w:rPr>
            </w:pPr>
            <w:r>
              <w:rPr>
                <w:sz w:val="20"/>
              </w:rPr>
              <w:t>None</w:t>
            </w:r>
          </w:p>
        </w:tc>
        <w:tc>
          <w:tcPr>
            <w:tcW w:w="1889" w:type="dxa"/>
          </w:tcPr>
          <w:p w14:paraId="21436206" w14:textId="77777777" w:rsidR="00055004" w:rsidRDefault="00365BD5">
            <w:pPr>
              <w:pStyle w:val="TableParagraph"/>
              <w:spacing w:line="242" w:lineRule="exact"/>
              <w:ind w:left="106"/>
              <w:rPr>
                <w:sz w:val="20"/>
              </w:rPr>
            </w:pPr>
            <w:r>
              <w:rPr>
                <w:sz w:val="20"/>
              </w:rPr>
              <w:t>n/a</w:t>
            </w:r>
          </w:p>
        </w:tc>
      </w:tr>
      <w:tr w:rsidR="00055004" w14:paraId="2143620B" w14:textId="77777777">
        <w:trPr>
          <w:trHeight w:val="527"/>
        </w:trPr>
        <w:tc>
          <w:tcPr>
            <w:tcW w:w="4767" w:type="dxa"/>
          </w:tcPr>
          <w:p w14:paraId="21436208" w14:textId="77777777" w:rsidR="00055004" w:rsidRDefault="00365BD5">
            <w:pPr>
              <w:pStyle w:val="TableParagraph"/>
              <w:spacing w:line="240" w:lineRule="atLeast"/>
              <w:ind w:right="190"/>
              <w:rPr>
                <w:sz w:val="20"/>
              </w:rPr>
            </w:pPr>
            <w:r>
              <w:rPr>
                <w:sz w:val="20"/>
              </w:rPr>
              <w:t>CA Energy Code/ Building Energy Efficiency Standards – Title 24 (2019), Part 6</w:t>
            </w:r>
          </w:p>
        </w:tc>
        <w:tc>
          <w:tcPr>
            <w:tcW w:w="2880" w:type="dxa"/>
          </w:tcPr>
          <w:p w14:paraId="21436209" w14:textId="77777777" w:rsidR="00055004" w:rsidRDefault="00365BD5">
            <w:pPr>
              <w:pStyle w:val="TableParagraph"/>
              <w:ind w:left="105"/>
              <w:rPr>
                <w:sz w:val="20"/>
              </w:rPr>
            </w:pPr>
            <w:r>
              <w:rPr>
                <w:sz w:val="20"/>
              </w:rPr>
              <w:t>Section 150.0(m)</w:t>
            </w:r>
            <w:proofErr w:type="gramStart"/>
            <w:r>
              <w:rPr>
                <w:sz w:val="20"/>
              </w:rPr>
              <w:t>13.B</w:t>
            </w:r>
            <w:proofErr w:type="gramEnd"/>
          </w:p>
        </w:tc>
        <w:tc>
          <w:tcPr>
            <w:tcW w:w="1889" w:type="dxa"/>
          </w:tcPr>
          <w:p w14:paraId="2143620A" w14:textId="77777777" w:rsidR="00055004" w:rsidRDefault="00365BD5">
            <w:pPr>
              <w:pStyle w:val="TableParagraph"/>
              <w:ind w:left="106"/>
              <w:rPr>
                <w:sz w:val="20"/>
              </w:rPr>
            </w:pPr>
            <w:r>
              <w:rPr>
                <w:sz w:val="20"/>
              </w:rPr>
              <w:t>January 1, 2020</w:t>
            </w:r>
          </w:p>
        </w:tc>
      </w:tr>
      <w:tr w:rsidR="00055004" w14:paraId="2143620F" w14:textId="77777777">
        <w:trPr>
          <w:trHeight w:val="285"/>
        </w:trPr>
        <w:tc>
          <w:tcPr>
            <w:tcW w:w="4767" w:type="dxa"/>
          </w:tcPr>
          <w:p w14:paraId="2143620C" w14:textId="77777777" w:rsidR="00055004" w:rsidRDefault="00365BD5">
            <w:pPr>
              <w:pStyle w:val="TableParagraph"/>
              <w:spacing w:before="23" w:line="242" w:lineRule="exact"/>
              <w:rPr>
                <w:sz w:val="20"/>
              </w:rPr>
            </w:pPr>
            <w:r>
              <w:rPr>
                <w:sz w:val="20"/>
              </w:rPr>
              <w:t>Federal Standards</w:t>
            </w:r>
          </w:p>
        </w:tc>
        <w:tc>
          <w:tcPr>
            <w:tcW w:w="2880" w:type="dxa"/>
          </w:tcPr>
          <w:p w14:paraId="2143620D" w14:textId="77777777" w:rsidR="00055004" w:rsidRDefault="00365BD5">
            <w:pPr>
              <w:pStyle w:val="TableParagraph"/>
              <w:spacing w:before="23" w:line="242" w:lineRule="exact"/>
              <w:ind w:left="105"/>
              <w:rPr>
                <w:sz w:val="20"/>
              </w:rPr>
            </w:pPr>
            <w:r>
              <w:rPr>
                <w:sz w:val="20"/>
              </w:rPr>
              <w:t>None</w:t>
            </w:r>
          </w:p>
        </w:tc>
        <w:tc>
          <w:tcPr>
            <w:tcW w:w="1889" w:type="dxa"/>
          </w:tcPr>
          <w:p w14:paraId="2143620E" w14:textId="77777777" w:rsidR="00055004" w:rsidRDefault="00365BD5">
            <w:pPr>
              <w:pStyle w:val="TableParagraph"/>
              <w:spacing w:before="23" w:line="242" w:lineRule="exact"/>
              <w:ind w:left="106"/>
              <w:rPr>
                <w:sz w:val="20"/>
              </w:rPr>
            </w:pPr>
            <w:r>
              <w:rPr>
                <w:sz w:val="20"/>
              </w:rPr>
              <w:t>n/a</w:t>
            </w:r>
          </w:p>
        </w:tc>
      </w:tr>
    </w:tbl>
    <w:p w14:paraId="21436210" w14:textId="77777777" w:rsidR="00055004" w:rsidRDefault="00055004">
      <w:pPr>
        <w:pStyle w:val="BodyText"/>
        <w:rPr>
          <w:sz w:val="20"/>
        </w:rPr>
      </w:pPr>
    </w:p>
    <w:p w14:paraId="21436211" w14:textId="77777777" w:rsidR="00055004" w:rsidRDefault="00055004">
      <w:pPr>
        <w:pStyle w:val="BodyText"/>
        <w:spacing w:before="6"/>
        <w:rPr>
          <w:sz w:val="21"/>
        </w:rPr>
      </w:pPr>
    </w:p>
    <w:p w14:paraId="21436212" w14:textId="77777777" w:rsidR="00055004" w:rsidRDefault="00365BD5">
      <w:pPr>
        <w:pStyle w:val="BodyText"/>
        <w:ind w:left="120" w:right="1001"/>
      </w:pPr>
      <w:r>
        <w:t>The California 2019 Building Energy Efficiency Standards (Part 6, Title 24)</w:t>
      </w:r>
      <w:r>
        <w:rPr>
          <w:vertAlign w:val="superscript"/>
        </w:rPr>
        <w:t>5</w:t>
      </w:r>
      <w:r>
        <w:t xml:space="preserve"> Section 150.0(m) 13.B, specifies the following mandatory requirements for a minimum airflow per tonnage and a minimum fan efficacy, depending on the type of the air handling unit:</w:t>
      </w:r>
    </w:p>
    <w:p w14:paraId="21436213" w14:textId="77777777" w:rsidR="00055004" w:rsidRDefault="00365BD5">
      <w:pPr>
        <w:spacing w:before="123"/>
        <w:ind w:left="840" w:right="1713"/>
        <w:rPr>
          <w:i/>
          <w:sz w:val="18"/>
        </w:rPr>
      </w:pPr>
      <w:r>
        <w:rPr>
          <w:i/>
          <w:sz w:val="18"/>
        </w:rPr>
        <w:t xml:space="preserve">Single </w:t>
      </w:r>
      <w:r>
        <w:rPr>
          <w:i/>
          <w:spacing w:val="-3"/>
          <w:sz w:val="18"/>
        </w:rPr>
        <w:t xml:space="preserve">Zone </w:t>
      </w:r>
      <w:r>
        <w:rPr>
          <w:i/>
          <w:sz w:val="18"/>
        </w:rPr>
        <w:t xml:space="preserve">Central </w:t>
      </w:r>
      <w:r>
        <w:rPr>
          <w:i/>
          <w:spacing w:val="-3"/>
          <w:sz w:val="18"/>
        </w:rPr>
        <w:t xml:space="preserve">Forced </w:t>
      </w:r>
      <w:r>
        <w:rPr>
          <w:i/>
          <w:sz w:val="18"/>
        </w:rPr>
        <w:t xml:space="preserve">Air Systems. Demonstrate, in every control mode, airflow greater than or equal to 350 CFM per ton of nominal cooling capacity through the return grilles, and an air-handling unit fan efficacy less than or equal to the maximum W/CFM specified in subsections </w:t>
      </w:r>
      <w:proofErr w:type="spellStart"/>
      <w:r>
        <w:rPr>
          <w:i/>
          <w:sz w:val="18"/>
        </w:rPr>
        <w:t>i</w:t>
      </w:r>
      <w:proofErr w:type="spellEnd"/>
      <w:r>
        <w:rPr>
          <w:i/>
          <w:sz w:val="18"/>
        </w:rPr>
        <w:t xml:space="preserve"> or ii below. The airflow rate and fan efficacy requirements in this section shall be confirmed by field verification and diagnostic testing in accordance with the procedures given in Reference Residential Appendix</w:t>
      </w:r>
      <w:r>
        <w:rPr>
          <w:i/>
          <w:spacing w:val="-9"/>
          <w:sz w:val="18"/>
        </w:rPr>
        <w:t xml:space="preserve"> </w:t>
      </w:r>
      <w:r>
        <w:rPr>
          <w:i/>
          <w:sz w:val="18"/>
        </w:rPr>
        <w:t xml:space="preserve">RA3.3. </w:t>
      </w:r>
    </w:p>
    <w:p w14:paraId="21436214" w14:textId="77777777" w:rsidR="00055004" w:rsidRDefault="00365BD5">
      <w:pPr>
        <w:pStyle w:val="ListParagraph"/>
        <w:numPr>
          <w:ilvl w:val="1"/>
          <w:numId w:val="1"/>
        </w:numPr>
        <w:tabs>
          <w:tab w:val="left" w:pos="1560"/>
          <w:tab w:val="left" w:pos="1561"/>
        </w:tabs>
        <w:spacing w:before="121"/>
        <w:ind w:hanging="445"/>
        <w:rPr>
          <w:i/>
          <w:sz w:val="18"/>
        </w:rPr>
      </w:pPr>
      <w:r>
        <w:rPr>
          <w:i/>
          <w:sz w:val="18"/>
        </w:rPr>
        <w:t>0.45 W/CFM for gas furnace air-handling</w:t>
      </w:r>
      <w:r>
        <w:rPr>
          <w:i/>
          <w:spacing w:val="-13"/>
          <w:sz w:val="18"/>
        </w:rPr>
        <w:t xml:space="preserve"> </w:t>
      </w:r>
      <w:r>
        <w:rPr>
          <w:i/>
          <w:sz w:val="18"/>
        </w:rPr>
        <w:t xml:space="preserve">units. </w:t>
      </w:r>
    </w:p>
    <w:p w14:paraId="21436215" w14:textId="39041E4C" w:rsidR="00055004" w:rsidRDefault="00365BD5">
      <w:pPr>
        <w:pStyle w:val="ListParagraph"/>
        <w:numPr>
          <w:ilvl w:val="1"/>
          <w:numId w:val="1"/>
        </w:numPr>
        <w:tabs>
          <w:tab w:val="left" w:pos="1560"/>
          <w:tab w:val="left" w:pos="1561"/>
        </w:tabs>
        <w:spacing w:before="1"/>
        <w:ind w:hanging="483"/>
        <w:rPr>
          <w:i/>
          <w:sz w:val="18"/>
        </w:rPr>
      </w:pPr>
      <w:r>
        <w:rPr>
          <w:i/>
          <w:sz w:val="18"/>
        </w:rPr>
        <w:t>0.58 W/CFM for air-handling units that are not gas</w:t>
      </w:r>
      <w:r>
        <w:rPr>
          <w:i/>
          <w:spacing w:val="-7"/>
          <w:sz w:val="18"/>
        </w:rPr>
        <w:t xml:space="preserve"> </w:t>
      </w:r>
      <w:r>
        <w:rPr>
          <w:i/>
          <w:sz w:val="18"/>
        </w:rPr>
        <w:t xml:space="preserve">furnaces </w:t>
      </w:r>
    </w:p>
    <w:p w14:paraId="0041A5DE" w14:textId="77777777" w:rsidR="00E51701" w:rsidRPr="00E51701" w:rsidRDefault="00E51701" w:rsidP="00E51701">
      <w:pPr>
        <w:pStyle w:val="ListParagraph"/>
        <w:spacing w:before="63"/>
        <w:ind w:firstLine="0"/>
        <w:rPr>
          <w:i/>
          <w:sz w:val="18"/>
        </w:rPr>
      </w:pPr>
      <w:r w:rsidRPr="00E51701">
        <w:rPr>
          <w:i/>
          <w:sz w:val="18"/>
        </w:rPr>
        <w:t xml:space="preserve">Additionally, Section 140.4(c) 3, has prescriptive requirements for fractional HVAC motors for fans as below:  </w:t>
      </w:r>
    </w:p>
    <w:p w14:paraId="7184EC58" w14:textId="076CB83C" w:rsidR="00E51701" w:rsidRPr="00E51701" w:rsidRDefault="00E51701" w:rsidP="00E51701">
      <w:pPr>
        <w:pStyle w:val="ListParagraph"/>
        <w:spacing w:before="121"/>
        <w:ind w:right="2060" w:firstLine="0"/>
        <w:rPr>
          <w:i/>
          <w:sz w:val="18"/>
        </w:rPr>
      </w:pPr>
      <w:r w:rsidRPr="00E51701">
        <w:rPr>
          <w:i/>
          <w:sz w:val="18"/>
        </w:rPr>
        <w:t>Fractional HVAC Motors for Fans. HVAC motors for fans that are less than1 hp and 1/12 hp or greater</w:t>
      </w:r>
      <w:r>
        <w:rPr>
          <w:i/>
          <w:sz w:val="18"/>
        </w:rPr>
        <w:t xml:space="preserve"> </w:t>
      </w:r>
      <w:r w:rsidRPr="00E51701">
        <w:rPr>
          <w:i/>
          <w:sz w:val="18"/>
        </w:rPr>
        <w:t xml:space="preserve">shall be </w:t>
      </w:r>
      <w:proofErr w:type="gramStart"/>
      <w:r w:rsidRPr="00E51701">
        <w:rPr>
          <w:i/>
          <w:sz w:val="18"/>
        </w:rPr>
        <w:t>electronically-commutated</w:t>
      </w:r>
      <w:proofErr w:type="gramEnd"/>
      <w:r w:rsidRPr="00E51701">
        <w:rPr>
          <w:i/>
          <w:sz w:val="18"/>
        </w:rPr>
        <w:t xml:space="preserve"> motors or shall have a minimum motor efficiency of 70 percent when </w:t>
      </w:r>
    </w:p>
    <w:p w14:paraId="136BDCBE" w14:textId="77777777" w:rsidR="00E51701" w:rsidRPr="00E51701" w:rsidRDefault="00E51701" w:rsidP="00E51701">
      <w:pPr>
        <w:pStyle w:val="ListParagraph"/>
        <w:ind w:right="1713" w:firstLine="0"/>
        <w:rPr>
          <w:i/>
          <w:sz w:val="18"/>
        </w:rPr>
      </w:pPr>
      <w:r w:rsidRPr="00E51701">
        <w:rPr>
          <w:i/>
          <w:sz w:val="18"/>
        </w:rPr>
        <w:t xml:space="preserve">rated in accordance with NEMA Standard MG 1-2006 at full load rating conditions. These motors shall also have the means to adjust motor speed for either balancing or remote control. Belt-driven fans may use sheave adjustments for airflow balancing in lieu of a varying motor speed. </w:t>
      </w:r>
    </w:p>
    <w:p w14:paraId="2C000EC3" w14:textId="77777777" w:rsidR="00E51701" w:rsidRPr="00E51701" w:rsidRDefault="00E51701" w:rsidP="00E51701">
      <w:pPr>
        <w:pStyle w:val="ListParagraph"/>
        <w:spacing w:before="1"/>
        <w:ind w:right="1588" w:firstLine="0"/>
        <w:rPr>
          <w:i/>
          <w:sz w:val="18"/>
        </w:rPr>
      </w:pPr>
      <w:r w:rsidRPr="00E51701">
        <w:rPr>
          <w:i/>
          <w:sz w:val="18"/>
        </w:rPr>
        <w:t xml:space="preserve">EXCEPTION 1 to Section 140.4(c)3: Motors in fan-coils and terminal units that operate only when providing heating to the space served. </w:t>
      </w:r>
    </w:p>
    <w:p w14:paraId="194308FD" w14:textId="77777777" w:rsidR="00E51701" w:rsidRPr="00E51701" w:rsidRDefault="00E51701" w:rsidP="00E51701">
      <w:pPr>
        <w:pStyle w:val="ListParagraph"/>
        <w:ind w:right="1588" w:firstLine="0"/>
        <w:rPr>
          <w:i/>
          <w:sz w:val="18"/>
        </w:rPr>
      </w:pPr>
      <w:r w:rsidRPr="00E51701">
        <w:rPr>
          <w:i/>
          <w:sz w:val="18"/>
        </w:rPr>
        <w:t xml:space="preserve">EXCEPTION 2 to Section 140.4(c)3: Motors in space conditioning equipment certified under Section 110.1 or 110.2. </w:t>
      </w:r>
    </w:p>
    <w:p w14:paraId="6E0B27A4" w14:textId="77777777" w:rsidR="00E51701" w:rsidRPr="00E51701" w:rsidRDefault="00E51701" w:rsidP="00E51701">
      <w:pPr>
        <w:tabs>
          <w:tab w:val="left" w:pos="1560"/>
          <w:tab w:val="left" w:pos="1561"/>
        </w:tabs>
        <w:spacing w:before="1"/>
        <w:rPr>
          <w:i/>
          <w:sz w:val="18"/>
        </w:rPr>
      </w:pPr>
    </w:p>
    <w:p w14:paraId="4AE914D9" w14:textId="77777777" w:rsidR="00E51701" w:rsidRDefault="00E51701" w:rsidP="00E51701">
      <w:pPr>
        <w:spacing w:before="69"/>
        <w:ind w:left="120" w:right="1271"/>
        <w:rPr>
          <w:sz w:val="18"/>
        </w:rPr>
      </w:pPr>
      <w:r>
        <w:rPr>
          <w:position w:val="5"/>
          <w:sz w:val="12"/>
        </w:rPr>
        <w:t xml:space="preserve">5 </w:t>
      </w:r>
      <w:r>
        <w:rPr>
          <w:sz w:val="18"/>
        </w:rPr>
        <w:t xml:space="preserve">California Energy Commission (CEC). 2018. </w:t>
      </w:r>
      <w:r>
        <w:rPr>
          <w:i/>
          <w:sz w:val="18"/>
        </w:rPr>
        <w:t xml:space="preserve">2019 Building Energy Efficiency Standards for Residential and Nonresidential Buildings. </w:t>
      </w:r>
      <w:r>
        <w:rPr>
          <w:sz w:val="18"/>
        </w:rPr>
        <w:t>CEC-400-2018-020-CMF.</w:t>
      </w:r>
    </w:p>
    <w:p w14:paraId="02C6E178" w14:textId="77777777" w:rsidR="00E51701" w:rsidRDefault="00E51701" w:rsidP="00E51701">
      <w:pPr>
        <w:rPr>
          <w:sz w:val="18"/>
        </w:rPr>
      </w:pPr>
    </w:p>
    <w:p w14:paraId="62B81421" w14:textId="77777777" w:rsidR="00E51701" w:rsidRDefault="00E51701" w:rsidP="00E51701">
      <w:pPr>
        <w:rPr>
          <w:sz w:val="18"/>
        </w:rPr>
      </w:pPr>
    </w:p>
    <w:p w14:paraId="21436223" w14:textId="77777777" w:rsidR="00055004" w:rsidRDefault="00365BD5">
      <w:pPr>
        <w:pStyle w:val="BodyText"/>
        <w:ind w:left="120" w:right="1173"/>
      </w:pPr>
      <w:r>
        <w:lastRenderedPageBreak/>
        <w:t>The space conditioning equipment in which the measure technology is being retrofitted is considered to comply with Section 110.2 – Mandatory Requirements for Space-Conditioning Equipment. Hence, the HVAC fan motors are exempt from the requirements in Section 140.4(c) 3.</w:t>
      </w:r>
    </w:p>
    <w:p w14:paraId="21436224" w14:textId="77777777" w:rsidR="00055004" w:rsidRDefault="00055004">
      <w:pPr>
        <w:pStyle w:val="BodyText"/>
        <w:spacing w:before="8"/>
        <w:rPr>
          <w:sz w:val="24"/>
        </w:rPr>
      </w:pPr>
    </w:p>
    <w:p w14:paraId="21436225" w14:textId="77777777" w:rsidR="00055004" w:rsidRDefault="00365BD5">
      <w:pPr>
        <w:pStyle w:val="Heading1"/>
      </w:pPr>
      <w:bookmarkStart w:id="7" w:name="_Toc57630577"/>
      <w:r>
        <w:rPr>
          <w:color w:val="CFAB79"/>
        </w:rPr>
        <w:t>NORMALIZING UNIT</w:t>
      </w:r>
      <w:bookmarkEnd w:id="7"/>
    </w:p>
    <w:p w14:paraId="21436226" w14:textId="77777777" w:rsidR="00055004" w:rsidRDefault="00365BD5">
      <w:pPr>
        <w:pStyle w:val="BodyText"/>
        <w:spacing w:before="115"/>
        <w:ind w:left="120"/>
      </w:pPr>
      <w:r>
        <w:t>Tons of cooling capacity (Cap-tons).</w:t>
      </w:r>
    </w:p>
    <w:p w14:paraId="21436227" w14:textId="77777777" w:rsidR="00055004" w:rsidRDefault="00055004">
      <w:pPr>
        <w:pStyle w:val="BodyText"/>
      </w:pPr>
    </w:p>
    <w:p w14:paraId="21436228" w14:textId="77777777" w:rsidR="00055004" w:rsidRDefault="00055004">
      <w:pPr>
        <w:pStyle w:val="BodyText"/>
        <w:spacing w:before="11"/>
        <w:rPr>
          <w:sz w:val="20"/>
        </w:rPr>
      </w:pPr>
    </w:p>
    <w:p w14:paraId="21436229" w14:textId="77777777" w:rsidR="00055004" w:rsidRDefault="00365BD5">
      <w:pPr>
        <w:pStyle w:val="Heading1"/>
      </w:pPr>
      <w:bookmarkStart w:id="8" w:name="_Toc57630578"/>
      <w:r>
        <w:rPr>
          <w:color w:val="CFAB79"/>
        </w:rPr>
        <w:t>PROGRAM REQUIREMENTS</w:t>
      </w:r>
      <w:bookmarkEnd w:id="8"/>
    </w:p>
    <w:p w14:paraId="2143622A" w14:textId="77777777" w:rsidR="00055004" w:rsidRDefault="00365BD5">
      <w:pPr>
        <w:spacing w:before="113"/>
        <w:ind w:left="120"/>
        <w:rPr>
          <w:i/>
        </w:rPr>
      </w:pPr>
      <w:r>
        <w:rPr>
          <w:i/>
          <w:color w:val="5F5F5F"/>
        </w:rPr>
        <w:t xml:space="preserve">Measure Implementation Eligibility </w:t>
      </w:r>
    </w:p>
    <w:p w14:paraId="2143622B" w14:textId="77777777" w:rsidR="00055004" w:rsidRDefault="00365BD5">
      <w:pPr>
        <w:pStyle w:val="BodyText"/>
        <w:spacing w:before="118"/>
        <w:ind w:left="120" w:right="1312"/>
      </w:pPr>
      <w:r>
        <w:t>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2143622C" w14:textId="77777777" w:rsidR="00055004" w:rsidRDefault="00365BD5">
      <w:pPr>
        <w:spacing w:before="122"/>
        <w:ind w:left="120" w:right="1271"/>
        <w:rPr>
          <w:i/>
        </w:rPr>
      </w:pPr>
      <w:r>
        <w:rPr>
          <w:i/>
        </w:rPr>
        <w:t xml:space="preserve">Note that some of the implementation combinations below may not be allowed for some measure offerings by all program administrators. </w:t>
      </w:r>
    </w:p>
    <w:p w14:paraId="2143622D" w14:textId="77777777" w:rsidR="00055004" w:rsidRDefault="00055004">
      <w:pPr>
        <w:pStyle w:val="BodyText"/>
        <w:spacing w:before="2"/>
        <w:rPr>
          <w:i/>
          <w:sz w:val="23"/>
        </w:rPr>
      </w:pPr>
    </w:p>
    <w:p w14:paraId="2143622E" w14:textId="77777777" w:rsidR="00055004" w:rsidRDefault="00365BD5">
      <w:pPr>
        <w:ind w:left="2774" w:right="3620"/>
        <w:jc w:val="center"/>
        <w:rPr>
          <w:sz w:val="20"/>
        </w:rPr>
      </w:pPr>
      <w:r>
        <w:rPr>
          <w:sz w:val="20"/>
        </w:rPr>
        <w:t>Implementation Eligibility</w:t>
      </w:r>
    </w:p>
    <w:p w14:paraId="2143622F" w14:textId="77777777" w:rsidR="00055004" w:rsidRDefault="00055004">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025"/>
        <w:gridCol w:w="3025"/>
        <w:gridCol w:w="3026"/>
      </w:tblGrid>
      <w:tr w:rsidR="00055004" w14:paraId="21436233" w14:textId="77777777">
        <w:trPr>
          <w:trHeight w:val="290"/>
        </w:trPr>
        <w:tc>
          <w:tcPr>
            <w:tcW w:w="3025" w:type="dxa"/>
            <w:shd w:val="clear" w:color="auto" w:fill="F1F1F1"/>
          </w:tcPr>
          <w:p w14:paraId="21436230" w14:textId="77777777" w:rsidR="00055004" w:rsidRDefault="00365BD5">
            <w:pPr>
              <w:pStyle w:val="TableParagraph"/>
              <w:spacing w:before="47" w:line="223" w:lineRule="exact"/>
              <w:rPr>
                <w:sz w:val="20"/>
              </w:rPr>
            </w:pPr>
            <w:r>
              <w:rPr>
                <w:sz w:val="20"/>
              </w:rPr>
              <w:t>Measure Application Type</w:t>
            </w:r>
          </w:p>
        </w:tc>
        <w:tc>
          <w:tcPr>
            <w:tcW w:w="3025" w:type="dxa"/>
            <w:shd w:val="clear" w:color="auto" w:fill="F1F1F1"/>
          </w:tcPr>
          <w:p w14:paraId="21436231" w14:textId="77777777" w:rsidR="00055004" w:rsidRDefault="00365BD5">
            <w:pPr>
              <w:pStyle w:val="TableParagraph"/>
              <w:spacing w:before="47" w:line="223" w:lineRule="exact"/>
              <w:rPr>
                <w:sz w:val="20"/>
              </w:rPr>
            </w:pPr>
            <w:r>
              <w:rPr>
                <w:sz w:val="20"/>
              </w:rPr>
              <w:t>Delivery Type</w:t>
            </w:r>
          </w:p>
        </w:tc>
        <w:tc>
          <w:tcPr>
            <w:tcW w:w="3026" w:type="dxa"/>
            <w:shd w:val="clear" w:color="auto" w:fill="F1F1F1"/>
          </w:tcPr>
          <w:p w14:paraId="21436232" w14:textId="77777777" w:rsidR="00055004" w:rsidRDefault="00365BD5">
            <w:pPr>
              <w:pStyle w:val="TableParagraph"/>
              <w:spacing w:before="47" w:line="223" w:lineRule="exact"/>
              <w:ind w:left="106"/>
              <w:rPr>
                <w:sz w:val="20"/>
              </w:rPr>
            </w:pPr>
            <w:r>
              <w:rPr>
                <w:sz w:val="20"/>
              </w:rPr>
              <w:t>Sector</w:t>
            </w:r>
          </w:p>
        </w:tc>
      </w:tr>
      <w:tr w:rsidR="00055004" w14:paraId="21436237" w14:textId="77777777">
        <w:trPr>
          <w:trHeight w:val="290"/>
        </w:trPr>
        <w:tc>
          <w:tcPr>
            <w:tcW w:w="3025" w:type="dxa"/>
          </w:tcPr>
          <w:p w14:paraId="21436234" w14:textId="77777777" w:rsidR="00055004" w:rsidRDefault="00365BD5">
            <w:pPr>
              <w:pStyle w:val="TableParagraph"/>
              <w:spacing w:before="47" w:line="223" w:lineRule="exact"/>
              <w:rPr>
                <w:sz w:val="20"/>
              </w:rPr>
            </w:pPr>
            <w:r>
              <w:rPr>
                <w:sz w:val="20"/>
              </w:rPr>
              <w:t>Normal replacement (NR)</w:t>
            </w:r>
          </w:p>
        </w:tc>
        <w:tc>
          <w:tcPr>
            <w:tcW w:w="3025" w:type="dxa"/>
          </w:tcPr>
          <w:p w14:paraId="21436235" w14:textId="77777777" w:rsidR="00055004" w:rsidRDefault="00365BD5">
            <w:pPr>
              <w:pStyle w:val="TableParagraph"/>
              <w:spacing w:before="47" w:line="223" w:lineRule="exact"/>
              <w:rPr>
                <w:sz w:val="20"/>
              </w:rPr>
            </w:pPr>
            <w:r>
              <w:rPr>
                <w:sz w:val="20"/>
              </w:rPr>
              <w:t>DnDeemed</w:t>
            </w:r>
          </w:p>
        </w:tc>
        <w:tc>
          <w:tcPr>
            <w:tcW w:w="3026" w:type="dxa"/>
          </w:tcPr>
          <w:p w14:paraId="21436236" w14:textId="77777777" w:rsidR="00055004" w:rsidRDefault="00365BD5">
            <w:pPr>
              <w:pStyle w:val="TableParagraph"/>
              <w:spacing w:before="47" w:line="223" w:lineRule="exact"/>
              <w:ind w:left="106"/>
              <w:rPr>
                <w:sz w:val="20"/>
              </w:rPr>
            </w:pPr>
            <w:r>
              <w:rPr>
                <w:sz w:val="20"/>
              </w:rPr>
              <w:t>Res</w:t>
            </w:r>
          </w:p>
        </w:tc>
      </w:tr>
      <w:tr w:rsidR="00055004" w14:paraId="2143623B" w14:textId="77777777">
        <w:trPr>
          <w:trHeight w:val="290"/>
        </w:trPr>
        <w:tc>
          <w:tcPr>
            <w:tcW w:w="3025" w:type="dxa"/>
          </w:tcPr>
          <w:p w14:paraId="21436238" w14:textId="77777777" w:rsidR="00055004" w:rsidRDefault="00365BD5">
            <w:pPr>
              <w:pStyle w:val="TableParagraph"/>
              <w:spacing w:before="47" w:line="223" w:lineRule="exact"/>
              <w:rPr>
                <w:sz w:val="20"/>
              </w:rPr>
            </w:pPr>
            <w:r>
              <w:rPr>
                <w:sz w:val="20"/>
              </w:rPr>
              <w:t>Normal replacement (NR)</w:t>
            </w:r>
          </w:p>
        </w:tc>
        <w:tc>
          <w:tcPr>
            <w:tcW w:w="3025" w:type="dxa"/>
          </w:tcPr>
          <w:p w14:paraId="21436239" w14:textId="77777777" w:rsidR="00055004" w:rsidRDefault="00365BD5">
            <w:pPr>
              <w:pStyle w:val="TableParagraph"/>
              <w:spacing w:before="47" w:line="223" w:lineRule="exact"/>
              <w:rPr>
                <w:sz w:val="20"/>
              </w:rPr>
            </w:pPr>
            <w:r>
              <w:rPr>
                <w:sz w:val="20"/>
              </w:rPr>
              <w:t>DnDeemDI</w:t>
            </w:r>
          </w:p>
        </w:tc>
        <w:tc>
          <w:tcPr>
            <w:tcW w:w="3026" w:type="dxa"/>
          </w:tcPr>
          <w:p w14:paraId="2143623A" w14:textId="77777777" w:rsidR="00055004" w:rsidRDefault="00365BD5">
            <w:pPr>
              <w:pStyle w:val="TableParagraph"/>
              <w:spacing w:before="47" w:line="223" w:lineRule="exact"/>
              <w:ind w:left="106"/>
              <w:rPr>
                <w:sz w:val="20"/>
              </w:rPr>
            </w:pPr>
            <w:r>
              <w:rPr>
                <w:sz w:val="20"/>
              </w:rPr>
              <w:t>Res</w:t>
            </w:r>
          </w:p>
        </w:tc>
      </w:tr>
      <w:tr w:rsidR="00055004" w14:paraId="2143623F" w14:textId="77777777">
        <w:trPr>
          <w:trHeight w:val="290"/>
        </w:trPr>
        <w:tc>
          <w:tcPr>
            <w:tcW w:w="3025" w:type="dxa"/>
          </w:tcPr>
          <w:p w14:paraId="2143623C" w14:textId="77777777" w:rsidR="00055004" w:rsidRDefault="00365BD5">
            <w:pPr>
              <w:pStyle w:val="TableParagraph"/>
              <w:spacing w:before="47" w:line="223" w:lineRule="exact"/>
              <w:rPr>
                <w:sz w:val="20"/>
              </w:rPr>
            </w:pPr>
            <w:r>
              <w:rPr>
                <w:sz w:val="20"/>
              </w:rPr>
              <w:t>Normal replacement (NR)</w:t>
            </w:r>
          </w:p>
        </w:tc>
        <w:tc>
          <w:tcPr>
            <w:tcW w:w="3025" w:type="dxa"/>
          </w:tcPr>
          <w:p w14:paraId="2143623D" w14:textId="77777777" w:rsidR="00055004" w:rsidRDefault="00365BD5">
            <w:pPr>
              <w:pStyle w:val="TableParagraph"/>
              <w:spacing w:before="47" w:line="223" w:lineRule="exact"/>
              <w:rPr>
                <w:sz w:val="20"/>
              </w:rPr>
            </w:pPr>
            <w:r>
              <w:rPr>
                <w:sz w:val="20"/>
              </w:rPr>
              <w:t>UpDeemed</w:t>
            </w:r>
          </w:p>
        </w:tc>
        <w:tc>
          <w:tcPr>
            <w:tcW w:w="3026" w:type="dxa"/>
          </w:tcPr>
          <w:p w14:paraId="2143623E" w14:textId="77777777" w:rsidR="00055004" w:rsidRDefault="00365BD5">
            <w:pPr>
              <w:pStyle w:val="TableParagraph"/>
              <w:spacing w:before="47" w:line="223" w:lineRule="exact"/>
              <w:ind w:left="106"/>
              <w:rPr>
                <w:sz w:val="20"/>
              </w:rPr>
            </w:pPr>
            <w:r>
              <w:rPr>
                <w:sz w:val="20"/>
              </w:rPr>
              <w:t>Res</w:t>
            </w:r>
          </w:p>
        </w:tc>
      </w:tr>
    </w:tbl>
    <w:p w14:paraId="21436240" w14:textId="77777777" w:rsidR="00055004" w:rsidRDefault="00055004">
      <w:pPr>
        <w:pStyle w:val="BodyText"/>
        <w:rPr>
          <w:sz w:val="20"/>
        </w:rPr>
      </w:pPr>
    </w:p>
    <w:p w14:paraId="21436241" w14:textId="77777777" w:rsidR="00055004" w:rsidRDefault="00055004">
      <w:pPr>
        <w:pStyle w:val="BodyText"/>
        <w:spacing w:before="6"/>
        <w:rPr>
          <w:sz w:val="21"/>
        </w:rPr>
      </w:pPr>
    </w:p>
    <w:p w14:paraId="21436242" w14:textId="77777777" w:rsidR="00055004" w:rsidRDefault="00365BD5">
      <w:pPr>
        <w:ind w:left="120"/>
        <w:rPr>
          <w:i/>
        </w:rPr>
      </w:pPr>
      <w:r>
        <w:rPr>
          <w:i/>
          <w:color w:val="5F5F5F"/>
        </w:rPr>
        <w:t xml:space="preserve">Eligible Products </w:t>
      </w:r>
    </w:p>
    <w:p w14:paraId="21436243" w14:textId="77777777" w:rsidR="00055004" w:rsidRDefault="00365BD5">
      <w:pPr>
        <w:pStyle w:val="ListParagraph"/>
        <w:numPr>
          <w:ilvl w:val="0"/>
          <w:numId w:val="1"/>
        </w:numPr>
        <w:tabs>
          <w:tab w:val="left" w:pos="840"/>
          <w:tab w:val="left" w:pos="841"/>
        </w:tabs>
        <w:spacing w:before="121"/>
        <w:ind w:hanging="361"/>
        <w:rPr>
          <w:rFonts w:ascii="Symbol" w:hAnsi="Symbol"/>
        </w:rPr>
      </w:pPr>
      <w:r>
        <w:t>The HVAC system must be functional/operable and drawing</w:t>
      </w:r>
      <w:r>
        <w:rPr>
          <w:spacing w:val="-14"/>
        </w:rPr>
        <w:t xml:space="preserve"> </w:t>
      </w:r>
      <w:r>
        <w:t>power.</w:t>
      </w:r>
    </w:p>
    <w:p w14:paraId="21436247" w14:textId="5A2EBBAF" w:rsidR="00055004" w:rsidRDefault="00365BD5" w:rsidP="00023B7C">
      <w:pPr>
        <w:pStyle w:val="ListParagraph"/>
        <w:numPr>
          <w:ilvl w:val="0"/>
          <w:numId w:val="1"/>
        </w:numPr>
        <w:tabs>
          <w:tab w:val="left" w:pos="840"/>
          <w:tab w:val="left" w:pos="841"/>
        </w:tabs>
        <w:spacing w:before="56"/>
        <w:ind w:right="1087"/>
      </w:pPr>
      <w:r>
        <w:t>The HVAC system shall be capable of delivering a supply air flow rate of at least 350 cfm/ton. The minimum 350 cfm/ton airflow requirement ensures that the refrigerant system can be properly diagnosed and charged as part of a maintenance service. If the system is not delivering 350 cfm/ton upon initial inspection, an assessment should be made to determine if the system will be able to deliver 350 cfm/ton by implementing repairs related to airflow. If it is determined</w:t>
      </w:r>
      <w:r w:rsidRPr="00E51701">
        <w:rPr>
          <w:spacing w:val="-22"/>
        </w:rPr>
        <w:t xml:space="preserve"> </w:t>
      </w:r>
      <w:r>
        <w:t>that</w:t>
      </w:r>
      <w:r w:rsidR="00E51701">
        <w:t xml:space="preserve"> </w:t>
      </w:r>
      <w:r>
        <w:t>the supply fan and duct system in place do not have the capability to deliver at least 350 cfm/ton with or without airflow repairs, the savings in this work paper are invalid.</w:t>
      </w:r>
    </w:p>
    <w:p w14:paraId="21436248" w14:textId="77777777" w:rsidR="00055004" w:rsidRDefault="00365BD5">
      <w:pPr>
        <w:pStyle w:val="ListParagraph"/>
        <w:numPr>
          <w:ilvl w:val="0"/>
          <w:numId w:val="1"/>
        </w:numPr>
        <w:tabs>
          <w:tab w:val="left" w:pos="840"/>
          <w:tab w:val="left" w:pos="841"/>
        </w:tabs>
        <w:spacing w:before="1"/>
        <w:ind w:right="1162"/>
        <w:rPr>
          <w:rFonts w:ascii="Symbol" w:hAnsi="Symbol"/>
        </w:rPr>
      </w:pPr>
      <w:r>
        <w:t>Replacement BFM motor capacity and rated voltage shall match that of existing fan motor being replace.</w:t>
      </w:r>
    </w:p>
    <w:p w14:paraId="21436249" w14:textId="77777777" w:rsidR="00055004" w:rsidRPr="00FC5C66" w:rsidRDefault="00365BD5">
      <w:pPr>
        <w:pStyle w:val="ListParagraph"/>
        <w:numPr>
          <w:ilvl w:val="0"/>
          <w:numId w:val="1"/>
        </w:numPr>
        <w:tabs>
          <w:tab w:val="left" w:pos="840"/>
          <w:tab w:val="left" w:pos="841"/>
        </w:tabs>
        <w:spacing w:before="1"/>
        <w:ind w:right="1437"/>
        <w:rPr>
          <w:rFonts w:ascii="Symbol" w:hAnsi="Symbol"/>
          <w:b/>
          <w:bCs/>
        </w:rPr>
      </w:pPr>
      <w:r w:rsidRPr="00FC5C66">
        <w:rPr>
          <w:b/>
          <w:bCs/>
        </w:rPr>
        <w:t>The replacement brushless fan motor (BFM) motor and motor controls assembly shall be “UL Listed.”</w:t>
      </w:r>
    </w:p>
    <w:p w14:paraId="2143624A" w14:textId="77777777" w:rsidR="00055004" w:rsidRDefault="00365BD5">
      <w:pPr>
        <w:pStyle w:val="ListParagraph"/>
        <w:numPr>
          <w:ilvl w:val="0"/>
          <w:numId w:val="1"/>
        </w:numPr>
        <w:tabs>
          <w:tab w:val="left" w:pos="840"/>
          <w:tab w:val="left" w:pos="841"/>
        </w:tabs>
        <w:spacing w:line="279" w:lineRule="exact"/>
        <w:ind w:hanging="361"/>
        <w:rPr>
          <w:rFonts w:ascii="Symbol" w:hAnsi="Symbol"/>
        </w:rPr>
      </w:pPr>
      <w:r>
        <w:t>The replacement BFM motor shall have a warranty of at least two years from date of</w:t>
      </w:r>
      <w:r>
        <w:rPr>
          <w:spacing w:val="-16"/>
        </w:rPr>
        <w:t xml:space="preserve"> </w:t>
      </w:r>
      <w:r>
        <w:t>installation.</w:t>
      </w:r>
    </w:p>
    <w:p w14:paraId="2143624B" w14:textId="77777777" w:rsidR="00055004" w:rsidRDefault="00365BD5">
      <w:pPr>
        <w:pStyle w:val="ListParagraph"/>
        <w:numPr>
          <w:ilvl w:val="0"/>
          <w:numId w:val="1"/>
        </w:numPr>
        <w:tabs>
          <w:tab w:val="left" w:pos="840"/>
          <w:tab w:val="left" w:pos="841"/>
        </w:tabs>
        <w:ind w:right="1335"/>
        <w:rPr>
          <w:rFonts w:ascii="Symbol" w:hAnsi="Symbol"/>
        </w:rPr>
      </w:pPr>
      <w:r>
        <w:t>The measure shall include HVAC system start-up. During the start-up, the installer shall ensure that system maintain programmed level airflows under both cooling and/or heating and that these are</w:t>
      </w:r>
      <w:r>
        <w:rPr>
          <w:spacing w:val="-2"/>
        </w:rPr>
        <w:t xml:space="preserve"> </w:t>
      </w:r>
      <w:r>
        <w:t>adequate.</w:t>
      </w:r>
    </w:p>
    <w:p w14:paraId="2143624C" w14:textId="77777777" w:rsidR="00055004" w:rsidRDefault="00365BD5">
      <w:pPr>
        <w:pStyle w:val="ListParagraph"/>
        <w:numPr>
          <w:ilvl w:val="0"/>
          <w:numId w:val="1"/>
        </w:numPr>
        <w:tabs>
          <w:tab w:val="left" w:pos="840"/>
          <w:tab w:val="left" w:pos="841"/>
        </w:tabs>
        <w:spacing w:before="1"/>
        <w:ind w:right="1081"/>
        <w:rPr>
          <w:rFonts w:ascii="Symbol" w:hAnsi="Symbol"/>
        </w:rPr>
      </w:pPr>
      <w:r>
        <w:t xml:space="preserve">The installation (as applicable) shall comply with all applicable regulations including but not </w:t>
      </w:r>
      <w:r>
        <w:lastRenderedPageBreak/>
        <w:t>limited to California Building Energy Efficiency Standards (Title-24), California Electrical Code, and NEC, and any applicable local jurisdiction</w:t>
      </w:r>
      <w:r>
        <w:rPr>
          <w:spacing w:val="-1"/>
        </w:rPr>
        <w:t xml:space="preserve"> </w:t>
      </w:r>
      <w:r>
        <w:t>regulations.</w:t>
      </w:r>
    </w:p>
    <w:p w14:paraId="2143624D" w14:textId="77777777" w:rsidR="00055004" w:rsidRDefault="00365BD5">
      <w:pPr>
        <w:pStyle w:val="ListParagraph"/>
        <w:numPr>
          <w:ilvl w:val="0"/>
          <w:numId w:val="1"/>
        </w:numPr>
        <w:tabs>
          <w:tab w:val="left" w:pos="840"/>
          <w:tab w:val="left" w:pos="841"/>
        </w:tabs>
        <w:ind w:right="1649"/>
        <w:rPr>
          <w:rFonts w:ascii="Symbol" w:hAnsi="Symbol"/>
        </w:rPr>
      </w:pPr>
      <w:r>
        <w:t>This measure only supports HVAC (evaporator) fan motors with nominal capacities of ½-hp and/or less typically serving HVAC systems with nominal capacities of 3.5 ton (or</w:t>
      </w:r>
      <w:r>
        <w:rPr>
          <w:spacing w:val="-26"/>
        </w:rPr>
        <w:t xml:space="preserve"> </w:t>
      </w:r>
      <w:r>
        <w:t>less).</w:t>
      </w:r>
    </w:p>
    <w:p w14:paraId="2143624E" w14:textId="77777777" w:rsidR="00055004" w:rsidRDefault="00365BD5">
      <w:pPr>
        <w:pStyle w:val="ListParagraph"/>
        <w:numPr>
          <w:ilvl w:val="0"/>
          <w:numId w:val="1"/>
        </w:numPr>
        <w:tabs>
          <w:tab w:val="left" w:pos="840"/>
          <w:tab w:val="left" w:pos="841"/>
        </w:tabs>
        <w:ind w:right="1023"/>
        <w:rPr>
          <w:rFonts w:ascii="Symbol" w:hAnsi="Symbol"/>
        </w:rPr>
      </w:pPr>
      <w:r>
        <w:t>The measure applies to units with shaded pole or permanent split capacitor (PSC) motors currently installed. As stated previously, the replacement motor is to be a brushless direct current motor with selectable speed control designed to replace a PSC motor in a residential direct drive fan application.</w:t>
      </w:r>
    </w:p>
    <w:p w14:paraId="2143624F" w14:textId="77777777" w:rsidR="00055004" w:rsidRDefault="00055004">
      <w:pPr>
        <w:pStyle w:val="BodyText"/>
      </w:pPr>
    </w:p>
    <w:p w14:paraId="21436251" w14:textId="77777777" w:rsidR="00055004" w:rsidRDefault="00365BD5">
      <w:pPr>
        <w:ind w:left="120"/>
        <w:rPr>
          <w:i/>
        </w:rPr>
      </w:pPr>
      <w:r>
        <w:rPr>
          <w:i/>
          <w:color w:val="5F5F5F"/>
        </w:rPr>
        <w:t>Eligible Building Types and</w:t>
      </w:r>
      <w:r>
        <w:rPr>
          <w:i/>
          <w:color w:val="5F5F5F"/>
          <w:spacing w:val="-14"/>
        </w:rPr>
        <w:t xml:space="preserve"> </w:t>
      </w:r>
      <w:r>
        <w:rPr>
          <w:i/>
          <w:color w:val="5F5F5F"/>
        </w:rPr>
        <w:t xml:space="preserve">Vintages </w:t>
      </w:r>
    </w:p>
    <w:p w14:paraId="21436252" w14:textId="77777777" w:rsidR="00055004" w:rsidRDefault="00365BD5">
      <w:pPr>
        <w:pStyle w:val="BodyText"/>
        <w:spacing w:before="121"/>
        <w:ind w:left="120" w:right="1118"/>
      </w:pPr>
      <w:r>
        <w:t>This measure is applicable for all residential buildings (single family, multifamily, and double-wide mobile homes) and all vintages.</w:t>
      </w:r>
    </w:p>
    <w:p w14:paraId="21436253" w14:textId="77777777" w:rsidR="00055004" w:rsidRDefault="00055004">
      <w:pPr>
        <w:pStyle w:val="BodyText"/>
      </w:pPr>
    </w:p>
    <w:p w14:paraId="21436255" w14:textId="77777777" w:rsidR="00055004" w:rsidRDefault="00365BD5">
      <w:pPr>
        <w:ind w:left="120"/>
        <w:rPr>
          <w:i/>
        </w:rPr>
      </w:pPr>
      <w:r>
        <w:rPr>
          <w:i/>
          <w:color w:val="5F5F5F"/>
        </w:rPr>
        <w:t xml:space="preserve">Eligible Climate Zones </w:t>
      </w:r>
    </w:p>
    <w:p w14:paraId="21436256" w14:textId="77777777" w:rsidR="00055004" w:rsidRDefault="00365BD5">
      <w:pPr>
        <w:pStyle w:val="BodyText"/>
        <w:spacing w:before="120"/>
        <w:ind w:left="120"/>
      </w:pPr>
      <w:r>
        <w:t>This measure is applicable in all California climate zones.</w:t>
      </w:r>
    </w:p>
    <w:p w14:paraId="21436257" w14:textId="77777777" w:rsidR="00055004" w:rsidRDefault="00055004">
      <w:pPr>
        <w:pStyle w:val="BodyText"/>
      </w:pPr>
    </w:p>
    <w:p w14:paraId="21436259" w14:textId="77777777" w:rsidR="00055004" w:rsidRDefault="00365BD5">
      <w:pPr>
        <w:pStyle w:val="Heading1"/>
      </w:pPr>
      <w:bookmarkStart w:id="9" w:name="_Toc57630579"/>
      <w:r>
        <w:rPr>
          <w:color w:val="CFAB79"/>
        </w:rPr>
        <w:t>PROGRAM EXCLUSIONS</w:t>
      </w:r>
      <w:bookmarkEnd w:id="9"/>
    </w:p>
    <w:p w14:paraId="2143625A" w14:textId="77777777" w:rsidR="00055004" w:rsidRDefault="00365BD5">
      <w:pPr>
        <w:pStyle w:val="BodyText"/>
        <w:spacing w:before="112"/>
        <w:ind w:left="120"/>
      </w:pPr>
      <w:r>
        <w:t>None.</w:t>
      </w:r>
    </w:p>
    <w:p w14:paraId="2143625B" w14:textId="77777777" w:rsidR="00055004" w:rsidRDefault="00055004">
      <w:pPr>
        <w:pStyle w:val="BodyText"/>
      </w:pPr>
    </w:p>
    <w:p w14:paraId="2143625D" w14:textId="77777777" w:rsidR="00055004" w:rsidRDefault="00365BD5">
      <w:pPr>
        <w:pStyle w:val="Heading1"/>
      </w:pPr>
      <w:bookmarkStart w:id="10" w:name="_Toc57630580"/>
      <w:r>
        <w:rPr>
          <w:color w:val="CFAB79"/>
        </w:rPr>
        <w:t>DATA COLLECTION REQUIREMENTS</w:t>
      </w:r>
      <w:bookmarkEnd w:id="10"/>
    </w:p>
    <w:p w14:paraId="2143625E" w14:textId="77777777" w:rsidR="00055004" w:rsidRDefault="00365BD5">
      <w:pPr>
        <w:pStyle w:val="BodyText"/>
        <w:spacing w:before="113"/>
        <w:ind w:left="120"/>
      </w:pPr>
      <w:r>
        <w:t>Data collection requirements are to be determined.</w:t>
      </w:r>
    </w:p>
    <w:p w14:paraId="2143625F" w14:textId="77777777" w:rsidR="00055004" w:rsidRDefault="00055004">
      <w:pPr>
        <w:pStyle w:val="BodyText"/>
      </w:pPr>
    </w:p>
    <w:p w14:paraId="21436261" w14:textId="77777777" w:rsidR="00055004" w:rsidRDefault="00365BD5">
      <w:pPr>
        <w:pStyle w:val="Heading1"/>
      </w:pPr>
      <w:bookmarkStart w:id="11" w:name="_Toc57630581"/>
      <w:r>
        <w:rPr>
          <w:color w:val="CFAB79"/>
        </w:rPr>
        <w:t>USE CATEGORY</w:t>
      </w:r>
      <w:bookmarkEnd w:id="11"/>
    </w:p>
    <w:p w14:paraId="21436262" w14:textId="77777777" w:rsidR="00055004" w:rsidRDefault="00365BD5">
      <w:pPr>
        <w:pStyle w:val="BodyText"/>
        <w:spacing w:before="115"/>
        <w:ind w:left="120"/>
      </w:pPr>
      <w:r>
        <w:t>HVAC</w:t>
      </w:r>
    </w:p>
    <w:p w14:paraId="1805F803" w14:textId="77777777" w:rsidR="00E51701" w:rsidRDefault="00E51701">
      <w:pPr>
        <w:pStyle w:val="Heading1"/>
        <w:spacing w:before="51"/>
        <w:rPr>
          <w:color w:val="CFAB79"/>
        </w:rPr>
      </w:pPr>
    </w:p>
    <w:p w14:paraId="30354843" w14:textId="77777777" w:rsidR="00E51701" w:rsidRDefault="00E51701">
      <w:pPr>
        <w:pStyle w:val="Heading1"/>
        <w:spacing w:before="51"/>
        <w:rPr>
          <w:color w:val="CFAB79"/>
        </w:rPr>
      </w:pPr>
    </w:p>
    <w:p w14:paraId="3DFB2C40" w14:textId="77777777" w:rsidR="00E51701" w:rsidRDefault="00E51701">
      <w:pPr>
        <w:pStyle w:val="Heading1"/>
        <w:spacing w:before="51"/>
        <w:rPr>
          <w:color w:val="CFAB79"/>
        </w:rPr>
      </w:pPr>
    </w:p>
    <w:p w14:paraId="31A6BFF2" w14:textId="77777777" w:rsidR="00E51701" w:rsidRDefault="00E51701">
      <w:pPr>
        <w:pStyle w:val="Heading1"/>
        <w:spacing w:before="51"/>
        <w:rPr>
          <w:color w:val="CFAB79"/>
        </w:rPr>
      </w:pPr>
    </w:p>
    <w:p w14:paraId="5E32BE4D" w14:textId="77777777" w:rsidR="00E51701" w:rsidRDefault="00E51701">
      <w:pPr>
        <w:pStyle w:val="Heading1"/>
        <w:spacing w:before="51"/>
        <w:rPr>
          <w:color w:val="CFAB79"/>
        </w:rPr>
      </w:pPr>
    </w:p>
    <w:p w14:paraId="423E468F" w14:textId="77777777" w:rsidR="00E51701" w:rsidRDefault="00E51701">
      <w:pPr>
        <w:pStyle w:val="Heading1"/>
        <w:spacing w:before="51"/>
        <w:rPr>
          <w:color w:val="CFAB79"/>
        </w:rPr>
      </w:pPr>
    </w:p>
    <w:p w14:paraId="43BBD80E" w14:textId="77777777" w:rsidR="00E51701" w:rsidRDefault="00E51701">
      <w:pPr>
        <w:pStyle w:val="Heading1"/>
        <w:spacing w:before="51"/>
        <w:rPr>
          <w:color w:val="CFAB79"/>
        </w:rPr>
      </w:pPr>
    </w:p>
    <w:p w14:paraId="2C6D988C" w14:textId="77777777" w:rsidR="00E51701" w:rsidRDefault="00E51701">
      <w:pPr>
        <w:pStyle w:val="Heading1"/>
        <w:spacing w:before="51"/>
        <w:rPr>
          <w:color w:val="CFAB79"/>
        </w:rPr>
      </w:pPr>
    </w:p>
    <w:p w14:paraId="2D119904" w14:textId="77777777" w:rsidR="00E51701" w:rsidRDefault="00E51701">
      <w:pPr>
        <w:pStyle w:val="Heading1"/>
        <w:spacing w:before="51"/>
        <w:rPr>
          <w:color w:val="CFAB79"/>
        </w:rPr>
      </w:pPr>
    </w:p>
    <w:p w14:paraId="71216CF9" w14:textId="77777777" w:rsidR="00E51701" w:rsidRDefault="00E51701">
      <w:pPr>
        <w:pStyle w:val="Heading1"/>
        <w:spacing w:before="51"/>
        <w:rPr>
          <w:color w:val="CFAB79"/>
        </w:rPr>
      </w:pPr>
    </w:p>
    <w:p w14:paraId="07A60863" w14:textId="77777777" w:rsidR="00E51701" w:rsidRDefault="00E51701">
      <w:pPr>
        <w:pStyle w:val="Heading1"/>
        <w:spacing w:before="51"/>
        <w:rPr>
          <w:color w:val="CFAB79"/>
        </w:rPr>
      </w:pPr>
    </w:p>
    <w:p w14:paraId="18C9E170" w14:textId="77777777" w:rsidR="00E51701" w:rsidRDefault="00E51701">
      <w:pPr>
        <w:pStyle w:val="Heading1"/>
        <w:spacing w:before="51"/>
        <w:rPr>
          <w:color w:val="CFAB79"/>
        </w:rPr>
      </w:pPr>
    </w:p>
    <w:p w14:paraId="3A507E12" w14:textId="77777777" w:rsidR="00E51701" w:rsidRDefault="00E51701">
      <w:pPr>
        <w:pStyle w:val="Heading1"/>
        <w:spacing w:before="51"/>
        <w:rPr>
          <w:color w:val="CFAB79"/>
        </w:rPr>
      </w:pPr>
    </w:p>
    <w:p w14:paraId="7640CABA" w14:textId="77777777" w:rsidR="00E51701" w:rsidRDefault="00E51701">
      <w:pPr>
        <w:pStyle w:val="Heading1"/>
        <w:spacing w:before="51"/>
        <w:rPr>
          <w:color w:val="CFAB79"/>
        </w:rPr>
      </w:pPr>
    </w:p>
    <w:p w14:paraId="6D18865E" w14:textId="77777777" w:rsidR="00E51701" w:rsidRDefault="00E51701">
      <w:pPr>
        <w:pStyle w:val="Heading1"/>
        <w:spacing w:before="51"/>
        <w:rPr>
          <w:color w:val="CFAB79"/>
        </w:rPr>
      </w:pPr>
    </w:p>
    <w:p w14:paraId="3508B22B" w14:textId="77777777" w:rsidR="00E51701" w:rsidRDefault="00E51701">
      <w:pPr>
        <w:pStyle w:val="Heading1"/>
        <w:spacing w:before="51"/>
        <w:rPr>
          <w:color w:val="CFAB79"/>
        </w:rPr>
      </w:pPr>
    </w:p>
    <w:p w14:paraId="27C34C9B" w14:textId="77777777" w:rsidR="00E51701" w:rsidRDefault="00E51701">
      <w:pPr>
        <w:pStyle w:val="Heading1"/>
        <w:spacing w:before="51"/>
        <w:rPr>
          <w:color w:val="CFAB79"/>
        </w:rPr>
      </w:pPr>
    </w:p>
    <w:p w14:paraId="21436265" w14:textId="29A7DC83" w:rsidR="00055004" w:rsidRDefault="00365BD5">
      <w:pPr>
        <w:pStyle w:val="Heading1"/>
        <w:spacing w:before="51"/>
      </w:pPr>
      <w:bookmarkStart w:id="12" w:name="_Toc57630582"/>
      <w:r>
        <w:rPr>
          <w:color w:val="CFAB79"/>
        </w:rPr>
        <w:lastRenderedPageBreak/>
        <w:t>ELECTRIC SAVINGS (KWH)</w:t>
      </w:r>
      <w:bookmarkEnd w:id="12"/>
    </w:p>
    <w:p w14:paraId="21436266" w14:textId="5F8D7DEF" w:rsidR="00055004" w:rsidRDefault="00365BD5">
      <w:pPr>
        <w:pStyle w:val="BodyText"/>
        <w:spacing w:before="117" w:line="237" w:lineRule="auto"/>
        <w:ind w:left="120" w:right="1317"/>
      </w:pPr>
      <w:r>
        <w:t xml:space="preserve">MASControl3 </w:t>
      </w:r>
      <w:r w:rsidR="00FC5C66">
        <w:t xml:space="preserve">(and/or DEER) </w:t>
      </w:r>
      <w:r>
        <w:t xml:space="preserve">does not have a measure for BFM. Hence, an existing measure “RE-HV-ResAC-lt45kBtuh- 14S” for Residential HVAC was replicated and modified as follows: </w:t>
      </w:r>
      <w:r>
        <w:rPr>
          <w:vertAlign w:val="superscript"/>
        </w:rPr>
        <w:t>6</w:t>
      </w:r>
      <w:r>
        <w:t xml:space="preserve"> </w:t>
      </w:r>
      <w:r>
        <w:rPr>
          <w:vertAlign w:val="superscript"/>
        </w:rPr>
        <w:t>7</w:t>
      </w:r>
    </w:p>
    <w:p w14:paraId="21436267" w14:textId="77942B1A" w:rsidR="00055004" w:rsidRDefault="00365BD5">
      <w:pPr>
        <w:pStyle w:val="ListParagraph"/>
        <w:numPr>
          <w:ilvl w:val="0"/>
          <w:numId w:val="1"/>
        </w:numPr>
        <w:tabs>
          <w:tab w:val="left" w:pos="840"/>
          <w:tab w:val="left" w:pos="841"/>
        </w:tabs>
        <w:spacing w:before="122" w:line="242" w:lineRule="auto"/>
        <w:ind w:right="1352"/>
        <w:rPr>
          <w:rFonts w:ascii="Symbol" w:hAnsi="Symbol"/>
          <w:color w:val="404040"/>
          <w:sz w:val="20"/>
        </w:rPr>
      </w:pPr>
      <w:r>
        <w:t xml:space="preserve">A </w:t>
      </w:r>
      <w:proofErr w:type="spellStart"/>
      <w:r>
        <w:t>MeasureID</w:t>
      </w:r>
      <w:proofErr w:type="spellEnd"/>
      <w:r>
        <w:t xml:space="preserve"> was created with three new </w:t>
      </w:r>
      <w:proofErr w:type="spellStart"/>
      <w:r>
        <w:t>TechIDs</w:t>
      </w:r>
      <w:proofErr w:type="spellEnd"/>
      <w:r>
        <w:t xml:space="preserve"> in the </w:t>
      </w:r>
      <w:proofErr w:type="spellStart"/>
      <w:r>
        <w:t>StdTechID</w:t>
      </w:r>
      <w:proofErr w:type="spellEnd"/>
      <w:r>
        <w:t xml:space="preserve"> and </w:t>
      </w:r>
      <w:proofErr w:type="spellStart"/>
      <w:r>
        <w:t>MsrTechID</w:t>
      </w:r>
      <w:proofErr w:type="spellEnd"/>
      <w:r>
        <w:t xml:space="preserve"> fields.</w:t>
      </w:r>
    </w:p>
    <w:p w14:paraId="21436268" w14:textId="77777777" w:rsidR="00055004" w:rsidRDefault="00365BD5">
      <w:pPr>
        <w:pStyle w:val="ListParagraph"/>
        <w:numPr>
          <w:ilvl w:val="0"/>
          <w:numId w:val="1"/>
        </w:numPr>
        <w:tabs>
          <w:tab w:val="left" w:pos="840"/>
          <w:tab w:val="left" w:pos="841"/>
        </w:tabs>
        <w:spacing w:before="16"/>
        <w:ind w:hanging="361"/>
        <w:rPr>
          <w:rFonts w:ascii="Symbol" w:hAnsi="Symbol"/>
          <w:color w:val="404040"/>
          <w:sz w:val="20"/>
        </w:rPr>
      </w:pPr>
      <w:r>
        <w:t>A new global parameter “</w:t>
      </w:r>
      <w:proofErr w:type="spellStart"/>
      <w:r>
        <w:t>SupplyMtrClass</w:t>
      </w:r>
      <w:proofErr w:type="spellEnd"/>
      <w:r>
        <w:t>” for “SUPPLY-MTR-CLASS” has been</w:t>
      </w:r>
      <w:r>
        <w:rPr>
          <w:spacing w:val="-9"/>
        </w:rPr>
        <w:t xml:space="preserve"> </w:t>
      </w:r>
      <w:r>
        <w:t>added.</w:t>
      </w:r>
    </w:p>
    <w:p w14:paraId="21436269" w14:textId="77777777" w:rsidR="00055004" w:rsidRDefault="00365BD5">
      <w:pPr>
        <w:pStyle w:val="ListParagraph"/>
        <w:numPr>
          <w:ilvl w:val="0"/>
          <w:numId w:val="1"/>
        </w:numPr>
        <w:tabs>
          <w:tab w:val="left" w:pos="840"/>
          <w:tab w:val="left" w:pos="841"/>
        </w:tabs>
        <w:spacing w:before="20"/>
        <w:ind w:hanging="361"/>
        <w:rPr>
          <w:rFonts w:ascii="Symbol" w:hAnsi="Symbol"/>
          <w:color w:val="404040"/>
          <w:sz w:val="20"/>
        </w:rPr>
      </w:pPr>
      <w:r>
        <w:t>The following values were assigned for the for the parameter and</w:t>
      </w:r>
      <w:r>
        <w:rPr>
          <w:spacing w:val="-8"/>
        </w:rPr>
        <w:t xml:space="preserve"> </w:t>
      </w:r>
      <w:proofErr w:type="spellStart"/>
      <w:r>
        <w:t>TechIDs</w:t>
      </w:r>
      <w:proofErr w:type="spellEnd"/>
      <w:r>
        <w:t>.</w:t>
      </w:r>
    </w:p>
    <w:p w14:paraId="2143626A" w14:textId="77777777" w:rsidR="00055004" w:rsidRDefault="00055004">
      <w:pPr>
        <w:pStyle w:val="BodyText"/>
        <w:rPr>
          <w:sz w:val="20"/>
        </w:rPr>
      </w:pPr>
    </w:p>
    <w:p w14:paraId="2143626B" w14:textId="77777777" w:rsidR="00055004" w:rsidRDefault="00055004">
      <w:pPr>
        <w:pStyle w:val="BodyText"/>
        <w:spacing w:before="9"/>
        <w:rPr>
          <w:sz w:val="21"/>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183"/>
        <w:gridCol w:w="1205"/>
        <w:gridCol w:w="943"/>
        <w:gridCol w:w="1239"/>
        <w:gridCol w:w="1349"/>
        <w:gridCol w:w="1585"/>
        <w:gridCol w:w="2139"/>
      </w:tblGrid>
      <w:tr w:rsidR="00055004" w14:paraId="2143627C" w14:textId="77777777">
        <w:trPr>
          <w:trHeight w:val="772"/>
        </w:trPr>
        <w:tc>
          <w:tcPr>
            <w:tcW w:w="1183" w:type="dxa"/>
            <w:shd w:val="clear" w:color="auto" w:fill="F1F1F1"/>
          </w:tcPr>
          <w:p w14:paraId="2143626C" w14:textId="77777777" w:rsidR="00055004" w:rsidRDefault="00055004">
            <w:pPr>
              <w:pStyle w:val="TableParagraph"/>
              <w:spacing w:before="0"/>
              <w:ind w:left="0"/>
              <w:rPr>
                <w:sz w:val="20"/>
              </w:rPr>
            </w:pPr>
          </w:p>
          <w:p w14:paraId="2143626D" w14:textId="77777777" w:rsidR="00055004" w:rsidRDefault="00055004">
            <w:pPr>
              <w:pStyle w:val="TableParagraph"/>
              <w:spacing w:before="9"/>
              <w:ind w:left="0"/>
              <w:rPr>
                <w:sz w:val="21"/>
              </w:rPr>
            </w:pPr>
          </w:p>
          <w:p w14:paraId="2143626E" w14:textId="77777777" w:rsidR="00055004" w:rsidRDefault="00365BD5">
            <w:pPr>
              <w:pStyle w:val="TableParagraph"/>
              <w:spacing w:before="0" w:line="242" w:lineRule="exact"/>
              <w:ind w:left="87" w:right="74"/>
              <w:jc w:val="center"/>
              <w:rPr>
                <w:sz w:val="20"/>
              </w:rPr>
            </w:pPr>
            <w:proofErr w:type="spellStart"/>
            <w:r>
              <w:rPr>
                <w:sz w:val="20"/>
              </w:rPr>
              <w:t>TechID</w:t>
            </w:r>
            <w:proofErr w:type="spellEnd"/>
          </w:p>
        </w:tc>
        <w:tc>
          <w:tcPr>
            <w:tcW w:w="1205" w:type="dxa"/>
            <w:shd w:val="clear" w:color="auto" w:fill="F1F1F1"/>
          </w:tcPr>
          <w:p w14:paraId="2143626F" w14:textId="77777777" w:rsidR="00055004" w:rsidRDefault="00055004">
            <w:pPr>
              <w:pStyle w:val="TableParagraph"/>
              <w:spacing w:before="9"/>
              <w:ind w:left="0"/>
              <w:rPr>
                <w:sz w:val="21"/>
              </w:rPr>
            </w:pPr>
          </w:p>
          <w:p w14:paraId="21436270" w14:textId="77777777" w:rsidR="00055004" w:rsidRDefault="00365BD5">
            <w:pPr>
              <w:pStyle w:val="TableParagraph"/>
              <w:spacing w:before="0" w:line="240" w:lineRule="atLeast"/>
              <w:ind w:left="160" w:firstLine="168"/>
              <w:rPr>
                <w:sz w:val="20"/>
              </w:rPr>
            </w:pPr>
            <w:proofErr w:type="spellStart"/>
            <w:r>
              <w:rPr>
                <w:sz w:val="20"/>
              </w:rPr>
              <w:t>TechID</w:t>
            </w:r>
            <w:proofErr w:type="spellEnd"/>
            <w:r>
              <w:rPr>
                <w:sz w:val="20"/>
              </w:rPr>
              <w:t xml:space="preserve"> </w:t>
            </w:r>
            <w:r>
              <w:rPr>
                <w:w w:val="95"/>
                <w:sz w:val="20"/>
              </w:rPr>
              <w:t>description</w:t>
            </w:r>
          </w:p>
        </w:tc>
        <w:tc>
          <w:tcPr>
            <w:tcW w:w="943" w:type="dxa"/>
            <w:shd w:val="clear" w:color="auto" w:fill="F1F1F1"/>
          </w:tcPr>
          <w:p w14:paraId="21436271" w14:textId="77777777" w:rsidR="00055004" w:rsidRDefault="00365BD5">
            <w:pPr>
              <w:pStyle w:val="TableParagraph"/>
              <w:spacing w:line="240" w:lineRule="atLeast"/>
              <w:ind w:left="124" w:right="113"/>
              <w:jc w:val="center"/>
              <w:rPr>
                <w:sz w:val="20"/>
              </w:rPr>
            </w:pPr>
            <w:r>
              <w:rPr>
                <w:sz w:val="20"/>
              </w:rPr>
              <w:t>SUPPLY- MTR- CLASS</w:t>
            </w:r>
          </w:p>
        </w:tc>
        <w:tc>
          <w:tcPr>
            <w:tcW w:w="1239" w:type="dxa"/>
            <w:shd w:val="clear" w:color="auto" w:fill="F1F1F1"/>
          </w:tcPr>
          <w:p w14:paraId="21436272" w14:textId="77777777" w:rsidR="00055004" w:rsidRDefault="00055004">
            <w:pPr>
              <w:pStyle w:val="TableParagraph"/>
              <w:spacing w:before="9"/>
              <w:ind w:left="0"/>
              <w:rPr>
                <w:sz w:val="21"/>
              </w:rPr>
            </w:pPr>
          </w:p>
          <w:p w14:paraId="21436273" w14:textId="77777777" w:rsidR="00055004" w:rsidRDefault="00365BD5">
            <w:pPr>
              <w:pStyle w:val="TableParagraph"/>
              <w:spacing w:before="0" w:line="240" w:lineRule="atLeast"/>
              <w:ind w:left="134" w:firstLine="232"/>
              <w:rPr>
                <w:sz w:val="20"/>
              </w:rPr>
            </w:pPr>
            <w:r>
              <w:rPr>
                <w:sz w:val="20"/>
              </w:rPr>
              <w:t>Motor Technology</w:t>
            </w:r>
            <w:r>
              <w:rPr>
                <w:sz w:val="20"/>
                <w:vertAlign w:val="superscript"/>
              </w:rPr>
              <w:t>*</w:t>
            </w:r>
          </w:p>
        </w:tc>
        <w:tc>
          <w:tcPr>
            <w:tcW w:w="1349" w:type="dxa"/>
            <w:shd w:val="clear" w:color="auto" w:fill="F1F1F1"/>
          </w:tcPr>
          <w:p w14:paraId="21436274" w14:textId="77777777" w:rsidR="00055004" w:rsidRDefault="00055004">
            <w:pPr>
              <w:pStyle w:val="TableParagraph"/>
              <w:spacing w:before="0"/>
              <w:ind w:left="0"/>
              <w:rPr>
                <w:sz w:val="20"/>
              </w:rPr>
            </w:pPr>
          </w:p>
          <w:p w14:paraId="21436275" w14:textId="77777777" w:rsidR="00055004" w:rsidRDefault="00055004">
            <w:pPr>
              <w:pStyle w:val="TableParagraph"/>
              <w:spacing w:before="9"/>
              <w:ind w:left="0"/>
              <w:rPr>
                <w:sz w:val="21"/>
              </w:rPr>
            </w:pPr>
          </w:p>
          <w:p w14:paraId="21436276" w14:textId="77777777" w:rsidR="00055004" w:rsidRDefault="00365BD5">
            <w:pPr>
              <w:pStyle w:val="TableParagraph"/>
              <w:spacing w:before="0" w:line="242" w:lineRule="exact"/>
              <w:ind w:left="87" w:right="74"/>
              <w:jc w:val="center"/>
              <w:rPr>
                <w:sz w:val="20"/>
              </w:rPr>
            </w:pPr>
            <w:r>
              <w:rPr>
                <w:sz w:val="20"/>
              </w:rPr>
              <w:t>FAN-EIR-FPLR</w:t>
            </w:r>
          </w:p>
        </w:tc>
        <w:tc>
          <w:tcPr>
            <w:tcW w:w="1585" w:type="dxa"/>
            <w:shd w:val="clear" w:color="auto" w:fill="F1F1F1"/>
          </w:tcPr>
          <w:p w14:paraId="21436277" w14:textId="77777777" w:rsidR="00055004" w:rsidRDefault="00365BD5">
            <w:pPr>
              <w:pStyle w:val="TableParagraph"/>
              <w:ind w:left="382" w:right="354" w:firstLine="86"/>
              <w:rPr>
                <w:sz w:val="20"/>
              </w:rPr>
            </w:pPr>
            <w:r>
              <w:rPr>
                <w:sz w:val="20"/>
              </w:rPr>
              <w:t xml:space="preserve">SUPPLY- </w:t>
            </w:r>
            <w:r>
              <w:rPr>
                <w:spacing w:val="-2"/>
                <w:sz w:val="20"/>
              </w:rPr>
              <w:t>KW/FLOW</w:t>
            </w:r>
          </w:p>
          <w:p w14:paraId="21436278" w14:textId="77777777" w:rsidR="00055004" w:rsidRDefault="00365BD5">
            <w:pPr>
              <w:pStyle w:val="TableParagraph"/>
              <w:spacing w:before="2" w:line="242" w:lineRule="exact"/>
              <w:ind w:left="418"/>
              <w:rPr>
                <w:sz w:val="20"/>
              </w:rPr>
            </w:pPr>
            <w:r>
              <w:rPr>
                <w:sz w:val="20"/>
              </w:rPr>
              <w:t>(kW/cfm)</w:t>
            </w:r>
          </w:p>
        </w:tc>
        <w:tc>
          <w:tcPr>
            <w:tcW w:w="2139" w:type="dxa"/>
            <w:shd w:val="clear" w:color="auto" w:fill="F1F1F1"/>
          </w:tcPr>
          <w:p w14:paraId="21436279" w14:textId="77777777" w:rsidR="00055004" w:rsidRDefault="00055004">
            <w:pPr>
              <w:pStyle w:val="TableParagraph"/>
              <w:spacing w:before="0"/>
              <w:ind w:left="0"/>
              <w:rPr>
                <w:sz w:val="20"/>
              </w:rPr>
            </w:pPr>
          </w:p>
          <w:p w14:paraId="2143627A" w14:textId="77777777" w:rsidR="00055004" w:rsidRDefault="00055004">
            <w:pPr>
              <w:pStyle w:val="TableParagraph"/>
              <w:spacing w:before="9"/>
              <w:ind w:left="0"/>
              <w:rPr>
                <w:sz w:val="21"/>
              </w:rPr>
            </w:pPr>
          </w:p>
          <w:p w14:paraId="2143627B" w14:textId="77777777" w:rsidR="00055004" w:rsidRDefault="00365BD5">
            <w:pPr>
              <w:pStyle w:val="TableParagraph"/>
              <w:spacing w:before="0" w:line="242" w:lineRule="exact"/>
              <w:ind w:left="770" w:right="767"/>
              <w:jc w:val="center"/>
              <w:rPr>
                <w:sz w:val="20"/>
              </w:rPr>
            </w:pPr>
            <w:r>
              <w:rPr>
                <w:sz w:val="20"/>
              </w:rPr>
              <w:t>Source</w:t>
            </w:r>
          </w:p>
        </w:tc>
      </w:tr>
      <w:tr w:rsidR="00055004" w14:paraId="21436285" w14:textId="77777777">
        <w:trPr>
          <w:trHeight w:val="1504"/>
        </w:trPr>
        <w:tc>
          <w:tcPr>
            <w:tcW w:w="1183" w:type="dxa"/>
          </w:tcPr>
          <w:p w14:paraId="2143627D" w14:textId="77777777" w:rsidR="00055004" w:rsidRDefault="00365BD5">
            <w:pPr>
              <w:pStyle w:val="TableParagraph"/>
              <w:spacing w:before="21"/>
              <w:ind w:left="34" w:right="175"/>
              <w:jc w:val="center"/>
              <w:rPr>
                <w:sz w:val="20"/>
              </w:rPr>
            </w:pPr>
            <w:proofErr w:type="spellStart"/>
            <w:r>
              <w:rPr>
                <w:sz w:val="20"/>
              </w:rPr>
              <w:t>StdTechID</w:t>
            </w:r>
            <w:proofErr w:type="spellEnd"/>
          </w:p>
        </w:tc>
        <w:tc>
          <w:tcPr>
            <w:tcW w:w="1205" w:type="dxa"/>
          </w:tcPr>
          <w:p w14:paraId="2143627E" w14:textId="77777777" w:rsidR="00055004" w:rsidRDefault="00365BD5">
            <w:pPr>
              <w:pStyle w:val="TableParagraph"/>
              <w:spacing w:before="21"/>
              <w:rPr>
                <w:sz w:val="20"/>
              </w:rPr>
            </w:pPr>
            <w:r>
              <w:rPr>
                <w:sz w:val="20"/>
              </w:rPr>
              <w:t>Standard</w:t>
            </w:r>
          </w:p>
        </w:tc>
        <w:tc>
          <w:tcPr>
            <w:tcW w:w="943" w:type="dxa"/>
          </w:tcPr>
          <w:p w14:paraId="2143627F" w14:textId="77777777" w:rsidR="00055004" w:rsidRDefault="00365BD5">
            <w:pPr>
              <w:pStyle w:val="TableParagraph"/>
              <w:spacing w:before="21"/>
              <w:ind w:left="108"/>
              <w:rPr>
                <w:sz w:val="20"/>
              </w:rPr>
            </w:pPr>
            <w:r>
              <w:rPr>
                <w:sz w:val="20"/>
              </w:rPr>
              <w:t>High Eff</w:t>
            </w:r>
          </w:p>
        </w:tc>
        <w:tc>
          <w:tcPr>
            <w:tcW w:w="1239" w:type="dxa"/>
          </w:tcPr>
          <w:p w14:paraId="21436280" w14:textId="77777777" w:rsidR="00055004" w:rsidRDefault="00365BD5">
            <w:pPr>
              <w:pStyle w:val="TableParagraph"/>
              <w:spacing w:before="21"/>
              <w:ind w:left="108"/>
              <w:rPr>
                <w:sz w:val="20"/>
              </w:rPr>
            </w:pPr>
            <w:r>
              <w:rPr>
                <w:sz w:val="20"/>
              </w:rPr>
              <w:t>PSC</w:t>
            </w:r>
          </w:p>
        </w:tc>
        <w:tc>
          <w:tcPr>
            <w:tcW w:w="1349" w:type="dxa"/>
          </w:tcPr>
          <w:p w14:paraId="21436281" w14:textId="77777777" w:rsidR="00055004" w:rsidRDefault="00365BD5">
            <w:pPr>
              <w:pStyle w:val="TableParagraph"/>
              <w:spacing w:before="21"/>
              <w:ind w:left="87" w:right="84"/>
              <w:jc w:val="center"/>
              <w:rPr>
                <w:sz w:val="20"/>
              </w:rPr>
            </w:pPr>
            <w:proofErr w:type="spellStart"/>
            <w:r>
              <w:rPr>
                <w:sz w:val="20"/>
              </w:rPr>
              <w:t>TwoSpeedFan</w:t>
            </w:r>
            <w:proofErr w:type="spellEnd"/>
          </w:p>
        </w:tc>
        <w:tc>
          <w:tcPr>
            <w:tcW w:w="1585" w:type="dxa"/>
          </w:tcPr>
          <w:p w14:paraId="21436282" w14:textId="77777777" w:rsidR="00055004" w:rsidRDefault="00365BD5">
            <w:pPr>
              <w:pStyle w:val="TableParagraph"/>
              <w:spacing w:before="21"/>
              <w:ind w:left="108"/>
              <w:rPr>
                <w:sz w:val="20"/>
              </w:rPr>
            </w:pPr>
            <w:r>
              <w:rPr>
                <w:sz w:val="20"/>
              </w:rPr>
              <w:t>0.000580</w:t>
            </w:r>
          </w:p>
        </w:tc>
        <w:tc>
          <w:tcPr>
            <w:tcW w:w="2139" w:type="dxa"/>
          </w:tcPr>
          <w:p w14:paraId="21436283" w14:textId="77777777" w:rsidR="00055004" w:rsidRDefault="00365BD5">
            <w:pPr>
              <w:pStyle w:val="TableParagraph"/>
              <w:spacing w:before="21"/>
              <w:ind w:left="105" w:right="98"/>
              <w:rPr>
                <w:sz w:val="20"/>
              </w:rPr>
            </w:pPr>
            <w:r>
              <w:rPr>
                <w:sz w:val="20"/>
              </w:rPr>
              <w:t>California 2019 Building Energy Efficiency Standards (Part 6, Title 24)</w:t>
            </w:r>
            <w:r>
              <w:rPr>
                <w:sz w:val="20"/>
                <w:vertAlign w:val="superscript"/>
              </w:rPr>
              <w:t>8</w:t>
            </w:r>
            <w:r>
              <w:rPr>
                <w:sz w:val="20"/>
              </w:rPr>
              <w:t xml:space="preserve"> for Air-Handling Units that are not Gas</w:t>
            </w:r>
          </w:p>
          <w:p w14:paraId="21436284" w14:textId="77777777" w:rsidR="00055004" w:rsidRDefault="00365BD5">
            <w:pPr>
              <w:pStyle w:val="TableParagraph"/>
              <w:spacing w:before="1" w:line="242" w:lineRule="exact"/>
              <w:ind w:left="105"/>
              <w:rPr>
                <w:sz w:val="20"/>
              </w:rPr>
            </w:pPr>
            <w:r>
              <w:rPr>
                <w:sz w:val="20"/>
              </w:rPr>
              <w:t>Furnaces.</w:t>
            </w:r>
          </w:p>
        </w:tc>
      </w:tr>
      <w:tr w:rsidR="00055004" w14:paraId="2143628E" w14:textId="77777777">
        <w:trPr>
          <w:trHeight w:val="1262"/>
        </w:trPr>
        <w:tc>
          <w:tcPr>
            <w:tcW w:w="1183" w:type="dxa"/>
          </w:tcPr>
          <w:p w14:paraId="21436286" w14:textId="77777777" w:rsidR="00055004" w:rsidRDefault="00365BD5">
            <w:pPr>
              <w:pStyle w:val="TableParagraph"/>
              <w:spacing w:before="23"/>
              <w:ind w:left="87" w:right="175"/>
              <w:jc w:val="center"/>
              <w:rPr>
                <w:sz w:val="20"/>
              </w:rPr>
            </w:pPr>
            <w:proofErr w:type="spellStart"/>
            <w:r>
              <w:rPr>
                <w:sz w:val="20"/>
              </w:rPr>
              <w:t>MsrTechID</w:t>
            </w:r>
            <w:proofErr w:type="spellEnd"/>
          </w:p>
        </w:tc>
        <w:tc>
          <w:tcPr>
            <w:tcW w:w="1205" w:type="dxa"/>
          </w:tcPr>
          <w:p w14:paraId="21436287" w14:textId="77777777" w:rsidR="00055004" w:rsidRDefault="00365BD5">
            <w:pPr>
              <w:pStyle w:val="TableParagraph"/>
              <w:spacing w:before="23"/>
              <w:rPr>
                <w:sz w:val="20"/>
              </w:rPr>
            </w:pPr>
            <w:r>
              <w:rPr>
                <w:sz w:val="20"/>
              </w:rPr>
              <w:t>Measure</w:t>
            </w:r>
          </w:p>
        </w:tc>
        <w:tc>
          <w:tcPr>
            <w:tcW w:w="943" w:type="dxa"/>
          </w:tcPr>
          <w:p w14:paraId="21436288" w14:textId="77777777" w:rsidR="00055004" w:rsidRDefault="00365BD5">
            <w:pPr>
              <w:pStyle w:val="TableParagraph"/>
              <w:spacing w:before="23"/>
              <w:ind w:left="108"/>
              <w:rPr>
                <w:sz w:val="20"/>
              </w:rPr>
            </w:pPr>
            <w:r>
              <w:rPr>
                <w:sz w:val="20"/>
              </w:rPr>
              <w:t>Prem Eff</w:t>
            </w:r>
          </w:p>
        </w:tc>
        <w:tc>
          <w:tcPr>
            <w:tcW w:w="1239" w:type="dxa"/>
          </w:tcPr>
          <w:p w14:paraId="21436289" w14:textId="77777777" w:rsidR="00055004" w:rsidRDefault="00365BD5">
            <w:pPr>
              <w:pStyle w:val="TableParagraph"/>
              <w:spacing w:before="23"/>
              <w:ind w:left="108"/>
              <w:rPr>
                <w:sz w:val="20"/>
              </w:rPr>
            </w:pPr>
            <w:r>
              <w:rPr>
                <w:sz w:val="20"/>
              </w:rPr>
              <w:t>ECM</w:t>
            </w:r>
          </w:p>
        </w:tc>
        <w:tc>
          <w:tcPr>
            <w:tcW w:w="1349" w:type="dxa"/>
          </w:tcPr>
          <w:p w14:paraId="2143628A" w14:textId="77777777" w:rsidR="00055004" w:rsidRDefault="00365BD5">
            <w:pPr>
              <w:pStyle w:val="TableParagraph"/>
              <w:spacing w:before="23"/>
              <w:ind w:left="108" w:right="248"/>
              <w:rPr>
                <w:sz w:val="20"/>
              </w:rPr>
            </w:pPr>
            <w:r>
              <w:rPr>
                <w:sz w:val="20"/>
              </w:rPr>
              <w:t>Variable Speed Drive FPLR</w:t>
            </w:r>
          </w:p>
        </w:tc>
        <w:tc>
          <w:tcPr>
            <w:tcW w:w="1585" w:type="dxa"/>
          </w:tcPr>
          <w:p w14:paraId="2143628B" w14:textId="77777777" w:rsidR="00055004" w:rsidRDefault="00365BD5">
            <w:pPr>
              <w:pStyle w:val="TableParagraph"/>
              <w:spacing w:before="23"/>
              <w:ind w:left="108"/>
              <w:rPr>
                <w:sz w:val="20"/>
              </w:rPr>
            </w:pPr>
            <w:r>
              <w:rPr>
                <w:sz w:val="20"/>
              </w:rPr>
              <w:t>0.000257</w:t>
            </w:r>
          </w:p>
        </w:tc>
        <w:tc>
          <w:tcPr>
            <w:tcW w:w="2139" w:type="dxa"/>
          </w:tcPr>
          <w:p w14:paraId="2143628C" w14:textId="77777777" w:rsidR="00055004" w:rsidRDefault="00365BD5">
            <w:pPr>
              <w:pStyle w:val="TableParagraph"/>
              <w:spacing w:before="23"/>
              <w:ind w:left="105" w:right="133"/>
              <w:rPr>
                <w:sz w:val="20"/>
              </w:rPr>
            </w:pPr>
            <w:r>
              <w:rPr>
                <w:sz w:val="20"/>
              </w:rPr>
              <w:t>Average of the fan kW/cfm from DEER measure RE-HV-</w:t>
            </w:r>
            <w:proofErr w:type="spellStart"/>
            <w:r>
              <w:rPr>
                <w:sz w:val="20"/>
              </w:rPr>
              <w:t>ResAC</w:t>
            </w:r>
            <w:proofErr w:type="spellEnd"/>
            <w:r>
              <w:rPr>
                <w:sz w:val="20"/>
              </w:rPr>
              <w:t>- lt45kBtuh for SEER 14</w:t>
            </w:r>
          </w:p>
          <w:p w14:paraId="2143628D" w14:textId="77777777" w:rsidR="00055004" w:rsidRDefault="00365BD5">
            <w:pPr>
              <w:pStyle w:val="TableParagraph"/>
              <w:spacing w:before="0" w:line="242" w:lineRule="exact"/>
              <w:ind w:left="105"/>
              <w:rPr>
                <w:sz w:val="20"/>
              </w:rPr>
            </w:pPr>
            <w:r>
              <w:rPr>
                <w:sz w:val="20"/>
              </w:rPr>
              <w:t>to SEER 21</w:t>
            </w:r>
          </w:p>
        </w:tc>
      </w:tr>
    </w:tbl>
    <w:p w14:paraId="21436290" w14:textId="4D9AE4A8" w:rsidR="00055004" w:rsidRDefault="00365BD5" w:rsidP="00F92949">
      <w:pPr>
        <w:spacing w:before="119"/>
        <w:ind w:left="120"/>
        <w:rPr>
          <w:sz w:val="20"/>
        </w:rPr>
      </w:pPr>
      <w:r>
        <w:rPr>
          <w:sz w:val="18"/>
        </w:rPr>
        <w:t>* Expected motor Technology at indicated (kW/CFM) performance characteristics</w:t>
      </w:r>
      <w:r w:rsidR="00F92949">
        <w:rPr>
          <w:sz w:val="18"/>
        </w:rPr>
        <w:t>.</w:t>
      </w:r>
    </w:p>
    <w:p w14:paraId="21436291" w14:textId="72B61044" w:rsidR="00055004" w:rsidRDefault="00055004">
      <w:pPr>
        <w:pStyle w:val="BodyText"/>
        <w:spacing w:before="9"/>
        <w:rPr>
          <w:sz w:val="17"/>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795"/>
        <w:gridCol w:w="7797"/>
      </w:tblGrid>
      <w:tr w:rsidR="00055004" w14:paraId="21436293" w14:textId="77777777">
        <w:trPr>
          <w:trHeight w:val="450"/>
        </w:trPr>
        <w:tc>
          <w:tcPr>
            <w:tcW w:w="9592" w:type="dxa"/>
            <w:gridSpan w:val="2"/>
            <w:shd w:val="clear" w:color="auto" w:fill="F1F1F1"/>
          </w:tcPr>
          <w:p w14:paraId="21436292" w14:textId="77777777" w:rsidR="00055004" w:rsidRDefault="00365BD5">
            <w:pPr>
              <w:pStyle w:val="TableParagraph"/>
              <w:spacing w:before="23"/>
              <w:rPr>
                <w:sz w:val="20"/>
              </w:rPr>
            </w:pPr>
            <w:r>
              <w:rPr>
                <w:sz w:val="20"/>
              </w:rPr>
              <w:t>Parameter Description</w:t>
            </w:r>
          </w:p>
        </w:tc>
      </w:tr>
      <w:tr w:rsidR="00055004" w14:paraId="21436296" w14:textId="77777777">
        <w:trPr>
          <w:trHeight w:val="282"/>
        </w:trPr>
        <w:tc>
          <w:tcPr>
            <w:tcW w:w="1795" w:type="dxa"/>
          </w:tcPr>
          <w:p w14:paraId="21436294" w14:textId="77777777" w:rsidR="00055004" w:rsidRDefault="00365BD5">
            <w:pPr>
              <w:pStyle w:val="TableParagraph"/>
              <w:spacing w:line="242" w:lineRule="exact"/>
              <w:rPr>
                <w:sz w:val="20"/>
              </w:rPr>
            </w:pPr>
            <w:r>
              <w:rPr>
                <w:sz w:val="20"/>
              </w:rPr>
              <w:t>SUPPLY-KW/FLOW</w:t>
            </w:r>
          </w:p>
        </w:tc>
        <w:tc>
          <w:tcPr>
            <w:tcW w:w="7797" w:type="dxa"/>
          </w:tcPr>
          <w:p w14:paraId="21436295" w14:textId="77777777" w:rsidR="00055004" w:rsidRDefault="00365BD5">
            <w:pPr>
              <w:pStyle w:val="TableParagraph"/>
              <w:spacing w:line="242" w:lineRule="exact"/>
              <w:ind w:left="108"/>
              <w:rPr>
                <w:sz w:val="20"/>
              </w:rPr>
            </w:pPr>
            <w:r>
              <w:rPr>
                <w:sz w:val="20"/>
              </w:rPr>
              <w:t>Design full-load power of the supply fan per unit of supply air flow rate.</w:t>
            </w:r>
          </w:p>
        </w:tc>
      </w:tr>
      <w:tr w:rsidR="00055004" w14:paraId="21436299" w14:textId="77777777">
        <w:trPr>
          <w:trHeight w:val="285"/>
        </w:trPr>
        <w:tc>
          <w:tcPr>
            <w:tcW w:w="1795" w:type="dxa"/>
          </w:tcPr>
          <w:p w14:paraId="21436297" w14:textId="77777777" w:rsidR="00055004" w:rsidRDefault="00365BD5">
            <w:pPr>
              <w:pStyle w:val="TableParagraph"/>
              <w:rPr>
                <w:sz w:val="20"/>
              </w:rPr>
            </w:pPr>
            <w:r>
              <w:rPr>
                <w:sz w:val="20"/>
              </w:rPr>
              <w:t>SUPPLY-MTR-CLASS</w:t>
            </w:r>
          </w:p>
        </w:tc>
        <w:tc>
          <w:tcPr>
            <w:tcW w:w="7797" w:type="dxa"/>
          </w:tcPr>
          <w:p w14:paraId="21436298" w14:textId="77777777" w:rsidR="00055004" w:rsidRDefault="00365BD5">
            <w:pPr>
              <w:pStyle w:val="TableParagraph"/>
              <w:ind w:left="108"/>
              <w:rPr>
                <w:sz w:val="20"/>
              </w:rPr>
            </w:pPr>
            <w:r>
              <w:rPr>
                <w:sz w:val="20"/>
              </w:rPr>
              <w:t>Motor class</w:t>
            </w:r>
          </w:p>
        </w:tc>
      </w:tr>
      <w:tr w:rsidR="00055004" w14:paraId="2143629C" w14:textId="77777777">
        <w:trPr>
          <w:trHeight w:val="546"/>
        </w:trPr>
        <w:tc>
          <w:tcPr>
            <w:tcW w:w="1795" w:type="dxa"/>
          </w:tcPr>
          <w:p w14:paraId="2143629A" w14:textId="77777777" w:rsidR="00055004" w:rsidRDefault="00365BD5">
            <w:pPr>
              <w:pStyle w:val="TableParagraph"/>
              <w:rPr>
                <w:sz w:val="20"/>
              </w:rPr>
            </w:pPr>
            <w:r>
              <w:rPr>
                <w:sz w:val="20"/>
              </w:rPr>
              <w:t>FAN-EIR-FPLR</w:t>
            </w:r>
          </w:p>
        </w:tc>
        <w:tc>
          <w:tcPr>
            <w:tcW w:w="7797" w:type="dxa"/>
          </w:tcPr>
          <w:p w14:paraId="2143629B" w14:textId="77777777" w:rsidR="00055004" w:rsidRDefault="00365BD5">
            <w:pPr>
              <w:pStyle w:val="TableParagraph"/>
              <w:ind w:left="108" w:right="52"/>
              <w:rPr>
                <w:sz w:val="20"/>
              </w:rPr>
            </w:pPr>
            <w:r>
              <w:rPr>
                <w:sz w:val="20"/>
              </w:rPr>
              <w:t>Takes the U-name of a linear, quadratic, or cubic curve that gives the ratio of fan electric energy to full-load fan electric energy, as a function of part-load ratio.</w:t>
            </w:r>
          </w:p>
        </w:tc>
      </w:tr>
    </w:tbl>
    <w:p w14:paraId="2143629D" w14:textId="77777777" w:rsidR="00055004" w:rsidRDefault="00365BD5">
      <w:pPr>
        <w:pStyle w:val="BodyText"/>
        <w:spacing w:before="117"/>
        <w:ind w:left="120" w:right="1143"/>
        <w:jc w:val="both"/>
      </w:pPr>
      <w:r>
        <w:t>To determine the measure case Supply kW/cfm, MASControl3 measure RE-HV-ResAC-lt45kBtuh for SEER 14 to SEER 21 were reviewed; the W/cfm ranges from 0.233 to 0.294 with the average being 0.257. This average value was used for the measure case.</w:t>
      </w:r>
    </w:p>
    <w:p w14:paraId="2143629E" w14:textId="77777777" w:rsidR="00055004" w:rsidRDefault="00365BD5">
      <w:pPr>
        <w:pStyle w:val="BodyText"/>
        <w:spacing w:before="120"/>
        <w:ind w:left="120" w:right="1050"/>
      </w:pPr>
      <w:r>
        <w:t xml:space="preserve">In </w:t>
      </w:r>
      <w:proofErr w:type="spellStart"/>
      <w:r>
        <w:t>TechData</w:t>
      </w:r>
      <w:proofErr w:type="spellEnd"/>
      <w:r>
        <w:t xml:space="preserve"> workbook, a file required for adding/ modifying measure to MASControl3, the cooling EIR was calculated excluding fan efficiency to maintain the rated SEER. This separation was required since DOE23 cooling EIR includes only compressor and outdoor unit and does not include indoor fan. Since, this</w:t>
      </w:r>
    </w:p>
    <w:p w14:paraId="2143629F" w14:textId="77777777" w:rsidR="00055004" w:rsidRDefault="00055004">
      <w:pPr>
        <w:pStyle w:val="BodyText"/>
        <w:rPr>
          <w:sz w:val="20"/>
        </w:rPr>
      </w:pPr>
    </w:p>
    <w:p w14:paraId="214362A0" w14:textId="3B7BD710" w:rsidR="00055004" w:rsidRDefault="00AD1285">
      <w:pPr>
        <w:pStyle w:val="BodyText"/>
        <w:spacing w:before="8"/>
        <w:rPr>
          <w:sz w:val="15"/>
        </w:rPr>
      </w:pPr>
      <w:r>
        <w:rPr>
          <w:noProof/>
        </w:rPr>
        <mc:AlternateContent>
          <mc:Choice Requires="wps">
            <w:drawing>
              <wp:anchor distT="0" distB="0" distL="0" distR="0" simplePos="0" relativeHeight="251663360" behindDoc="1" locked="0" layoutInCell="1" allowOverlap="1" wp14:anchorId="21436373" wp14:editId="39598CD0">
                <wp:simplePos x="0" y="0"/>
                <wp:positionH relativeFrom="page">
                  <wp:posOffset>914400</wp:posOffset>
                </wp:positionH>
                <wp:positionV relativeFrom="paragraph">
                  <wp:posOffset>151765</wp:posOffset>
                </wp:positionV>
                <wp:extent cx="1829435" cy="1270"/>
                <wp:effectExtent l="0" t="0" r="0" b="0"/>
                <wp:wrapTopAndBottom/>
                <wp:docPr id="2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2E4502B1" id="Freeform 4" o:spid="_x0000_s1026" style="position:absolute;margin-left:1in;margin-top:11.95pt;width:144.0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" path="m,l2881,e" filled="f" strokeweight=".72pt">
                <v:path arrowok="t" o:connecttype="custom" o:connectlocs="0,0;1829435,0" o:connectangles="0,0"/>
                <w10:wrap type="topAndBottom" anchorx="page"/>
              </v:shape>
            </w:pict>
          </mc:Fallback>
        </mc:AlternateContent>
      </w:r>
    </w:p>
    <w:p w14:paraId="214362A1" w14:textId="77777777" w:rsidR="00055004" w:rsidRDefault="00055004">
      <w:pPr>
        <w:pStyle w:val="BodyText"/>
        <w:rPr>
          <w:sz w:val="20"/>
        </w:rPr>
      </w:pPr>
    </w:p>
    <w:p w14:paraId="214362A2" w14:textId="77777777" w:rsidR="00055004" w:rsidRDefault="00055004">
      <w:pPr>
        <w:pStyle w:val="BodyText"/>
        <w:spacing w:before="9"/>
        <w:rPr>
          <w:sz w:val="21"/>
        </w:rPr>
      </w:pPr>
    </w:p>
    <w:p w14:paraId="214362A3" w14:textId="0A467477" w:rsidR="00055004" w:rsidRDefault="00365BD5">
      <w:pPr>
        <w:spacing w:before="69"/>
        <w:ind w:left="120"/>
        <w:rPr>
          <w:sz w:val="18"/>
        </w:rPr>
      </w:pPr>
      <w:r>
        <w:rPr>
          <w:position w:val="5"/>
          <w:sz w:val="12"/>
        </w:rPr>
        <w:t xml:space="preserve">6 </w:t>
      </w:r>
      <w:r>
        <w:rPr>
          <w:sz w:val="18"/>
        </w:rPr>
        <w:t>Southern California Edison (SCE). 2019. “</w:t>
      </w:r>
      <w:r w:rsidR="004301D0">
        <w:rPr>
          <w:sz w:val="18"/>
        </w:rPr>
        <w:t>SWHC038-02</w:t>
      </w:r>
      <w:r>
        <w:rPr>
          <w:sz w:val="18"/>
        </w:rPr>
        <w:t xml:space="preserve"> MC3 and eQuest</w:t>
      </w:r>
      <w:r>
        <w:rPr>
          <w:spacing w:val="-19"/>
          <w:sz w:val="18"/>
        </w:rPr>
        <w:t xml:space="preserve"> </w:t>
      </w:r>
      <w:r>
        <w:rPr>
          <w:sz w:val="18"/>
        </w:rPr>
        <w:t>files.zip.”</w:t>
      </w:r>
    </w:p>
    <w:p w14:paraId="214362A4" w14:textId="4BEEC1FC" w:rsidR="00055004" w:rsidRDefault="00365BD5">
      <w:pPr>
        <w:spacing w:before="121"/>
        <w:ind w:left="120"/>
        <w:rPr>
          <w:sz w:val="18"/>
        </w:rPr>
      </w:pPr>
      <w:r>
        <w:rPr>
          <w:position w:val="5"/>
          <w:sz w:val="12"/>
        </w:rPr>
        <w:t xml:space="preserve">7 </w:t>
      </w:r>
      <w:r>
        <w:rPr>
          <w:sz w:val="18"/>
        </w:rPr>
        <w:t>Southern California Edison (SCE). 2019. “</w:t>
      </w:r>
      <w:r w:rsidR="004301D0">
        <w:rPr>
          <w:sz w:val="18"/>
        </w:rPr>
        <w:t>SWHC038-02</w:t>
      </w:r>
      <w:r>
        <w:rPr>
          <w:sz w:val="18"/>
        </w:rPr>
        <w:t>-Energy Impact</w:t>
      </w:r>
      <w:r>
        <w:rPr>
          <w:spacing w:val="-24"/>
          <w:sz w:val="18"/>
        </w:rPr>
        <w:t xml:space="preserve"> </w:t>
      </w:r>
      <w:r>
        <w:rPr>
          <w:sz w:val="18"/>
        </w:rPr>
        <w:t>Calcs.xlsx.”</w:t>
      </w:r>
    </w:p>
    <w:p w14:paraId="214362A5" w14:textId="77777777" w:rsidR="00055004" w:rsidRDefault="00365BD5">
      <w:pPr>
        <w:spacing w:before="121"/>
        <w:ind w:left="120" w:right="1271"/>
        <w:rPr>
          <w:sz w:val="18"/>
        </w:rPr>
      </w:pPr>
      <w:r>
        <w:rPr>
          <w:position w:val="5"/>
          <w:sz w:val="12"/>
        </w:rPr>
        <w:t xml:space="preserve">8 </w:t>
      </w:r>
      <w:r>
        <w:rPr>
          <w:sz w:val="18"/>
        </w:rPr>
        <w:t xml:space="preserve">California Energy Commission (CEC). 2018. </w:t>
      </w:r>
      <w:r>
        <w:rPr>
          <w:i/>
          <w:sz w:val="18"/>
        </w:rPr>
        <w:t xml:space="preserve">2019 Building Energy Efficiency Standards for Residential and Nonresidential Buildings. </w:t>
      </w:r>
      <w:r>
        <w:rPr>
          <w:sz w:val="18"/>
        </w:rPr>
        <w:t>CEC-400-2018-020-CMF.</w:t>
      </w:r>
    </w:p>
    <w:p w14:paraId="214362A6" w14:textId="77777777" w:rsidR="00055004" w:rsidRDefault="00055004">
      <w:pPr>
        <w:rPr>
          <w:sz w:val="18"/>
        </w:rPr>
        <w:sectPr w:rsidR="00055004">
          <w:headerReference w:type="default" r:id="rId14"/>
          <w:footerReference w:type="default" r:id="rId15"/>
          <w:pgSz w:w="12240" w:h="15840"/>
          <w:pgMar w:top="1220" w:right="420" w:bottom="1320" w:left="1320" w:header="855" w:footer="1129" w:gutter="0"/>
          <w:cols w:space="720"/>
        </w:sectPr>
      </w:pPr>
    </w:p>
    <w:p w14:paraId="214362A7" w14:textId="77777777" w:rsidR="00055004" w:rsidRDefault="00055004">
      <w:pPr>
        <w:pStyle w:val="BodyText"/>
        <w:spacing w:before="8"/>
        <w:rPr>
          <w:sz w:val="19"/>
        </w:rPr>
      </w:pPr>
    </w:p>
    <w:p w14:paraId="214362A8" w14:textId="77777777" w:rsidR="00055004" w:rsidRDefault="00365BD5">
      <w:pPr>
        <w:pStyle w:val="BodyText"/>
        <w:spacing w:before="56"/>
        <w:ind w:left="120" w:right="1152"/>
      </w:pPr>
      <w:r>
        <w:t>measure is improving the indoor fan efficiency without impacting the cooling EIR (compressor + outdoor unit performance), cooling EIR for base case was left the same for the measure case.</w:t>
      </w:r>
    </w:p>
    <w:p w14:paraId="214362A9" w14:textId="77777777" w:rsidR="00055004" w:rsidRDefault="00365BD5">
      <w:pPr>
        <w:pStyle w:val="BodyText"/>
        <w:spacing w:before="121"/>
        <w:ind w:left="120" w:right="1430"/>
      </w:pPr>
      <w:r>
        <w:t>Batch processing was performed for the three building types defined for the residential sector (single family, multifamily, double-wide mobile homes), all climate zones, and all five residential thermostat options.</w:t>
      </w:r>
    </w:p>
    <w:p w14:paraId="214362AA" w14:textId="77777777" w:rsidR="00055004" w:rsidRDefault="00365BD5">
      <w:pPr>
        <w:pStyle w:val="BodyText"/>
        <w:spacing w:before="121"/>
        <w:ind w:left="120" w:right="1004"/>
      </w:pPr>
      <w:r>
        <w:t xml:space="preserve">The DEER2020 thermostat weights available in </w:t>
      </w:r>
      <w:hyperlink r:id="rId16">
        <w:r>
          <w:t>ProcessQueriesAndSupportTables.zip</w:t>
        </w:r>
      </w:hyperlink>
      <w:r>
        <w:rPr>
          <w:vertAlign w:val="superscript"/>
        </w:rPr>
        <w:t>9</w:t>
      </w:r>
      <w:r>
        <w:t xml:space="preserve"> were applied for thermostat weighted impacts.</w:t>
      </w:r>
    </w:p>
    <w:p w14:paraId="60E55FBD" w14:textId="5EE68917" w:rsidR="00786D74" w:rsidRDefault="00365BD5">
      <w:pPr>
        <w:pStyle w:val="BodyText"/>
        <w:spacing w:before="120"/>
        <w:ind w:left="120" w:right="1004"/>
      </w:pPr>
      <w:r>
        <w:t>The DEER2020 building weights</w:t>
      </w:r>
      <w:r>
        <w:rPr>
          <w:vertAlign w:val="superscript"/>
        </w:rPr>
        <w:t>10</w:t>
      </w:r>
      <w:r>
        <w:t xml:space="preserve"> for vintages were applied to calculate the weighted impacts for “ex” vintage. For ease of implementation, the “old” and “recent” vintages were not considered.</w:t>
      </w:r>
    </w:p>
    <w:p w14:paraId="75D37FCE" w14:textId="6D1B5BFB" w:rsidR="00BC249D" w:rsidRDefault="00BE1BC5" w:rsidP="00BE1BC5">
      <w:pPr>
        <w:pStyle w:val="BodyText"/>
        <w:spacing w:before="120"/>
        <w:ind w:left="120" w:right="1004"/>
      </w:pPr>
      <w:r>
        <w:t xml:space="preserve">Resolution E-5082 indicated that </w:t>
      </w:r>
      <w:r w:rsidR="0098259A">
        <w:t xml:space="preserve">2018 EM&amp;V </w:t>
      </w:r>
      <w:r w:rsidR="00F04443">
        <w:t>results</w:t>
      </w:r>
      <w:r>
        <w:t xml:space="preserve"> evaluated </w:t>
      </w:r>
      <w:r w:rsidR="0098259A">
        <w:t xml:space="preserve">average GRR for electric savings of 124 percent. </w:t>
      </w:r>
      <w:r w:rsidR="006C7F77">
        <w:t>It was h</w:t>
      </w:r>
      <w:r w:rsidR="00786D74">
        <w:t>ypothe</w:t>
      </w:r>
      <w:r w:rsidR="002B2CE1">
        <w:t xml:space="preserve">sized </w:t>
      </w:r>
      <w:r w:rsidR="00786D74">
        <w:t xml:space="preserve">that it could be coming from model inputs or how the programs are claiming the savings. </w:t>
      </w:r>
      <w:r>
        <w:t>The energy savings in the p</w:t>
      </w:r>
      <w:r w:rsidR="00662EB3">
        <w:t>revious version of the workpaper</w:t>
      </w:r>
      <w:r>
        <w:t xml:space="preserve"> which was active for the 2018 program year were compared with the energy savings in the new version of workpaper which was based on DEER2020 prototypes and effective 1/1/2020. It was observed that the savings in the new version on average are 19% higher the previous version which should address the higher GRR observed in the EM&amp;V results. </w:t>
      </w:r>
    </w:p>
    <w:p w14:paraId="519D7598" w14:textId="77777777" w:rsidR="00786D74" w:rsidRDefault="00786D74">
      <w:pPr>
        <w:pStyle w:val="BodyText"/>
      </w:pPr>
    </w:p>
    <w:p w14:paraId="214362AD" w14:textId="77777777" w:rsidR="00055004" w:rsidRDefault="00055004">
      <w:pPr>
        <w:pStyle w:val="BodyText"/>
        <w:spacing w:before="9"/>
        <w:rPr>
          <w:sz w:val="20"/>
        </w:rPr>
      </w:pPr>
    </w:p>
    <w:p w14:paraId="214362AE" w14:textId="77777777" w:rsidR="00055004" w:rsidRDefault="00365BD5">
      <w:pPr>
        <w:pStyle w:val="Heading1"/>
      </w:pPr>
      <w:bookmarkStart w:id="13" w:name="_Toc57630583"/>
      <w:r>
        <w:rPr>
          <w:color w:val="CFAB79"/>
        </w:rPr>
        <w:t>PEAK ELECTRIC DEMAND REDUCTION (KW)</w:t>
      </w:r>
      <w:bookmarkEnd w:id="13"/>
    </w:p>
    <w:p w14:paraId="214362AF" w14:textId="77777777" w:rsidR="00055004" w:rsidRDefault="00365BD5">
      <w:pPr>
        <w:pStyle w:val="BodyText"/>
        <w:spacing w:before="117" w:line="237" w:lineRule="auto"/>
        <w:ind w:left="120" w:right="1004"/>
      </w:pPr>
      <w:r>
        <w:t>The peak demand reduction for this measure during the 4:00 p.m. to 9:00 p.m. peak period</w:t>
      </w:r>
      <w:r>
        <w:rPr>
          <w:vertAlign w:val="superscript"/>
        </w:rPr>
        <w:t>11</w:t>
      </w:r>
      <w:r>
        <w:t xml:space="preserve"> was derived using the same approach summarized in Electric Savings.</w:t>
      </w:r>
    </w:p>
    <w:p w14:paraId="214362B0" w14:textId="77777777" w:rsidR="00055004" w:rsidRDefault="00055004">
      <w:pPr>
        <w:pStyle w:val="BodyText"/>
      </w:pPr>
    </w:p>
    <w:p w14:paraId="214362B1" w14:textId="77777777" w:rsidR="00055004" w:rsidRDefault="00055004">
      <w:pPr>
        <w:pStyle w:val="BodyText"/>
        <w:rPr>
          <w:sz w:val="21"/>
        </w:rPr>
      </w:pPr>
    </w:p>
    <w:p w14:paraId="214362B2" w14:textId="77777777" w:rsidR="00055004" w:rsidRDefault="00365BD5">
      <w:pPr>
        <w:pStyle w:val="Heading1"/>
      </w:pPr>
      <w:bookmarkStart w:id="14" w:name="_Toc57630584"/>
      <w:r>
        <w:rPr>
          <w:color w:val="CFAB79"/>
        </w:rPr>
        <w:t>GAS SAVINGS (THERMS)</w:t>
      </w:r>
      <w:bookmarkEnd w:id="14"/>
    </w:p>
    <w:p w14:paraId="214362B3" w14:textId="77777777" w:rsidR="00055004" w:rsidRDefault="00365BD5">
      <w:pPr>
        <w:pStyle w:val="BodyText"/>
        <w:spacing w:before="113"/>
        <w:ind w:left="120" w:right="1200"/>
      </w:pPr>
      <w:r>
        <w:t xml:space="preserve">The gas unit energy savings (UES) for this measure was derived using the same approach summarized in Electric Savings. Note the gas UES values are negative and represent a gas </w:t>
      </w:r>
      <w:r>
        <w:rPr>
          <w:i/>
        </w:rPr>
        <w:t xml:space="preserve">penalty </w:t>
      </w:r>
      <w:r>
        <w:t>as a result of this measure installation.</w:t>
      </w:r>
    </w:p>
    <w:p w14:paraId="214362B4" w14:textId="77777777" w:rsidR="00055004" w:rsidRDefault="00055004">
      <w:pPr>
        <w:pStyle w:val="BodyText"/>
      </w:pPr>
    </w:p>
    <w:p w14:paraId="214362B5" w14:textId="77777777" w:rsidR="00055004" w:rsidRDefault="00055004">
      <w:pPr>
        <w:pStyle w:val="BodyText"/>
        <w:spacing w:before="11"/>
        <w:rPr>
          <w:sz w:val="20"/>
        </w:rPr>
      </w:pPr>
    </w:p>
    <w:p w14:paraId="214362B6" w14:textId="77777777" w:rsidR="00055004" w:rsidRDefault="00365BD5">
      <w:pPr>
        <w:pStyle w:val="Heading1"/>
      </w:pPr>
      <w:bookmarkStart w:id="15" w:name="_Toc57630585"/>
      <w:r>
        <w:rPr>
          <w:color w:val="CFAB79"/>
        </w:rPr>
        <w:t>LIFE CYCLE</w:t>
      </w:r>
      <w:bookmarkEnd w:id="15"/>
    </w:p>
    <w:p w14:paraId="214362B7" w14:textId="77777777" w:rsidR="00055004" w:rsidRDefault="00365BD5">
      <w:pPr>
        <w:pStyle w:val="BodyText"/>
        <w:spacing w:before="113"/>
        <w:ind w:left="120" w:right="1009"/>
      </w:pPr>
      <w:r>
        <w:t>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w:t>
      </w:r>
    </w:p>
    <w:p w14:paraId="214362B8" w14:textId="77777777" w:rsidR="00055004" w:rsidRDefault="00365BD5">
      <w:pPr>
        <w:pStyle w:val="BodyText"/>
        <w:spacing w:before="119"/>
        <w:ind w:left="120" w:right="1004"/>
      </w:pPr>
      <w:r>
        <w:t>The May 2, 2013 ED Disposition</w:t>
      </w:r>
      <w:r>
        <w:rPr>
          <w:vertAlign w:val="superscript"/>
        </w:rPr>
        <w:t>12</w:t>
      </w:r>
      <w:r>
        <w:t xml:space="preserve"> for Residential HVAC Quality Maintenance [367] specified a EUL of 5 years for the following reason:</w:t>
      </w:r>
    </w:p>
    <w:p w14:paraId="214362BB" w14:textId="77777777" w:rsidR="00055004" w:rsidRDefault="00055004">
      <w:pPr>
        <w:pStyle w:val="BodyText"/>
        <w:rPr>
          <w:sz w:val="20"/>
        </w:rPr>
      </w:pPr>
    </w:p>
    <w:p w14:paraId="214362BC" w14:textId="3596DE81" w:rsidR="00055004" w:rsidRDefault="00AD1285">
      <w:pPr>
        <w:pStyle w:val="BodyText"/>
        <w:spacing w:before="4"/>
        <w:rPr>
          <w:sz w:val="10"/>
        </w:rPr>
      </w:pPr>
      <w:r>
        <w:rPr>
          <w:noProof/>
        </w:rPr>
        <mc:AlternateContent>
          <mc:Choice Requires="wps">
            <w:drawing>
              <wp:anchor distT="0" distB="0" distL="0" distR="0" simplePos="0" relativeHeight="251664384" behindDoc="1" locked="0" layoutInCell="1" allowOverlap="1" wp14:anchorId="21436374" wp14:editId="205D47C4">
                <wp:simplePos x="0" y="0"/>
                <wp:positionH relativeFrom="page">
                  <wp:posOffset>914400</wp:posOffset>
                </wp:positionH>
                <wp:positionV relativeFrom="paragraph">
                  <wp:posOffset>109855</wp:posOffset>
                </wp:positionV>
                <wp:extent cx="1829435" cy="1270"/>
                <wp:effectExtent l="0" t="0" r="0" b="0"/>
                <wp:wrapTopAndBottom/>
                <wp:docPr id="1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3463B295" id="Freeform 3" o:spid="_x0000_s1026" style="position:absolute;margin-left:1in;margin-top:8.65pt;width:144.0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" path="m,l2881,e" filled="f" strokeweight=".72pt">
                <v:path arrowok="t" o:connecttype="custom" o:connectlocs="0,0;1829435,0" o:connectangles="0,0"/>
                <w10:wrap type="topAndBottom" anchorx="page"/>
              </v:shape>
            </w:pict>
          </mc:Fallback>
        </mc:AlternateContent>
      </w:r>
    </w:p>
    <w:p w14:paraId="214362BE" w14:textId="77777777" w:rsidR="00055004" w:rsidRDefault="00055004">
      <w:pPr>
        <w:pStyle w:val="BodyText"/>
        <w:spacing w:before="9"/>
        <w:rPr>
          <w:sz w:val="21"/>
        </w:rPr>
      </w:pPr>
    </w:p>
    <w:p w14:paraId="214362BF" w14:textId="77777777" w:rsidR="00055004" w:rsidRDefault="00365BD5">
      <w:pPr>
        <w:spacing w:before="69"/>
        <w:ind w:left="120"/>
        <w:rPr>
          <w:sz w:val="18"/>
        </w:rPr>
      </w:pPr>
      <w:r>
        <w:rPr>
          <w:position w:val="5"/>
          <w:sz w:val="12"/>
        </w:rPr>
        <w:t xml:space="preserve">9 </w:t>
      </w:r>
      <w:hyperlink r:id="rId17">
        <w:r>
          <w:rPr>
            <w:sz w:val="18"/>
          </w:rPr>
          <w:t xml:space="preserve">ProcessQueriesAndSupportTables.zip </w:t>
        </w:r>
      </w:hyperlink>
      <w:r>
        <w:rPr>
          <w:sz w:val="18"/>
        </w:rPr>
        <w:t xml:space="preserve">at </w:t>
      </w:r>
      <w:hyperlink r:id="rId18">
        <w:r>
          <w:rPr>
            <w:color w:val="0000FF"/>
            <w:sz w:val="18"/>
            <w:u w:val="single" w:color="0000FF"/>
          </w:rPr>
          <w:t>http://www.deeresources.com/index.php</w:t>
        </w:r>
      </w:hyperlink>
    </w:p>
    <w:p w14:paraId="214362C0" w14:textId="77777777" w:rsidR="00055004" w:rsidRDefault="00365BD5">
      <w:pPr>
        <w:spacing w:before="121"/>
        <w:ind w:left="120"/>
        <w:rPr>
          <w:sz w:val="18"/>
        </w:rPr>
      </w:pPr>
      <w:r>
        <w:rPr>
          <w:position w:val="5"/>
          <w:sz w:val="12"/>
        </w:rPr>
        <w:t xml:space="preserve">10 </w:t>
      </w:r>
      <w:r>
        <w:rPr>
          <w:sz w:val="18"/>
        </w:rPr>
        <w:t>California Public Utilities Commission (CPUC), Energy Division. (n.d.) “DEER2020-Building-Weights.xlsx.”</w:t>
      </w:r>
    </w:p>
    <w:p w14:paraId="214362C1" w14:textId="77777777" w:rsidR="00055004" w:rsidRDefault="00365BD5">
      <w:pPr>
        <w:spacing w:before="121"/>
        <w:ind w:left="120"/>
        <w:rPr>
          <w:sz w:val="18"/>
        </w:rPr>
      </w:pPr>
      <w:r>
        <w:rPr>
          <w:position w:val="5"/>
          <w:sz w:val="12"/>
        </w:rPr>
        <w:t xml:space="preserve">11 </w:t>
      </w:r>
      <w:r>
        <w:rPr>
          <w:sz w:val="18"/>
        </w:rPr>
        <w:t xml:space="preserve">California Public Utilities Commission (CPUC). 2018. </w:t>
      </w:r>
      <w:r>
        <w:rPr>
          <w:i/>
          <w:sz w:val="18"/>
        </w:rPr>
        <w:t xml:space="preserve">Resolution E-4952. </w:t>
      </w:r>
      <w:r>
        <w:rPr>
          <w:sz w:val="18"/>
        </w:rPr>
        <w:t>October 11. O.P. 1.</w:t>
      </w:r>
    </w:p>
    <w:p w14:paraId="214362C2" w14:textId="77777777" w:rsidR="00055004" w:rsidRDefault="00365BD5">
      <w:pPr>
        <w:spacing w:before="119"/>
        <w:ind w:left="120"/>
        <w:rPr>
          <w:sz w:val="18"/>
        </w:rPr>
      </w:pPr>
      <w:r>
        <w:rPr>
          <w:position w:val="5"/>
          <w:sz w:val="12"/>
        </w:rPr>
        <w:t xml:space="preserve">12 </w:t>
      </w:r>
      <w:r>
        <w:rPr>
          <w:sz w:val="18"/>
        </w:rPr>
        <w:t>D2013-ResHVACmaintenance.docx</w:t>
      </w:r>
    </w:p>
    <w:p w14:paraId="214362C3" w14:textId="77777777" w:rsidR="00055004" w:rsidRDefault="00055004">
      <w:pPr>
        <w:rPr>
          <w:sz w:val="18"/>
        </w:rPr>
        <w:sectPr w:rsidR="00055004">
          <w:pgSz w:w="12240" w:h="15840"/>
          <w:pgMar w:top="1220" w:right="420" w:bottom="1320" w:left="1320" w:header="855" w:footer="1129" w:gutter="0"/>
          <w:cols w:space="720"/>
        </w:sectPr>
      </w:pPr>
    </w:p>
    <w:p w14:paraId="5A7BA113" w14:textId="77777777" w:rsidR="000C1511" w:rsidRDefault="000C1511" w:rsidP="000C1511">
      <w:pPr>
        <w:spacing w:before="120"/>
        <w:ind w:left="120" w:right="1041"/>
        <w:jc w:val="both"/>
        <w:rPr>
          <w:i/>
        </w:rPr>
      </w:pPr>
      <w:r>
        <w:rPr>
          <w:i/>
        </w:rPr>
        <w:lastRenderedPageBreak/>
        <w:t xml:space="preserve">“The blower motor is an addition to an existing system. Program rules limit the EUL of maintenance on an existing system to no more than system’s RUL. By rule, this is 1/3 of the </w:t>
      </w:r>
      <w:proofErr w:type="gramStart"/>
      <w:r>
        <w:rPr>
          <w:i/>
        </w:rPr>
        <w:t>15 year</w:t>
      </w:r>
      <w:proofErr w:type="gramEnd"/>
      <w:r>
        <w:rPr>
          <w:i/>
        </w:rPr>
        <w:t xml:space="preserve"> EUL for a direct expansion HVAC system, or 5 years.”</w:t>
      </w:r>
    </w:p>
    <w:p w14:paraId="53DF4878" w14:textId="77777777" w:rsidR="000C1511" w:rsidRDefault="000C1511" w:rsidP="000C1511">
      <w:pPr>
        <w:pStyle w:val="BodyText"/>
        <w:spacing w:before="121"/>
        <w:ind w:left="120" w:right="1889" w:firstLine="50"/>
        <w:jc w:val="both"/>
      </w:pPr>
      <w:r>
        <w:t>The EUL for the brushless fan motor measure are presented below. RUL is not applicable for NR measures.</w:t>
      </w:r>
    </w:p>
    <w:p w14:paraId="1C70604F" w14:textId="77777777" w:rsidR="000C1511" w:rsidRDefault="000C1511" w:rsidP="00C27F30">
      <w:pPr>
        <w:spacing w:before="59"/>
        <w:rPr>
          <w:sz w:val="20"/>
        </w:rPr>
      </w:pPr>
    </w:p>
    <w:p w14:paraId="214362C5" w14:textId="53025B2B" w:rsidR="00055004" w:rsidRDefault="00365BD5">
      <w:pPr>
        <w:spacing w:before="59"/>
        <w:ind w:left="2977"/>
        <w:rPr>
          <w:sz w:val="20"/>
        </w:rPr>
      </w:pPr>
      <w:r>
        <w:rPr>
          <w:sz w:val="20"/>
        </w:rPr>
        <w:t>Effective Useful Life and Remaining Useful Life</w:t>
      </w:r>
    </w:p>
    <w:p w14:paraId="214362C6" w14:textId="77777777" w:rsidR="00055004" w:rsidRDefault="00055004">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427"/>
        <w:gridCol w:w="1349"/>
        <w:gridCol w:w="5661"/>
      </w:tblGrid>
      <w:tr w:rsidR="00055004" w14:paraId="214362CA" w14:textId="77777777">
        <w:trPr>
          <w:trHeight w:val="285"/>
        </w:trPr>
        <w:tc>
          <w:tcPr>
            <w:tcW w:w="2427" w:type="dxa"/>
            <w:shd w:val="clear" w:color="auto" w:fill="F1F1F1"/>
          </w:tcPr>
          <w:p w14:paraId="214362C7" w14:textId="77777777" w:rsidR="00055004" w:rsidRDefault="00365BD5">
            <w:pPr>
              <w:pStyle w:val="TableParagraph"/>
              <w:spacing w:before="23" w:line="242" w:lineRule="exact"/>
              <w:rPr>
                <w:sz w:val="20"/>
              </w:rPr>
            </w:pPr>
            <w:r>
              <w:rPr>
                <w:sz w:val="20"/>
              </w:rPr>
              <w:t>Parameter</w:t>
            </w:r>
          </w:p>
        </w:tc>
        <w:tc>
          <w:tcPr>
            <w:tcW w:w="1349" w:type="dxa"/>
            <w:shd w:val="clear" w:color="auto" w:fill="F1F1F1"/>
          </w:tcPr>
          <w:p w14:paraId="214362C8" w14:textId="77777777" w:rsidR="00055004" w:rsidRDefault="00365BD5">
            <w:pPr>
              <w:pStyle w:val="TableParagraph"/>
              <w:spacing w:before="23" w:line="242" w:lineRule="exact"/>
              <w:rPr>
                <w:sz w:val="20"/>
              </w:rPr>
            </w:pPr>
            <w:r>
              <w:rPr>
                <w:sz w:val="20"/>
              </w:rPr>
              <w:t>Value (years)</w:t>
            </w:r>
          </w:p>
        </w:tc>
        <w:tc>
          <w:tcPr>
            <w:tcW w:w="5661" w:type="dxa"/>
            <w:shd w:val="clear" w:color="auto" w:fill="F1F1F1"/>
          </w:tcPr>
          <w:p w14:paraId="214362C9" w14:textId="77777777" w:rsidR="00055004" w:rsidRDefault="00365BD5">
            <w:pPr>
              <w:pStyle w:val="TableParagraph"/>
              <w:spacing w:before="23" w:line="242" w:lineRule="exact"/>
              <w:rPr>
                <w:sz w:val="20"/>
              </w:rPr>
            </w:pPr>
            <w:r>
              <w:rPr>
                <w:sz w:val="20"/>
              </w:rPr>
              <w:t>Source</w:t>
            </w:r>
          </w:p>
        </w:tc>
      </w:tr>
      <w:tr w:rsidR="00055004" w14:paraId="214362CE" w14:textId="77777777">
        <w:trPr>
          <w:trHeight w:val="285"/>
        </w:trPr>
        <w:tc>
          <w:tcPr>
            <w:tcW w:w="2427" w:type="dxa"/>
          </w:tcPr>
          <w:p w14:paraId="5FFC0821" w14:textId="77777777" w:rsidR="00055004" w:rsidRDefault="00365BD5">
            <w:pPr>
              <w:pStyle w:val="TableParagraph"/>
              <w:rPr>
                <w:sz w:val="20"/>
              </w:rPr>
            </w:pPr>
            <w:r>
              <w:rPr>
                <w:sz w:val="20"/>
              </w:rPr>
              <w:t>EUL (</w:t>
            </w:r>
            <w:proofErr w:type="spellStart"/>
            <w:r>
              <w:rPr>
                <w:sz w:val="20"/>
              </w:rPr>
              <w:t>yrs</w:t>
            </w:r>
            <w:proofErr w:type="spellEnd"/>
            <w:r>
              <w:rPr>
                <w:sz w:val="20"/>
              </w:rPr>
              <w:t>) – measure</w:t>
            </w:r>
          </w:p>
          <w:p w14:paraId="214362CB" w14:textId="45A52279" w:rsidR="007215D3" w:rsidRDefault="007215D3">
            <w:pPr>
              <w:pStyle w:val="TableParagraph"/>
              <w:rPr>
                <w:sz w:val="20"/>
              </w:rPr>
            </w:pPr>
            <w:r>
              <w:t>(</w:t>
            </w:r>
            <w:r w:rsidRPr="005755F9">
              <w:t>HV-</w:t>
            </w:r>
            <w:proofErr w:type="spellStart"/>
            <w:r w:rsidRPr="005755F9">
              <w:t>BFMotor</w:t>
            </w:r>
            <w:proofErr w:type="spellEnd"/>
            <w:r>
              <w:t>)</w:t>
            </w:r>
          </w:p>
        </w:tc>
        <w:tc>
          <w:tcPr>
            <w:tcW w:w="1349" w:type="dxa"/>
          </w:tcPr>
          <w:p w14:paraId="214362CC" w14:textId="77777777" w:rsidR="00055004" w:rsidRDefault="00365BD5">
            <w:pPr>
              <w:pStyle w:val="TableParagraph"/>
              <w:rPr>
                <w:sz w:val="20"/>
              </w:rPr>
            </w:pPr>
            <w:r>
              <w:rPr>
                <w:w w:val="99"/>
                <w:sz w:val="20"/>
              </w:rPr>
              <w:t>5</w:t>
            </w:r>
          </w:p>
        </w:tc>
        <w:tc>
          <w:tcPr>
            <w:tcW w:w="5661" w:type="dxa"/>
          </w:tcPr>
          <w:p w14:paraId="214362CD" w14:textId="77777777" w:rsidR="00055004" w:rsidRDefault="00365BD5">
            <w:pPr>
              <w:pStyle w:val="TableParagraph"/>
              <w:rPr>
                <w:sz w:val="20"/>
              </w:rPr>
            </w:pPr>
            <w:r>
              <w:rPr>
                <w:sz w:val="20"/>
              </w:rPr>
              <w:t>1/3 of 15 years based on May 2, 2013 ED Disposition;</w:t>
            </w:r>
          </w:p>
        </w:tc>
      </w:tr>
    </w:tbl>
    <w:p w14:paraId="214362CF" w14:textId="77777777" w:rsidR="00055004" w:rsidRDefault="00055004">
      <w:pPr>
        <w:pStyle w:val="BodyText"/>
        <w:spacing w:before="2"/>
        <w:rPr>
          <w:sz w:val="23"/>
        </w:rPr>
      </w:pPr>
    </w:p>
    <w:p w14:paraId="214362D0" w14:textId="77777777" w:rsidR="00055004" w:rsidRDefault="00365BD5">
      <w:pPr>
        <w:pStyle w:val="Heading1"/>
      </w:pPr>
      <w:bookmarkStart w:id="16" w:name="_Toc57630586"/>
      <w:r>
        <w:rPr>
          <w:color w:val="CFAB79"/>
        </w:rPr>
        <w:t>BASE CASE MATERIAL COST ($/UNIT)</w:t>
      </w:r>
      <w:bookmarkEnd w:id="16"/>
    </w:p>
    <w:p w14:paraId="214362D1" w14:textId="77777777" w:rsidR="00055004" w:rsidRDefault="00365BD5">
      <w:pPr>
        <w:pStyle w:val="BodyText"/>
        <w:spacing w:before="117" w:line="237" w:lineRule="auto"/>
        <w:ind w:left="120" w:right="1135"/>
      </w:pPr>
      <w:r>
        <w:t xml:space="preserve">Given measure implementation seen by SCE’s Programs in previous years, </w:t>
      </w:r>
      <w:proofErr w:type="gramStart"/>
      <w:r>
        <w:t>the majority of</w:t>
      </w:r>
      <w:proofErr w:type="gramEnd"/>
      <w:r>
        <w:t xml:space="preserve"> projects supported replacement and installation of ½-hp motors. Hence, cost documentation below is based on a</w:t>
      </w:r>
    </w:p>
    <w:p w14:paraId="214362D2" w14:textId="77777777" w:rsidR="00055004" w:rsidRDefault="00365BD5">
      <w:pPr>
        <w:pStyle w:val="BodyText"/>
        <w:spacing w:before="1"/>
        <w:ind w:left="120"/>
      </w:pPr>
      <w:r>
        <w:t>½-hp (nominal capacity) motor.</w:t>
      </w:r>
    </w:p>
    <w:p w14:paraId="214362D3" w14:textId="52DCF3FC" w:rsidR="00055004" w:rsidRDefault="00365BD5">
      <w:pPr>
        <w:pStyle w:val="BodyText"/>
        <w:spacing w:before="120"/>
        <w:ind w:left="120" w:right="1207"/>
      </w:pPr>
      <w:r>
        <w:t xml:space="preserve">The base case equipment cost for a ½-hp permanent split capacitor (PSC) motor was calculated as the average cost of six PSC motors obtained from the Grainger </w:t>
      </w:r>
      <w:r w:rsidR="004301D0">
        <w:t xml:space="preserve">2020 </w:t>
      </w:r>
      <w:r>
        <w:t xml:space="preserve">online catalog (www.grainger.com). </w:t>
      </w:r>
      <w:r w:rsidR="00A60122">
        <w:t>Base</w:t>
      </w:r>
      <w:r w:rsidR="00711C33">
        <w:t xml:space="preserve"> case material c</w:t>
      </w:r>
      <w:r>
        <w:t>ost</w:t>
      </w:r>
      <w:r w:rsidR="00960088">
        <w:t xml:space="preserve"> of $52.75 per ton</w:t>
      </w:r>
      <w:r>
        <w:t xml:space="preserve"> </w:t>
      </w:r>
      <w:r w:rsidR="00D060A6">
        <w:t xml:space="preserve">was found from </w:t>
      </w:r>
      <w:r>
        <w:t>normaliz</w:t>
      </w:r>
      <w:r w:rsidR="00930052">
        <w:t>ing costs</w:t>
      </w:r>
      <w:r>
        <w:t xml:space="preserve"> based on system capacity (tons cooling), using the Database of Energy Efficient Resources (DEER) 2020 residential prototypes average system capacity of 2.4 tons,</w:t>
      </w:r>
      <w:r>
        <w:rPr>
          <w:vertAlign w:val="superscript"/>
        </w:rPr>
        <w:t>13</w:t>
      </w:r>
      <w:r>
        <w:t xml:space="preserve"> which corresponds to the typical ½-hp motor sizing.</w:t>
      </w:r>
      <w:r>
        <w:rPr>
          <w:vertAlign w:val="superscript"/>
        </w:rPr>
        <w:t>14</w:t>
      </w:r>
    </w:p>
    <w:p w14:paraId="214362D4" w14:textId="77777777" w:rsidR="00055004" w:rsidRDefault="00055004">
      <w:pPr>
        <w:pStyle w:val="BodyText"/>
        <w:rPr>
          <w:sz w:val="24"/>
        </w:rPr>
      </w:pPr>
    </w:p>
    <w:p w14:paraId="214362D5" w14:textId="77777777" w:rsidR="00055004" w:rsidRDefault="00055004">
      <w:pPr>
        <w:pStyle w:val="BodyText"/>
        <w:spacing w:before="10"/>
        <w:rPr>
          <w:sz w:val="18"/>
        </w:rPr>
      </w:pPr>
    </w:p>
    <w:p w14:paraId="214362D6" w14:textId="77777777" w:rsidR="00055004" w:rsidRDefault="00365BD5">
      <w:pPr>
        <w:pStyle w:val="Heading1"/>
        <w:spacing w:before="1"/>
      </w:pPr>
      <w:bookmarkStart w:id="17" w:name="_Toc57630587"/>
      <w:r>
        <w:rPr>
          <w:color w:val="CFAB79"/>
        </w:rPr>
        <w:t>MEASURE CASE MATERIAL COST ($/UNIT)</w:t>
      </w:r>
      <w:bookmarkEnd w:id="17"/>
    </w:p>
    <w:p w14:paraId="43931C76" w14:textId="38280FE2" w:rsidR="00527DD0" w:rsidRDefault="00527DD0" w:rsidP="00527DD0">
      <w:pPr>
        <w:pStyle w:val="BodyText"/>
        <w:spacing w:before="117" w:line="237" w:lineRule="auto"/>
        <w:ind w:left="120" w:right="1410"/>
      </w:pPr>
      <w:r>
        <w:t xml:space="preserve">The measure </w:t>
      </w:r>
      <w:r w:rsidR="00BE1BC5">
        <w:t xml:space="preserve">case </w:t>
      </w:r>
      <w:r>
        <w:t>labor cost was determined based on 2020 program data of SCE’s programs, comprehensive manufactured homes and residential direct install. These programs have uniform unit material cost of $</w:t>
      </w:r>
      <w:r w:rsidR="00483CA1">
        <w:t>74</w:t>
      </w:r>
      <w:r>
        <w:t xml:space="preserve"> per ton. This unit cost was considered the </w:t>
      </w:r>
      <w:r w:rsidR="00483CA1">
        <w:t>material</w:t>
      </w:r>
      <w:r>
        <w:t xml:space="preserve"> cost. Please see the supporting file</w:t>
      </w:r>
      <w:r w:rsidR="00060922">
        <w:rPr>
          <w:vertAlign w:val="superscript"/>
        </w:rPr>
        <w:t>15</w:t>
      </w:r>
      <w:r>
        <w:t xml:space="preserve"> for details.</w:t>
      </w:r>
    </w:p>
    <w:p w14:paraId="214362D8" w14:textId="77777777" w:rsidR="00055004" w:rsidRDefault="00055004">
      <w:pPr>
        <w:pStyle w:val="BodyText"/>
        <w:rPr>
          <w:sz w:val="24"/>
        </w:rPr>
      </w:pPr>
    </w:p>
    <w:p w14:paraId="214362D9" w14:textId="77777777" w:rsidR="00055004" w:rsidRDefault="00055004">
      <w:pPr>
        <w:pStyle w:val="BodyText"/>
        <w:spacing w:before="10"/>
        <w:rPr>
          <w:sz w:val="18"/>
        </w:rPr>
      </w:pPr>
    </w:p>
    <w:p w14:paraId="214362DA" w14:textId="77777777" w:rsidR="00055004" w:rsidRDefault="00365BD5">
      <w:pPr>
        <w:pStyle w:val="Heading1"/>
      </w:pPr>
      <w:bookmarkStart w:id="18" w:name="_Toc57630588"/>
      <w:r>
        <w:rPr>
          <w:color w:val="CFAB79"/>
        </w:rPr>
        <w:t>BASE CASE LABOR COST ($/UNIT)</w:t>
      </w:r>
      <w:bookmarkEnd w:id="18"/>
    </w:p>
    <w:p w14:paraId="07D1DEC3" w14:textId="0FA3FA87" w:rsidR="00EE62E3" w:rsidRDefault="00EE62E3" w:rsidP="00EE62E3">
      <w:pPr>
        <w:pStyle w:val="BodyText"/>
        <w:spacing w:before="117" w:line="237" w:lineRule="auto"/>
        <w:ind w:left="120" w:right="1410"/>
      </w:pPr>
      <w:r>
        <w:t xml:space="preserve">The labor cost is expected to be the same for both base case and measure cost. See </w:t>
      </w:r>
      <w:r w:rsidR="00C05D0E">
        <w:t>Measure</w:t>
      </w:r>
      <w:r>
        <w:t xml:space="preserve"> Cases Labor Cost.</w:t>
      </w:r>
    </w:p>
    <w:p w14:paraId="214362DC" w14:textId="77777777" w:rsidR="00055004" w:rsidRDefault="00055004">
      <w:pPr>
        <w:pStyle w:val="BodyText"/>
        <w:rPr>
          <w:sz w:val="20"/>
        </w:rPr>
      </w:pPr>
    </w:p>
    <w:p w14:paraId="214362E1" w14:textId="77777777" w:rsidR="00055004" w:rsidRDefault="00055004">
      <w:pPr>
        <w:pStyle w:val="BodyText"/>
        <w:rPr>
          <w:sz w:val="20"/>
        </w:rPr>
      </w:pPr>
    </w:p>
    <w:p w14:paraId="214362E2" w14:textId="4F377696" w:rsidR="00055004" w:rsidRDefault="00AD1285">
      <w:pPr>
        <w:pStyle w:val="BodyText"/>
        <w:spacing w:before="4"/>
        <w:rPr>
          <w:sz w:val="23"/>
        </w:rPr>
      </w:pPr>
      <w:r>
        <w:rPr>
          <w:noProof/>
        </w:rPr>
        <mc:AlternateContent>
          <mc:Choice Requires="wps">
            <w:drawing>
              <wp:anchor distT="0" distB="0" distL="0" distR="0" simplePos="0" relativeHeight="251665408" behindDoc="1" locked="0" layoutInCell="1" allowOverlap="1" wp14:anchorId="21436375" wp14:editId="3C7AD483">
                <wp:simplePos x="0" y="0"/>
                <wp:positionH relativeFrom="page">
                  <wp:posOffset>914400</wp:posOffset>
                </wp:positionH>
                <wp:positionV relativeFrom="paragraph">
                  <wp:posOffset>210820</wp:posOffset>
                </wp:positionV>
                <wp:extent cx="1829435" cy="1270"/>
                <wp:effectExtent l="0" t="0" r="0" b="0"/>
                <wp:wrapTopAndBottom/>
                <wp:docPr id="1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1 1440"/>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53254BBB" id="Freeform 2" o:spid="_x0000_s1026" style="position:absolute;margin-left:1in;margin-top:16.6pt;width:144.0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" path="m,l2881,e" filled="f" strokeweight=".72pt">
                <v:path arrowok="t" o:connecttype="custom" o:connectlocs="0,0;1829435,0" o:connectangles="0,0"/>
                <w10:wrap type="topAndBottom" anchorx="page"/>
              </v:shape>
            </w:pict>
          </mc:Fallback>
        </mc:AlternateContent>
      </w:r>
    </w:p>
    <w:p w14:paraId="214362E4" w14:textId="7A38A8E6" w:rsidR="00055004" w:rsidRDefault="00055004">
      <w:pPr>
        <w:pStyle w:val="BodyText"/>
      </w:pPr>
    </w:p>
    <w:p w14:paraId="6AB4818E" w14:textId="77777777" w:rsidR="00785887" w:rsidRDefault="00785887">
      <w:pPr>
        <w:pStyle w:val="BodyText"/>
      </w:pPr>
    </w:p>
    <w:p w14:paraId="214362E5" w14:textId="463FA58A" w:rsidR="00055004" w:rsidRDefault="00365BD5">
      <w:pPr>
        <w:spacing w:before="69"/>
        <w:ind w:left="120"/>
        <w:rPr>
          <w:sz w:val="18"/>
        </w:rPr>
      </w:pPr>
      <w:r>
        <w:rPr>
          <w:position w:val="5"/>
          <w:sz w:val="12"/>
        </w:rPr>
        <w:t xml:space="preserve">13 </w:t>
      </w:r>
      <w:r>
        <w:rPr>
          <w:sz w:val="18"/>
        </w:rPr>
        <w:t>Southern California Edison (SCE). 2019. “</w:t>
      </w:r>
      <w:r w:rsidR="004301D0">
        <w:rPr>
          <w:sz w:val="18"/>
        </w:rPr>
        <w:t>SWHC038-02</w:t>
      </w:r>
      <w:r>
        <w:rPr>
          <w:sz w:val="18"/>
        </w:rPr>
        <w:t>-Energy Impact Calcs.xlsx.” See “Energy Impact Calcs” tab.</w:t>
      </w:r>
    </w:p>
    <w:p w14:paraId="214362E6" w14:textId="12BE8A35" w:rsidR="00055004" w:rsidRDefault="00365BD5">
      <w:pPr>
        <w:spacing w:before="121"/>
        <w:ind w:left="120"/>
        <w:rPr>
          <w:sz w:val="18"/>
        </w:rPr>
      </w:pPr>
      <w:r>
        <w:rPr>
          <w:position w:val="5"/>
          <w:sz w:val="12"/>
        </w:rPr>
        <w:t xml:space="preserve">14 </w:t>
      </w:r>
      <w:r>
        <w:rPr>
          <w:sz w:val="18"/>
        </w:rPr>
        <w:t>Southern California Edison (SCE). 2019. “</w:t>
      </w:r>
      <w:r w:rsidR="004301D0">
        <w:rPr>
          <w:sz w:val="18"/>
        </w:rPr>
        <w:t>SWHC038-02</w:t>
      </w:r>
      <w:r>
        <w:rPr>
          <w:sz w:val="18"/>
        </w:rPr>
        <w:t>-Cost Calculations.xlsx.”</w:t>
      </w:r>
    </w:p>
    <w:p w14:paraId="214362E8" w14:textId="1CB8CC17" w:rsidR="00055004" w:rsidRDefault="00365BD5">
      <w:pPr>
        <w:spacing w:before="121"/>
        <w:ind w:left="120"/>
        <w:rPr>
          <w:sz w:val="18"/>
        </w:rPr>
      </w:pPr>
      <w:r>
        <w:rPr>
          <w:position w:val="5"/>
          <w:sz w:val="12"/>
        </w:rPr>
        <w:t>1</w:t>
      </w:r>
      <w:r w:rsidR="00176F67">
        <w:rPr>
          <w:position w:val="5"/>
          <w:sz w:val="12"/>
        </w:rPr>
        <w:t>5</w:t>
      </w:r>
      <w:r>
        <w:rPr>
          <w:position w:val="5"/>
          <w:sz w:val="12"/>
        </w:rPr>
        <w:t xml:space="preserve"> </w:t>
      </w:r>
      <w:r>
        <w:rPr>
          <w:sz w:val="18"/>
        </w:rPr>
        <w:t>Southern California Edison (SCE). 2019. “</w:t>
      </w:r>
      <w:r w:rsidR="004301D0">
        <w:rPr>
          <w:sz w:val="18"/>
        </w:rPr>
        <w:t>SWHC038-02</w:t>
      </w:r>
      <w:r>
        <w:rPr>
          <w:sz w:val="18"/>
        </w:rPr>
        <w:t>-Cost Calculations.xlsx.”</w:t>
      </w:r>
    </w:p>
    <w:p w14:paraId="214362EA" w14:textId="583A2D09" w:rsidR="00055004" w:rsidRDefault="00365BD5">
      <w:pPr>
        <w:spacing w:before="118"/>
        <w:ind w:left="120"/>
        <w:rPr>
          <w:sz w:val="18"/>
        </w:rPr>
      </w:pPr>
      <w:r>
        <w:rPr>
          <w:position w:val="5"/>
          <w:sz w:val="12"/>
        </w:rPr>
        <w:t>1</w:t>
      </w:r>
      <w:r w:rsidR="00176F67">
        <w:rPr>
          <w:position w:val="5"/>
          <w:sz w:val="12"/>
        </w:rPr>
        <w:t>6</w:t>
      </w:r>
      <w:r>
        <w:rPr>
          <w:position w:val="5"/>
          <w:sz w:val="12"/>
        </w:rPr>
        <w:t xml:space="preserve"> </w:t>
      </w:r>
      <w:r>
        <w:rPr>
          <w:sz w:val="18"/>
        </w:rPr>
        <w:t>Southern California Edison (SCE). 2019. “</w:t>
      </w:r>
      <w:r w:rsidR="004301D0">
        <w:rPr>
          <w:sz w:val="18"/>
        </w:rPr>
        <w:t>SWHC038-02</w:t>
      </w:r>
      <w:r>
        <w:rPr>
          <w:sz w:val="18"/>
        </w:rPr>
        <w:t>-Cost Calculations.xlsx.”</w:t>
      </w:r>
    </w:p>
    <w:p w14:paraId="214362EB" w14:textId="77777777" w:rsidR="00055004" w:rsidRDefault="00055004">
      <w:pPr>
        <w:rPr>
          <w:sz w:val="18"/>
        </w:rPr>
        <w:sectPr w:rsidR="00055004">
          <w:pgSz w:w="12240" w:h="15840"/>
          <w:pgMar w:top="1220" w:right="420" w:bottom="1320" w:left="1320" w:header="855" w:footer="1129" w:gutter="0"/>
          <w:cols w:space="720"/>
        </w:sectPr>
      </w:pPr>
    </w:p>
    <w:p w14:paraId="72791FE7" w14:textId="77777777" w:rsidR="00895215" w:rsidRDefault="00895215" w:rsidP="00895215">
      <w:pPr>
        <w:pStyle w:val="Heading1"/>
        <w:spacing w:before="51"/>
      </w:pPr>
      <w:bookmarkStart w:id="19" w:name="_Toc57630589"/>
      <w:r>
        <w:rPr>
          <w:color w:val="CFAB79"/>
        </w:rPr>
        <w:lastRenderedPageBreak/>
        <w:t>MEASURE CASE LABOR COST ($/UNIT)</w:t>
      </w:r>
      <w:bookmarkEnd w:id="19"/>
    </w:p>
    <w:p w14:paraId="2BC9E278" w14:textId="77777777" w:rsidR="00895215" w:rsidRDefault="00895215" w:rsidP="00895215">
      <w:pPr>
        <w:pStyle w:val="BodyText"/>
        <w:spacing w:before="117" w:line="237" w:lineRule="auto"/>
        <w:ind w:left="120" w:right="1410"/>
      </w:pPr>
      <w:r>
        <w:t>The measure labor cost was determined based on 2020 program data of SCE’s programs, comprehensive manufactured homes and residential direct install. These programs have uniform unit labor cost of $18.50 per ton. This unit cost was considered the labor cost. Please see the supporting file</w:t>
      </w:r>
      <w:r>
        <w:rPr>
          <w:vertAlign w:val="superscript"/>
        </w:rPr>
        <w:t>16</w:t>
      </w:r>
      <w:r>
        <w:t xml:space="preserve"> for details.</w:t>
      </w:r>
    </w:p>
    <w:p w14:paraId="214362F0" w14:textId="77777777" w:rsidR="00055004" w:rsidRDefault="00055004">
      <w:pPr>
        <w:pStyle w:val="BodyText"/>
        <w:rPr>
          <w:sz w:val="21"/>
        </w:rPr>
      </w:pPr>
    </w:p>
    <w:p w14:paraId="214362F1" w14:textId="77777777" w:rsidR="00055004" w:rsidRDefault="00365BD5">
      <w:pPr>
        <w:pStyle w:val="Heading1"/>
      </w:pPr>
      <w:bookmarkStart w:id="20" w:name="_Toc57630590"/>
      <w:r>
        <w:rPr>
          <w:color w:val="CFAB79"/>
        </w:rPr>
        <w:t>NET-TO-GROSS (NTG)</w:t>
      </w:r>
      <w:bookmarkEnd w:id="20"/>
    </w:p>
    <w:p w14:paraId="214362F2" w14:textId="5052CEE5" w:rsidR="00055004" w:rsidRDefault="00365BD5">
      <w:pPr>
        <w:pStyle w:val="BodyText"/>
        <w:spacing w:before="113"/>
        <w:ind w:left="120" w:right="1115"/>
      </w:pPr>
      <w:r>
        <w:t xml:space="preserve">The net-to-gross (NTG) ratio represents the portion of gross impacts that are determined to be directly attributed to a specific program intervention. </w:t>
      </w:r>
      <w:r w:rsidR="0085307F">
        <w:t>This NTG values</w:t>
      </w:r>
      <w:r w:rsidR="00D6639E">
        <w:t xml:space="preserve"> for downstream</w:t>
      </w:r>
      <w:r w:rsidR="00B91FA9">
        <w:t xml:space="preserve"> </w:t>
      </w:r>
      <w:bookmarkStart w:id="21" w:name="_Hlk57369625"/>
      <w:r w:rsidR="00B91FA9">
        <w:t>(non- direct install)</w:t>
      </w:r>
      <w:r w:rsidR="00D6639E">
        <w:t xml:space="preserve"> </w:t>
      </w:r>
      <w:bookmarkEnd w:id="21"/>
      <w:r w:rsidR="00D6639E">
        <w:t>and upstream programs</w:t>
      </w:r>
      <w:r w:rsidR="0085307F">
        <w:t xml:space="preserve"> are based upon the average of all NTG ratios for all evaluated 2006 – 2008 residential programs, as documented in the 2011 DEER Update Study conducted by Itron, Inc. This sector average NTG (“default NTG”) is applicable to all energy efficiency measures that have been offered through residential sector programs for more than two years and for which impact evaluation results are not</w:t>
      </w:r>
      <w:r w:rsidR="0085307F">
        <w:rPr>
          <w:spacing w:val="-5"/>
        </w:rPr>
        <w:t xml:space="preserve"> </w:t>
      </w:r>
      <w:r w:rsidR="0085307F">
        <w:t xml:space="preserve">available. </w:t>
      </w:r>
      <w:r w:rsidR="00E937FE">
        <w:t xml:space="preserve">Resolution E-5082, approval of the DEER updates for program year 2022, directed to update the NTG value </w:t>
      </w:r>
      <w:r w:rsidR="00246E0C">
        <w:t xml:space="preserve">for direct install program </w:t>
      </w:r>
      <w:r w:rsidR="00E937FE">
        <w:t>to</w:t>
      </w:r>
      <w:r w:rsidR="00B91FA9">
        <w:t xml:space="preserve"> be</w:t>
      </w:r>
      <w:r w:rsidR="00E937FE">
        <w:t xml:space="preserve"> 0.85 for fan motor replacements in the residential sector. This direction is based on 2018 EM&amp;V results. </w:t>
      </w:r>
    </w:p>
    <w:p w14:paraId="214362F3" w14:textId="77777777" w:rsidR="00055004" w:rsidRDefault="00055004">
      <w:pPr>
        <w:pStyle w:val="BodyText"/>
        <w:spacing w:before="1"/>
        <w:rPr>
          <w:sz w:val="23"/>
        </w:rPr>
      </w:pPr>
    </w:p>
    <w:p w14:paraId="214362F4" w14:textId="77777777" w:rsidR="00055004" w:rsidRDefault="00365BD5">
      <w:pPr>
        <w:spacing w:before="1"/>
        <w:ind w:left="2773" w:right="3666"/>
        <w:jc w:val="center"/>
        <w:rPr>
          <w:sz w:val="20"/>
        </w:rPr>
      </w:pPr>
      <w:r>
        <w:rPr>
          <w:sz w:val="20"/>
        </w:rPr>
        <w:t>Net-to-Gross Ratios</w:t>
      </w:r>
    </w:p>
    <w:p w14:paraId="214362F5" w14:textId="77777777" w:rsidR="00055004" w:rsidRDefault="00055004">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067"/>
        <w:gridCol w:w="1529"/>
        <w:gridCol w:w="5942"/>
      </w:tblGrid>
      <w:tr w:rsidR="00055004" w14:paraId="214362F9" w14:textId="77777777">
        <w:trPr>
          <w:trHeight w:val="285"/>
        </w:trPr>
        <w:tc>
          <w:tcPr>
            <w:tcW w:w="2067" w:type="dxa"/>
            <w:shd w:val="clear" w:color="auto" w:fill="F1F1F1"/>
          </w:tcPr>
          <w:p w14:paraId="214362F6" w14:textId="77777777" w:rsidR="00055004" w:rsidRDefault="00365BD5">
            <w:pPr>
              <w:pStyle w:val="TableParagraph"/>
              <w:rPr>
                <w:sz w:val="20"/>
              </w:rPr>
            </w:pPr>
            <w:r>
              <w:rPr>
                <w:sz w:val="20"/>
              </w:rPr>
              <w:t>Parameter</w:t>
            </w:r>
          </w:p>
        </w:tc>
        <w:tc>
          <w:tcPr>
            <w:tcW w:w="1529" w:type="dxa"/>
            <w:shd w:val="clear" w:color="auto" w:fill="F1F1F1"/>
          </w:tcPr>
          <w:p w14:paraId="214362F7" w14:textId="77777777" w:rsidR="00055004" w:rsidRDefault="00365BD5">
            <w:pPr>
              <w:pStyle w:val="TableParagraph"/>
              <w:ind w:left="105"/>
              <w:rPr>
                <w:sz w:val="20"/>
              </w:rPr>
            </w:pPr>
            <w:r>
              <w:rPr>
                <w:sz w:val="20"/>
              </w:rPr>
              <w:t>Value</w:t>
            </w:r>
          </w:p>
        </w:tc>
        <w:tc>
          <w:tcPr>
            <w:tcW w:w="5942" w:type="dxa"/>
            <w:shd w:val="clear" w:color="auto" w:fill="F1F1F1"/>
          </w:tcPr>
          <w:p w14:paraId="214362F8" w14:textId="77777777" w:rsidR="00055004" w:rsidRDefault="00365BD5">
            <w:pPr>
              <w:pStyle w:val="TableParagraph"/>
              <w:rPr>
                <w:sz w:val="20"/>
              </w:rPr>
            </w:pPr>
            <w:r>
              <w:rPr>
                <w:sz w:val="20"/>
              </w:rPr>
              <w:t>Source</w:t>
            </w:r>
          </w:p>
        </w:tc>
      </w:tr>
      <w:tr w:rsidR="00055004" w14:paraId="214362FD" w14:textId="77777777">
        <w:trPr>
          <w:trHeight w:val="479"/>
        </w:trPr>
        <w:tc>
          <w:tcPr>
            <w:tcW w:w="2067" w:type="dxa"/>
          </w:tcPr>
          <w:p w14:paraId="214362FA" w14:textId="13D80B73" w:rsidR="00055004" w:rsidRDefault="00365BD5">
            <w:pPr>
              <w:pStyle w:val="TableParagraph"/>
              <w:spacing w:before="119"/>
              <w:rPr>
                <w:sz w:val="20"/>
              </w:rPr>
            </w:pPr>
            <w:r>
              <w:rPr>
                <w:sz w:val="20"/>
              </w:rPr>
              <w:t xml:space="preserve">NTG </w:t>
            </w:r>
            <w:r w:rsidR="005E41A7">
              <w:rPr>
                <w:sz w:val="20"/>
              </w:rPr>
              <w:t>–</w:t>
            </w:r>
            <w:r>
              <w:rPr>
                <w:sz w:val="20"/>
              </w:rPr>
              <w:t xml:space="preserve"> residential</w:t>
            </w:r>
            <w:r w:rsidR="005E41A7">
              <w:rPr>
                <w:sz w:val="20"/>
              </w:rPr>
              <w:t xml:space="preserve"> – direct install</w:t>
            </w:r>
          </w:p>
        </w:tc>
        <w:tc>
          <w:tcPr>
            <w:tcW w:w="1529" w:type="dxa"/>
          </w:tcPr>
          <w:p w14:paraId="214362FB" w14:textId="623BEF9A" w:rsidR="00055004" w:rsidRDefault="00365BD5">
            <w:pPr>
              <w:pStyle w:val="TableParagraph"/>
              <w:spacing w:before="119"/>
              <w:ind w:left="563" w:right="561"/>
              <w:jc w:val="center"/>
              <w:rPr>
                <w:sz w:val="20"/>
              </w:rPr>
            </w:pPr>
            <w:r>
              <w:rPr>
                <w:sz w:val="20"/>
              </w:rPr>
              <w:t>0.</w:t>
            </w:r>
            <w:r w:rsidR="00473C19">
              <w:rPr>
                <w:sz w:val="20"/>
              </w:rPr>
              <w:t>85</w:t>
            </w:r>
          </w:p>
        </w:tc>
        <w:tc>
          <w:tcPr>
            <w:tcW w:w="5942" w:type="dxa"/>
          </w:tcPr>
          <w:p w14:paraId="214362FC" w14:textId="680D1D8E" w:rsidR="00055004" w:rsidRDefault="00E937FE">
            <w:pPr>
              <w:pStyle w:val="TableParagraph"/>
              <w:spacing w:line="220" w:lineRule="atLeast"/>
              <w:ind w:right="93"/>
              <w:rPr>
                <w:sz w:val="18"/>
              </w:rPr>
            </w:pPr>
            <w:r>
              <w:rPr>
                <w:sz w:val="18"/>
              </w:rPr>
              <w:t xml:space="preserve">CPUC Resolution E-5082. Approval of the DEER updates for program year 2022. Page 18.  </w:t>
            </w:r>
          </w:p>
        </w:tc>
      </w:tr>
      <w:tr w:rsidR="005E41A7" w14:paraId="562215ED" w14:textId="77777777">
        <w:trPr>
          <w:trHeight w:val="479"/>
        </w:trPr>
        <w:tc>
          <w:tcPr>
            <w:tcW w:w="2067" w:type="dxa"/>
          </w:tcPr>
          <w:p w14:paraId="3632D923" w14:textId="4773B6BE" w:rsidR="005E41A7" w:rsidRDefault="005E41A7" w:rsidP="005E41A7">
            <w:pPr>
              <w:pStyle w:val="TableParagraph"/>
              <w:spacing w:before="119"/>
              <w:rPr>
                <w:sz w:val="20"/>
              </w:rPr>
            </w:pPr>
            <w:r>
              <w:rPr>
                <w:sz w:val="20"/>
              </w:rPr>
              <w:t>NTG – residential – downstream/upstream</w:t>
            </w:r>
          </w:p>
        </w:tc>
        <w:tc>
          <w:tcPr>
            <w:tcW w:w="1529" w:type="dxa"/>
          </w:tcPr>
          <w:p w14:paraId="57C0E90F" w14:textId="7A85192F" w:rsidR="005E41A7" w:rsidRDefault="005E41A7" w:rsidP="005E41A7">
            <w:pPr>
              <w:pStyle w:val="TableParagraph"/>
              <w:spacing w:before="119"/>
              <w:ind w:left="563" w:right="561"/>
              <w:jc w:val="center"/>
              <w:rPr>
                <w:sz w:val="20"/>
              </w:rPr>
            </w:pPr>
            <w:r>
              <w:rPr>
                <w:sz w:val="20"/>
              </w:rPr>
              <w:t>0.55</w:t>
            </w:r>
          </w:p>
        </w:tc>
        <w:tc>
          <w:tcPr>
            <w:tcW w:w="5942" w:type="dxa"/>
          </w:tcPr>
          <w:p w14:paraId="1EB9BA05" w14:textId="3509C931" w:rsidR="005E41A7" w:rsidDel="00E937FE" w:rsidRDefault="003E1AC3" w:rsidP="005E41A7">
            <w:pPr>
              <w:pStyle w:val="TableParagraph"/>
              <w:spacing w:line="220" w:lineRule="atLeast"/>
              <w:ind w:right="93"/>
              <w:rPr>
                <w:sz w:val="18"/>
              </w:rPr>
            </w:pPr>
            <w:r>
              <w:rPr>
                <w:sz w:val="18"/>
              </w:rPr>
              <w:t xml:space="preserve">Itron, Inc. 2011. </w:t>
            </w:r>
            <w:r>
              <w:rPr>
                <w:i/>
                <w:sz w:val="18"/>
              </w:rPr>
              <w:t xml:space="preserve">DEER Database 2011 Update Documentation. </w:t>
            </w:r>
            <w:r>
              <w:rPr>
                <w:sz w:val="18"/>
              </w:rPr>
              <w:t>Prepared for the California Public Utilities Commission. Page 15-4 Table 15-3.</w:t>
            </w:r>
          </w:p>
        </w:tc>
      </w:tr>
    </w:tbl>
    <w:p w14:paraId="214362FE" w14:textId="77777777" w:rsidR="00055004" w:rsidRDefault="00055004">
      <w:pPr>
        <w:pStyle w:val="BodyText"/>
        <w:rPr>
          <w:sz w:val="20"/>
        </w:rPr>
      </w:pPr>
    </w:p>
    <w:p w14:paraId="214362FF" w14:textId="77777777" w:rsidR="00055004" w:rsidRDefault="00055004">
      <w:pPr>
        <w:pStyle w:val="BodyText"/>
        <w:spacing w:before="8"/>
      </w:pPr>
    </w:p>
    <w:p w14:paraId="21436300" w14:textId="77777777" w:rsidR="00055004" w:rsidRDefault="00365BD5">
      <w:pPr>
        <w:pStyle w:val="Heading1"/>
      </w:pPr>
      <w:bookmarkStart w:id="22" w:name="_Toc57630591"/>
      <w:r>
        <w:rPr>
          <w:color w:val="CFAB79"/>
        </w:rPr>
        <w:t>GROSS SAVINGS INSTALLATION ADJUSTMENT (GSIA)</w:t>
      </w:r>
      <w:bookmarkEnd w:id="22"/>
    </w:p>
    <w:p w14:paraId="21436301" w14:textId="77777777" w:rsidR="00055004" w:rsidRDefault="00365BD5">
      <w:pPr>
        <w:pStyle w:val="BodyText"/>
        <w:spacing w:before="112"/>
        <w:ind w:left="120" w:right="1466"/>
      </w:pPr>
      <w:r>
        <w:t>The gross savings installation adjustment (GSIA) represents the ratio of the number of verified installations of the measure to the number of claimed installations reported by the utility. This factor varies by end use, sector, technology, application, and delivery method. This GSIA rate is the current</w:t>
      </w:r>
    </w:p>
    <w:p w14:paraId="21436302" w14:textId="77777777" w:rsidR="00055004" w:rsidRDefault="00365BD5">
      <w:pPr>
        <w:pStyle w:val="BodyText"/>
        <w:spacing w:before="1"/>
        <w:ind w:left="120"/>
      </w:pPr>
      <w:r>
        <w:t>“default” rate specified for measures for which an alternative GSIA has not been estimated and approved.</w:t>
      </w:r>
    </w:p>
    <w:p w14:paraId="21436303" w14:textId="77777777" w:rsidR="00055004" w:rsidRDefault="00055004">
      <w:pPr>
        <w:pStyle w:val="BodyText"/>
        <w:spacing w:before="3"/>
        <w:rPr>
          <w:sz w:val="23"/>
        </w:rPr>
      </w:pPr>
    </w:p>
    <w:p w14:paraId="21436304" w14:textId="77777777" w:rsidR="00055004" w:rsidRDefault="00365BD5">
      <w:pPr>
        <w:ind w:left="2773" w:right="3666"/>
        <w:jc w:val="center"/>
        <w:rPr>
          <w:sz w:val="20"/>
        </w:rPr>
      </w:pPr>
      <w:r>
        <w:rPr>
          <w:sz w:val="20"/>
        </w:rPr>
        <w:t>Gross Savings Installation Adjustment Rates</w:t>
      </w:r>
    </w:p>
    <w:p w14:paraId="21436305" w14:textId="77777777" w:rsidR="00055004" w:rsidRDefault="00055004">
      <w:pPr>
        <w:pStyle w:val="BodyText"/>
        <w:spacing w:before="5"/>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92"/>
        <w:gridCol w:w="1620"/>
        <w:gridCol w:w="5641"/>
      </w:tblGrid>
      <w:tr w:rsidR="00055004" w14:paraId="21436309" w14:textId="77777777">
        <w:trPr>
          <w:trHeight w:val="244"/>
        </w:trPr>
        <w:tc>
          <w:tcPr>
            <w:tcW w:w="2192" w:type="dxa"/>
            <w:shd w:val="clear" w:color="auto" w:fill="F1F1F1"/>
          </w:tcPr>
          <w:p w14:paraId="21436306" w14:textId="77777777" w:rsidR="00055004" w:rsidRDefault="00365BD5">
            <w:pPr>
              <w:pStyle w:val="TableParagraph"/>
              <w:spacing w:before="0" w:line="224" w:lineRule="exact"/>
              <w:ind w:left="115"/>
              <w:rPr>
                <w:sz w:val="20"/>
              </w:rPr>
            </w:pPr>
            <w:r>
              <w:rPr>
                <w:sz w:val="20"/>
              </w:rPr>
              <w:t>Parameter</w:t>
            </w:r>
          </w:p>
        </w:tc>
        <w:tc>
          <w:tcPr>
            <w:tcW w:w="1620" w:type="dxa"/>
            <w:shd w:val="clear" w:color="auto" w:fill="F1F1F1"/>
          </w:tcPr>
          <w:p w14:paraId="21436307" w14:textId="77777777" w:rsidR="00055004" w:rsidRDefault="00365BD5">
            <w:pPr>
              <w:pStyle w:val="TableParagraph"/>
              <w:spacing w:before="0" w:line="224" w:lineRule="exact"/>
              <w:ind w:left="562" w:right="555"/>
              <w:jc w:val="center"/>
              <w:rPr>
                <w:sz w:val="20"/>
              </w:rPr>
            </w:pPr>
            <w:r>
              <w:rPr>
                <w:sz w:val="20"/>
              </w:rPr>
              <w:t>Value</w:t>
            </w:r>
          </w:p>
        </w:tc>
        <w:tc>
          <w:tcPr>
            <w:tcW w:w="5641" w:type="dxa"/>
            <w:shd w:val="clear" w:color="auto" w:fill="F1F1F1"/>
          </w:tcPr>
          <w:p w14:paraId="21436308" w14:textId="77777777" w:rsidR="00055004" w:rsidRDefault="00365BD5">
            <w:pPr>
              <w:pStyle w:val="TableParagraph"/>
              <w:spacing w:before="0" w:line="224" w:lineRule="exact"/>
              <w:ind w:left="2523" w:right="2516"/>
              <w:jc w:val="center"/>
              <w:rPr>
                <w:sz w:val="20"/>
              </w:rPr>
            </w:pPr>
            <w:r>
              <w:rPr>
                <w:sz w:val="20"/>
              </w:rPr>
              <w:t>Source</w:t>
            </w:r>
          </w:p>
        </w:tc>
      </w:tr>
      <w:tr w:rsidR="00055004" w14:paraId="2143630E" w14:textId="77777777">
        <w:trPr>
          <w:trHeight w:val="489"/>
        </w:trPr>
        <w:tc>
          <w:tcPr>
            <w:tcW w:w="2192" w:type="dxa"/>
          </w:tcPr>
          <w:p w14:paraId="2143630A" w14:textId="77777777" w:rsidR="00055004" w:rsidRDefault="00365BD5">
            <w:pPr>
              <w:pStyle w:val="TableParagraph"/>
              <w:spacing w:before="121"/>
              <w:ind w:left="115"/>
              <w:rPr>
                <w:sz w:val="20"/>
              </w:rPr>
            </w:pPr>
            <w:r>
              <w:rPr>
                <w:sz w:val="20"/>
              </w:rPr>
              <w:t>GSIA</w:t>
            </w:r>
          </w:p>
        </w:tc>
        <w:tc>
          <w:tcPr>
            <w:tcW w:w="1620" w:type="dxa"/>
          </w:tcPr>
          <w:p w14:paraId="2143630B" w14:textId="77777777" w:rsidR="00055004" w:rsidRDefault="00365BD5">
            <w:pPr>
              <w:pStyle w:val="TableParagraph"/>
              <w:spacing w:before="121"/>
              <w:ind w:left="556" w:right="555"/>
              <w:jc w:val="center"/>
              <w:rPr>
                <w:sz w:val="20"/>
              </w:rPr>
            </w:pPr>
            <w:r>
              <w:rPr>
                <w:sz w:val="20"/>
              </w:rPr>
              <w:t>1.0</w:t>
            </w:r>
          </w:p>
        </w:tc>
        <w:tc>
          <w:tcPr>
            <w:tcW w:w="5641" w:type="dxa"/>
          </w:tcPr>
          <w:p w14:paraId="2143630C" w14:textId="77777777" w:rsidR="00055004" w:rsidRDefault="00365BD5">
            <w:pPr>
              <w:pStyle w:val="TableParagraph"/>
              <w:spacing w:before="0" w:line="243" w:lineRule="exact"/>
              <w:ind w:left="112"/>
              <w:rPr>
                <w:sz w:val="20"/>
              </w:rPr>
            </w:pPr>
            <w:r>
              <w:rPr>
                <w:sz w:val="20"/>
              </w:rPr>
              <w:t>California Public Utilities Commission (CPUC), Energy Division.</w:t>
            </w:r>
          </w:p>
          <w:p w14:paraId="2143630D" w14:textId="77777777" w:rsidR="00055004" w:rsidRDefault="00365BD5">
            <w:pPr>
              <w:pStyle w:val="TableParagraph"/>
              <w:spacing w:before="0" w:line="225" w:lineRule="exact"/>
              <w:ind w:left="112"/>
              <w:rPr>
                <w:sz w:val="20"/>
              </w:rPr>
            </w:pPr>
            <w:r>
              <w:rPr>
                <w:sz w:val="20"/>
              </w:rPr>
              <w:t xml:space="preserve">2013. </w:t>
            </w:r>
            <w:r>
              <w:rPr>
                <w:i/>
                <w:sz w:val="20"/>
              </w:rPr>
              <w:t>Energy Efficiency Policy Manual Version 5</w:t>
            </w:r>
            <w:r>
              <w:rPr>
                <w:sz w:val="20"/>
              </w:rPr>
              <w:t>. Page 31.</w:t>
            </w:r>
          </w:p>
        </w:tc>
      </w:tr>
    </w:tbl>
    <w:p w14:paraId="2143630F" w14:textId="77777777" w:rsidR="00055004" w:rsidRDefault="00055004">
      <w:pPr>
        <w:pStyle w:val="BodyText"/>
        <w:rPr>
          <w:sz w:val="20"/>
        </w:rPr>
      </w:pPr>
    </w:p>
    <w:p w14:paraId="21436310" w14:textId="77777777" w:rsidR="00055004" w:rsidRDefault="00055004">
      <w:pPr>
        <w:pStyle w:val="BodyText"/>
        <w:spacing w:before="8"/>
        <w:rPr>
          <w:sz w:val="20"/>
        </w:rPr>
      </w:pPr>
    </w:p>
    <w:p w14:paraId="21436311" w14:textId="77777777" w:rsidR="00055004" w:rsidRDefault="00365BD5">
      <w:pPr>
        <w:pStyle w:val="Heading1"/>
      </w:pPr>
      <w:bookmarkStart w:id="23" w:name="_Toc57630592"/>
      <w:r>
        <w:rPr>
          <w:color w:val="CFAB79"/>
        </w:rPr>
        <w:t>NON-ENERGY IMPACTS</w:t>
      </w:r>
      <w:bookmarkEnd w:id="23"/>
    </w:p>
    <w:p w14:paraId="21436312" w14:textId="77777777" w:rsidR="00055004" w:rsidRDefault="00365BD5">
      <w:pPr>
        <w:pStyle w:val="BodyText"/>
        <w:spacing w:before="112"/>
        <w:ind w:left="120"/>
      </w:pPr>
      <w:r>
        <w:t>Non-energy impacts for this measure have not been quantified.</w:t>
      </w:r>
    </w:p>
    <w:p w14:paraId="21436313" w14:textId="77777777" w:rsidR="00055004" w:rsidRDefault="00055004">
      <w:pPr>
        <w:pStyle w:val="BodyText"/>
      </w:pPr>
    </w:p>
    <w:p w14:paraId="21436314" w14:textId="77777777" w:rsidR="00055004" w:rsidRDefault="00055004">
      <w:pPr>
        <w:pStyle w:val="BodyText"/>
        <w:spacing w:before="9"/>
        <w:rPr>
          <w:sz w:val="20"/>
        </w:rPr>
      </w:pPr>
    </w:p>
    <w:p w14:paraId="21436315" w14:textId="77777777" w:rsidR="00055004" w:rsidRDefault="00365BD5">
      <w:pPr>
        <w:pStyle w:val="Heading1"/>
      </w:pPr>
      <w:bookmarkStart w:id="24" w:name="_Toc57630593"/>
      <w:r>
        <w:rPr>
          <w:color w:val="CFAB79"/>
        </w:rPr>
        <w:t>DEER DIFFERENCES ANALYSIS</w:t>
      </w:r>
      <w:bookmarkEnd w:id="24"/>
    </w:p>
    <w:p w14:paraId="21436316" w14:textId="1668939E" w:rsidR="00055004" w:rsidRDefault="00365BD5">
      <w:pPr>
        <w:pStyle w:val="BodyText"/>
        <w:spacing w:before="117" w:line="237" w:lineRule="auto"/>
        <w:ind w:left="120" w:right="1126"/>
      </w:pPr>
      <w:r>
        <w:t>This section provides a summary of inputs and methods from the Database of Energy Efficient Resources (DEER), and the rationale for inputs and methods that are not DEER-based.</w:t>
      </w:r>
    </w:p>
    <w:p w14:paraId="44F3D091" w14:textId="77777777" w:rsidR="00E51701" w:rsidRDefault="00E51701">
      <w:pPr>
        <w:pStyle w:val="BodyText"/>
        <w:spacing w:before="117" w:line="237" w:lineRule="auto"/>
        <w:ind w:left="120" w:right="1126"/>
      </w:pPr>
    </w:p>
    <w:p w14:paraId="21436317" w14:textId="77777777" w:rsidR="00055004" w:rsidRDefault="00055004">
      <w:pPr>
        <w:pStyle w:val="BodyText"/>
        <w:spacing w:before="4"/>
        <w:rPr>
          <w:sz w:val="23"/>
        </w:rPr>
      </w:pPr>
    </w:p>
    <w:p w14:paraId="21436327" w14:textId="5F4B7A7F" w:rsidR="00055004" w:rsidRDefault="00365BD5" w:rsidP="00E51701">
      <w:pPr>
        <w:ind w:left="2772" w:right="3666"/>
        <w:jc w:val="center"/>
        <w:rPr>
          <w:sz w:val="24"/>
        </w:rPr>
      </w:pPr>
      <w:r>
        <w:rPr>
          <w:sz w:val="20"/>
        </w:rPr>
        <w:t>DEER Difference Summar</w:t>
      </w:r>
      <w:r w:rsidR="00E51701">
        <w:rPr>
          <w:sz w:val="20"/>
        </w:rPr>
        <w:t>y</w:t>
      </w: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845"/>
        <w:gridCol w:w="7413"/>
      </w:tblGrid>
      <w:tr w:rsidR="00055004" w14:paraId="2143632A" w14:textId="77777777" w:rsidTr="00C27F30">
        <w:trPr>
          <w:trHeight w:val="285"/>
        </w:trPr>
        <w:tc>
          <w:tcPr>
            <w:tcW w:w="2845" w:type="dxa"/>
            <w:shd w:val="clear" w:color="auto" w:fill="F1F1F1"/>
          </w:tcPr>
          <w:p w14:paraId="21436328" w14:textId="77777777" w:rsidR="00055004" w:rsidRDefault="00365BD5">
            <w:pPr>
              <w:pStyle w:val="TableParagraph"/>
              <w:spacing w:before="23" w:line="242" w:lineRule="exact"/>
              <w:ind w:left="115"/>
              <w:rPr>
                <w:sz w:val="20"/>
              </w:rPr>
            </w:pPr>
            <w:r>
              <w:rPr>
                <w:sz w:val="20"/>
              </w:rPr>
              <w:t>DEER Item</w:t>
            </w:r>
          </w:p>
        </w:tc>
        <w:tc>
          <w:tcPr>
            <w:tcW w:w="7413" w:type="dxa"/>
            <w:shd w:val="clear" w:color="auto" w:fill="F1F1F1"/>
          </w:tcPr>
          <w:p w14:paraId="21436329" w14:textId="77777777" w:rsidR="00055004" w:rsidRDefault="00365BD5">
            <w:pPr>
              <w:pStyle w:val="TableParagraph"/>
              <w:spacing w:before="23" w:line="242" w:lineRule="exact"/>
              <w:ind w:left="114"/>
              <w:rPr>
                <w:sz w:val="20"/>
              </w:rPr>
            </w:pPr>
            <w:r>
              <w:rPr>
                <w:sz w:val="20"/>
              </w:rPr>
              <w:t>Comment / Used for Workpaper</w:t>
            </w:r>
          </w:p>
        </w:tc>
      </w:tr>
      <w:tr w:rsidR="009B2511" w14:paraId="1B94FBF1" w14:textId="77777777" w:rsidTr="00C27F30">
        <w:trPr>
          <w:trHeight w:val="282"/>
        </w:trPr>
        <w:tc>
          <w:tcPr>
            <w:tcW w:w="2845" w:type="dxa"/>
          </w:tcPr>
          <w:p w14:paraId="690409B7" w14:textId="108D4BF7" w:rsidR="009B2511" w:rsidRDefault="009B2511" w:rsidP="009B2511">
            <w:pPr>
              <w:pStyle w:val="TableParagraph"/>
              <w:spacing w:line="242" w:lineRule="exact"/>
              <w:ind w:left="115"/>
              <w:rPr>
                <w:sz w:val="20"/>
              </w:rPr>
            </w:pPr>
            <w:r>
              <w:rPr>
                <w:sz w:val="20"/>
              </w:rPr>
              <w:t>Modified DEER methodology</w:t>
            </w:r>
          </w:p>
        </w:tc>
        <w:tc>
          <w:tcPr>
            <w:tcW w:w="7413" w:type="dxa"/>
          </w:tcPr>
          <w:p w14:paraId="5AF59D00" w14:textId="17A7F7A2" w:rsidR="009B2511" w:rsidRDefault="009B2511" w:rsidP="009B2511">
            <w:pPr>
              <w:pStyle w:val="TableParagraph"/>
              <w:spacing w:line="242" w:lineRule="exact"/>
              <w:ind w:left="114"/>
              <w:rPr>
                <w:sz w:val="20"/>
              </w:rPr>
            </w:pPr>
            <w:r>
              <w:rPr>
                <w:sz w:val="20"/>
              </w:rPr>
              <w:t>Yes</w:t>
            </w:r>
          </w:p>
        </w:tc>
      </w:tr>
      <w:tr w:rsidR="009B2511" w14:paraId="5F94B832" w14:textId="77777777" w:rsidTr="00C27F30">
        <w:trPr>
          <w:trHeight w:val="282"/>
        </w:trPr>
        <w:tc>
          <w:tcPr>
            <w:tcW w:w="2845" w:type="dxa"/>
          </w:tcPr>
          <w:p w14:paraId="7F42291D" w14:textId="21D3BE79" w:rsidR="009B2511" w:rsidRDefault="009B2511" w:rsidP="009B2511">
            <w:pPr>
              <w:pStyle w:val="TableParagraph"/>
              <w:spacing w:line="242" w:lineRule="exact"/>
              <w:ind w:left="115"/>
              <w:rPr>
                <w:sz w:val="20"/>
              </w:rPr>
            </w:pPr>
            <w:r>
              <w:rPr>
                <w:sz w:val="20"/>
              </w:rPr>
              <w:t>Scaled DEER measure</w:t>
            </w:r>
          </w:p>
        </w:tc>
        <w:tc>
          <w:tcPr>
            <w:tcW w:w="7413" w:type="dxa"/>
          </w:tcPr>
          <w:p w14:paraId="28304A07" w14:textId="533ED969" w:rsidR="009B2511" w:rsidRDefault="009B2511" w:rsidP="009B2511">
            <w:pPr>
              <w:pStyle w:val="TableParagraph"/>
              <w:spacing w:line="242" w:lineRule="exact"/>
              <w:ind w:left="114"/>
              <w:rPr>
                <w:sz w:val="20"/>
              </w:rPr>
            </w:pPr>
            <w:r>
              <w:rPr>
                <w:sz w:val="20"/>
              </w:rPr>
              <w:t>No</w:t>
            </w:r>
          </w:p>
        </w:tc>
      </w:tr>
      <w:tr w:rsidR="009B2511" w14:paraId="518C7A01" w14:textId="77777777" w:rsidTr="00C27F30">
        <w:trPr>
          <w:trHeight w:val="282"/>
        </w:trPr>
        <w:tc>
          <w:tcPr>
            <w:tcW w:w="2845" w:type="dxa"/>
          </w:tcPr>
          <w:p w14:paraId="772B4C20" w14:textId="2D27667D" w:rsidR="009B2511" w:rsidRDefault="009B2511" w:rsidP="009B2511">
            <w:pPr>
              <w:pStyle w:val="TableParagraph"/>
              <w:spacing w:line="242" w:lineRule="exact"/>
              <w:ind w:left="115"/>
              <w:rPr>
                <w:sz w:val="20"/>
              </w:rPr>
            </w:pPr>
            <w:r>
              <w:rPr>
                <w:sz w:val="20"/>
              </w:rPr>
              <w:t>DEER Base Case</w:t>
            </w:r>
          </w:p>
        </w:tc>
        <w:tc>
          <w:tcPr>
            <w:tcW w:w="7413" w:type="dxa"/>
          </w:tcPr>
          <w:p w14:paraId="53146C52" w14:textId="5B939EFA" w:rsidR="009B2511" w:rsidRDefault="009B2511" w:rsidP="009B2511">
            <w:pPr>
              <w:pStyle w:val="TableParagraph"/>
              <w:spacing w:line="242" w:lineRule="exact"/>
              <w:ind w:left="114"/>
              <w:rPr>
                <w:sz w:val="20"/>
              </w:rPr>
            </w:pPr>
            <w:r>
              <w:rPr>
                <w:sz w:val="20"/>
              </w:rPr>
              <w:t>No</w:t>
            </w:r>
          </w:p>
        </w:tc>
      </w:tr>
      <w:tr w:rsidR="009B2511" w14:paraId="2143632D" w14:textId="77777777" w:rsidTr="00C27F30">
        <w:trPr>
          <w:trHeight w:val="282"/>
        </w:trPr>
        <w:tc>
          <w:tcPr>
            <w:tcW w:w="2845" w:type="dxa"/>
          </w:tcPr>
          <w:p w14:paraId="2143632B" w14:textId="77777777" w:rsidR="009B2511" w:rsidRDefault="009B2511" w:rsidP="009B2511">
            <w:pPr>
              <w:pStyle w:val="TableParagraph"/>
              <w:spacing w:line="242" w:lineRule="exact"/>
              <w:ind w:left="115"/>
              <w:rPr>
                <w:sz w:val="20"/>
              </w:rPr>
            </w:pPr>
            <w:r>
              <w:rPr>
                <w:sz w:val="20"/>
              </w:rPr>
              <w:t>DEER Measure Case</w:t>
            </w:r>
          </w:p>
        </w:tc>
        <w:tc>
          <w:tcPr>
            <w:tcW w:w="7413" w:type="dxa"/>
          </w:tcPr>
          <w:p w14:paraId="2143632C" w14:textId="77777777" w:rsidR="009B2511" w:rsidRDefault="009B2511" w:rsidP="009B2511">
            <w:pPr>
              <w:pStyle w:val="TableParagraph"/>
              <w:spacing w:line="242" w:lineRule="exact"/>
              <w:ind w:left="114"/>
              <w:rPr>
                <w:sz w:val="20"/>
              </w:rPr>
            </w:pPr>
            <w:r>
              <w:rPr>
                <w:sz w:val="20"/>
              </w:rPr>
              <w:t>No</w:t>
            </w:r>
          </w:p>
        </w:tc>
      </w:tr>
      <w:tr w:rsidR="009B2511" w14:paraId="21436330" w14:textId="77777777" w:rsidTr="00C27F30">
        <w:trPr>
          <w:trHeight w:val="285"/>
        </w:trPr>
        <w:tc>
          <w:tcPr>
            <w:tcW w:w="2845" w:type="dxa"/>
          </w:tcPr>
          <w:p w14:paraId="2143632E" w14:textId="77777777" w:rsidR="009B2511" w:rsidRDefault="009B2511" w:rsidP="009B2511">
            <w:pPr>
              <w:pStyle w:val="TableParagraph"/>
              <w:spacing w:before="23" w:line="242" w:lineRule="exact"/>
              <w:ind w:left="115"/>
              <w:rPr>
                <w:sz w:val="20"/>
              </w:rPr>
            </w:pPr>
            <w:r>
              <w:rPr>
                <w:sz w:val="20"/>
              </w:rPr>
              <w:t>DEER Building Types</w:t>
            </w:r>
          </w:p>
        </w:tc>
        <w:tc>
          <w:tcPr>
            <w:tcW w:w="7413" w:type="dxa"/>
          </w:tcPr>
          <w:p w14:paraId="2143632F" w14:textId="77777777" w:rsidR="009B2511" w:rsidRDefault="009B2511" w:rsidP="009B2511">
            <w:pPr>
              <w:pStyle w:val="TableParagraph"/>
              <w:spacing w:before="23" w:line="242" w:lineRule="exact"/>
              <w:ind w:left="114"/>
              <w:rPr>
                <w:sz w:val="20"/>
              </w:rPr>
            </w:pPr>
            <w:r>
              <w:rPr>
                <w:sz w:val="20"/>
              </w:rPr>
              <w:t>Yes</w:t>
            </w:r>
          </w:p>
        </w:tc>
      </w:tr>
      <w:tr w:rsidR="009B2511" w14:paraId="21436333" w14:textId="77777777" w:rsidTr="00C27F30">
        <w:trPr>
          <w:trHeight w:val="285"/>
        </w:trPr>
        <w:tc>
          <w:tcPr>
            <w:tcW w:w="2845" w:type="dxa"/>
          </w:tcPr>
          <w:p w14:paraId="21436331" w14:textId="77777777" w:rsidR="009B2511" w:rsidRDefault="009B2511" w:rsidP="009B2511">
            <w:pPr>
              <w:pStyle w:val="TableParagraph"/>
              <w:ind w:left="115"/>
              <w:rPr>
                <w:sz w:val="20"/>
              </w:rPr>
            </w:pPr>
            <w:r>
              <w:rPr>
                <w:sz w:val="20"/>
              </w:rPr>
              <w:t>DEER Operating Hours</w:t>
            </w:r>
          </w:p>
        </w:tc>
        <w:tc>
          <w:tcPr>
            <w:tcW w:w="7413" w:type="dxa"/>
          </w:tcPr>
          <w:p w14:paraId="21436332" w14:textId="77777777" w:rsidR="009B2511" w:rsidRDefault="009B2511" w:rsidP="009B2511">
            <w:pPr>
              <w:pStyle w:val="TableParagraph"/>
              <w:ind w:left="114"/>
              <w:rPr>
                <w:sz w:val="20"/>
              </w:rPr>
            </w:pPr>
            <w:r>
              <w:rPr>
                <w:sz w:val="20"/>
              </w:rPr>
              <w:t>Yes</w:t>
            </w:r>
          </w:p>
        </w:tc>
      </w:tr>
      <w:tr w:rsidR="009B2511" w14:paraId="21436336" w14:textId="77777777" w:rsidTr="00C27F30">
        <w:trPr>
          <w:trHeight w:val="282"/>
        </w:trPr>
        <w:tc>
          <w:tcPr>
            <w:tcW w:w="2845" w:type="dxa"/>
          </w:tcPr>
          <w:p w14:paraId="21436334" w14:textId="77777777" w:rsidR="009B2511" w:rsidRDefault="009B2511" w:rsidP="009B2511">
            <w:pPr>
              <w:pStyle w:val="TableParagraph"/>
              <w:spacing w:line="242" w:lineRule="exact"/>
              <w:ind w:left="115"/>
              <w:rPr>
                <w:sz w:val="20"/>
              </w:rPr>
            </w:pPr>
            <w:r>
              <w:rPr>
                <w:sz w:val="20"/>
              </w:rPr>
              <w:t>DEER eQUEST Prototypes</w:t>
            </w:r>
          </w:p>
        </w:tc>
        <w:tc>
          <w:tcPr>
            <w:tcW w:w="7413" w:type="dxa"/>
          </w:tcPr>
          <w:p w14:paraId="21436335" w14:textId="77777777" w:rsidR="009B2511" w:rsidRDefault="009B2511" w:rsidP="009B2511">
            <w:pPr>
              <w:pStyle w:val="TableParagraph"/>
              <w:spacing w:line="242" w:lineRule="exact"/>
              <w:ind w:left="114"/>
              <w:rPr>
                <w:sz w:val="20"/>
              </w:rPr>
            </w:pPr>
            <w:r>
              <w:rPr>
                <w:sz w:val="20"/>
              </w:rPr>
              <w:t>Yes, but modified for Base and Measure Case</w:t>
            </w:r>
          </w:p>
        </w:tc>
      </w:tr>
      <w:tr w:rsidR="009B2511" w14:paraId="21436339" w14:textId="77777777" w:rsidTr="00C27F30">
        <w:trPr>
          <w:trHeight w:val="285"/>
        </w:trPr>
        <w:tc>
          <w:tcPr>
            <w:tcW w:w="2845" w:type="dxa"/>
          </w:tcPr>
          <w:p w14:paraId="21436337" w14:textId="77777777" w:rsidR="009B2511" w:rsidRDefault="009B2511" w:rsidP="009B2511">
            <w:pPr>
              <w:pStyle w:val="TableParagraph"/>
              <w:ind w:left="115"/>
              <w:rPr>
                <w:sz w:val="20"/>
              </w:rPr>
            </w:pPr>
            <w:r>
              <w:rPr>
                <w:sz w:val="20"/>
              </w:rPr>
              <w:t>DEER Version</w:t>
            </w:r>
          </w:p>
        </w:tc>
        <w:tc>
          <w:tcPr>
            <w:tcW w:w="7413" w:type="dxa"/>
          </w:tcPr>
          <w:p w14:paraId="21436338" w14:textId="77777777" w:rsidR="009B2511" w:rsidRDefault="009B2511" w:rsidP="009B2511">
            <w:pPr>
              <w:pStyle w:val="TableParagraph"/>
              <w:ind w:left="114"/>
              <w:rPr>
                <w:sz w:val="20"/>
              </w:rPr>
            </w:pPr>
            <w:r>
              <w:rPr>
                <w:sz w:val="20"/>
              </w:rPr>
              <w:t>DEER 2020, READI v2.5.1</w:t>
            </w:r>
          </w:p>
        </w:tc>
      </w:tr>
      <w:tr w:rsidR="009B2511" w14:paraId="2143633C" w14:textId="77777777" w:rsidTr="00C27F30">
        <w:trPr>
          <w:trHeight w:val="282"/>
        </w:trPr>
        <w:tc>
          <w:tcPr>
            <w:tcW w:w="2845" w:type="dxa"/>
          </w:tcPr>
          <w:p w14:paraId="2143633A" w14:textId="77777777" w:rsidR="009B2511" w:rsidRDefault="009B2511" w:rsidP="009B2511">
            <w:pPr>
              <w:pStyle w:val="TableParagraph"/>
              <w:spacing w:line="242" w:lineRule="exact"/>
              <w:ind w:left="115"/>
              <w:rPr>
                <w:sz w:val="20"/>
              </w:rPr>
            </w:pPr>
            <w:r>
              <w:rPr>
                <w:sz w:val="20"/>
              </w:rPr>
              <w:t>Reason for Deviation from DEER</w:t>
            </w:r>
          </w:p>
        </w:tc>
        <w:tc>
          <w:tcPr>
            <w:tcW w:w="7413" w:type="dxa"/>
          </w:tcPr>
          <w:p w14:paraId="2143633B" w14:textId="77777777" w:rsidR="009B2511" w:rsidRDefault="009B2511" w:rsidP="009B2511">
            <w:pPr>
              <w:pStyle w:val="TableParagraph"/>
              <w:spacing w:line="242" w:lineRule="exact"/>
              <w:ind w:left="114"/>
              <w:rPr>
                <w:sz w:val="20"/>
              </w:rPr>
            </w:pPr>
            <w:r>
              <w:rPr>
                <w:sz w:val="20"/>
              </w:rPr>
              <w:t>DEER does not have this measure.</w:t>
            </w:r>
          </w:p>
        </w:tc>
      </w:tr>
      <w:tr w:rsidR="009B2511" w14:paraId="2143633F" w14:textId="77777777" w:rsidTr="00C27F30">
        <w:trPr>
          <w:trHeight w:val="285"/>
        </w:trPr>
        <w:tc>
          <w:tcPr>
            <w:tcW w:w="2845" w:type="dxa"/>
          </w:tcPr>
          <w:p w14:paraId="2143633D" w14:textId="77777777" w:rsidR="009B2511" w:rsidRDefault="009B2511" w:rsidP="009B2511">
            <w:pPr>
              <w:pStyle w:val="TableParagraph"/>
              <w:ind w:left="115"/>
              <w:rPr>
                <w:sz w:val="20"/>
              </w:rPr>
            </w:pPr>
            <w:r>
              <w:rPr>
                <w:sz w:val="20"/>
              </w:rPr>
              <w:t>DEER Measure IDs Used</w:t>
            </w:r>
          </w:p>
        </w:tc>
        <w:tc>
          <w:tcPr>
            <w:tcW w:w="7413" w:type="dxa"/>
          </w:tcPr>
          <w:p w14:paraId="2143633E" w14:textId="77777777" w:rsidR="009B2511" w:rsidRDefault="009B2511" w:rsidP="009B2511">
            <w:pPr>
              <w:pStyle w:val="TableParagraph"/>
              <w:ind w:left="114"/>
              <w:rPr>
                <w:sz w:val="20"/>
              </w:rPr>
            </w:pPr>
            <w:r>
              <w:rPr>
                <w:sz w:val="20"/>
              </w:rPr>
              <w:t>N/A</w:t>
            </w:r>
          </w:p>
        </w:tc>
      </w:tr>
      <w:tr w:rsidR="009B2511" w14:paraId="21436342" w14:textId="77777777" w:rsidTr="00C27F30">
        <w:trPr>
          <w:trHeight w:val="282"/>
        </w:trPr>
        <w:tc>
          <w:tcPr>
            <w:tcW w:w="2845" w:type="dxa"/>
          </w:tcPr>
          <w:p w14:paraId="21436340" w14:textId="77777777" w:rsidR="009B2511" w:rsidRDefault="009B2511" w:rsidP="009B2511">
            <w:pPr>
              <w:pStyle w:val="TableParagraph"/>
              <w:spacing w:line="242" w:lineRule="exact"/>
              <w:ind w:left="115"/>
              <w:rPr>
                <w:sz w:val="20"/>
              </w:rPr>
            </w:pPr>
            <w:r>
              <w:rPr>
                <w:sz w:val="20"/>
              </w:rPr>
              <w:t>NTG</w:t>
            </w:r>
          </w:p>
        </w:tc>
        <w:tc>
          <w:tcPr>
            <w:tcW w:w="7413" w:type="dxa"/>
          </w:tcPr>
          <w:p w14:paraId="01292B06" w14:textId="1D604D7E" w:rsidR="009B2511" w:rsidRDefault="009B2511" w:rsidP="009B2511">
            <w:pPr>
              <w:pStyle w:val="TableParagraph"/>
              <w:spacing w:line="242" w:lineRule="exact"/>
              <w:ind w:left="114"/>
              <w:rPr>
                <w:i/>
                <w:sz w:val="20"/>
              </w:rPr>
            </w:pPr>
            <w:r>
              <w:rPr>
                <w:sz w:val="20"/>
              </w:rPr>
              <w:t xml:space="preserve">Source: DEER2019. The NTG of 0.55 for upstream/downstream program is associated with NTG ID: </w:t>
            </w:r>
            <w:r>
              <w:rPr>
                <w:i/>
                <w:sz w:val="20"/>
              </w:rPr>
              <w:t>Res-Default&gt;2yrs</w:t>
            </w:r>
          </w:p>
          <w:p w14:paraId="21436341" w14:textId="3E9390C2" w:rsidR="009B2511" w:rsidRDefault="009B2511" w:rsidP="009B2511">
            <w:pPr>
              <w:pStyle w:val="TableParagraph"/>
              <w:spacing w:line="242" w:lineRule="exact"/>
              <w:ind w:left="114"/>
              <w:rPr>
                <w:i/>
                <w:sz w:val="20"/>
              </w:rPr>
            </w:pPr>
            <w:r>
              <w:rPr>
                <w:sz w:val="20"/>
              </w:rPr>
              <w:t xml:space="preserve">Source: DEER2022. The NTG of 0.85 for direct install program is associated with NTG ID: </w:t>
            </w:r>
            <w:r>
              <w:rPr>
                <w:i/>
                <w:sz w:val="20"/>
              </w:rPr>
              <w:t>Res-</w:t>
            </w:r>
            <w:proofErr w:type="spellStart"/>
            <w:r>
              <w:rPr>
                <w:i/>
                <w:sz w:val="20"/>
              </w:rPr>
              <w:t>sAll</w:t>
            </w:r>
            <w:proofErr w:type="spellEnd"/>
            <w:r>
              <w:rPr>
                <w:i/>
                <w:sz w:val="20"/>
              </w:rPr>
              <w:t>-</w:t>
            </w:r>
            <w:proofErr w:type="spellStart"/>
            <w:r>
              <w:rPr>
                <w:i/>
                <w:sz w:val="20"/>
              </w:rPr>
              <w:t>mHVAC-FanMotor</w:t>
            </w:r>
            <w:proofErr w:type="spellEnd"/>
          </w:p>
        </w:tc>
      </w:tr>
      <w:tr w:rsidR="009B2511" w14:paraId="21436345" w14:textId="77777777" w:rsidTr="00C27F30">
        <w:trPr>
          <w:trHeight w:val="285"/>
        </w:trPr>
        <w:tc>
          <w:tcPr>
            <w:tcW w:w="2845" w:type="dxa"/>
          </w:tcPr>
          <w:p w14:paraId="21436343" w14:textId="77777777" w:rsidR="009B2511" w:rsidRDefault="009B2511" w:rsidP="009B2511">
            <w:pPr>
              <w:pStyle w:val="TableParagraph"/>
              <w:spacing w:before="23" w:line="242" w:lineRule="exact"/>
              <w:ind w:left="115"/>
              <w:rPr>
                <w:sz w:val="20"/>
              </w:rPr>
            </w:pPr>
            <w:r>
              <w:rPr>
                <w:sz w:val="20"/>
              </w:rPr>
              <w:t>GSIA</w:t>
            </w:r>
          </w:p>
        </w:tc>
        <w:tc>
          <w:tcPr>
            <w:tcW w:w="7413" w:type="dxa"/>
          </w:tcPr>
          <w:p w14:paraId="21436344" w14:textId="77777777" w:rsidR="009B2511" w:rsidRDefault="009B2511" w:rsidP="009B2511">
            <w:pPr>
              <w:pStyle w:val="TableParagraph"/>
              <w:spacing w:before="23" w:line="242" w:lineRule="exact"/>
              <w:ind w:left="114"/>
              <w:rPr>
                <w:i/>
                <w:sz w:val="20"/>
              </w:rPr>
            </w:pPr>
            <w:r>
              <w:rPr>
                <w:sz w:val="20"/>
              </w:rPr>
              <w:t xml:space="preserve">Source: DEER2011. The GSIA of 1.0 is associated with GSIA ID: </w:t>
            </w:r>
            <w:r>
              <w:rPr>
                <w:i/>
                <w:sz w:val="20"/>
              </w:rPr>
              <w:t>Def-GSIA</w:t>
            </w:r>
          </w:p>
        </w:tc>
      </w:tr>
      <w:tr w:rsidR="009B2511" w14:paraId="21436348" w14:textId="77777777" w:rsidTr="00C27F30">
        <w:trPr>
          <w:trHeight w:val="285"/>
        </w:trPr>
        <w:tc>
          <w:tcPr>
            <w:tcW w:w="2845" w:type="dxa"/>
          </w:tcPr>
          <w:p w14:paraId="21436346" w14:textId="77777777" w:rsidR="009B2511" w:rsidRDefault="009B2511" w:rsidP="009B2511">
            <w:pPr>
              <w:pStyle w:val="TableParagraph"/>
              <w:ind w:left="115"/>
              <w:rPr>
                <w:sz w:val="20"/>
              </w:rPr>
            </w:pPr>
            <w:r>
              <w:rPr>
                <w:sz w:val="20"/>
              </w:rPr>
              <w:t>EUL/RUL</w:t>
            </w:r>
          </w:p>
        </w:tc>
        <w:tc>
          <w:tcPr>
            <w:tcW w:w="7413" w:type="dxa"/>
          </w:tcPr>
          <w:p w14:paraId="21436347" w14:textId="77777777" w:rsidR="009B2511" w:rsidRDefault="009B2511" w:rsidP="009B2511">
            <w:pPr>
              <w:pStyle w:val="TableParagraph"/>
              <w:ind w:left="114"/>
              <w:rPr>
                <w:i/>
                <w:sz w:val="20"/>
              </w:rPr>
            </w:pPr>
            <w:r>
              <w:rPr>
                <w:sz w:val="20"/>
              </w:rPr>
              <w:t>Source: DEER2020. The value of 5 years is associated with EUL ID</w:t>
            </w:r>
            <w:r>
              <w:rPr>
                <w:i/>
                <w:sz w:val="20"/>
              </w:rPr>
              <w:t>: HV-</w:t>
            </w:r>
            <w:proofErr w:type="spellStart"/>
            <w:r>
              <w:rPr>
                <w:i/>
                <w:sz w:val="20"/>
              </w:rPr>
              <w:t>BFMotor</w:t>
            </w:r>
            <w:proofErr w:type="spellEnd"/>
          </w:p>
        </w:tc>
      </w:tr>
    </w:tbl>
    <w:p w14:paraId="21436349" w14:textId="77777777" w:rsidR="00055004" w:rsidRDefault="00055004">
      <w:pPr>
        <w:pStyle w:val="BodyText"/>
        <w:rPr>
          <w:sz w:val="20"/>
        </w:rPr>
      </w:pPr>
    </w:p>
    <w:p w14:paraId="2143634A" w14:textId="77777777" w:rsidR="00055004" w:rsidRDefault="00055004">
      <w:pPr>
        <w:pStyle w:val="BodyText"/>
        <w:spacing w:before="5"/>
        <w:rPr>
          <w:sz w:val="18"/>
        </w:rPr>
      </w:pPr>
    </w:p>
    <w:p w14:paraId="2143634B" w14:textId="77777777" w:rsidR="00055004" w:rsidRDefault="00365BD5">
      <w:pPr>
        <w:pStyle w:val="Heading1"/>
        <w:spacing w:before="52"/>
      </w:pPr>
      <w:bookmarkStart w:id="25" w:name="_Toc57630594"/>
      <w:r>
        <w:rPr>
          <w:color w:val="CFAB79"/>
        </w:rPr>
        <w:t>REVISION HISTORY</w:t>
      </w:r>
      <w:bookmarkEnd w:id="25"/>
    </w:p>
    <w:p w14:paraId="2143634C" w14:textId="77777777" w:rsidR="00055004" w:rsidRDefault="00055004">
      <w:pPr>
        <w:pStyle w:val="BodyText"/>
        <w:spacing w:before="9"/>
        <w:rPr>
          <w:sz w:val="17"/>
        </w:rPr>
      </w:pPr>
    </w:p>
    <w:p w14:paraId="2143634D" w14:textId="77777777" w:rsidR="00055004" w:rsidRDefault="00365BD5">
      <w:pPr>
        <w:spacing w:before="59"/>
        <w:ind w:left="3128"/>
        <w:rPr>
          <w:sz w:val="20"/>
        </w:rPr>
      </w:pPr>
      <w:r>
        <w:rPr>
          <w:sz w:val="20"/>
        </w:rPr>
        <w:t>Measure Characterization Revision History</w:t>
      </w:r>
    </w:p>
    <w:p w14:paraId="2143634E" w14:textId="77777777" w:rsidR="00055004" w:rsidRDefault="00055004">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41"/>
        <w:gridCol w:w="1350"/>
        <w:gridCol w:w="1577"/>
        <w:gridCol w:w="5486"/>
      </w:tblGrid>
      <w:tr w:rsidR="00055004" w14:paraId="21436354" w14:textId="77777777">
        <w:trPr>
          <w:trHeight w:val="772"/>
        </w:trPr>
        <w:tc>
          <w:tcPr>
            <w:tcW w:w="941" w:type="dxa"/>
            <w:shd w:val="clear" w:color="auto" w:fill="F1F1F1"/>
          </w:tcPr>
          <w:p w14:paraId="2143634F" w14:textId="77777777" w:rsidR="00055004" w:rsidRDefault="00365BD5">
            <w:pPr>
              <w:pStyle w:val="TableParagraph"/>
              <w:rPr>
                <w:sz w:val="20"/>
              </w:rPr>
            </w:pPr>
            <w:r>
              <w:rPr>
                <w:sz w:val="20"/>
              </w:rPr>
              <w:t>Revision Number</w:t>
            </w:r>
          </w:p>
        </w:tc>
        <w:tc>
          <w:tcPr>
            <w:tcW w:w="1350" w:type="dxa"/>
            <w:shd w:val="clear" w:color="auto" w:fill="F1F1F1"/>
          </w:tcPr>
          <w:p w14:paraId="21436350" w14:textId="77777777" w:rsidR="00055004" w:rsidRDefault="00365BD5">
            <w:pPr>
              <w:pStyle w:val="TableParagraph"/>
              <w:rPr>
                <w:sz w:val="20"/>
              </w:rPr>
            </w:pPr>
            <w:r>
              <w:rPr>
                <w:sz w:val="20"/>
              </w:rPr>
              <w:t>Date</w:t>
            </w:r>
          </w:p>
        </w:tc>
        <w:tc>
          <w:tcPr>
            <w:tcW w:w="1577" w:type="dxa"/>
            <w:shd w:val="clear" w:color="auto" w:fill="F1F1F1"/>
          </w:tcPr>
          <w:p w14:paraId="21436351" w14:textId="77777777" w:rsidR="00055004" w:rsidRDefault="00365BD5">
            <w:pPr>
              <w:pStyle w:val="TableParagraph"/>
              <w:ind w:left="106"/>
              <w:rPr>
                <w:sz w:val="20"/>
              </w:rPr>
            </w:pPr>
            <w:r>
              <w:rPr>
                <w:sz w:val="20"/>
              </w:rPr>
              <w:t>Primary Author, Title,</w:t>
            </w:r>
          </w:p>
          <w:p w14:paraId="21436352" w14:textId="77777777" w:rsidR="00055004" w:rsidRDefault="00365BD5">
            <w:pPr>
              <w:pStyle w:val="TableParagraph"/>
              <w:spacing w:before="2" w:line="242" w:lineRule="exact"/>
              <w:ind w:left="106"/>
              <w:rPr>
                <w:sz w:val="20"/>
              </w:rPr>
            </w:pPr>
            <w:r>
              <w:rPr>
                <w:sz w:val="20"/>
              </w:rPr>
              <w:t>Organization</w:t>
            </w:r>
          </w:p>
        </w:tc>
        <w:tc>
          <w:tcPr>
            <w:tcW w:w="5486" w:type="dxa"/>
            <w:shd w:val="clear" w:color="auto" w:fill="F1F1F1"/>
          </w:tcPr>
          <w:p w14:paraId="21436353" w14:textId="77777777" w:rsidR="00055004" w:rsidRDefault="00365BD5">
            <w:pPr>
              <w:pStyle w:val="TableParagraph"/>
              <w:spacing w:line="261" w:lineRule="auto"/>
              <w:ind w:left="104" w:right="1738"/>
              <w:rPr>
                <w:sz w:val="20"/>
              </w:rPr>
            </w:pPr>
            <w:r>
              <w:rPr>
                <w:sz w:val="20"/>
              </w:rPr>
              <w:t>Revision Summary and Rationale for Revision Effective Date and Approved By</w:t>
            </w:r>
          </w:p>
        </w:tc>
      </w:tr>
      <w:tr w:rsidR="00055004" w14:paraId="2143635C" w14:textId="77777777">
        <w:trPr>
          <w:trHeight w:val="1586"/>
        </w:trPr>
        <w:tc>
          <w:tcPr>
            <w:tcW w:w="941" w:type="dxa"/>
          </w:tcPr>
          <w:p w14:paraId="21436355" w14:textId="77777777" w:rsidR="00055004" w:rsidRDefault="00365BD5">
            <w:pPr>
              <w:pStyle w:val="TableParagraph"/>
              <w:rPr>
                <w:sz w:val="20"/>
              </w:rPr>
            </w:pPr>
            <w:r>
              <w:rPr>
                <w:sz w:val="20"/>
              </w:rPr>
              <w:t>01</w:t>
            </w:r>
          </w:p>
        </w:tc>
        <w:tc>
          <w:tcPr>
            <w:tcW w:w="1350" w:type="dxa"/>
          </w:tcPr>
          <w:p w14:paraId="21436356" w14:textId="61DF412C" w:rsidR="00055004" w:rsidRDefault="00365BD5">
            <w:pPr>
              <w:pStyle w:val="TableParagraph"/>
              <w:rPr>
                <w:sz w:val="20"/>
              </w:rPr>
            </w:pPr>
            <w:r>
              <w:rPr>
                <w:sz w:val="20"/>
              </w:rPr>
              <w:t>05/14/2019</w:t>
            </w:r>
          </w:p>
        </w:tc>
        <w:tc>
          <w:tcPr>
            <w:tcW w:w="1577" w:type="dxa"/>
          </w:tcPr>
          <w:p w14:paraId="21436357" w14:textId="77777777" w:rsidR="00055004" w:rsidRDefault="00365BD5">
            <w:pPr>
              <w:pStyle w:val="TableParagraph"/>
              <w:ind w:left="106" w:right="87"/>
              <w:rPr>
                <w:sz w:val="20"/>
              </w:rPr>
            </w:pPr>
            <w:r>
              <w:rPr>
                <w:sz w:val="20"/>
              </w:rPr>
              <w:t>Akhilesh Endurthy, Solaris Technical</w:t>
            </w:r>
          </w:p>
        </w:tc>
        <w:tc>
          <w:tcPr>
            <w:tcW w:w="5486" w:type="dxa"/>
          </w:tcPr>
          <w:p w14:paraId="21436358" w14:textId="77777777" w:rsidR="00055004" w:rsidRDefault="00365BD5">
            <w:pPr>
              <w:pStyle w:val="TableParagraph"/>
              <w:ind w:left="104"/>
              <w:rPr>
                <w:sz w:val="20"/>
              </w:rPr>
            </w:pPr>
            <w:r>
              <w:rPr>
                <w:sz w:val="20"/>
              </w:rPr>
              <w:t>Updated based on DEER2020/ E-4952.</w:t>
            </w:r>
          </w:p>
          <w:p w14:paraId="21436359" w14:textId="77777777" w:rsidR="00055004" w:rsidRDefault="00365BD5">
            <w:pPr>
              <w:pStyle w:val="TableParagraph"/>
              <w:spacing w:before="23" w:line="249" w:lineRule="auto"/>
              <w:ind w:left="104" w:right="355"/>
              <w:rPr>
                <w:sz w:val="20"/>
              </w:rPr>
            </w:pPr>
            <w:r>
              <w:rPr>
                <w:sz w:val="20"/>
              </w:rPr>
              <w:t xml:space="preserve">Considered DEER2020 prototypes for SFm, MFm and DMo. Reduced measure kW/cfm based on DEER </w:t>
            </w:r>
            <w:proofErr w:type="spellStart"/>
            <w:r>
              <w:rPr>
                <w:sz w:val="20"/>
              </w:rPr>
              <w:t>SplitAC</w:t>
            </w:r>
            <w:proofErr w:type="spellEnd"/>
            <w:r>
              <w:rPr>
                <w:sz w:val="20"/>
              </w:rPr>
              <w:t xml:space="preserve"> SEER14 And SEER15 measures; and furnace ECM upgrade measure.</w:t>
            </w:r>
          </w:p>
          <w:p w14:paraId="2143635A" w14:textId="77777777" w:rsidR="00055004" w:rsidRDefault="00365BD5">
            <w:pPr>
              <w:pStyle w:val="TableParagraph"/>
              <w:spacing w:before="11"/>
              <w:ind w:left="104"/>
              <w:rPr>
                <w:sz w:val="20"/>
              </w:rPr>
            </w:pPr>
            <w:r>
              <w:rPr>
                <w:sz w:val="20"/>
              </w:rPr>
              <w:t>New Statewide workpaper template</w:t>
            </w:r>
          </w:p>
          <w:p w14:paraId="2143635B" w14:textId="77777777" w:rsidR="00055004" w:rsidRDefault="00365BD5">
            <w:pPr>
              <w:pStyle w:val="TableParagraph"/>
              <w:spacing w:line="242" w:lineRule="exact"/>
              <w:ind w:left="104"/>
              <w:rPr>
                <w:sz w:val="20"/>
              </w:rPr>
            </w:pPr>
            <w:r>
              <w:rPr>
                <w:sz w:val="20"/>
              </w:rPr>
              <w:t>Add New Construction (NC) MAT</w:t>
            </w:r>
          </w:p>
        </w:tc>
      </w:tr>
      <w:tr w:rsidR="00055004" w14:paraId="21436361" w14:textId="77777777">
        <w:trPr>
          <w:trHeight w:val="527"/>
        </w:trPr>
        <w:tc>
          <w:tcPr>
            <w:tcW w:w="941" w:type="dxa"/>
          </w:tcPr>
          <w:p w14:paraId="2143635D" w14:textId="77777777" w:rsidR="00055004" w:rsidRDefault="00055004">
            <w:pPr>
              <w:pStyle w:val="TableParagraph"/>
              <w:spacing w:before="0"/>
              <w:ind w:left="0"/>
              <w:rPr>
                <w:rFonts w:ascii="Times New Roman"/>
                <w:sz w:val="18"/>
              </w:rPr>
            </w:pPr>
          </w:p>
        </w:tc>
        <w:tc>
          <w:tcPr>
            <w:tcW w:w="1350" w:type="dxa"/>
          </w:tcPr>
          <w:p w14:paraId="2143635E" w14:textId="77777777" w:rsidR="00055004" w:rsidRDefault="00365BD5">
            <w:pPr>
              <w:pStyle w:val="TableParagraph"/>
              <w:rPr>
                <w:sz w:val="20"/>
              </w:rPr>
            </w:pPr>
            <w:r>
              <w:rPr>
                <w:sz w:val="20"/>
              </w:rPr>
              <w:t>06/07/2019</w:t>
            </w:r>
          </w:p>
        </w:tc>
        <w:tc>
          <w:tcPr>
            <w:tcW w:w="1577" w:type="dxa"/>
          </w:tcPr>
          <w:p w14:paraId="2143635F" w14:textId="77777777" w:rsidR="00055004" w:rsidRDefault="00365BD5">
            <w:pPr>
              <w:pStyle w:val="TableParagraph"/>
              <w:spacing w:line="240" w:lineRule="atLeast"/>
              <w:ind w:left="106" w:right="99"/>
              <w:rPr>
                <w:sz w:val="20"/>
              </w:rPr>
            </w:pPr>
            <w:r>
              <w:rPr>
                <w:sz w:val="20"/>
              </w:rPr>
              <w:t>Jennifer Holmes, Cal TF Staff</w:t>
            </w:r>
          </w:p>
        </w:tc>
        <w:tc>
          <w:tcPr>
            <w:tcW w:w="5486" w:type="dxa"/>
          </w:tcPr>
          <w:p w14:paraId="21436360" w14:textId="77777777" w:rsidR="00055004" w:rsidRDefault="00365BD5">
            <w:pPr>
              <w:pStyle w:val="TableParagraph"/>
              <w:ind w:left="104"/>
              <w:rPr>
                <w:sz w:val="20"/>
              </w:rPr>
            </w:pPr>
            <w:r>
              <w:rPr>
                <w:sz w:val="20"/>
              </w:rPr>
              <w:t>Revisions for submittal of version 01.</w:t>
            </w:r>
          </w:p>
        </w:tc>
      </w:tr>
      <w:tr w:rsidR="00055004" w14:paraId="21436367" w14:textId="77777777">
        <w:trPr>
          <w:trHeight w:val="772"/>
        </w:trPr>
        <w:tc>
          <w:tcPr>
            <w:tcW w:w="941" w:type="dxa"/>
          </w:tcPr>
          <w:p w14:paraId="21436362" w14:textId="77777777" w:rsidR="00055004" w:rsidRDefault="00055004">
            <w:pPr>
              <w:pStyle w:val="TableParagraph"/>
              <w:spacing w:before="0"/>
              <w:ind w:left="0"/>
              <w:rPr>
                <w:rFonts w:ascii="Times New Roman"/>
                <w:sz w:val="18"/>
              </w:rPr>
            </w:pPr>
          </w:p>
        </w:tc>
        <w:tc>
          <w:tcPr>
            <w:tcW w:w="1350" w:type="dxa"/>
          </w:tcPr>
          <w:p w14:paraId="21436363" w14:textId="77777777" w:rsidR="00055004" w:rsidRDefault="00365BD5">
            <w:pPr>
              <w:pStyle w:val="TableParagraph"/>
              <w:rPr>
                <w:sz w:val="20"/>
              </w:rPr>
            </w:pPr>
            <w:r>
              <w:rPr>
                <w:sz w:val="20"/>
              </w:rPr>
              <w:t>11/04/2019</w:t>
            </w:r>
          </w:p>
        </w:tc>
        <w:tc>
          <w:tcPr>
            <w:tcW w:w="1577" w:type="dxa"/>
          </w:tcPr>
          <w:p w14:paraId="21436364" w14:textId="77777777" w:rsidR="00055004" w:rsidRDefault="00365BD5">
            <w:pPr>
              <w:pStyle w:val="TableParagraph"/>
              <w:ind w:left="106" w:right="87"/>
              <w:rPr>
                <w:sz w:val="20"/>
              </w:rPr>
            </w:pPr>
            <w:r>
              <w:rPr>
                <w:sz w:val="20"/>
              </w:rPr>
              <w:t>Akhilesh Endurthy, Solaris</w:t>
            </w:r>
          </w:p>
          <w:p w14:paraId="21436365" w14:textId="77777777" w:rsidR="00055004" w:rsidRDefault="00365BD5">
            <w:pPr>
              <w:pStyle w:val="TableParagraph"/>
              <w:spacing w:before="2" w:line="242" w:lineRule="exact"/>
              <w:ind w:left="106"/>
              <w:rPr>
                <w:sz w:val="20"/>
              </w:rPr>
            </w:pPr>
            <w:r>
              <w:rPr>
                <w:sz w:val="20"/>
              </w:rPr>
              <w:t>Technical</w:t>
            </w:r>
          </w:p>
        </w:tc>
        <w:tc>
          <w:tcPr>
            <w:tcW w:w="5486" w:type="dxa"/>
          </w:tcPr>
          <w:p w14:paraId="21436366" w14:textId="77777777" w:rsidR="00055004" w:rsidRDefault="00365BD5">
            <w:pPr>
              <w:pStyle w:val="TableParagraph"/>
              <w:ind w:left="104"/>
              <w:rPr>
                <w:sz w:val="20"/>
              </w:rPr>
            </w:pPr>
            <w:r>
              <w:rPr>
                <w:sz w:val="20"/>
              </w:rPr>
              <w:t>Updated EUL ID using the new EUL ID provided by DEER team</w:t>
            </w:r>
          </w:p>
        </w:tc>
      </w:tr>
      <w:tr w:rsidR="00C170B5" w14:paraId="56370A66" w14:textId="77777777">
        <w:trPr>
          <w:trHeight w:val="772"/>
        </w:trPr>
        <w:tc>
          <w:tcPr>
            <w:tcW w:w="941" w:type="dxa"/>
          </w:tcPr>
          <w:p w14:paraId="57239260" w14:textId="60F3CCB9" w:rsidR="00C170B5" w:rsidRPr="00C27F30" w:rsidRDefault="00D13A70">
            <w:pPr>
              <w:pStyle w:val="TableParagraph"/>
              <w:spacing w:before="0"/>
              <w:ind w:left="0"/>
              <w:rPr>
                <w:sz w:val="20"/>
                <w:szCs w:val="24"/>
              </w:rPr>
            </w:pPr>
            <w:r>
              <w:rPr>
                <w:sz w:val="20"/>
                <w:szCs w:val="24"/>
              </w:rPr>
              <w:t xml:space="preserve">  </w:t>
            </w:r>
            <w:r w:rsidR="00C170B5" w:rsidRPr="00C27F30">
              <w:rPr>
                <w:sz w:val="20"/>
                <w:szCs w:val="24"/>
              </w:rPr>
              <w:t>02</w:t>
            </w:r>
          </w:p>
        </w:tc>
        <w:tc>
          <w:tcPr>
            <w:tcW w:w="1350" w:type="dxa"/>
          </w:tcPr>
          <w:p w14:paraId="0AB3619F" w14:textId="6F30F8AC" w:rsidR="00C170B5" w:rsidRPr="00176F67" w:rsidRDefault="00C170B5">
            <w:pPr>
              <w:pStyle w:val="TableParagraph"/>
              <w:rPr>
                <w:sz w:val="20"/>
                <w:szCs w:val="24"/>
              </w:rPr>
            </w:pPr>
            <w:r>
              <w:rPr>
                <w:sz w:val="20"/>
                <w:szCs w:val="24"/>
              </w:rPr>
              <w:t>11/23/2020</w:t>
            </w:r>
          </w:p>
        </w:tc>
        <w:tc>
          <w:tcPr>
            <w:tcW w:w="1577" w:type="dxa"/>
          </w:tcPr>
          <w:p w14:paraId="760D307B" w14:textId="77777777" w:rsidR="00C170B5" w:rsidRDefault="00C170B5">
            <w:pPr>
              <w:pStyle w:val="TableParagraph"/>
              <w:ind w:left="106" w:right="87"/>
              <w:rPr>
                <w:sz w:val="20"/>
                <w:szCs w:val="24"/>
              </w:rPr>
            </w:pPr>
            <w:r>
              <w:rPr>
                <w:sz w:val="20"/>
                <w:szCs w:val="24"/>
              </w:rPr>
              <w:t>Jenna Moon,</w:t>
            </w:r>
          </w:p>
          <w:p w14:paraId="1EB4B4BB" w14:textId="0EF6F71C" w:rsidR="00C170B5" w:rsidRPr="00176F67" w:rsidRDefault="00C170B5">
            <w:pPr>
              <w:pStyle w:val="TableParagraph"/>
              <w:ind w:left="106" w:right="87"/>
              <w:rPr>
                <w:sz w:val="20"/>
                <w:szCs w:val="24"/>
              </w:rPr>
            </w:pPr>
            <w:r>
              <w:rPr>
                <w:sz w:val="20"/>
                <w:szCs w:val="24"/>
              </w:rPr>
              <w:t>Solaris Technical</w:t>
            </w:r>
          </w:p>
        </w:tc>
        <w:tc>
          <w:tcPr>
            <w:tcW w:w="5486" w:type="dxa"/>
          </w:tcPr>
          <w:p w14:paraId="6B0392CE" w14:textId="4F84C4CE" w:rsidR="00C170B5" w:rsidRDefault="00C170B5">
            <w:pPr>
              <w:pStyle w:val="TableParagraph"/>
              <w:ind w:left="104"/>
              <w:rPr>
                <w:sz w:val="20"/>
                <w:szCs w:val="24"/>
              </w:rPr>
            </w:pPr>
            <w:r>
              <w:rPr>
                <w:sz w:val="20"/>
                <w:szCs w:val="24"/>
              </w:rPr>
              <w:t>Updated the costs using 2020 program data</w:t>
            </w:r>
          </w:p>
          <w:p w14:paraId="1586249B" w14:textId="4CE2822F" w:rsidR="006E5FBC" w:rsidRPr="00176F67" w:rsidRDefault="006E5FBC">
            <w:pPr>
              <w:pStyle w:val="TableParagraph"/>
              <w:ind w:left="104"/>
              <w:rPr>
                <w:sz w:val="20"/>
                <w:szCs w:val="24"/>
              </w:rPr>
            </w:pPr>
            <w:r>
              <w:rPr>
                <w:sz w:val="20"/>
                <w:szCs w:val="24"/>
              </w:rPr>
              <w:t>Updated NTG</w:t>
            </w:r>
            <w:r w:rsidR="0055143B">
              <w:rPr>
                <w:sz w:val="20"/>
                <w:szCs w:val="24"/>
              </w:rPr>
              <w:t xml:space="preserve"> </w:t>
            </w:r>
            <w:r w:rsidR="00E92A35">
              <w:rPr>
                <w:sz w:val="20"/>
                <w:szCs w:val="24"/>
              </w:rPr>
              <w:t>ratio</w:t>
            </w:r>
            <w:r w:rsidR="0055143B">
              <w:rPr>
                <w:sz w:val="20"/>
                <w:szCs w:val="24"/>
              </w:rPr>
              <w:t xml:space="preserve"> and NTG ID</w:t>
            </w:r>
            <w:r w:rsidR="00571102">
              <w:rPr>
                <w:sz w:val="20"/>
                <w:szCs w:val="24"/>
              </w:rPr>
              <w:t xml:space="preserve"> for direct install program</w:t>
            </w:r>
            <w:r w:rsidR="00CD7368">
              <w:rPr>
                <w:sz w:val="20"/>
                <w:szCs w:val="24"/>
              </w:rPr>
              <w:t xml:space="preserve"> to 0.85 and </w:t>
            </w:r>
            <w:r w:rsidR="00CD7368" w:rsidRPr="00C27F30">
              <w:rPr>
                <w:iCs/>
                <w:sz w:val="20"/>
              </w:rPr>
              <w:t>Res-</w:t>
            </w:r>
            <w:proofErr w:type="spellStart"/>
            <w:r w:rsidR="00CD7368" w:rsidRPr="00C27F30">
              <w:rPr>
                <w:iCs/>
                <w:sz w:val="20"/>
              </w:rPr>
              <w:t>sAll</w:t>
            </w:r>
            <w:proofErr w:type="spellEnd"/>
            <w:r w:rsidR="00CD7368" w:rsidRPr="00C27F30">
              <w:rPr>
                <w:iCs/>
                <w:sz w:val="20"/>
              </w:rPr>
              <w:t>-</w:t>
            </w:r>
            <w:proofErr w:type="spellStart"/>
            <w:r w:rsidR="00CD7368" w:rsidRPr="00C27F30">
              <w:rPr>
                <w:iCs/>
                <w:sz w:val="20"/>
              </w:rPr>
              <w:t>mHVAC-FanMotor</w:t>
            </w:r>
            <w:proofErr w:type="spellEnd"/>
            <w:r w:rsidR="00B91FA9">
              <w:rPr>
                <w:iCs/>
                <w:sz w:val="20"/>
              </w:rPr>
              <w:t xml:space="preserve"> based on Resolution E-5082. </w:t>
            </w:r>
          </w:p>
        </w:tc>
      </w:tr>
    </w:tbl>
    <w:p w14:paraId="21436368" w14:textId="77777777" w:rsidR="00635D5E" w:rsidRDefault="00635D5E"/>
    <w:sectPr w:rsidR="00635D5E">
      <w:pgSz w:w="12240" w:h="15840"/>
      <w:pgMar w:top="1220" w:right="420" w:bottom="1320" w:left="1320" w:header="855" w:footer="11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0F3DB" w14:textId="77777777" w:rsidR="008C65D6" w:rsidRDefault="008C65D6">
      <w:r>
        <w:separator/>
      </w:r>
    </w:p>
  </w:endnote>
  <w:endnote w:type="continuationSeparator" w:id="0">
    <w:p w14:paraId="69EBDC60" w14:textId="77777777" w:rsidR="008C65D6" w:rsidRDefault="008C6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36376" w14:textId="5AC85BEF" w:rsidR="00A3644A" w:rsidRDefault="00A3644A">
    <w:pPr>
      <w:pStyle w:val="BodyText"/>
      <w:spacing w:line="14" w:lineRule="auto"/>
      <w:rPr>
        <w:sz w:val="20"/>
      </w:rPr>
    </w:pPr>
    <w:r>
      <w:rPr>
        <w:noProof/>
      </w:rPr>
      <w:drawing>
        <wp:anchor distT="0" distB="0" distL="0" distR="0" simplePos="0" relativeHeight="251653632" behindDoc="1" locked="0" layoutInCell="1" allowOverlap="1" wp14:anchorId="2143637D" wp14:editId="2143637E">
          <wp:simplePos x="0" y="0"/>
          <wp:positionH relativeFrom="page">
            <wp:posOffset>3622134</wp:posOffset>
          </wp:positionH>
          <wp:positionV relativeFrom="page">
            <wp:posOffset>9214522</wp:posOffset>
          </wp:positionV>
          <wp:extent cx="550450" cy="210743"/>
          <wp:effectExtent l="0" t="0" r="0" b="0"/>
          <wp:wrapNone/>
          <wp:docPr id="3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50450" cy="210743"/>
                  </a:xfrm>
                  <a:prstGeom prst="rect">
                    <a:avLst/>
                  </a:prstGeom>
                </pic:spPr>
              </pic:pic>
            </a:graphicData>
          </a:graphic>
        </wp:anchor>
      </w:drawing>
    </w:r>
    <w:r>
      <w:rPr>
        <w:noProof/>
      </w:rPr>
      <mc:AlternateContent>
        <mc:Choice Requires="wps">
          <w:drawing>
            <wp:anchor distT="0" distB="0" distL="114300" distR="114300" simplePos="0" relativeHeight="250721280" behindDoc="1" locked="0" layoutInCell="1" allowOverlap="1" wp14:anchorId="2143637F" wp14:editId="7F32CBFB">
              <wp:simplePos x="0" y="0"/>
              <wp:positionH relativeFrom="page">
                <wp:posOffset>3825875</wp:posOffset>
              </wp:positionH>
              <wp:positionV relativeFrom="page">
                <wp:posOffset>9421495</wp:posOffset>
              </wp:positionV>
              <wp:extent cx="121285" cy="114300"/>
              <wp:effectExtent l="0" t="0" r="0" b="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36390" w14:textId="77777777" w:rsidR="00A3644A" w:rsidRDefault="00A3644A">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143637F" id="_x0000_t202" coordsize="21600,21600" o:spt="202" path="m,l,21600r21600,l21600,xe">
              <v:stroke joinstyle="miter"/>
              <v:path gradientshapeok="t" o:connecttype="rect"/>
            </v:shapetype>
            <v:shape id="_x0000_s1027" type="#_x0000_t202" style="position:absolute;margin-left:301.25pt;margin-top:741.85pt;width:9.55pt;height:9pt;z-index:-25259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" filled="f" stroked="f">
              <v:textbox inset="0,0,0,0">
                <w:txbxContent>
                  <w:p w14:paraId="21436390" w14:textId="77777777" w:rsidR="00A3644A" w:rsidRDefault="00A3644A">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36378" w14:textId="5EBC21E4" w:rsidR="00A3644A" w:rsidRDefault="00A3644A">
    <w:pPr>
      <w:pStyle w:val="BodyText"/>
      <w:spacing w:line="14" w:lineRule="auto"/>
      <w:rPr>
        <w:sz w:val="20"/>
      </w:rPr>
    </w:pPr>
    <w:r>
      <w:rPr>
        <w:noProof/>
      </w:rPr>
      <w:drawing>
        <wp:anchor distT="0" distB="0" distL="0" distR="0" simplePos="0" relativeHeight="251656704" behindDoc="1" locked="0" layoutInCell="1" allowOverlap="1" wp14:anchorId="21436381" wp14:editId="21436382">
          <wp:simplePos x="0" y="0"/>
          <wp:positionH relativeFrom="page">
            <wp:posOffset>3622134</wp:posOffset>
          </wp:positionH>
          <wp:positionV relativeFrom="page">
            <wp:posOffset>9214522</wp:posOffset>
          </wp:positionV>
          <wp:extent cx="550450" cy="210743"/>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550450" cy="210743"/>
                  </a:xfrm>
                  <a:prstGeom prst="rect">
                    <a:avLst/>
                  </a:prstGeom>
                </pic:spPr>
              </pic:pic>
            </a:graphicData>
          </a:graphic>
        </wp:anchor>
      </w:drawing>
    </w:r>
    <w:r>
      <w:rPr>
        <w:noProof/>
      </w:rPr>
      <mc:AlternateContent>
        <mc:Choice Requires="wps">
          <w:drawing>
            <wp:anchor distT="0" distB="0" distL="114300" distR="114300" simplePos="0" relativeHeight="250724352" behindDoc="1" locked="0" layoutInCell="1" allowOverlap="1" wp14:anchorId="21436383" wp14:editId="12764830">
              <wp:simplePos x="0" y="0"/>
              <wp:positionH relativeFrom="page">
                <wp:posOffset>3825875</wp:posOffset>
              </wp:positionH>
              <wp:positionV relativeFrom="page">
                <wp:posOffset>9421495</wp:posOffset>
              </wp:positionV>
              <wp:extent cx="121285" cy="114300"/>
              <wp:effectExtent l="0" t="0" r="0" b="0"/>
              <wp:wrapNone/>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36392" w14:textId="77777777" w:rsidR="00A3644A" w:rsidRDefault="00A3644A">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1436383" id="_x0000_t202" coordsize="21600,21600" o:spt="202" path="m,l,21600r21600,l21600,xe">
              <v:stroke joinstyle="miter"/>
              <v:path gradientshapeok="t" o:connecttype="rect"/>
            </v:shapetype>
            <v:shape id="Text Box 6" o:spid="_x0000_s1029" type="#_x0000_t202" style="position:absolute;margin-left:301.25pt;margin-top:741.85pt;width:9.55pt;height:9pt;z-index:-25259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" filled="f" stroked="f">
              <v:textbox inset="0,0,0,0">
                <w:txbxContent>
                  <w:p w14:paraId="21436392" w14:textId="77777777" w:rsidR="00A3644A" w:rsidRDefault="00A3644A">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3637C" w14:textId="3D995283" w:rsidR="00A3644A" w:rsidRDefault="00A3644A">
    <w:pPr>
      <w:pStyle w:val="BodyText"/>
      <w:spacing w:line="14" w:lineRule="auto"/>
      <w:rPr>
        <w:sz w:val="20"/>
      </w:rPr>
    </w:pPr>
    <w:r>
      <w:rPr>
        <w:noProof/>
      </w:rPr>
      <w:drawing>
        <wp:anchor distT="0" distB="0" distL="0" distR="0" simplePos="0" relativeHeight="251662848" behindDoc="1" locked="0" layoutInCell="1" allowOverlap="1" wp14:anchorId="2143638A" wp14:editId="2143638B">
          <wp:simplePos x="0" y="0"/>
          <wp:positionH relativeFrom="page">
            <wp:posOffset>3622134</wp:posOffset>
          </wp:positionH>
          <wp:positionV relativeFrom="page">
            <wp:posOffset>9214522</wp:posOffset>
          </wp:positionV>
          <wp:extent cx="550450" cy="210743"/>
          <wp:effectExtent l="0" t="0" r="0" b="0"/>
          <wp:wrapNone/>
          <wp:docPr id="2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550450" cy="210743"/>
                  </a:xfrm>
                  <a:prstGeom prst="rect">
                    <a:avLst/>
                  </a:prstGeom>
                </pic:spPr>
              </pic:pic>
            </a:graphicData>
          </a:graphic>
        </wp:anchor>
      </w:drawing>
    </w:r>
    <w:r>
      <w:rPr>
        <w:noProof/>
      </w:rPr>
      <mc:AlternateContent>
        <mc:Choice Requires="wps">
          <w:drawing>
            <wp:anchor distT="0" distB="0" distL="114300" distR="114300" simplePos="0" relativeHeight="250731520" behindDoc="1" locked="0" layoutInCell="1" allowOverlap="1" wp14:anchorId="2143638C" wp14:editId="560FF791">
              <wp:simplePos x="0" y="0"/>
              <wp:positionH relativeFrom="page">
                <wp:posOffset>3803015</wp:posOffset>
              </wp:positionH>
              <wp:positionV relativeFrom="page">
                <wp:posOffset>9421495</wp:posOffset>
              </wp:positionV>
              <wp:extent cx="165100" cy="11430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36396" w14:textId="77777777" w:rsidR="00A3644A" w:rsidRDefault="00A3644A">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143638C" id="_x0000_t202" coordsize="21600,21600" o:spt="202" path="m,l,21600r21600,l21600,xe">
              <v:stroke joinstyle="miter"/>
              <v:path gradientshapeok="t" o:connecttype="rect"/>
            </v:shapetype>
            <v:shape id="Text Box 1" o:spid="_x0000_s1033" type="#_x0000_t202" style="position:absolute;margin-left:299.45pt;margin-top:741.85pt;width:13pt;height:9pt;z-index:-25258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" filled="f" stroked="f">
              <v:textbox inset="0,0,0,0">
                <w:txbxContent>
                  <w:p w14:paraId="21436396" w14:textId="77777777" w:rsidR="00A3644A" w:rsidRDefault="00A3644A">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4FE21" w14:textId="77777777" w:rsidR="008C65D6" w:rsidRDefault="008C65D6">
      <w:r>
        <w:separator/>
      </w:r>
    </w:p>
  </w:footnote>
  <w:footnote w:type="continuationSeparator" w:id="0">
    <w:p w14:paraId="026EED13" w14:textId="77777777" w:rsidR="008C65D6" w:rsidRDefault="008C6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36377" w14:textId="7A1B5954" w:rsidR="00A3644A" w:rsidRDefault="00A3644A">
    <w:pPr>
      <w:pStyle w:val="BodyText"/>
      <w:spacing w:line="14" w:lineRule="auto"/>
      <w:rPr>
        <w:sz w:val="20"/>
      </w:rPr>
    </w:pPr>
    <w:r>
      <w:rPr>
        <w:noProof/>
      </w:rPr>
      <mc:AlternateContent>
        <mc:Choice Requires="wps">
          <w:drawing>
            <wp:anchor distT="0" distB="0" distL="114300" distR="114300" simplePos="0" relativeHeight="250722304" behindDoc="1" locked="0" layoutInCell="1" allowOverlap="1" wp14:anchorId="21436380" wp14:editId="633B6EED">
              <wp:simplePos x="0" y="0"/>
              <wp:positionH relativeFrom="page">
                <wp:posOffset>2745105</wp:posOffset>
              </wp:positionH>
              <wp:positionV relativeFrom="page">
                <wp:posOffset>540385</wp:posOffset>
              </wp:positionV>
              <wp:extent cx="2285365" cy="142875"/>
              <wp:effectExtent l="0" t="0" r="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36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36391" w14:textId="77777777" w:rsidR="00A3644A" w:rsidRDefault="00A3644A">
                          <w:pPr>
                            <w:spacing w:before="12"/>
                            <w:ind w:left="20"/>
                            <w:rPr>
                              <w:sz w:val="16"/>
                            </w:rPr>
                          </w:pPr>
                          <w:r>
                            <w:rPr>
                              <w:color w:val="5F5F5F"/>
                              <w:sz w:val="16"/>
                            </w:rPr>
                            <w:t xml:space="preserve">HVAC </w:t>
                          </w:r>
                          <w:r>
                            <w:rPr>
                              <w:rFonts w:ascii="Wingdings" w:hAnsi="Wingdings"/>
                              <w:color w:val="8DC53E"/>
                              <w:sz w:val="16"/>
                            </w:rPr>
                            <w:t></w:t>
                          </w:r>
                          <w:r>
                            <w:rPr>
                              <w:rFonts w:ascii="Times New Roman" w:hAnsi="Times New Roman"/>
                              <w:color w:val="8DC53E"/>
                              <w:sz w:val="16"/>
                            </w:rPr>
                            <w:t xml:space="preserve"> </w:t>
                          </w:r>
                          <w:r>
                            <w:rPr>
                              <w:color w:val="5F5F5F"/>
                              <w:sz w:val="16"/>
                            </w:rPr>
                            <w:t>Brushless Fan Motor Replacement, Residential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1436380" id="_x0000_t202" coordsize="21600,21600" o:spt="202" path="m,l,21600r21600,l21600,xe">
              <v:stroke joinstyle="miter"/>
              <v:path gradientshapeok="t" o:connecttype="rect"/>
            </v:shapetype>
            <v:shape id="Text Box 7" o:spid="_x0000_s1028" type="#_x0000_t202" style="position:absolute;margin-left:216.15pt;margin-top:42.55pt;width:179.95pt;height:11.25pt;z-index:-25259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" filled="f" stroked="f">
              <v:textbox inset="0,0,0,0">
                <w:txbxContent>
                  <w:p w14:paraId="21436391" w14:textId="77777777" w:rsidR="00A3644A" w:rsidRDefault="00A3644A">
                    <w:pPr>
                      <w:spacing w:before="12"/>
                      <w:ind w:left="20"/>
                      <w:rPr>
                        <w:sz w:val="16"/>
                      </w:rPr>
                    </w:pPr>
                    <w:r>
                      <w:rPr>
                        <w:color w:val="5F5F5F"/>
                        <w:sz w:val="16"/>
                      </w:rPr>
                      <w:t xml:space="preserve">HVAC </w:t>
                    </w:r>
                    <w:r>
                      <w:rPr>
                        <w:rFonts w:ascii="Wingdings" w:hAnsi="Wingdings"/>
                        <w:color w:val="8DC53E"/>
                        <w:sz w:val="16"/>
                      </w:rPr>
                      <w:t></w:t>
                    </w:r>
                    <w:r>
                      <w:rPr>
                        <w:rFonts w:ascii="Times New Roman" w:hAnsi="Times New Roman"/>
                        <w:color w:val="8DC53E"/>
                        <w:sz w:val="16"/>
                      </w:rPr>
                      <w:t xml:space="preserve"> </w:t>
                    </w:r>
                    <w:r>
                      <w:rPr>
                        <w:color w:val="5F5F5F"/>
                        <w:sz w:val="16"/>
                      </w:rPr>
                      <w:t>Brushless Fan Motor Replacement, Residential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3637B" w14:textId="5A61F677" w:rsidR="00A3644A" w:rsidRDefault="00A3644A">
    <w:pPr>
      <w:pStyle w:val="BodyText"/>
      <w:spacing w:line="14" w:lineRule="auto"/>
      <w:rPr>
        <w:sz w:val="20"/>
      </w:rPr>
    </w:pPr>
    <w:r>
      <w:rPr>
        <w:noProof/>
      </w:rPr>
      <mc:AlternateContent>
        <mc:Choice Requires="wps">
          <w:drawing>
            <wp:anchor distT="0" distB="0" distL="114300" distR="114300" simplePos="0" relativeHeight="250729472" behindDoc="1" locked="0" layoutInCell="1" allowOverlap="1" wp14:anchorId="21436389" wp14:editId="351DFC39">
              <wp:simplePos x="0" y="0"/>
              <wp:positionH relativeFrom="page">
                <wp:posOffset>2745105</wp:posOffset>
              </wp:positionH>
              <wp:positionV relativeFrom="page">
                <wp:posOffset>540385</wp:posOffset>
              </wp:positionV>
              <wp:extent cx="2285365" cy="142875"/>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36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36395" w14:textId="77777777" w:rsidR="00A3644A" w:rsidRDefault="00A3644A">
                          <w:pPr>
                            <w:spacing w:before="12"/>
                            <w:ind w:left="20"/>
                            <w:rPr>
                              <w:sz w:val="16"/>
                            </w:rPr>
                          </w:pPr>
                          <w:r>
                            <w:rPr>
                              <w:color w:val="5F5F5F"/>
                              <w:sz w:val="16"/>
                            </w:rPr>
                            <w:t xml:space="preserve">HVAC </w:t>
                          </w:r>
                          <w:r>
                            <w:rPr>
                              <w:rFonts w:ascii="Wingdings" w:hAnsi="Wingdings"/>
                              <w:color w:val="8DC53E"/>
                              <w:sz w:val="16"/>
                            </w:rPr>
                            <w:t></w:t>
                          </w:r>
                          <w:r>
                            <w:rPr>
                              <w:rFonts w:ascii="Times New Roman" w:hAnsi="Times New Roman"/>
                              <w:color w:val="8DC53E"/>
                              <w:sz w:val="16"/>
                            </w:rPr>
                            <w:t xml:space="preserve"> </w:t>
                          </w:r>
                          <w:r>
                            <w:rPr>
                              <w:color w:val="5F5F5F"/>
                              <w:sz w:val="16"/>
                            </w:rPr>
                            <w:t>Brushless Fan Motor Replacement, Residential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1436389" id="_x0000_t202" coordsize="21600,21600" o:spt="202" path="m,l,21600r21600,l21600,xe">
              <v:stroke joinstyle="miter"/>
              <v:path gradientshapeok="t" o:connecttype="rect"/>
            </v:shapetype>
            <v:shape id="Text Box 2" o:spid="_x0000_s1032" type="#_x0000_t202" style="position:absolute;margin-left:216.15pt;margin-top:42.55pt;width:179.95pt;height:11.25pt;z-index:-252587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" filled="f" stroked="f">
              <v:textbox inset="0,0,0,0">
                <w:txbxContent>
                  <w:p w14:paraId="21436395" w14:textId="77777777" w:rsidR="00A3644A" w:rsidRDefault="00A3644A">
                    <w:pPr>
                      <w:spacing w:before="12"/>
                      <w:ind w:left="20"/>
                      <w:rPr>
                        <w:sz w:val="16"/>
                      </w:rPr>
                    </w:pPr>
                    <w:r>
                      <w:rPr>
                        <w:color w:val="5F5F5F"/>
                        <w:sz w:val="16"/>
                      </w:rPr>
                      <w:t xml:space="preserve">HVAC </w:t>
                    </w:r>
                    <w:r>
                      <w:rPr>
                        <w:rFonts w:ascii="Wingdings" w:hAnsi="Wingdings"/>
                        <w:color w:val="8DC53E"/>
                        <w:sz w:val="16"/>
                      </w:rPr>
                      <w:t></w:t>
                    </w:r>
                    <w:r>
                      <w:rPr>
                        <w:rFonts w:ascii="Times New Roman" w:hAnsi="Times New Roman"/>
                        <w:color w:val="8DC53E"/>
                        <w:sz w:val="16"/>
                      </w:rPr>
                      <w:t xml:space="preserve"> </w:t>
                    </w:r>
                    <w:r>
                      <w:rPr>
                        <w:color w:val="5F5F5F"/>
                        <w:sz w:val="16"/>
                      </w:rPr>
                      <w:t>Brushless Fan Motor Replacement, Residential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3E1CAF"/>
    <w:multiLevelType w:val="hybridMultilevel"/>
    <w:tmpl w:val="AE464828"/>
    <w:lvl w:ilvl="0" w:tplc="B6AEA858">
      <w:start w:val="5"/>
      <w:numFmt w:val="bullet"/>
      <w:lvlText w:val="-"/>
      <w:lvlJc w:val="left"/>
      <w:pPr>
        <w:ind w:left="720" w:hanging="360"/>
      </w:pPr>
      <w:rPr>
        <w:rFonts w:ascii="Calibri Light" w:eastAsia="Calibri Light"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FB38CF"/>
    <w:multiLevelType w:val="hybridMultilevel"/>
    <w:tmpl w:val="2BEC7FC6"/>
    <w:lvl w:ilvl="0" w:tplc="61FC73A0">
      <w:numFmt w:val="bullet"/>
      <w:lvlText w:val=""/>
      <w:lvlJc w:val="left"/>
      <w:pPr>
        <w:ind w:left="840" w:hanging="360"/>
      </w:pPr>
      <w:rPr>
        <w:rFonts w:hint="default"/>
        <w:w w:val="99"/>
        <w:lang w:val="en-US" w:eastAsia="en-US" w:bidi="en-US"/>
      </w:rPr>
    </w:lvl>
    <w:lvl w:ilvl="1" w:tplc="5EB47D20">
      <w:start w:val="1"/>
      <w:numFmt w:val="lowerRoman"/>
      <w:lvlText w:val="%2."/>
      <w:lvlJc w:val="left"/>
      <w:pPr>
        <w:ind w:left="1560" w:hanging="444"/>
      </w:pPr>
      <w:rPr>
        <w:rFonts w:ascii="Calibri Light" w:eastAsia="Calibri Light" w:hAnsi="Calibri Light" w:cs="Calibri Light" w:hint="default"/>
        <w:i/>
        <w:spacing w:val="-2"/>
        <w:w w:val="100"/>
        <w:sz w:val="18"/>
        <w:szCs w:val="18"/>
        <w:lang w:val="en-US" w:eastAsia="en-US" w:bidi="en-US"/>
      </w:rPr>
    </w:lvl>
    <w:lvl w:ilvl="2" w:tplc="9D9CE26E">
      <w:numFmt w:val="bullet"/>
      <w:lvlText w:val="•"/>
      <w:lvlJc w:val="left"/>
      <w:pPr>
        <w:ind w:left="2553" w:hanging="444"/>
      </w:pPr>
      <w:rPr>
        <w:rFonts w:hint="default"/>
        <w:lang w:val="en-US" w:eastAsia="en-US" w:bidi="en-US"/>
      </w:rPr>
    </w:lvl>
    <w:lvl w:ilvl="3" w:tplc="2892C2CA">
      <w:numFmt w:val="bullet"/>
      <w:lvlText w:val="•"/>
      <w:lvlJc w:val="left"/>
      <w:pPr>
        <w:ind w:left="3546" w:hanging="444"/>
      </w:pPr>
      <w:rPr>
        <w:rFonts w:hint="default"/>
        <w:lang w:val="en-US" w:eastAsia="en-US" w:bidi="en-US"/>
      </w:rPr>
    </w:lvl>
    <w:lvl w:ilvl="4" w:tplc="6C708538">
      <w:numFmt w:val="bullet"/>
      <w:lvlText w:val="•"/>
      <w:lvlJc w:val="left"/>
      <w:pPr>
        <w:ind w:left="4540" w:hanging="444"/>
      </w:pPr>
      <w:rPr>
        <w:rFonts w:hint="default"/>
        <w:lang w:val="en-US" w:eastAsia="en-US" w:bidi="en-US"/>
      </w:rPr>
    </w:lvl>
    <w:lvl w:ilvl="5" w:tplc="4FD8AB10">
      <w:numFmt w:val="bullet"/>
      <w:lvlText w:val="•"/>
      <w:lvlJc w:val="left"/>
      <w:pPr>
        <w:ind w:left="5533" w:hanging="444"/>
      </w:pPr>
      <w:rPr>
        <w:rFonts w:hint="default"/>
        <w:lang w:val="en-US" w:eastAsia="en-US" w:bidi="en-US"/>
      </w:rPr>
    </w:lvl>
    <w:lvl w:ilvl="6" w:tplc="F336E4F6">
      <w:numFmt w:val="bullet"/>
      <w:lvlText w:val="•"/>
      <w:lvlJc w:val="left"/>
      <w:pPr>
        <w:ind w:left="6526" w:hanging="444"/>
      </w:pPr>
      <w:rPr>
        <w:rFonts w:hint="default"/>
        <w:lang w:val="en-US" w:eastAsia="en-US" w:bidi="en-US"/>
      </w:rPr>
    </w:lvl>
    <w:lvl w:ilvl="7" w:tplc="407E9DE2">
      <w:numFmt w:val="bullet"/>
      <w:lvlText w:val="•"/>
      <w:lvlJc w:val="left"/>
      <w:pPr>
        <w:ind w:left="7520" w:hanging="444"/>
      </w:pPr>
      <w:rPr>
        <w:rFonts w:hint="default"/>
        <w:lang w:val="en-US" w:eastAsia="en-US" w:bidi="en-US"/>
      </w:rPr>
    </w:lvl>
    <w:lvl w:ilvl="8" w:tplc="5C3CCA28">
      <w:numFmt w:val="bullet"/>
      <w:lvlText w:val="•"/>
      <w:lvlJc w:val="left"/>
      <w:pPr>
        <w:ind w:left="8513" w:hanging="444"/>
      </w:pPr>
      <w:rPr>
        <w:rFonts w:hint="default"/>
        <w:lang w:val="en-US" w:eastAsia="en-US" w:bidi="en-US"/>
      </w:rPr>
    </w:lvl>
  </w:abstractNum>
  <w:abstractNum w:abstractNumId="2" w15:restartNumberingAfterBreak="0">
    <w:nsid w:val="3A064098"/>
    <w:multiLevelType w:val="hybridMultilevel"/>
    <w:tmpl w:val="1A74556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004"/>
    <w:rsid w:val="000213B3"/>
    <w:rsid w:val="00030CC1"/>
    <w:rsid w:val="0005492B"/>
    <w:rsid w:val="00055004"/>
    <w:rsid w:val="00060922"/>
    <w:rsid w:val="00062BC6"/>
    <w:rsid w:val="00073FE3"/>
    <w:rsid w:val="000A1129"/>
    <w:rsid w:val="000C1511"/>
    <w:rsid w:val="001060E2"/>
    <w:rsid w:val="00117DC6"/>
    <w:rsid w:val="00122CDF"/>
    <w:rsid w:val="00150438"/>
    <w:rsid w:val="0017141A"/>
    <w:rsid w:val="00176F67"/>
    <w:rsid w:val="001B6145"/>
    <w:rsid w:val="001D5FE1"/>
    <w:rsid w:val="002413EF"/>
    <w:rsid w:val="00246E0C"/>
    <w:rsid w:val="00254957"/>
    <w:rsid w:val="002642AA"/>
    <w:rsid w:val="00270D86"/>
    <w:rsid w:val="002B2CE1"/>
    <w:rsid w:val="002B5758"/>
    <w:rsid w:val="002C6410"/>
    <w:rsid w:val="003033E7"/>
    <w:rsid w:val="003231B7"/>
    <w:rsid w:val="003232FF"/>
    <w:rsid w:val="003456C9"/>
    <w:rsid w:val="0035490F"/>
    <w:rsid w:val="00365BD5"/>
    <w:rsid w:val="003914F2"/>
    <w:rsid w:val="0039380A"/>
    <w:rsid w:val="003E1AC3"/>
    <w:rsid w:val="004301D0"/>
    <w:rsid w:val="00461824"/>
    <w:rsid w:val="0046602E"/>
    <w:rsid w:val="00473C19"/>
    <w:rsid w:val="00475344"/>
    <w:rsid w:val="004807AA"/>
    <w:rsid w:val="00483C75"/>
    <w:rsid w:val="00483CA1"/>
    <w:rsid w:val="00484005"/>
    <w:rsid w:val="004A0787"/>
    <w:rsid w:val="004B5A3C"/>
    <w:rsid w:val="004C6903"/>
    <w:rsid w:val="004D5AF4"/>
    <w:rsid w:val="004E19E8"/>
    <w:rsid w:val="00506767"/>
    <w:rsid w:val="00527DD0"/>
    <w:rsid w:val="00540BB7"/>
    <w:rsid w:val="0055143B"/>
    <w:rsid w:val="00571102"/>
    <w:rsid w:val="005755F9"/>
    <w:rsid w:val="005770EB"/>
    <w:rsid w:val="005C1860"/>
    <w:rsid w:val="005C480F"/>
    <w:rsid w:val="005D452B"/>
    <w:rsid w:val="005E41A7"/>
    <w:rsid w:val="005F3147"/>
    <w:rsid w:val="00607D1A"/>
    <w:rsid w:val="00612654"/>
    <w:rsid w:val="00623E8D"/>
    <w:rsid w:val="00634650"/>
    <w:rsid w:val="00635D5E"/>
    <w:rsid w:val="00636045"/>
    <w:rsid w:val="00641EE8"/>
    <w:rsid w:val="006573BA"/>
    <w:rsid w:val="00662EB3"/>
    <w:rsid w:val="00692EC9"/>
    <w:rsid w:val="006C7F77"/>
    <w:rsid w:val="006E5FBC"/>
    <w:rsid w:val="006E633B"/>
    <w:rsid w:val="006F76C0"/>
    <w:rsid w:val="00711C33"/>
    <w:rsid w:val="00717885"/>
    <w:rsid w:val="007215D3"/>
    <w:rsid w:val="00751F5C"/>
    <w:rsid w:val="00785887"/>
    <w:rsid w:val="00786D74"/>
    <w:rsid w:val="00832686"/>
    <w:rsid w:val="0085307F"/>
    <w:rsid w:val="00872B8B"/>
    <w:rsid w:val="0087377E"/>
    <w:rsid w:val="00895215"/>
    <w:rsid w:val="00895EC8"/>
    <w:rsid w:val="008B2FEF"/>
    <w:rsid w:val="008C65D6"/>
    <w:rsid w:val="009002BD"/>
    <w:rsid w:val="00930052"/>
    <w:rsid w:val="0095323D"/>
    <w:rsid w:val="00955174"/>
    <w:rsid w:val="00960088"/>
    <w:rsid w:val="0098259A"/>
    <w:rsid w:val="00983D0A"/>
    <w:rsid w:val="009A68CB"/>
    <w:rsid w:val="009B2511"/>
    <w:rsid w:val="009B7F0A"/>
    <w:rsid w:val="00A137C5"/>
    <w:rsid w:val="00A3644A"/>
    <w:rsid w:val="00A60122"/>
    <w:rsid w:val="00A64795"/>
    <w:rsid w:val="00A7153A"/>
    <w:rsid w:val="00AB7FE6"/>
    <w:rsid w:val="00AD1285"/>
    <w:rsid w:val="00AE7276"/>
    <w:rsid w:val="00AF0307"/>
    <w:rsid w:val="00AF739B"/>
    <w:rsid w:val="00B060D6"/>
    <w:rsid w:val="00B14C1D"/>
    <w:rsid w:val="00B67D54"/>
    <w:rsid w:val="00B91FA9"/>
    <w:rsid w:val="00BC249D"/>
    <w:rsid w:val="00BE1BC5"/>
    <w:rsid w:val="00BE7823"/>
    <w:rsid w:val="00C05D0E"/>
    <w:rsid w:val="00C0718B"/>
    <w:rsid w:val="00C170B5"/>
    <w:rsid w:val="00C27F30"/>
    <w:rsid w:val="00C32CF9"/>
    <w:rsid w:val="00C67C3E"/>
    <w:rsid w:val="00C748ED"/>
    <w:rsid w:val="00CD7368"/>
    <w:rsid w:val="00CD7E0E"/>
    <w:rsid w:val="00D060A6"/>
    <w:rsid w:val="00D07D19"/>
    <w:rsid w:val="00D13A70"/>
    <w:rsid w:val="00D6639E"/>
    <w:rsid w:val="00DB01C2"/>
    <w:rsid w:val="00DB44F9"/>
    <w:rsid w:val="00E23ED2"/>
    <w:rsid w:val="00E51701"/>
    <w:rsid w:val="00E51D87"/>
    <w:rsid w:val="00E51E4D"/>
    <w:rsid w:val="00E92A35"/>
    <w:rsid w:val="00E937FE"/>
    <w:rsid w:val="00EB0430"/>
    <w:rsid w:val="00EB724A"/>
    <w:rsid w:val="00EE62E3"/>
    <w:rsid w:val="00EE678C"/>
    <w:rsid w:val="00EF5F39"/>
    <w:rsid w:val="00EF7E3D"/>
    <w:rsid w:val="00F04443"/>
    <w:rsid w:val="00F06E9E"/>
    <w:rsid w:val="00F20BDE"/>
    <w:rsid w:val="00F5143F"/>
    <w:rsid w:val="00F72965"/>
    <w:rsid w:val="00F92949"/>
    <w:rsid w:val="00FC158A"/>
    <w:rsid w:val="00FC5C66"/>
    <w:rsid w:val="00FD3833"/>
    <w:rsid w:val="00FD4984"/>
    <w:rsid w:val="00FD554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36160"/>
  <w15:docId w15:val="{58CDAABD-5C91-49E8-8F42-57AC40861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bidi="en-US"/>
    </w:rPr>
  </w:style>
  <w:style w:type="paragraph" w:styleId="Heading1">
    <w:name w:val="heading 1"/>
    <w:basedOn w:val="Normal"/>
    <w:uiPriority w:val="9"/>
    <w:qFormat/>
    <w:pPr>
      <w:ind w:left="120"/>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ind w:left="480"/>
    </w:pPr>
  </w:style>
  <w:style w:type="paragraph" w:styleId="BodyText">
    <w:name w:val="Body Text"/>
    <w:basedOn w:val="Normal"/>
    <w:uiPriority w:val="1"/>
    <w:qFormat/>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pPr>
      <w:spacing w:before="20"/>
      <w:ind w:left="107"/>
    </w:pPr>
  </w:style>
  <w:style w:type="paragraph" w:styleId="BalloonText">
    <w:name w:val="Balloon Text"/>
    <w:basedOn w:val="Normal"/>
    <w:link w:val="BalloonTextChar"/>
    <w:uiPriority w:val="99"/>
    <w:semiHidden/>
    <w:unhideWhenUsed/>
    <w:rsid w:val="00176F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F67"/>
    <w:rPr>
      <w:rFonts w:ascii="Segoe UI" w:eastAsia="Calibri Light" w:hAnsi="Segoe UI" w:cs="Segoe UI"/>
      <w:sz w:val="18"/>
      <w:szCs w:val="18"/>
      <w:lang w:bidi="en-US"/>
    </w:rPr>
  </w:style>
  <w:style w:type="character" w:styleId="Hyperlink">
    <w:name w:val="Hyperlink"/>
    <w:basedOn w:val="DefaultParagraphFont"/>
    <w:uiPriority w:val="99"/>
    <w:unhideWhenUsed/>
    <w:rsid w:val="00365BD5"/>
    <w:rPr>
      <w:color w:val="0000FF" w:themeColor="hyperlink"/>
      <w:u w:val="single"/>
    </w:rPr>
  </w:style>
  <w:style w:type="character" w:styleId="CommentReference">
    <w:name w:val="annotation reference"/>
    <w:basedOn w:val="DefaultParagraphFont"/>
    <w:uiPriority w:val="99"/>
    <w:semiHidden/>
    <w:unhideWhenUsed/>
    <w:rsid w:val="00B67D54"/>
    <w:rPr>
      <w:sz w:val="16"/>
      <w:szCs w:val="16"/>
    </w:rPr>
  </w:style>
  <w:style w:type="paragraph" w:styleId="CommentText">
    <w:name w:val="annotation text"/>
    <w:basedOn w:val="Normal"/>
    <w:link w:val="CommentTextChar"/>
    <w:uiPriority w:val="99"/>
    <w:semiHidden/>
    <w:unhideWhenUsed/>
    <w:rsid w:val="00B67D54"/>
    <w:rPr>
      <w:sz w:val="20"/>
      <w:szCs w:val="20"/>
    </w:rPr>
  </w:style>
  <w:style w:type="character" w:customStyle="1" w:styleId="CommentTextChar">
    <w:name w:val="Comment Text Char"/>
    <w:basedOn w:val="DefaultParagraphFont"/>
    <w:link w:val="CommentText"/>
    <w:uiPriority w:val="99"/>
    <w:semiHidden/>
    <w:rsid w:val="00B67D54"/>
    <w:rPr>
      <w:rFonts w:ascii="Calibri Light" w:eastAsia="Calibri Light" w:hAnsi="Calibri Light" w:cs="Calibri Light"/>
      <w:sz w:val="20"/>
      <w:szCs w:val="20"/>
      <w:lang w:bidi="en-US"/>
    </w:rPr>
  </w:style>
  <w:style w:type="paragraph" w:styleId="CommentSubject">
    <w:name w:val="annotation subject"/>
    <w:basedOn w:val="CommentText"/>
    <w:next w:val="CommentText"/>
    <w:link w:val="CommentSubjectChar"/>
    <w:uiPriority w:val="99"/>
    <w:semiHidden/>
    <w:unhideWhenUsed/>
    <w:rsid w:val="00B67D54"/>
    <w:rPr>
      <w:b/>
      <w:bCs/>
    </w:rPr>
  </w:style>
  <w:style w:type="character" w:customStyle="1" w:styleId="CommentSubjectChar">
    <w:name w:val="Comment Subject Char"/>
    <w:basedOn w:val="CommentTextChar"/>
    <w:link w:val="CommentSubject"/>
    <w:uiPriority w:val="99"/>
    <w:semiHidden/>
    <w:rsid w:val="00B67D54"/>
    <w:rPr>
      <w:rFonts w:ascii="Calibri Light" w:eastAsia="Calibri Light" w:hAnsi="Calibri Light" w:cs="Calibri Light"/>
      <w:b/>
      <w:bCs/>
      <w:sz w:val="20"/>
      <w:szCs w:val="20"/>
      <w:lang w:bidi="en-US"/>
    </w:rPr>
  </w:style>
  <w:style w:type="paragraph" w:styleId="Revision">
    <w:name w:val="Revision"/>
    <w:hidden/>
    <w:uiPriority w:val="99"/>
    <w:semiHidden/>
    <w:rsid w:val="005755F9"/>
    <w:pPr>
      <w:widowControl/>
      <w:autoSpaceDE/>
      <w:autoSpaceDN/>
    </w:pPr>
    <w:rPr>
      <w:rFonts w:ascii="Calibri Light" w:eastAsia="Calibri Light" w:hAnsi="Calibri Light" w:cs="Calibri Ligh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80124">
      <w:bodyDiv w:val="1"/>
      <w:marLeft w:val="0"/>
      <w:marRight w:val="0"/>
      <w:marTop w:val="0"/>
      <w:marBottom w:val="0"/>
      <w:divBdr>
        <w:top w:val="none" w:sz="0" w:space="0" w:color="auto"/>
        <w:left w:val="none" w:sz="0" w:space="0" w:color="auto"/>
        <w:bottom w:val="none" w:sz="0" w:space="0" w:color="auto"/>
        <w:right w:val="none" w:sz="0" w:space="0" w:color="auto"/>
      </w:divBdr>
    </w:div>
    <w:div w:id="874776740">
      <w:bodyDiv w:val="1"/>
      <w:marLeft w:val="0"/>
      <w:marRight w:val="0"/>
      <w:marTop w:val="0"/>
      <w:marBottom w:val="0"/>
      <w:divBdr>
        <w:top w:val="none" w:sz="0" w:space="0" w:color="auto"/>
        <w:left w:val="none" w:sz="0" w:space="0" w:color="auto"/>
        <w:bottom w:val="none" w:sz="0" w:space="0" w:color="auto"/>
        <w:right w:val="none" w:sz="0" w:space="0" w:color="auto"/>
      </w:divBdr>
    </w:div>
    <w:div w:id="1241214747">
      <w:bodyDiv w:val="1"/>
      <w:marLeft w:val="0"/>
      <w:marRight w:val="0"/>
      <w:marTop w:val="0"/>
      <w:marBottom w:val="0"/>
      <w:divBdr>
        <w:top w:val="none" w:sz="0" w:space="0" w:color="auto"/>
        <w:left w:val="none" w:sz="0" w:space="0" w:color="auto"/>
        <w:bottom w:val="none" w:sz="0" w:space="0" w:color="auto"/>
        <w:right w:val="none" w:sz="0" w:space="0" w:color="auto"/>
      </w:divBdr>
    </w:div>
    <w:div w:id="1620868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www.deeresources.com/index.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www.deeresources.com/files/DEER2020/download/ProcessQueriesAndSupportTables.zip" TargetMode="External"/><Relationship Id="rId2" Type="http://schemas.openxmlformats.org/officeDocument/2006/relationships/numbering" Target="numbering.xml"/><Relationship Id="rId16" Type="http://schemas.openxmlformats.org/officeDocument/2006/relationships/hyperlink" Target="http://www.deeresources.com/files/DEER2020/download/ProcessQueriesAndSupportTables.zi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69EBB-C5FC-4D1B-A81A-8C8FE139E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12</Pages>
  <Words>3818</Words>
  <Characters>21769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
  <LinksUpToDate>false</LinksUpToDate>
  <CharactersWithSpaces>25536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Akhilesh Endurthy</cp:lastModifiedBy>
  <cp:revision>17</cp:revision>
  <dcterms:created xsi:type="dcterms:W3CDTF">2020-11-28T16:50:00Z</dcterms:created>
  <dcterms:modified xsi:type="dcterms:W3CDTF">2020-11-30T20:09:00Z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2019-11-06T00:00:00Z</vt:filetime>
  </property>
  <property fmtid="{D5CDD505-2E9C-101B-9397-08002B2CF9AE}" pid="3" name="Creator">
    <vt:lpwstr>Microsoft® Word 2013</vt:lpwstr>
  </property>
  <property fmtid="{D5CDD505-2E9C-101B-9397-08002B2CF9AE}" pid="4" name="LastSaved">
    <vt:filetime>2020-11-20T00:00:00Z</vt:filetime>
  </property>
</Properties>
</file>