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A74988">
        <w:trPr>
          <w:cantSplit/>
          <w:trHeight w:hRule="exact" w:val="1800"/>
          <w:jc w:val="right"/>
        </w:trPr>
        <w:tc>
          <w:tcPr>
            <w:tcW w:w="9000" w:type="dxa"/>
            <w:shd w:val="clear" w:color="auto" w:fill="8DC63F"/>
            <w:vAlign w:val="center"/>
          </w:tcPr>
          <w:p w14:paraId="3EF67A49" w14:textId="34FE2572" w:rsidR="00BD221D" w:rsidRPr="00563152" w:rsidRDefault="00E54374" w:rsidP="00BD221D">
            <w:pPr>
              <w:pStyle w:val="eTRMHeading1"/>
              <w:jc w:val="center"/>
              <w:rPr>
                <w:sz w:val="28"/>
              </w:rPr>
            </w:pPr>
            <w:r>
              <w:rPr>
                <w:sz w:val="28"/>
              </w:rPr>
              <w:t>HVAC</w:t>
            </w:r>
          </w:p>
          <w:p w14:paraId="71B14ED6" w14:textId="5247E108" w:rsidR="00BD221D" w:rsidRPr="00563152" w:rsidRDefault="00EE1147" w:rsidP="000110D9">
            <w:pPr>
              <w:pStyle w:val="eTRMHeading2"/>
              <w:rPr>
                <w:color w:val="FFFFFF" w:themeColor="background1"/>
                <w:spacing w:val="60"/>
                <w:sz w:val="32"/>
              </w:rPr>
            </w:pPr>
            <w:r>
              <w:rPr>
                <w:color w:val="FFFFFF" w:themeColor="background1"/>
                <w:spacing w:val="60"/>
                <w:sz w:val="32"/>
              </w:rPr>
              <w:t>Fan controlle</w:t>
            </w:r>
            <w:r w:rsidR="00185F00">
              <w:rPr>
                <w:color w:val="FFFFFF" w:themeColor="background1"/>
                <w:spacing w:val="60"/>
                <w:sz w:val="32"/>
              </w:rPr>
              <w:t>r for air conditione</w:t>
            </w:r>
            <w:r w:rsidR="0036086E">
              <w:rPr>
                <w:color w:val="FFFFFF" w:themeColor="background1"/>
                <w:spacing w:val="60"/>
                <w:sz w:val="32"/>
              </w:rPr>
              <w:t>r, residential</w:t>
            </w:r>
          </w:p>
          <w:p w14:paraId="10BE1877" w14:textId="0ED7DEBA" w:rsidR="00563152" w:rsidRPr="00563152" w:rsidRDefault="00E8702E" w:rsidP="000110D9">
            <w:pPr>
              <w:pStyle w:val="eTRMHeading2"/>
              <w:rPr>
                <w:color w:val="FFFFFF" w:themeColor="background1"/>
                <w:spacing w:val="0"/>
              </w:rPr>
            </w:pPr>
            <w:r w:rsidRPr="00E74E44">
              <w:rPr>
                <w:color w:val="FFFFFF" w:themeColor="background1"/>
                <w:spacing w:val="0"/>
                <w:sz w:val="28"/>
              </w:rPr>
              <w:t>SWHC</w:t>
            </w:r>
            <w:r>
              <w:rPr>
                <w:color w:val="FFFFFF" w:themeColor="background1"/>
                <w:spacing w:val="0"/>
                <w:sz w:val="28"/>
              </w:rPr>
              <w:t>029</w:t>
            </w:r>
            <w:r w:rsidR="00E74E44" w:rsidRPr="00E74E44">
              <w:rPr>
                <w:color w:val="FFFFFF" w:themeColor="background1"/>
                <w:spacing w:val="0"/>
                <w:sz w:val="28"/>
              </w:rPr>
              <w:t>-01</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193D3B63" w14:textId="76930C65" w:rsidR="00874FED"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874FED">
        <w:rPr>
          <w:noProof/>
        </w:rPr>
        <w:t>Measure Name</w:t>
      </w:r>
      <w:r w:rsidR="00874FED">
        <w:rPr>
          <w:noProof/>
        </w:rPr>
        <w:tab/>
      </w:r>
      <w:r w:rsidR="00874FED">
        <w:rPr>
          <w:noProof/>
        </w:rPr>
        <w:fldChar w:fldCharType="begin"/>
      </w:r>
      <w:r w:rsidR="00874FED">
        <w:rPr>
          <w:noProof/>
        </w:rPr>
        <w:instrText xml:space="preserve"> PAGEREF _Toc10468707 \h </w:instrText>
      </w:r>
      <w:r w:rsidR="00874FED">
        <w:rPr>
          <w:noProof/>
        </w:rPr>
      </w:r>
      <w:r w:rsidR="00874FED">
        <w:rPr>
          <w:noProof/>
        </w:rPr>
        <w:fldChar w:fldCharType="separate"/>
      </w:r>
      <w:r w:rsidR="00874FED">
        <w:rPr>
          <w:noProof/>
        </w:rPr>
        <w:t>2</w:t>
      </w:r>
      <w:r w:rsidR="00874FED">
        <w:rPr>
          <w:noProof/>
        </w:rPr>
        <w:fldChar w:fldCharType="end"/>
      </w:r>
    </w:p>
    <w:p w14:paraId="5D1C148A" w14:textId="69C736E8" w:rsidR="00874FED" w:rsidRDefault="00874FED">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_Toc10468708 \h </w:instrText>
      </w:r>
      <w:r>
        <w:rPr>
          <w:noProof/>
        </w:rPr>
      </w:r>
      <w:r>
        <w:rPr>
          <w:noProof/>
        </w:rPr>
        <w:fldChar w:fldCharType="separate"/>
      </w:r>
      <w:r>
        <w:rPr>
          <w:noProof/>
        </w:rPr>
        <w:t>2</w:t>
      </w:r>
      <w:r>
        <w:rPr>
          <w:noProof/>
        </w:rPr>
        <w:fldChar w:fldCharType="end"/>
      </w:r>
    </w:p>
    <w:p w14:paraId="194CC83A" w14:textId="3C0E587E" w:rsidR="00874FED" w:rsidRDefault="00874FED">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_Toc10468709 \h </w:instrText>
      </w:r>
      <w:r>
        <w:rPr>
          <w:noProof/>
        </w:rPr>
      </w:r>
      <w:r>
        <w:rPr>
          <w:noProof/>
        </w:rPr>
        <w:fldChar w:fldCharType="separate"/>
      </w:r>
      <w:r>
        <w:rPr>
          <w:noProof/>
        </w:rPr>
        <w:t>2</w:t>
      </w:r>
      <w:r>
        <w:rPr>
          <w:noProof/>
        </w:rPr>
        <w:fldChar w:fldCharType="end"/>
      </w:r>
    </w:p>
    <w:p w14:paraId="31AA2799" w14:textId="05536036" w:rsidR="00874FED" w:rsidRDefault="00874FED">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_Toc10468710 \h </w:instrText>
      </w:r>
      <w:r>
        <w:rPr>
          <w:noProof/>
        </w:rPr>
      </w:r>
      <w:r>
        <w:rPr>
          <w:noProof/>
        </w:rPr>
        <w:fldChar w:fldCharType="separate"/>
      </w:r>
      <w:r>
        <w:rPr>
          <w:noProof/>
        </w:rPr>
        <w:t>2</w:t>
      </w:r>
      <w:r>
        <w:rPr>
          <w:noProof/>
        </w:rPr>
        <w:fldChar w:fldCharType="end"/>
      </w:r>
    </w:p>
    <w:p w14:paraId="67BDD9D8" w14:textId="1481F1FD" w:rsidR="00874FED" w:rsidRDefault="00874FED">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_Toc10468711 \h </w:instrText>
      </w:r>
      <w:r>
        <w:rPr>
          <w:noProof/>
        </w:rPr>
      </w:r>
      <w:r>
        <w:rPr>
          <w:noProof/>
        </w:rPr>
        <w:fldChar w:fldCharType="separate"/>
      </w:r>
      <w:r>
        <w:rPr>
          <w:noProof/>
        </w:rPr>
        <w:t>2</w:t>
      </w:r>
      <w:r>
        <w:rPr>
          <w:noProof/>
        </w:rPr>
        <w:fldChar w:fldCharType="end"/>
      </w:r>
    </w:p>
    <w:p w14:paraId="795B1552" w14:textId="0C3282E3" w:rsidR="00874FED" w:rsidRDefault="00874FED">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_Toc10468712 \h </w:instrText>
      </w:r>
      <w:r>
        <w:rPr>
          <w:noProof/>
        </w:rPr>
      </w:r>
      <w:r>
        <w:rPr>
          <w:noProof/>
        </w:rPr>
        <w:fldChar w:fldCharType="separate"/>
      </w:r>
      <w:r>
        <w:rPr>
          <w:noProof/>
        </w:rPr>
        <w:t>3</w:t>
      </w:r>
      <w:r>
        <w:rPr>
          <w:noProof/>
        </w:rPr>
        <w:fldChar w:fldCharType="end"/>
      </w:r>
    </w:p>
    <w:p w14:paraId="364DF389" w14:textId="209B0F77" w:rsidR="00874FED" w:rsidRDefault="00874FED">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_Toc10468713 \h </w:instrText>
      </w:r>
      <w:r>
        <w:rPr>
          <w:noProof/>
        </w:rPr>
      </w:r>
      <w:r>
        <w:rPr>
          <w:noProof/>
        </w:rPr>
        <w:fldChar w:fldCharType="separate"/>
      </w:r>
      <w:r>
        <w:rPr>
          <w:noProof/>
        </w:rPr>
        <w:t>3</w:t>
      </w:r>
      <w:r>
        <w:rPr>
          <w:noProof/>
        </w:rPr>
        <w:fldChar w:fldCharType="end"/>
      </w:r>
    </w:p>
    <w:p w14:paraId="67849546" w14:textId="5CBE06E6" w:rsidR="00874FED" w:rsidRDefault="00874FED">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_Toc10468714 \h </w:instrText>
      </w:r>
      <w:r>
        <w:rPr>
          <w:noProof/>
        </w:rPr>
      </w:r>
      <w:r>
        <w:rPr>
          <w:noProof/>
        </w:rPr>
        <w:fldChar w:fldCharType="separate"/>
      </w:r>
      <w:r>
        <w:rPr>
          <w:noProof/>
        </w:rPr>
        <w:t>3</w:t>
      </w:r>
      <w:r>
        <w:rPr>
          <w:noProof/>
        </w:rPr>
        <w:fldChar w:fldCharType="end"/>
      </w:r>
    </w:p>
    <w:p w14:paraId="645F9BB5" w14:textId="54F8B58C" w:rsidR="00874FED" w:rsidRDefault="00874FED">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_Toc10468715 \h </w:instrText>
      </w:r>
      <w:r>
        <w:rPr>
          <w:noProof/>
        </w:rPr>
      </w:r>
      <w:r>
        <w:rPr>
          <w:noProof/>
        </w:rPr>
        <w:fldChar w:fldCharType="separate"/>
      </w:r>
      <w:r>
        <w:rPr>
          <w:noProof/>
        </w:rPr>
        <w:t>4</w:t>
      </w:r>
      <w:r>
        <w:rPr>
          <w:noProof/>
        </w:rPr>
        <w:fldChar w:fldCharType="end"/>
      </w:r>
    </w:p>
    <w:p w14:paraId="42E56391" w14:textId="2E108D52" w:rsidR="00874FED" w:rsidRDefault="00874FED">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_Toc10468716 \h </w:instrText>
      </w:r>
      <w:r>
        <w:rPr>
          <w:noProof/>
        </w:rPr>
      </w:r>
      <w:r>
        <w:rPr>
          <w:noProof/>
        </w:rPr>
        <w:fldChar w:fldCharType="separate"/>
      </w:r>
      <w:r>
        <w:rPr>
          <w:noProof/>
        </w:rPr>
        <w:t>4</w:t>
      </w:r>
      <w:r>
        <w:rPr>
          <w:noProof/>
        </w:rPr>
        <w:fldChar w:fldCharType="end"/>
      </w:r>
    </w:p>
    <w:p w14:paraId="75299255" w14:textId="27225B0B" w:rsidR="00874FED" w:rsidRDefault="00874FED">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_Toc10468717 \h </w:instrText>
      </w:r>
      <w:r>
        <w:rPr>
          <w:noProof/>
        </w:rPr>
      </w:r>
      <w:r>
        <w:rPr>
          <w:noProof/>
        </w:rPr>
        <w:fldChar w:fldCharType="separate"/>
      </w:r>
      <w:r>
        <w:rPr>
          <w:noProof/>
        </w:rPr>
        <w:t>4</w:t>
      </w:r>
      <w:r>
        <w:rPr>
          <w:noProof/>
        </w:rPr>
        <w:fldChar w:fldCharType="end"/>
      </w:r>
    </w:p>
    <w:p w14:paraId="56DFACDB" w14:textId="545935A9" w:rsidR="00874FED" w:rsidRDefault="00874FED">
      <w:pPr>
        <w:pStyle w:val="TOC3"/>
        <w:rPr>
          <w:rFonts w:asciiTheme="minorHAnsi" w:hAnsiTheme="minorHAnsi"/>
          <w:noProof/>
          <w:szCs w:val="22"/>
        </w:rPr>
      </w:pPr>
      <w:r>
        <w:rPr>
          <w:noProof/>
        </w:rPr>
        <w:t>Electric Savings (</w:t>
      </w:r>
      <w:r w:rsidRPr="00E9090D">
        <w:rPr>
          <w:noProof/>
        </w:rPr>
        <w:t>kWh</w:t>
      </w:r>
      <w:r>
        <w:rPr>
          <w:noProof/>
        </w:rPr>
        <w:t>)</w:t>
      </w:r>
      <w:r>
        <w:rPr>
          <w:noProof/>
        </w:rPr>
        <w:tab/>
      </w:r>
      <w:r>
        <w:rPr>
          <w:noProof/>
        </w:rPr>
        <w:fldChar w:fldCharType="begin"/>
      </w:r>
      <w:r>
        <w:rPr>
          <w:noProof/>
        </w:rPr>
        <w:instrText xml:space="preserve"> PAGEREF _Toc10468718 \h </w:instrText>
      </w:r>
      <w:r>
        <w:rPr>
          <w:noProof/>
        </w:rPr>
      </w:r>
      <w:r>
        <w:rPr>
          <w:noProof/>
        </w:rPr>
        <w:fldChar w:fldCharType="separate"/>
      </w:r>
      <w:r>
        <w:rPr>
          <w:noProof/>
        </w:rPr>
        <w:t>4</w:t>
      </w:r>
      <w:r>
        <w:rPr>
          <w:noProof/>
        </w:rPr>
        <w:fldChar w:fldCharType="end"/>
      </w:r>
    </w:p>
    <w:p w14:paraId="5DF72FA3" w14:textId="2A3FC8ED" w:rsidR="00874FED" w:rsidRDefault="00874FED">
      <w:pPr>
        <w:pStyle w:val="TOC3"/>
        <w:rPr>
          <w:rFonts w:asciiTheme="minorHAnsi" w:hAnsiTheme="minorHAnsi"/>
          <w:noProof/>
          <w:szCs w:val="22"/>
        </w:rPr>
      </w:pPr>
      <w:r>
        <w:rPr>
          <w:noProof/>
        </w:rPr>
        <w:t>Peak Electric Demand Reduction (</w:t>
      </w:r>
      <w:r w:rsidRPr="00E9090D">
        <w:rPr>
          <w:noProof/>
        </w:rPr>
        <w:t>kW</w:t>
      </w:r>
      <w:r>
        <w:rPr>
          <w:noProof/>
        </w:rPr>
        <w:t>)</w:t>
      </w:r>
      <w:r>
        <w:rPr>
          <w:noProof/>
        </w:rPr>
        <w:tab/>
      </w:r>
      <w:r>
        <w:rPr>
          <w:noProof/>
        </w:rPr>
        <w:fldChar w:fldCharType="begin"/>
      </w:r>
      <w:r>
        <w:rPr>
          <w:noProof/>
        </w:rPr>
        <w:instrText xml:space="preserve"> PAGEREF _Toc10468719 \h </w:instrText>
      </w:r>
      <w:r>
        <w:rPr>
          <w:noProof/>
        </w:rPr>
      </w:r>
      <w:r>
        <w:rPr>
          <w:noProof/>
        </w:rPr>
        <w:fldChar w:fldCharType="separate"/>
      </w:r>
      <w:r>
        <w:rPr>
          <w:noProof/>
        </w:rPr>
        <w:t>8</w:t>
      </w:r>
      <w:r>
        <w:rPr>
          <w:noProof/>
        </w:rPr>
        <w:fldChar w:fldCharType="end"/>
      </w:r>
    </w:p>
    <w:p w14:paraId="6EEB7780" w14:textId="45AE1F75" w:rsidR="00874FED" w:rsidRDefault="00874FED">
      <w:pPr>
        <w:pStyle w:val="TOC3"/>
        <w:rPr>
          <w:rFonts w:asciiTheme="minorHAnsi" w:hAnsiTheme="minorHAnsi"/>
          <w:noProof/>
          <w:szCs w:val="22"/>
        </w:rPr>
      </w:pPr>
      <w:r>
        <w:rPr>
          <w:noProof/>
        </w:rPr>
        <w:t>Gas Savings (</w:t>
      </w:r>
      <w:r w:rsidRPr="00E9090D">
        <w:rPr>
          <w:noProof/>
        </w:rPr>
        <w:t>Therms</w:t>
      </w:r>
      <w:r>
        <w:rPr>
          <w:noProof/>
        </w:rPr>
        <w:t>)</w:t>
      </w:r>
      <w:r>
        <w:rPr>
          <w:noProof/>
        </w:rPr>
        <w:tab/>
      </w:r>
      <w:r>
        <w:rPr>
          <w:noProof/>
        </w:rPr>
        <w:fldChar w:fldCharType="begin"/>
      </w:r>
      <w:r>
        <w:rPr>
          <w:noProof/>
        </w:rPr>
        <w:instrText xml:space="preserve"> PAGEREF _Toc10468720 \h </w:instrText>
      </w:r>
      <w:r>
        <w:rPr>
          <w:noProof/>
        </w:rPr>
      </w:r>
      <w:r>
        <w:rPr>
          <w:noProof/>
        </w:rPr>
        <w:fldChar w:fldCharType="separate"/>
      </w:r>
      <w:r>
        <w:rPr>
          <w:noProof/>
        </w:rPr>
        <w:t>8</w:t>
      </w:r>
      <w:r>
        <w:rPr>
          <w:noProof/>
        </w:rPr>
        <w:fldChar w:fldCharType="end"/>
      </w:r>
    </w:p>
    <w:p w14:paraId="5A5449EE" w14:textId="08FCDF24" w:rsidR="00874FED" w:rsidRDefault="00874FED">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_Toc10468721 \h </w:instrText>
      </w:r>
      <w:r>
        <w:rPr>
          <w:noProof/>
        </w:rPr>
      </w:r>
      <w:r>
        <w:rPr>
          <w:noProof/>
        </w:rPr>
        <w:fldChar w:fldCharType="separate"/>
      </w:r>
      <w:r>
        <w:rPr>
          <w:noProof/>
        </w:rPr>
        <w:t>8</w:t>
      </w:r>
      <w:r>
        <w:rPr>
          <w:noProof/>
        </w:rPr>
        <w:fldChar w:fldCharType="end"/>
      </w:r>
    </w:p>
    <w:p w14:paraId="6EA526F8" w14:textId="0D90592E" w:rsidR="00874FED" w:rsidRDefault="00874FED">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_Toc10468722 \h </w:instrText>
      </w:r>
      <w:r>
        <w:rPr>
          <w:noProof/>
        </w:rPr>
      </w:r>
      <w:r>
        <w:rPr>
          <w:noProof/>
        </w:rPr>
        <w:fldChar w:fldCharType="separate"/>
      </w:r>
      <w:r>
        <w:rPr>
          <w:noProof/>
        </w:rPr>
        <w:t>10</w:t>
      </w:r>
      <w:r>
        <w:rPr>
          <w:noProof/>
        </w:rPr>
        <w:fldChar w:fldCharType="end"/>
      </w:r>
    </w:p>
    <w:p w14:paraId="50D4ED6E" w14:textId="1B6685A6" w:rsidR="00874FED" w:rsidRDefault="00874FED">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_Toc10468723 \h </w:instrText>
      </w:r>
      <w:r>
        <w:rPr>
          <w:noProof/>
        </w:rPr>
      </w:r>
      <w:r>
        <w:rPr>
          <w:noProof/>
        </w:rPr>
        <w:fldChar w:fldCharType="separate"/>
      </w:r>
      <w:r>
        <w:rPr>
          <w:noProof/>
        </w:rPr>
        <w:t>10</w:t>
      </w:r>
      <w:r>
        <w:rPr>
          <w:noProof/>
        </w:rPr>
        <w:fldChar w:fldCharType="end"/>
      </w:r>
    </w:p>
    <w:p w14:paraId="13A58030" w14:textId="7BC4B0A7" w:rsidR="00874FED" w:rsidRDefault="00874FED">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_Toc10468724 \h </w:instrText>
      </w:r>
      <w:r>
        <w:rPr>
          <w:noProof/>
        </w:rPr>
      </w:r>
      <w:r>
        <w:rPr>
          <w:noProof/>
        </w:rPr>
        <w:fldChar w:fldCharType="separate"/>
      </w:r>
      <w:r>
        <w:rPr>
          <w:noProof/>
        </w:rPr>
        <w:t>10</w:t>
      </w:r>
      <w:r>
        <w:rPr>
          <w:noProof/>
        </w:rPr>
        <w:fldChar w:fldCharType="end"/>
      </w:r>
    </w:p>
    <w:p w14:paraId="4F336224" w14:textId="6525776E" w:rsidR="00874FED" w:rsidRDefault="00874FED">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_Toc10468725 \h </w:instrText>
      </w:r>
      <w:r>
        <w:rPr>
          <w:noProof/>
        </w:rPr>
      </w:r>
      <w:r>
        <w:rPr>
          <w:noProof/>
        </w:rPr>
        <w:fldChar w:fldCharType="separate"/>
      </w:r>
      <w:r>
        <w:rPr>
          <w:noProof/>
        </w:rPr>
        <w:t>10</w:t>
      </w:r>
      <w:r>
        <w:rPr>
          <w:noProof/>
        </w:rPr>
        <w:fldChar w:fldCharType="end"/>
      </w:r>
    </w:p>
    <w:p w14:paraId="0148DB78" w14:textId="655E96C6" w:rsidR="00874FED" w:rsidRDefault="00874FED">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_Toc10468726 \h </w:instrText>
      </w:r>
      <w:r>
        <w:rPr>
          <w:noProof/>
        </w:rPr>
      </w:r>
      <w:r>
        <w:rPr>
          <w:noProof/>
        </w:rPr>
        <w:fldChar w:fldCharType="separate"/>
      </w:r>
      <w:r>
        <w:rPr>
          <w:noProof/>
        </w:rPr>
        <w:t>10</w:t>
      </w:r>
      <w:r>
        <w:rPr>
          <w:noProof/>
        </w:rPr>
        <w:fldChar w:fldCharType="end"/>
      </w:r>
    </w:p>
    <w:p w14:paraId="63183CA5" w14:textId="3D170E48" w:rsidR="00874FED" w:rsidRDefault="00874FED">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_Toc10468727 \h </w:instrText>
      </w:r>
      <w:r>
        <w:rPr>
          <w:noProof/>
        </w:rPr>
      </w:r>
      <w:r>
        <w:rPr>
          <w:noProof/>
        </w:rPr>
        <w:fldChar w:fldCharType="separate"/>
      </w:r>
      <w:r>
        <w:rPr>
          <w:noProof/>
        </w:rPr>
        <w:t>11</w:t>
      </w:r>
      <w:r>
        <w:rPr>
          <w:noProof/>
        </w:rPr>
        <w:fldChar w:fldCharType="end"/>
      </w:r>
    </w:p>
    <w:p w14:paraId="33DB6CAC" w14:textId="553C9913" w:rsidR="00874FED" w:rsidRDefault="00874FED">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_Toc10468728 \h </w:instrText>
      </w:r>
      <w:r>
        <w:rPr>
          <w:noProof/>
        </w:rPr>
      </w:r>
      <w:r>
        <w:rPr>
          <w:noProof/>
        </w:rPr>
        <w:fldChar w:fldCharType="separate"/>
      </w:r>
      <w:r>
        <w:rPr>
          <w:noProof/>
        </w:rPr>
        <w:t>11</w:t>
      </w:r>
      <w:r>
        <w:rPr>
          <w:noProof/>
        </w:rPr>
        <w:fldChar w:fldCharType="end"/>
      </w:r>
    </w:p>
    <w:p w14:paraId="03E4C28D" w14:textId="0B98C9F0" w:rsidR="00874FED" w:rsidRDefault="00874FED">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_Toc10468729 \h </w:instrText>
      </w:r>
      <w:r>
        <w:rPr>
          <w:noProof/>
        </w:rPr>
      </w:r>
      <w:r>
        <w:rPr>
          <w:noProof/>
        </w:rPr>
        <w:fldChar w:fldCharType="separate"/>
      </w:r>
      <w:r>
        <w:rPr>
          <w:noProof/>
        </w:rPr>
        <w:t>11</w:t>
      </w:r>
      <w:r>
        <w:rPr>
          <w:noProof/>
        </w:rPr>
        <w:fldChar w:fldCharType="end"/>
      </w:r>
    </w:p>
    <w:p w14:paraId="7A085A4F" w14:textId="297644C1" w:rsidR="00874FED" w:rsidRDefault="00874FED">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_Toc10468730 \h </w:instrText>
      </w:r>
      <w:r>
        <w:rPr>
          <w:noProof/>
        </w:rPr>
      </w:r>
      <w:r>
        <w:rPr>
          <w:noProof/>
        </w:rPr>
        <w:fldChar w:fldCharType="separate"/>
      </w:r>
      <w:r>
        <w:rPr>
          <w:noProof/>
        </w:rPr>
        <w:t>12</w:t>
      </w:r>
      <w:r>
        <w:rPr>
          <w:noProof/>
        </w:rPr>
        <w:fldChar w:fldCharType="end"/>
      </w:r>
    </w:p>
    <w:p w14:paraId="4C194BAF" w14:textId="4FF8DCD8" w:rsidR="001C6C9B" w:rsidRPr="00D12B8C" w:rsidRDefault="001C6C9B" w:rsidP="00D12B8C">
      <w:r>
        <w:fldChar w:fldCharType="end"/>
      </w:r>
    </w:p>
    <w:p w14:paraId="7DD78D3A" w14:textId="77777777" w:rsidR="007E1F66" w:rsidRDefault="007E1F66" w:rsidP="0065534B">
      <w:pPr>
        <w:pStyle w:val="eTRMHeading3"/>
        <w:sectPr w:rsidR="007E1F66"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52A7474A" w14:textId="77777777" w:rsidR="0087748C" w:rsidRPr="007E1F66" w:rsidRDefault="0087748C" w:rsidP="00525000">
      <w:pPr>
        <w:pStyle w:val="eTRMHeading3"/>
      </w:pPr>
      <w:bookmarkStart w:id="0" w:name="_Toc486490839"/>
      <w:bookmarkStart w:id="1" w:name="_Toc486580912"/>
      <w:bookmarkStart w:id="2" w:name="_Toc10468707"/>
      <w:r w:rsidRPr="007E1F66">
        <w:lastRenderedPageBreak/>
        <w:t>Measure Name</w:t>
      </w:r>
      <w:bookmarkEnd w:id="0"/>
      <w:bookmarkEnd w:id="1"/>
      <w:bookmarkEnd w:id="2"/>
    </w:p>
    <w:p w14:paraId="14147460" w14:textId="77777777" w:rsidR="00DE2BFE" w:rsidRPr="00DE2BFE" w:rsidRDefault="00DE2BFE" w:rsidP="00DE2BFE">
      <w:pPr>
        <w:spacing w:before="20" w:after="20" w:line="280" w:lineRule="exact"/>
        <w:rPr>
          <w:rFonts w:cs="Arial"/>
          <w:szCs w:val="20"/>
        </w:rPr>
      </w:pPr>
      <w:r w:rsidRPr="00DE2BFE">
        <w:rPr>
          <w:rFonts w:cs="Arial"/>
          <w:szCs w:val="20"/>
        </w:rPr>
        <w:t xml:space="preserve">Fan Controller for Air Conditioner, Residential </w:t>
      </w:r>
    </w:p>
    <w:p w14:paraId="7DB8FBEF" w14:textId="4169A917" w:rsidR="0087748C" w:rsidRPr="00401C43" w:rsidRDefault="0087748C" w:rsidP="00337786">
      <w:pPr>
        <w:spacing w:before="20" w:after="20" w:line="280" w:lineRule="exact"/>
      </w:pPr>
    </w:p>
    <w:p w14:paraId="5CEC2902" w14:textId="77777777" w:rsidR="0087748C" w:rsidRPr="00074E3E" w:rsidRDefault="0087748C" w:rsidP="00525000">
      <w:pPr>
        <w:pStyle w:val="eTRMHeading3"/>
      </w:pPr>
      <w:bookmarkStart w:id="3" w:name="_Toc486490840"/>
      <w:bookmarkStart w:id="4" w:name="_Toc486580913"/>
      <w:bookmarkStart w:id="5" w:name="_Toc10468708"/>
      <w:r>
        <w:t>Statewide Measure ID</w:t>
      </w:r>
      <w:bookmarkStart w:id="6" w:name="_GoBack"/>
      <w:bookmarkEnd w:id="3"/>
      <w:bookmarkEnd w:id="4"/>
      <w:bookmarkEnd w:id="5"/>
      <w:bookmarkEnd w:id="6"/>
    </w:p>
    <w:p w14:paraId="0CCA4C04" w14:textId="517E0BC4" w:rsidR="00EE1147" w:rsidRDefault="00E8702E" w:rsidP="00E14349">
      <w:pPr>
        <w:spacing w:before="20" w:after="20" w:line="280" w:lineRule="exact"/>
        <w:rPr>
          <w:rFonts w:cs="Arial"/>
          <w:szCs w:val="20"/>
        </w:rPr>
      </w:pPr>
      <w:r>
        <w:rPr>
          <w:rFonts w:cs="Arial"/>
          <w:szCs w:val="20"/>
        </w:rPr>
        <w:t>SWHC029</w:t>
      </w:r>
      <w:r w:rsidR="008B1397">
        <w:rPr>
          <w:rFonts w:cs="Arial"/>
          <w:szCs w:val="20"/>
        </w:rPr>
        <w:t>-01</w:t>
      </w:r>
    </w:p>
    <w:p w14:paraId="4FD5F912" w14:textId="77777777" w:rsidR="0065255B" w:rsidRPr="00FA1ADB" w:rsidRDefault="0065255B" w:rsidP="00E14349">
      <w:pPr>
        <w:spacing w:before="20" w:after="20" w:line="280" w:lineRule="exact"/>
        <w:rPr>
          <w:rFonts w:cs="Arial"/>
          <w:szCs w:val="20"/>
        </w:rPr>
      </w:pPr>
    </w:p>
    <w:p w14:paraId="0F7CA2E6" w14:textId="77777777" w:rsidR="00E70CBD" w:rsidRPr="00154391" w:rsidRDefault="00E70CBD" w:rsidP="0065534B">
      <w:pPr>
        <w:pStyle w:val="eTRMHeading3"/>
      </w:pPr>
      <w:bookmarkStart w:id="7" w:name="_Toc486490847"/>
      <w:bookmarkStart w:id="8" w:name="_Toc486580918"/>
      <w:bookmarkStart w:id="9" w:name="_Toc10468709"/>
      <w:r w:rsidRPr="00154391">
        <w:t>Technology Summary</w:t>
      </w:r>
      <w:bookmarkEnd w:id="7"/>
      <w:bookmarkEnd w:id="8"/>
      <w:bookmarkEnd w:id="9"/>
      <w:r w:rsidRPr="00154391">
        <w:t xml:space="preserve"> </w:t>
      </w:r>
    </w:p>
    <w:p w14:paraId="681194DD" w14:textId="77777777" w:rsidR="00AD1CF4" w:rsidRPr="00AD1CF4" w:rsidRDefault="00AD1CF4" w:rsidP="00AD1CF4">
      <w:r w:rsidRPr="00AD1CF4">
        <w:t>A typical residential air conditioner cycles the compressor and the evaporator fan off when the thermostat setpoint temperature is reached. When the compressor and evaporator fan are cut off in response to the thermostat control, the evaporator coil is still partially flooded with the liquid refrigerant. This residual liquid refrigerant can be used to provide space cooling to optimize and improve system efficiency. This can occur by running the evaporator fan for a short time after the compressor cycles off, referred to as “fan delay time.” After the compressor stops running, the evaporator fan will continue to circulate the indoor air across the evaporator coil to provide additional sensible cooling. Additional sensible cooling provided during the fan delay period postpones the start of the next cooling cycle. The reduction in the duration of the cooling period will result in energy savings, outweighing the energy use associated with the increased run time of the fan.</w:t>
      </w:r>
    </w:p>
    <w:p w14:paraId="0588D48E" w14:textId="2CD0F25D" w:rsidR="00AD1CF4" w:rsidRPr="00AD1CF4" w:rsidRDefault="0093736A" w:rsidP="00AD1CF4">
      <w:r>
        <w:t xml:space="preserve">Two types of add-on fan </w:t>
      </w:r>
      <w:r w:rsidR="00AD1CF4" w:rsidRPr="00AD1CF4">
        <w:t xml:space="preserve">controllers are commercially available. One type has </w:t>
      </w:r>
      <w:r w:rsidR="00AD1CF4" w:rsidRPr="00AD1CF4">
        <w:rPr>
          <w:i/>
        </w:rPr>
        <w:t>built-in logic</w:t>
      </w:r>
      <w:r w:rsidR="00AD1CF4" w:rsidRPr="00AD1CF4">
        <w:t xml:space="preserve"> to delay the evaporator fan cycle-off time based on compressor and/or evaporator fan cycling. The control logic directly correlates fan delay periods with compressor </w:t>
      </w:r>
      <w:proofErr w:type="gramStart"/>
      <w:r w:rsidR="00AD1CF4" w:rsidRPr="00AD1CF4">
        <w:t>run</w:t>
      </w:r>
      <w:proofErr w:type="gramEnd"/>
      <w:r w:rsidR="00AD1CF4" w:rsidRPr="00AD1CF4">
        <w:t xml:space="preserve"> tim</w:t>
      </w:r>
      <w:r>
        <w:t xml:space="preserve">es. The other type of fan </w:t>
      </w:r>
      <w:r w:rsidR="00AD1CF4" w:rsidRPr="00AD1CF4">
        <w:t xml:space="preserve">controller is a </w:t>
      </w:r>
      <w:r w:rsidR="00AD1CF4" w:rsidRPr="00AD1CF4">
        <w:rPr>
          <w:i/>
        </w:rPr>
        <w:t>manual e</w:t>
      </w:r>
      <w:r>
        <w:rPr>
          <w:i/>
        </w:rPr>
        <w:t xml:space="preserve">vaporator fan </w:t>
      </w:r>
      <w:r w:rsidR="00AD1CF4" w:rsidRPr="00AD1CF4">
        <w:rPr>
          <w:i/>
        </w:rPr>
        <w:t>controller</w:t>
      </w:r>
      <w:r w:rsidR="00AD1CF4" w:rsidRPr="00AD1CF4">
        <w:t xml:space="preserve"> that extends evaporator fan operation for 0 to 90 seconds after the compressor has turned off. This controller allows </w:t>
      </w:r>
      <w:r>
        <w:t xml:space="preserve">the installation of a fan </w:t>
      </w:r>
      <w:r w:rsidR="00AD1CF4" w:rsidRPr="00AD1CF4">
        <w:t>controller w</w:t>
      </w:r>
      <w:r>
        <w:t xml:space="preserve">ith a built-in logic. Fan </w:t>
      </w:r>
      <w:r w:rsidR="00AD1CF4" w:rsidRPr="00AD1CF4">
        <w:t xml:space="preserve">controllers with a manually prescribed delay time are allowed only when installed and commissioned by an approved HVAC contractor. </w:t>
      </w:r>
    </w:p>
    <w:p w14:paraId="3F45F907" w14:textId="398BFA1C" w:rsidR="00EE1147" w:rsidRDefault="00EE1147" w:rsidP="004F686A"/>
    <w:p w14:paraId="5AF18021" w14:textId="77777777" w:rsidR="007D230B" w:rsidRPr="004B06E3" w:rsidRDefault="007D230B" w:rsidP="0065534B">
      <w:pPr>
        <w:pStyle w:val="eTRMHeading3"/>
      </w:pPr>
      <w:bookmarkStart w:id="10" w:name="_Toc486490848"/>
      <w:bookmarkStart w:id="11" w:name="_Toc486580919"/>
      <w:bookmarkStart w:id="12" w:name="_Toc10468710"/>
      <w:r w:rsidRPr="004B06E3">
        <w:t>Measure Case Description</w:t>
      </w:r>
      <w:bookmarkEnd w:id="10"/>
      <w:bookmarkEnd w:id="11"/>
      <w:bookmarkEnd w:id="12"/>
    </w:p>
    <w:p w14:paraId="40C2097B" w14:textId="129AB5A0" w:rsidR="009F1AA5" w:rsidRDefault="0052556C" w:rsidP="0052556C">
      <w:pPr>
        <w:rPr>
          <w:rFonts w:cs="Arial"/>
          <w:szCs w:val="20"/>
        </w:rPr>
      </w:pPr>
      <w:r w:rsidRPr="00306760">
        <w:rPr>
          <w:rFonts w:cs="Arial"/>
          <w:szCs w:val="20"/>
        </w:rPr>
        <w:t>The measure case is defined as a</w:t>
      </w:r>
      <w:r w:rsidR="009F1AA5" w:rsidRPr="00306760">
        <w:rPr>
          <w:rFonts w:cs="Arial"/>
          <w:szCs w:val="20"/>
        </w:rPr>
        <w:t xml:space="preserve"> </w:t>
      </w:r>
      <w:r w:rsidR="00A50E96" w:rsidRPr="00306760">
        <w:rPr>
          <w:rFonts w:cs="Arial"/>
          <w:szCs w:val="20"/>
        </w:rPr>
        <w:t>r</w:t>
      </w:r>
      <w:r w:rsidR="009F1AA5" w:rsidRPr="00306760">
        <w:rPr>
          <w:rFonts w:cs="Arial"/>
          <w:szCs w:val="20"/>
        </w:rPr>
        <w:t>esidential central HVAC system with an evaporator fan controller</w:t>
      </w:r>
      <w:r w:rsidR="0093736A">
        <w:rPr>
          <w:rFonts w:cs="Arial"/>
          <w:szCs w:val="20"/>
        </w:rPr>
        <w:t xml:space="preserve"> </w:t>
      </w:r>
      <w:r w:rsidR="009F1AA5" w:rsidRPr="00306760">
        <w:rPr>
          <w:rFonts w:cs="Arial"/>
          <w:szCs w:val="20"/>
        </w:rPr>
        <w:t>based on a manual prescribed time or a built-in logic to delay the evaporator fan cycle off time. The built-in control logic is based on equipment (compressor and fan) operation and cycling to improve HVAC system efficiency.</w:t>
      </w:r>
    </w:p>
    <w:p w14:paraId="3755CD98" w14:textId="3CE125A9" w:rsidR="00846423" w:rsidRPr="00846423" w:rsidRDefault="0052556C" w:rsidP="004B7C1B">
      <w:pPr>
        <w:pStyle w:val="Caption"/>
      </w:pPr>
      <w:r>
        <w:t>Measure Case Specification</w:t>
      </w:r>
    </w:p>
    <w:tbl>
      <w:tblPr>
        <w:tblW w:w="9146" w:type="dxa"/>
        <w:tblInd w:w="-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2036"/>
        <w:gridCol w:w="7110"/>
      </w:tblGrid>
      <w:tr w:rsidR="004B7C1B" w:rsidRPr="00152A86" w14:paraId="4ACD23AA" w14:textId="77777777" w:rsidTr="00943D85">
        <w:trPr>
          <w:trHeight w:val="290"/>
        </w:trPr>
        <w:tc>
          <w:tcPr>
            <w:tcW w:w="2036" w:type="dxa"/>
            <w:shd w:val="clear" w:color="auto" w:fill="F2F2F2" w:themeFill="background1" w:themeFillShade="F2"/>
            <w:vAlign w:val="bottom"/>
          </w:tcPr>
          <w:p w14:paraId="2039DEA1" w14:textId="7453B0A7" w:rsidR="004B7C1B" w:rsidRPr="00152A86" w:rsidRDefault="004B7C1B" w:rsidP="00943D85">
            <w:pPr>
              <w:autoSpaceDE w:val="0"/>
              <w:autoSpaceDN w:val="0"/>
              <w:adjustRightInd w:val="0"/>
              <w:spacing w:before="0" w:after="0" w:line="240" w:lineRule="auto"/>
              <w:jc w:val="center"/>
              <w:rPr>
                <w:rFonts w:cs="Calibri Light"/>
                <w:b/>
                <w:iCs/>
                <w:sz w:val="20"/>
                <w:szCs w:val="20"/>
              </w:rPr>
            </w:pPr>
            <w:r>
              <w:rPr>
                <w:rFonts w:cs="Calibri Light"/>
                <w:b/>
                <w:iCs/>
                <w:sz w:val="20"/>
                <w:szCs w:val="20"/>
              </w:rPr>
              <w:t xml:space="preserve">Statewide Measure </w:t>
            </w:r>
            <w:r w:rsidR="007E226C">
              <w:rPr>
                <w:rFonts w:cs="Calibri Light"/>
                <w:b/>
                <w:iCs/>
                <w:sz w:val="20"/>
                <w:szCs w:val="20"/>
              </w:rPr>
              <w:t xml:space="preserve">Offering </w:t>
            </w:r>
            <w:r>
              <w:rPr>
                <w:rFonts w:cs="Calibri Light"/>
                <w:b/>
                <w:iCs/>
                <w:sz w:val="20"/>
                <w:szCs w:val="20"/>
              </w:rPr>
              <w:t>ID</w:t>
            </w:r>
          </w:p>
        </w:tc>
        <w:tc>
          <w:tcPr>
            <w:tcW w:w="7110" w:type="dxa"/>
            <w:shd w:val="clear" w:color="auto" w:fill="F2F2F2" w:themeFill="background1" w:themeFillShade="F2"/>
            <w:vAlign w:val="bottom"/>
          </w:tcPr>
          <w:p w14:paraId="2FAC1776" w14:textId="3809B4BD" w:rsidR="004B7C1B" w:rsidRPr="00152A86" w:rsidRDefault="004B7C1B" w:rsidP="00943D85">
            <w:pPr>
              <w:autoSpaceDE w:val="0"/>
              <w:autoSpaceDN w:val="0"/>
              <w:adjustRightInd w:val="0"/>
              <w:spacing w:before="0" w:after="0" w:line="240" w:lineRule="auto"/>
              <w:jc w:val="center"/>
              <w:rPr>
                <w:rFonts w:cs="Calibri Light"/>
                <w:b/>
                <w:iCs/>
                <w:sz w:val="20"/>
                <w:szCs w:val="20"/>
              </w:rPr>
            </w:pPr>
            <w:r w:rsidRPr="00152A86">
              <w:rPr>
                <w:rFonts w:cs="Calibri Light"/>
                <w:b/>
                <w:iCs/>
                <w:sz w:val="20"/>
                <w:szCs w:val="20"/>
              </w:rPr>
              <w:t>Measure Offering</w:t>
            </w:r>
            <w:r w:rsidR="007E226C">
              <w:rPr>
                <w:rFonts w:cs="Calibri Light"/>
                <w:b/>
                <w:iCs/>
                <w:sz w:val="20"/>
                <w:szCs w:val="20"/>
              </w:rPr>
              <w:t xml:space="preserve"> Description</w:t>
            </w:r>
          </w:p>
        </w:tc>
      </w:tr>
      <w:tr w:rsidR="004B7C1B" w:rsidRPr="00943D85" w14:paraId="520D1BB0" w14:textId="77777777" w:rsidTr="004B7C1B">
        <w:trPr>
          <w:trHeight w:val="290"/>
        </w:trPr>
        <w:tc>
          <w:tcPr>
            <w:tcW w:w="2036" w:type="dxa"/>
            <w:shd w:val="clear" w:color="auto" w:fill="FFFFFF" w:themeFill="background1"/>
          </w:tcPr>
          <w:p w14:paraId="263E8A2F" w14:textId="52B0603D" w:rsidR="004B7C1B" w:rsidRPr="00943D85" w:rsidRDefault="00E8702E" w:rsidP="00306760">
            <w:pPr>
              <w:autoSpaceDE w:val="0"/>
              <w:autoSpaceDN w:val="0"/>
              <w:adjustRightInd w:val="0"/>
              <w:spacing w:before="0" w:after="0" w:line="240" w:lineRule="auto"/>
              <w:jc w:val="center"/>
              <w:rPr>
                <w:rFonts w:cs="Calibri Light"/>
                <w:iCs/>
                <w:sz w:val="20"/>
                <w:szCs w:val="20"/>
              </w:rPr>
            </w:pPr>
            <w:r w:rsidRPr="00943D85">
              <w:rPr>
                <w:sz w:val="20"/>
              </w:rPr>
              <w:t>SWHC029</w:t>
            </w:r>
            <w:r w:rsidR="00306760" w:rsidRPr="00943D85">
              <w:rPr>
                <w:sz w:val="20"/>
              </w:rPr>
              <w:t>A</w:t>
            </w:r>
          </w:p>
        </w:tc>
        <w:tc>
          <w:tcPr>
            <w:tcW w:w="7110" w:type="dxa"/>
            <w:shd w:val="clear" w:color="auto" w:fill="FFFFFF" w:themeFill="background1"/>
            <w:vAlign w:val="bottom"/>
          </w:tcPr>
          <w:p w14:paraId="3ADE1157" w14:textId="5368F42D" w:rsidR="004B7C1B" w:rsidRPr="00943D85" w:rsidRDefault="004B7C1B" w:rsidP="00691206">
            <w:pPr>
              <w:autoSpaceDE w:val="0"/>
              <w:autoSpaceDN w:val="0"/>
              <w:adjustRightInd w:val="0"/>
              <w:spacing w:before="0" w:after="0" w:line="240" w:lineRule="auto"/>
              <w:rPr>
                <w:sz w:val="20"/>
              </w:rPr>
            </w:pPr>
            <w:r w:rsidRPr="00943D85">
              <w:rPr>
                <w:rFonts w:cs="Calibri Light"/>
                <w:sz w:val="20"/>
                <w:szCs w:val="20"/>
              </w:rPr>
              <w:t>Fan Controller for Residential Air Conditioners</w:t>
            </w:r>
          </w:p>
        </w:tc>
      </w:tr>
    </w:tbl>
    <w:p w14:paraId="43D71C71" w14:textId="77777777" w:rsidR="0065255B" w:rsidRDefault="0065255B" w:rsidP="00943D85">
      <w:bookmarkStart w:id="13" w:name="_Toc486490849"/>
      <w:bookmarkStart w:id="14" w:name="_Toc486580920"/>
    </w:p>
    <w:p w14:paraId="54FD79D6" w14:textId="47CDF905" w:rsidR="00E70CBD" w:rsidRPr="00171BB8" w:rsidRDefault="00E70CBD" w:rsidP="0065534B">
      <w:pPr>
        <w:pStyle w:val="eTRMHeading3"/>
      </w:pPr>
      <w:bookmarkStart w:id="15" w:name="_Toc10468711"/>
      <w:r w:rsidRPr="004B06E3">
        <w:t>Base Case Description</w:t>
      </w:r>
      <w:bookmarkEnd w:id="13"/>
      <w:bookmarkEnd w:id="14"/>
      <w:bookmarkEnd w:id="15"/>
      <w:r w:rsidRPr="00171BB8">
        <w:t xml:space="preserve"> </w:t>
      </w:r>
    </w:p>
    <w:p w14:paraId="6E345427" w14:textId="2EBB342B" w:rsidR="009617E3" w:rsidRPr="0037639B" w:rsidRDefault="00B35415" w:rsidP="00116C00">
      <w:pPr>
        <w:rPr>
          <w:rFonts w:cs="Arial"/>
          <w:szCs w:val="20"/>
        </w:rPr>
      </w:pPr>
      <w:r w:rsidRPr="0037639B">
        <w:rPr>
          <w:rFonts w:cs="Arial"/>
          <w:szCs w:val="20"/>
        </w:rPr>
        <w:t xml:space="preserve">The base case is defined as a </w:t>
      </w:r>
      <w:r w:rsidR="00A50E96" w:rsidRPr="0037639B">
        <w:rPr>
          <w:rFonts w:cs="Arial"/>
          <w:szCs w:val="20"/>
        </w:rPr>
        <w:t>residential central HVAC system with standard fan controls and operation without manual or logic-based evaporator fan controller to improve HVAC system efficiency.</w:t>
      </w:r>
    </w:p>
    <w:p w14:paraId="21651093" w14:textId="77777777" w:rsidR="00FD01A8" w:rsidRPr="00FD01A8" w:rsidRDefault="00FD01A8" w:rsidP="00116C00">
      <w:pPr>
        <w:rPr>
          <w:szCs w:val="20"/>
        </w:rPr>
      </w:pPr>
    </w:p>
    <w:p w14:paraId="7D9DA4A6" w14:textId="77777777" w:rsidR="007D230B" w:rsidRPr="00171BB8" w:rsidRDefault="007D230B" w:rsidP="0065534B">
      <w:pPr>
        <w:pStyle w:val="eTRMHeading3"/>
      </w:pPr>
      <w:bookmarkStart w:id="16" w:name="_Toc486490850"/>
      <w:bookmarkStart w:id="17" w:name="_Toc486580921"/>
      <w:bookmarkStart w:id="18" w:name="_Toc10468712"/>
      <w:r w:rsidRPr="004B06E3">
        <w:lastRenderedPageBreak/>
        <w:t>Code Requirements</w:t>
      </w:r>
      <w:bookmarkEnd w:id="16"/>
      <w:bookmarkEnd w:id="17"/>
      <w:bookmarkEnd w:id="18"/>
    </w:p>
    <w:p w14:paraId="7578121D" w14:textId="5ECD2C03" w:rsidR="00FD01A8" w:rsidRPr="00A12640" w:rsidRDefault="00FD01A8" w:rsidP="00FD01A8">
      <w:bookmarkStart w:id="19" w:name="_Ref486591603"/>
      <w:r w:rsidRPr="00A12640">
        <w:t>There are currently no federal, state, or regional codes that impact fan controllers for residential air conditioners. However, Chapter 4, Article 4, Section 1605.1(c), Table C.3 of California’s Title 20</w:t>
      </w:r>
      <w:r w:rsidR="00542ECA">
        <w:rPr>
          <w:rStyle w:val="FootnoteReference"/>
        </w:rPr>
        <w:footnoteReference w:id="1"/>
      </w:r>
      <w:r w:rsidR="00542ECA">
        <w:t xml:space="preserve"> </w:t>
      </w:r>
      <w:r w:rsidRPr="00A12640">
        <w:t xml:space="preserve">code requires split system air conditioners installed after January 1, 2015 to have a minimum SEER rating of 14.0. </w:t>
      </w:r>
    </w:p>
    <w:bookmarkEnd w:id="19"/>
    <w:p w14:paraId="4008BF70" w14:textId="59E17917" w:rsidR="006758F6" w:rsidRDefault="006758F6" w:rsidP="006758F6">
      <w:pPr>
        <w:pStyle w:val="Caption"/>
      </w:pPr>
      <w:r>
        <w:t xml:space="preserve">Applicable State and Federal </w:t>
      </w:r>
      <w:r w:rsidRPr="00CD6698">
        <w:t>Code</w:t>
      </w:r>
      <w:r>
        <w:t>s and Standards</w:t>
      </w:r>
      <w:r w:rsidRPr="002C39E3">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45"/>
        <w:gridCol w:w="2700"/>
        <w:gridCol w:w="1890"/>
      </w:tblGrid>
      <w:tr w:rsidR="006758F6" w:rsidRPr="00154391" w14:paraId="5DB9A5E4" w14:textId="77777777" w:rsidTr="00943D85">
        <w:trPr>
          <w:cantSplit/>
          <w:trHeight w:val="20"/>
        </w:trPr>
        <w:tc>
          <w:tcPr>
            <w:tcW w:w="4945" w:type="dxa"/>
            <w:shd w:val="clear" w:color="auto" w:fill="F2F2F2" w:themeFill="background1" w:themeFillShade="F2"/>
            <w:vAlign w:val="bottom"/>
          </w:tcPr>
          <w:p w14:paraId="2AA4FC2A" w14:textId="77777777" w:rsidR="006758F6" w:rsidRPr="00154391" w:rsidRDefault="006758F6" w:rsidP="00046348">
            <w:pPr>
              <w:keepNext/>
              <w:keepLines/>
              <w:spacing w:before="20" w:after="20"/>
              <w:rPr>
                <w:b/>
                <w:sz w:val="20"/>
                <w:szCs w:val="20"/>
              </w:rPr>
            </w:pPr>
            <w:r w:rsidRPr="0079498E">
              <w:rPr>
                <w:b/>
                <w:sz w:val="20"/>
              </w:rPr>
              <w:t>Code</w:t>
            </w:r>
          </w:p>
        </w:tc>
        <w:tc>
          <w:tcPr>
            <w:tcW w:w="2700" w:type="dxa"/>
            <w:shd w:val="clear" w:color="auto" w:fill="F2F2F2" w:themeFill="background1" w:themeFillShade="F2"/>
            <w:vAlign w:val="bottom"/>
          </w:tcPr>
          <w:p w14:paraId="166A8DE2" w14:textId="77777777" w:rsidR="006758F6" w:rsidRPr="00154391" w:rsidRDefault="006758F6" w:rsidP="00046348">
            <w:pPr>
              <w:keepNext/>
              <w:keepLines/>
              <w:spacing w:before="20" w:after="20"/>
              <w:jc w:val="center"/>
              <w:rPr>
                <w:b/>
                <w:sz w:val="20"/>
                <w:szCs w:val="20"/>
              </w:rPr>
            </w:pPr>
            <w:r w:rsidRPr="0079498E">
              <w:rPr>
                <w:b/>
                <w:sz w:val="20"/>
              </w:rPr>
              <w:t>Applicable Code Reference</w:t>
            </w:r>
          </w:p>
        </w:tc>
        <w:tc>
          <w:tcPr>
            <w:tcW w:w="1890" w:type="dxa"/>
            <w:shd w:val="clear" w:color="auto" w:fill="F2F2F2" w:themeFill="background1" w:themeFillShade="F2"/>
            <w:vAlign w:val="bottom"/>
          </w:tcPr>
          <w:p w14:paraId="10D1DA8A" w14:textId="77777777" w:rsidR="006758F6" w:rsidRPr="00154391" w:rsidRDefault="006758F6" w:rsidP="00046348">
            <w:pPr>
              <w:keepNext/>
              <w:keepLines/>
              <w:spacing w:before="20" w:after="20"/>
              <w:jc w:val="center"/>
              <w:rPr>
                <w:b/>
                <w:sz w:val="20"/>
                <w:szCs w:val="20"/>
              </w:rPr>
            </w:pPr>
            <w:r w:rsidRPr="0079498E">
              <w:rPr>
                <w:b/>
                <w:sz w:val="20"/>
              </w:rPr>
              <w:t>Effective Date</w:t>
            </w:r>
          </w:p>
        </w:tc>
      </w:tr>
      <w:tr w:rsidR="00516290" w:rsidRPr="00FB030E" w14:paraId="0206DB19" w14:textId="77777777" w:rsidTr="00943D85">
        <w:trPr>
          <w:cantSplit/>
          <w:trHeight w:val="20"/>
        </w:trPr>
        <w:tc>
          <w:tcPr>
            <w:tcW w:w="4945" w:type="dxa"/>
            <w:shd w:val="clear" w:color="auto" w:fill="auto"/>
          </w:tcPr>
          <w:p w14:paraId="361DF9CA" w14:textId="05A0BC51" w:rsidR="00516290" w:rsidRPr="00D05BEF" w:rsidRDefault="00516290" w:rsidP="00516290">
            <w:pPr>
              <w:keepNext/>
              <w:keepLines/>
              <w:spacing w:before="20" w:after="20"/>
              <w:rPr>
                <w:sz w:val="20"/>
                <w:szCs w:val="20"/>
              </w:rPr>
            </w:pPr>
            <w:r w:rsidRPr="000A2A76">
              <w:rPr>
                <w:sz w:val="20"/>
                <w:szCs w:val="20"/>
              </w:rPr>
              <w:t xml:space="preserve">CA Appliance Efficiency Regulations – Title 20 </w:t>
            </w:r>
          </w:p>
        </w:tc>
        <w:tc>
          <w:tcPr>
            <w:tcW w:w="2700" w:type="dxa"/>
            <w:shd w:val="clear" w:color="auto" w:fill="auto"/>
          </w:tcPr>
          <w:p w14:paraId="37048BAE" w14:textId="7F8E02D6" w:rsidR="00516290" w:rsidRPr="00FB030E" w:rsidRDefault="00516290" w:rsidP="00516290">
            <w:pPr>
              <w:keepNext/>
              <w:keepLines/>
              <w:spacing w:before="20" w:after="20"/>
              <w:rPr>
                <w:sz w:val="20"/>
                <w:szCs w:val="20"/>
              </w:rPr>
            </w:pPr>
            <w:r w:rsidRPr="000A2A76">
              <w:rPr>
                <w:sz w:val="20"/>
                <w:szCs w:val="20"/>
              </w:rPr>
              <w:t>None.</w:t>
            </w:r>
          </w:p>
        </w:tc>
        <w:tc>
          <w:tcPr>
            <w:tcW w:w="1890" w:type="dxa"/>
            <w:shd w:val="clear" w:color="auto" w:fill="auto"/>
          </w:tcPr>
          <w:p w14:paraId="446F6F1F" w14:textId="73FD0608" w:rsidR="00516290" w:rsidRPr="00FB030E" w:rsidRDefault="00516290" w:rsidP="00516290">
            <w:pPr>
              <w:keepNext/>
              <w:keepLines/>
              <w:spacing w:before="20" w:after="20"/>
              <w:rPr>
                <w:sz w:val="20"/>
                <w:szCs w:val="20"/>
              </w:rPr>
            </w:pPr>
            <w:r>
              <w:rPr>
                <w:sz w:val="20"/>
                <w:szCs w:val="20"/>
              </w:rPr>
              <w:t>January 1, 2019</w:t>
            </w:r>
          </w:p>
        </w:tc>
      </w:tr>
      <w:tr w:rsidR="00516290" w:rsidRPr="00FB030E" w14:paraId="6585B880" w14:textId="77777777" w:rsidTr="00943D85">
        <w:trPr>
          <w:cantSplit/>
          <w:trHeight w:val="20"/>
        </w:trPr>
        <w:tc>
          <w:tcPr>
            <w:tcW w:w="4945" w:type="dxa"/>
            <w:shd w:val="clear" w:color="auto" w:fill="auto"/>
          </w:tcPr>
          <w:p w14:paraId="5C0FF199" w14:textId="54C4B049" w:rsidR="00516290" w:rsidRPr="00D05BEF" w:rsidRDefault="00516290" w:rsidP="00516290">
            <w:pPr>
              <w:keepNext/>
              <w:keepLines/>
              <w:spacing w:before="20" w:after="20"/>
              <w:rPr>
                <w:sz w:val="20"/>
                <w:szCs w:val="20"/>
              </w:rPr>
            </w:pPr>
            <w:r w:rsidRPr="000A2A76">
              <w:rPr>
                <w:sz w:val="20"/>
                <w:szCs w:val="20"/>
              </w:rPr>
              <w:t xml:space="preserve">CA Building Energy Efficiency Standards – </w:t>
            </w:r>
            <w:r w:rsidR="006C5D75" w:rsidRPr="00943D85">
              <w:rPr>
                <w:sz w:val="20"/>
                <w:szCs w:val="20"/>
              </w:rPr>
              <w:t xml:space="preserve">Title 24 </w:t>
            </w:r>
            <w:r w:rsidR="0065255B">
              <w:rPr>
                <w:sz w:val="20"/>
                <w:szCs w:val="20"/>
              </w:rPr>
              <w:t>(</w:t>
            </w:r>
            <w:r w:rsidR="006C5D75" w:rsidRPr="00943D85">
              <w:rPr>
                <w:sz w:val="20"/>
                <w:szCs w:val="20"/>
              </w:rPr>
              <w:t>2019)</w:t>
            </w:r>
            <w:r w:rsidR="00F6301C" w:rsidDel="00F6301C">
              <w:rPr>
                <w:rStyle w:val="FootnoteReference"/>
              </w:rPr>
              <w:t xml:space="preserve"> </w:t>
            </w:r>
          </w:p>
        </w:tc>
        <w:tc>
          <w:tcPr>
            <w:tcW w:w="2700" w:type="dxa"/>
            <w:shd w:val="clear" w:color="auto" w:fill="auto"/>
          </w:tcPr>
          <w:p w14:paraId="6AB4582B" w14:textId="0DB4BD22" w:rsidR="00516290" w:rsidRPr="00FB030E" w:rsidRDefault="00AD1CF4" w:rsidP="00516290">
            <w:pPr>
              <w:keepNext/>
              <w:keepLines/>
              <w:spacing w:before="20" w:after="20"/>
              <w:rPr>
                <w:sz w:val="20"/>
                <w:szCs w:val="20"/>
              </w:rPr>
            </w:pPr>
            <w:r>
              <w:rPr>
                <w:rFonts w:cstheme="minorHAnsi"/>
                <w:sz w:val="20"/>
                <w:szCs w:val="20"/>
              </w:rPr>
              <w:t>None</w:t>
            </w:r>
          </w:p>
        </w:tc>
        <w:tc>
          <w:tcPr>
            <w:tcW w:w="1890" w:type="dxa"/>
            <w:shd w:val="clear" w:color="auto" w:fill="auto"/>
          </w:tcPr>
          <w:p w14:paraId="23A75572" w14:textId="37813B76" w:rsidR="00516290" w:rsidRPr="00FB030E" w:rsidRDefault="00516290" w:rsidP="00516290">
            <w:pPr>
              <w:keepNext/>
              <w:keepLines/>
              <w:spacing w:before="20" w:after="20"/>
              <w:rPr>
                <w:sz w:val="20"/>
                <w:szCs w:val="20"/>
              </w:rPr>
            </w:pPr>
            <w:r>
              <w:rPr>
                <w:sz w:val="20"/>
                <w:szCs w:val="20"/>
              </w:rPr>
              <w:t>January 1, 2020</w:t>
            </w:r>
          </w:p>
        </w:tc>
      </w:tr>
      <w:tr w:rsidR="00516290" w:rsidRPr="00FB030E" w14:paraId="6E3319D3" w14:textId="77777777" w:rsidTr="00943D85">
        <w:trPr>
          <w:cantSplit/>
          <w:trHeight w:val="20"/>
        </w:trPr>
        <w:tc>
          <w:tcPr>
            <w:tcW w:w="4945" w:type="dxa"/>
            <w:shd w:val="clear" w:color="auto" w:fill="auto"/>
          </w:tcPr>
          <w:p w14:paraId="64FD111C" w14:textId="73D2E964" w:rsidR="00516290" w:rsidRPr="00D05BEF" w:rsidRDefault="00516290" w:rsidP="00516290">
            <w:pPr>
              <w:keepNext/>
              <w:keepLines/>
              <w:spacing w:before="20" w:after="20"/>
              <w:rPr>
                <w:sz w:val="20"/>
                <w:szCs w:val="20"/>
              </w:rPr>
            </w:pPr>
            <w:r w:rsidRPr="000A2A76">
              <w:rPr>
                <w:sz w:val="20"/>
                <w:szCs w:val="20"/>
              </w:rPr>
              <w:t>Federal Standards</w:t>
            </w:r>
          </w:p>
        </w:tc>
        <w:tc>
          <w:tcPr>
            <w:tcW w:w="2700" w:type="dxa"/>
            <w:shd w:val="clear" w:color="auto" w:fill="auto"/>
          </w:tcPr>
          <w:p w14:paraId="5B863F74" w14:textId="7D50A520" w:rsidR="00516290" w:rsidRDefault="00516290" w:rsidP="00516290">
            <w:pPr>
              <w:keepNext/>
              <w:keepLines/>
              <w:spacing w:before="20" w:after="20"/>
              <w:rPr>
                <w:sz w:val="20"/>
                <w:szCs w:val="20"/>
              </w:rPr>
            </w:pPr>
            <w:r w:rsidRPr="000A2A76">
              <w:rPr>
                <w:sz w:val="20"/>
                <w:szCs w:val="20"/>
              </w:rPr>
              <w:t>None.</w:t>
            </w:r>
          </w:p>
        </w:tc>
        <w:tc>
          <w:tcPr>
            <w:tcW w:w="1890" w:type="dxa"/>
            <w:shd w:val="clear" w:color="auto" w:fill="auto"/>
          </w:tcPr>
          <w:p w14:paraId="483D2EA4" w14:textId="19DBA9F3" w:rsidR="00516290" w:rsidRDefault="00516290" w:rsidP="00516290">
            <w:pPr>
              <w:keepNext/>
              <w:keepLines/>
              <w:spacing w:before="20" w:after="20"/>
              <w:rPr>
                <w:sz w:val="20"/>
                <w:szCs w:val="20"/>
              </w:rPr>
            </w:pPr>
            <w:r w:rsidRPr="000A2A76">
              <w:rPr>
                <w:sz w:val="20"/>
                <w:szCs w:val="20"/>
              </w:rPr>
              <w:t>n/a</w:t>
            </w:r>
          </w:p>
        </w:tc>
      </w:tr>
    </w:tbl>
    <w:p w14:paraId="2BFA0963" w14:textId="77777777" w:rsidR="000F251C" w:rsidRPr="00BB01ED" w:rsidRDefault="000F251C" w:rsidP="000B521C">
      <w:pPr>
        <w:rPr>
          <w:highlight w:val="cyan"/>
        </w:rPr>
      </w:pPr>
    </w:p>
    <w:p w14:paraId="1EE16D20" w14:textId="77777777" w:rsidR="007D230B" w:rsidRPr="00171BB8" w:rsidRDefault="007D230B" w:rsidP="0065534B">
      <w:pPr>
        <w:pStyle w:val="eTRMHeading3"/>
      </w:pPr>
      <w:bookmarkStart w:id="20" w:name="_Toc486490851"/>
      <w:bookmarkStart w:id="21" w:name="_Toc486580922"/>
      <w:bookmarkStart w:id="22" w:name="_Toc10468713"/>
      <w:r w:rsidRPr="00A83458">
        <w:t>Normalizing</w:t>
      </w:r>
      <w:r w:rsidRPr="00171BB8">
        <w:t xml:space="preserve"> Unit</w:t>
      </w:r>
      <w:bookmarkEnd w:id="20"/>
      <w:bookmarkEnd w:id="21"/>
      <w:bookmarkEnd w:id="22"/>
    </w:p>
    <w:p w14:paraId="52A32F9F" w14:textId="6D4E27F1" w:rsidR="00AD6A0E" w:rsidRDefault="00DC0637" w:rsidP="00AD6A0E">
      <w:r w:rsidRPr="00DC0637">
        <w:t xml:space="preserve">Each </w:t>
      </w:r>
      <w:r>
        <w:t>(HVAC Unit)</w:t>
      </w:r>
    </w:p>
    <w:p w14:paraId="7DBD6E4D" w14:textId="77777777" w:rsidR="00693CE4" w:rsidRPr="007D230B" w:rsidRDefault="00693CE4" w:rsidP="00486585"/>
    <w:p w14:paraId="2F4904E6" w14:textId="77777777" w:rsidR="007D230B" w:rsidRPr="004B06E3" w:rsidRDefault="007D230B" w:rsidP="0065534B">
      <w:pPr>
        <w:pStyle w:val="eTRMHeading3"/>
      </w:pPr>
      <w:bookmarkStart w:id="23" w:name="_Toc486490852"/>
      <w:bookmarkStart w:id="24" w:name="_Toc486580923"/>
      <w:bookmarkStart w:id="25" w:name="_Toc10468714"/>
      <w:r w:rsidRPr="004B06E3">
        <w:t>Program Requirements</w:t>
      </w:r>
      <w:bookmarkEnd w:id="23"/>
      <w:bookmarkEnd w:id="24"/>
      <w:bookmarkEnd w:id="25"/>
      <w:r w:rsidRPr="004B06E3">
        <w:t xml:space="preserve"> </w:t>
      </w:r>
    </w:p>
    <w:p w14:paraId="69AF11BA" w14:textId="77777777" w:rsidR="00260F28" w:rsidRPr="000229F1" w:rsidRDefault="00260F28" w:rsidP="00563152">
      <w:pPr>
        <w:pStyle w:val="eTRMHeading5"/>
      </w:pPr>
      <w:r>
        <w:t xml:space="preserve">Measure </w:t>
      </w:r>
      <w:r w:rsidRPr="000229F1">
        <w:t>Implementation Eligibility</w:t>
      </w:r>
    </w:p>
    <w:p w14:paraId="7BA2FFCB" w14:textId="71AA4E0F" w:rsidR="00AD1CF4" w:rsidRPr="00AD1CF4" w:rsidRDefault="00AD1CF4" w:rsidP="00AD1CF4">
      <w:bookmarkStart w:id="26" w:name="_Hlk527543844"/>
      <w:bookmarkStart w:id="27" w:name="_Hlk526859582"/>
      <w:r w:rsidRPr="00AD1CF4">
        <w:t>All combinations of measure application type, delivery type, and sector that are established for this measure are specified below. Measure application type is a categorization based on</w:t>
      </w:r>
      <w:r w:rsidR="004B7778">
        <w:t xml:space="preserve"> how the measure is incentivized and deployed.  </w:t>
      </w:r>
      <w:r w:rsidRPr="00AD1CF4">
        <w:t>Delivery type is the broad categorization of the delivery channel through which the market intervention strategy (financial incentives or other services) is targeted. This table also designates the broad market sector(s) that are applicable for this measure.</w:t>
      </w:r>
    </w:p>
    <w:p w14:paraId="373C05CF" w14:textId="77777777" w:rsidR="00AD1CF4" w:rsidRPr="00AD1CF4" w:rsidRDefault="00AD1CF4" w:rsidP="00AD1CF4">
      <w:pPr>
        <w:rPr>
          <w:i/>
        </w:rPr>
      </w:pPr>
      <w:r w:rsidRPr="00AD1CF4">
        <w:rPr>
          <w:i/>
        </w:rPr>
        <w:t>Note that some of the implementation combinations below may not be allowed for some measure offerings by all program administrators.</w:t>
      </w:r>
    </w:p>
    <w:p w14:paraId="036B1AD4" w14:textId="30E709B1" w:rsidR="00B20435" w:rsidRDefault="00B20435" w:rsidP="00B20435">
      <w:pPr>
        <w:pStyle w:val="Caption"/>
        <w:keepNext w:val="0"/>
        <w:keepLines w:val="0"/>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B20435" w:rsidRPr="00A47168" w14:paraId="031F80E0" w14:textId="77777777" w:rsidTr="001B72DB">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3EF0EACB" w14:textId="77777777" w:rsidR="00B20435" w:rsidRPr="00A47168" w:rsidRDefault="00B20435" w:rsidP="001B72DB">
            <w:pPr>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3B6C34EE" w14:textId="77777777" w:rsidR="00B20435" w:rsidRPr="00A47168" w:rsidRDefault="00B20435" w:rsidP="001B72DB">
            <w:pPr>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4137575E" w14:textId="77777777" w:rsidR="00B20435" w:rsidRPr="00A47168" w:rsidRDefault="00B20435" w:rsidP="001B72DB">
            <w:pPr>
              <w:spacing w:before="0" w:after="0"/>
              <w:rPr>
                <w:b/>
                <w:bCs/>
                <w:sz w:val="20"/>
              </w:rPr>
            </w:pPr>
            <w:r w:rsidRPr="00A47168">
              <w:rPr>
                <w:b/>
                <w:bCs/>
                <w:sz w:val="20"/>
              </w:rPr>
              <w:t>Sector</w:t>
            </w:r>
          </w:p>
        </w:tc>
      </w:tr>
      <w:tr w:rsidR="00B20435" w:rsidRPr="00A47168" w14:paraId="78C177BA" w14:textId="77777777" w:rsidTr="008F6ED4">
        <w:trPr>
          <w:trHeight w:val="290"/>
        </w:trPr>
        <w:tc>
          <w:tcPr>
            <w:tcW w:w="3024" w:type="dxa"/>
            <w:noWrap/>
            <w:tcMar>
              <w:top w:w="0" w:type="dxa"/>
              <w:left w:w="108" w:type="dxa"/>
              <w:bottom w:w="0" w:type="dxa"/>
              <w:right w:w="108" w:type="dxa"/>
            </w:tcMar>
            <w:vAlign w:val="center"/>
          </w:tcPr>
          <w:p w14:paraId="6A9FCF0A" w14:textId="2A6BA5BE" w:rsidR="00B20435" w:rsidRPr="00A47168" w:rsidRDefault="00B20435" w:rsidP="008F6ED4">
            <w:pPr>
              <w:spacing w:before="0" w:after="0"/>
              <w:rPr>
                <w:color w:val="000000"/>
                <w:sz w:val="20"/>
              </w:rPr>
            </w:pPr>
            <w:r>
              <w:rPr>
                <w:color w:val="000000"/>
                <w:sz w:val="20"/>
              </w:rPr>
              <w:t xml:space="preserve">Add-on </w:t>
            </w:r>
            <w:r w:rsidR="00DF30A3">
              <w:rPr>
                <w:color w:val="000000"/>
                <w:sz w:val="20"/>
              </w:rPr>
              <w:t>e</w:t>
            </w:r>
            <w:r>
              <w:rPr>
                <w:color w:val="000000"/>
                <w:sz w:val="20"/>
              </w:rPr>
              <w:t>quipment (AOE)</w:t>
            </w:r>
          </w:p>
        </w:tc>
        <w:tc>
          <w:tcPr>
            <w:tcW w:w="3024" w:type="dxa"/>
            <w:noWrap/>
            <w:tcMar>
              <w:top w:w="0" w:type="dxa"/>
              <w:left w:w="108" w:type="dxa"/>
              <w:bottom w:w="0" w:type="dxa"/>
              <w:right w:w="108" w:type="dxa"/>
            </w:tcMar>
            <w:vAlign w:val="center"/>
          </w:tcPr>
          <w:p w14:paraId="0FD69F49" w14:textId="77777777" w:rsidR="00B20435" w:rsidRPr="00A47168" w:rsidRDefault="00B20435" w:rsidP="008F6ED4">
            <w:pPr>
              <w:spacing w:before="0" w:after="0"/>
              <w:rPr>
                <w:color w:val="000000"/>
                <w:sz w:val="20"/>
              </w:rPr>
            </w:pPr>
            <w:proofErr w:type="spellStart"/>
            <w:r>
              <w:rPr>
                <w:rFonts w:cs="Calibri Light"/>
                <w:color w:val="000000"/>
                <w:sz w:val="20"/>
                <w:szCs w:val="20"/>
              </w:rPr>
              <w:t>DnDeemDI</w:t>
            </w:r>
            <w:proofErr w:type="spellEnd"/>
          </w:p>
        </w:tc>
        <w:tc>
          <w:tcPr>
            <w:tcW w:w="3024" w:type="dxa"/>
            <w:noWrap/>
            <w:tcMar>
              <w:top w:w="0" w:type="dxa"/>
              <w:left w:w="108" w:type="dxa"/>
              <w:bottom w:w="0" w:type="dxa"/>
              <w:right w:w="108" w:type="dxa"/>
            </w:tcMar>
            <w:vAlign w:val="center"/>
          </w:tcPr>
          <w:p w14:paraId="37A9662C" w14:textId="77777777" w:rsidR="00B20435" w:rsidRPr="00A47168" w:rsidRDefault="00B20435" w:rsidP="008F6ED4">
            <w:pPr>
              <w:spacing w:before="0" w:after="0"/>
              <w:rPr>
                <w:color w:val="000000"/>
                <w:sz w:val="20"/>
              </w:rPr>
            </w:pPr>
            <w:r>
              <w:rPr>
                <w:color w:val="000000"/>
                <w:sz w:val="20"/>
              </w:rPr>
              <w:t>Res</w:t>
            </w:r>
          </w:p>
        </w:tc>
      </w:tr>
      <w:tr w:rsidR="00B20435" w:rsidRPr="00A47168" w14:paraId="4D4D870A" w14:textId="77777777" w:rsidTr="008F6ED4">
        <w:trPr>
          <w:trHeight w:val="290"/>
        </w:trPr>
        <w:tc>
          <w:tcPr>
            <w:tcW w:w="3024" w:type="dxa"/>
            <w:noWrap/>
            <w:tcMar>
              <w:top w:w="0" w:type="dxa"/>
              <w:left w:w="108" w:type="dxa"/>
              <w:bottom w:w="0" w:type="dxa"/>
              <w:right w:w="108" w:type="dxa"/>
            </w:tcMar>
            <w:vAlign w:val="center"/>
          </w:tcPr>
          <w:p w14:paraId="311B214B" w14:textId="7EC226B6" w:rsidR="00B20435" w:rsidRPr="00A47168" w:rsidRDefault="00B20435" w:rsidP="008F6ED4">
            <w:pPr>
              <w:spacing w:before="0" w:after="0"/>
              <w:rPr>
                <w:color w:val="000000"/>
                <w:sz w:val="20"/>
              </w:rPr>
            </w:pPr>
            <w:r>
              <w:rPr>
                <w:color w:val="000000"/>
                <w:sz w:val="20"/>
              </w:rPr>
              <w:t xml:space="preserve">Add-on </w:t>
            </w:r>
            <w:r w:rsidR="00DF30A3">
              <w:rPr>
                <w:color w:val="000000"/>
                <w:sz w:val="20"/>
              </w:rPr>
              <w:t>e</w:t>
            </w:r>
            <w:r>
              <w:rPr>
                <w:color w:val="000000"/>
                <w:sz w:val="20"/>
              </w:rPr>
              <w:t>quipment (AOE)</w:t>
            </w:r>
          </w:p>
        </w:tc>
        <w:tc>
          <w:tcPr>
            <w:tcW w:w="3024" w:type="dxa"/>
            <w:noWrap/>
            <w:tcMar>
              <w:top w:w="0" w:type="dxa"/>
              <w:left w:w="108" w:type="dxa"/>
              <w:bottom w:w="0" w:type="dxa"/>
              <w:right w:w="108" w:type="dxa"/>
            </w:tcMar>
            <w:vAlign w:val="center"/>
          </w:tcPr>
          <w:p w14:paraId="78D9047F" w14:textId="77777777" w:rsidR="00B20435" w:rsidRPr="00A47168" w:rsidRDefault="00B20435" w:rsidP="008F6ED4">
            <w:pPr>
              <w:spacing w:before="0" w:after="0"/>
              <w:rPr>
                <w:color w:val="000000"/>
                <w:sz w:val="20"/>
              </w:rPr>
            </w:pPr>
            <w:proofErr w:type="spellStart"/>
            <w:r>
              <w:rPr>
                <w:rFonts w:cs="Calibri Light"/>
                <w:color w:val="000000"/>
                <w:sz w:val="20"/>
                <w:szCs w:val="20"/>
              </w:rPr>
              <w:t>DnDeemed</w:t>
            </w:r>
            <w:proofErr w:type="spellEnd"/>
          </w:p>
        </w:tc>
        <w:tc>
          <w:tcPr>
            <w:tcW w:w="3024" w:type="dxa"/>
            <w:noWrap/>
            <w:tcMar>
              <w:top w:w="0" w:type="dxa"/>
              <w:left w:w="108" w:type="dxa"/>
              <w:bottom w:w="0" w:type="dxa"/>
              <w:right w:w="108" w:type="dxa"/>
            </w:tcMar>
            <w:vAlign w:val="center"/>
          </w:tcPr>
          <w:p w14:paraId="388E7C91" w14:textId="77777777" w:rsidR="00B20435" w:rsidRPr="00A47168" w:rsidRDefault="00B20435" w:rsidP="008F6ED4">
            <w:pPr>
              <w:spacing w:before="0" w:after="0"/>
              <w:rPr>
                <w:color w:val="000000"/>
                <w:sz w:val="20"/>
              </w:rPr>
            </w:pPr>
            <w:r>
              <w:rPr>
                <w:color w:val="000000"/>
                <w:sz w:val="20"/>
              </w:rPr>
              <w:t>Res</w:t>
            </w:r>
          </w:p>
        </w:tc>
      </w:tr>
    </w:tbl>
    <w:p w14:paraId="3D868658" w14:textId="77777777" w:rsidR="0065255B" w:rsidRPr="00257FF5" w:rsidRDefault="0065255B" w:rsidP="00257FF5">
      <w:pPr>
        <w:rPr>
          <w:highlight w:val="yellow"/>
        </w:rPr>
      </w:pPr>
    </w:p>
    <w:bookmarkEnd w:id="26"/>
    <w:bookmarkEnd w:id="27"/>
    <w:p w14:paraId="50711562" w14:textId="4E91F5D9" w:rsidR="00AA46AF" w:rsidRPr="00B75288" w:rsidRDefault="00196649" w:rsidP="00154391">
      <w:pPr>
        <w:pStyle w:val="eTRMHeading5"/>
      </w:pPr>
      <w:r w:rsidRPr="00B75288">
        <w:t>Eligible Products</w:t>
      </w:r>
    </w:p>
    <w:p w14:paraId="3F39DACA" w14:textId="3FB9FEA9" w:rsidR="00AD1CF4" w:rsidRPr="00FA27E8" w:rsidRDefault="00AD1CF4" w:rsidP="00943D85">
      <w:r>
        <w:t>The</w:t>
      </w:r>
      <w:r w:rsidR="0093736A">
        <w:t xml:space="preserve"> fan </w:t>
      </w:r>
      <w:r w:rsidRPr="00FA27E8">
        <w:t>controller</w:t>
      </w:r>
      <w:r>
        <w:t xml:space="preserve"> must</w:t>
      </w:r>
      <w:r w:rsidRPr="00FA27E8">
        <w:t xml:space="preserve"> meet conditions specified in the Measure Case Description.</w:t>
      </w:r>
    </w:p>
    <w:p w14:paraId="298B5F4F" w14:textId="4FF75850" w:rsidR="00AD1CF4" w:rsidRDefault="00AD1CF4" w:rsidP="00943D85">
      <w:r>
        <w:t>B</w:t>
      </w:r>
      <w:r w:rsidRPr="00214C18">
        <w:t>oth automated</w:t>
      </w:r>
      <w:r w:rsidR="0093736A">
        <w:t xml:space="preserve"> (logic-based) fan </w:t>
      </w:r>
      <w:r w:rsidRPr="00214C18">
        <w:t xml:space="preserve">controllers and </w:t>
      </w:r>
      <w:r w:rsidR="0065255B" w:rsidRPr="00214C18">
        <w:t>manually set</w:t>
      </w:r>
      <w:r w:rsidRPr="00214C18">
        <w:t xml:space="preserve"> time-delay fan controllers</w:t>
      </w:r>
      <w:r>
        <w:t xml:space="preserve"> are eligible</w:t>
      </w:r>
      <w:r w:rsidRPr="00214C18">
        <w:t>.</w:t>
      </w:r>
    </w:p>
    <w:p w14:paraId="62D43110" w14:textId="5F03D199" w:rsidR="00AD1CF4" w:rsidRPr="00214C18" w:rsidRDefault="00AD1CF4" w:rsidP="00943D85">
      <w:r>
        <w:lastRenderedPageBreak/>
        <w:t xml:space="preserve">The installation of a </w:t>
      </w:r>
      <w:r w:rsidR="0065255B" w:rsidRPr="00214C18">
        <w:t>manually set</w:t>
      </w:r>
      <w:r w:rsidRPr="00214C18">
        <w:t xml:space="preserve"> time-delay fan controller</w:t>
      </w:r>
      <w:r>
        <w:t xml:space="preserve"> requires the </w:t>
      </w:r>
      <w:r w:rsidRPr="00214C18">
        <w:t xml:space="preserve">invoice and/or </w:t>
      </w:r>
      <w:r>
        <w:t xml:space="preserve">installation </w:t>
      </w:r>
      <w:r w:rsidRPr="00214C18">
        <w:t>contract</w:t>
      </w:r>
      <w:r>
        <w:t xml:space="preserve"> that</w:t>
      </w:r>
      <w:r w:rsidRPr="00214C18">
        <w:t xml:space="preserve"> </w:t>
      </w:r>
      <w:r>
        <w:t>verifies</w:t>
      </w:r>
      <w:r w:rsidRPr="00214C18">
        <w:t xml:space="preserve"> the </w:t>
      </w:r>
      <w:r>
        <w:t>equipment was installed</w:t>
      </w:r>
      <w:r w:rsidRPr="00214C18">
        <w:t xml:space="preserve"> by a qualified HVAC contractor.</w:t>
      </w:r>
    </w:p>
    <w:p w14:paraId="016B2B14" w14:textId="195AFB6C" w:rsidR="00AD1CF4" w:rsidRDefault="00AD1CF4" w:rsidP="00943D85">
      <w:r w:rsidRPr="00214C18">
        <w:t xml:space="preserve">This measure only applies to </w:t>
      </w:r>
      <w:r>
        <w:t xml:space="preserve">a </w:t>
      </w:r>
      <w:r w:rsidRPr="00214C18">
        <w:t>fully functional central residential air conditioning unit equipped with cooling</w:t>
      </w:r>
      <w:r w:rsidR="00815C81">
        <w:t>/evaporator</w:t>
      </w:r>
      <w:r w:rsidRPr="00214C18">
        <w:t xml:space="preserve"> (dx) coils.  </w:t>
      </w:r>
    </w:p>
    <w:p w14:paraId="07603FD6" w14:textId="77777777" w:rsidR="00AD1CF4" w:rsidRPr="00214C18" w:rsidRDefault="00AD1CF4" w:rsidP="00943D85">
      <w:r>
        <w:t>All i</w:t>
      </w:r>
      <w:r w:rsidRPr="00214C18">
        <w:t>nstallation</w:t>
      </w:r>
      <w:r>
        <w:t>s</w:t>
      </w:r>
      <w:r w:rsidRPr="00214C18">
        <w:t xml:space="preserve"> shall comply with all </w:t>
      </w:r>
      <w:r>
        <w:t>current</w:t>
      </w:r>
      <w:r w:rsidRPr="00214C18">
        <w:t xml:space="preserve"> applicable regulations, code, and standards including</w:t>
      </w:r>
      <w:r>
        <w:t xml:space="preserve"> (</w:t>
      </w:r>
      <w:r w:rsidRPr="00214C18">
        <w:t>but not limited to</w:t>
      </w:r>
      <w:r>
        <w:t>)</w:t>
      </w:r>
      <w:r w:rsidRPr="00214C18">
        <w:t xml:space="preserve"> the California </w:t>
      </w:r>
      <w:r>
        <w:t xml:space="preserve">Building </w:t>
      </w:r>
      <w:r w:rsidRPr="00214C18">
        <w:t xml:space="preserve">Energy </w:t>
      </w:r>
      <w:r>
        <w:t xml:space="preserve">Efficiency </w:t>
      </w:r>
      <w:r w:rsidRPr="00214C18">
        <w:t xml:space="preserve">Standards </w:t>
      </w:r>
      <w:r w:rsidRPr="00631756">
        <w:t>(Title 24), the California Appliance Efficiency Regulations (Title 20), and NEC</w:t>
      </w:r>
      <w:r w:rsidRPr="00214C18">
        <w:t xml:space="preserve">. </w:t>
      </w:r>
    </w:p>
    <w:p w14:paraId="56AB3F89" w14:textId="16378D92" w:rsidR="00DF30A3" w:rsidRPr="00FA27E8" w:rsidRDefault="00DF30A3" w:rsidP="00943D85">
      <w:r>
        <w:t xml:space="preserve">The installation of a </w:t>
      </w:r>
      <w:r w:rsidRPr="00214C18">
        <w:t>manually set time-delay fan controller</w:t>
      </w:r>
      <w:r>
        <w:t xml:space="preserve"> requires the </w:t>
      </w:r>
      <w:r w:rsidRPr="00214C18">
        <w:t xml:space="preserve">invoice and/or </w:t>
      </w:r>
      <w:r>
        <w:t xml:space="preserve">installation </w:t>
      </w:r>
      <w:r w:rsidRPr="00214C18">
        <w:t>contract</w:t>
      </w:r>
      <w:r>
        <w:t xml:space="preserve"> that</w:t>
      </w:r>
      <w:r w:rsidRPr="00214C18">
        <w:t xml:space="preserve"> </w:t>
      </w:r>
      <w:r>
        <w:t>verifies</w:t>
      </w:r>
      <w:r w:rsidRPr="00214C18">
        <w:t xml:space="preserve"> the </w:t>
      </w:r>
      <w:r>
        <w:t>equipment was installed</w:t>
      </w:r>
      <w:r w:rsidRPr="00214C18">
        <w:t xml:space="preserve"> by a qualified HVAC contractor.</w:t>
      </w:r>
    </w:p>
    <w:p w14:paraId="0760393E" w14:textId="77777777" w:rsidR="00E747FC" w:rsidRPr="00156278" w:rsidRDefault="00E747FC" w:rsidP="0001230C">
      <w:pPr>
        <w:rPr>
          <w:highlight w:val="yellow"/>
        </w:rPr>
      </w:pPr>
    </w:p>
    <w:p w14:paraId="7CE938DA" w14:textId="3C7751B7" w:rsidR="007B6A74" w:rsidRPr="00637FC2" w:rsidRDefault="007B6A74" w:rsidP="00401C43">
      <w:pPr>
        <w:pStyle w:val="eTRMHeading5"/>
      </w:pPr>
      <w:r w:rsidRPr="00637FC2">
        <w:t>Eligible Building Types</w:t>
      </w:r>
      <w:r w:rsidR="00FA7A1C" w:rsidRPr="00637FC2">
        <w:t xml:space="preserve"> and Vintages</w:t>
      </w:r>
    </w:p>
    <w:p w14:paraId="3B50D098" w14:textId="05F183F6" w:rsidR="00652B76" w:rsidRDefault="00652B76" w:rsidP="00652B76">
      <w:r w:rsidRPr="00601742">
        <w:t xml:space="preserve">This measure is applicable for existing residential </w:t>
      </w:r>
      <w:r w:rsidR="00E270EB" w:rsidRPr="00601742">
        <w:t>single family, multifamily</w:t>
      </w:r>
      <w:r w:rsidR="007E226C">
        <w:t>,</w:t>
      </w:r>
      <w:r w:rsidR="00E270EB" w:rsidRPr="00601742">
        <w:t xml:space="preserve"> and </w:t>
      </w:r>
      <w:r w:rsidR="007E226C">
        <w:t xml:space="preserve">double-wide </w:t>
      </w:r>
      <w:r w:rsidR="00E270EB" w:rsidRPr="00601742">
        <w:t xml:space="preserve">mobile home </w:t>
      </w:r>
      <w:r w:rsidRPr="00601742">
        <w:t>buildings of any vintage.</w:t>
      </w:r>
    </w:p>
    <w:p w14:paraId="2C11C375" w14:textId="77777777" w:rsidR="0065255B" w:rsidRPr="00601742" w:rsidRDefault="0065255B" w:rsidP="00652B76"/>
    <w:p w14:paraId="1A3705F3" w14:textId="4BC0985D" w:rsidR="007B6A74" w:rsidRPr="00601742" w:rsidRDefault="00196649" w:rsidP="00154391">
      <w:pPr>
        <w:pStyle w:val="eTRMHeading5"/>
      </w:pPr>
      <w:r w:rsidRPr="00601742">
        <w:t>Eligible Climate Zones</w:t>
      </w:r>
    </w:p>
    <w:p w14:paraId="0A04202C" w14:textId="6DE9152B" w:rsidR="006E5608" w:rsidRDefault="006E5608" w:rsidP="004B06E3">
      <w:r w:rsidRPr="00601742">
        <w:t>T</w:t>
      </w:r>
      <w:r w:rsidR="000E4B68" w:rsidRPr="00601742">
        <w:t xml:space="preserve">his measure is applicable </w:t>
      </w:r>
      <w:r w:rsidR="008E2E7E">
        <w:t xml:space="preserve">in </w:t>
      </w:r>
      <w:r w:rsidR="00815C81">
        <w:t>all</w:t>
      </w:r>
      <w:r w:rsidRPr="00601742">
        <w:t xml:space="preserve"> </w:t>
      </w:r>
      <w:r w:rsidR="00226803" w:rsidRPr="00601742">
        <w:t xml:space="preserve">California </w:t>
      </w:r>
      <w:r w:rsidR="000E4B68" w:rsidRPr="00601742">
        <w:t>climate zone</w:t>
      </w:r>
      <w:r w:rsidR="00815C81">
        <w:t>s</w:t>
      </w:r>
      <w:r w:rsidR="008E2E7E">
        <w:t>; note however that this measure will not produce savings in climate zone 01.</w:t>
      </w:r>
    </w:p>
    <w:p w14:paraId="5A21E907" w14:textId="77777777" w:rsidR="00F04E82" w:rsidRPr="004B06E3" w:rsidRDefault="00F04E82" w:rsidP="004B06E3"/>
    <w:p w14:paraId="47630D60" w14:textId="77777777" w:rsidR="007D230B" w:rsidRPr="004B06E3" w:rsidRDefault="007D230B" w:rsidP="0065534B">
      <w:pPr>
        <w:pStyle w:val="eTRMHeading3"/>
      </w:pPr>
      <w:bookmarkStart w:id="28" w:name="_Toc486490853"/>
      <w:bookmarkStart w:id="29" w:name="_Toc486580924"/>
      <w:bookmarkStart w:id="30" w:name="_Toc10468715"/>
      <w:r w:rsidRPr="004B06E3">
        <w:t>Program Exclusions</w:t>
      </w:r>
      <w:bookmarkEnd w:id="28"/>
      <w:bookmarkEnd w:id="29"/>
      <w:bookmarkEnd w:id="30"/>
      <w:r w:rsidRPr="004B06E3">
        <w:t xml:space="preserve"> </w:t>
      </w:r>
    </w:p>
    <w:p w14:paraId="56D0CDEE" w14:textId="1CACC93E" w:rsidR="008E422C" w:rsidRDefault="00DF30A3" w:rsidP="00E7357A">
      <w:pPr>
        <w:spacing w:after="0" w:line="240" w:lineRule="auto"/>
      </w:pPr>
      <w:r>
        <w:t>A f</w:t>
      </w:r>
      <w:r w:rsidR="00617859" w:rsidRPr="00E7357A">
        <w:t xml:space="preserve">an controller used for solely optimizing and improving heating efficiency including those for gas furnaces </w:t>
      </w:r>
      <w:r>
        <w:t>is not eligible</w:t>
      </w:r>
      <w:r w:rsidR="00617859" w:rsidRPr="00E7357A">
        <w:t>.</w:t>
      </w:r>
    </w:p>
    <w:p w14:paraId="7DE3A3C0" w14:textId="29654FFD" w:rsidR="00A74E20" w:rsidRDefault="00A74E20" w:rsidP="00E7357A">
      <w:pPr>
        <w:spacing w:after="0" w:line="240" w:lineRule="auto"/>
      </w:pPr>
      <w:r w:rsidRPr="00A74E20">
        <w:t>The baseline air conditioning system cannot be equipped with a hardware based built-in delay controller</w:t>
      </w:r>
      <w:r w:rsidR="00815C81">
        <w:t>.</w:t>
      </w:r>
    </w:p>
    <w:p w14:paraId="2EBA7866" w14:textId="77777777" w:rsidR="0065255B" w:rsidRDefault="0065255B" w:rsidP="00E7357A">
      <w:pPr>
        <w:spacing w:after="0" w:line="240" w:lineRule="auto"/>
      </w:pPr>
    </w:p>
    <w:p w14:paraId="655E299F" w14:textId="77777777" w:rsidR="007D230B" w:rsidRPr="004B06E3" w:rsidRDefault="007D230B" w:rsidP="0065534B">
      <w:pPr>
        <w:pStyle w:val="eTRMHeading3"/>
      </w:pPr>
      <w:bookmarkStart w:id="31" w:name="_Toc486490854"/>
      <w:bookmarkStart w:id="32" w:name="_Toc486580925"/>
      <w:bookmarkStart w:id="33" w:name="_Toc10468716"/>
      <w:r w:rsidRPr="00D05BEF">
        <w:t>Data Collection Requirements</w:t>
      </w:r>
      <w:bookmarkEnd w:id="31"/>
      <w:bookmarkEnd w:id="32"/>
      <w:bookmarkEnd w:id="33"/>
      <w:r w:rsidRPr="004B06E3">
        <w:t xml:space="preserve"> </w:t>
      </w:r>
    </w:p>
    <w:p w14:paraId="7DAC2D36" w14:textId="2E3F094A" w:rsidR="00815C81" w:rsidRDefault="00DF30A3">
      <w:r>
        <w:t>Data requirements are to be determined.</w:t>
      </w:r>
    </w:p>
    <w:p w14:paraId="0334A339" w14:textId="77777777" w:rsidR="0065255B" w:rsidRPr="00214C18" w:rsidRDefault="0065255B" w:rsidP="00943D85"/>
    <w:p w14:paraId="4891FCAB" w14:textId="77777777" w:rsidR="007D230B" w:rsidRPr="004B06E3" w:rsidRDefault="007D230B" w:rsidP="0065534B">
      <w:pPr>
        <w:pStyle w:val="eTRMHeading3"/>
      </w:pPr>
      <w:bookmarkStart w:id="34" w:name="_Toc486490855"/>
      <w:bookmarkStart w:id="35" w:name="_Toc486580926"/>
      <w:bookmarkStart w:id="36" w:name="_Toc10468717"/>
      <w:r w:rsidRPr="004B06E3">
        <w:t>Use Category</w:t>
      </w:r>
      <w:bookmarkEnd w:id="34"/>
      <w:bookmarkEnd w:id="35"/>
      <w:bookmarkEnd w:id="36"/>
    </w:p>
    <w:p w14:paraId="5D07E710" w14:textId="3E7ABBB3" w:rsidR="00E8702E" w:rsidRDefault="00216402" w:rsidP="004142EF">
      <w:r w:rsidRPr="00E65D71">
        <w:t>HVAC</w:t>
      </w:r>
    </w:p>
    <w:p w14:paraId="057F9CB2" w14:textId="77777777" w:rsidR="0065255B" w:rsidRDefault="0065255B" w:rsidP="004142EF"/>
    <w:p w14:paraId="44D05693" w14:textId="70AADDE8" w:rsidR="00A70FBB" w:rsidRPr="008E422C" w:rsidRDefault="00A70FBB" w:rsidP="0065534B">
      <w:pPr>
        <w:pStyle w:val="eTRMHeading3"/>
      </w:pPr>
      <w:bookmarkStart w:id="37" w:name="_Toc506890113"/>
      <w:bookmarkStart w:id="38" w:name="_Toc517178421"/>
      <w:bookmarkStart w:id="39" w:name="_Toc10468718"/>
      <w:r w:rsidRPr="008E4B04">
        <w:t>Electric Savings (</w:t>
      </w:r>
      <w:r w:rsidRPr="00943D85">
        <w:rPr>
          <w:caps w:val="0"/>
        </w:rPr>
        <w:t>kWh</w:t>
      </w:r>
      <w:r w:rsidRPr="008E4B04">
        <w:t>)</w:t>
      </w:r>
      <w:bookmarkEnd w:id="37"/>
      <w:bookmarkEnd w:id="39"/>
    </w:p>
    <w:p w14:paraId="26E237B5" w14:textId="64A3BC64" w:rsidR="00A74E20" w:rsidRPr="00A74E20" w:rsidRDefault="00A74E20" w:rsidP="00A74E20">
      <w:r w:rsidRPr="00A74E20">
        <w:t>The unit energy savings (UES) of this measure are based upon baseline energy</w:t>
      </w:r>
      <w:r w:rsidR="005254E4">
        <w:t xml:space="preserve"> use</w:t>
      </w:r>
      <w:r w:rsidRPr="00A74E20">
        <w:t xml:space="preserve"> determined using DEER2020 prototypes.</w:t>
      </w:r>
      <w:r w:rsidRPr="00943D85">
        <w:rPr>
          <w:vertAlign w:val="superscript"/>
        </w:rPr>
        <w:footnoteReference w:id="2"/>
      </w:r>
      <w:r w:rsidRPr="00A74E20">
        <w:t xml:space="preserve"> The </w:t>
      </w:r>
      <w:r w:rsidR="00257FF5">
        <w:t>UES</w:t>
      </w:r>
      <w:r w:rsidRPr="00A74E20">
        <w:t xml:space="preserve"> was calculated as a function of the baseline energy use and the part load </w:t>
      </w:r>
      <w:r w:rsidRPr="00A74E20">
        <w:lastRenderedPageBreak/>
        <w:t>ratio (PLR); the functional relationship was determined as the result of an Emerging Technologies (ET) Program study conducted by Southern California Edison (SCE) in 2012</w:t>
      </w:r>
      <w:r w:rsidR="00972272">
        <w:t xml:space="preserve"> (“SCE ET Study”)</w:t>
      </w:r>
      <w:r w:rsidRPr="00A74E20">
        <w:t>.</w:t>
      </w:r>
      <w:r w:rsidRPr="00A74E20">
        <w:rPr>
          <w:vertAlign w:val="superscript"/>
        </w:rPr>
        <w:footnoteReference w:id="3"/>
      </w:r>
    </w:p>
    <w:p w14:paraId="4F7FDB44" w14:textId="39C7D08D" w:rsidR="00A74E20" w:rsidRPr="00A74E20" w:rsidRDefault="00A74E20" w:rsidP="00257FF5">
      <w:r w:rsidRPr="00A74E20">
        <w:t xml:space="preserve">The </w:t>
      </w:r>
      <w:r w:rsidR="00972272">
        <w:t xml:space="preserve">SCE </w:t>
      </w:r>
      <w:r w:rsidRPr="00A74E20">
        <w:t xml:space="preserve">ET </w:t>
      </w:r>
      <w:r w:rsidR="00972272">
        <w:t>S</w:t>
      </w:r>
      <w:r w:rsidRPr="00A74E20">
        <w:t>tudy</w:t>
      </w:r>
      <w:r>
        <w:t xml:space="preserve"> </w:t>
      </w:r>
      <w:r w:rsidRPr="00A74E20">
        <w:t>tested a nominal 3-ton split air-conditioning unit in a laboratory setting. The test unit was equipped with an air-cooled condenser and a single-speed compressor; this combination of components is representative of one of the most common configurations of air-conditioning units found in residential applications. The measure evaluation portion of the testing included the installation of the two types of commerci</w:t>
      </w:r>
      <w:r w:rsidR="0093736A">
        <w:t xml:space="preserve">ally available add-on fan controllers. The two fan </w:t>
      </w:r>
      <w:r w:rsidRPr="00A74E20">
        <w:t xml:space="preserve">controllers allowed the fans to run after the compressor was shut off; one ran for a prescribed period and the other had a built-in logic to delay shut off for </w:t>
      </w:r>
      <w:proofErr w:type="gramStart"/>
      <w:r w:rsidRPr="00A74E20">
        <w:t>a period of time</w:t>
      </w:r>
      <w:proofErr w:type="gramEnd"/>
      <w:r w:rsidRPr="00A74E20">
        <w:t xml:space="preserve"> based upon the compressor run time. The study results suggest that electric energy savings potential varied as a function of PLR</w:t>
      </w:r>
      <w:r w:rsidR="00972272">
        <w:t>s</w:t>
      </w:r>
      <w:r w:rsidRPr="00A74E20">
        <w:t xml:space="preserve"> of the cooling systems. </w:t>
      </w:r>
    </w:p>
    <w:p w14:paraId="770BA89A" w14:textId="419895C7" w:rsidR="00A74E20" w:rsidRPr="00A74E20" w:rsidRDefault="00A74E20" w:rsidP="00943D85">
      <w:r w:rsidRPr="00A74E20">
        <w:t xml:space="preserve">The </w:t>
      </w:r>
      <w:r w:rsidR="00972272">
        <w:t xml:space="preserve">SCE </w:t>
      </w:r>
      <w:r w:rsidRPr="00A74E20">
        <w:t xml:space="preserve">ET </w:t>
      </w:r>
      <w:r w:rsidR="00972272">
        <w:t>S</w:t>
      </w:r>
      <w:r w:rsidRPr="00A74E20">
        <w:t>tudy was limited to estimating cooling savings and did not evaluate gas and/or electric (heat pump) heating savings.</w:t>
      </w:r>
    </w:p>
    <w:p w14:paraId="1550012D" w14:textId="1F89B2CE" w:rsidR="00A74E20" w:rsidRDefault="00A74E20" w:rsidP="00943D85">
      <w:r w:rsidRPr="00A74E20">
        <w:t xml:space="preserve">The DEER Measure ID and associated </w:t>
      </w:r>
      <w:r w:rsidR="0065255B">
        <w:t xml:space="preserve">Statewide </w:t>
      </w:r>
      <w:r w:rsidRPr="00A74E20">
        <w:t>Measure Offering ID and description are provided below.</w:t>
      </w:r>
    </w:p>
    <w:p w14:paraId="093BBBD8" w14:textId="77777777" w:rsidR="00DE2BFE" w:rsidRPr="00DE2BFE" w:rsidRDefault="00DE2BFE" w:rsidP="00943D85">
      <w:pPr>
        <w:pStyle w:val="Caption"/>
      </w:pPr>
      <w:r w:rsidRPr="00DE2BFE">
        <w:t>Measure Offering IDs and DEER Energy Impact IDs</w:t>
      </w:r>
    </w:p>
    <w:tbl>
      <w:tblPr>
        <w:tblW w:w="953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795"/>
        <w:gridCol w:w="2610"/>
        <w:gridCol w:w="5127"/>
      </w:tblGrid>
      <w:tr w:rsidR="00DE2BFE" w:rsidRPr="00943D85" w14:paraId="38D68174" w14:textId="77777777" w:rsidTr="00943D85">
        <w:trPr>
          <w:trHeight w:val="300"/>
          <w:tblHeader/>
        </w:trPr>
        <w:tc>
          <w:tcPr>
            <w:tcW w:w="1795" w:type="dxa"/>
            <w:shd w:val="clear" w:color="auto" w:fill="F2F2F2" w:themeFill="background1" w:themeFillShade="F2"/>
            <w:vAlign w:val="bottom"/>
          </w:tcPr>
          <w:p w14:paraId="53A2031E" w14:textId="68E5F4C3" w:rsidR="00DE2BFE" w:rsidRPr="00943D85" w:rsidRDefault="0065255B" w:rsidP="00943D85">
            <w:pPr>
              <w:jc w:val="center"/>
              <w:rPr>
                <w:b/>
                <w:bCs/>
                <w:sz w:val="20"/>
              </w:rPr>
            </w:pPr>
            <w:r>
              <w:rPr>
                <w:b/>
                <w:bCs/>
                <w:sz w:val="20"/>
              </w:rPr>
              <w:t xml:space="preserve">Statewide </w:t>
            </w:r>
            <w:r w:rsidR="00DE2BFE" w:rsidRPr="00943D85">
              <w:rPr>
                <w:b/>
                <w:bCs/>
                <w:sz w:val="20"/>
              </w:rPr>
              <w:t>Measure Offering ID</w:t>
            </w:r>
          </w:p>
        </w:tc>
        <w:tc>
          <w:tcPr>
            <w:tcW w:w="2610" w:type="dxa"/>
            <w:shd w:val="clear" w:color="auto" w:fill="F2F2F2" w:themeFill="background1" w:themeFillShade="F2"/>
            <w:noWrap/>
            <w:vAlign w:val="bottom"/>
            <w:hideMark/>
          </w:tcPr>
          <w:p w14:paraId="095E88D5" w14:textId="77777777" w:rsidR="00DE2BFE" w:rsidRPr="00943D85" w:rsidRDefault="00DE2BFE" w:rsidP="00943D85">
            <w:pPr>
              <w:jc w:val="center"/>
              <w:rPr>
                <w:b/>
                <w:bCs/>
                <w:sz w:val="20"/>
              </w:rPr>
            </w:pPr>
            <w:r w:rsidRPr="00943D85">
              <w:rPr>
                <w:b/>
                <w:bCs/>
                <w:sz w:val="20"/>
              </w:rPr>
              <w:t>DEER Energy Impact ID</w:t>
            </w:r>
          </w:p>
        </w:tc>
        <w:tc>
          <w:tcPr>
            <w:tcW w:w="5127" w:type="dxa"/>
            <w:shd w:val="clear" w:color="auto" w:fill="F2F2F2" w:themeFill="background1" w:themeFillShade="F2"/>
            <w:noWrap/>
            <w:vAlign w:val="bottom"/>
            <w:hideMark/>
          </w:tcPr>
          <w:p w14:paraId="0AB41000" w14:textId="77777777" w:rsidR="00DE2BFE" w:rsidRPr="00943D85" w:rsidRDefault="00DE2BFE" w:rsidP="00943D85">
            <w:pPr>
              <w:jc w:val="center"/>
              <w:rPr>
                <w:b/>
                <w:bCs/>
                <w:sz w:val="20"/>
              </w:rPr>
            </w:pPr>
            <w:r w:rsidRPr="00943D85">
              <w:rPr>
                <w:b/>
                <w:bCs/>
                <w:sz w:val="20"/>
              </w:rPr>
              <w:t>Measure Offering Description</w:t>
            </w:r>
          </w:p>
        </w:tc>
      </w:tr>
      <w:tr w:rsidR="00DE2BFE" w:rsidRPr="00943D85" w14:paraId="3FA50456" w14:textId="77777777" w:rsidTr="00943D85">
        <w:trPr>
          <w:trHeight w:val="300"/>
        </w:trPr>
        <w:tc>
          <w:tcPr>
            <w:tcW w:w="1795" w:type="dxa"/>
            <w:vAlign w:val="center"/>
          </w:tcPr>
          <w:p w14:paraId="1831147D" w14:textId="77777777" w:rsidR="00DE2BFE" w:rsidRPr="00943D85" w:rsidRDefault="00DE2BFE" w:rsidP="00DE2BFE">
            <w:pPr>
              <w:rPr>
                <w:sz w:val="20"/>
              </w:rPr>
            </w:pPr>
            <w:r w:rsidRPr="00943D85">
              <w:rPr>
                <w:sz w:val="20"/>
              </w:rPr>
              <w:t>SWHC038A</w:t>
            </w:r>
          </w:p>
        </w:tc>
        <w:tc>
          <w:tcPr>
            <w:tcW w:w="2610" w:type="dxa"/>
            <w:shd w:val="clear" w:color="auto" w:fill="auto"/>
            <w:noWrap/>
            <w:vAlign w:val="center"/>
          </w:tcPr>
          <w:p w14:paraId="2DEBAE9E" w14:textId="77777777" w:rsidR="00DE2BFE" w:rsidRPr="00943D85" w:rsidRDefault="00DE2BFE" w:rsidP="00DE2BFE">
            <w:pPr>
              <w:rPr>
                <w:sz w:val="20"/>
              </w:rPr>
            </w:pPr>
            <w:r w:rsidRPr="00943D85">
              <w:rPr>
                <w:sz w:val="20"/>
              </w:rPr>
              <w:t>RE-HV-ResAC-lt45kBtuh-15S</w:t>
            </w:r>
          </w:p>
        </w:tc>
        <w:tc>
          <w:tcPr>
            <w:tcW w:w="5127" w:type="dxa"/>
            <w:shd w:val="clear" w:color="auto" w:fill="auto"/>
            <w:noWrap/>
            <w:vAlign w:val="center"/>
          </w:tcPr>
          <w:p w14:paraId="4596A782" w14:textId="6533238B" w:rsidR="00DE2BFE" w:rsidRPr="00943D85" w:rsidRDefault="00DE2BFE" w:rsidP="00DE2BFE">
            <w:pPr>
              <w:rPr>
                <w:sz w:val="20"/>
              </w:rPr>
            </w:pPr>
            <w:r w:rsidRPr="00943D85">
              <w:rPr>
                <w:sz w:val="20"/>
              </w:rPr>
              <w:t>Fan Controller for Residential Air Conditioners</w:t>
            </w:r>
          </w:p>
        </w:tc>
      </w:tr>
    </w:tbl>
    <w:p w14:paraId="4CB066AD" w14:textId="77777777" w:rsidR="00DE2BFE" w:rsidRPr="00A74E20" w:rsidRDefault="00DE2BFE" w:rsidP="00A74E20"/>
    <w:p w14:paraId="6D8DC061" w14:textId="25CAC2C8" w:rsidR="001B213F" w:rsidRDefault="00266498" w:rsidP="00972272">
      <w:r w:rsidRPr="00266498">
        <w:t xml:space="preserve">The </w:t>
      </w:r>
      <w:r w:rsidR="001B213F" w:rsidRPr="00266498">
        <w:t>step</w:t>
      </w:r>
      <w:r w:rsidR="00972272">
        <w:t>-</w:t>
      </w:r>
      <w:r w:rsidR="001B213F" w:rsidRPr="00266498">
        <w:t>by</w:t>
      </w:r>
      <w:r w:rsidR="00972272">
        <w:t>-</w:t>
      </w:r>
      <w:r w:rsidR="001B213F" w:rsidRPr="00266498">
        <w:t xml:space="preserve">step calculation methodology </w:t>
      </w:r>
      <w:r w:rsidR="00972272">
        <w:t>to estimate</w:t>
      </w:r>
      <w:r w:rsidR="001B213F" w:rsidRPr="00266498">
        <w:t xml:space="preserve"> the </w:t>
      </w:r>
      <w:r w:rsidR="00972272">
        <w:t>electric</w:t>
      </w:r>
      <w:r w:rsidR="00972272" w:rsidRPr="00266498">
        <w:t xml:space="preserve"> </w:t>
      </w:r>
      <w:r w:rsidR="001B213F" w:rsidRPr="00266498">
        <w:t xml:space="preserve">energy savings and peak demand </w:t>
      </w:r>
      <w:r w:rsidR="00972272">
        <w:t>reduction</w:t>
      </w:r>
      <w:r w:rsidR="00972272" w:rsidRPr="00266498">
        <w:t xml:space="preserve"> </w:t>
      </w:r>
      <w:r w:rsidR="001B213F" w:rsidRPr="00266498">
        <w:t xml:space="preserve">for a residential air conditioner with </w:t>
      </w:r>
      <w:r w:rsidR="008418DD" w:rsidRPr="00266498">
        <w:t>a</w:t>
      </w:r>
      <w:r w:rsidR="001B213F" w:rsidRPr="00266498">
        <w:t xml:space="preserve"> </w:t>
      </w:r>
      <w:r w:rsidR="00972272">
        <w:t>f</w:t>
      </w:r>
      <w:r w:rsidR="00815C81">
        <w:t xml:space="preserve">an </w:t>
      </w:r>
      <w:r w:rsidR="00972272">
        <w:t>c</w:t>
      </w:r>
      <w:r w:rsidR="00815C81">
        <w:t>ontroller</w:t>
      </w:r>
      <w:r w:rsidR="00972272">
        <w:t xml:space="preserve"> is provided below</w:t>
      </w:r>
      <w:r w:rsidR="001B213F" w:rsidRPr="00266498">
        <w:t>.</w:t>
      </w:r>
      <w:r w:rsidR="005254E4">
        <w:rPr>
          <w:rStyle w:val="FootnoteReference"/>
          <w:rFonts w:cs="Calibri Light"/>
          <w:i/>
        </w:rPr>
        <w:footnoteReference w:id="4"/>
      </w:r>
    </w:p>
    <w:p w14:paraId="558F5031" w14:textId="77777777" w:rsidR="005254E4" w:rsidRPr="00266498" w:rsidRDefault="005254E4" w:rsidP="00943D85"/>
    <w:p w14:paraId="29F41C3A" w14:textId="18EE03BF" w:rsidR="00B6246F" w:rsidRPr="00943D85" w:rsidRDefault="00257FF5" w:rsidP="00943D85">
      <w:pPr>
        <w:pStyle w:val="eTRMBulletedText"/>
        <w:numPr>
          <w:ilvl w:val="0"/>
          <w:numId w:val="49"/>
        </w:numPr>
        <w:rPr>
          <w:rFonts w:cstheme="minorHAnsi"/>
          <w:szCs w:val="22"/>
        </w:rPr>
      </w:pPr>
      <w:r w:rsidRPr="00943D85">
        <w:rPr>
          <w:rFonts w:cstheme="minorHAnsi"/>
          <w:szCs w:val="22"/>
        </w:rPr>
        <w:t xml:space="preserve">The </w:t>
      </w:r>
      <w:r w:rsidR="001B213F" w:rsidRPr="00943D85">
        <w:rPr>
          <w:rFonts w:cstheme="minorHAnsi"/>
          <w:szCs w:val="22"/>
        </w:rPr>
        <w:t xml:space="preserve">DEER Prototypes </w:t>
      </w:r>
      <w:r w:rsidRPr="00943D85">
        <w:rPr>
          <w:rFonts w:cstheme="minorHAnsi"/>
          <w:szCs w:val="22"/>
        </w:rPr>
        <w:t xml:space="preserve">were </w:t>
      </w:r>
      <w:r w:rsidR="001B213F" w:rsidRPr="00943D85">
        <w:rPr>
          <w:rFonts w:cstheme="minorHAnsi"/>
          <w:szCs w:val="22"/>
        </w:rPr>
        <w:t xml:space="preserve">downloaded </w:t>
      </w:r>
      <w:r w:rsidRPr="00F42087">
        <w:t xml:space="preserve">for </w:t>
      </w:r>
      <w:r>
        <w:t xml:space="preserve">all eligible residential </w:t>
      </w:r>
      <w:r w:rsidRPr="00F42087">
        <w:t>building types</w:t>
      </w:r>
      <w:r>
        <w:t xml:space="preserve"> (see below) </w:t>
      </w:r>
      <w:r w:rsidRPr="00F42087">
        <w:t xml:space="preserve">for </w:t>
      </w:r>
      <w:r>
        <w:t>each of the</w:t>
      </w:r>
      <w:r w:rsidRPr="00F42087">
        <w:t xml:space="preserve"> </w:t>
      </w:r>
      <w:r>
        <w:t>16 California</w:t>
      </w:r>
      <w:r w:rsidRPr="00F42087">
        <w:t xml:space="preserve"> climate zones</w:t>
      </w:r>
      <w:r w:rsidRPr="00943D85">
        <w:rPr>
          <w:rFonts w:cstheme="minorHAnsi"/>
          <w:szCs w:val="22"/>
        </w:rPr>
        <w:t xml:space="preserve"> </w:t>
      </w:r>
      <w:r w:rsidR="001B213F" w:rsidRPr="00943D85">
        <w:rPr>
          <w:rFonts w:cstheme="minorHAnsi"/>
          <w:szCs w:val="22"/>
        </w:rPr>
        <w:t>from</w:t>
      </w:r>
      <w:r w:rsidR="00DD7B05" w:rsidRPr="00943D85">
        <w:rPr>
          <w:rFonts w:cstheme="minorHAnsi"/>
          <w:szCs w:val="22"/>
        </w:rPr>
        <w:t xml:space="preserve"> MASControl3</w:t>
      </w:r>
      <w:r w:rsidRPr="00943D85">
        <w:rPr>
          <w:rFonts w:cstheme="minorHAnsi"/>
          <w:szCs w:val="22"/>
        </w:rPr>
        <w:t xml:space="preserve"> (</w:t>
      </w:r>
      <w:r w:rsidR="00B6246F">
        <w:t>released on Sept</w:t>
      </w:r>
      <w:r>
        <w:t>ember 30,</w:t>
      </w:r>
      <w:r w:rsidR="00B6246F">
        <w:t xml:space="preserve"> 2018</w:t>
      </w:r>
      <w:r>
        <w:t xml:space="preserve">). </w:t>
      </w:r>
    </w:p>
    <w:p w14:paraId="708B2585" w14:textId="1BC819C8" w:rsidR="004B629B" w:rsidRDefault="001B213F" w:rsidP="00943D85">
      <w:pPr>
        <w:pStyle w:val="eTRMBulletedText"/>
      </w:pPr>
      <w:r w:rsidRPr="00932F95">
        <w:t xml:space="preserve">This measure is applicable to all </w:t>
      </w:r>
      <w:r w:rsidR="00257FF5">
        <w:t>building</w:t>
      </w:r>
      <w:r w:rsidR="00257FF5" w:rsidRPr="00932F95">
        <w:t xml:space="preserve"> </w:t>
      </w:r>
      <w:r w:rsidRPr="00932F95">
        <w:t xml:space="preserve">vintages. However, the analysis </w:t>
      </w:r>
      <w:r w:rsidR="00257FF5">
        <w:t>for this measure only included</w:t>
      </w:r>
      <w:r w:rsidRPr="00932F95">
        <w:t xml:space="preserve"> vintage 2007</w:t>
      </w:r>
      <w:r w:rsidR="00A01344">
        <w:t xml:space="preserve"> (</w:t>
      </w:r>
      <w:r w:rsidR="004D3C24">
        <w:t xml:space="preserve">for </w:t>
      </w:r>
      <w:r w:rsidR="00257FF5">
        <w:t>single family</w:t>
      </w:r>
      <w:r w:rsidR="004D3C24">
        <w:t xml:space="preserve"> and </w:t>
      </w:r>
      <w:r w:rsidR="00257FF5">
        <w:t>multifamily</w:t>
      </w:r>
      <w:r w:rsidR="004D3C24">
        <w:t xml:space="preserve">) and </w:t>
      </w:r>
      <w:r w:rsidR="00257FF5">
        <w:t>vintages 2006 to 2014 (“</w:t>
      </w:r>
      <w:r w:rsidR="004D3C24">
        <w:t>M06</w:t>
      </w:r>
      <w:r w:rsidR="00257FF5">
        <w:t xml:space="preserve">”) for double-wide mobile homes, </w:t>
      </w:r>
      <w:r w:rsidR="004B629B">
        <w:t xml:space="preserve">which </w:t>
      </w:r>
      <w:r w:rsidR="00C50955">
        <w:t>are</w:t>
      </w:r>
      <w:r w:rsidR="004B629B">
        <w:t xml:space="preserve"> median of vintages</w:t>
      </w:r>
      <w:r w:rsidRPr="00932F95">
        <w:t xml:space="preserve"> considered. </w:t>
      </w:r>
    </w:p>
    <w:p w14:paraId="6744F230" w14:textId="20F894B0" w:rsidR="006D788A" w:rsidRPr="00EE1D71" w:rsidRDefault="00F1481D" w:rsidP="00943D85">
      <w:pPr>
        <w:pStyle w:val="eTRMBulletedText"/>
      </w:pPr>
      <w:r w:rsidRPr="00EE1D71">
        <w:t xml:space="preserve">As discussed in “Code Requirements”, the </w:t>
      </w:r>
      <w:r w:rsidR="00257FF5">
        <w:t>air conditioning (AC)</w:t>
      </w:r>
      <w:r w:rsidR="00257FF5" w:rsidRPr="00EE1D71">
        <w:t xml:space="preserve"> </w:t>
      </w:r>
      <w:r w:rsidR="0064618B" w:rsidRPr="00EE1D71">
        <w:t>unit efficiency requirement is SEER</w:t>
      </w:r>
      <w:r w:rsidR="00257FF5">
        <w:t xml:space="preserve"> </w:t>
      </w:r>
      <w:r w:rsidR="0064618B" w:rsidRPr="00EE1D71">
        <w:t>14</w:t>
      </w:r>
      <w:r w:rsidR="00257FF5">
        <w:t>.0</w:t>
      </w:r>
      <w:r w:rsidR="0064618B" w:rsidRPr="00EE1D71">
        <w:t>.</w:t>
      </w:r>
      <w:r w:rsidRPr="00EE1D71">
        <w:t xml:space="preserve"> </w:t>
      </w:r>
      <w:r w:rsidR="0064618B" w:rsidRPr="00EE1D71">
        <w:t>To</w:t>
      </w:r>
      <w:r w:rsidRPr="00EE1D71">
        <w:t xml:space="preserve"> be conservative in the energy savings</w:t>
      </w:r>
      <w:r w:rsidR="00257FF5">
        <w:t xml:space="preserve"> analysis</w:t>
      </w:r>
      <w:r w:rsidRPr="00EE1D71">
        <w:t>, an efficiency rating of SEER 15.0 was used to establish the baseline energy usage for this measure.</w:t>
      </w:r>
      <w:r w:rsidR="0064618B" w:rsidRPr="00EE1D71">
        <w:t xml:space="preserve"> </w:t>
      </w:r>
      <w:r w:rsidR="00257FF5">
        <w:t>Additional</w:t>
      </w:r>
      <w:r w:rsidR="006D788A" w:rsidRPr="00EE1D71">
        <w:t xml:space="preserve"> modifications </w:t>
      </w:r>
      <w:r w:rsidR="00257FF5">
        <w:t>were</w:t>
      </w:r>
      <w:r w:rsidR="006D788A" w:rsidRPr="00EE1D71">
        <w:t xml:space="preserve"> made to the </w:t>
      </w:r>
      <w:r w:rsidR="009F047B" w:rsidRPr="00EE1D71">
        <w:t>DEER prototypes to reflect code or industry standard practice</w:t>
      </w:r>
      <w:r w:rsidR="005832B4" w:rsidRPr="00EE1D71">
        <w:t xml:space="preserve">. The table below summarizes </w:t>
      </w:r>
      <w:r w:rsidR="00F725FB" w:rsidRPr="00EE1D71">
        <w:t xml:space="preserve">the </w:t>
      </w:r>
      <w:r w:rsidR="00DA1098" w:rsidRPr="00EE1D71">
        <w:t>modified parameters</w:t>
      </w:r>
      <w:r w:rsidR="00F725FB" w:rsidRPr="00EE1D71">
        <w:t xml:space="preserve"> </w:t>
      </w:r>
      <w:r w:rsidR="00E075D1" w:rsidRPr="00EE1D71">
        <w:t xml:space="preserve">in DEER </w:t>
      </w:r>
      <w:r w:rsidR="00DA1098" w:rsidRPr="00EE1D71">
        <w:t xml:space="preserve">prototypes. </w:t>
      </w:r>
    </w:p>
    <w:p w14:paraId="00B4FB31" w14:textId="51EDC43F" w:rsidR="00691C51" w:rsidRDefault="00257FF5" w:rsidP="00943D85">
      <w:pPr>
        <w:pStyle w:val="Caption"/>
      </w:pPr>
      <w:r>
        <w:lastRenderedPageBreak/>
        <w:t>DEER Prototypes Modified Parameters</w:t>
      </w:r>
    </w:p>
    <w:tbl>
      <w:tblPr>
        <w:tblW w:w="4473"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80" w:firstRow="0" w:lastRow="0" w:firstColumn="1" w:lastColumn="0" w:noHBand="0" w:noVBand="1"/>
      </w:tblPr>
      <w:tblGrid>
        <w:gridCol w:w="2064"/>
        <w:gridCol w:w="1621"/>
        <w:gridCol w:w="2341"/>
        <w:gridCol w:w="2339"/>
      </w:tblGrid>
      <w:tr w:rsidR="0065255B" w:rsidRPr="00943D85" w14:paraId="1D848A91" w14:textId="77777777" w:rsidTr="00943D85">
        <w:trPr>
          <w:trHeight w:val="20"/>
          <w:tblHeader/>
        </w:trPr>
        <w:tc>
          <w:tcPr>
            <w:tcW w:w="1234" w:type="pct"/>
            <w:shd w:val="clear" w:color="auto" w:fill="F2F2F2" w:themeFill="background1" w:themeFillShade="F2"/>
            <w:noWrap/>
            <w:vAlign w:val="bottom"/>
          </w:tcPr>
          <w:p w14:paraId="236F2A38" w14:textId="65A793D3" w:rsidR="00D77AC0" w:rsidRPr="00943D85" w:rsidRDefault="00007BAE" w:rsidP="00943D85">
            <w:pPr>
              <w:keepNext/>
              <w:keepLines/>
              <w:spacing w:before="100" w:beforeAutospacing="1" w:after="100" w:afterAutospacing="1"/>
              <w:jc w:val="center"/>
              <w:rPr>
                <w:rFonts w:eastAsia="Arial"/>
                <w:b/>
                <w:bCs/>
                <w:sz w:val="20"/>
                <w:szCs w:val="18"/>
              </w:rPr>
            </w:pPr>
            <w:r w:rsidRPr="00943D85">
              <w:rPr>
                <w:rFonts w:eastAsia="Arial"/>
                <w:b/>
                <w:bCs/>
                <w:sz w:val="20"/>
                <w:szCs w:val="18"/>
              </w:rPr>
              <w:t>Parameters</w:t>
            </w:r>
          </w:p>
        </w:tc>
        <w:tc>
          <w:tcPr>
            <w:tcW w:w="969" w:type="pct"/>
            <w:shd w:val="clear" w:color="auto" w:fill="F2F2F2" w:themeFill="background1" w:themeFillShade="F2"/>
            <w:noWrap/>
            <w:vAlign w:val="bottom"/>
          </w:tcPr>
          <w:p w14:paraId="7AB35EFC" w14:textId="52223212" w:rsidR="00D77AC0" w:rsidRPr="00943D85" w:rsidRDefault="00007BAE" w:rsidP="00943D85">
            <w:pPr>
              <w:keepNext/>
              <w:keepLines/>
              <w:spacing w:before="100" w:beforeAutospacing="1" w:after="100" w:afterAutospacing="1"/>
              <w:jc w:val="center"/>
              <w:rPr>
                <w:rFonts w:eastAsia="Arial"/>
                <w:b/>
                <w:bCs/>
                <w:sz w:val="20"/>
                <w:szCs w:val="18"/>
              </w:rPr>
            </w:pPr>
            <w:r w:rsidRPr="00943D85">
              <w:rPr>
                <w:rFonts w:eastAsia="Arial"/>
                <w:b/>
                <w:bCs/>
                <w:sz w:val="20"/>
                <w:szCs w:val="18"/>
              </w:rPr>
              <w:t>eQuest Keyword</w:t>
            </w:r>
          </w:p>
        </w:tc>
        <w:tc>
          <w:tcPr>
            <w:tcW w:w="1399" w:type="pct"/>
            <w:shd w:val="clear" w:color="auto" w:fill="F2F2F2" w:themeFill="background1" w:themeFillShade="F2"/>
            <w:vAlign w:val="bottom"/>
          </w:tcPr>
          <w:p w14:paraId="4E4FF609" w14:textId="06E8496C" w:rsidR="00D77AC0" w:rsidRPr="00943D85" w:rsidRDefault="00007BAE" w:rsidP="00943D85">
            <w:pPr>
              <w:keepNext/>
              <w:keepLines/>
              <w:spacing w:before="100" w:beforeAutospacing="1" w:after="100" w:afterAutospacing="1"/>
              <w:jc w:val="center"/>
              <w:rPr>
                <w:rFonts w:eastAsia="Arial"/>
                <w:b/>
                <w:bCs/>
                <w:sz w:val="20"/>
                <w:szCs w:val="18"/>
              </w:rPr>
            </w:pPr>
            <w:r w:rsidRPr="00943D85">
              <w:rPr>
                <w:rFonts w:eastAsia="Arial"/>
                <w:b/>
                <w:bCs/>
                <w:sz w:val="20"/>
                <w:szCs w:val="18"/>
              </w:rPr>
              <w:t>Modified Value</w:t>
            </w:r>
          </w:p>
        </w:tc>
        <w:tc>
          <w:tcPr>
            <w:tcW w:w="1398" w:type="pct"/>
            <w:shd w:val="clear" w:color="auto" w:fill="F2F2F2" w:themeFill="background1" w:themeFillShade="F2"/>
            <w:vAlign w:val="bottom"/>
          </w:tcPr>
          <w:p w14:paraId="6C9EA749" w14:textId="21F72559" w:rsidR="00D77AC0" w:rsidRPr="00943D85" w:rsidRDefault="006D1F7A" w:rsidP="00943D85">
            <w:pPr>
              <w:keepNext/>
              <w:keepLines/>
              <w:spacing w:before="100" w:beforeAutospacing="1" w:after="100" w:afterAutospacing="1"/>
              <w:jc w:val="center"/>
              <w:rPr>
                <w:rFonts w:eastAsia="Arial"/>
                <w:b/>
                <w:bCs/>
                <w:sz w:val="20"/>
                <w:szCs w:val="18"/>
              </w:rPr>
            </w:pPr>
            <w:r w:rsidRPr="00943D85">
              <w:rPr>
                <w:rFonts w:eastAsia="Arial"/>
                <w:b/>
                <w:bCs/>
                <w:sz w:val="20"/>
                <w:szCs w:val="18"/>
              </w:rPr>
              <w:t>Notes</w:t>
            </w:r>
          </w:p>
        </w:tc>
      </w:tr>
      <w:tr w:rsidR="0065255B" w:rsidRPr="00943D85" w14:paraId="1757BFFE" w14:textId="77777777" w:rsidTr="00943D85">
        <w:trPr>
          <w:trHeight w:val="20"/>
        </w:trPr>
        <w:tc>
          <w:tcPr>
            <w:tcW w:w="1234" w:type="pct"/>
            <w:shd w:val="clear" w:color="auto" w:fill="auto"/>
            <w:noWrap/>
          </w:tcPr>
          <w:p w14:paraId="66257FB4" w14:textId="107EC468" w:rsidR="00614D6A" w:rsidRPr="00943D85" w:rsidRDefault="00007BAE" w:rsidP="00943D85">
            <w:pPr>
              <w:spacing w:before="100" w:beforeAutospacing="1" w:after="100" w:afterAutospacing="1"/>
              <w:jc w:val="both"/>
              <w:rPr>
                <w:rFonts w:eastAsia="Arial"/>
                <w:bCs/>
                <w:sz w:val="20"/>
                <w:szCs w:val="18"/>
              </w:rPr>
            </w:pPr>
            <w:r w:rsidRPr="00943D85">
              <w:rPr>
                <w:rFonts w:eastAsia="Arial"/>
                <w:bCs/>
                <w:sz w:val="20"/>
                <w:szCs w:val="18"/>
              </w:rPr>
              <w:t>Cooling Electric Input Ratio</w:t>
            </w:r>
          </w:p>
        </w:tc>
        <w:tc>
          <w:tcPr>
            <w:tcW w:w="969" w:type="pct"/>
            <w:shd w:val="clear" w:color="auto" w:fill="auto"/>
            <w:noWrap/>
          </w:tcPr>
          <w:p w14:paraId="47A10CDC" w14:textId="5CFDE906" w:rsidR="00614D6A" w:rsidRPr="00943D85" w:rsidRDefault="00F218FB" w:rsidP="00943D85">
            <w:pPr>
              <w:spacing w:before="100" w:beforeAutospacing="1" w:after="100" w:afterAutospacing="1"/>
              <w:rPr>
                <w:rFonts w:eastAsia="Arial"/>
                <w:sz w:val="20"/>
                <w:szCs w:val="18"/>
              </w:rPr>
            </w:pPr>
            <w:r w:rsidRPr="00943D85">
              <w:rPr>
                <w:rFonts w:eastAsia="Arial"/>
                <w:bCs/>
                <w:sz w:val="20"/>
                <w:szCs w:val="18"/>
              </w:rPr>
              <w:t>COOLING-EIR</w:t>
            </w:r>
          </w:p>
        </w:tc>
        <w:tc>
          <w:tcPr>
            <w:tcW w:w="1399" w:type="pct"/>
            <w:shd w:val="clear" w:color="auto" w:fill="auto"/>
          </w:tcPr>
          <w:p w14:paraId="0877200E" w14:textId="06FA3FB8" w:rsidR="00614D6A" w:rsidRPr="00943D85" w:rsidRDefault="00007BAE" w:rsidP="00943D85">
            <w:pPr>
              <w:spacing w:before="100" w:beforeAutospacing="1" w:after="100" w:afterAutospacing="1"/>
              <w:rPr>
                <w:rFonts w:eastAsia="Arial"/>
                <w:sz w:val="20"/>
                <w:szCs w:val="18"/>
              </w:rPr>
            </w:pPr>
            <w:r w:rsidRPr="00943D85">
              <w:rPr>
                <w:rFonts w:eastAsia="Arial"/>
                <w:sz w:val="20"/>
                <w:szCs w:val="18"/>
              </w:rPr>
              <w:t>0.2322 (</w:t>
            </w:r>
            <w:r w:rsidR="00614D6A" w:rsidRPr="00943D85">
              <w:rPr>
                <w:rFonts w:eastAsia="Arial"/>
                <w:sz w:val="20"/>
                <w:szCs w:val="18"/>
              </w:rPr>
              <w:t>SEER15</w:t>
            </w:r>
            <w:r w:rsidRPr="00943D85">
              <w:rPr>
                <w:rFonts w:eastAsia="Arial"/>
                <w:sz w:val="20"/>
                <w:szCs w:val="18"/>
              </w:rPr>
              <w:t>)</w:t>
            </w:r>
          </w:p>
        </w:tc>
        <w:tc>
          <w:tcPr>
            <w:tcW w:w="1398" w:type="pct"/>
            <w:shd w:val="clear" w:color="auto" w:fill="auto"/>
          </w:tcPr>
          <w:p w14:paraId="5D155B2D" w14:textId="3585523D" w:rsidR="00614D6A" w:rsidRPr="00943D85" w:rsidRDefault="00993C4C" w:rsidP="00943D85">
            <w:pPr>
              <w:spacing w:before="100" w:beforeAutospacing="1" w:after="100" w:afterAutospacing="1"/>
              <w:rPr>
                <w:rFonts w:eastAsia="Arial"/>
                <w:sz w:val="20"/>
                <w:szCs w:val="18"/>
              </w:rPr>
            </w:pPr>
            <w:r w:rsidRPr="00943D85">
              <w:rPr>
                <w:rFonts w:eastAsia="Arial"/>
                <w:sz w:val="20"/>
                <w:szCs w:val="18"/>
              </w:rPr>
              <w:t xml:space="preserve">One SEER rating above </w:t>
            </w:r>
            <w:r w:rsidR="006C5D75" w:rsidRPr="00943D85">
              <w:rPr>
                <w:rFonts w:eastAsia="Arial"/>
                <w:sz w:val="20"/>
                <w:szCs w:val="18"/>
              </w:rPr>
              <w:t xml:space="preserve">Title 20 2019 </w:t>
            </w:r>
            <w:r w:rsidR="005011E6" w:rsidRPr="00943D85">
              <w:rPr>
                <w:rFonts w:eastAsia="Arial"/>
                <w:sz w:val="20"/>
                <w:szCs w:val="18"/>
              </w:rPr>
              <w:t>code requirements</w:t>
            </w:r>
          </w:p>
        </w:tc>
      </w:tr>
      <w:tr w:rsidR="0065255B" w:rsidRPr="00943D85" w14:paraId="349D1880" w14:textId="77777777" w:rsidTr="00943D85">
        <w:trPr>
          <w:trHeight w:val="20"/>
        </w:trPr>
        <w:tc>
          <w:tcPr>
            <w:tcW w:w="1234" w:type="pct"/>
            <w:shd w:val="clear" w:color="auto" w:fill="auto"/>
            <w:noWrap/>
          </w:tcPr>
          <w:p w14:paraId="35E01DE8" w14:textId="77777777" w:rsidR="00614D6A" w:rsidRPr="00943D85" w:rsidRDefault="00614D6A" w:rsidP="00943D85">
            <w:pPr>
              <w:spacing w:before="100" w:beforeAutospacing="1" w:after="100" w:afterAutospacing="1"/>
              <w:jc w:val="both"/>
              <w:rPr>
                <w:rFonts w:eastAsia="Arial"/>
                <w:bCs/>
                <w:sz w:val="20"/>
                <w:szCs w:val="18"/>
              </w:rPr>
            </w:pPr>
            <w:r w:rsidRPr="00943D85">
              <w:rPr>
                <w:rFonts w:eastAsia="Arial"/>
                <w:bCs/>
                <w:sz w:val="20"/>
                <w:szCs w:val="18"/>
              </w:rPr>
              <w:t>Fan Design kW/cfm</w:t>
            </w:r>
          </w:p>
        </w:tc>
        <w:tc>
          <w:tcPr>
            <w:tcW w:w="969" w:type="pct"/>
            <w:shd w:val="clear" w:color="auto" w:fill="auto"/>
            <w:noWrap/>
          </w:tcPr>
          <w:p w14:paraId="71E82791" w14:textId="1CB03490" w:rsidR="00614D6A" w:rsidRPr="00943D85" w:rsidRDefault="007F40B1" w:rsidP="00943D85">
            <w:pPr>
              <w:spacing w:before="100" w:beforeAutospacing="1" w:after="100" w:afterAutospacing="1"/>
              <w:rPr>
                <w:rFonts w:eastAsia="Arial"/>
                <w:sz w:val="20"/>
                <w:szCs w:val="18"/>
              </w:rPr>
            </w:pPr>
            <w:r w:rsidRPr="00943D85">
              <w:rPr>
                <w:rFonts w:eastAsia="Arial"/>
                <w:bCs/>
                <w:sz w:val="20"/>
                <w:szCs w:val="18"/>
              </w:rPr>
              <w:t>SUPPLY-KW/FLOW</w:t>
            </w:r>
          </w:p>
        </w:tc>
        <w:tc>
          <w:tcPr>
            <w:tcW w:w="1399" w:type="pct"/>
            <w:shd w:val="clear" w:color="auto" w:fill="auto"/>
          </w:tcPr>
          <w:p w14:paraId="7242E128" w14:textId="77777777" w:rsidR="00614D6A" w:rsidRPr="00943D85" w:rsidRDefault="00614D6A" w:rsidP="00943D85">
            <w:pPr>
              <w:spacing w:before="100" w:beforeAutospacing="1" w:after="100" w:afterAutospacing="1"/>
              <w:rPr>
                <w:rFonts w:eastAsia="Arial"/>
                <w:sz w:val="20"/>
                <w:szCs w:val="18"/>
              </w:rPr>
            </w:pPr>
            <w:r w:rsidRPr="00943D85">
              <w:rPr>
                <w:rFonts w:eastAsia="Arial"/>
                <w:sz w:val="20"/>
                <w:szCs w:val="18"/>
              </w:rPr>
              <w:t xml:space="preserve">0.000580 </w:t>
            </w:r>
          </w:p>
        </w:tc>
        <w:tc>
          <w:tcPr>
            <w:tcW w:w="1398" w:type="pct"/>
            <w:shd w:val="clear" w:color="auto" w:fill="auto"/>
          </w:tcPr>
          <w:p w14:paraId="0AC4A290" w14:textId="32EEAAA3" w:rsidR="00614D6A" w:rsidRPr="00943D85" w:rsidRDefault="006C5D75" w:rsidP="00943D85">
            <w:pPr>
              <w:spacing w:before="100" w:beforeAutospacing="1" w:after="100" w:afterAutospacing="1"/>
              <w:rPr>
                <w:rFonts w:eastAsia="Arial"/>
                <w:sz w:val="20"/>
                <w:szCs w:val="18"/>
              </w:rPr>
            </w:pPr>
            <w:r w:rsidRPr="00943D85">
              <w:rPr>
                <w:rFonts w:eastAsia="Arial"/>
                <w:sz w:val="20"/>
                <w:szCs w:val="18"/>
              </w:rPr>
              <w:t>Title-24 2019 requirement</w:t>
            </w:r>
            <w:r w:rsidR="00614D6A" w:rsidRPr="00943D85">
              <w:rPr>
                <w:rFonts w:eastAsia="Arial"/>
                <w:sz w:val="20"/>
                <w:szCs w:val="18"/>
              </w:rPr>
              <w:t xml:space="preserve"> </w:t>
            </w:r>
          </w:p>
        </w:tc>
      </w:tr>
      <w:tr w:rsidR="0065255B" w:rsidRPr="00943D85" w14:paraId="1139C7EE" w14:textId="77777777" w:rsidTr="00943D85">
        <w:trPr>
          <w:trHeight w:val="20"/>
        </w:trPr>
        <w:tc>
          <w:tcPr>
            <w:tcW w:w="1234" w:type="pct"/>
            <w:shd w:val="clear" w:color="auto" w:fill="auto"/>
            <w:noWrap/>
            <w:hideMark/>
          </w:tcPr>
          <w:p w14:paraId="628461D1" w14:textId="77777777" w:rsidR="00614D6A" w:rsidRPr="00943D85" w:rsidRDefault="00614D6A" w:rsidP="00943D85">
            <w:pPr>
              <w:spacing w:before="100" w:beforeAutospacing="1" w:after="100" w:afterAutospacing="1"/>
              <w:jc w:val="both"/>
              <w:rPr>
                <w:rFonts w:eastAsia="Arial"/>
                <w:bCs/>
                <w:sz w:val="20"/>
                <w:szCs w:val="18"/>
              </w:rPr>
            </w:pPr>
            <w:r w:rsidRPr="00943D85">
              <w:rPr>
                <w:rFonts w:eastAsia="Arial"/>
                <w:bCs/>
                <w:sz w:val="20"/>
                <w:szCs w:val="18"/>
              </w:rPr>
              <w:t>Temperature Setpoints</w:t>
            </w:r>
          </w:p>
        </w:tc>
        <w:tc>
          <w:tcPr>
            <w:tcW w:w="969" w:type="pct"/>
            <w:shd w:val="clear" w:color="auto" w:fill="auto"/>
            <w:noWrap/>
            <w:hideMark/>
          </w:tcPr>
          <w:p w14:paraId="0BA98684" w14:textId="66F0B2DF" w:rsidR="00691C51" w:rsidRPr="00943D85" w:rsidRDefault="00691C51" w:rsidP="00943D85">
            <w:pPr>
              <w:spacing w:before="100" w:beforeAutospacing="1" w:after="100" w:afterAutospacing="1"/>
              <w:rPr>
                <w:rFonts w:eastAsia="Arial"/>
                <w:bCs/>
                <w:sz w:val="20"/>
                <w:szCs w:val="18"/>
              </w:rPr>
            </w:pPr>
            <w:r w:rsidRPr="00943D85">
              <w:rPr>
                <w:rFonts w:eastAsia="Arial"/>
                <w:bCs/>
                <w:sz w:val="20"/>
                <w:szCs w:val="18"/>
              </w:rPr>
              <w:t xml:space="preserve"> </w:t>
            </w:r>
            <w:r w:rsidR="00860C4B" w:rsidRPr="00943D85">
              <w:rPr>
                <w:rFonts w:eastAsia="Arial"/>
                <w:bCs/>
                <w:sz w:val="20"/>
                <w:szCs w:val="18"/>
              </w:rPr>
              <w:t>COOL-TEMP-SCH</w:t>
            </w:r>
          </w:p>
        </w:tc>
        <w:tc>
          <w:tcPr>
            <w:tcW w:w="1399" w:type="pct"/>
            <w:shd w:val="clear" w:color="auto" w:fill="auto"/>
          </w:tcPr>
          <w:p w14:paraId="34286F77" w14:textId="3DE6E1FE" w:rsidR="00691C51" w:rsidRPr="00943D85" w:rsidRDefault="00691C51" w:rsidP="00943D85">
            <w:pPr>
              <w:spacing w:before="100" w:beforeAutospacing="1" w:after="100" w:afterAutospacing="1"/>
              <w:rPr>
                <w:rFonts w:eastAsia="Arial"/>
                <w:sz w:val="20"/>
                <w:szCs w:val="18"/>
              </w:rPr>
            </w:pPr>
            <w:r w:rsidRPr="00943D85">
              <w:rPr>
                <w:rFonts w:eastAsia="Arial"/>
                <w:sz w:val="20"/>
                <w:szCs w:val="18"/>
              </w:rPr>
              <w:t>DEER2020 thermostat</w:t>
            </w:r>
            <w:r w:rsidR="008307AE" w:rsidRPr="00943D85">
              <w:rPr>
                <w:rFonts w:eastAsia="Arial"/>
                <w:sz w:val="20"/>
                <w:szCs w:val="18"/>
              </w:rPr>
              <w:t xml:space="preserve"> (including all 5 schedules)</w:t>
            </w:r>
            <w:r w:rsidRPr="00943D85">
              <w:rPr>
                <w:rFonts w:eastAsia="Arial"/>
                <w:sz w:val="20"/>
                <w:szCs w:val="18"/>
              </w:rPr>
              <w:t xml:space="preserve"> options for </w:t>
            </w:r>
            <w:proofErr w:type="spellStart"/>
            <w:r w:rsidRPr="00943D85">
              <w:rPr>
                <w:rFonts w:eastAsia="Arial"/>
                <w:sz w:val="20"/>
                <w:szCs w:val="18"/>
              </w:rPr>
              <w:t>SFm</w:t>
            </w:r>
            <w:proofErr w:type="spellEnd"/>
            <w:r w:rsidRPr="00943D85">
              <w:rPr>
                <w:rFonts w:eastAsia="Arial"/>
                <w:sz w:val="20"/>
                <w:szCs w:val="18"/>
              </w:rPr>
              <w:t xml:space="preserve"> and </w:t>
            </w:r>
            <w:proofErr w:type="spellStart"/>
            <w:r w:rsidRPr="00943D85">
              <w:rPr>
                <w:rFonts w:eastAsia="Arial"/>
                <w:sz w:val="20"/>
                <w:szCs w:val="18"/>
              </w:rPr>
              <w:t>DMo</w:t>
            </w:r>
            <w:proofErr w:type="spellEnd"/>
            <w:r w:rsidR="00F600F8" w:rsidRPr="00943D85">
              <w:rPr>
                <w:rFonts w:eastAsia="Arial"/>
                <w:sz w:val="20"/>
                <w:szCs w:val="18"/>
              </w:rPr>
              <w:t xml:space="preserve">. </w:t>
            </w:r>
          </w:p>
          <w:p w14:paraId="019A2589" w14:textId="7B4BE8B4" w:rsidR="00614D6A" w:rsidRPr="00943D85" w:rsidRDefault="0036352B" w:rsidP="00943D85">
            <w:pPr>
              <w:spacing w:before="100" w:beforeAutospacing="1" w:after="100" w:afterAutospacing="1"/>
              <w:rPr>
                <w:rFonts w:eastAsia="Arial"/>
                <w:sz w:val="20"/>
                <w:szCs w:val="18"/>
              </w:rPr>
            </w:pPr>
            <w:r w:rsidRPr="00943D85">
              <w:rPr>
                <w:rFonts w:eastAsia="Arial"/>
                <w:sz w:val="20"/>
                <w:szCs w:val="18"/>
              </w:rPr>
              <w:t xml:space="preserve">For </w:t>
            </w:r>
            <w:proofErr w:type="spellStart"/>
            <w:r w:rsidRPr="00943D85">
              <w:rPr>
                <w:rFonts w:eastAsia="Arial"/>
                <w:sz w:val="20"/>
                <w:szCs w:val="18"/>
              </w:rPr>
              <w:t>MFm</w:t>
            </w:r>
            <w:proofErr w:type="spellEnd"/>
            <w:r w:rsidRPr="00943D85">
              <w:rPr>
                <w:rFonts w:eastAsia="Arial"/>
                <w:sz w:val="20"/>
                <w:szCs w:val="18"/>
              </w:rPr>
              <w:t xml:space="preserve"> (Morning 75.2</w:t>
            </w:r>
            <w:r w:rsidR="008166C3" w:rsidRPr="00943D85">
              <w:rPr>
                <w:rFonts w:eastAsia="Arial"/>
                <w:sz w:val="20"/>
                <w:szCs w:val="18"/>
                <w:vertAlign w:val="superscript"/>
              </w:rPr>
              <w:t>o</w:t>
            </w:r>
            <w:r w:rsidR="008166C3" w:rsidRPr="00943D85">
              <w:rPr>
                <w:rFonts w:eastAsia="Arial"/>
                <w:sz w:val="20"/>
                <w:szCs w:val="18"/>
              </w:rPr>
              <w:t>F</w:t>
            </w:r>
            <w:r w:rsidRPr="00943D85">
              <w:rPr>
                <w:rFonts w:eastAsia="Arial"/>
                <w:sz w:val="20"/>
                <w:szCs w:val="18"/>
              </w:rPr>
              <w:t>, Day 75.0</w:t>
            </w:r>
            <w:r w:rsidR="008166C3" w:rsidRPr="00943D85">
              <w:rPr>
                <w:rFonts w:eastAsia="Arial"/>
                <w:sz w:val="20"/>
                <w:szCs w:val="18"/>
                <w:vertAlign w:val="superscript"/>
              </w:rPr>
              <w:t xml:space="preserve"> </w:t>
            </w:r>
            <w:proofErr w:type="spellStart"/>
            <w:r w:rsidR="008166C3" w:rsidRPr="00943D85">
              <w:rPr>
                <w:rFonts w:eastAsia="Arial"/>
                <w:sz w:val="20"/>
                <w:szCs w:val="18"/>
                <w:vertAlign w:val="superscript"/>
              </w:rPr>
              <w:t>o</w:t>
            </w:r>
            <w:r w:rsidR="008166C3" w:rsidRPr="00943D85">
              <w:rPr>
                <w:rFonts w:eastAsia="Arial"/>
                <w:sz w:val="20"/>
                <w:szCs w:val="18"/>
              </w:rPr>
              <w:t>F</w:t>
            </w:r>
            <w:proofErr w:type="spellEnd"/>
            <w:r w:rsidRPr="00943D85">
              <w:rPr>
                <w:rFonts w:eastAsia="Arial"/>
                <w:sz w:val="20"/>
                <w:szCs w:val="18"/>
              </w:rPr>
              <w:t>, Evening 74.8</w:t>
            </w:r>
            <w:r w:rsidR="008166C3" w:rsidRPr="00943D85">
              <w:rPr>
                <w:rFonts w:eastAsia="Arial"/>
                <w:sz w:val="20"/>
                <w:szCs w:val="18"/>
                <w:vertAlign w:val="superscript"/>
              </w:rPr>
              <w:t xml:space="preserve"> </w:t>
            </w:r>
            <w:proofErr w:type="spellStart"/>
            <w:r w:rsidR="008166C3" w:rsidRPr="00943D85">
              <w:rPr>
                <w:rFonts w:eastAsia="Arial"/>
                <w:sz w:val="20"/>
                <w:szCs w:val="18"/>
                <w:vertAlign w:val="superscript"/>
              </w:rPr>
              <w:t>o</w:t>
            </w:r>
            <w:r w:rsidR="008166C3" w:rsidRPr="00943D85">
              <w:rPr>
                <w:rFonts w:eastAsia="Arial"/>
                <w:sz w:val="20"/>
                <w:szCs w:val="18"/>
              </w:rPr>
              <w:t>F</w:t>
            </w:r>
            <w:proofErr w:type="spellEnd"/>
            <w:r w:rsidRPr="00943D85">
              <w:rPr>
                <w:rFonts w:eastAsia="Arial"/>
                <w:sz w:val="20"/>
                <w:szCs w:val="18"/>
              </w:rPr>
              <w:t xml:space="preserve"> and </w:t>
            </w:r>
            <w:r w:rsidR="008166C3" w:rsidRPr="00943D85">
              <w:rPr>
                <w:rFonts w:eastAsia="Arial"/>
                <w:sz w:val="20"/>
                <w:szCs w:val="18"/>
              </w:rPr>
              <w:t>Night 75.4</w:t>
            </w:r>
            <w:r w:rsidR="008166C3" w:rsidRPr="00943D85">
              <w:rPr>
                <w:rFonts w:eastAsia="Arial"/>
                <w:sz w:val="20"/>
                <w:szCs w:val="18"/>
                <w:vertAlign w:val="superscript"/>
              </w:rPr>
              <w:t xml:space="preserve"> </w:t>
            </w:r>
            <w:proofErr w:type="spellStart"/>
            <w:r w:rsidR="008166C3" w:rsidRPr="00943D85">
              <w:rPr>
                <w:rFonts w:eastAsia="Arial"/>
                <w:sz w:val="20"/>
                <w:szCs w:val="18"/>
                <w:vertAlign w:val="superscript"/>
              </w:rPr>
              <w:t>o</w:t>
            </w:r>
            <w:r w:rsidR="008166C3" w:rsidRPr="00943D85">
              <w:rPr>
                <w:rFonts w:eastAsia="Arial"/>
                <w:sz w:val="20"/>
                <w:szCs w:val="18"/>
              </w:rPr>
              <w:t>F</w:t>
            </w:r>
            <w:proofErr w:type="spellEnd"/>
            <w:r w:rsidR="008166C3" w:rsidRPr="00943D85">
              <w:rPr>
                <w:rFonts w:eastAsia="Arial"/>
                <w:sz w:val="20"/>
                <w:szCs w:val="18"/>
              </w:rPr>
              <w:t>)</w:t>
            </w:r>
            <w:r w:rsidR="00F600F8" w:rsidRPr="00943D85">
              <w:rPr>
                <w:rFonts w:eastAsia="Arial"/>
                <w:sz w:val="20"/>
                <w:szCs w:val="18"/>
              </w:rPr>
              <w:t xml:space="preserve"> </w:t>
            </w:r>
          </w:p>
        </w:tc>
        <w:tc>
          <w:tcPr>
            <w:tcW w:w="1398" w:type="pct"/>
            <w:shd w:val="clear" w:color="auto" w:fill="auto"/>
          </w:tcPr>
          <w:p w14:paraId="55CE5501" w14:textId="77777777" w:rsidR="00614D6A" w:rsidRPr="00943D85" w:rsidRDefault="00613AB6" w:rsidP="00943D85">
            <w:pPr>
              <w:spacing w:before="100" w:beforeAutospacing="1" w:after="100" w:afterAutospacing="1"/>
              <w:rPr>
                <w:rFonts w:eastAsia="Arial"/>
                <w:sz w:val="20"/>
                <w:szCs w:val="18"/>
              </w:rPr>
            </w:pPr>
            <w:r w:rsidRPr="00943D85">
              <w:rPr>
                <w:rFonts w:eastAsia="Arial"/>
                <w:sz w:val="20"/>
                <w:szCs w:val="18"/>
              </w:rPr>
              <w:t xml:space="preserve">No modification on </w:t>
            </w:r>
            <w:proofErr w:type="spellStart"/>
            <w:r w:rsidRPr="00943D85">
              <w:rPr>
                <w:rFonts w:eastAsia="Arial"/>
                <w:sz w:val="20"/>
                <w:szCs w:val="18"/>
              </w:rPr>
              <w:t>SFm</w:t>
            </w:r>
            <w:proofErr w:type="spellEnd"/>
            <w:r w:rsidRPr="00943D85">
              <w:rPr>
                <w:rFonts w:eastAsia="Arial"/>
                <w:sz w:val="20"/>
                <w:szCs w:val="18"/>
              </w:rPr>
              <w:t xml:space="preserve"> and </w:t>
            </w:r>
            <w:proofErr w:type="spellStart"/>
            <w:r w:rsidRPr="00943D85">
              <w:rPr>
                <w:rFonts w:eastAsia="Arial"/>
                <w:sz w:val="20"/>
                <w:szCs w:val="18"/>
              </w:rPr>
              <w:t>DMo</w:t>
            </w:r>
            <w:proofErr w:type="spellEnd"/>
            <w:r w:rsidRPr="00943D85">
              <w:rPr>
                <w:rFonts w:eastAsia="Arial"/>
                <w:sz w:val="20"/>
                <w:szCs w:val="18"/>
              </w:rPr>
              <w:t xml:space="preserve">. </w:t>
            </w:r>
          </w:p>
          <w:p w14:paraId="119EB95C" w14:textId="63311709" w:rsidR="008166C3" w:rsidRPr="00943D85" w:rsidRDefault="008166C3" w:rsidP="00943D85">
            <w:pPr>
              <w:spacing w:before="100" w:beforeAutospacing="1" w:after="100" w:afterAutospacing="1"/>
              <w:rPr>
                <w:rFonts w:eastAsia="Arial"/>
                <w:sz w:val="20"/>
                <w:szCs w:val="18"/>
              </w:rPr>
            </w:pPr>
            <w:proofErr w:type="spellStart"/>
            <w:r w:rsidRPr="00943D85">
              <w:rPr>
                <w:rFonts w:eastAsia="Arial"/>
                <w:sz w:val="20"/>
                <w:szCs w:val="18"/>
              </w:rPr>
              <w:t>MFm</w:t>
            </w:r>
            <w:proofErr w:type="spellEnd"/>
            <w:r w:rsidRPr="00943D85">
              <w:rPr>
                <w:rFonts w:eastAsia="Arial"/>
                <w:sz w:val="20"/>
                <w:szCs w:val="18"/>
              </w:rPr>
              <w:t xml:space="preserve"> schedule based on </w:t>
            </w:r>
            <w:r w:rsidR="001F37C0" w:rsidRPr="00943D85">
              <w:rPr>
                <w:rFonts w:eastAsia="Arial"/>
                <w:sz w:val="20"/>
                <w:szCs w:val="18"/>
              </w:rPr>
              <w:t>the</w:t>
            </w:r>
            <w:r w:rsidR="001D54AB" w:rsidRPr="00943D85">
              <w:rPr>
                <w:rFonts w:eastAsia="Arial"/>
                <w:sz w:val="20"/>
                <w:szCs w:val="18"/>
              </w:rPr>
              <w:t xml:space="preserve"> study</w:t>
            </w:r>
            <w:r w:rsidR="005F54CC" w:rsidRPr="00943D85">
              <w:rPr>
                <w:rStyle w:val="FootnoteReference"/>
                <w:rFonts w:eastAsia="Arial"/>
                <w:sz w:val="20"/>
                <w:szCs w:val="18"/>
              </w:rPr>
              <w:footnoteReference w:id="5"/>
            </w:r>
            <w:r w:rsidR="001D54AB" w:rsidRPr="00943D85">
              <w:rPr>
                <w:rFonts w:eastAsia="Arial"/>
                <w:sz w:val="20"/>
                <w:szCs w:val="18"/>
              </w:rPr>
              <w:t xml:space="preserve"> </w:t>
            </w:r>
            <w:r w:rsidR="001F37C0" w:rsidRPr="00943D85">
              <w:rPr>
                <w:rFonts w:eastAsia="Arial"/>
                <w:sz w:val="20"/>
                <w:szCs w:val="18"/>
              </w:rPr>
              <w:t>instituted by SCE</w:t>
            </w:r>
          </w:p>
        </w:tc>
      </w:tr>
    </w:tbl>
    <w:p w14:paraId="312EFE80" w14:textId="77777777" w:rsidR="009F047B" w:rsidRDefault="009F047B" w:rsidP="00943D85"/>
    <w:p w14:paraId="3C3CA951" w14:textId="42421893" w:rsidR="009B6413" w:rsidRDefault="005254E4" w:rsidP="008B3223">
      <w:pPr>
        <w:pStyle w:val="eTRMBulletedText"/>
      </w:pPr>
      <w:r>
        <w:t xml:space="preserve">The </w:t>
      </w:r>
      <w:r w:rsidR="005060D9" w:rsidRPr="00943D85">
        <w:t xml:space="preserve">DEER2020 thermostat options, </w:t>
      </w:r>
      <w:r w:rsidR="00DA469C" w:rsidRPr="00943D85">
        <w:t>the</w:t>
      </w:r>
      <w:r w:rsidR="005060D9" w:rsidRPr="00943D85">
        <w:t xml:space="preserve"> five thermostat </w:t>
      </w:r>
      <w:r w:rsidR="00F10626" w:rsidRPr="00943D85">
        <w:t>schedules</w:t>
      </w:r>
      <w:r w:rsidR="00FF31B9" w:rsidRPr="00943D85">
        <w:t>,</w:t>
      </w:r>
      <w:r w:rsidR="00F10626" w:rsidRPr="00943D85">
        <w:t xml:space="preserve"> </w:t>
      </w:r>
      <w:r w:rsidR="00972272" w:rsidRPr="00943D85">
        <w:t>were</w:t>
      </w:r>
      <w:r w:rsidR="00F10626" w:rsidRPr="00943D85">
        <w:t xml:space="preserve"> considered for </w:t>
      </w:r>
      <w:r w:rsidR="00257FF5" w:rsidRPr="00943D85">
        <w:t>single family</w:t>
      </w:r>
      <w:r w:rsidR="004C68B0" w:rsidRPr="00943D85">
        <w:t xml:space="preserve"> and </w:t>
      </w:r>
      <w:r w:rsidR="00257FF5" w:rsidRPr="00943D85">
        <w:t>double-wide mobile homes</w:t>
      </w:r>
      <w:r w:rsidR="004C68B0" w:rsidRPr="00943D85">
        <w:t xml:space="preserve"> and </w:t>
      </w:r>
      <w:r>
        <w:t xml:space="preserve">the </w:t>
      </w:r>
      <w:r w:rsidR="004C68B0" w:rsidRPr="00943D85">
        <w:t>thermostat</w:t>
      </w:r>
      <w:r w:rsidR="00E2724C" w:rsidRPr="00943D85">
        <w:t>-</w:t>
      </w:r>
      <w:r w:rsidR="004C68B0" w:rsidRPr="00943D85">
        <w:t xml:space="preserve">weighted savings </w:t>
      </w:r>
      <w:r w:rsidR="00257FF5" w:rsidRPr="00943D85">
        <w:t>were</w:t>
      </w:r>
      <w:r w:rsidR="004C68B0" w:rsidRPr="00943D85">
        <w:t xml:space="preserve"> calculated</w:t>
      </w:r>
      <w:r w:rsidR="00972272" w:rsidRPr="00943D85">
        <w:t xml:space="preserve"> (</w:t>
      </w:r>
      <w:r w:rsidR="004C68B0" w:rsidRPr="00943D85">
        <w:t>as discussed later in the calculation</w:t>
      </w:r>
      <w:r w:rsidR="001C1629" w:rsidRPr="00943D85">
        <w:t>s</w:t>
      </w:r>
      <w:r w:rsidR="00972272" w:rsidRPr="00943D85">
        <w:t>)</w:t>
      </w:r>
      <w:r w:rsidR="001C1629" w:rsidRPr="00943D85">
        <w:t>.</w:t>
      </w:r>
      <w:r w:rsidR="001C1629">
        <w:t xml:space="preserve"> </w:t>
      </w:r>
    </w:p>
    <w:p w14:paraId="79034A1D" w14:textId="40CD1B2C" w:rsidR="00F10626" w:rsidRDefault="005D2D73" w:rsidP="00943D85">
      <w:pPr>
        <w:pStyle w:val="eTRMBulletedText"/>
        <w:numPr>
          <w:ilvl w:val="0"/>
          <w:numId w:val="0"/>
        </w:numPr>
        <w:ind w:left="720"/>
      </w:pPr>
      <w:r>
        <w:t xml:space="preserve">For </w:t>
      </w:r>
      <w:r w:rsidR="00257FF5">
        <w:t>multifamily</w:t>
      </w:r>
      <w:r>
        <w:t xml:space="preserve">, </w:t>
      </w:r>
      <w:r w:rsidR="008B3223">
        <w:t>because of</w:t>
      </w:r>
      <w:r>
        <w:t xml:space="preserve"> the large amount of data that need</w:t>
      </w:r>
      <w:r w:rsidR="00E2724C">
        <w:t>ed</w:t>
      </w:r>
      <w:r>
        <w:t xml:space="preserve"> to</w:t>
      </w:r>
      <w:r w:rsidR="00A518F3">
        <w:t xml:space="preserve"> be</w:t>
      </w:r>
      <w:r>
        <w:t xml:space="preserve"> </w:t>
      </w:r>
      <w:r w:rsidR="00E53CB4">
        <w:t>processed</w:t>
      </w:r>
      <w:r w:rsidR="00073D40">
        <w:t xml:space="preserve">, </w:t>
      </w:r>
      <w:r w:rsidR="00E53CB4">
        <w:t>the</w:t>
      </w:r>
      <w:r>
        <w:t xml:space="preserve"> five thermostat</w:t>
      </w:r>
      <w:r w:rsidR="00073D40">
        <w:t xml:space="preserve"> options</w:t>
      </w:r>
      <w:r w:rsidR="00E53CB4">
        <w:t xml:space="preserve"> </w:t>
      </w:r>
      <w:proofErr w:type="gramStart"/>
      <w:r w:rsidR="008307AE">
        <w:t>was</w:t>
      </w:r>
      <w:proofErr w:type="gramEnd"/>
      <w:r w:rsidR="008307AE">
        <w:t xml:space="preserve"> simplified</w:t>
      </w:r>
      <w:r w:rsidR="008B3223">
        <w:t xml:space="preserve"> and </w:t>
      </w:r>
      <w:r w:rsidR="007F4532">
        <w:t xml:space="preserve">the average of </w:t>
      </w:r>
      <w:r w:rsidR="00713185">
        <w:t xml:space="preserve">cooling </w:t>
      </w:r>
      <w:r w:rsidR="003D0B76">
        <w:t>thermostat</w:t>
      </w:r>
      <w:r w:rsidR="00713185">
        <w:t xml:space="preserve"> setpoints </w:t>
      </w:r>
      <w:r w:rsidR="00972272">
        <w:t xml:space="preserve">was used instead. This average was reported </w:t>
      </w:r>
      <w:r w:rsidR="00713185" w:rsidRPr="00943D85">
        <w:t xml:space="preserve">in </w:t>
      </w:r>
      <w:r w:rsidR="008B3223" w:rsidRPr="00943D85">
        <w:t>a</w:t>
      </w:r>
      <w:r w:rsidR="00E2724C" w:rsidRPr="00943D85">
        <w:t xml:space="preserve"> </w:t>
      </w:r>
      <w:r w:rsidR="008B3223" w:rsidRPr="00943D85">
        <w:t xml:space="preserve">2004 thermostat </w:t>
      </w:r>
      <w:r w:rsidR="00713185" w:rsidRPr="00943D85">
        <w:t>study</w:t>
      </w:r>
      <w:r w:rsidR="006E186C">
        <w:t xml:space="preserve"> conducted by Southern California Edison (SCE)</w:t>
      </w:r>
      <w:r w:rsidR="00D40098" w:rsidRPr="00943D85">
        <w:rPr>
          <w:vertAlign w:val="superscript"/>
        </w:rPr>
        <w:footnoteReference w:id="6"/>
      </w:r>
      <w:r w:rsidR="00D40098">
        <w:t xml:space="preserve"> </w:t>
      </w:r>
      <w:r w:rsidR="002B061A">
        <w:t xml:space="preserve">for five regions </w:t>
      </w:r>
      <w:r w:rsidR="00DD05F8">
        <w:t>(</w:t>
      </w:r>
      <w:r w:rsidR="00DD05F8" w:rsidRPr="00943D85">
        <w:t>North Coast, South Coast, Central Valley, South Inland</w:t>
      </w:r>
      <w:r w:rsidR="009B6413">
        <w:t>,</w:t>
      </w:r>
      <w:r w:rsidR="00DD05F8" w:rsidRPr="00943D85">
        <w:t xml:space="preserve"> and Desert) </w:t>
      </w:r>
      <w:r w:rsidR="00E2724C">
        <w:t>were</w:t>
      </w:r>
      <w:r w:rsidR="00DD05F8">
        <w:t xml:space="preserve"> used</w:t>
      </w:r>
      <w:r w:rsidR="006E186C">
        <w:t xml:space="preserve"> instead</w:t>
      </w:r>
      <w:r w:rsidR="00DD05F8">
        <w:t xml:space="preserve">. </w:t>
      </w:r>
      <w:r w:rsidR="00FC3E0E">
        <w:t xml:space="preserve">The thermostat setpoints referenced in </w:t>
      </w:r>
      <w:r w:rsidR="00972272">
        <w:t xml:space="preserve">the 2004 </w:t>
      </w:r>
      <w:r w:rsidR="006E186C">
        <w:t xml:space="preserve">thermostat </w:t>
      </w:r>
      <w:r w:rsidR="00FC3E0E">
        <w:t xml:space="preserve">study </w:t>
      </w:r>
      <w:r w:rsidR="00972272">
        <w:t>were</w:t>
      </w:r>
      <w:r w:rsidR="00D40098">
        <w:t xml:space="preserve"> based on </w:t>
      </w:r>
      <w:r w:rsidR="00605A62" w:rsidRPr="00943D85">
        <w:t>Residential Appliance Saturation Survey</w:t>
      </w:r>
      <w:r w:rsidR="00FF0FEE">
        <w:rPr>
          <w:rFonts w:ascii="PalatinoRegular" w:hAnsi="PalatinoRegular" w:cs="PalatinoRegular"/>
          <w:sz w:val="24"/>
        </w:rPr>
        <w:t xml:space="preserve"> (</w:t>
      </w:r>
      <w:r w:rsidR="004D7001">
        <w:t>RASS</w:t>
      </w:r>
      <w:r w:rsidR="00FF0FEE">
        <w:t>)</w:t>
      </w:r>
      <w:r w:rsidR="004D7001">
        <w:t xml:space="preserve"> </w:t>
      </w:r>
      <w:r w:rsidR="0014014C">
        <w:t>data.</w:t>
      </w:r>
      <w:r w:rsidR="007E226C">
        <w:rPr>
          <w:rStyle w:val="FootnoteReference"/>
          <w:rFonts w:cstheme="minorHAnsi"/>
          <w:szCs w:val="22"/>
        </w:rPr>
        <w:footnoteReference w:id="7"/>
      </w:r>
      <w:r w:rsidR="0014014C">
        <w:t xml:space="preserve"> </w:t>
      </w:r>
    </w:p>
    <w:p w14:paraId="005F78D3" w14:textId="6B55C2CD" w:rsidR="009B6413" w:rsidRDefault="005643A3" w:rsidP="008B3223">
      <w:pPr>
        <w:pStyle w:val="eTRMBulletedText"/>
      </w:pPr>
      <w:r w:rsidRPr="00932F95">
        <w:t xml:space="preserve">Weather data files corresponding to CZ2010 </w:t>
      </w:r>
      <w:r w:rsidR="00E2724C">
        <w:t>were</w:t>
      </w:r>
      <w:r w:rsidR="00E2724C" w:rsidRPr="00932F95">
        <w:t xml:space="preserve"> </w:t>
      </w:r>
      <w:r w:rsidRPr="00932F95">
        <w:t xml:space="preserve">used to run the eQuest simulations. The baseline energy consumption was established using </w:t>
      </w:r>
      <w:r w:rsidR="00E2724C">
        <w:t>b</w:t>
      </w:r>
      <w:r w:rsidR="00E2724C" w:rsidRPr="00932F95">
        <w:t xml:space="preserve">uilding </w:t>
      </w:r>
      <w:r w:rsidR="00E2724C">
        <w:t>e</w:t>
      </w:r>
      <w:r w:rsidRPr="00932F95">
        <w:t xml:space="preserve">nergy </w:t>
      </w:r>
      <w:r w:rsidR="00E2724C">
        <w:t>s</w:t>
      </w:r>
      <w:r w:rsidRPr="00932F95">
        <w:t xml:space="preserve">imulation software eQuest v3.65 </w:t>
      </w:r>
      <w:r w:rsidR="0079217A">
        <w:t>Built 7175</w:t>
      </w:r>
      <w:r w:rsidRPr="00932F95">
        <w:t>(DOE2.3). Following each simulation, hourly report blocks were generated, and four hourly variables were captured from the eQuest simulations on an annual basis: Total Cooling Load (Btu/</w:t>
      </w:r>
      <w:proofErr w:type="spellStart"/>
      <w:r w:rsidRPr="00932F95">
        <w:t>hr</w:t>
      </w:r>
      <w:proofErr w:type="spellEnd"/>
      <w:r w:rsidRPr="00932F95">
        <w:t>), Condensing Unit Energy (kWh), Supply (indoor) Fan Energy (kWh), and AC Total Cooling Capacity (Btu/</w:t>
      </w:r>
      <w:proofErr w:type="spellStart"/>
      <w:r w:rsidRPr="00932F95">
        <w:t>hr</w:t>
      </w:r>
      <w:proofErr w:type="spellEnd"/>
      <w:r w:rsidRPr="00932F95">
        <w:t xml:space="preserve">). </w:t>
      </w:r>
    </w:p>
    <w:p w14:paraId="4062BC6A" w14:textId="6F69D347" w:rsidR="005643A3" w:rsidRDefault="005643A3" w:rsidP="00943D85">
      <w:pPr>
        <w:pStyle w:val="eTRMBulletedText"/>
        <w:numPr>
          <w:ilvl w:val="0"/>
          <w:numId w:val="0"/>
        </w:numPr>
        <w:ind w:left="720"/>
      </w:pPr>
      <w:r w:rsidRPr="00932F95">
        <w:t xml:space="preserve">An hourly report block </w:t>
      </w:r>
      <w:r w:rsidR="00E2724C">
        <w:t>was</w:t>
      </w:r>
      <w:r w:rsidR="00E2724C" w:rsidRPr="00932F95">
        <w:t xml:space="preserve"> </w:t>
      </w:r>
      <w:r w:rsidRPr="00932F95">
        <w:t xml:space="preserve">generated for each unit in a DEER prototype. For example, a </w:t>
      </w:r>
      <w:r w:rsidR="006E186C">
        <w:t>double-wide mobile home</w:t>
      </w:r>
      <w:r w:rsidR="006E186C" w:rsidRPr="00932F95">
        <w:t xml:space="preserve"> </w:t>
      </w:r>
      <w:r w:rsidRPr="00932F95">
        <w:t xml:space="preserve">simulation has </w:t>
      </w:r>
      <w:r w:rsidR="00E2724C">
        <w:t>two</w:t>
      </w:r>
      <w:r w:rsidRPr="00932F95">
        <w:t xml:space="preserve"> units and generates </w:t>
      </w:r>
      <w:r w:rsidR="00E2724C">
        <w:t>two</w:t>
      </w:r>
      <w:r w:rsidRPr="00932F95">
        <w:t xml:space="preserve"> hourly report blocks; a </w:t>
      </w:r>
      <w:r w:rsidR="006E186C">
        <w:t>multifamily</w:t>
      </w:r>
      <w:r w:rsidR="006E186C" w:rsidRPr="00932F95">
        <w:t xml:space="preserve"> </w:t>
      </w:r>
      <w:r w:rsidRPr="00932F95">
        <w:t xml:space="preserve">simulation has a total of </w:t>
      </w:r>
      <w:r w:rsidR="00116260" w:rsidRPr="00932F95">
        <w:t>2</w:t>
      </w:r>
      <w:r w:rsidR="00116260">
        <w:t>4</w:t>
      </w:r>
      <w:r w:rsidR="00116260" w:rsidRPr="00932F95">
        <w:t xml:space="preserve"> </w:t>
      </w:r>
      <w:r w:rsidRPr="00932F95">
        <w:t xml:space="preserve">units and generates </w:t>
      </w:r>
      <w:r w:rsidR="00116260" w:rsidRPr="00932F95">
        <w:t>2</w:t>
      </w:r>
      <w:r w:rsidR="00116260">
        <w:t>4</w:t>
      </w:r>
      <w:r w:rsidR="00116260" w:rsidRPr="00932F95">
        <w:t xml:space="preserve"> </w:t>
      </w:r>
      <w:r w:rsidRPr="00932F95">
        <w:t xml:space="preserve">hourly report blocks. </w:t>
      </w:r>
      <w:r w:rsidR="008669D2">
        <w:t xml:space="preserve">The </w:t>
      </w:r>
      <w:r w:rsidR="00E2724C">
        <w:t>four</w:t>
      </w:r>
      <w:r w:rsidR="008669D2">
        <w:t xml:space="preserve"> circulation units in </w:t>
      </w:r>
      <w:r w:rsidR="006E186C">
        <w:t>the multifamily</w:t>
      </w:r>
      <w:r w:rsidR="008669D2">
        <w:t xml:space="preserve"> building prototypes </w:t>
      </w:r>
      <w:r w:rsidR="0051571C">
        <w:t xml:space="preserve">are not apartment units and </w:t>
      </w:r>
      <w:r w:rsidR="00E2724C">
        <w:t>were</w:t>
      </w:r>
      <w:r w:rsidR="0051571C">
        <w:t xml:space="preserve"> excluded from this measure analysis. </w:t>
      </w:r>
    </w:p>
    <w:p w14:paraId="2AB086AD" w14:textId="0AA84EF4" w:rsidR="00E04766" w:rsidRDefault="005643A3" w:rsidP="00943D85">
      <w:pPr>
        <w:pStyle w:val="eTRMBulletedText"/>
      </w:pPr>
      <w:r w:rsidRPr="00932F95">
        <w:lastRenderedPageBreak/>
        <w:t xml:space="preserve">This </w:t>
      </w:r>
      <w:r w:rsidR="000F7DC3">
        <w:t>measure</w:t>
      </w:r>
      <w:r w:rsidR="000F7DC3" w:rsidRPr="00932F95">
        <w:t xml:space="preserve"> </w:t>
      </w:r>
      <w:r w:rsidRPr="00932F95">
        <w:t xml:space="preserve">is limited to cooling savings and excludes the evaluation of gas/electric heating savings. Therefore, only the </w:t>
      </w:r>
      <w:r w:rsidR="000F7DC3">
        <w:t>supply fan energy</w:t>
      </w:r>
      <w:r w:rsidRPr="00932F95">
        <w:t xml:space="preserve"> specific to cooling purposes is incorporated in the </w:t>
      </w:r>
      <w:r w:rsidR="000F7DC3">
        <w:t>t</w:t>
      </w:r>
      <w:r w:rsidRPr="00932F95">
        <w:t xml:space="preserve">otal </w:t>
      </w:r>
      <w:r w:rsidR="000F7DC3">
        <w:t>b</w:t>
      </w:r>
      <w:r w:rsidRPr="00932F95">
        <w:t xml:space="preserve">aseline AC </w:t>
      </w:r>
      <w:r w:rsidR="000F7DC3">
        <w:t>en</w:t>
      </w:r>
      <w:r w:rsidRPr="00932F95">
        <w:t xml:space="preserve">ergy </w:t>
      </w:r>
      <w:r w:rsidR="000F7DC3">
        <w:t>u</w:t>
      </w:r>
      <w:r w:rsidRPr="00932F95">
        <w:t xml:space="preserve">sage. The following equation </w:t>
      </w:r>
      <w:r w:rsidR="005254E4">
        <w:t>was</w:t>
      </w:r>
      <w:r w:rsidR="005254E4" w:rsidRPr="00932F95">
        <w:t xml:space="preserve"> </w:t>
      </w:r>
      <w:r w:rsidRPr="00932F95">
        <w:t xml:space="preserve">used to compute the </w:t>
      </w:r>
      <w:r w:rsidR="000F7DC3">
        <w:t>t</w:t>
      </w:r>
      <w:r w:rsidRPr="00932F95">
        <w:t xml:space="preserve">otal </w:t>
      </w:r>
      <w:r w:rsidR="000F7DC3">
        <w:t>b</w:t>
      </w:r>
      <w:r w:rsidRPr="00932F95">
        <w:t xml:space="preserve">aseline AC </w:t>
      </w:r>
      <w:r w:rsidR="001E41A8">
        <w:t>e</w:t>
      </w:r>
      <w:r w:rsidRPr="00932F95">
        <w:t xml:space="preserve">nergy </w:t>
      </w:r>
      <w:r w:rsidR="001E41A8">
        <w:t>u</w:t>
      </w:r>
      <w:r w:rsidRPr="00932F95">
        <w:t>sage</w:t>
      </w:r>
      <w:r w:rsidR="00FC6A0F">
        <w:t xml:space="preserve"> when the </w:t>
      </w:r>
      <w:r w:rsidR="005254E4">
        <w:t>c</w:t>
      </w:r>
      <w:r w:rsidR="00495181">
        <w:t xml:space="preserve">ooling </w:t>
      </w:r>
      <w:r w:rsidR="005254E4">
        <w:t>l</w:t>
      </w:r>
      <w:r w:rsidR="00495181">
        <w:t>oad (Btu/</w:t>
      </w:r>
      <w:proofErr w:type="spellStart"/>
      <w:r w:rsidR="00495181">
        <w:t>hr</w:t>
      </w:r>
      <w:proofErr w:type="spellEnd"/>
      <w:r w:rsidR="00495181">
        <w:t>) exists.</w:t>
      </w:r>
    </w:p>
    <w:p w14:paraId="6CCA26C3" w14:textId="512B65DA" w:rsidR="005643A3" w:rsidRPr="00932F95" w:rsidRDefault="00495181" w:rsidP="00943D85">
      <w:pPr>
        <w:pStyle w:val="ListParagraph"/>
        <w:numPr>
          <w:ilvl w:val="0"/>
          <w:numId w:val="0"/>
        </w:numPr>
        <w:spacing w:before="0" w:after="0" w:line="240" w:lineRule="auto"/>
        <w:ind w:left="720"/>
        <w:jc w:val="both"/>
        <w:rPr>
          <w:rFonts w:cstheme="minorHAnsi"/>
          <w:szCs w:val="22"/>
        </w:rPr>
      </w:pPr>
      <w:r>
        <w:rPr>
          <w:rFonts w:cstheme="minorHAnsi"/>
          <w:szCs w:val="22"/>
        </w:rPr>
        <w:t xml:space="preserve"> </w:t>
      </w:r>
    </w:p>
    <w:p w14:paraId="08EF2F38" w14:textId="4353E3DB" w:rsidR="00E04766" w:rsidRPr="00943D85" w:rsidRDefault="00010E92" w:rsidP="00943D85">
      <w:pPr>
        <w:pStyle w:val="Reminder"/>
        <w:ind w:left="720"/>
        <w:rPr>
          <w:rFonts w:ascii="Calibri Light" w:hAnsi="Calibri Light" w:cs="Calibri Light"/>
          <w:color w:val="auto"/>
        </w:rPr>
      </w:pPr>
      <m:oMathPara>
        <m:oMath>
          <m:r>
            <w:rPr>
              <w:rFonts w:ascii="Cambria Math" w:hAnsi="Cambria Math" w:cstheme="minorHAnsi"/>
              <w:color w:val="auto"/>
              <w:sz w:val="18"/>
            </w:rPr>
            <m:t xml:space="preserve">Total Baseline AC Energy Usage </m:t>
          </m:r>
          <m:d>
            <m:dPr>
              <m:ctrlPr>
                <w:rPr>
                  <w:rFonts w:ascii="Cambria Math" w:hAnsi="Cambria Math" w:cstheme="minorHAnsi"/>
                  <w:color w:val="auto"/>
                  <w:sz w:val="18"/>
                </w:rPr>
              </m:ctrlPr>
            </m:dPr>
            <m:e>
              <m:r>
                <w:rPr>
                  <w:rFonts w:ascii="Cambria Math" w:hAnsi="Cambria Math" w:cstheme="minorHAnsi"/>
                  <w:color w:val="auto"/>
                  <w:sz w:val="18"/>
                </w:rPr>
                <m:t>kWh</m:t>
              </m:r>
            </m:e>
          </m:d>
          <m:r>
            <w:rPr>
              <w:rFonts w:ascii="Cambria Math" w:hAnsi="Cambria Math" w:cstheme="minorHAnsi"/>
              <w:color w:val="auto"/>
              <w:sz w:val="18"/>
            </w:rPr>
            <m:t>=Condensing Unit Energy</m:t>
          </m:r>
          <m:d>
            <m:dPr>
              <m:ctrlPr>
                <w:rPr>
                  <w:rFonts w:ascii="Cambria Math" w:hAnsi="Cambria Math" w:cstheme="minorHAnsi"/>
                  <w:color w:val="auto"/>
                  <w:sz w:val="18"/>
                </w:rPr>
              </m:ctrlPr>
            </m:dPr>
            <m:e>
              <m:r>
                <w:rPr>
                  <w:rFonts w:ascii="Cambria Math" w:hAnsi="Cambria Math" w:cstheme="minorHAnsi"/>
                  <w:color w:val="auto"/>
                  <w:sz w:val="18"/>
                </w:rPr>
                <m:t>kWh</m:t>
              </m:r>
            </m:e>
          </m:d>
          <m:r>
            <w:rPr>
              <w:rFonts w:ascii="Cambria Math" w:hAnsi="Cambria Math" w:cstheme="minorHAnsi"/>
              <w:color w:val="auto"/>
              <w:sz w:val="18"/>
            </w:rPr>
            <m:t>+Supply Fan Energy (kWh)</m:t>
          </m:r>
          <m:r>
            <w:rPr>
              <w:rFonts w:cstheme="minorHAnsi"/>
              <w:color w:val="auto"/>
              <w:sz w:val="18"/>
            </w:rPr>
            <w:br/>
          </m:r>
        </m:oMath>
      </m:oMathPara>
    </w:p>
    <w:p w14:paraId="3F4F02E4" w14:textId="11F78CD0" w:rsidR="00010E92" w:rsidRDefault="00E2724C" w:rsidP="00943D85">
      <w:pPr>
        <w:pStyle w:val="eTRMBulletedText"/>
      </w:pPr>
      <w:r>
        <w:t>The a</w:t>
      </w:r>
      <w:r w:rsidR="00010E92" w:rsidRPr="00932F95">
        <w:t xml:space="preserve">pproach </w:t>
      </w:r>
      <w:r>
        <w:t>to estimate the</w:t>
      </w:r>
      <w:r w:rsidR="00010E92" w:rsidRPr="00932F95">
        <w:t xml:space="preserve"> energy and demand saving potentials on the measure leverages </w:t>
      </w:r>
      <w:r>
        <w:t xml:space="preserve">the </w:t>
      </w:r>
      <w:r w:rsidR="00010E92" w:rsidRPr="00943D85">
        <w:t xml:space="preserve">SCE </w:t>
      </w:r>
      <w:r w:rsidR="00495181" w:rsidRPr="00943D85">
        <w:t xml:space="preserve">ET </w:t>
      </w:r>
      <w:r w:rsidR="005254E4" w:rsidRPr="00943D85">
        <w:t>S</w:t>
      </w:r>
      <w:r w:rsidR="00495181" w:rsidRPr="00943D85">
        <w:t>tudy</w:t>
      </w:r>
      <w:r w:rsidR="00495181">
        <w:t xml:space="preserve"> </w:t>
      </w:r>
      <w:r>
        <w:t>that</w:t>
      </w:r>
      <w:r w:rsidRPr="00932F95">
        <w:t xml:space="preserve"> </w:t>
      </w:r>
      <w:r w:rsidR="00010E92" w:rsidRPr="00932F95">
        <w:t xml:space="preserve">evaluated the feasibility and the potential electrical demand and energy savings due to fan delayed (cycle-off) periods for a central residential AC unit. Findings from </w:t>
      </w:r>
      <w:r>
        <w:t xml:space="preserve">the </w:t>
      </w:r>
      <w:r w:rsidR="00010E92" w:rsidRPr="00932F95">
        <w:t>study suggest that electrical energy savings potential var</w:t>
      </w:r>
      <w:r>
        <w:t>y</w:t>
      </w:r>
      <w:r w:rsidR="00010E92" w:rsidRPr="00932F95">
        <w:t xml:space="preserve"> as a function of fan delayed periods and </w:t>
      </w:r>
      <w:r>
        <w:t>PLRs</w:t>
      </w:r>
      <w:r w:rsidR="00010E92" w:rsidRPr="00932F95">
        <w:t>.</w:t>
      </w:r>
    </w:p>
    <w:p w14:paraId="10F744A2" w14:textId="77777777" w:rsidR="008307AE" w:rsidRPr="00932F95" w:rsidRDefault="008307AE" w:rsidP="00943D85">
      <w:pPr>
        <w:pStyle w:val="ListParagraph"/>
        <w:numPr>
          <w:ilvl w:val="0"/>
          <w:numId w:val="0"/>
        </w:numPr>
        <w:spacing w:before="0" w:after="0" w:line="240" w:lineRule="auto"/>
        <w:ind w:left="720"/>
        <w:jc w:val="both"/>
      </w:pPr>
    </w:p>
    <w:p w14:paraId="7EEDA56D" w14:textId="1BA59D08" w:rsidR="00010E92" w:rsidRPr="00943D85" w:rsidRDefault="00010E92" w:rsidP="00943D85">
      <w:pPr>
        <w:pStyle w:val="eTRMBulletedText"/>
      </w:pPr>
      <w:r w:rsidRPr="00943D85">
        <w:t xml:space="preserve">The PLR for each hour was </w:t>
      </w:r>
      <w:r w:rsidR="008B3223">
        <w:t xml:space="preserve">calculated as: </w:t>
      </w:r>
      <w:r w:rsidR="008B3223" w:rsidRPr="00943D85">
        <w:t xml:space="preserve"> </w:t>
      </w:r>
    </w:p>
    <w:p w14:paraId="2E5ACF53" w14:textId="77777777" w:rsidR="00E04766" w:rsidRPr="00932F95" w:rsidRDefault="00E04766" w:rsidP="00943D85">
      <w:pPr>
        <w:pStyle w:val="ListParagraph"/>
        <w:numPr>
          <w:ilvl w:val="0"/>
          <w:numId w:val="0"/>
        </w:numPr>
        <w:spacing w:before="0" w:after="0" w:line="240" w:lineRule="auto"/>
        <w:ind w:left="720"/>
        <w:jc w:val="both"/>
        <w:rPr>
          <w:i/>
        </w:rPr>
      </w:pPr>
    </w:p>
    <w:p w14:paraId="5A4F1BA5" w14:textId="4F005921" w:rsidR="00010E92" w:rsidRPr="00943D85" w:rsidRDefault="00010E92" w:rsidP="00943D85">
      <w:pPr>
        <w:pStyle w:val="Reminder"/>
        <w:ind w:left="720"/>
        <w:rPr>
          <w:rFonts w:cstheme="minorHAnsi"/>
          <w:color w:val="auto"/>
        </w:rPr>
      </w:pPr>
      <m:oMathPara>
        <m:oMathParaPr>
          <m:jc m:val="left"/>
        </m:oMathParaPr>
        <m:oMath>
          <m:r>
            <w:rPr>
              <w:rFonts w:ascii="Cambria Math" w:hAnsi="Cambria Math" w:cstheme="minorHAnsi"/>
              <w:color w:val="auto"/>
              <w:sz w:val="18"/>
            </w:rPr>
            <m:t>Part Load Ratio (PLR) (%)=</m:t>
          </m:r>
          <m:f>
            <m:fPr>
              <m:ctrlPr>
                <w:rPr>
                  <w:rFonts w:ascii="Cambria Math" w:hAnsi="Cambria Math" w:cstheme="minorHAnsi"/>
                  <w:color w:val="auto"/>
                  <w:sz w:val="18"/>
                </w:rPr>
              </m:ctrlPr>
            </m:fPr>
            <m:num>
              <m:r>
                <w:rPr>
                  <w:rFonts w:ascii="Cambria Math" w:hAnsi="Cambria Math" w:cstheme="minorHAnsi"/>
                  <w:color w:val="auto"/>
                  <w:sz w:val="18"/>
                </w:rPr>
                <m:t>Cooling Load(</m:t>
              </m:r>
              <m:f>
                <m:fPr>
                  <m:ctrlPr>
                    <w:rPr>
                      <w:rFonts w:ascii="Cambria Math" w:hAnsi="Cambria Math" w:cstheme="minorHAnsi"/>
                      <w:color w:val="auto"/>
                      <w:sz w:val="18"/>
                    </w:rPr>
                  </m:ctrlPr>
                </m:fPr>
                <m:num>
                  <m:r>
                    <w:rPr>
                      <w:rFonts w:ascii="Cambria Math" w:hAnsi="Cambria Math" w:cstheme="minorHAnsi"/>
                      <w:color w:val="auto"/>
                      <w:sz w:val="18"/>
                    </w:rPr>
                    <m:t>Btu</m:t>
                  </m:r>
                </m:num>
                <m:den>
                  <m:r>
                    <w:rPr>
                      <w:rFonts w:ascii="Cambria Math" w:hAnsi="Cambria Math" w:cstheme="minorHAnsi"/>
                      <w:color w:val="auto"/>
                      <w:sz w:val="18"/>
                    </w:rPr>
                    <m:t>hr</m:t>
                  </m:r>
                </m:den>
              </m:f>
              <m:r>
                <w:rPr>
                  <w:rFonts w:ascii="Cambria Math" w:hAnsi="Cambria Math" w:cstheme="minorHAnsi"/>
                  <w:color w:val="auto"/>
                  <w:sz w:val="18"/>
                </w:rPr>
                <m:t>)</m:t>
              </m:r>
            </m:num>
            <m:den>
              <m:r>
                <w:rPr>
                  <w:rFonts w:ascii="Cambria Math" w:hAnsi="Cambria Math" w:cstheme="minorHAnsi"/>
                  <w:color w:val="auto"/>
                  <w:sz w:val="18"/>
                </w:rPr>
                <m:t>AC Cooling Capacity (</m:t>
              </m:r>
              <m:f>
                <m:fPr>
                  <m:ctrlPr>
                    <w:rPr>
                      <w:rFonts w:ascii="Cambria Math" w:hAnsi="Cambria Math" w:cstheme="minorHAnsi"/>
                      <w:color w:val="auto"/>
                      <w:sz w:val="18"/>
                    </w:rPr>
                  </m:ctrlPr>
                </m:fPr>
                <m:num>
                  <m:r>
                    <w:rPr>
                      <w:rFonts w:ascii="Cambria Math" w:hAnsi="Cambria Math" w:cstheme="minorHAnsi"/>
                      <w:color w:val="auto"/>
                      <w:sz w:val="18"/>
                    </w:rPr>
                    <m:t>Btu</m:t>
                  </m:r>
                </m:num>
                <m:den>
                  <m:r>
                    <w:rPr>
                      <w:rFonts w:ascii="Cambria Math" w:hAnsi="Cambria Math" w:cstheme="minorHAnsi"/>
                      <w:color w:val="auto"/>
                      <w:sz w:val="18"/>
                    </w:rPr>
                    <m:t>hr</m:t>
                  </m:r>
                </m:den>
              </m:f>
              <m:r>
                <w:rPr>
                  <w:rFonts w:ascii="Cambria Math" w:hAnsi="Cambria Math" w:cstheme="minorHAnsi"/>
                  <w:color w:val="auto"/>
                  <w:sz w:val="18"/>
                </w:rPr>
                <m:t>)</m:t>
              </m:r>
            </m:den>
          </m:f>
        </m:oMath>
      </m:oMathPara>
    </w:p>
    <w:p w14:paraId="6CD07C77" w14:textId="77777777" w:rsidR="00E04766" w:rsidRPr="00932F95" w:rsidRDefault="00E04766" w:rsidP="00943D85"/>
    <w:p w14:paraId="73267BBE" w14:textId="2D7109D8" w:rsidR="00010E92" w:rsidRPr="00932F95" w:rsidRDefault="00010E92" w:rsidP="00943D85">
      <w:pPr>
        <w:pStyle w:val="eTRMBulletedText"/>
      </w:pPr>
      <w:r w:rsidRPr="00932F95">
        <w:t>The following figure</w:t>
      </w:r>
      <w:r w:rsidR="002673CC">
        <w:t xml:space="preserve"> </w:t>
      </w:r>
      <w:r w:rsidRPr="00932F95">
        <w:t xml:space="preserve">from the </w:t>
      </w:r>
      <w:r w:rsidR="005254E4">
        <w:t xml:space="preserve">SCE </w:t>
      </w:r>
      <w:r w:rsidRPr="00932F95">
        <w:t xml:space="preserve">ET Study plots the </w:t>
      </w:r>
      <w:r w:rsidR="008B3223">
        <w:t>percentage of energy savings</w:t>
      </w:r>
      <w:r w:rsidR="008B3223" w:rsidRPr="00932F95">
        <w:t xml:space="preserve"> </w:t>
      </w:r>
      <w:r w:rsidRPr="00932F95">
        <w:t xml:space="preserve">against the </w:t>
      </w:r>
      <w:r w:rsidR="008B3223">
        <w:t>PLR</w:t>
      </w:r>
      <w:r w:rsidRPr="00932F95">
        <w:t>. The logarithmic curve fit relation is listed on the top right of the figure below.</w:t>
      </w:r>
    </w:p>
    <w:p w14:paraId="3DDAD8CA" w14:textId="77777777" w:rsidR="00FC7362" w:rsidRPr="00932F95" w:rsidRDefault="00FC7362" w:rsidP="00157940">
      <w:pPr>
        <w:pStyle w:val="Reminder"/>
        <w:jc w:val="center"/>
        <w:rPr>
          <w:rFonts w:eastAsia="Arial"/>
        </w:rPr>
      </w:pPr>
      <w:r w:rsidRPr="00932F95">
        <w:rPr>
          <w:i w:val="0"/>
          <w:noProof/>
        </w:rPr>
        <w:drawing>
          <wp:inline distT="0" distB="0" distL="0" distR="0" wp14:anchorId="38BEA11A" wp14:editId="7495AAEE">
            <wp:extent cx="5302885" cy="36258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t="2032" b="1264"/>
                    <a:stretch/>
                  </pic:blipFill>
                  <pic:spPr bwMode="auto">
                    <a:xfrm>
                      <a:off x="0" y="0"/>
                      <a:ext cx="5303520" cy="3626284"/>
                    </a:xfrm>
                    <a:prstGeom prst="rect">
                      <a:avLst/>
                    </a:prstGeom>
                    <a:ln>
                      <a:noFill/>
                    </a:ln>
                    <a:extLst>
                      <a:ext uri="{53640926-AAD7-44D8-BBD7-CCE9431645EC}">
                        <a14:shadowObscured xmlns:a14="http://schemas.microsoft.com/office/drawing/2010/main"/>
                      </a:ext>
                    </a:extLst>
                  </pic:spPr>
                </pic:pic>
              </a:graphicData>
            </a:graphic>
          </wp:inline>
        </w:drawing>
      </w:r>
    </w:p>
    <w:p w14:paraId="0FBB9D12" w14:textId="64936F38" w:rsidR="00FC7362" w:rsidRPr="00932F95" w:rsidRDefault="00FC7362" w:rsidP="00943D85">
      <w:pPr>
        <w:rPr>
          <w:i/>
        </w:rPr>
      </w:pPr>
    </w:p>
    <w:p w14:paraId="47BC3842" w14:textId="31B740F1" w:rsidR="00FC7362" w:rsidRPr="00932F95" w:rsidRDefault="00FC7362" w:rsidP="00943D85">
      <w:pPr>
        <w:pStyle w:val="eTRMBulletedText"/>
      </w:pPr>
      <w:bookmarkStart w:id="41" w:name="_Hlk10467813"/>
      <w:r w:rsidRPr="00932F95">
        <w:t xml:space="preserve">Once the </w:t>
      </w:r>
      <w:r w:rsidR="00E2724C">
        <w:t>PLR</w:t>
      </w:r>
      <w:r w:rsidRPr="00932F95">
        <w:t xml:space="preserve"> </w:t>
      </w:r>
      <w:r w:rsidR="008B3223">
        <w:t>was</w:t>
      </w:r>
      <w:r w:rsidR="008B3223" w:rsidRPr="00932F95">
        <w:t xml:space="preserve"> </w:t>
      </w:r>
      <w:proofErr w:type="gramStart"/>
      <w:r w:rsidR="00E2724C">
        <w:t>calculated</w:t>
      </w:r>
      <w:r w:rsidR="00E2724C" w:rsidRPr="00932F95">
        <w:t xml:space="preserve"> </w:t>
      </w:r>
      <w:r w:rsidRPr="00932F95">
        <w:t>,</w:t>
      </w:r>
      <w:proofErr w:type="gramEnd"/>
      <w:r w:rsidRPr="00932F95">
        <w:t xml:space="preserve"> </w:t>
      </w:r>
      <w:r w:rsidR="00972272">
        <w:t>the equation below</w:t>
      </w:r>
      <w:r w:rsidRPr="00932F95">
        <w:t xml:space="preserve"> applies the logarithmic curve fit of percentage of energy savings versus </w:t>
      </w:r>
      <w:r w:rsidR="005254E4">
        <w:t>PLR</w:t>
      </w:r>
      <w:r w:rsidRPr="00932F95">
        <w:t xml:space="preserve"> determined from laboratory testing.</w:t>
      </w:r>
      <w:r w:rsidR="00911F24">
        <w:t xml:space="preserve"> </w:t>
      </w:r>
      <w:r w:rsidR="00D451B5">
        <w:t xml:space="preserve">The value of the logarithmic </w:t>
      </w:r>
      <w:r w:rsidR="004B209B">
        <w:lastRenderedPageBreak/>
        <w:t xml:space="preserve">curve fit is capped at 20.6% </w:t>
      </w:r>
      <w:r w:rsidR="00B33183">
        <w:t>so that we are</w:t>
      </w:r>
      <w:r w:rsidR="005254E4">
        <w:t xml:space="preserve"> </w:t>
      </w:r>
      <w:r w:rsidR="00844EB9">
        <w:t xml:space="preserve">not </w:t>
      </w:r>
      <w:r w:rsidR="00B33183">
        <w:t xml:space="preserve">applying the test results outside the range from </w:t>
      </w:r>
      <w:r w:rsidR="00972272">
        <w:t xml:space="preserve">SCE </w:t>
      </w:r>
      <w:r w:rsidR="00B33183">
        <w:t xml:space="preserve">ET </w:t>
      </w:r>
      <w:r w:rsidR="00972272">
        <w:t>S</w:t>
      </w:r>
      <w:r w:rsidR="00B33183">
        <w:t xml:space="preserve">tudy. </w:t>
      </w:r>
    </w:p>
    <w:bookmarkEnd w:id="41"/>
    <w:p w14:paraId="425A56A5" w14:textId="77777777" w:rsidR="004F173D" w:rsidRPr="00932F95" w:rsidRDefault="004F173D" w:rsidP="00157940">
      <w:pPr>
        <w:pStyle w:val="ListParagraph"/>
        <w:numPr>
          <w:ilvl w:val="0"/>
          <w:numId w:val="0"/>
        </w:numPr>
        <w:spacing w:before="0" w:after="0" w:line="240" w:lineRule="auto"/>
        <w:ind w:left="720"/>
        <w:jc w:val="both"/>
      </w:pPr>
    </w:p>
    <w:p w14:paraId="612CD526" w14:textId="6CBF8B10" w:rsidR="00FC7362" w:rsidRPr="00932F95" w:rsidRDefault="00FC7362" w:rsidP="00157940">
      <w:pPr>
        <w:pStyle w:val="Reminder"/>
        <w:rPr>
          <w:rFonts w:cstheme="minorHAnsi"/>
          <w:i w:val="0"/>
          <w:color w:val="auto"/>
        </w:rPr>
      </w:pPr>
      <m:oMathPara>
        <m:oMath>
          <m:r>
            <w:rPr>
              <w:rFonts w:ascii="Cambria Math" w:hAnsi="Cambria Math" w:cstheme="minorHAnsi"/>
              <w:color w:val="auto"/>
              <w:sz w:val="18"/>
            </w:rPr>
            <m:t xml:space="preserve">AC Energy Savings </m:t>
          </m:r>
          <m:d>
            <m:dPr>
              <m:ctrlPr>
                <w:rPr>
                  <w:rFonts w:ascii="Cambria Math" w:hAnsi="Cambria Math" w:cstheme="minorHAnsi"/>
                  <w:color w:val="auto"/>
                  <w:sz w:val="18"/>
                </w:rPr>
              </m:ctrlPr>
            </m:dPr>
            <m:e>
              <m:r>
                <w:rPr>
                  <w:rFonts w:ascii="Cambria Math" w:hAnsi="Cambria Math" w:cstheme="minorHAnsi"/>
                  <w:color w:val="auto"/>
                  <w:sz w:val="18"/>
                </w:rPr>
                <m:t>kWh</m:t>
              </m:r>
            </m:e>
          </m:d>
          <m:r>
            <w:rPr>
              <w:rFonts w:ascii="Cambria Math" w:hAnsi="Cambria Math" w:cstheme="minorHAnsi"/>
              <w:color w:val="auto"/>
              <w:sz w:val="18"/>
            </w:rPr>
            <m:t xml:space="preserve">=Total Baseline AC Energy Usage </m:t>
          </m:r>
          <m:d>
            <m:dPr>
              <m:ctrlPr>
                <w:rPr>
                  <w:rFonts w:ascii="Cambria Math" w:hAnsi="Cambria Math" w:cstheme="minorHAnsi"/>
                  <w:color w:val="auto"/>
                  <w:sz w:val="18"/>
                </w:rPr>
              </m:ctrlPr>
            </m:dPr>
            <m:e>
              <m:r>
                <w:rPr>
                  <w:rFonts w:ascii="Cambria Math" w:hAnsi="Cambria Math" w:cstheme="minorHAnsi"/>
                  <w:color w:val="auto"/>
                  <w:sz w:val="18"/>
                </w:rPr>
                <m:t>kWh</m:t>
              </m:r>
            </m:e>
          </m:d>
          <m:r>
            <w:rPr>
              <w:rFonts w:ascii="Cambria Math" w:hAnsi="Cambria Math" w:cstheme="minorHAnsi"/>
              <w:color w:val="auto"/>
              <w:sz w:val="18"/>
            </w:rPr>
            <m:t>×(-0.2</m:t>
          </m:r>
          <m:func>
            <m:funcPr>
              <m:ctrlPr>
                <w:rPr>
                  <w:rFonts w:ascii="Cambria Math" w:hAnsi="Cambria Math" w:cstheme="minorHAnsi"/>
                  <w:color w:val="auto"/>
                  <w:sz w:val="18"/>
                </w:rPr>
              </m:ctrlPr>
            </m:funcPr>
            <m:fName>
              <m:r>
                <w:rPr>
                  <w:rFonts w:ascii="Cambria Math" w:hAnsi="Cambria Math" w:cstheme="minorHAnsi"/>
                  <w:color w:val="auto"/>
                  <w:sz w:val="18"/>
                </w:rPr>
                <m:t>ln</m:t>
              </m:r>
            </m:fName>
            <m:e>
              <m:d>
                <m:dPr>
                  <m:ctrlPr>
                    <w:rPr>
                      <w:rFonts w:ascii="Cambria Math" w:hAnsi="Cambria Math" w:cstheme="minorHAnsi"/>
                      <w:color w:val="auto"/>
                      <w:sz w:val="18"/>
                    </w:rPr>
                  </m:ctrlPr>
                </m:dPr>
                <m:e>
                  <m:r>
                    <w:rPr>
                      <w:rFonts w:ascii="Cambria Math" w:hAnsi="Cambria Math" w:cstheme="minorHAnsi"/>
                      <w:color w:val="auto"/>
                      <w:sz w:val="18"/>
                    </w:rPr>
                    <m:t>PLR</m:t>
                  </m:r>
                </m:e>
              </m:d>
            </m:e>
          </m:func>
          <m:r>
            <w:rPr>
              <w:rFonts w:ascii="Cambria Math" w:hAnsi="Cambria Math" w:cstheme="minorHAnsi"/>
              <w:color w:val="auto"/>
              <w:sz w:val="18"/>
            </w:rPr>
            <m:t>+0.0006)</m:t>
          </m:r>
        </m:oMath>
      </m:oMathPara>
    </w:p>
    <w:p w14:paraId="0FFA08F8" w14:textId="77777777" w:rsidR="00FC7362" w:rsidRPr="00932F95" w:rsidRDefault="00FC7362" w:rsidP="00157940">
      <w:pPr>
        <w:pStyle w:val="Reminder"/>
        <w:ind w:firstLine="720"/>
        <w:rPr>
          <w:rFonts w:asciiTheme="minorHAnsi" w:hAnsiTheme="minorHAnsi" w:cstheme="minorHAnsi"/>
          <w:i w:val="0"/>
          <w:color w:val="auto"/>
        </w:rPr>
      </w:pPr>
    </w:p>
    <w:p w14:paraId="55AA0BE5" w14:textId="26A9B2F4" w:rsidR="00FC7362" w:rsidRPr="00932F95" w:rsidRDefault="00FC7362" w:rsidP="00943D85">
      <w:pPr>
        <w:pStyle w:val="eTRMBulletedText"/>
        <w:numPr>
          <w:ilvl w:val="0"/>
          <w:numId w:val="0"/>
        </w:numPr>
        <w:ind w:left="720"/>
      </w:pPr>
      <w:r w:rsidRPr="00932F95">
        <w:t xml:space="preserve">The result from </w:t>
      </w:r>
      <w:r w:rsidR="00E2724C">
        <w:t xml:space="preserve">the </w:t>
      </w:r>
      <w:r w:rsidRPr="00932F95">
        <w:t xml:space="preserve">equation </w:t>
      </w:r>
      <w:r w:rsidR="006C0C95">
        <w:t>above</w:t>
      </w:r>
      <w:r w:rsidRPr="00932F95">
        <w:t xml:space="preserve"> </w:t>
      </w:r>
      <w:r w:rsidR="00E2724C">
        <w:t>represents the</w:t>
      </w:r>
      <w:r w:rsidR="00E2724C" w:rsidRPr="00932F95">
        <w:t xml:space="preserve"> </w:t>
      </w:r>
      <w:r w:rsidRPr="00932F95">
        <w:t xml:space="preserve">AC energy savings for each hour. This number is summed for all hours of the year to obtain the total </w:t>
      </w:r>
      <w:r w:rsidR="005254E4">
        <w:t xml:space="preserve">annual </w:t>
      </w:r>
      <w:r w:rsidRPr="00932F95">
        <w:t xml:space="preserve">energy savings. Each zone has a separate split AC-system based on how the DEER prototypes are modeled and results are obtained for each zone. </w:t>
      </w:r>
    </w:p>
    <w:p w14:paraId="77972ADA" w14:textId="5AC52318" w:rsidR="00FC7362" w:rsidRDefault="00FC7362" w:rsidP="00943D85">
      <w:pPr>
        <w:pStyle w:val="eTRMBulletedText"/>
        <w:numPr>
          <w:ilvl w:val="0"/>
          <w:numId w:val="0"/>
        </w:numPr>
        <w:ind w:left="720"/>
      </w:pPr>
      <w:r w:rsidRPr="00932F95">
        <w:t xml:space="preserve">Reiterating, there are </w:t>
      </w:r>
      <w:r w:rsidR="00E2724C">
        <w:t>two</w:t>
      </w:r>
      <w:r w:rsidRPr="00932F95">
        <w:t xml:space="preserve"> systems (N-S, E-W orientations) in double-wide mobile homes, </w:t>
      </w:r>
      <w:r w:rsidR="00E2724C">
        <w:t>four</w:t>
      </w:r>
      <w:r w:rsidRPr="00932F95">
        <w:t xml:space="preserve"> systems in single-family homes (single-story, two-story, two orientations), and 2</w:t>
      </w:r>
      <w:r w:rsidR="00936FF4">
        <w:t>4</w:t>
      </w:r>
      <w:r w:rsidRPr="00932F95">
        <w:t xml:space="preserve"> systems in multifamily homes (two-story buildings with 14 units, two orientations). The results obtained for each of the building </w:t>
      </w:r>
      <w:r w:rsidR="005B17CE">
        <w:t>units</w:t>
      </w:r>
      <w:r w:rsidRPr="00932F95">
        <w:t xml:space="preserve"> are averaged to obtain one representative savings number per building type. This averaged savings </w:t>
      </w:r>
      <w:r w:rsidR="009B6413">
        <w:t>value</w:t>
      </w:r>
      <w:r w:rsidR="009B6413" w:rsidRPr="00932F95">
        <w:t xml:space="preserve"> </w:t>
      </w:r>
      <w:r w:rsidRPr="00932F95">
        <w:t>is the kWh/year saved per unit for each respective building type and climate zone.</w:t>
      </w:r>
    </w:p>
    <w:p w14:paraId="68065B94" w14:textId="7161CF65" w:rsidR="003062E7" w:rsidRDefault="003062E7" w:rsidP="00943D85">
      <w:pPr>
        <w:pStyle w:val="eTRMBulletedText"/>
      </w:pPr>
      <w:r>
        <w:t xml:space="preserve">For </w:t>
      </w:r>
      <w:r w:rsidR="00824045">
        <w:t>single family</w:t>
      </w:r>
      <w:r>
        <w:t xml:space="preserve"> and </w:t>
      </w:r>
      <w:r w:rsidR="00824045">
        <w:t>double-wide mobile homes</w:t>
      </w:r>
      <w:r>
        <w:t xml:space="preserve">, the </w:t>
      </w:r>
      <w:r w:rsidR="002931FC">
        <w:t xml:space="preserve">savings from the above step </w:t>
      </w:r>
      <w:r w:rsidR="00824045">
        <w:t>were</w:t>
      </w:r>
      <w:r w:rsidR="002931FC">
        <w:t xml:space="preserve"> obtained for each of the five thermostat options. Using </w:t>
      </w:r>
      <w:r w:rsidR="00824045">
        <w:t xml:space="preserve">the </w:t>
      </w:r>
      <w:r w:rsidR="002931FC">
        <w:t xml:space="preserve">DEER2020 </w:t>
      </w:r>
      <w:r w:rsidR="00D85749">
        <w:t>residential</w:t>
      </w:r>
      <w:r w:rsidR="002931FC">
        <w:t xml:space="preserve"> </w:t>
      </w:r>
      <w:r w:rsidR="00D85749">
        <w:t>thermostat</w:t>
      </w:r>
      <w:r w:rsidR="002B1734">
        <w:t xml:space="preserve"> weights</w:t>
      </w:r>
      <w:r w:rsidR="00DD621A">
        <w:rPr>
          <w:rStyle w:val="FootnoteReference"/>
          <w:rFonts w:cs="Calibri Light"/>
        </w:rPr>
        <w:footnoteReference w:id="8"/>
      </w:r>
      <w:r w:rsidR="00D85749">
        <w:t xml:space="preserve"> </w:t>
      </w:r>
      <w:r w:rsidR="00754347">
        <w:t xml:space="preserve">available </w:t>
      </w:r>
      <w:r w:rsidR="00FA5B3D">
        <w:t xml:space="preserve">from </w:t>
      </w:r>
      <w:r w:rsidR="00E117FF">
        <w:t xml:space="preserve">MASControl3, </w:t>
      </w:r>
      <w:r w:rsidR="001C333D">
        <w:t xml:space="preserve">weighted </w:t>
      </w:r>
      <w:r w:rsidR="001A5B1A">
        <w:t xml:space="preserve">savings </w:t>
      </w:r>
      <w:r w:rsidR="00E2724C">
        <w:t>were</w:t>
      </w:r>
      <w:r w:rsidR="001A5B1A">
        <w:t xml:space="preserve"> calculated for </w:t>
      </w:r>
      <w:r w:rsidR="00824045">
        <w:t>these building types</w:t>
      </w:r>
      <w:r w:rsidR="001A5B1A">
        <w:t xml:space="preserve">. </w:t>
      </w:r>
    </w:p>
    <w:p w14:paraId="59E034F7" w14:textId="7EA683E2" w:rsidR="003062E7" w:rsidRPr="00932F95" w:rsidRDefault="003062E7" w:rsidP="00943D85">
      <w:pPr>
        <w:pStyle w:val="eTRMBulletedText"/>
      </w:pPr>
      <w:r w:rsidRPr="00932F95">
        <w:t xml:space="preserve">Demand </w:t>
      </w:r>
      <w:r w:rsidR="000611A9">
        <w:t>reduction was calculated</w:t>
      </w:r>
      <w:r w:rsidRPr="00932F95">
        <w:t xml:space="preserve"> are evaluated using ex-ante DEER20</w:t>
      </w:r>
      <w:r>
        <w:t>20</w:t>
      </w:r>
      <w:r w:rsidRPr="00932F95">
        <w:t xml:space="preserve"> peak demand definition and procedures. As per step 10, the hourly values of AC energy savings were available for 8,760 hours</w:t>
      </w:r>
      <w:r w:rsidR="00EC4FC6">
        <w:t>. D</w:t>
      </w:r>
      <w:r w:rsidRPr="00932F95">
        <w:t xml:space="preserve">emand reduction was calculated by </w:t>
      </w:r>
      <w:r>
        <w:t>averaging</w:t>
      </w:r>
      <w:r w:rsidRPr="00932F95">
        <w:t xml:space="preserve"> the total AC energy savings </w:t>
      </w:r>
      <w:r w:rsidR="00272B42">
        <w:t xml:space="preserve">between </w:t>
      </w:r>
      <w:r w:rsidR="00241878">
        <w:t xml:space="preserve">the peak period of </w:t>
      </w:r>
      <w:r w:rsidR="00272B42">
        <w:t>4</w:t>
      </w:r>
      <w:r w:rsidR="00272B42" w:rsidRPr="00932F95">
        <w:t xml:space="preserve">:00 </w:t>
      </w:r>
      <w:r w:rsidR="00241878">
        <w:t>p.m.</w:t>
      </w:r>
      <w:r w:rsidR="00272B42" w:rsidRPr="00932F95">
        <w:t xml:space="preserve"> to </w:t>
      </w:r>
      <w:r w:rsidR="00272B42">
        <w:t>9</w:t>
      </w:r>
      <w:r w:rsidR="00272B42" w:rsidRPr="00932F95">
        <w:t xml:space="preserve">:00 </w:t>
      </w:r>
      <w:r w:rsidR="00241878">
        <w:t>p.m.</w:t>
      </w:r>
      <w:r w:rsidR="00272B42">
        <w:t xml:space="preserve"> </w:t>
      </w:r>
      <w:r w:rsidRPr="00932F95">
        <w:t>during the specific summer weekday periods respective to each climate zone.</w:t>
      </w:r>
      <w:r w:rsidR="00241878">
        <w:rPr>
          <w:rStyle w:val="FootnoteReference"/>
        </w:rPr>
        <w:footnoteReference w:id="9"/>
      </w:r>
      <w:r w:rsidRPr="00932F95">
        <w:t xml:space="preserve"> This is repeated for each zone and all the obtained peak demand reduction values are averaged resulting in one kW reduction value for each building type and climate zone.</w:t>
      </w:r>
    </w:p>
    <w:p w14:paraId="2A0FCB6E" w14:textId="77777777" w:rsidR="001618DC" w:rsidRDefault="001618DC" w:rsidP="00157940">
      <w:pPr>
        <w:pStyle w:val="ListParagraph"/>
        <w:numPr>
          <w:ilvl w:val="0"/>
          <w:numId w:val="0"/>
        </w:numPr>
        <w:spacing w:before="0" w:after="0" w:line="240" w:lineRule="auto"/>
        <w:ind w:left="720"/>
        <w:rPr>
          <w:rFonts w:cs="Calibri Light"/>
          <w:szCs w:val="22"/>
        </w:rPr>
      </w:pPr>
    </w:p>
    <w:p w14:paraId="49CEC267" w14:textId="686EB6DD" w:rsidR="008B2274" w:rsidRPr="004B06E3" w:rsidRDefault="008B2274" w:rsidP="0065534B">
      <w:pPr>
        <w:pStyle w:val="eTRMHeading3"/>
      </w:pPr>
      <w:bookmarkStart w:id="43" w:name="_Toc10468719"/>
      <w:bookmarkEnd w:id="38"/>
      <w:r w:rsidRPr="004B06E3">
        <w:t>Peak Electric Demand Reduction (</w:t>
      </w:r>
      <w:r w:rsidRPr="00943D85">
        <w:rPr>
          <w:caps w:val="0"/>
        </w:rPr>
        <w:t>kW</w:t>
      </w:r>
      <w:r w:rsidRPr="004B06E3">
        <w:t>)</w:t>
      </w:r>
      <w:bookmarkEnd w:id="43"/>
    </w:p>
    <w:p w14:paraId="57BAAF05" w14:textId="5F1C6487" w:rsidR="0065255B" w:rsidRDefault="00FE193E" w:rsidP="00B05018">
      <w:pPr>
        <w:keepNext/>
        <w:keepLines/>
      </w:pPr>
      <w:r>
        <w:t xml:space="preserve">Peak </w:t>
      </w:r>
      <w:r w:rsidR="009B6413">
        <w:t xml:space="preserve">demand reduction was determined using the approach presented </w:t>
      </w:r>
      <w:r w:rsidR="008F6ED4">
        <w:t>in</w:t>
      </w:r>
      <w:r w:rsidR="009B6413">
        <w:t xml:space="preserve"> Electric Savings. </w:t>
      </w:r>
    </w:p>
    <w:p w14:paraId="0487E896" w14:textId="77777777" w:rsidR="008B2274" w:rsidRDefault="008B2274" w:rsidP="00943D85"/>
    <w:p w14:paraId="0E9D248B" w14:textId="48895F94" w:rsidR="007D230B" w:rsidRPr="004B06E3" w:rsidRDefault="007D230B" w:rsidP="0065534B">
      <w:pPr>
        <w:pStyle w:val="eTRMHeading3"/>
      </w:pPr>
      <w:bookmarkStart w:id="44" w:name="_Toc486490858"/>
      <w:bookmarkStart w:id="45" w:name="_Toc486580929"/>
      <w:bookmarkStart w:id="46" w:name="_Toc10468720"/>
      <w:r w:rsidRPr="004B06E3">
        <w:t>Gas Savings</w:t>
      </w:r>
      <w:r w:rsidR="00245AFF" w:rsidRPr="004B06E3">
        <w:t xml:space="preserve"> (</w:t>
      </w:r>
      <w:r w:rsidR="00245AFF" w:rsidRPr="00943D85">
        <w:rPr>
          <w:caps w:val="0"/>
        </w:rPr>
        <w:t>Therms</w:t>
      </w:r>
      <w:r w:rsidR="00245AFF" w:rsidRPr="004B06E3">
        <w:t>)</w:t>
      </w:r>
      <w:bookmarkEnd w:id="44"/>
      <w:bookmarkEnd w:id="45"/>
      <w:bookmarkEnd w:id="46"/>
    </w:p>
    <w:p w14:paraId="3C7CE92E" w14:textId="4F490E03" w:rsidR="0065255B" w:rsidRDefault="00FC72C7" w:rsidP="00C41861">
      <w:r>
        <w:t>Not applicable</w:t>
      </w:r>
    </w:p>
    <w:p w14:paraId="3DC5DB81" w14:textId="61B4FCF8" w:rsidR="004142EF" w:rsidRDefault="004142EF" w:rsidP="004B06E3"/>
    <w:p w14:paraId="4DDCD51F" w14:textId="3ABBE5FF" w:rsidR="007D230B" w:rsidRPr="004B06E3" w:rsidRDefault="00245AFF" w:rsidP="0065534B">
      <w:pPr>
        <w:pStyle w:val="eTRMHeading3"/>
      </w:pPr>
      <w:bookmarkStart w:id="47" w:name="_Toc486490859"/>
      <w:bookmarkStart w:id="48" w:name="_Toc486580930"/>
      <w:bookmarkStart w:id="49" w:name="_Toc10468721"/>
      <w:r w:rsidRPr="004B06E3">
        <w:t>Life Cycle</w:t>
      </w:r>
      <w:bookmarkEnd w:id="49"/>
      <w:r w:rsidR="007D230B" w:rsidRPr="004B06E3">
        <w:t xml:space="preserve"> </w:t>
      </w:r>
      <w:bookmarkEnd w:id="47"/>
      <w:bookmarkEnd w:id="48"/>
    </w:p>
    <w:p w14:paraId="2BFAC96F" w14:textId="402141AA" w:rsidR="002A6B34" w:rsidRDefault="002A6B34" w:rsidP="002A6B34">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p>
    <w:p w14:paraId="0D3EBD7C" w14:textId="4D120AEE" w:rsidR="0052164C" w:rsidRDefault="0052164C" w:rsidP="0052164C">
      <w:r>
        <w:lastRenderedPageBreak/>
        <w:t>T</w:t>
      </w:r>
      <w:r>
        <w:rPr>
          <w:rFonts w:cs="Arial"/>
        </w:rPr>
        <w:t>he methodology to calculate the RUL conforms with Version 5 of the Energy Efficiency Policy Manual, which recommends “o</w:t>
      </w:r>
      <w:r>
        <w:t>ne-third of the effective useful life in DEER as the remaining useful life until further study results are available to establish more accurate values.”</w:t>
      </w:r>
      <w:r>
        <w:rPr>
          <w:rStyle w:val="FootnoteReference"/>
        </w:rPr>
        <w:footnoteReference w:id="10"/>
      </w:r>
      <w:r>
        <w:t xml:space="preserve"> </w:t>
      </w:r>
      <w:r w:rsidRPr="008F087F">
        <w:rPr>
          <w:rFonts w:eastAsia="Times New Roman"/>
        </w:rPr>
        <w:t>This approach provides a reasonable RUL estimate without the requiring any a prior knowledge about the age of the equipment being replaced.</w:t>
      </w:r>
      <w:r>
        <w:rPr>
          <w:rStyle w:val="FootnoteReference"/>
          <w:rFonts w:eastAsia="Times New Roman"/>
        </w:rPr>
        <w:footnoteReference w:id="11"/>
      </w:r>
      <w:r w:rsidRPr="008F087F">
        <w:rPr>
          <w:rFonts w:eastAsia="Times New Roman"/>
        </w:rPr>
        <w:t> </w:t>
      </w:r>
      <w:r>
        <w:rPr>
          <w:rFonts w:eastAsia="Times New Roman"/>
        </w:rPr>
        <w:t>Further, a</w:t>
      </w:r>
      <w:r w:rsidRPr="00951F20">
        <w:t xml:space="preserve">s per Resolution E-4807, the California Public Utilities Commission (CPUC) revised </w:t>
      </w:r>
      <w:r w:rsidR="005F6344">
        <w:t>add-on equipment</w:t>
      </w:r>
      <w:r>
        <w:t xml:space="preserve"> </w:t>
      </w:r>
      <w:r w:rsidRPr="00951F20">
        <w:t>measures so that the EUL of the measure is equal to the lower of the RUL of the modified system or equipment or the EUL of the add-on component.</w:t>
      </w:r>
      <w:r w:rsidRPr="0008447C">
        <w:rPr>
          <w:rStyle w:val="eTRMFootnoteTextChar"/>
        </w:rPr>
        <w:t xml:space="preserve"> </w:t>
      </w:r>
      <w:r>
        <w:rPr>
          <w:rStyle w:val="FootnoteReference"/>
        </w:rPr>
        <w:footnoteReference w:id="12"/>
      </w:r>
    </w:p>
    <w:p w14:paraId="3EC28983" w14:textId="77777777" w:rsidR="00FC72C7" w:rsidRPr="00FC72C7" w:rsidRDefault="00FC72C7" w:rsidP="00FC72C7">
      <w:r w:rsidRPr="00FC72C7">
        <w:t>The EUL and RUL specified for this measure are specified below. Note that the EUL adopted for this measure is based upon the RUL of the host equipment, a residential air conditioning (AC) system. Specifically, the EUL of the fan controller measure is capped at one-third of the EUL of a residential AC system. The EUL of a residential AC system has been adopted prior to 2005 and is documented in the Energy Efficiency Policy Manual.</w:t>
      </w:r>
      <w:r w:rsidRPr="00FC72C7">
        <w:rPr>
          <w:vertAlign w:val="superscript"/>
        </w:rPr>
        <w:footnoteReference w:id="13"/>
      </w:r>
      <w:r w:rsidRPr="00FC72C7">
        <w:t xml:space="preserve"> A subsequent review in 2008 of various California retention studies found the estimated life of a residential AC system to range from 11 years to 20 years.</w:t>
      </w:r>
      <w:r w:rsidRPr="00FC72C7">
        <w:rPr>
          <w:vertAlign w:val="superscript"/>
        </w:rPr>
        <w:footnoteReference w:id="14"/>
      </w:r>
      <w:r w:rsidRPr="00FC72C7">
        <w:t xml:space="preserve"> The EUL adopted for this measure was determined to be reasonable. </w:t>
      </w:r>
    </w:p>
    <w:p w14:paraId="2F98A392" w14:textId="66CF1010" w:rsidR="00B57B51" w:rsidRDefault="002A6B34" w:rsidP="002A6B34">
      <w:r w:rsidRPr="00357D8C">
        <w:t xml:space="preserve">The EUL and RUL specified for the </w:t>
      </w:r>
      <w:r w:rsidR="0089058C" w:rsidRPr="00357D8C">
        <w:t>fan delay (cycle off) controller</w:t>
      </w:r>
      <w:r w:rsidRPr="00357D8C">
        <w:t xml:space="preserve"> are presented below.</w:t>
      </w:r>
      <w:r>
        <w:t xml:space="preserve"> </w:t>
      </w:r>
    </w:p>
    <w:p w14:paraId="145005D8" w14:textId="10990BD3" w:rsidR="003761A2" w:rsidRPr="00920905" w:rsidRDefault="003761A2" w:rsidP="00F7567D">
      <w:pPr>
        <w:pStyle w:val="Caption"/>
      </w:pPr>
      <w:r>
        <w:t>Effective Useful Life</w:t>
      </w:r>
      <w:r w:rsidR="00314560">
        <w:t xml:space="preserve"> and Remaining Useful Life</w:t>
      </w:r>
    </w:p>
    <w:tbl>
      <w:tblPr>
        <w:tblW w:w="9435"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426"/>
        <w:gridCol w:w="1348"/>
        <w:gridCol w:w="5661"/>
      </w:tblGrid>
      <w:tr w:rsidR="009A738A" w:rsidRPr="00052C24" w14:paraId="667A817F" w14:textId="77777777" w:rsidTr="005C208C">
        <w:tc>
          <w:tcPr>
            <w:tcW w:w="2426" w:type="dxa"/>
            <w:shd w:val="clear" w:color="auto" w:fill="F2F2F2" w:themeFill="background1" w:themeFillShade="F2"/>
            <w:vAlign w:val="bottom"/>
          </w:tcPr>
          <w:p w14:paraId="18788CDE" w14:textId="77777777" w:rsidR="000E1112" w:rsidRPr="00052C24" w:rsidRDefault="000E1112" w:rsidP="00314560">
            <w:pPr>
              <w:spacing w:before="0" w:after="0" w:line="200" w:lineRule="atLeast"/>
              <w:jc w:val="center"/>
              <w:rPr>
                <w:b/>
                <w:sz w:val="20"/>
              </w:rPr>
            </w:pPr>
            <w:r>
              <w:rPr>
                <w:b/>
                <w:sz w:val="20"/>
              </w:rPr>
              <w:t>Parameter</w:t>
            </w:r>
          </w:p>
        </w:tc>
        <w:tc>
          <w:tcPr>
            <w:tcW w:w="1348" w:type="dxa"/>
            <w:shd w:val="clear" w:color="auto" w:fill="F2F2F2" w:themeFill="background1" w:themeFillShade="F2"/>
            <w:vAlign w:val="bottom"/>
          </w:tcPr>
          <w:p w14:paraId="63C0E654" w14:textId="031D324B" w:rsidR="000E1112" w:rsidRPr="00052C24" w:rsidRDefault="009A738A" w:rsidP="00314560">
            <w:pPr>
              <w:spacing w:before="0" w:after="0" w:line="200" w:lineRule="atLeast"/>
              <w:jc w:val="center"/>
              <w:rPr>
                <w:b/>
                <w:sz w:val="20"/>
              </w:rPr>
            </w:pPr>
            <w:r>
              <w:rPr>
                <w:b/>
                <w:sz w:val="20"/>
              </w:rPr>
              <w:t>Value</w:t>
            </w:r>
            <w:r w:rsidR="00BB615D">
              <w:rPr>
                <w:b/>
                <w:sz w:val="20"/>
              </w:rPr>
              <w:t xml:space="preserve"> (years)</w:t>
            </w:r>
          </w:p>
        </w:tc>
        <w:tc>
          <w:tcPr>
            <w:tcW w:w="5661" w:type="dxa"/>
            <w:shd w:val="clear" w:color="auto" w:fill="F2F2F2" w:themeFill="background1" w:themeFillShade="F2"/>
            <w:vAlign w:val="bottom"/>
          </w:tcPr>
          <w:p w14:paraId="158D3D6F" w14:textId="77777777" w:rsidR="000E1112" w:rsidRDefault="000E1112" w:rsidP="00314560">
            <w:pPr>
              <w:spacing w:before="0" w:after="0" w:line="200" w:lineRule="atLeast"/>
              <w:jc w:val="center"/>
              <w:rPr>
                <w:b/>
                <w:sz w:val="20"/>
              </w:rPr>
            </w:pPr>
            <w:r>
              <w:rPr>
                <w:b/>
                <w:sz w:val="20"/>
              </w:rPr>
              <w:t>Source</w:t>
            </w:r>
          </w:p>
        </w:tc>
      </w:tr>
      <w:tr w:rsidR="009A738A" w:rsidRPr="00052C24" w14:paraId="1C994D6D" w14:textId="77777777" w:rsidTr="005C208C">
        <w:trPr>
          <w:trHeight w:val="260"/>
        </w:trPr>
        <w:tc>
          <w:tcPr>
            <w:tcW w:w="2426" w:type="dxa"/>
            <w:vAlign w:val="center"/>
          </w:tcPr>
          <w:p w14:paraId="04C6CB7E" w14:textId="1CFA8231" w:rsidR="000E1112" w:rsidRPr="00C45400" w:rsidRDefault="000E1112" w:rsidP="00314560">
            <w:pPr>
              <w:spacing w:before="0" w:after="0" w:line="200" w:lineRule="atLeast"/>
              <w:rPr>
                <w:sz w:val="20"/>
              </w:rPr>
            </w:pPr>
            <w:r w:rsidRPr="00C45400">
              <w:rPr>
                <w:sz w:val="20"/>
              </w:rPr>
              <w:t xml:space="preserve">EUL </w:t>
            </w:r>
            <w:r w:rsidR="00821CBF">
              <w:rPr>
                <w:sz w:val="20"/>
              </w:rPr>
              <w:t>(</w:t>
            </w:r>
            <w:proofErr w:type="spellStart"/>
            <w:r w:rsidR="00821CBF">
              <w:rPr>
                <w:sz w:val="20"/>
              </w:rPr>
              <w:t>yrs</w:t>
            </w:r>
            <w:proofErr w:type="spellEnd"/>
            <w:r w:rsidR="00821CBF">
              <w:rPr>
                <w:sz w:val="20"/>
              </w:rPr>
              <w:t>)</w:t>
            </w:r>
            <w:r w:rsidR="00967F1A">
              <w:rPr>
                <w:sz w:val="20"/>
              </w:rPr>
              <w:t xml:space="preserve"> – </w:t>
            </w:r>
            <w:r w:rsidR="006D51CB">
              <w:rPr>
                <w:sz w:val="20"/>
              </w:rPr>
              <w:t>host</w:t>
            </w:r>
          </w:p>
        </w:tc>
        <w:tc>
          <w:tcPr>
            <w:tcW w:w="1348" w:type="dxa"/>
            <w:shd w:val="clear" w:color="auto" w:fill="auto"/>
            <w:vAlign w:val="center"/>
          </w:tcPr>
          <w:p w14:paraId="597958E5" w14:textId="42914293" w:rsidR="000E1112" w:rsidRPr="00217053" w:rsidRDefault="006D51CB" w:rsidP="00314560">
            <w:pPr>
              <w:spacing w:before="0" w:after="0" w:line="200" w:lineRule="atLeast"/>
              <w:ind w:right="302"/>
              <w:jc w:val="right"/>
              <w:rPr>
                <w:sz w:val="20"/>
              </w:rPr>
            </w:pPr>
            <w:r>
              <w:rPr>
                <w:sz w:val="20"/>
              </w:rPr>
              <w:t>1</w:t>
            </w:r>
            <w:r w:rsidR="007C2803" w:rsidRPr="00D00050">
              <w:rPr>
                <w:sz w:val="20"/>
              </w:rPr>
              <w:t>5.0</w:t>
            </w:r>
          </w:p>
        </w:tc>
        <w:tc>
          <w:tcPr>
            <w:tcW w:w="5661" w:type="dxa"/>
            <w:vAlign w:val="center"/>
          </w:tcPr>
          <w:p w14:paraId="7A189857" w14:textId="2070D108" w:rsidR="008935ED" w:rsidRPr="00C149ED" w:rsidRDefault="00FC72C7" w:rsidP="00314560">
            <w:pPr>
              <w:spacing w:before="0" w:after="0" w:line="240" w:lineRule="auto"/>
              <w:rPr>
                <w:rFonts w:eastAsia="Times New Roman" w:cs="Times New Roman"/>
                <w:color w:val="000000"/>
                <w:sz w:val="18"/>
                <w:szCs w:val="18"/>
                <w:highlight w:val="yellow"/>
              </w:rPr>
            </w:pPr>
            <w:r w:rsidRPr="00FC72C7">
              <w:rPr>
                <w:rFonts w:eastAsia="Times New Roman" w:cs="Times New Roman"/>
                <w:color w:val="000000"/>
                <w:sz w:val="18"/>
                <w:szCs w:val="18"/>
              </w:rPr>
              <w:t xml:space="preserve">California Public Utilities Commission (CPUC), Energy Division.  2003. </w:t>
            </w:r>
            <w:r w:rsidRPr="00FC72C7">
              <w:rPr>
                <w:rFonts w:eastAsia="Times New Roman" w:cs="Times New Roman"/>
                <w:i/>
                <w:iCs/>
                <w:color w:val="000000"/>
                <w:sz w:val="18"/>
                <w:szCs w:val="18"/>
              </w:rPr>
              <w:t xml:space="preserve">Energy Efficiency Policy Manual v 2.0. </w:t>
            </w:r>
            <w:r w:rsidRPr="00FC72C7">
              <w:rPr>
                <w:rFonts w:eastAsia="Times New Roman" w:cs="Times New Roman"/>
                <w:iCs/>
                <w:color w:val="000000"/>
                <w:sz w:val="18"/>
                <w:szCs w:val="18"/>
              </w:rPr>
              <w:t>Page 17.</w:t>
            </w:r>
          </w:p>
        </w:tc>
      </w:tr>
      <w:tr w:rsidR="006D51CB" w:rsidRPr="00052C24" w14:paraId="12E10916" w14:textId="77777777" w:rsidTr="005C208C">
        <w:trPr>
          <w:trHeight w:val="260"/>
        </w:trPr>
        <w:tc>
          <w:tcPr>
            <w:tcW w:w="2426" w:type="dxa"/>
            <w:vAlign w:val="center"/>
          </w:tcPr>
          <w:p w14:paraId="0291DC18" w14:textId="285940F2" w:rsidR="006D51CB" w:rsidRPr="00C45400" w:rsidRDefault="006D51CB" w:rsidP="006D51CB">
            <w:pPr>
              <w:spacing w:before="0" w:after="0" w:line="200" w:lineRule="atLeast"/>
              <w:rPr>
                <w:sz w:val="20"/>
              </w:rPr>
            </w:pPr>
            <w:r w:rsidRPr="00C45400">
              <w:rPr>
                <w:sz w:val="20"/>
              </w:rPr>
              <w:t xml:space="preserve">EUL </w:t>
            </w:r>
            <w:r>
              <w:rPr>
                <w:sz w:val="20"/>
              </w:rPr>
              <w:t>(</w:t>
            </w:r>
            <w:proofErr w:type="spellStart"/>
            <w:r>
              <w:rPr>
                <w:sz w:val="20"/>
              </w:rPr>
              <w:t>yrs</w:t>
            </w:r>
            <w:proofErr w:type="spellEnd"/>
            <w:r>
              <w:rPr>
                <w:sz w:val="20"/>
              </w:rPr>
              <w:t xml:space="preserve">) – measure </w:t>
            </w:r>
          </w:p>
        </w:tc>
        <w:tc>
          <w:tcPr>
            <w:tcW w:w="1348" w:type="dxa"/>
            <w:shd w:val="clear" w:color="auto" w:fill="auto"/>
            <w:vAlign w:val="center"/>
          </w:tcPr>
          <w:p w14:paraId="30B53161" w14:textId="031D5225" w:rsidR="006D51CB" w:rsidRPr="00D00050" w:rsidRDefault="006D51CB" w:rsidP="006D51CB">
            <w:pPr>
              <w:spacing w:before="0" w:after="0" w:line="200" w:lineRule="atLeast"/>
              <w:ind w:right="302"/>
              <w:jc w:val="right"/>
              <w:rPr>
                <w:sz w:val="20"/>
              </w:rPr>
            </w:pPr>
            <w:r w:rsidRPr="00D00050">
              <w:rPr>
                <w:sz w:val="20"/>
              </w:rPr>
              <w:t>5.0</w:t>
            </w:r>
          </w:p>
        </w:tc>
        <w:tc>
          <w:tcPr>
            <w:tcW w:w="5661" w:type="dxa"/>
            <w:vAlign w:val="center"/>
          </w:tcPr>
          <w:p w14:paraId="3234139C" w14:textId="548F4D71" w:rsidR="006D51CB" w:rsidRDefault="00FC72C7" w:rsidP="006D51CB">
            <w:pPr>
              <w:spacing w:before="0" w:after="0" w:line="240" w:lineRule="auto"/>
              <w:rPr>
                <w:rFonts w:eastAsia="Times New Roman" w:cs="Times New Roman"/>
                <w:color w:val="000000"/>
                <w:sz w:val="18"/>
                <w:szCs w:val="18"/>
              </w:rPr>
            </w:pPr>
            <w:r>
              <w:rPr>
                <w:rFonts w:eastAsia="Times New Roman" w:cs="Times New Roman"/>
                <w:color w:val="000000"/>
                <w:sz w:val="18"/>
                <w:szCs w:val="18"/>
              </w:rPr>
              <w:t>1/3 of host EUL</w:t>
            </w:r>
          </w:p>
        </w:tc>
      </w:tr>
      <w:tr w:rsidR="006D51CB" w:rsidRPr="00052C24" w14:paraId="4300D0C7" w14:textId="77777777" w:rsidTr="005C208C">
        <w:trPr>
          <w:trHeight w:val="260"/>
        </w:trPr>
        <w:tc>
          <w:tcPr>
            <w:tcW w:w="2426" w:type="dxa"/>
            <w:vAlign w:val="center"/>
          </w:tcPr>
          <w:p w14:paraId="6F45B224" w14:textId="3C81D40A" w:rsidR="006D51CB" w:rsidRPr="00C45400" w:rsidRDefault="006D51CB" w:rsidP="006D51CB">
            <w:pPr>
              <w:spacing w:before="0" w:after="0" w:line="200" w:lineRule="atLeast"/>
              <w:rPr>
                <w:sz w:val="20"/>
              </w:rPr>
            </w:pPr>
            <w:r>
              <w:rPr>
                <w:sz w:val="20"/>
              </w:rPr>
              <w:t>RUL (</w:t>
            </w:r>
            <w:proofErr w:type="spellStart"/>
            <w:r>
              <w:rPr>
                <w:sz w:val="20"/>
              </w:rPr>
              <w:t>yrs</w:t>
            </w:r>
            <w:proofErr w:type="spellEnd"/>
            <w:r>
              <w:rPr>
                <w:sz w:val="20"/>
              </w:rPr>
              <w:t>) – measure</w:t>
            </w:r>
          </w:p>
        </w:tc>
        <w:tc>
          <w:tcPr>
            <w:tcW w:w="1348" w:type="dxa"/>
            <w:shd w:val="clear" w:color="auto" w:fill="auto"/>
            <w:vAlign w:val="center"/>
          </w:tcPr>
          <w:p w14:paraId="5FD011AD" w14:textId="2E3ED87A" w:rsidR="006D51CB" w:rsidRPr="00D00050" w:rsidRDefault="006D51CB" w:rsidP="006D51CB">
            <w:pPr>
              <w:spacing w:before="0" w:after="0" w:line="200" w:lineRule="atLeast"/>
              <w:ind w:right="302"/>
              <w:jc w:val="right"/>
              <w:rPr>
                <w:sz w:val="20"/>
              </w:rPr>
            </w:pPr>
            <w:r>
              <w:rPr>
                <w:sz w:val="20"/>
              </w:rPr>
              <w:t>n/a</w:t>
            </w:r>
          </w:p>
        </w:tc>
        <w:tc>
          <w:tcPr>
            <w:tcW w:w="5661" w:type="dxa"/>
            <w:vAlign w:val="center"/>
          </w:tcPr>
          <w:p w14:paraId="4C430AC4" w14:textId="1431322D" w:rsidR="006D51CB" w:rsidRDefault="005F6344" w:rsidP="006D51CB">
            <w:pPr>
              <w:spacing w:before="0" w:after="0" w:line="240" w:lineRule="auto"/>
              <w:rPr>
                <w:rFonts w:eastAsia="Times New Roman" w:cs="Times New Roman"/>
                <w:color w:val="000000"/>
                <w:sz w:val="18"/>
                <w:szCs w:val="18"/>
              </w:rPr>
            </w:pPr>
            <w:r>
              <w:rPr>
                <w:rFonts w:eastAsia="Times New Roman" w:cs="Times New Roman"/>
                <w:color w:val="000000"/>
                <w:sz w:val="18"/>
                <w:szCs w:val="18"/>
              </w:rPr>
              <w:t>-</w:t>
            </w:r>
          </w:p>
        </w:tc>
      </w:tr>
    </w:tbl>
    <w:p w14:paraId="258FCB57" w14:textId="77777777" w:rsidR="000E1112" w:rsidRPr="004B06E3" w:rsidRDefault="000E1112" w:rsidP="004142EF"/>
    <w:p w14:paraId="3B14B593" w14:textId="77777777" w:rsidR="007D230B" w:rsidRPr="004B06E3" w:rsidRDefault="007D230B" w:rsidP="0065534B">
      <w:pPr>
        <w:pStyle w:val="eTRMHeading3"/>
      </w:pPr>
      <w:bookmarkStart w:id="50" w:name="_Toc486490860"/>
      <w:bookmarkStart w:id="51" w:name="_Toc486580931"/>
      <w:bookmarkStart w:id="52" w:name="_Toc10468722"/>
      <w:r w:rsidRPr="004B06E3">
        <w:lastRenderedPageBreak/>
        <w:t>Base Case Material Cost ($/unit)</w:t>
      </w:r>
      <w:bookmarkEnd w:id="50"/>
      <w:bookmarkEnd w:id="51"/>
      <w:bookmarkEnd w:id="52"/>
    </w:p>
    <w:p w14:paraId="7A15D4A0" w14:textId="1F0A6B58" w:rsidR="00FC72C7" w:rsidRDefault="00FC72C7" w:rsidP="00FC72C7">
      <w:pPr>
        <w:jc w:val="both"/>
      </w:pPr>
      <w:r w:rsidRPr="00FC72C7">
        <w:t>Insofar as a fan controller for a residential air conditioning unit is add-on equipment, there is no base case material cost as the measure is being added onto the existing host equipment. The base case material cost is equal to $0.</w:t>
      </w:r>
    </w:p>
    <w:p w14:paraId="6DC4DC71" w14:textId="77777777" w:rsidR="0065255B" w:rsidRPr="00FC72C7" w:rsidRDefault="0065255B" w:rsidP="00FC72C7">
      <w:pPr>
        <w:jc w:val="both"/>
      </w:pPr>
    </w:p>
    <w:p w14:paraId="44E8DBEB" w14:textId="77777777" w:rsidR="007D230B" w:rsidRPr="004B06E3" w:rsidRDefault="007D230B" w:rsidP="0065534B">
      <w:pPr>
        <w:pStyle w:val="eTRMHeading3"/>
      </w:pPr>
      <w:bookmarkStart w:id="53" w:name="_Toc486490861"/>
      <w:bookmarkStart w:id="54" w:name="_Toc486580932"/>
      <w:bookmarkStart w:id="55" w:name="_Toc10468723"/>
      <w:r w:rsidRPr="004B06E3">
        <w:t>Measure Case Material Cost ($/unit)</w:t>
      </w:r>
      <w:bookmarkEnd w:id="53"/>
      <w:bookmarkEnd w:id="54"/>
      <w:bookmarkEnd w:id="55"/>
    </w:p>
    <w:p w14:paraId="2856E5C3" w14:textId="1F2C8D8F" w:rsidR="001B5484" w:rsidRDefault="004C2ACF" w:rsidP="008B0A81">
      <w:pPr>
        <w:pStyle w:val="Reminders"/>
        <w:rPr>
          <w:rFonts w:ascii="Calibri Light" w:eastAsiaTheme="minorEastAsia" w:hAnsi="Calibri Light" w:cstheme="minorBidi"/>
          <w:i w:val="0"/>
          <w:color w:val="auto"/>
        </w:rPr>
      </w:pPr>
      <w:r w:rsidRPr="007E1F4F">
        <w:rPr>
          <w:rFonts w:ascii="Calibri Light" w:eastAsiaTheme="minorEastAsia" w:hAnsi="Calibri Light" w:cstheme="minorBidi"/>
          <w:i w:val="0"/>
          <w:color w:val="auto"/>
        </w:rPr>
        <w:t>The measure equipment material cost was</w:t>
      </w:r>
      <w:r w:rsidR="00FC72C7">
        <w:rPr>
          <w:rFonts w:ascii="Calibri Light" w:eastAsiaTheme="minorEastAsia" w:hAnsi="Calibri Light" w:cstheme="minorBidi"/>
          <w:i w:val="0"/>
          <w:color w:val="auto"/>
        </w:rPr>
        <w:t xml:space="preserve"> </w:t>
      </w:r>
      <w:r w:rsidR="00FC72C7" w:rsidRPr="00FC72C7">
        <w:rPr>
          <w:rFonts w:ascii="Calibri Light" w:eastAsiaTheme="minorEastAsia" w:hAnsi="Calibri Light" w:cstheme="minorBidi"/>
          <w:i w:val="0"/>
          <w:color w:val="auto"/>
        </w:rPr>
        <w:t xml:space="preserve">calculated as the average of costs obtained </w:t>
      </w:r>
      <w:r w:rsidR="00FC72C7">
        <w:rPr>
          <w:rFonts w:ascii="Calibri Light" w:eastAsiaTheme="minorEastAsia" w:hAnsi="Calibri Light" w:cstheme="minorBidi"/>
          <w:i w:val="0"/>
          <w:color w:val="auto"/>
        </w:rPr>
        <w:t xml:space="preserve">from </w:t>
      </w:r>
      <w:r w:rsidR="0073693D">
        <w:rPr>
          <w:rFonts w:ascii="Calibri Light" w:eastAsiaTheme="minorEastAsia" w:hAnsi="Calibri Light" w:cstheme="minorBidi"/>
          <w:i w:val="0"/>
          <w:color w:val="auto"/>
        </w:rPr>
        <w:t>two</w:t>
      </w:r>
      <w:r w:rsidRPr="007E1F4F">
        <w:rPr>
          <w:rFonts w:ascii="Calibri Light" w:eastAsiaTheme="minorEastAsia" w:hAnsi="Calibri Light" w:cstheme="minorBidi"/>
          <w:i w:val="0"/>
          <w:color w:val="auto"/>
        </w:rPr>
        <w:t xml:space="preserve"> manufacturers of commercially available </w:t>
      </w:r>
      <w:r w:rsidR="008F6ED4" w:rsidRPr="007E1F4F">
        <w:rPr>
          <w:rFonts w:ascii="Calibri Light" w:eastAsiaTheme="minorEastAsia" w:hAnsi="Calibri Light" w:cstheme="minorBidi"/>
          <w:i w:val="0"/>
          <w:color w:val="auto"/>
        </w:rPr>
        <w:t>logic-based</w:t>
      </w:r>
      <w:r w:rsidR="00FF2734">
        <w:rPr>
          <w:rFonts w:ascii="Calibri Light" w:eastAsiaTheme="minorEastAsia" w:hAnsi="Calibri Light" w:cstheme="minorBidi"/>
          <w:i w:val="0"/>
          <w:color w:val="auto"/>
        </w:rPr>
        <w:t xml:space="preserve"> </w:t>
      </w:r>
      <w:r w:rsidR="002673CC">
        <w:rPr>
          <w:rFonts w:ascii="Calibri Light" w:eastAsiaTheme="minorEastAsia" w:hAnsi="Calibri Light" w:cstheme="minorBidi"/>
          <w:i w:val="0"/>
          <w:color w:val="auto"/>
        </w:rPr>
        <w:t xml:space="preserve">fan </w:t>
      </w:r>
      <w:r w:rsidR="00FF2734" w:rsidRPr="00FF2734">
        <w:rPr>
          <w:rFonts w:ascii="Calibri Light" w:eastAsiaTheme="minorEastAsia" w:hAnsi="Calibri Light" w:cstheme="minorBidi"/>
          <w:i w:val="0"/>
          <w:color w:val="auto"/>
        </w:rPr>
        <w:t>controller.</w:t>
      </w:r>
      <w:r w:rsidR="005F6344">
        <w:rPr>
          <w:rStyle w:val="FootnoteReference"/>
          <w:rFonts w:ascii="Calibri Light" w:eastAsiaTheme="minorEastAsia" w:hAnsi="Calibri Light" w:cstheme="minorBidi"/>
          <w:i w:val="0"/>
          <w:color w:val="auto"/>
        </w:rPr>
        <w:footnoteReference w:id="15"/>
      </w:r>
      <w:r w:rsidR="00FF2734" w:rsidRPr="00FF2734">
        <w:rPr>
          <w:rFonts w:ascii="Calibri Light" w:eastAsiaTheme="minorEastAsia" w:hAnsi="Calibri Light" w:cstheme="minorBidi"/>
          <w:i w:val="0"/>
          <w:color w:val="auto"/>
        </w:rPr>
        <w:t xml:space="preserve"> </w:t>
      </w:r>
    </w:p>
    <w:p w14:paraId="0F5EEA85" w14:textId="77777777" w:rsidR="0065255B" w:rsidRDefault="0065255B" w:rsidP="00943D85"/>
    <w:p w14:paraId="551A6B73" w14:textId="14D7AA55" w:rsidR="00314560" w:rsidRPr="004B06E3" w:rsidRDefault="00314560" w:rsidP="0065534B">
      <w:pPr>
        <w:pStyle w:val="eTRMHeading3"/>
      </w:pPr>
      <w:bookmarkStart w:id="56" w:name="_Toc10468724"/>
      <w:r>
        <w:t xml:space="preserve">Base Case </w:t>
      </w:r>
      <w:r w:rsidRPr="004B06E3">
        <w:t>Labor Cost ($/unit)</w:t>
      </w:r>
      <w:bookmarkEnd w:id="56"/>
    </w:p>
    <w:p w14:paraId="3E7F9889" w14:textId="77777777" w:rsidR="00FF2734" w:rsidRPr="00FF2734" w:rsidRDefault="00FF2734" w:rsidP="00FF2734">
      <w:pPr>
        <w:jc w:val="both"/>
      </w:pPr>
      <w:r w:rsidRPr="00FF2734">
        <w:t>Insofar as a fan controller for a residential air conditioning unit is add-on equipment, there is no base case material cost as the measure is being added onto the existing host equipment. The base case labor cost is equal to $0.</w:t>
      </w:r>
    </w:p>
    <w:p w14:paraId="126F6D76" w14:textId="3A6B1F92" w:rsidR="00C04075" w:rsidRPr="00F34CCE" w:rsidRDefault="00C04075" w:rsidP="00C04075">
      <w:pPr>
        <w:jc w:val="both"/>
        <w:rPr>
          <w:rFonts w:cstheme="minorHAnsi"/>
          <w:szCs w:val="22"/>
        </w:rPr>
      </w:pPr>
    </w:p>
    <w:p w14:paraId="02691007" w14:textId="7AC075F5" w:rsidR="007D230B" w:rsidRDefault="00314560" w:rsidP="0065534B">
      <w:pPr>
        <w:pStyle w:val="eTRMHeading3"/>
      </w:pPr>
      <w:bookmarkStart w:id="57" w:name="_Toc486490862"/>
      <w:bookmarkStart w:id="58" w:name="_Toc486580933"/>
      <w:bookmarkStart w:id="59" w:name="_Toc10468725"/>
      <w:r>
        <w:t xml:space="preserve">Measure Case </w:t>
      </w:r>
      <w:r w:rsidR="007D230B" w:rsidRPr="004B06E3">
        <w:t>Labor Cost ($/unit)</w:t>
      </w:r>
      <w:bookmarkEnd w:id="57"/>
      <w:bookmarkEnd w:id="58"/>
      <w:bookmarkEnd w:id="59"/>
    </w:p>
    <w:p w14:paraId="571265A1" w14:textId="0D5D48EB" w:rsidR="00FF2734" w:rsidRPr="00FF2734" w:rsidRDefault="00FF2734" w:rsidP="00FF2734">
      <w:pPr>
        <w:spacing w:before="40" w:after="40"/>
        <w:jc w:val="both"/>
        <w:rPr>
          <w:rFonts w:cstheme="minorHAnsi"/>
          <w:szCs w:val="22"/>
        </w:rPr>
      </w:pPr>
      <w:bookmarkStart w:id="60" w:name="_Toc486490863"/>
      <w:bookmarkStart w:id="61" w:name="_Toc486580934"/>
      <w:r w:rsidRPr="00FF2734">
        <w:rPr>
          <w:rFonts w:cstheme="minorHAnsi"/>
          <w:szCs w:val="22"/>
        </w:rPr>
        <w:t>The measure labor cost was determined from 2018 RSMeans Electrical Cost Data; labor cost inputs are provided below</w:t>
      </w:r>
      <w:r w:rsidRPr="00FF2734">
        <w:rPr>
          <w:rFonts w:cstheme="minorHAnsi"/>
          <w:i/>
          <w:szCs w:val="22"/>
        </w:rPr>
        <w:t>.</w:t>
      </w:r>
      <w:r w:rsidRPr="00FF2734">
        <w:rPr>
          <w:rFonts w:cstheme="minorHAnsi"/>
          <w:szCs w:val="22"/>
        </w:rPr>
        <w:t xml:space="preserve"> The hourly labor rate, obtained from RSMeans Electrical Cost Data, is associated with a low-voltage controller.</w:t>
      </w:r>
      <w:r w:rsidR="005F6344" w:rsidRPr="00943D85">
        <w:rPr>
          <w:rStyle w:val="FootnoteReference"/>
        </w:rPr>
        <w:t xml:space="preserve"> </w:t>
      </w:r>
      <w:r w:rsidR="005F6344" w:rsidRPr="00943D85">
        <w:rPr>
          <w:rStyle w:val="FootnoteReference"/>
        </w:rPr>
        <w:footnoteReference w:id="16"/>
      </w:r>
    </w:p>
    <w:p w14:paraId="6118B957" w14:textId="77777777" w:rsidR="00C24FE3" w:rsidRDefault="00C24FE3" w:rsidP="00472048">
      <w:pPr>
        <w:pStyle w:val="Reminders"/>
        <w:rPr>
          <w:rFonts w:ascii="Calibri Light" w:eastAsiaTheme="minorEastAsia" w:hAnsi="Calibri Light" w:cstheme="minorBidi"/>
          <w:i w:val="0"/>
          <w:color w:val="auto"/>
        </w:rPr>
      </w:pPr>
    </w:p>
    <w:p w14:paraId="050D9183" w14:textId="7FD6C1F5" w:rsidR="007D230B" w:rsidRPr="004B06E3" w:rsidRDefault="004B06E3" w:rsidP="0065534B">
      <w:pPr>
        <w:pStyle w:val="eTRMHeading3"/>
      </w:pPr>
      <w:bookmarkStart w:id="62" w:name="_Toc10468726"/>
      <w:r>
        <w:t>Net-to-Gross</w:t>
      </w:r>
      <w:bookmarkEnd w:id="60"/>
      <w:bookmarkEnd w:id="61"/>
      <w:r w:rsidR="009756F3">
        <w:t xml:space="preserve"> (NTG)</w:t>
      </w:r>
      <w:bookmarkEnd w:id="62"/>
    </w:p>
    <w:p w14:paraId="0021846D" w14:textId="77777777" w:rsidR="00FF2734" w:rsidRPr="00FF2734" w:rsidRDefault="00FF2734" w:rsidP="00FF2734">
      <w:r w:rsidRPr="00FF2734">
        <w:t>The net-to-gross (NTG) ratio represents the portion of gross impacts that are determined to be directly attributed to a specific program intervention. This NTG values are based upon the average of all NTG ratios for all evaluated 2006 – 2008 residential programs, as documented in the 2011 DEER Update Study conducted by Itron, Inc. This sector average NTG (“default NTG”) is applicable to all energy efficiency measures that have been offered through residential sector programs for more than two years and for which impact evaluation results are not available. </w:t>
      </w:r>
    </w:p>
    <w:p w14:paraId="66AC46DD" w14:textId="4E6F9352" w:rsidR="007950FB" w:rsidRPr="0059426D" w:rsidRDefault="007950FB" w:rsidP="007950FB">
      <w:pPr>
        <w:pStyle w:val="Caption"/>
      </w:pPr>
      <w:r>
        <w:t>Net-to-Gross Ratios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155"/>
        <w:gridCol w:w="1530"/>
        <w:gridCol w:w="5760"/>
      </w:tblGrid>
      <w:tr w:rsidR="007950FB" w:rsidRPr="0059426D" w14:paraId="381841DB" w14:textId="77777777" w:rsidTr="00943D85">
        <w:trPr>
          <w:cantSplit/>
          <w:trHeight w:val="20"/>
        </w:trPr>
        <w:tc>
          <w:tcPr>
            <w:tcW w:w="2155" w:type="dxa"/>
            <w:shd w:val="clear" w:color="000000" w:fill="F2F2F2" w:themeFill="background1" w:themeFillShade="F2"/>
            <w:vAlign w:val="bottom"/>
          </w:tcPr>
          <w:p w14:paraId="7A277ABA" w14:textId="77777777" w:rsidR="007950FB" w:rsidRPr="0059426D" w:rsidRDefault="007950FB" w:rsidP="001B72DB">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530" w:type="dxa"/>
            <w:shd w:val="clear" w:color="000000" w:fill="F2F2F2" w:themeFill="background1" w:themeFillShade="F2"/>
            <w:vAlign w:val="bottom"/>
          </w:tcPr>
          <w:p w14:paraId="579C27BB" w14:textId="77777777" w:rsidR="007950FB" w:rsidRPr="0059426D" w:rsidRDefault="007950FB" w:rsidP="001B72DB">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5760" w:type="dxa"/>
            <w:shd w:val="clear" w:color="000000" w:fill="F2F2F2" w:themeFill="background1" w:themeFillShade="F2"/>
          </w:tcPr>
          <w:p w14:paraId="1CAD1C02" w14:textId="77777777" w:rsidR="007950FB" w:rsidRDefault="007950FB" w:rsidP="001B72DB">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7950FB" w:rsidRPr="0059426D" w14:paraId="06FC991C" w14:textId="77777777" w:rsidTr="00943D85">
        <w:trPr>
          <w:cantSplit/>
          <w:trHeight w:val="395"/>
        </w:trPr>
        <w:tc>
          <w:tcPr>
            <w:tcW w:w="2155" w:type="dxa"/>
            <w:vAlign w:val="center"/>
          </w:tcPr>
          <w:p w14:paraId="15A35331" w14:textId="77777777" w:rsidR="007950FB" w:rsidRPr="00177EB6" w:rsidRDefault="007950FB" w:rsidP="001B72DB">
            <w:pPr>
              <w:keepNext/>
              <w:keepLines/>
              <w:spacing w:before="0" w:after="0" w:line="200" w:lineRule="atLeast"/>
              <w:rPr>
                <w:rFonts w:cstheme="minorHAnsi"/>
                <w:sz w:val="20"/>
                <w:szCs w:val="20"/>
              </w:rPr>
            </w:pPr>
            <w:r w:rsidRPr="00177EB6">
              <w:rPr>
                <w:rFonts w:cs="Arial"/>
                <w:color w:val="000000"/>
                <w:sz w:val="20"/>
                <w:szCs w:val="20"/>
              </w:rPr>
              <w:t xml:space="preserve">NTG </w:t>
            </w:r>
            <w:r>
              <w:rPr>
                <w:rFonts w:cs="Arial"/>
                <w:color w:val="000000"/>
                <w:sz w:val="20"/>
                <w:szCs w:val="20"/>
              </w:rPr>
              <w:t xml:space="preserve">- </w:t>
            </w:r>
            <w:r>
              <w:rPr>
                <w:szCs w:val="20"/>
              </w:rPr>
              <w:t>residential</w:t>
            </w:r>
          </w:p>
        </w:tc>
        <w:tc>
          <w:tcPr>
            <w:tcW w:w="1530" w:type="dxa"/>
            <w:shd w:val="clear" w:color="auto" w:fill="auto"/>
            <w:noWrap/>
            <w:vAlign w:val="center"/>
          </w:tcPr>
          <w:p w14:paraId="35BB301B" w14:textId="77777777" w:rsidR="007950FB" w:rsidRPr="0059426D" w:rsidRDefault="007950FB" w:rsidP="001B72DB">
            <w:pPr>
              <w:keepNext/>
              <w:keepLines/>
              <w:spacing w:before="0" w:after="0" w:line="200" w:lineRule="atLeast"/>
              <w:rPr>
                <w:color w:val="000000"/>
                <w:sz w:val="20"/>
                <w:szCs w:val="20"/>
              </w:rPr>
            </w:pPr>
            <w:r w:rsidRPr="00E97C61">
              <w:rPr>
                <w:sz w:val="20"/>
                <w:szCs w:val="20"/>
              </w:rPr>
              <w:t>0.55</w:t>
            </w:r>
          </w:p>
        </w:tc>
        <w:tc>
          <w:tcPr>
            <w:tcW w:w="5760" w:type="dxa"/>
            <w:vAlign w:val="center"/>
          </w:tcPr>
          <w:p w14:paraId="21EC72CB" w14:textId="65993C9A" w:rsidR="007950FB" w:rsidRPr="00FE7878" w:rsidRDefault="00FF2734" w:rsidP="001B72DB">
            <w:pPr>
              <w:spacing w:before="0" w:after="0"/>
            </w:pPr>
            <w:r w:rsidRPr="00FF2734">
              <w:rPr>
                <w:sz w:val="18"/>
              </w:rPr>
              <w:t xml:space="preserve">Itron, Inc. 2011. </w:t>
            </w:r>
            <w:r w:rsidRPr="00FF2734">
              <w:rPr>
                <w:i/>
                <w:sz w:val="18"/>
              </w:rPr>
              <w:t>DEER Database 2011 Update Documentation.</w:t>
            </w:r>
            <w:r w:rsidRPr="00FF2734">
              <w:rPr>
                <w:sz w:val="18"/>
              </w:rPr>
              <w:t xml:space="preserve"> Prepared for the California Public Utilities Commission. Page 15-4 Table 15-3.</w:t>
            </w:r>
          </w:p>
        </w:tc>
      </w:tr>
    </w:tbl>
    <w:p w14:paraId="2318C2FA" w14:textId="5B55C12E" w:rsidR="00505EDA" w:rsidRDefault="00505EDA" w:rsidP="007950FB"/>
    <w:p w14:paraId="323B5B02" w14:textId="4BC9FFB9" w:rsidR="007D230B" w:rsidRPr="004B06E3" w:rsidRDefault="009756F3" w:rsidP="0065534B">
      <w:pPr>
        <w:pStyle w:val="eTRMHeading3"/>
      </w:pPr>
      <w:bookmarkStart w:id="63" w:name="_Toc486490864"/>
      <w:bookmarkStart w:id="64" w:name="_Toc486580935"/>
      <w:bookmarkStart w:id="65" w:name="_Toc10468727"/>
      <w:r>
        <w:lastRenderedPageBreak/>
        <w:t>Gross Savings Installation Adjustment (</w:t>
      </w:r>
      <w:r w:rsidR="007D230B" w:rsidRPr="004B06E3">
        <w:t>GSIA</w:t>
      </w:r>
      <w:bookmarkEnd w:id="63"/>
      <w:bookmarkEnd w:id="64"/>
      <w:r>
        <w:t>)</w:t>
      </w:r>
      <w:bookmarkEnd w:id="65"/>
    </w:p>
    <w:p w14:paraId="2D5164D8" w14:textId="1B985859" w:rsidR="009F768F" w:rsidRPr="00AD00D3" w:rsidRDefault="009F768F" w:rsidP="009F768F">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w:t>
      </w:r>
      <w:r w:rsidRPr="0086738D">
        <w:t xml:space="preserve">varies by end use, sector, technology, application, and delivery method. </w:t>
      </w:r>
      <w:r w:rsidR="00505EDA">
        <w:t>This GSIA rate is the current “default” rate specified for measures for which an alternative GSIA has not been estimated and approved.</w:t>
      </w:r>
    </w:p>
    <w:p w14:paraId="26968AA9" w14:textId="529795B1" w:rsidR="009F768F" w:rsidRPr="0059426D" w:rsidRDefault="00314560" w:rsidP="00EA043A">
      <w:pPr>
        <w:pStyle w:val="Caption"/>
      </w:pPr>
      <w:r>
        <w:t>Gross Savings Installation Adjustment Rate</w:t>
      </w:r>
    </w:p>
    <w:tbl>
      <w:tblPr>
        <w:tblW w:w="891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190"/>
        <w:gridCol w:w="1620"/>
        <w:gridCol w:w="5100"/>
      </w:tblGrid>
      <w:tr w:rsidR="00505EDA" w:rsidRPr="00052C24" w14:paraId="51E35260" w14:textId="77777777" w:rsidTr="00805B84">
        <w:tc>
          <w:tcPr>
            <w:tcW w:w="2190" w:type="dxa"/>
            <w:shd w:val="clear" w:color="auto" w:fill="F2F2F2" w:themeFill="background1" w:themeFillShade="F2"/>
            <w:vAlign w:val="bottom"/>
          </w:tcPr>
          <w:p w14:paraId="21B03D54" w14:textId="77777777" w:rsidR="00505EDA" w:rsidRPr="00052C24" w:rsidRDefault="00505EDA" w:rsidP="000E1112">
            <w:pPr>
              <w:keepNext/>
              <w:keepLines/>
              <w:spacing w:before="0" w:after="0" w:line="200" w:lineRule="atLeast"/>
              <w:jc w:val="center"/>
              <w:rPr>
                <w:b/>
                <w:sz w:val="20"/>
              </w:rPr>
            </w:pPr>
            <w:r>
              <w:rPr>
                <w:b/>
                <w:sz w:val="20"/>
              </w:rPr>
              <w:t>Parameter</w:t>
            </w:r>
          </w:p>
        </w:tc>
        <w:tc>
          <w:tcPr>
            <w:tcW w:w="1620" w:type="dxa"/>
            <w:shd w:val="clear" w:color="auto" w:fill="F2F2F2" w:themeFill="background1" w:themeFillShade="F2"/>
            <w:vAlign w:val="bottom"/>
          </w:tcPr>
          <w:p w14:paraId="012D71A6" w14:textId="4905A141" w:rsidR="00505EDA" w:rsidRPr="00052C24" w:rsidRDefault="00314560" w:rsidP="000E1112">
            <w:pPr>
              <w:keepNext/>
              <w:keepLines/>
              <w:spacing w:before="0" w:after="0" w:line="200" w:lineRule="atLeast"/>
              <w:jc w:val="center"/>
              <w:rPr>
                <w:b/>
                <w:sz w:val="20"/>
              </w:rPr>
            </w:pPr>
            <w:r>
              <w:rPr>
                <w:b/>
                <w:sz w:val="20"/>
              </w:rPr>
              <w:t>Value</w:t>
            </w:r>
          </w:p>
        </w:tc>
        <w:tc>
          <w:tcPr>
            <w:tcW w:w="5100" w:type="dxa"/>
            <w:shd w:val="clear" w:color="auto" w:fill="F2F2F2" w:themeFill="background1" w:themeFillShade="F2"/>
            <w:vAlign w:val="bottom"/>
          </w:tcPr>
          <w:p w14:paraId="50F7EA46" w14:textId="77777777" w:rsidR="00505EDA" w:rsidRDefault="00505EDA" w:rsidP="000E1112">
            <w:pPr>
              <w:keepNext/>
              <w:keepLines/>
              <w:spacing w:before="0" w:after="0" w:line="200" w:lineRule="atLeast"/>
              <w:jc w:val="center"/>
              <w:rPr>
                <w:b/>
                <w:sz w:val="20"/>
              </w:rPr>
            </w:pPr>
            <w:r>
              <w:rPr>
                <w:b/>
                <w:sz w:val="20"/>
              </w:rPr>
              <w:t>Source</w:t>
            </w:r>
          </w:p>
        </w:tc>
      </w:tr>
      <w:tr w:rsidR="00505EDA" w:rsidRPr="009062D0" w14:paraId="4F8A3A7E" w14:textId="77777777" w:rsidTr="00805B84">
        <w:trPr>
          <w:trHeight w:val="260"/>
        </w:trPr>
        <w:tc>
          <w:tcPr>
            <w:tcW w:w="2190" w:type="dxa"/>
            <w:vAlign w:val="center"/>
          </w:tcPr>
          <w:p w14:paraId="18DC09A4" w14:textId="77777777" w:rsidR="00505EDA" w:rsidRPr="009062D0" w:rsidRDefault="00505EDA" w:rsidP="000E1112">
            <w:pPr>
              <w:keepNext/>
              <w:keepLines/>
              <w:spacing w:before="0" w:after="0" w:line="200" w:lineRule="atLeast"/>
              <w:rPr>
                <w:sz w:val="20"/>
              </w:rPr>
            </w:pPr>
            <w:r>
              <w:rPr>
                <w:sz w:val="20"/>
              </w:rPr>
              <w:t>GSIA</w:t>
            </w:r>
          </w:p>
        </w:tc>
        <w:tc>
          <w:tcPr>
            <w:tcW w:w="1620" w:type="dxa"/>
            <w:shd w:val="clear" w:color="auto" w:fill="auto"/>
            <w:vAlign w:val="center"/>
          </w:tcPr>
          <w:p w14:paraId="4C6A871C" w14:textId="77777777" w:rsidR="00505EDA" w:rsidRPr="00217053" w:rsidRDefault="00505EDA" w:rsidP="000E1112">
            <w:pPr>
              <w:keepNext/>
              <w:keepLines/>
              <w:spacing w:before="0" w:after="0" w:line="200" w:lineRule="atLeast"/>
              <w:jc w:val="center"/>
              <w:rPr>
                <w:sz w:val="20"/>
              </w:rPr>
            </w:pPr>
            <w:r w:rsidRPr="00217053">
              <w:rPr>
                <w:sz w:val="20"/>
                <w:szCs w:val="20"/>
              </w:rPr>
              <w:t>1.0</w:t>
            </w:r>
          </w:p>
        </w:tc>
        <w:tc>
          <w:tcPr>
            <w:tcW w:w="5100" w:type="dxa"/>
            <w:vAlign w:val="center"/>
          </w:tcPr>
          <w:p w14:paraId="552D8D15" w14:textId="77777777" w:rsidR="00505EDA" w:rsidRPr="009062D0" w:rsidRDefault="00505EDA" w:rsidP="000E1112">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5323232D" w14:textId="77777777" w:rsidR="0065255B" w:rsidRDefault="0065255B" w:rsidP="00943D85">
      <w:bookmarkStart w:id="66" w:name="_Toc486490865"/>
      <w:bookmarkStart w:id="67" w:name="_Toc486580936"/>
      <w:bookmarkStart w:id="68" w:name="_Toc494369270"/>
    </w:p>
    <w:p w14:paraId="491B0510" w14:textId="3462F378" w:rsidR="00C80EE1" w:rsidRPr="004B06E3" w:rsidRDefault="00C80EE1" w:rsidP="0065534B">
      <w:pPr>
        <w:pStyle w:val="eTRMHeading3"/>
      </w:pPr>
      <w:bookmarkStart w:id="69" w:name="_Toc10468728"/>
      <w:r w:rsidRPr="004B06E3">
        <w:t xml:space="preserve">Non-Energy </w:t>
      </w:r>
      <w:bookmarkEnd w:id="66"/>
      <w:bookmarkEnd w:id="67"/>
      <w:bookmarkEnd w:id="68"/>
      <w:r>
        <w:t>Impacts</w:t>
      </w:r>
      <w:bookmarkEnd w:id="69"/>
    </w:p>
    <w:p w14:paraId="2C9E1646" w14:textId="77777777" w:rsidR="00C80EE1" w:rsidRDefault="00C80EE1" w:rsidP="00C80EE1">
      <w:r>
        <w:t>Non-energy impacts for this measure have not been quantified.</w:t>
      </w:r>
    </w:p>
    <w:p w14:paraId="2EF60D30" w14:textId="77777777" w:rsidR="0065255B" w:rsidRDefault="0065255B" w:rsidP="00943D85">
      <w:bookmarkStart w:id="70" w:name="_Toc490461312"/>
    </w:p>
    <w:p w14:paraId="6A56A3EE" w14:textId="0609545C" w:rsidR="00226803" w:rsidRPr="004B06E3" w:rsidRDefault="00226803" w:rsidP="0065534B">
      <w:pPr>
        <w:pStyle w:val="eTRMHeading3"/>
      </w:pPr>
      <w:bookmarkStart w:id="71" w:name="_Toc10468729"/>
      <w:r>
        <w:t>DEER Differences Analysis</w:t>
      </w:r>
      <w:bookmarkEnd w:id="70"/>
      <w:bookmarkEnd w:id="71"/>
    </w:p>
    <w:p w14:paraId="70C75D85" w14:textId="6251E18C" w:rsidR="007B534B" w:rsidRDefault="007B534B" w:rsidP="007B534B">
      <w:r>
        <w:t xml:space="preserve">This section provides a summary of inputs and methods from the Database of Energy Efficient Resources (DEER), and the rationale for inputs and methods that are not DEER-based. </w:t>
      </w:r>
    </w:p>
    <w:p w14:paraId="06CFFC98" w14:textId="0B60DC8E" w:rsidR="007B534B" w:rsidRPr="00920905" w:rsidRDefault="007B534B" w:rsidP="007B534B">
      <w:pPr>
        <w:pStyle w:val="Caption"/>
      </w:pPr>
      <w:r w:rsidRPr="00920905">
        <w:t>DEER Difference Summary</w:t>
      </w:r>
    </w:p>
    <w:tbl>
      <w:tblPr>
        <w:tblW w:w="5484"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2785"/>
        <w:gridCol w:w="7470"/>
      </w:tblGrid>
      <w:tr w:rsidR="007B534B" w:rsidRPr="00500C4E" w14:paraId="76D07548" w14:textId="77777777" w:rsidTr="00046348">
        <w:trPr>
          <w:trHeight w:val="20"/>
        </w:trPr>
        <w:tc>
          <w:tcPr>
            <w:tcW w:w="1358" w:type="pct"/>
            <w:shd w:val="clear" w:color="auto" w:fill="F2F2F2" w:themeFill="background1" w:themeFillShade="F2"/>
          </w:tcPr>
          <w:p w14:paraId="741A0917" w14:textId="77777777" w:rsidR="007B534B" w:rsidRPr="00943D85" w:rsidRDefault="007B534B" w:rsidP="00046348">
            <w:pPr>
              <w:tabs>
                <w:tab w:val="right" w:pos="2957"/>
              </w:tabs>
              <w:spacing w:before="20" w:after="20"/>
              <w:rPr>
                <w:rFonts w:cs="Arial"/>
                <w:b/>
                <w:sz w:val="20"/>
                <w:szCs w:val="20"/>
              </w:rPr>
            </w:pPr>
            <w:r w:rsidRPr="00943D85">
              <w:rPr>
                <w:rFonts w:cs="Arial"/>
                <w:b/>
                <w:sz w:val="20"/>
                <w:szCs w:val="20"/>
              </w:rPr>
              <w:t>DEER Item</w:t>
            </w:r>
          </w:p>
        </w:tc>
        <w:tc>
          <w:tcPr>
            <w:tcW w:w="3642" w:type="pct"/>
            <w:shd w:val="clear" w:color="auto" w:fill="F2F2F2" w:themeFill="background1" w:themeFillShade="F2"/>
          </w:tcPr>
          <w:p w14:paraId="25DBA833" w14:textId="77777777" w:rsidR="007B534B" w:rsidRPr="00943D85" w:rsidRDefault="007B534B" w:rsidP="00046348">
            <w:pPr>
              <w:spacing w:before="20" w:after="20"/>
              <w:rPr>
                <w:rFonts w:cs="Arial"/>
                <w:b/>
                <w:sz w:val="20"/>
                <w:szCs w:val="20"/>
              </w:rPr>
            </w:pPr>
            <w:r w:rsidRPr="00943D85">
              <w:rPr>
                <w:rFonts w:cs="Arial"/>
                <w:b/>
                <w:sz w:val="20"/>
                <w:szCs w:val="20"/>
              </w:rPr>
              <w:t>Comment / Used for Workpaper</w:t>
            </w:r>
          </w:p>
        </w:tc>
      </w:tr>
      <w:tr w:rsidR="009520C8" w:rsidRPr="00500C4E" w14:paraId="48C19CF2" w14:textId="77777777" w:rsidTr="00046348">
        <w:trPr>
          <w:trHeight w:val="20"/>
        </w:trPr>
        <w:tc>
          <w:tcPr>
            <w:tcW w:w="1358" w:type="pct"/>
          </w:tcPr>
          <w:p w14:paraId="3630334F" w14:textId="41A6705D" w:rsidR="009520C8" w:rsidRPr="00943D85" w:rsidRDefault="009520C8" w:rsidP="009520C8">
            <w:pPr>
              <w:spacing w:before="20" w:after="20"/>
              <w:rPr>
                <w:rFonts w:cs="Arial"/>
                <w:sz w:val="20"/>
                <w:szCs w:val="20"/>
              </w:rPr>
            </w:pPr>
            <w:r w:rsidRPr="00943D85">
              <w:rPr>
                <w:sz w:val="20"/>
                <w:szCs w:val="20"/>
              </w:rPr>
              <w:t>Modified DEER methodology</w:t>
            </w:r>
          </w:p>
        </w:tc>
        <w:tc>
          <w:tcPr>
            <w:tcW w:w="3642" w:type="pct"/>
          </w:tcPr>
          <w:p w14:paraId="722D23C1" w14:textId="6C52A6EE" w:rsidR="009520C8" w:rsidRPr="00943D85" w:rsidRDefault="009520C8" w:rsidP="009520C8">
            <w:pPr>
              <w:spacing w:before="20" w:after="20"/>
              <w:rPr>
                <w:rFonts w:cs="Calibri Light"/>
                <w:sz w:val="20"/>
                <w:szCs w:val="20"/>
              </w:rPr>
            </w:pPr>
            <w:r w:rsidRPr="00943D85">
              <w:rPr>
                <w:sz w:val="20"/>
                <w:szCs w:val="20"/>
              </w:rPr>
              <w:t>No</w:t>
            </w:r>
          </w:p>
        </w:tc>
      </w:tr>
      <w:tr w:rsidR="009520C8" w:rsidRPr="00500C4E" w14:paraId="3585E6BB" w14:textId="77777777" w:rsidTr="00046348">
        <w:trPr>
          <w:trHeight w:val="20"/>
        </w:trPr>
        <w:tc>
          <w:tcPr>
            <w:tcW w:w="1358" w:type="pct"/>
          </w:tcPr>
          <w:p w14:paraId="46AED73D" w14:textId="1DA8445B" w:rsidR="009520C8" w:rsidRPr="00943D85" w:rsidRDefault="009520C8" w:rsidP="009520C8">
            <w:pPr>
              <w:spacing w:before="20" w:after="20"/>
              <w:rPr>
                <w:rFonts w:cs="Arial"/>
                <w:sz w:val="20"/>
                <w:szCs w:val="20"/>
              </w:rPr>
            </w:pPr>
            <w:r w:rsidRPr="00943D85">
              <w:rPr>
                <w:sz w:val="20"/>
                <w:szCs w:val="20"/>
              </w:rPr>
              <w:t>Scaled DEER measure</w:t>
            </w:r>
          </w:p>
        </w:tc>
        <w:tc>
          <w:tcPr>
            <w:tcW w:w="3642" w:type="pct"/>
          </w:tcPr>
          <w:p w14:paraId="3C842B82" w14:textId="1E65BD50" w:rsidR="009520C8" w:rsidRPr="00943D85" w:rsidRDefault="009520C8" w:rsidP="009520C8">
            <w:pPr>
              <w:spacing w:before="20" w:after="20"/>
              <w:rPr>
                <w:rFonts w:cs="Calibri Light"/>
                <w:sz w:val="20"/>
                <w:szCs w:val="20"/>
              </w:rPr>
            </w:pPr>
            <w:r w:rsidRPr="00943D85">
              <w:rPr>
                <w:sz w:val="20"/>
                <w:szCs w:val="20"/>
              </w:rPr>
              <w:t>No</w:t>
            </w:r>
          </w:p>
        </w:tc>
      </w:tr>
      <w:tr w:rsidR="009520C8" w:rsidRPr="00500C4E" w14:paraId="336B83EA" w14:textId="77777777" w:rsidTr="00046348">
        <w:trPr>
          <w:trHeight w:val="20"/>
        </w:trPr>
        <w:tc>
          <w:tcPr>
            <w:tcW w:w="1358" w:type="pct"/>
          </w:tcPr>
          <w:p w14:paraId="6CF158DD" w14:textId="1A677786" w:rsidR="009520C8" w:rsidRPr="00943D85" w:rsidRDefault="009520C8" w:rsidP="009520C8">
            <w:pPr>
              <w:spacing w:before="20" w:after="20"/>
              <w:rPr>
                <w:rFonts w:cs="Arial"/>
                <w:sz w:val="20"/>
                <w:szCs w:val="20"/>
              </w:rPr>
            </w:pPr>
            <w:r w:rsidRPr="00943D85">
              <w:rPr>
                <w:sz w:val="20"/>
                <w:szCs w:val="20"/>
              </w:rPr>
              <w:t>DEER Base Case</w:t>
            </w:r>
          </w:p>
        </w:tc>
        <w:tc>
          <w:tcPr>
            <w:tcW w:w="3642" w:type="pct"/>
          </w:tcPr>
          <w:p w14:paraId="01EB1AB0" w14:textId="1DF9E2F1" w:rsidR="009520C8" w:rsidRPr="00943D85" w:rsidRDefault="00C42DB4" w:rsidP="009520C8">
            <w:pPr>
              <w:spacing w:before="20" w:after="20"/>
              <w:rPr>
                <w:rFonts w:cs="Calibri Light"/>
                <w:sz w:val="20"/>
                <w:szCs w:val="20"/>
              </w:rPr>
            </w:pPr>
            <w:r w:rsidRPr="00943D85">
              <w:rPr>
                <w:sz w:val="20"/>
                <w:szCs w:val="20"/>
              </w:rPr>
              <w:t>No</w:t>
            </w:r>
          </w:p>
        </w:tc>
      </w:tr>
      <w:tr w:rsidR="009520C8" w:rsidRPr="00500C4E" w14:paraId="075BDAEA" w14:textId="77777777" w:rsidTr="00046348">
        <w:trPr>
          <w:trHeight w:val="20"/>
        </w:trPr>
        <w:tc>
          <w:tcPr>
            <w:tcW w:w="1358" w:type="pct"/>
          </w:tcPr>
          <w:p w14:paraId="3EB087C5" w14:textId="7EC4B4B9" w:rsidR="009520C8" w:rsidRPr="00943D85" w:rsidRDefault="009520C8" w:rsidP="009520C8">
            <w:pPr>
              <w:spacing w:before="20" w:after="20"/>
              <w:rPr>
                <w:rFonts w:cs="Arial"/>
                <w:sz w:val="20"/>
                <w:szCs w:val="20"/>
              </w:rPr>
            </w:pPr>
            <w:r w:rsidRPr="00943D85">
              <w:rPr>
                <w:sz w:val="20"/>
                <w:szCs w:val="20"/>
              </w:rPr>
              <w:t>DEER Measure Case</w:t>
            </w:r>
          </w:p>
        </w:tc>
        <w:tc>
          <w:tcPr>
            <w:tcW w:w="3642" w:type="pct"/>
          </w:tcPr>
          <w:p w14:paraId="1555604B" w14:textId="129BEC58" w:rsidR="009520C8" w:rsidRPr="00943D85" w:rsidRDefault="009520C8" w:rsidP="009520C8">
            <w:pPr>
              <w:spacing w:before="20" w:after="20"/>
              <w:rPr>
                <w:rFonts w:cs="Calibri Light"/>
                <w:sz w:val="20"/>
                <w:szCs w:val="20"/>
              </w:rPr>
            </w:pPr>
            <w:r w:rsidRPr="00943D85">
              <w:rPr>
                <w:sz w:val="20"/>
                <w:szCs w:val="20"/>
              </w:rPr>
              <w:t>No</w:t>
            </w:r>
          </w:p>
        </w:tc>
      </w:tr>
      <w:tr w:rsidR="009520C8" w:rsidRPr="00500C4E" w14:paraId="2B0E72CB" w14:textId="77777777" w:rsidTr="00046348">
        <w:trPr>
          <w:trHeight w:val="20"/>
        </w:trPr>
        <w:tc>
          <w:tcPr>
            <w:tcW w:w="1358" w:type="pct"/>
          </w:tcPr>
          <w:p w14:paraId="69EA094A" w14:textId="1A863714" w:rsidR="009520C8" w:rsidRPr="00943D85" w:rsidRDefault="009520C8" w:rsidP="009520C8">
            <w:pPr>
              <w:spacing w:before="20" w:after="20"/>
              <w:rPr>
                <w:rFonts w:cs="Arial"/>
                <w:sz w:val="20"/>
                <w:szCs w:val="20"/>
              </w:rPr>
            </w:pPr>
            <w:r w:rsidRPr="00943D85">
              <w:rPr>
                <w:sz w:val="20"/>
                <w:szCs w:val="20"/>
              </w:rPr>
              <w:t>DEER Building Types</w:t>
            </w:r>
          </w:p>
        </w:tc>
        <w:tc>
          <w:tcPr>
            <w:tcW w:w="3642" w:type="pct"/>
          </w:tcPr>
          <w:p w14:paraId="52734442" w14:textId="38678DA3" w:rsidR="009520C8" w:rsidRPr="00943D85" w:rsidRDefault="009520C8" w:rsidP="009520C8">
            <w:pPr>
              <w:spacing w:before="20" w:after="20"/>
              <w:rPr>
                <w:rFonts w:cs="Calibri Light"/>
                <w:sz w:val="20"/>
                <w:szCs w:val="20"/>
              </w:rPr>
            </w:pPr>
            <w:r w:rsidRPr="00943D85">
              <w:rPr>
                <w:sz w:val="20"/>
                <w:szCs w:val="20"/>
              </w:rPr>
              <w:t>Yes</w:t>
            </w:r>
          </w:p>
        </w:tc>
      </w:tr>
      <w:tr w:rsidR="009520C8" w:rsidRPr="00500C4E" w14:paraId="3C83CF52" w14:textId="77777777" w:rsidTr="00046348">
        <w:trPr>
          <w:trHeight w:val="20"/>
        </w:trPr>
        <w:tc>
          <w:tcPr>
            <w:tcW w:w="1358" w:type="pct"/>
          </w:tcPr>
          <w:p w14:paraId="64568EEA" w14:textId="6EFAB139" w:rsidR="009520C8" w:rsidRPr="00943D85" w:rsidRDefault="009520C8" w:rsidP="009520C8">
            <w:pPr>
              <w:spacing w:before="20" w:after="20"/>
              <w:rPr>
                <w:rFonts w:cs="Arial"/>
                <w:sz w:val="20"/>
                <w:szCs w:val="20"/>
              </w:rPr>
            </w:pPr>
            <w:r w:rsidRPr="00943D85">
              <w:rPr>
                <w:sz w:val="20"/>
                <w:szCs w:val="20"/>
              </w:rPr>
              <w:t>DEER Operating Hours</w:t>
            </w:r>
          </w:p>
        </w:tc>
        <w:tc>
          <w:tcPr>
            <w:tcW w:w="3642" w:type="pct"/>
          </w:tcPr>
          <w:p w14:paraId="67B5978C" w14:textId="675201CF" w:rsidR="009520C8" w:rsidRPr="00943D85" w:rsidRDefault="009520C8" w:rsidP="009520C8">
            <w:pPr>
              <w:spacing w:before="20" w:after="20"/>
              <w:rPr>
                <w:rFonts w:cs="Calibri Light"/>
                <w:sz w:val="20"/>
                <w:szCs w:val="20"/>
              </w:rPr>
            </w:pPr>
            <w:r w:rsidRPr="00943D85">
              <w:rPr>
                <w:sz w:val="20"/>
                <w:szCs w:val="20"/>
              </w:rPr>
              <w:t>Yes</w:t>
            </w:r>
          </w:p>
        </w:tc>
      </w:tr>
      <w:tr w:rsidR="009520C8" w:rsidRPr="00500C4E" w14:paraId="0A58B7AB" w14:textId="77777777" w:rsidTr="00046348">
        <w:trPr>
          <w:trHeight w:val="20"/>
        </w:trPr>
        <w:tc>
          <w:tcPr>
            <w:tcW w:w="1358" w:type="pct"/>
          </w:tcPr>
          <w:p w14:paraId="27B54120" w14:textId="688B2288" w:rsidR="009520C8" w:rsidRPr="00943D85" w:rsidRDefault="009520C8" w:rsidP="009520C8">
            <w:pPr>
              <w:spacing w:before="20" w:after="20"/>
              <w:rPr>
                <w:rFonts w:cs="Arial"/>
                <w:sz w:val="20"/>
                <w:szCs w:val="20"/>
              </w:rPr>
            </w:pPr>
            <w:r w:rsidRPr="00943D85">
              <w:rPr>
                <w:sz w:val="20"/>
                <w:szCs w:val="20"/>
              </w:rPr>
              <w:t xml:space="preserve">DEER </w:t>
            </w:r>
            <w:proofErr w:type="spellStart"/>
            <w:r w:rsidRPr="00943D85">
              <w:rPr>
                <w:sz w:val="20"/>
                <w:szCs w:val="20"/>
              </w:rPr>
              <w:t>eQUEST</w:t>
            </w:r>
            <w:proofErr w:type="spellEnd"/>
            <w:r w:rsidRPr="00943D85">
              <w:rPr>
                <w:sz w:val="20"/>
                <w:szCs w:val="20"/>
              </w:rPr>
              <w:t xml:space="preserve"> Prototypes</w:t>
            </w:r>
          </w:p>
        </w:tc>
        <w:tc>
          <w:tcPr>
            <w:tcW w:w="3642" w:type="pct"/>
          </w:tcPr>
          <w:p w14:paraId="6F903546" w14:textId="149511C5" w:rsidR="009520C8" w:rsidRPr="00943D85" w:rsidDel="00505CEC" w:rsidRDefault="009520C8" w:rsidP="009520C8">
            <w:pPr>
              <w:spacing w:before="20" w:after="20"/>
              <w:rPr>
                <w:rFonts w:cs="Calibri Light"/>
                <w:sz w:val="20"/>
                <w:szCs w:val="20"/>
              </w:rPr>
            </w:pPr>
            <w:r w:rsidRPr="00943D85">
              <w:rPr>
                <w:sz w:val="20"/>
                <w:szCs w:val="20"/>
              </w:rPr>
              <w:t>Yes</w:t>
            </w:r>
          </w:p>
        </w:tc>
      </w:tr>
      <w:tr w:rsidR="009520C8" w:rsidRPr="00500C4E" w14:paraId="403135B0" w14:textId="77777777" w:rsidTr="00046348">
        <w:trPr>
          <w:trHeight w:val="180"/>
        </w:trPr>
        <w:tc>
          <w:tcPr>
            <w:tcW w:w="1358" w:type="pct"/>
          </w:tcPr>
          <w:p w14:paraId="088ACAB4" w14:textId="2712FBE6" w:rsidR="009520C8" w:rsidRPr="00943D85" w:rsidRDefault="009520C8" w:rsidP="009520C8">
            <w:pPr>
              <w:spacing w:before="20" w:after="20"/>
              <w:rPr>
                <w:rFonts w:cs="Arial"/>
                <w:sz w:val="20"/>
                <w:szCs w:val="20"/>
              </w:rPr>
            </w:pPr>
            <w:r w:rsidRPr="00943D85">
              <w:rPr>
                <w:sz w:val="20"/>
                <w:szCs w:val="20"/>
              </w:rPr>
              <w:t>DEER Version</w:t>
            </w:r>
          </w:p>
        </w:tc>
        <w:tc>
          <w:tcPr>
            <w:tcW w:w="3642" w:type="pct"/>
          </w:tcPr>
          <w:p w14:paraId="4F8F1BFA" w14:textId="2F7ACEEF" w:rsidR="009520C8" w:rsidRPr="00943D85" w:rsidRDefault="009520C8" w:rsidP="009520C8">
            <w:pPr>
              <w:spacing w:before="20" w:after="20"/>
              <w:rPr>
                <w:rFonts w:cs="Calibri Light"/>
                <w:sz w:val="20"/>
                <w:szCs w:val="20"/>
              </w:rPr>
            </w:pPr>
            <w:r w:rsidRPr="00943D85">
              <w:rPr>
                <w:sz w:val="20"/>
                <w:szCs w:val="20"/>
              </w:rPr>
              <w:t>DEER 20</w:t>
            </w:r>
            <w:r w:rsidR="001E7682" w:rsidRPr="00943D85">
              <w:rPr>
                <w:sz w:val="20"/>
                <w:szCs w:val="20"/>
              </w:rPr>
              <w:t>20</w:t>
            </w:r>
          </w:p>
        </w:tc>
      </w:tr>
      <w:tr w:rsidR="009520C8" w:rsidRPr="00500C4E" w14:paraId="45CDFD84" w14:textId="77777777" w:rsidTr="00046348">
        <w:trPr>
          <w:trHeight w:val="20"/>
        </w:trPr>
        <w:tc>
          <w:tcPr>
            <w:tcW w:w="1358" w:type="pct"/>
          </w:tcPr>
          <w:p w14:paraId="3AE5820C" w14:textId="6435EC1E" w:rsidR="009520C8" w:rsidRPr="00943D85" w:rsidRDefault="009520C8" w:rsidP="009520C8">
            <w:pPr>
              <w:spacing w:before="20" w:after="20"/>
              <w:rPr>
                <w:rFonts w:cs="Arial"/>
                <w:sz w:val="20"/>
                <w:szCs w:val="20"/>
              </w:rPr>
            </w:pPr>
            <w:r w:rsidRPr="00943D85">
              <w:rPr>
                <w:sz w:val="20"/>
                <w:szCs w:val="20"/>
              </w:rPr>
              <w:t>Reason for Deviation from DEER</w:t>
            </w:r>
          </w:p>
        </w:tc>
        <w:tc>
          <w:tcPr>
            <w:tcW w:w="3642" w:type="pct"/>
          </w:tcPr>
          <w:p w14:paraId="11BAC96C" w14:textId="14D6F637" w:rsidR="009520C8" w:rsidRPr="00943D85" w:rsidRDefault="009520C8" w:rsidP="009520C8">
            <w:pPr>
              <w:spacing w:before="20" w:after="20"/>
              <w:rPr>
                <w:rFonts w:cs="Calibri Light"/>
                <w:sz w:val="20"/>
                <w:szCs w:val="20"/>
              </w:rPr>
            </w:pPr>
            <w:r w:rsidRPr="00943D85">
              <w:rPr>
                <w:sz w:val="20"/>
                <w:szCs w:val="20"/>
              </w:rPr>
              <w:t xml:space="preserve">The measure does not exist in DEER. </w:t>
            </w:r>
            <w:r w:rsidR="00915C06" w:rsidRPr="00943D85">
              <w:rPr>
                <w:sz w:val="20"/>
                <w:szCs w:val="20"/>
              </w:rPr>
              <w:t>DEER Prototypes are used and modified to determine the baseline.</w:t>
            </w:r>
          </w:p>
        </w:tc>
      </w:tr>
      <w:tr w:rsidR="009520C8" w:rsidRPr="00500C4E" w14:paraId="392DCDC8" w14:textId="77777777" w:rsidTr="00046348">
        <w:trPr>
          <w:trHeight w:val="20"/>
        </w:trPr>
        <w:tc>
          <w:tcPr>
            <w:tcW w:w="1358" w:type="pct"/>
          </w:tcPr>
          <w:p w14:paraId="0A837D29" w14:textId="35F95E30" w:rsidR="009520C8" w:rsidRPr="00943D85" w:rsidRDefault="00915C06" w:rsidP="009520C8">
            <w:pPr>
              <w:spacing w:before="20" w:after="20"/>
              <w:rPr>
                <w:rFonts w:cs="Arial"/>
                <w:sz w:val="20"/>
                <w:szCs w:val="20"/>
              </w:rPr>
            </w:pPr>
            <w:r w:rsidRPr="00943D85">
              <w:rPr>
                <w:rFonts w:cs="Arial"/>
                <w:sz w:val="20"/>
                <w:szCs w:val="20"/>
              </w:rPr>
              <w:t>DEER Measure IDs Used</w:t>
            </w:r>
          </w:p>
        </w:tc>
        <w:tc>
          <w:tcPr>
            <w:tcW w:w="3642" w:type="pct"/>
          </w:tcPr>
          <w:p w14:paraId="6FAF7524" w14:textId="6AB9C5BE" w:rsidR="009520C8" w:rsidRPr="00943D85" w:rsidRDefault="002F40AA" w:rsidP="009520C8">
            <w:pPr>
              <w:spacing w:before="0" w:after="0" w:line="240" w:lineRule="auto"/>
              <w:rPr>
                <w:rFonts w:eastAsia="Times New Roman" w:cs="Calibri Light"/>
                <w:sz w:val="20"/>
                <w:szCs w:val="20"/>
              </w:rPr>
            </w:pPr>
            <w:r w:rsidRPr="00943D85">
              <w:rPr>
                <w:rFonts w:eastAsia="Times New Roman" w:cs="Calibri Light"/>
                <w:sz w:val="20"/>
                <w:szCs w:val="20"/>
              </w:rPr>
              <w:t>N/A</w:t>
            </w:r>
          </w:p>
        </w:tc>
      </w:tr>
      <w:tr w:rsidR="007B534B" w:rsidRPr="00500C4E" w14:paraId="46D888B4" w14:textId="77777777" w:rsidTr="00046348">
        <w:trPr>
          <w:trHeight w:val="20"/>
        </w:trPr>
        <w:tc>
          <w:tcPr>
            <w:tcW w:w="1358" w:type="pct"/>
          </w:tcPr>
          <w:p w14:paraId="2D3C341E" w14:textId="77777777" w:rsidR="007B534B" w:rsidRPr="00943D85" w:rsidRDefault="007B534B" w:rsidP="00046348">
            <w:pPr>
              <w:spacing w:before="20" w:after="20"/>
              <w:rPr>
                <w:rFonts w:cs="Arial"/>
                <w:sz w:val="20"/>
                <w:szCs w:val="20"/>
              </w:rPr>
            </w:pPr>
            <w:r w:rsidRPr="00943D85">
              <w:rPr>
                <w:rFonts w:cs="Arial"/>
                <w:sz w:val="20"/>
                <w:szCs w:val="20"/>
              </w:rPr>
              <w:t>NTG</w:t>
            </w:r>
          </w:p>
        </w:tc>
        <w:tc>
          <w:tcPr>
            <w:tcW w:w="3642" w:type="pct"/>
          </w:tcPr>
          <w:p w14:paraId="79A84128" w14:textId="255E03C3" w:rsidR="007B534B" w:rsidRPr="00943D85" w:rsidRDefault="007B534B" w:rsidP="00046348">
            <w:pPr>
              <w:spacing w:before="20" w:after="20"/>
              <w:rPr>
                <w:rFonts w:cs="Arial"/>
                <w:sz w:val="20"/>
                <w:szCs w:val="20"/>
              </w:rPr>
            </w:pPr>
            <w:r w:rsidRPr="00943D85">
              <w:rPr>
                <w:rFonts w:cs="Arial"/>
                <w:sz w:val="20"/>
                <w:szCs w:val="20"/>
              </w:rPr>
              <w:t>Source: DEER</w:t>
            </w:r>
            <w:r w:rsidR="00EA2C20" w:rsidRPr="00943D85">
              <w:rPr>
                <w:rFonts w:cs="Arial"/>
                <w:sz w:val="20"/>
                <w:szCs w:val="20"/>
              </w:rPr>
              <w:t>2014</w:t>
            </w:r>
            <w:r w:rsidRPr="00943D85">
              <w:rPr>
                <w:rFonts w:cs="Arial"/>
                <w:sz w:val="20"/>
                <w:szCs w:val="20"/>
              </w:rPr>
              <w:t>. The NTG of 0.</w:t>
            </w:r>
            <w:r w:rsidR="008B7EC1" w:rsidRPr="00943D85">
              <w:rPr>
                <w:rFonts w:cs="Arial"/>
                <w:sz w:val="20"/>
                <w:szCs w:val="20"/>
              </w:rPr>
              <w:t>55</w:t>
            </w:r>
            <w:r w:rsidRPr="00943D85">
              <w:rPr>
                <w:rFonts w:cs="Arial"/>
                <w:sz w:val="20"/>
                <w:szCs w:val="20"/>
              </w:rPr>
              <w:t xml:space="preserve"> is associated with NTG ID: </w:t>
            </w:r>
            <w:r w:rsidR="009D0B2E" w:rsidRPr="00943D85">
              <w:rPr>
                <w:rFonts w:cs="Arial"/>
                <w:i/>
                <w:sz w:val="20"/>
                <w:szCs w:val="20"/>
              </w:rPr>
              <w:t>Res</w:t>
            </w:r>
            <w:r w:rsidRPr="00943D85">
              <w:rPr>
                <w:rFonts w:cs="Arial"/>
                <w:i/>
                <w:sz w:val="20"/>
                <w:szCs w:val="20"/>
              </w:rPr>
              <w:t>-Default&gt;2yrs</w:t>
            </w:r>
          </w:p>
        </w:tc>
      </w:tr>
      <w:tr w:rsidR="007B534B" w:rsidRPr="00500C4E" w14:paraId="4695FCA9" w14:textId="77777777" w:rsidTr="00046348">
        <w:trPr>
          <w:trHeight w:val="20"/>
        </w:trPr>
        <w:tc>
          <w:tcPr>
            <w:tcW w:w="1358" w:type="pct"/>
          </w:tcPr>
          <w:p w14:paraId="7C012DE4" w14:textId="77777777" w:rsidR="007B534B" w:rsidRPr="00943D85" w:rsidRDefault="007B534B" w:rsidP="00046348">
            <w:pPr>
              <w:spacing w:before="20" w:after="20"/>
              <w:rPr>
                <w:rFonts w:cs="Arial"/>
                <w:sz w:val="20"/>
                <w:szCs w:val="20"/>
              </w:rPr>
            </w:pPr>
            <w:r w:rsidRPr="00943D85">
              <w:rPr>
                <w:rFonts w:cs="Arial"/>
                <w:sz w:val="20"/>
                <w:szCs w:val="20"/>
              </w:rPr>
              <w:t>GSIA</w:t>
            </w:r>
          </w:p>
        </w:tc>
        <w:tc>
          <w:tcPr>
            <w:tcW w:w="3642" w:type="pct"/>
          </w:tcPr>
          <w:p w14:paraId="544A6F20" w14:textId="77777777" w:rsidR="007B534B" w:rsidRPr="00943D85" w:rsidRDefault="007B534B" w:rsidP="00046348">
            <w:pPr>
              <w:spacing w:before="20" w:after="20"/>
              <w:rPr>
                <w:rFonts w:cs="Arial"/>
                <w:sz w:val="20"/>
                <w:szCs w:val="20"/>
              </w:rPr>
            </w:pPr>
            <w:r w:rsidRPr="00943D85">
              <w:rPr>
                <w:rFonts w:cs="Arial"/>
                <w:sz w:val="20"/>
                <w:szCs w:val="20"/>
              </w:rPr>
              <w:t xml:space="preserve">Source: DEER. The GSIA of 1.0 is associated with GSIA ID: </w:t>
            </w:r>
            <w:r w:rsidRPr="00943D85">
              <w:rPr>
                <w:rFonts w:cs="Arial"/>
                <w:i/>
                <w:sz w:val="20"/>
                <w:szCs w:val="20"/>
              </w:rPr>
              <w:t>Def-GSIA</w:t>
            </w:r>
          </w:p>
        </w:tc>
      </w:tr>
      <w:tr w:rsidR="007B534B" w:rsidRPr="00500C4E" w14:paraId="77FE9947" w14:textId="77777777" w:rsidTr="006E679E">
        <w:trPr>
          <w:trHeight w:val="530"/>
        </w:trPr>
        <w:tc>
          <w:tcPr>
            <w:tcW w:w="1358" w:type="pct"/>
          </w:tcPr>
          <w:p w14:paraId="030AB7AA" w14:textId="77777777" w:rsidR="007B534B" w:rsidRPr="00943D85" w:rsidRDefault="007B534B" w:rsidP="00046348">
            <w:pPr>
              <w:spacing w:before="20" w:after="20"/>
              <w:rPr>
                <w:rFonts w:cs="Arial"/>
                <w:sz w:val="20"/>
                <w:szCs w:val="20"/>
              </w:rPr>
            </w:pPr>
            <w:r w:rsidRPr="00943D85">
              <w:rPr>
                <w:rFonts w:cs="Arial"/>
                <w:sz w:val="20"/>
                <w:szCs w:val="20"/>
              </w:rPr>
              <w:t>EUL/RUL</w:t>
            </w:r>
          </w:p>
        </w:tc>
        <w:tc>
          <w:tcPr>
            <w:tcW w:w="3642" w:type="pct"/>
          </w:tcPr>
          <w:p w14:paraId="4D34A72F" w14:textId="2BC536AF" w:rsidR="00E21D70" w:rsidRPr="00943D85" w:rsidRDefault="007B534B" w:rsidP="006E679E">
            <w:pPr>
              <w:spacing w:before="0" w:after="0" w:line="240" w:lineRule="auto"/>
              <w:rPr>
                <w:rFonts w:cs="Arial"/>
                <w:sz w:val="20"/>
                <w:szCs w:val="20"/>
              </w:rPr>
            </w:pPr>
            <w:r w:rsidRPr="00943D85">
              <w:rPr>
                <w:rFonts w:cs="Arial"/>
                <w:sz w:val="20"/>
                <w:szCs w:val="20"/>
              </w:rPr>
              <w:t>Source: DEER</w:t>
            </w:r>
            <w:r w:rsidR="003B2B0C" w:rsidRPr="00943D85">
              <w:rPr>
                <w:rFonts w:cs="Arial"/>
                <w:sz w:val="20"/>
                <w:szCs w:val="20"/>
              </w:rPr>
              <w:t>014</w:t>
            </w:r>
            <w:r w:rsidRPr="00943D85">
              <w:rPr>
                <w:rFonts w:cs="Arial"/>
                <w:sz w:val="20"/>
                <w:szCs w:val="20"/>
              </w:rPr>
              <w:t xml:space="preserve">. The value of </w:t>
            </w:r>
            <w:r w:rsidR="008B7EC1" w:rsidRPr="00943D85">
              <w:rPr>
                <w:rFonts w:cs="Arial"/>
                <w:sz w:val="20"/>
                <w:szCs w:val="20"/>
              </w:rPr>
              <w:t>5</w:t>
            </w:r>
            <w:r w:rsidRPr="00943D85">
              <w:rPr>
                <w:rFonts w:cs="Arial"/>
                <w:sz w:val="20"/>
                <w:szCs w:val="20"/>
              </w:rPr>
              <w:t xml:space="preserve"> years </w:t>
            </w:r>
            <w:r w:rsidR="006E679E" w:rsidRPr="00943D85">
              <w:rPr>
                <w:rFonts w:cs="Arial"/>
                <w:sz w:val="20"/>
                <w:szCs w:val="20"/>
              </w:rPr>
              <w:t xml:space="preserve">using </w:t>
            </w:r>
            <w:r w:rsidR="006E679E" w:rsidRPr="00943D85">
              <w:rPr>
                <w:rFonts w:eastAsia="Times New Roman" w:cs="Times New Roman"/>
                <w:sz w:val="20"/>
                <w:szCs w:val="20"/>
              </w:rPr>
              <w:t xml:space="preserve">EULHOST/3; EULHOST is 15 years based on EUL_ID: </w:t>
            </w:r>
            <w:r w:rsidR="006E679E" w:rsidRPr="00943D85">
              <w:rPr>
                <w:rFonts w:eastAsia="Times New Roman" w:cs="Times New Roman"/>
                <w:i/>
                <w:sz w:val="20"/>
                <w:szCs w:val="20"/>
              </w:rPr>
              <w:t>HV-</w:t>
            </w:r>
            <w:proofErr w:type="spellStart"/>
            <w:r w:rsidR="006E679E" w:rsidRPr="00943D85">
              <w:rPr>
                <w:rFonts w:eastAsia="Times New Roman" w:cs="Times New Roman"/>
                <w:i/>
                <w:sz w:val="20"/>
                <w:szCs w:val="20"/>
              </w:rPr>
              <w:t>ResAC</w:t>
            </w:r>
            <w:proofErr w:type="spellEnd"/>
          </w:p>
        </w:tc>
      </w:tr>
    </w:tbl>
    <w:p w14:paraId="64965199" w14:textId="77777777" w:rsidR="00260F28" w:rsidRDefault="00260F28" w:rsidP="0065534B">
      <w:pPr>
        <w:pStyle w:val="eTRMHeading3"/>
      </w:pPr>
      <w:bookmarkStart w:id="72" w:name="_Toc486490866"/>
      <w:bookmarkStart w:id="73" w:name="_Toc486580937"/>
      <w:bookmarkStart w:id="74" w:name="_Toc515951877"/>
      <w:bookmarkStart w:id="75" w:name="_Hlk516047558"/>
      <w:bookmarkStart w:id="76" w:name="_Toc10468730"/>
      <w:r w:rsidRPr="004B06E3">
        <w:lastRenderedPageBreak/>
        <w:t>Revision History</w:t>
      </w:r>
      <w:bookmarkEnd w:id="72"/>
      <w:bookmarkEnd w:id="73"/>
      <w:bookmarkEnd w:id="74"/>
      <w:bookmarkEnd w:id="76"/>
    </w:p>
    <w:p w14:paraId="75C539F6" w14:textId="5B20806A" w:rsidR="00260F28" w:rsidRDefault="00260F28" w:rsidP="00260F28">
      <w:pPr>
        <w:pStyle w:val="Caption"/>
      </w:pPr>
      <w:bookmarkStart w:id="77"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350"/>
        <w:gridCol w:w="1575"/>
        <w:gridCol w:w="5485"/>
      </w:tblGrid>
      <w:tr w:rsidR="00260F28" w:rsidRPr="00500C4E" w14:paraId="235825F4" w14:textId="77777777" w:rsidTr="00C149ED">
        <w:trPr>
          <w:trHeight w:val="20"/>
        </w:trPr>
        <w:tc>
          <w:tcPr>
            <w:tcW w:w="503" w:type="pct"/>
            <w:shd w:val="clear" w:color="auto" w:fill="F2F2F2" w:themeFill="background1" w:themeFillShade="F2"/>
            <w:vAlign w:val="bottom"/>
          </w:tcPr>
          <w:p w14:paraId="2A4D9B56" w14:textId="77777777" w:rsidR="00260F28" w:rsidRPr="00EA057C" w:rsidRDefault="00260F28" w:rsidP="00C149ED">
            <w:pPr>
              <w:keepNext/>
              <w:keepLines/>
              <w:tabs>
                <w:tab w:val="right" w:pos="2957"/>
              </w:tabs>
              <w:spacing w:before="20" w:after="20"/>
              <w:rPr>
                <w:rFonts w:cs="Arial"/>
                <w:b/>
                <w:sz w:val="20"/>
                <w:szCs w:val="20"/>
              </w:rPr>
            </w:pPr>
            <w:r>
              <w:rPr>
                <w:rFonts w:cs="Arial"/>
                <w:b/>
                <w:sz w:val="20"/>
                <w:szCs w:val="20"/>
              </w:rPr>
              <w:t>Revision Number</w:t>
            </w:r>
          </w:p>
        </w:tc>
        <w:tc>
          <w:tcPr>
            <w:tcW w:w="722" w:type="pct"/>
            <w:shd w:val="clear" w:color="auto" w:fill="F2F2F2" w:themeFill="background1" w:themeFillShade="F2"/>
            <w:vAlign w:val="bottom"/>
          </w:tcPr>
          <w:p w14:paraId="7E4D0D94" w14:textId="77777777" w:rsidR="00260F28" w:rsidRPr="00EA057C" w:rsidRDefault="00260F28" w:rsidP="00C149ED">
            <w:pPr>
              <w:keepNext/>
              <w:keepLines/>
              <w:spacing w:before="20" w:after="20"/>
              <w:rPr>
                <w:rFonts w:cs="Arial"/>
                <w:b/>
                <w:sz w:val="20"/>
                <w:szCs w:val="20"/>
              </w:rPr>
            </w:pPr>
            <w:r>
              <w:rPr>
                <w:rFonts w:cs="Arial"/>
                <w:b/>
                <w:sz w:val="20"/>
                <w:szCs w:val="20"/>
              </w:rPr>
              <w:t>Date</w:t>
            </w:r>
          </w:p>
        </w:tc>
        <w:tc>
          <w:tcPr>
            <w:tcW w:w="842" w:type="pct"/>
            <w:shd w:val="clear" w:color="auto" w:fill="F2F2F2" w:themeFill="background1" w:themeFillShade="F2"/>
            <w:vAlign w:val="bottom"/>
          </w:tcPr>
          <w:p w14:paraId="6D0ED0B6" w14:textId="77777777" w:rsidR="00260F28" w:rsidRDefault="00260F28" w:rsidP="00C149ED">
            <w:pPr>
              <w:keepNext/>
              <w:keepLines/>
              <w:spacing w:before="20" w:after="20"/>
              <w:rPr>
                <w:rFonts w:cs="Arial"/>
                <w:b/>
                <w:sz w:val="20"/>
                <w:szCs w:val="20"/>
              </w:rPr>
            </w:pPr>
            <w:r>
              <w:rPr>
                <w:rFonts w:cs="Arial"/>
                <w:b/>
                <w:sz w:val="20"/>
                <w:szCs w:val="20"/>
              </w:rPr>
              <w:t>Primary Author, Title, Organization</w:t>
            </w:r>
          </w:p>
        </w:tc>
        <w:tc>
          <w:tcPr>
            <w:tcW w:w="2933" w:type="pct"/>
            <w:shd w:val="clear" w:color="auto" w:fill="F2F2F2" w:themeFill="background1" w:themeFillShade="F2"/>
            <w:vAlign w:val="bottom"/>
          </w:tcPr>
          <w:p w14:paraId="6C69D053" w14:textId="77777777" w:rsidR="00260F28" w:rsidRDefault="00260F28" w:rsidP="00C149ED">
            <w:pPr>
              <w:keepNext/>
              <w:keepLines/>
              <w:spacing w:before="20" w:after="20"/>
              <w:rPr>
                <w:rFonts w:cs="Arial"/>
                <w:b/>
                <w:sz w:val="20"/>
                <w:szCs w:val="20"/>
              </w:rPr>
            </w:pPr>
            <w:r>
              <w:rPr>
                <w:rFonts w:cs="Arial"/>
                <w:b/>
                <w:sz w:val="20"/>
                <w:szCs w:val="20"/>
              </w:rPr>
              <w:t>Revision Summary and Rationale for Revision</w:t>
            </w:r>
          </w:p>
          <w:p w14:paraId="3269E3E2" w14:textId="77777777" w:rsidR="00260F28" w:rsidRDefault="00260F28" w:rsidP="00C149ED">
            <w:pPr>
              <w:keepNext/>
              <w:keepLines/>
              <w:spacing w:before="20" w:after="20"/>
              <w:rPr>
                <w:rFonts w:cs="Arial"/>
                <w:b/>
                <w:sz w:val="20"/>
                <w:szCs w:val="20"/>
              </w:rPr>
            </w:pPr>
            <w:r>
              <w:rPr>
                <w:rFonts w:cs="Arial"/>
                <w:b/>
                <w:sz w:val="20"/>
                <w:szCs w:val="20"/>
              </w:rPr>
              <w:t>Effective Date and Approved By</w:t>
            </w:r>
          </w:p>
        </w:tc>
      </w:tr>
      <w:tr w:rsidR="0093736A" w:rsidRPr="00CA1CB3" w14:paraId="17AA269D" w14:textId="77777777" w:rsidTr="00C149ED">
        <w:trPr>
          <w:trHeight w:val="20"/>
        </w:trPr>
        <w:tc>
          <w:tcPr>
            <w:tcW w:w="503" w:type="pct"/>
          </w:tcPr>
          <w:p w14:paraId="508B8C3A" w14:textId="24E28D89" w:rsidR="0093736A" w:rsidRPr="00B67A7B" w:rsidRDefault="0065255B" w:rsidP="0093736A">
            <w:pPr>
              <w:keepNext/>
              <w:keepLines/>
              <w:spacing w:before="20" w:after="20"/>
              <w:rPr>
                <w:rFonts w:cs="Arial"/>
                <w:sz w:val="20"/>
                <w:szCs w:val="20"/>
              </w:rPr>
            </w:pPr>
            <w:commentRangeStart w:id="78"/>
            <w:commentRangeEnd w:id="78"/>
            <w:r>
              <w:rPr>
                <w:rFonts w:cs="Arial"/>
                <w:sz w:val="20"/>
                <w:szCs w:val="20"/>
              </w:rPr>
              <w:t>01</w:t>
            </w:r>
          </w:p>
        </w:tc>
        <w:tc>
          <w:tcPr>
            <w:tcW w:w="722" w:type="pct"/>
          </w:tcPr>
          <w:p w14:paraId="148F78D2" w14:textId="77777777" w:rsidR="0093736A" w:rsidRDefault="0093736A" w:rsidP="0093736A">
            <w:pPr>
              <w:keepNext/>
              <w:keepLines/>
              <w:spacing w:before="20" w:after="20"/>
              <w:rPr>
                <w:rFonts w:cs="Arial"/>
                <w:sz w:val="20"/>
                <w:szCs w:val="20"/>
              </w:rPr>
            </w:pPr>
          </w:p>
        </w:tc>
        <w:tc>
          <w:tcPr>
            <w:tcW w:w="842" w:type="pct"/>
          </w:tcPr>
          <w:p w14:paraId="5F1ACB68" w14:textId="5CEA0D9F" w:rsidR="0093736A" w:rsidRPr="00B67A7B" w:rsidRDefault="0093736A" w:rsidP="0093736A">
            <w:pPr>
              <w:keepNext/>
              <w:keepLines/>
              <w:spacing w:before="20" w:after="20"/>
              <w:rPr>
                <w:rFonts w:cs="Arial"/>
                <w:sz w:val="20"/>
                <w:szCs w:val="20"/>
              </w:rPr>
            </w:pPr>
            <w:r>
              <w:rPr>
                <w:rFonts w:cs="Arial"/>
                <w:sz w:val="20"/>
                <w:szCs w:val="20"/>
              </w:rPr>
              <w:t>SCE</w:t>
            </w:r>
          </w:p>
        </w:tc>
        <w:tc>
          <w:tcPr>
            <w:tcW w:w="2933" w:type="pct"/>
          </w:tcPr>
          <w:p w14:paraId="26DA46CB" w14:textId="77777777" w:rsidR="0093736A" w:rsidRDefault="0093736A" w:rsidP="0093736A">
            <w:pPr>
              <w:spacing w:before="20" w:after="20"/>
              <w:rPr>
                <w:rFonts w:cs="Arial"/>
                <w:sz w:val="20"/>
                <w:szCs w:val="20"/>
              </w:rPr>
            </w:pPr>
            <w:r>
              <w:rPr>
                <w:rFonts w:cs="Arial"/>
                <w:sz w:val="20"/>
                <w:szCs w:val="20"/>
              </w:rPr>
              <w:t>Draft of consolidated text for this statewide measure is based upon:</w:t>
            </w:r>
          </w:p>
          <w:p w14:paraId="1EDA9DA2" w14:textId="77777777" w:rsidR="0093736A" w:rsidRDefault="0093736A" w:rsidP="0093736A">
            <w:pPr>
              <w:spacing w:before="20" w:after="20"/>
              <w:rPr>
                <w:rFonts w:cs="Calibri Light"/>
                <w:sz w:val="20"/>
                <w:szCs w:val="20"/>
              </w:rPr>
            </w:pPr>
            <w:r>
              <w:rPr>
                <w:rFonts w:cs="Calibri Light"/>
                <w:sz w:val="20"/>
                <w:szCs w:val="20"/>
              </w:rPr>
              <w:t>SCE17HC052, Revision 0 (October 25, 2018)</w:t>
            </w:r>
          </w:p>
          <w:p w14:paraId="43DE190E" w14:textId="77777777" w:rsidR="0093736A" w:rsidRDefault="0093736A" w:rsidP="0093736A">
            <w:pPr>
              <w:spacing w:before="20" w:after="20"/>
              <w:rPr>
                <w:rFonts w:cs="Calibri Light"/>
                <w:sz w:val="20"/>
                <w:szCs w:val="20"/>
              </w:rPr>
            </w:pPr>
            <w:r>
              <w:rPr>
                <w:rFonts w:cs="Calibri Light"/>
                <w:sz w:val="20"/>
                <w:szCs w:val="20"/>
              </w:rPr>
              <w:t>Consensus reached by Cal TF.</w:t>
            </w:r>
          </w:p>
          <w:p w14:paraId="3A7419AF" w14:textId="77777777" w:rsidR="0093736A" w:rsidRDefault="0093736A" w:rsidP="0093736A">
            <w:pPr>
              <w:spacing w:before="20" w:after="20"/>
              <w:rPr>
                <w:rFonts w:cs="Calibri Light"/>
                <w:sz w:val="20"/>
                <w:szCs w:val="20"/>
              </w:rPr>
            </w:pPr>
          </w:p>
          <w:p w14:paraId="130A221F" w14:textId="77777777" w:rsidR="0093736A" w:rsidRDefault="0093736A" w:rsidP="0093736A">
            <w:pPr>
              <w:spacing w:before="20" w:after="20"/>
              <w:rPr>
                <w:rFonts w:cs="Calibri Light"/>
                <w:sz w:val="20"/>
                <w:szCs w:val="20"/>
              </w:rPr>
            </w:pPr>
            <w:r>
              <w:rPr>
                <w:rFonts w:cs="Calibri Light"/>
                <w:sz w:val="20"/>
                <w:szCs w:val="20"/>
              </w:rPr>
              <w:t>Related workpapers are:</w:t>
            </w:r>
          </w:p>
          <w:p w14:paraId="06CBC70C" w14:textId="77777777" w:rsidR="0093736A" w:rsidRDefault="0093736A" w:rsidP="0093736A">
            <w:pPr>
              <w:spacing w:before="20" w:after="20"/>
              <w:rPr>
                <w:rFonts w:cs="Calibri Light"/>
                <w:sz w:val="20"/>
                <w:szCs w:val="20"/>
              </w:rPr>
            </w:pPr>
            <w:r>
              <w:rPr>
                <w:rFonts w:cs="Calibri Light"/>
                <w:sz w:val="20"/>
                <w:szCs w:val="20"/>
              </w:rPr>
              <w:t>SCE15HC052, Revision 2 (March 16, 2016)</w:t>
            </w:r>
          </w:p>
          <w:p w14:paraId="529FCB49" w14:textId="77777777" w:rsidR="0093736A" w:rsidRDefault="0093736A" w:rsidP="0093736A">
            <w:pPr>
              <w:spacing w:before="20" w:after="20"/>
              <w:rPr>
                <w:rFonts w:cs="Calibri Light"/>
                <w:sz w:val="20"/>
                <w:szCs w:val="20"/>
              </w:rPr>
            </w:pPr>
            <w:r>
              <w:rPr>
                <w:rFonts w:cs="Calibri Light"/>
                <w:sz w:val="20"/>
                <w:szCs w:val="20"/>
              </w:rPr>
              <w:t>PGE3PHVC150, Revision 4 (September 19, 2016)</w:t>
            </w:r>
          </w:p>
          <w:p w14:paraId="574684A3" w14:textId="77777777" w:rsidR="0093736A" w:rsidRDefault="0093736A" w:rsidP="0093736A">
            <w:pPr>
              <w:spacing w:before="20" w:after="20"/>
              <w:rPr>
                <w:rFonts w:cs="Calibri Light"/>
                <w:sz w:val="20"/>
                <w:szCs w:val="20"/>
              </w:rPr>
            </w:pPr>
            <w:r>
              <w:rPr>
                <w:rFonts w:cs="Calibri Light"/>
                <w:sz w:val="20"/>
                <w:szCs w:val="20"/>
              </w:rPr>
              <w:t>WPSDGREHC0024, Revision 2, short form (December 15, 2016)</w:t>
            </w:r>
          </w:p>
          <w:p w14:paraId="21FA3AB0" w14:textId="475B483E" w:rsidR="0093736A" w:rsidRPr="00B67A7B" w:rsidRDefault="0093736A" w:rsidP="0093736A">
            <w:pPr>
              <w:keepNext/>
              <w:keepLines/>
              <w:spacing w:before="20" w:after="20"/>
              <w:rPr>
                <w:rFonts w:cs="Calibri Light"/>
                <w:sz w:val="20"/>
                <w:szCs w:val="20"/>
              </w:rPr>
            </w:pPr>
            <w:r>
              <w:rPr>
                <w:rFonts w:cs="Calibri Light"/>
                <w:sz w:val="20"/>
                <w:szCs w:val="20"/>
              </w:rPr>
              <w:t>PGE3PMOT102, Revision 1 (May 28, 2014)</w:t>
            </w:r>
          </w:p>
        </w:tc>
      </w:tr>
      <w:tr w:rsidR="00F5680B" w:rsidRPr="00CA1CB3" w14:paraId="5D421216" w14:textId="77777777" w:rsidTr="00C149ED">
        <w:trPr>
          <w:trHeight w:val="20"/>
        </w:trPr>
        <w:tc>
          <w:tcPr>
            <w:tcW w:w="503" w:type="pct"/>
          </w:tcPr>
          <w:p w14:paraId="72AA7C5B" w14:textId="08EB512F" w:rsidR="00F5680B" w:rsidRPr="00B67A7B" w:rsidRDefault="00F5680B" w:rsidP="00C149ED">
            <w:pPr>
              <w:keepNext/>
              <w:keepLines/>
              <w:spacing w:before="20" w:after="20"/>
              <w:rPr>
                <w:rFonts w:cs="Arial"/>
                <w:sz w:val="20"/>
                <w:szCs w:val="20"/>
              </w:rPr>
            </w:pPr>
          </w:p>
        </w:tc>
        <w:tc>
          <w:tcPr>
            <w:tcW w:w="722" w:type="pct"/>
          </w:tcPr>
          <w:p w14:paraId="1171B496" w14:textId="096519A8" w:rsidR="00F5680B" w:rsidRPr="00B67A7B" w:rsidRDefault="00793620" w:rsidP="00C149ED">
            <w:pPr>
              <w:keepNext/>
              <w:keepLines/>
              <w:spacing w:before="20" w:after="20"/>
              <w:rPr>
                <w:rFonts w:cs="Arial"/>
                <w:sz w:val="20"/>
                <w:szCs w:val="20"/>
              </w:rPr>
            </w:pPr>
            <w:r>
              <w:rPr>
                <w:rFonts w:cs="Arial"/>
                <w:sz w:val="20"/>
                <w:szCs w:val="20"/>
              </w:rPr>
              <w:t>05</w:t>
            </w:r>
            <w:r w:rsidR="00EA2C20">
              <w:rPr>
                <w:rFonts w:cs="Arial"/>
                <w:sz w:val="20"/>
                <w:szCs w:val="20"/>
              </w:rPr>
              <w:t>/</w:t>
            </w:r>
            <w:r>
              <w:rPr>
                <w:rFonts w:cs="Arial"/>
                <w:sz w:val="20"/>
                <w:szCs w:val="20"/>
              </w:rPr>
              <w:t>04</w:t>
            </w:r>
            <w:r w:rsidR="00EA2C20">
              <w:rPr>
                <w:rFonts w:cs="Arial"/>
                <w:sz w:val="20"/>
                <w:szCs w:val="20"/>
              </w:rPr>
              <w:t>/</w:t>
            </w:r>
            <w:r>
              <w:rPr>
                <w:rFonts w:cs="Arial"/>
                <w:sz w:val="20"/>
                <w:szCs w:val="20"/>
              </w:rPr>
              <w:t>2019</w:t>
            </w:r>
          </w:p>
        </w:tc>
        <w:tc>
          <w:tcPr>
            <w:tcW w:w="842" w:type="pct"/>
          </w:tcPr>
          <w:p w14:paraId="522985FB" w14:textId="7D2D553F" w:rsidR="00F5680B" w:rsidRPr="00B67A7B" w:rsidRDefault="00F5680B" w:rsidP="00C149ED">
            <w:pPr>
              <w:keepNext/>
              <w:keepLines/>
              <w:spacing w:before="20" w:after="20"/>
              <w:rPr>
                <w:rFonts w:cs="Arial"/>
                <w:sz w:val="20"/>
                <w:szCs w:val="20"/>
              </w:rPr>
            </w:pPr>
            <w:r w:rsidRPr="00B67A7B">
              <w:rPr>
                <w:rFonts w:cs="Arial"/>
                <w:sz w:val="20"/>
                <w:szCs w:val="20"/>
              </w:rPr>
              <w:t xml:space="preserve">Akhilesh Endurthy </w:t>
            </w:r>
            <w:r w:rsidR="00C45886" w:rsidRPr="00B67A7B">
              <w:rPr>
                <w:rFonts w:cs="Arial"/>
                <w:sz w:val="20"/>
                <w:szCs w:val="20"/>
              </w:rPr>
              <w:t>Solaris-Technical</w:t>
            </w:r>
          </w:p>
        </w:tc>
        <w:tc>
          <w:tcPr>
            <w:tcW w:w="2933" w:type="pct"/>
          </w:tcPr>
          <w:p w14:paraId="56CEE369" w14:textId="77777777" w:rsidR="00793620" w:rsidRDefault="00772BDB" w:rsidP="00C149ED">
            <w:pPr>
              <w:keepNext/>
              <w:keepLines/>
              <w:spacing w:before="20" w:after="20"/>
              <w:rPr>
                <w:rFonts w:cs="Calibri Light"/>
                <w:sz w:val="20"/>
                <w:szCs w:val="20"/>
              </w:rPr>
            </w:pPr>
            <w:r w:rsidRPr="00B67A7B">
              <w:rPr>
                <w:rFonts w:cs="Calibri Light"/>
                <w:sz w:val="20"/>
                <w:szCs w:val="20"/>
              </w:rPr>
              <w:t xml:space="preserve">Updated </w:t>
            </w:r>
            <w:r w:rsidR="00793620">
              <w:rPr>
                <w:rFonts w:cs="Calibri Light"/>
                <w:sz w:val="20"/>
                <w:szCs w:val="20"/>
              </w:rPr>
              <w:t>using DEER 2020 Prototypes</w:t>
            </w:r>
          </w:p>
          <w:p w14:paraId="26A1EA40" w14:textId="37B4A4F5" w:rsidR="00772BDB" w:rsidRPr="00B67A7B" w:rsidRDefault="00793620" w:rsidP="00C149ED">
            <w:pPr>
              <w:keepNext/>
              <w:keepLines/>
              <w:spacing w:before="20" w:after="20"/>
              <w:rPr>
                <w:rFonts w:cs="Calibri Light"/>
                <w:sz w:val="20"/>
                <w:szCs w:val="20"/>
              </w:rPr>
            </w:pPr>
            <w:r>
              <w:rPr>
                <w:rFonts w:cs="Calibri Light"/>
                <w:sz w:val="20"/>
                <w:szCs w:val="20"/>
              </w:rPr>
              <w:t xml:space="preserve">Updated the DEER peak kW </w:t>
            </w:r>
            <w:r w:rsidR="000E2EA6">
              <w:rPr>
                <w:rFonts w:cs="Calibri Light"/>
                <w:sz w:val="20"/>
                <w:szCs w:val="20"/>
              </w:rPr>
              <w:t xml:space="preserve">based on </w:t>
            </w:r>
            <w:r w:rsidR="00772BDB" w:rsidRPr="00B67A7B">
              <w:rPr>
                <w:rFonts w:cs="Calibri Light"/>
                <w:sz w:val="20"/>
                <w:szCs w:val="20"/>
              </w:rPr>
              <w:t>DEER2020/ E-4952</w:t>
            </w:r>
          </w:p>
          <w:p w14:paraId="1E05BD76" w14:textId="0B3F6DAF" w:rsidR="00793620" w:rsidRPr="00B67A7B" w:rsidRDefault="00772BDB" w:rsidP="008F6ED4">
            <w:pPr>
              <w:keepNext/>
              <w:keepLines/>
              <w:spacing w:before="20" w:after="20"/>
              <w:rPr>
                <w:rFonts w:cs="Calibri Light"/>
                <w:sz w:val="20"/>
                <w:szCs w:val="20"/>
              </w:rPr>
            </w:pPr>
            <w:r w:rsidRPr="00B67A7B">
              <w:rPr>
                <w:rFonts w:cs="Calibri Light"/>
                <w:sz w:val="20"/>
                <w:szCs w:val="20"/>
              </w:rPr>
              <w:t xml:space="preserve">New Statewide workpaper template </w:t>
            </w:r>
            <w:r w:rsidR="00C45886" w:rsidRPr="00B67A7B">
              <w:rPr>
                <w:rFonts w:cs="Calibri Light"/>
                <w:sz w:val="20"/>
                <w:szCs w:val="20"/>
              </w:rPr>
              <w:t xml:space="preserve"> </w:t>
            </w:r>
          </w:p>
        </w:tc>
      </w:tr>
      <w:tr w:rsidR="00EA2C20" w:rsidRPr="00CA1CB3" w14:paraId="37F48739" w14:textId="77777777" w:rsidTr="00C149ED">
        <w:trPr>
          <w:trHeight w:val="20"/>
        </w:trPr>
        <w:tc>
          <w:tcPr>
            <w:tcW w:w="503" w:type="pct"/>
          </w:tcPr>
          <w:p w14:paraId="068A73A6" w14:textId="77777777" w:rsidR="00EA2C20" w:rsidRPr="00B67A7B" w:rsidRDefault="00EA2C20" w:rsidP="00EA2C20">
            <w:pPr>
              <w:keepNext/>
              <w:keepLines/>
              <w:spacing w:before="20" w:after="20"/>
              <w:rPr>
                <w:rFonts w:cs="Arial"/>
                <w:sz w:val="20"/>
                <w:szCs w:val="20"/>
              </w:rPr>
            </w:pPr>
          </w:p>
        </w:tc>
        <w:tc>
          <w:tcPr>
            <w:tcW w:w="722" w:type="pct"/>
          </w:tcPr>
          <w:p w14:paraId="088368B9" w14:textId="44767130" w:rsidR="00EA2C20" w:rsidRDefault="00EA2C20" w:rsidP="00943D85">
            <w:pPr>
              <w:spacing w:before="20" w:after="20"/>
              <w:rPr>
                <w:rFonts w:cs="Arial"/>
                <w:sz w:val="20"/>
                <w:szCs w:val="20"/>
              </w:rPr>
            </w:pPr>
            <w:r w:rsidRPr="00943D85">
              <w:rPr>
                <w:rFonts w:cs="Arial"/>
                <w:sz w:val="20"/>
                <w:szCs w:val="20"/>
              </w:rPr>
              <w:t>0</w:t>
            </w:r>
            <w:r w:rsidR="0065255B">
              <w:rPr>
                <w:rFonts w:cs="Arial"/>
                <w:sz w:val="20"/>
                <w:szCs w:val="20"/>
              </w:rPr>
              <w:t>6</w:t>
            </w:r>
            <w:r w:rsidRPr="00943D85">
              <w:rPr>
                <w:rFonts w:cs="Arial"/>
                <w:sz w:val="20"/>
                <w:szCs w:val="20"/>
              </w:rPr>
              <w:t>/</w:t>
            </w:r>
            <w:r w:rsidR="0065255B">
              <w:rPr>
                <w:rFonts w:cs="Arial"/>
                <w:sz w:val="20"/>
                <w:szCs w:val="20"/>
              </w:rPr>
              <w:t>03</w:t>
            </w:r>
            <w:r w:rsidRPr="00943D85">
              <w:rPr>
                <w:rFonts w:cs="Arial"/>
                <w:sz w:val="20"/>
                <w:szCs w:val="20"/>
              </w:rPr>
              <w:t>/2019</w:t>
            </w:r>
          </w:p>
        </w:tc>
        <w:tc>
          <w:tcPr>
            <w:tcW w:w="842" w:type="pct"/>
          </w:tcPr>
          <w:p w14:paraId="5A6B2940" w14:textId="77777777" w:rsidR="00EA2C20" w:rsidRDefault="00EA2C20">
            <w:pPr>
              <w:spacing w:before="20" w:after="20"/>
              <w:rPr>
                <w:rFonts w:cs="Arial"/>
                <w:sz w:val="20"/>
                <w:szCs w:val="20"/>
              </w:rPr>
            </w:pPr>
            <w:r w:rsidRPr="00943D85">
              <w:rPr>
                <w:rFonts w:cs="Arial"/>
                <w:sz w:val="20"/>
                <w:szCs w:val="20"/>
              </w:rPr>
              <w:t>Jennifer Holmes</w:t>
            </w:r>
            <w:r w:rsidR="0065255B">
              <w:rPr>
                <w:rFonts w:cs="Arial"/>
                <w:sz w:val="20"/>
                <w:szCs w:val="20"/>
              </w:rPr>
              <w:t>,</w:t>
            </w:r>
          </w:p>
          <w:p w14:paraId="34552446" w14:textId="1EE41A77" w:rsidR="0065255B" w:rsidRPr="00B67A7B" w:rsidRDefault="0065255B" w:rsidP="00943D85">
            <w:pPr>
              <w:spacing w:before="20" w:after="20"/>
              <w:rPr>
                <w:rFonts w:cs="Arial"/>
                <w:sz w:val="20"/>
                <w:szCs w:val="20"/>
              </w:rPr>
            </w:pPr>
            <w:r>
              <w:rPr>
                <w:rFonts w:cs="Arial"/>
                <w:sz w:val="20"/>
                <w:szCs w:val="20"/>
              </w:rPr>
              <w:t>Cal TF Staff</w:t>
            </w:r>
          </w:p>
        </w:tc>
        <w:tc>
          <w:tcPr>
            <w:tcW w:w="2933" w:type="pct"/>
          </w:tcPr>
          <w:p w14:paraId="415D6B92" w14:textId="0EE11DAD" w:rsidR="00EA2C20" w:rsidRPr="003E660D" w:rsidRDefault="0065255B" w:rsidP="00943D85">
            <w:pPr>
              <w:spacing w:before="20" w:after="20"/>
              <w:rPr>
                <w:rFonts w:cs="Arial"/>
                <w:sz w:val="20"/>
                <w:szCs w:val="20"/>
              </w:rPr>
            </w:pPr>
            <w:r>
              <w:rPr>
                <w:rFonts w:cs="Arial"/>
                <w:sz w:val="20"/>
                <w:szCs w:val="20"/>
              </w:rPr>
              <w:t>Revisions for submittal of version 01</w:t>
            </w:r>
          </w:p>
        </w:tc>
      </w:tr>
      <w:bookmarkEnd w:id="75"/>
      <w:bookmarkEnd w:id="77"/>
    </w:tbl>
    <w:p w14:paraId="637768D2" w14:textId="68F728AD" w:rsidR="00F61C89" w:rsidRDefault="00F61C89" w:rsidP="00752187">
      <w:pPr>
        <w:rPr>
          <w:color w:val="808080" w:themeColor="background1" w:themeShade="80"/>
        </w:rPr>
      </w:pPr>
    </w:p>
    <w:p w14:paraId="083C1B3C" w14:textId="051EA1CD" w:rsidR="00FD65EA" w:rsidRPr="00FD65EA" w:rsidRDefault="00FD65EA" w:rsidP="00752187">
      <w:pPr>
        <w:rPr>
          <w:color w:val="808080" w:themeColor="background1" w:themeShade="80"/>
        </w:rPr>
      </w:pPr>
    </w:p>
    <w:sectPr w:rsidR="00FD65EA" w:rsidRPr="00FD65EA" w:rsidSect="00F73F34">
      <w:headerReference w:type="default" r:id="rId15"/>
      <w:headerReference w:type="first" r:id="rId16"/>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B289C6" w14:textId="77777777" w:rsidR="007C40CF" w:rsidRDefault="007C40CF" w:rsidP="00A2690C">
      <w:r>
        <w:separator/>
      </w:r>
    </w:p>
    <w:p w14:paraId="295C2DB3" w14:textId="77777777" w:rsidR="007C40CF" w:rsidRDefault="007C40CF"/>
  </w:endnote>
  <w:endnote w:type="continuationSeparator" w:id="0">
    <w:p w14:paraId="737A711E" w14:textId="77777777" w:rsidR="007C40CF" w:rsidRDefault="007C40CF" w:rsidP="00A2690C">
      <w:r>
        <w:continuationSeparator/>
      </w:r>
    </w:p>
    <w:p w14:paraId="3B528908" w14:textId="77777777" w:rsidR="007C40CF" w:rsidRDefault="007C40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PalatinoRegular">
    <w:altName w:val="Palatino Linotype"/>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58D06" w14:textId="77777777" w:rsidR="00985B4A" w:rsidRDefault="00985B4A"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28"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985B4A" w:rsidRPr="00B837C1" w:rsidRDefault="00985B4A"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F114B" w14:textId="77777777" w:rsidR="00985B4A" w:rsidRDefault="00985B4A"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7216"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9" name="Picture 29"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4F1230D2" w:rsidR="00985B4A" w:rsidRPr="00B837C1" w:rsidRDefault="00985B4A"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11</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9099" w14:textId="77777777" w:rsidR="00985B4A" w:rsidRDefault="00985B4A"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1312"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31" name="Picture 3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2D5B1A63" w:rsidR="00985B4A" w:rsidRPr="005F505E" w:rsidRDefault="00985B4A"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B96E50" w14:textId="77777777" w:rsidR="007C40CF" w:rsidRDefault="007C40CF" w:rsidP="00A2690C">
      <w:r>
        <w:separator/>
      </w:r>
    </w:p>
    <w:p w14:paraId="08C9ED80" w14:textId="77777777" w:rsidR="007C40CF" w:rsidRDefault="007C40CF"/>
  </w:footnote>
  <w:footnote w:type="continuationSeparator" w:id="0">
    <w:p w14:paraId="7D91A76C" w14:textId="77777777" w:rsidR="007C40CF" w:rsidRDefault="007C40CF" w:rsidP="00A2690C">
      <w:r>
        <w:continuationSeparator/>
      </w:r>
    </w:p>
    <w:p w14:paraId="57D0D018" w14:textId="77777777" w:rsidR="007C40CF" w:rsidRDefault="007C40CF"/>
  </w:footnote>
  <w:footnote w:id="1">
    <w:p w14:paraId="19DCC316" w14:textId="3F85BBA9" w:rsidR="00985B4A" w:rsidRDefault="00985B4A">
      <w:pPr>
        <w:pStyle w:val="FootnoteText"/>
      </w:pPr>
      <w:r>
        <w:rPr>
          <w:rStyle w:val="FootnoteReference"/>
        </w:rPr>
        <w:footnoteRef/>
      </w:r>
      <w:r>
        <w:t xml:space="preserve"> </w:t>
      </w:r>
      <w:r w:rsidR="00DF30A3">
        <w:t xml:space="preserve">California Energy Commission (CEC). 2019. </w:t>
      </w:r>
      <w:r w:rsidR="00DF30A3">
        <w:rPr>
          <w:rStyle w:val="Emphasis"/>
        </w:rPr>
        <w:t>California Code of Regulations Title 20</w:t>
      </w:r>
      <w:r w:rsidR="00DF30A3">
        <w:t>. CEC-140-2019-002.</w:t>
      </w:r>
    </w:p>
  </w:footnote>
  <w:footnote w:id="2">
    <w:p w14:paraId="727AB341" w14:textId="087D241B" w:rsidR="00985B4A" w:rsidRDefault="00985B4A" w:rsidP="00A74E20">
      <w:pPr>
        <w:pStyle w:val="FootnoteText"/>
      </w:pPr>
      <w:r>
        <w:rPr>
          <w:rStyle w:val="FootnoteReference"/>
        </w:rPr>
        <w:footnoteRef/>
      </w:r>
      <w:r>
        <w:t xml:space="preserve"> Southern California Edison (SCE). 2019. “SWHC0</w:t>
      </w:r>
      <w:r w:rsidR="00257FF5">
        <w:t>29</w:t>
      </w:r>
      <w:r>
        <w:t xml:space="preserve">-01 Fan </w:t>
      </w:r>
      <w:r w:rsidRPr="00694799">
        <w:t>Controller</w:t>
      </w:r>
      <w:r>
        <w:t xml:space="preserve">-Calc Files.zip.” </w:t>
      </w:r>
    </w:p>
  </w:footnote>
  <w:footnote w:id="3">
    <w:p w14:paraId="683BCA82" w14:textId="77777777" w:rsidR="00985B4A" w:rsidRDefault="00985B4A" w:rsidP="00A74E20">
      <w:r>
        <w:rPr>
          <w:rStyle w:val="FootnoteReference"/>
        </w:rPr>
        <w:footnoteRef/>
      </w:r>
      <w:r>
        <w:t xml:space="preserve"> </w:t>
      </w:r>
      <w:r w:rsidRPr="00FD0BC2">
        <w:rPr>
          <w:rStyle w:val="eTRMFootnoteTextChar"/>
        </w:rPr>
        <w:t xml:space="preserve">Southern California Edison (SCE), Design and Engineering Services. 2012. </w:t>
      </w:r>
      <w:r w:rsidRPr="00FD0BC2">
        <w:rPr>
          <w:rStyle w:val="eTRMFootnoteTextChar"/>
          <w:i/>
        </w:rPr>
        <w:t xml:space="preserve">Effects of Delaying Evaporator Fan Cycle Off Time for Residential Air-conditioning Units. </w:t>
      </w:r>
      <w:r w:rsidRPr="00FD0BC2">
        <w:rPr>
          <w:rStyle w:val="eTRMFootnoteTextChar"/>
        </w:rPr>
        <w:t>ET11SCE1130. March 20.</w:t>
      </w:r>
    </w:p>
  </w:footnote>
  <w:footnote w:id="4">
    <w:p w14:paraId="66777FB5" w14:textId="5CEB170C" w:rsidR="005254E4" w:rsidRDefault="005254E4" w:rsidP="005254E4">
      <w:pPr>
        <w:pStyle w:val="FootnoteText"/>
      </w:pPr>
      <w:r>
        <w:rPr>
          <w:rStyle w:val="FootnoteReference"/>
        </w:rPr>
        <w:footnoteRef/>
      </w:r>
      <w:r>
        <w:t xml:space="preserve"> Southern California Edison (SCE). 2019. “SWHC029</w:t>
      </w:r>
      <w:r w:rsidRPr="001F09BE">
        <w:t>-01 F</w:t>
      </w:r>
      <w:r>
        <w:t xml:space="preserve">an </w:t>
      </w:r>
      <w:r w:rsidRPr="001F09BE">
        <w:t>Controller Savings Summary</w:t>
      </w:r>
      <w:r>
        <w:t>.xlsx”</w:t>
      </w:r>
    </w:p>
    <w:p w14:paraId="41E00D90" w14:textId="4B7534DD" w:rsidR="005254E4" w:rsidRDefault="005254E4" w:rsidP="005254E4">
      <w:pPr>
        <w:pStyle w:val="FootnoteText"/>
      </w:pPr>
      <w:r>
        <w:t>Southern California Edison (SCE). 2019. “SWHC029</w:t>
      </w:r>
      <w:r w:rsidRPr="00694799">
        <w:t>-01 Fan Controller</w:t>
      </w:r>
      <w:r>
        <w:t>-Calc Files.zip.”</w:t>
      </w:r>
    </w:p>
  </w:footnote>
  <w:footnote w:id="5">
    <w:p w14:paraId="6D4DA8DB" w14:textId="558D7280" w:rsidR="00985B4A" w:rsidRDefault="00985B4A" w:rsidP="00943D85">
      <w:pPr>
        <w:spacing w:before="0" w:after="0" w:line="240" w:lineRule="auto"/>
        <w:jc w:val="both"/>
      </w:pPr>
      <w:r>
        <w:rPr>
          <w:rStyle w:val="FootnoteReference"/>
        </w:rPr>
        <w:footnoteRef/>
      </w:r>
      <w:r>
        <w:t xml:space="preserve"> </w:t>
      </w:r>
      <w:bookmarkStart w:id="40" w:name="_Hlk10459878"/>
      <w:r w:rsidR="008B3223" w:rsidRPr="00943D85">
        <w:rPr>
          <w:rStyle w:val="eTRMFootnoteTextChar"/>
        </w:rPr>
        <w:t xml:space="preserve">Southern California Edison (SCE) and James J. Hirsch &amp; Associates. 2004. </w:t>
      </w:r>
      <w:r w:rsidRPr="00943D85">
        <w:rPr>
          <w:rStyle w:val="eTRMFootnoteTextChar"/>
          <w:i/>
        </w:rPr>
        <w:t>Programmable Thermostats Installed into Residential Buildings: Predicting Energy Saving Using Occupant Behavior &amp; Simulation.</w:t>
      </w:r>
      <w:r w:rsidRPr="00943D85">
        <w:rPr>
          <w:rStyle w:val="eTRMFootnoteTextChar"/>
        </w:rPr>
        <w:t xml:space="preserve"> </w:t>
      </w:r>
      <w:r w:rsidR="008B3223" w:rsidRPr="00943D85">
        <w:rPr>
          <w:rStyle w:val="eTRMFootnoteTextChar"/>
          <w:i/>
        </w:rPr>
        <w:t>Draft</w:t>
      </w:r>
      <w:r w:rsidR="008B3223">
        <w:rPr>
          <w:rStyle w:val="eTRMFootnoteTextChar"/>
        </w:rPr>
        <w:t xml:space="preserve">. </w:t>
      </w:r>
      <w:r w:rsidRPr="00943D85">
        <w:rPr>
          <w:rStyle w:val="eTRMFootnoteTextChar"/>
        </w:rPr>
        <w:t xml:space="preserve">November </w:t>
      </w:r>
      <w:r w:rsidR="008B3223">
        <w:rPr>
          <w:rStyle w:val="eTRMFootnoteTextChar"/>
        </w:rPr>
        <w:t>26</w:t>
      </w:r>
      <w:r w:rsidRPr="00943D85">
        <w:rPr>
          <w:rStyle w:val="eTRMFootnoteTextChar"/>
        </w:rPr>
        <w:t xml:space="preserve">. </w:t>
      </w:r>
      <w:bookmarkEnd w:id="40"/>
    </w:p>
  </w:footnote>
  <w:footnote w:id="6">
    <w:p w14:paraId="7D947B4B" w14:textId="55705517" w:rsidR="00985B4A" w:rsidRDefault="00985B4A" w:rsidP="00943D85">
      <w:pPr>
        <w:spacing w:before="0" w:after="0" w:line="240" w:lineRule="auto"/>
        <w:jc w:val="both"/>
      </w:pPr>
      <w:r>
        <w:rPr>
          <w:rStyle w:val="FootnoteReference"/>
        </w:rPr>
        <w:footnoteRef/>
      </w:r>
      <w:r>
        <w:t xml:space="preserve"> </w:t>
      </w:r>
      <w:r w:rsidR="008B3223" w:rsidRPr="00445C83">
        <w:rPr>
          <w:rStyle w:val="eTRMFootnoteTextChar"/>
        </w:rPr>
        <w:t xml:space="preserve">Southern California Edison (SCE) and James J. Hirsch &amp; Associates. 2004. </w:t>
      </w:r>
      <w:r w:rsidR="008B3223" w:rsidRPr="00445C83">
        <w:rPr>
          <w:rStyle w:val="eTRMFootnoteTextChar"/>
          <w:i/>
        </w:rPr>
        <w:t>Programmable Thermostats Installed into Residential Buildings: Predicting Energy Saving Using Occupant Behavior &amp; Simulation.</w:t>
      </w:r>
      <w:r w:rsidR="008B3223" w:rsidRPr="00445C83">
        <w:rPr>
          <w:rStyle w:val="eTRMFootnoteTextChar"/>
        </w:rPr>
        <w:t xml:space="preserve"> </w:t>
      </w:r>
      <w:r w:rsidR="008B3223" w:rsidRPr="00445C83">
        <w:rPr>
          <w:rStyle w:val="eTRMFootnoteTextChar"/>
          <w:i/>
        </w:rPr>
        <w:t>Draft</w:t>
      </w:r>
      <w:r w:rsidR="008B3223">
        <w:rPr>
          <w:rStyle w:val="eTRMFootnoteTextChar"/>
        </w:rPr>
        <w:t xml:space="preserve">. </w:t>
      </w:r>
      <w:r w:rsidR="008B3223" w:rsidRPr="00445C83">
        <w:rPr>
          <w:rStyle w:val="eTRMFootnoteTextChar"/>
        </w:rPr>
        <w:t xml:space="preserve">November </w:t>
      </w:r>
      <w:r w:rsidR="008B3223">
        <w:rPr>
          <w:rStyle w:val="eTRMFootnoteTextChar"/>
        </w:rPr>
        <w:t>26</w:t>
      </w:r>
      <w:r w:rsidR="008B3223" w:rsidRPr="00445C83">
        <w:rPr>
          <w:rStyle w:val="eTRMFootnoteTextChar"/>
        </w:rPr>
        <w:t xml:space="preserve">. </w:t>
      </w:r>
    </w:p>
  </w:footnote>
  <w:footnote w:id="7">
    <w:p w14:paraId="10EF8EEB" w14:textId="77777777" w:rsidR="007E226C" w:rsidRDefault="007E226C" w:rsidP="007E226C">
      <w:pPr>
        <w:pStyle w:val="FootnoteText"/>
      </w:pPr>
      <w:r>
        <w:rPr>
          <w:rStyle w:val="FootnoteReference"/>
        </w:rPr>
        <w:footnoteRef/>
      </w:r>
      <w:r>
        <w:t xml:space="preserve"> KEMA-XENERGY, Itron, Inc., Roper, and ASW. 2004. </w:t>
      </w:r>
      <w:r>
        <w:rPr>
          <w:rStyle w:val="Emphasis"/>
        </w:rPr>
        <w:t>California Statewide Residential Appliance Saturation Study.</w:t>
      </w:r>
      <w:r>
        <w:t xml:space="preserve"> Prepared for the California Energy Commission. Contract No. 400-04-009.  </w:t>
      </w:r>
    </w:p>
  </w:footnote>
  <w:footnote w:id="8">
    <w:p w14:paraId="2D835D9A" w14:textId="63826650" w:rsidR="00985B4A" w:rsidRDefault="00985B4A">
      <w:pPr>
        <w:pStyle w:val="FootnoteText"/>
      </w:pPr>
      <w:r>
        <w:rPr>
          <w:rStyle w:val="FootnoteReference"/>
        </w:rPr>
        <w:footnoteRef/>
      </w:r>
      <w:r>
        <w:t xml:space="preserve"> </w:t>
      </w:r>
      <w:bookmarkStart w:id="42" w:name="_Hlk10465424"/>
      <w:r w:rsidR="005254E4">
        <w:t>California Public Utilities Commission</w:t>
      </w:r>
      <w:r w:rsidR="002B1734">
        <w:t xml:space="preserve"> (</w:t>
      </w:r>
      <w:r w:rsidR="005254E4">
        <w:t>CPUC</w:t>
      </w:r>
      <w:r w:rsidR="002B1734">
        <w:t>)</w:t>
      </w:r>
      <w:r w:rsidR="005254E4">
        <w:t>, Energy Division</w:t>
      </w:r>
      <w:r w:rsidR="002B1734">
        <w:t>. (n.d.) “</w:t>
      </w:r>
      <w:r w:rsidRPr="00DD621A">
        <w:t>DEER_all_Res_weights_tables</w:t>
      </w:r>
      <w:r>
        <w:t>.xlsx</w:t>
      </w:r>
      <w:r w:rsidR="002B1734">
        <w:t>.”</w:t>
      </w:r>
      <w:r>
        <w:t xml:space="preserve"> </w:t>
      </w:r>
      <w:bookmarkEnd w:id="42"/>
    </w:p>
  </w:footnote>
  <w:footnote w:id="9">
    <w:p w14:paraId="7E09DEC2" w14:textId="09937D56" w:rsidR="00241878" w:rsidRDefault="00241878">
      <w:pPr>
        <w:pStyle w:val="FootnoteText"/>
      </w:pPr>
      <w:r>
        <w:rPr>
          <w:rStyle w:val="FootnoteReference"/>
        </w:rPr>
        <w:footnoteRef/>
      </w:r>
      <w:r>
        <w:t xml:space="preserve"> California Public Utilities Commission (CPUC). 2018. </w:t>
      </w:r>
      <w:r>
        <w:rPr>
          <w:rStyle w:val="Emphasis"/>
        </w:rPr>
        <w:t>Resolution E-4952.</w:t>
      </w:r>
      <w:r>
        <w:t xml:space="preserve"> October 11. O.P 1.</w:t>
      </w:r>
    </w:p>
  </w:footnote>
  <w:footnote w:id="10">
    <w:p w14:paraId="53DA0049" w14:textId="77777777" w:rsidR="00985B4A" w:rsidRDefault="00985B4A" w:rsidP="0052164C">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11">
    <w:p w14:paraId="6D49C004" w14:textId="77777777" w:rsidR="00985B4A" w:rsidRDefault="00985B4A" w:rsidP="0052164C">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Memorandum submitted to Itron, Inc.</w:t>
      </w:r>
    </w:p>
  </w:footnote>
  <w:footnote w:id="12">
    <w:p w14:paraId="41584EF1" w14:textId="77777777" w:rsidR="00985B4A" w:rsidRDefault="00985B4A" w:rsidP="0052164C">
      <w:pPr>
        <w:pStyle w:val="FootnoteText"/>
      </w:pPr>
      <w:r>
        <w:rPr>
          <w:rStyle w:val="FootnoteReference"/>
        </w:rPr>
        <w:footnoteRef/>
      </w:r>
      <w:r>
        <w:t xml:space="preserve"> </w:t>
      </w:r>
      <w:r w:rsidRPr="00EF5144">
        <w:t>California Public Utilities Commission</w:t>
      </w:r>
      <w:r>
        <w:t xml:space="preserve"> (CPUC)</w:t>
      </w:r>
      <w:r w:rsidRPr="00EF5144">
        <w:t xml:space="preserve">. </w:t>
      </w:r>
      <w:r>
        <w:t xml:space="preserve">2016. </w:t>
      </w:r>
      <w:r w:rsidRPr="00EF5144">
        <w:t>Resolution E-4807</w:t>
      </w:r>
      <w:r>
        <w:t>.</w:t>
      </w:r>
      <w:r w:rsidRPr="00EF5144">
        <w:t xml:space="preserve"> December </w:t>
      </w:r>
      <w:r>
        <w:t>16.</w:t>
      </w:r>
      <w:r w:rsidRPr="00F3041A">
        <w:t xml:space="preserve"> </w:t>
      </w:r>
      <w:r w:rsidRPr="0008447C">
        <w:rPr>
          <w:rStyle w:val="eTRMFootnoteTextChar"/>
        </w:rPr>
        <w:t>P</w:t>
      </w:r>
      <w:r>
        <w:rPr>
          <w:rStyle w:val="eTRMFootnoteTextChar"/>
        </w:rPr>
        <w:t xml:space="preserve">age </w:t>
      </w:r>
      <w:r w:rsidRPr="0008447C">
        <w:rPr>
          <w:rStyle w:val="eTRMFootnoteTextChar"/>
        </w:rPr>
        <w:t>13</w:t>
      </w:r>
      <w:r>
        <w:rPr>
          <w:rStyle w:val="eTRMFootnoteTextChar"/>
        </w:rPr>
        <w:t>.</w:t>
      </w:r>
      <w:r w:rsidRPr="0008447C">
        <w:rPr>
          <w:rStyle w:val="eTRMFootnoteTextChar"/>
        </w:rPr>
        <w:t xml:space="preserve">  </w:t>
      </w:r>
    </w:p>
  </w:footnote>
  <w:footnote w:id="13">
    <w:p w14:paraId="48223B8F" w14:textId="77777777" w:rsidR="00985B4A" w:rsidRDefault="00985B4A" w:rsidP="00FC72C7">
      <w:pPr>
        <w:pStyle w:val="FootnoteText"/>
      </w:pPr>
      <w:r>
        <w:rPr>
          <w:rStyle w:val="FootnoteReference"/>
        </w:rPr>
        <w:footnoteRef/>
      </w:r>
      <w:r>
        <w:t xml:space="preserve"> California Public Utilities Commission (CPUC), Energy Division.  2003. </w:t>
      </w:r>
      <w:r>
        <w:rPr>
          <w:rStyle w:val="Emphasis"/>
        </w:rPr>
        <w:t xml:space="preserve">Energy Efficiency Policy Manual v 2.0. </w:t>
      </w:r>
      <w:r w:rsidRPr="000E48F3">
        <w:rPr>
          <w:rStyle w:val="Emphasis"/>
          <w:i w:val="0"/>
        </w:rPr>
        <w:t>Page 17.</w:t>
      </w:r>
    </w:p>
  </w:footnote>
  <w:footnote w:id="14">
    <w:p w14:paraId="6453B609" w14:textId="77777777" w:rsidR="00985B4A" w:rsidRDefault="00985B4A" w:rsidP="00FC72C7">
      <w:pPr>
        <w:pStyle w:val="FootnoteText"/>
      </w:pPr>
      <w:r>
        <w:rPr>
          <w:rStyle w:val="FootnoteReference"/>
        </w:rPr>
        <w:footnoteRef/>
      </w:r>
      <w:r>
        <w:t xml:space="preserve"> California Public Utilities Commission (CPUC), Energy Division. 2008. “EUL_Summary_10-1-08.xls.”</w:t>
      </w:r>
    </w:p>
    <w:p w14:paraId="7A7B7658" w14:textId="77777777" w:rsidR="00985B4A" w:rsidRDefault="00985B4A" w:rsidP="00FC72C7">
      <w:pPr>
        <w:pStyle w:val="FootnoteText"/>
      </w:pPr>
      <w:r w:rsidRPr="0052292E">
        <w:t xml:space="preserve">Pacific Gas &amp; Electric Company (PG&amp;E). 2004. </w:t>
      </w:r>
      <w:r w:rsidRPr="0052292E">
        <w:rPr>
          <w:i/>
        </w:rPr>
        <w:t>Retention Study of Pacific Gas &amp; Electric Company’s 1994 and 1995 Appliance Energy Efficiency Programs.</w:t>
      </w:r>
      <w:r>
        <w:t xml:space="preserve"> Study ID 384cR2. March 1.  </w:t>
      </w:r>
    </w:p>
    <w:p w14:paraId="6D781091" w14:textId="77777777" w:rsidR="00985B4A" w:rsidRDefault="00985B4A" w:rsidP="00FC72C7">
      <w:pPr>
        <w:pStyle w:val="FootnoteText"/>
      </w:pPr>
      <w:r>
        <w:t xml:space="preserve">ADM Associates, Inc. 2004. </w:t>
      </w:r>
      <w:r>
        <w:rPr>
          <w:rStyle w:val="Emphasis"/>
        </w:rPr>
        <w:t>Southern California Edison 1994 Residential Appliance Efficiency Incentive Program Ninth Year Retention Study CEC Study ID #546A</w:t>
      </w:r>
      <w:r>
        <w:t>. Prepared for Southern California Edison Company.</w:t>
      </w:r>
    </w:p>
    <w:p w14:paraId="32207B98" w14:textId="77777777" w:rsidR="00985B4A" w:rsidRDefault="00985B4A" w:rsidP="00FC72C7">
      <w:pPr>
        <w:pStyle w:val="FootnoteText"/>
      </w:pPr>
      <w:r w:rsidRPr="000B024C">
        <w:t xml:space="preserve">San Diego Gas &amp; Electric (SDG&amp;E). 2006. </w:t>
      </w:r>
      <w:r w:rsidRPr="000B024C">
        <w:rPr>
          <w:i/>
        </w:rPr>
        <w:t>1996 Residential New Construction Program Ninth Year Retention Evaluation.</w:t>
      </w:r>
      <w:r w:rsidRPr="000B024C">
        <w:t xml:space="preserve"> March.</w:t>
      </w:r>
      <w:r>
        <w:t xml:space="preserve"> </w:t>
      </w:r>
    </w:p>
    <w:p w14:paraId="233245DF" w14:textId="77777777" w:rsidR="00985B4A" w:rsidRDefault="00985B4A" w:rsidP="00FC72C7">
      <w:pPr>
        <w:pStyle w:val="FootnoteText"/>
      </w:pPr>
      <w:r>
        <w:t xml:space="preserve">Pacific Gas and Electric Company (PG&amp;E). 2006. </w:t>
      </w:r>
      <w:r>
        <w:rPr>
          <w:rStyle w:val="Emphasis"/>
        </w:rPr>
        <w:t>Retention Study of Pacific Gas &amp; Electric Company’s 1996 and 1997 Residential New Construction Energy Efficiency Programs</w:t>
      </w:r>
      <w:r>
        <w:t>. PG&amp;E Study ID number: 386R2 CALMAC Study ID number: PGE0247.01.</w:t>
      </w:r>
    </w:p>
    <w:p w14:paraId="5AAF32B5" w14:textId="77777777" w:rsidR="00985B4A" w:rsidRDefault="00985B4A" w:rsidP="00FC72C7">
      <w:pPr>
        <w:pStyle w:val="FootnoteText"/>
      </w:pPr>
      <w:r>
        <w:t xml:space="preserve">GDS Associates, Inc. 2007. </w:t>
      </w:r>
      <w:r>
        <w:rPr>
          <w:rStyle w:val="Emphasis"/>
        </w:rPr>
        <w:t>Measure Life Report Residential and Commercial/Industrial Lighting and HVAC Measures. Prepared for the New England State Program Working Group (SPWG). </w:t>
      </w:r>
    </w:p>
  </w:footnote>
  <w:footnote w:id="15">
    <w:p w14:paraId="50D16533" w14:textId="743E5B11" w:rsidR="005F6344" w:rsidRDefault="005F6344">
      <w:pPr>
        <w:pStyle w:val="FootnoteText"/>
      </w:pPr>
      <w:r>
        <w:rPr>
          <w:rStyle w:val="FootnoteReference"/>
        </w:rPr>
        <w:footnoteRef/>
      </w:r>
      <w:r>
        <w:t xml:space="preserve"> Southern California Edison (SCE). 2019. “</w:t>
      </w:r>
      <w:r w:rsidRPr="005F6344">
        <w:t>SWHC029-01 Cost References.xlsx</w:t>
      </w:r>
      <w:r>
        <w:t>.”</w:t>
      </w:r>
    </w:p>
  </w:footnote>
  <w:footnote w:id="16">
    <w:p w14:paraId="70BC92EC" w14:textId="77777777" w:rsidR="005F6344" w:rsidRDefault="005F6344" w:rsidP="005F6344">
      <w:pPr>
        <w:pStyle w:val="FootnoteText"/>
      </w:pPr>
      <w:r>
        <w:rPr>
          <w:rStyle w:val="FootnoteReference"/>
        </w:rPr>
        <w:footnoteRef/>
      </w:r>
      <w:r>
        <w:t xml:space="preserve"> Southern California Edison (SCE). 2019. “</w:t>
      </w:r>
      <w:r w:rsidRPr="005F6344">
        <w:t>SWHC029-01 Cost References.xlsx</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14C8F" w14:textId="159C53FF" w:rsidR="00985B4A" w:rsidRPr="000220A0" w:rsidRDefault="00985B4A"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F1ACE" w14:textId="28F384A1" w:rsidR="00985B4A" w:rsidRDefault="00985B4A">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985B4A" w:rsidRDefault="00985B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AB8AA" w14:textId="77777777" w:rsidR="00985B4A" w:rsidRDefault="00985B4A" w:rsidP="00BD221D">
    <w:pPr>
      <w:jc w:val="center"/>
    </w:pPr>
  </w:p>
  <w:p w14:paraId="342310D5" w14:textId="5BACBCD8" w:rsidR="00985B4A" w:rsidRDefault="00985B4A" w:rsidP="00BD221D">
    <w:pPr>
      <w:jc w:val="center"/>
    </w:pPr>
    <w:r>
      <w:rPr>
        <w:noProof/>
      </w:rPr>
      <w:drawing>
        <wp:inline distT="0" distB="0" distL="0" distR="0" wp14:anchorId="4B2AF0A8" wp14:editId="7258E71E">
          <wp:extent cx="937307" cy="1405961"/>
          <wp:effectExtent l="0" t="0" r="2540" b="0"/>
          <wp:docPr id="30" name="Picture 3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6D616" w14:textId="6D3C2427" w:rsidR="00985B4A" w:rsidRDefault="00985B4A" w:rsidP="001D7A57">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Fan Controller</w:t>
    </w:r>
    <w:r w:rsidR="00E2724C">
      <w:rPr>
        <w:rFonts w:ascii="Calibri Light" w:hAnsi="Calibri Light"/>
        <w:b/>
      </w:rPr>
      <w:t xml:space="preserve"> for Air Condition, Residential</w:t>
    </w:r>
  </w:p>
  <w:p w14:paraId="2AC97B25" w14:textId="77777777" w:rsidR="00985B4A" w:rsidRDefault="00985B4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3757E" w14:textId="68B81AAC" w:rsidR="00985B4A" w:rsidRDefault="00985B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CD4CBF"/>
    <w:multiLevelType w:val="hybridMultilevel"/>
    <w:tmpl w:val="3DE856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EA7546"/>
    <w:multiLevelType w:val="hybridMultilevel"/>
    <w:tmpl w:val="9CE6CD2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FC2151"/>
    <w:multiLevelType w:val="hybridMultilevel"/>
    <w:tmpl w:val="1366A8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2234E2"/>
    <w:multiLevelType w:val="hybridMultilevel"/>
    <w:tmpl w:val="6BA03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B6559"/>
    <w:multiLevelType w:val="hybridMultilevel"/>
    <w:tmpl w:val="BB402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8434B5"/>
    <w:multiLevelType w:val="hybridMultilevel"/>
    <w:tmpl w:val="9716B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EF2EAB"/>
    <w:multiLevelType w:val="hybridMultilevel"/>
    <w:tmpl w:val="42528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F22444"/>
    <w:multiLevelType w:val="hybridMultilevel"/>
    <w:tmpl w:val="3DE85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B862A7"/>
    <w:multiLevelType w:val="hybridMultilevel"/>
    <w:tmpl w:val="7AF6A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3F71F0"/>
    <w:multiLevelType w:val="hybridMultilevel"/>
    <w:tmpl w:val="CB8894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3536F4F"/>
    <w:multiLevelType w:val="hybridMultilevel"/>
    <w:tmpl w:val="644C5650"/>
    <w:lvl w:ilvl="0" w:tplc="4C0E3542">
      <w:start w:val="1"/>
      <w:numFmt w:val="bullet"/>
      <w:pStyle w:val="ListParagraph"/>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CE12E1"/>
    <w:multiLevelType w:val="hybridMultilevel"/>
    <w:tmpl w:val="10222BEE"/>
    <w:lvl w:ilvl="0" w:tplc="0409000F">
      <w:start w:val="1"/>
      <w:numFmt w:val="decimal"/>
      <w:lvlText w:val="%1."/>
      <w:lvlJc w:val="left"/>
      <w:pPr>
        <w:ind w:left="720" w:hanging="360"/>
      </w:pPr>
      <w:rPr>
        <w:rFonts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8957A1"/>
    <w:multiLevelType w:val="hybridMultilevel"/>
    <w:tmpl w:val="5B2296A4"/>
    <w:lvl w:ilvl="0" w:tplc="B66859FA">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9" w15:restartNumberingAfterBreak="0">
    <w:nsid w:val="3A1C0CCB"/>
    <w:multiLevelType w:val="hybridMultilevel"/>
    <w:tmpl w:val="CB8894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AA808C7"/>
    <w:multiLevelType w:val="hybridMultilevel"/>
    <w:tmpl w:val="3D0AF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A46218"/>
    <w:multiLevelType w:val="hybridMultilevel"/>
    <w:tmpl w:val="D6E81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17B1822"/>
    <w:multiLevelType w:val="hybridMultilevel"/>
    <w:tmpl w:val="96E2D3DA"/>
    <w:lvl w:ilvl="0" w:tplc="105610C6">
      <w:start w:val="1"/>
      <w:numFmt w:val="decimal"/>
      <w:pStyle w:val="eTRMBulletedText"/>
      <w:lvlText w:val="%1."/>
      <w:lvlJc w:val="left"/>
      <w:pPr>
        <w:ind w:left="720" w:hanging="360"/>
      </w:pPr>
      <w:rPr>
        <w:rFonts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C21112"/>
    <w:multiLevelType w:val="hybridMultilevel"/>
    <w:tmpl w:val="0F22E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1479DC"/>
    <w:multiLevelType w:val="hybridMultilevel"/>
    <w:tmpl w:val="8C8A1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7E3A28"/>
    <w:multiLevelType w:val="hybridMultilevel"/>
    <w:tmpl w:val="6DD4E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E65FFA"/>
    <w:multiLevelType w:val="hybridMultilevel"/>
    <w:tmpl w:val="652E3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6003F9"/>
    <w:multiLevelType w:val="hybridMultilevel"/>
    <w:tmpl w:val="2ED28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30" w15:restartNumberingAfterBreak="0">
    <w:nsid w:val="61B65B4B"/>
    <w:multiLevelType w:val="hybridMultilevel"/>
    <w:tmpl w:val="C3841C8C"/>
    <w:lvl w:ilvl="0" w:tplc="8DFEC882">
      <w:start w:val="1"/>
      <w:numFmt w:val="decimal"/>
      <w:lvlText w:val="%1."/>
      <w:lvlJc w:val="left"/>
      <w:pPr>
        <w:ind w:left="720" w:hanging="360"/>
      </w:pPr>
      <w:rPr>
        <w:rFonts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954AF3"/>
    <w:multiLevelType w:val="hybridMultilevel"/>
    <w:tmpl w:val="046C1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4F3A7F"/>
    <w:multiLevelType w:val="hybridMultilevel"/>
    <w:tmpl w:val="C97C55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DAC24B1"/>
    <w:multiLevelType w:val="hybridMultilevel"/>
    <w:tmpl w:val="91A63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4D3661"/>
    <w:multiLevelType w:val="hybridMultilevel"/>
    <w:tmpl w:val="B2CAA2F4"/>
    <w:lvl w:ilvl="0" w:tplc="2E442F3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C07B80"/>
    <w:multiLevelType w:val="hybridMultilevel"/>
    <w:tmpl w:val="F2402BEA"/>
    <w:lvl w:ilvl="0" w:tplc="9F4CC75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533B82"/>
    <w:multiLevelType w:val="hybridMultilevel"/>
    <w:tmpl w:val="85104AD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38"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40" w15:restartNumberingAfterBreak="0">
    <w:nsid w:val="78FA527A"/>
    <w:multiLevelType w:val="hybridMultilevel"/>
    <w:tmpl w:val="B35422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625C75"/>
    <w:multiLevelType w:val="hybridMultilevel"/>
    <w:tmpl w:val="49F840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B96ECB"/>
    <w:multiLevelType w:val="hybridMultilevel"/>
    <w:tmpl w:val="8BD60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7"/>
  </w:num>
  <w:num w:numId="3">
    <w:abstractNumId w:val="39"/>
  </w:num>
  <w:num w:numId="4">
    <w:abstractNumId w:val="39"/>
  </w:num>
  <w:num w:numId="5">
    <w:abstractNumId w:val="29"/>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11"/>
  </w:num>
  <w:num w:numId="8">
    <w:abstractNumId w:val="35"/>
  </w:num>
  <w:num w:numId="9">
    <w:abstractNumId w:val="0"/>
  </w:num>
  <w:num w:numId="10">
    <w:abstractNumId w:val="38"/>
  </w:num>
  <w:num w:numId="11">
    <w:abstractNumId w:val="15"/>
  </w:num>
  <w:num w:numId="12">
    <w:abstractNumId w:val="34"/>
  </w:num>
  <w:num w:numId="13">
    <w:abstractNumId w:val="31"/>
  </w:num>
  <w:num w:numId="14">
    <w:abstractNumId w:val="36"/>
  </w:num>
  <w:num w:numId="15">
    <w:abstractNumId w:val="13"/>
  </w:num>
  <w:num w:numId="16">
    <w:abstractNumId w:val="41"/>
  </w:num>
  <w:num w:numId="17">
    <w:abstractNumId w:val="10"/>
  </w:num>
  <w:num w:numId="18">
    <w:abstractNumId w:val="16"/>
  </w:num>
  <w:num w:numId="19">
    <w:abstractNumId w:val="8"/>
  </w:num>
  <w:num w:numId="20">
    <w:abstractNumId w:val="25"/>
  </w:num>
  <w:num w:numId="21">
    <w:abstractNumId w:val="28"/>
  </w:num>
  <w:num w:numId="22">
    <w:abstractNumId w:val="33"/>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5"/>
  </w:num>
  <w:num w:numId="27">
    <w:abstractNumId w:val="30"/>
  </w:num>
  <w:num w:numId="28">
    <w:abstractNumId w:val="2"/>
  </w:num>
  <w:num w:numId="29">
    <w:abstractNumId w:val="9"/>
  </w:num>
  <w:num w:numId="30">
    <w:abstractNumId w:val="3"/>
  </w:num>
  <w:num w:numId="31">
    <w:abstractNumId w:val="26"/>
  </w:num>
  <w:num w:numId="32">
    <w:abstractNumId w:val="32"/>
  </w:num>
  <w:num w:numId="33">
    <w:abstractNumId w:val="13"/>
  </w:num>
  <w:num w:numId="34">
    <w:abstractNumId w:val="13"/>
  </w:num>
  <w:num w:numId="35">
    <w:abstractNumId w:val="13"/>
  </w:num>
  <w:num w:numId="36">
    <w:abstractNumId w:val="13"/>
  </w:num>
  <w:num w:numId="37">
    <w:abstractNumId w:val="40"/>
  </w:num>
  <w:num w:numId="38">
    <w:abstractNumId w:val="6"/>
  </w:num>
  <w:num w:numId="39">
    <w:abstractNumId w:val="13"/>
  </w:num>
  <w:num w:numId="40">
    <w:abstractNumId w:val="20"/>
  </w:num>
  <w:num w:numId="41">
    <w:abstractNumId w:val="4"/>
  </w:num>
  <w:num w:numId="42">
    <w:abstractNumId w:val="21"/>
  </w:num>
  <w:num w:numId="43">
    <w:abstractNumId w:val="24"/>
  </w:num>
  <w:num w:numId="44">
    <w:abstractNumId w:val="7"/>
  </w:num>
  <w:num w:numId="45">
    <w:abstractNumId w:val="42"/>
  </w:num>
  <w:num w:numId="46">
    <w:abstractNumId w:val="13"/>
  </w:num>
  <w:num w:numId="47">
    <w:abstractNumId w:val="23"/>
  </w:num>
  <w:num w:numId="48">
    <w:abstractNumId w:val="14"/>
  </w:num>
  <w:num w:numId="49">
    <w:abstractNumId w:val="23"/>
    <w:lvlOverride w:ilvl="0">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2762"/>
    <w:rsid w:val="0000331E"/>
    <w:rsid w:val="00003387"/>
    <w:rsid w:val="00004237"/>
    <w:rsid w:val="0000544A"/>
    <w:rsid w:val="00005B06"/>
    <w:rsid w:val="000063B0"/>
    <w:rsid w:val="00007BAE"/>
    <w:rsid w:val="00010E92"/>
    <w:rsid w:val="000110D9"/>
    <w:rsid w:val="000111AF"/>
    <w:rsid w:val="00011AF2"/>
    <w:rsid w:val="0001230C"/>
    <w:rsid w:val="000135ED"/>
    <w:rsid w:val="00016162"/>
    <w:rsid w:val="00016928"/>
    <w:rsid w:val="000220A0"/>
    <w:rsid w:val="0002389A"/>
    <w:rsid w:val="00023B72"/>
    <w:rsid w:val="000269C8"/>
    <w:rsid w:val="00026C01"/>
    <w:rsid w:val="00026D58"/>
    <w:rsid w:val="000302DF"/>
    <w:rsid w:val="00031184"/>
    <w:rsid w:val="00033915"/>
    <w:rsid w:val="00033FD5"/>
    <w:rsid w:val="0003413F"/>
    <w:rsid w:val="00036C88"/>
    <w:rsid w:val="00037A06"/>
    <w:rsid w:val="00040955"/>
    <w:rsid w:val="000414BB"/>
    <w:rsid w:val="00046348"/>
    <w:rsid w:val="00046BB0"/>
    <w:rsid w:val="00051DBB"/>
    <w:rsid w:val="00052AEC"/>
    <w:rsid w:val="00052C95"/>
    <w:rsid w:val="0005370B"/>
    <w:rsid w:val="00055467"/>
    <w:rsid w:val="00056269"/>
    <w:rsid w:val="00056C71"/>
    <w:rsid w:val="00057707"/>
    <w:rsid w:val="000611A9"/>
    <w:rsid w:val="00061D34"/>
    <w:rsid w:val="00063BC7"/>
    <w:rsid w:val="000672E5"/>
    <w:rsid w:val="00070667"/>
    <w:rsid w:val="00073D40"/>
    <w:rsid w:val="00074E3E"/>
    <w:rsid w:val="000764FD"/>
    <w:rsid w:val="000767E9"/>
    <w:rsid w:val="0007793B"/>
    <w:rsid w:val="00077F96"/>
    <w:rsid w:val="000805E0"/>
    <w:rsid w:val="0008108C"/>
    <w:rsid w:val="0008132F"/>
    <w:rsid w:val="000823A6"/>
    <w:rsid w:val="00083244"/>
    <w:rsid w:val="00083600"/>
    <w:rsid w:val="000836B4"/>
    <w:rsid w:val="000841AA"/>
    <w:rsid w:val="00086BD9"/>
    <w:rsid w:val="00090BBF"/>
    <w:rsid w:val="000910B7"/>
    <w:rsid w:val="00091581"/>
    <w:rsid w:val="000927E0"/>
    <w:rsid w:val="00094517"/>
    <w:rsid w:val="00094AD9"/>
    <w:rsid w:val="00095824"/>
    <w:rsid w:val="00095F8A"/>
    <w:rsid w:val="00096485"/>
    <w:rsid w:val="00096CEC"/>
    <w:rsid w:val="000978C8"/>
    <w:rsid w:val="000A0221"/>
    <w:rsid w:val="000A2AC4"/>
    <w:rsid w:val="000A4356"/>
    <w:rsid w:val="000A4D3A"/>
    <w:rsid w:val="000A52E0"/>
    <w:rsid w:val="000A62EF"/>
    <w:rsid w:val="000A66B7"/>
    <w:rsid w:val="000A6BC9"/>
    <w:rsid w:val="000A6CDC"/>
    <w:rsid w:val="000A7058"/>
    <w:rsid w:val="000B2D55"/>
    <w:rsid w:val="000B332D"/>
    <w:rsid w:val="000B521C"/>
    <w:rsid w:val="000B5CF5"/>
    <w:rsid w:val="000B6004"/>
    <w:rsid w:val="000C36B4"/>
    <w:rsid w:val="000C5B24"/>
    <w:rsid w:val="000C72C1"/>
    <w:rsid w:val="000D22E9"/>
    <w:rsid w:val="000D6D4B"/>
    <w:rsid w:val="000E0B1C"/>
    <w:rsid w:val="000E1112"/>
    <w:rsid w:val="000E2EA6"/>
    <w:rsid w:val="000E39EC"/>
    <w:rsid w:val="000E4B68"/>
    <w:rsid w:val="000E4FD9"/>
    <w:rsid w:val="000E5D62"/>
    <w:rsid w:val="000E69F0"/>
    <w:rsid w:val="000F1833"/>
    <w:rsid w:val="000F251C"/>
    <w:rsid w:val="000F4176"/>
    <w:rsid w:val="000F4334"/>
    <w:rsid w:val="000F6790"/>
    <w:rsid w:val="000F6DB5"/>
    <w:rsid w:val="000F7DC3"/>
    <w:rsid w:val="00100614"/>
    <w:rsid w:val="00103399"/>
    <w:rsid w:val="00103859"/>
    <w:rsid w:val="00103F03"/>
    <w:rsid w:val="00104933"/>
    <w:rsid w:val="00107A98"/>
    <w:rsid w:val="00111A53"/>
    <w:rsid w:val="0011498C"/>
    <w:rsid w:val="00116260"/>
    <w:rsid w:val="00116C00"/>
    <w:rsid w:val="00116D6B"/>
    <w:rsid w:val="00120592"/>
    <w:rsid w:val="001217DF"/>
    <w:rsid w:val="0012187D"/>
    <w:rsid w:val="00124BFE"/>
    <w:rsid w:val="00126274"/>
    <w:rsid w:val="00126809"/>
    <w:rsid w:val="00127390"/>
    <w:rsid w:val="00131C5A"/>
    <w:rsid w:val="001362B6"/>
    <w:rsid w:val="00137632"/>
    <w:rsid w:val="0014014C"/>
    <w:rsid w:val="00142089"/>
    <w:rsid w:val="00142D3C"/>
    <w:rsid w:val="00146179"/>
    <w:rsid w:val="00150704"/>
    <w:rsid w:val="00151B9F"/>
    <w:rsid w:val="00152223"/>
    <w:rsid w:val="0015239A"/>
    <w:rsid w:val="0015406A"/>
    <w:rsid w:val="00154391"/>
    <w:rsid w:val="00156278"/>
    <w:rsid w:val="001564FC"/>
    <w:rsid w:val="00157940"/>
    <w:rsid w:val="00160591"/>
    <w:rsid w:val="001618DC"/>
    <w:rsid w:val="00161DF1"/>
    <w:rsid w:val="00162603"/>
    <w:rsid w:val="001648F6"/>
    <w:rsid w:val="00166490"/>
    <w:rsid w:val="0017185D"/>
    <w:rsid w:val="00171BB8"/>
    <w:rsid w:val="00174707"/>
    <w:rsid w:val="001769A0"/>
    <w:rsid w:val="00176E94"/>
    <w:rsid w:val="00180DAD"/>
    <w:rsid w:val="00181672"/>
    <w:rsid w:val="00181E01"/>
    <w:rsid w:val="001834D6"/>
    <w:rsid w:val="00185F00"/>
    <w:rsid w:val="00192CA7"/>
    <w:rsid w:val="00193E34"/>
    <w:rsid w:val="001944A0"/>
    <w:rsid w:val="001954EF"/>
    <w:rsid w:val="00195B03"/>
    <w:rsid w:val="00196649"/>
    <w:rsid w:val="001A4BE1"/>
    <w:rsid w:val="001A5B1A"/>
    <w:rsid w:val="001A691A"/>
    <w:rsid w:val="001A7A21"/>
    <w:rsid w:val="001A7CFE"/>
    <w:rsid w:val="001B1D23"/>
    <w:rsid w:val="001B1DB2"/>
    <w:rsid w:val="001B213F"/>
    <w:rsid w:val="001B2DB0"/>
    <w:rsid w:val="001B5059"/>
    <w:rsid w:val="001B5484"/>
    <w:rsid w:val="001B72DB"/>
    <w:rsid w:val="001C0143"/>
    <w:rsid w:val="001C1629"/>
    <w:rsid w:val="001C2ACE"/>
    <w:rsid w:val="001C2E10"/>
    <w:rsid w:val="001C333D"/>
    <w:rsid w:val="001C59A9"/>
    <w:rsid w:val="001C6C9B"/>
    <w:rsid w:val="001C7134"/>
    <w:rsid w:val="001D12E7"/>
    <w:rsid w:val="001D1C41"/>
    <w:rsid w:val="001D54AB"/>
    <w:rsid w:val="001D54E6"/>
    <w:rsid w:val="001D65A6"/>
    <w:rsid w:val="001D7A57"/>
    <w:rsid w:val="001E19A3"/>
    <w:rsid w:val="001E330F"/>
    <w:rsid w:val="001E41A8"/>
    <w:rsid w:val="001E4C3F"/>
    <w:rsid w:val="001E5B8E"/>
    <w:rsid w:val="001E7682"/>
    <w:rsid w:val="001E7B35"/>
    <w:rsid w:val="001F0792"/>
    <w:rsid w:val="001F0947"/>
    <w:rsid w:val="001F09BE"/>
    <w:rsid w:val="001F194F"/>
    <w:rsid w:val="001F37C0"/>
    <w:rsid w:val="001F5DE9"/>
    <w:rsid w:val="001F677D"/>
    <w:rsid w:val="001F6FDF"/>
    <w:rsid w:val="001F735E"/>
    <w:rsid w:val="001F74B7"/>
    <w:rsid w:val="002005A8"/>
    <w:rsid w:val="002006B6"/>
    <w:rsid w:val="00202C72"/>
    <w:rsid w:val="00205BAF"/>
    <w:rsid w:val="00207F85"/>
    <w:rsid w:val="002105FD"/>
    <w:rsid w:val="00211A74"/>
    <w:rsid w:val="0021226A"/>
    <w:rsid w:val="00212C5A"/>
    <w:rsid w:val="00216402"/>
    <w:rsid w:val="00217053"/>
    <w:rsid w:val="00217104"/>
    <w:rsid w:val="002177B3"/>
    <w:rsid w:val="00220F3E"/>
    <w:rsid w:val="00221EA6"/>
    <w:rsid w:val="0022459B"/>
    <w:rsid w:val="00225142"/>
    <w:rsid w:val="00225E6B"/>
    <w:rsid w:val="00225EE2"/>
    <w:rsid w:val="00226803"/>
    <w:rsid w:val="00227BDD"/>
    <w:rsid w:val="002318A4"/>
    <w:rsid w:val="002335FF"/>
    <w:rsid w:val="00233D87"/>
    <w:rsid w:val="00234DF4"/>
    <w:rsid w:val="0023666C"/>
    <w:rsid w:val="00236E0A"/>
    <w:rsid w:val="00237964"/>
    <w:rsid w:val="00240621"/>
    <w:rsid w:val="00241878"/>
    <w:rsid w:val="002434DE"/>
    <w:rsid w:val="0024532F"/>
    <w:rsid w:val="0024557A"/>
    <w:rsid w:val="002455AA"/>
    <w:rsid w:val="00245AFF"/>
    <w:rsid w:val="0024628D"/>
    <w:rsid w:val="0024690E"/>
    <w:rsid w:val="00247209"/>
    <w:rsid w:val="00247AEC"/>
    <w:rsid w:val="00251ABC"/>
    <w:rsid w:val="002520DC"/>
    <w:rsid w:val="002524CF"/>
    <w:rsid w:val="002529D3"/>
    <w:rsid w:val="00252B6E"/>
    <w:rsid w:val="00256400"/>
    <w:rsid w:val="00257FF5"/>
    <w:rsid w:val="002608A9"/>
    <w:rsid w:val="00260F28"/>
    <w:rsid w:val="002618E2"/>
    <w:rsid w:val="00266498"/>
    <w:rsid w:val="002673CC"/>
    <w:rsid w:val="00271A73"/>
    <w:rsid w:val="00272B42"/>
    <w:rsid w:val="00274416"/>
    <w:rsid w:val="00274A14"/>
    <w:rsid w:val="0027599D"/>
    <w:rsid w:val="00276F9B"/>
    <w:rsid w:val="00277B35"/>
    <w:rsid w:val="002829D1"/>
    <w:rsid w:val="00283B2F"/>
    <w:rsid w:val="00284763"/>
    <w:rsid w:val="00287A5E"/>
    <w:rsid w:val="00287ED7"/>
    <w:rsid w:val="002931FC"/>
    <w:rsid w:val="00293614"/>
    <w:rsid w:val="00294084"/>
    <w:rsid w:val="0029555D"/>
    <w:rsid w:val="00296DC0"/>
    <w:rsid w:val="0029781E"/>
    <w:rsid w:val="002A0330"/>
    <w:rsid w:val="002A2471"/>
    <w:rsid w:val="002A27A9"/>
    <w:rsid w:val="002A2A94"/>
    <w:rsid w:val="002A6B34"/>
    <w:rsid w:val="002B01A2"/>
    <w:rsid w:val="002B061A"/>
    <w:rsid w:val="002B107C"/>
    <w:rsid w:val="002B1734"/>
    <w:rsid w:val="002B2C97"/>
    <w:rsid w:val="002B3166"/>
    <w:rsid w:val="002B3BF4"/>
    <w:rsid w:val="002B5989"/>
    <w:rsid w:val="002B6DED"/>
    <w:rsid w:val="002B6F2A"/>
    <w:rsid w:val="002C06FC"/>
    <w:rsid w:val="002C1117"/>
    <w:rsid w:val="002C201B"/>
    <w:rsid w:val="002C35ED"/>
    <w:rsid w:val="002C64FF"/>
    <w:rsid w:val="002C67DF"/>
    <w:rsid w:val="002D0036"/>
    <w:rsid w:val="002D29F8"/>
    <w:rsid w:val="002D2DCE"/>
    <w:rsid w:val="002D40EE"/>
    <w:rsid w:val="002D4993"/>
    <w:rsid w:val="002D50E9"/>
    <w:rsid w:val="002D5759"/>
    <w:rsid w:val="002D5CFA"/>
    <w:rsid w:val="002E0432"/>
    <w:rsid w:val="002E0AD1"/>
    <w:rsid w:val="002E0ED4"/>
    <w:rsid w:val="002E5439"/>
    <w:rsid w:val="002E5B55"/>
    <w:rsid w:val="002E6018"/>
    <w:rsid w:val="002F067F"/>
    <w:rsid w:val="002F40AA"/>
    <w:rsid w:val="002F4B16"/>
    <w:rsid w:val="002F51AC"/>
    <w:rsid w:val="002F5A72"/>
    <w:rsid w:val="002F5B50"/>
    <w:rsid w:val="002F67E0"/>
    <w:rsid w:val="002F6906"/>
    <w:rsid w:val="00301673"/>
    <w:rsid w:val="00302A82"/>
    <w:rsid w:val="003062E7"/>
    <w:rsid w:val="00306760"/>
    <w:rsid w:val="003103FB"/>
    <w:rsid w:val="003107FB"/>
    <w:rsid w:val="0031339B"/>
    <w:rsid w:val="00313E1D"/>
    <w:rsid w:val="00314560"/>
    <w:rsid w:val="00314BFD"/>
    <w:rsid w:val="00315C45"/>
    <w:rsid w:val="00316C38"/>
    <w:rsid w:val="00322E16"/>
    <w:rsid w:val="003235DE"/>
    <w:rsid w:val="00323E00"/>
    <w:rsid w:val="003247FA"/>
    <w:rsid w:val="003309DA"/>
    <w:rsid w:val="003318D2"/>
    <w:rsid w:val="00333809"/>
    <w:rsid w:val="00334279"/>
    <w:rsid w:val="00336313"/>
    <w:rsid w:val="00336B9F"/>
    <w:rsid w:val="00337786"/>
    <w:rsid w:val="00337D1D"/>
    <w:rsid w:val="00341B1C"/>
    <w:rsid w:val="00346815"/>
    <w:rsid w:val="00347C9E"/>
    <w:rsid w:val="0035060F"/>
    <w:rsid w:val="00352864"/>
    <w:rsid w:val="00355167"/>
    <w:rsid w:val="00356901"/>
    <w:rsid w:val="00357D8C"/>
    <w:rsid w:val="0036086E"/>
    <w:rsid w:val="00361090"/>
    <w:rsid w:val="00362574"/>
    <w:rsid w:val="0036272C"/>
    <w:rsid w:val="00362C18"/>
    <w:rsid w:val="00362F3F"/>
    <w:rsid w:val="00362F9E"/>
    <w:rsid w:val="0036352B"/>
    <w:rsid w:val="00363BE8"/>
    <w:rsid w:val="0036471F"/>
    <w:rsid w:val="00364F2B"/>
    <w:rsid w:val="00365EB0"/>
    <w:rsid w:val="0036659E"/>
    <w:rsid w:val="003728EF"/>
    <w:rsid w:val="00372F61"/>
    <w:rsid w:val="00374D09"/>
    <w:rsid w:val="00375BFB"/>
    <w:rsid w:val="003761A2"/>
    <w:rsid w:val="0037639B"/>
    <w:rsid w:val="00380EEF"/>
    <w:rsid w:val="003814D6"/>
    <w:rsid w:val="00382D1E"/>
    <w:rsid w:val="0038345B"/>
    <w:rsid w:val="00383986"/>
    <w:rsid w:val="00384D15"/>
    <w:rsid w:val="00385069"/>
    <w:rsid w:val="00392097"/>
    <w:rsid w:val="00392098"/>
    <w:rsid w:val="00392684"/>
    <w:rsid w:val="00393BD2"/>
    <w:rsid w:val="00393D33"/>
    <w:rsid w:val="003952CF"/>
    <w:rsid w:val="00395432"/>
    <w:rsid w:val="0039621D"/>
    <w:rsid w:val="003A12E2"/>
    <w:rsid w:val="003A1444"/>
    <w:rsid w:val="003A4405"/>
    <w:rsid w:val="003A4468"/>
    <w:rsid w:val="003A4A8A"/>
    <w:rsid w:val="003A5C41"/>
    <w:rsid w:val="003B0398"/>
    <w:rsid w:val="003B1E1C"/>
    <w:rsid w:val="003B2680"/>
    <w:rsid w:val="003B2B0C"/>
    <w:rsid w:val="003B33D5"/>
    <w:rsid w:val="003B3F7F"/>
    <w:rsid w:val="003B4BFC"/>
    <w:rsid w:val="003B6742"/>
    <w:rsid w:val="003B7610"/>
    <w:rsid w:val="003C0750"/>
    <w:rsid w:val="003C27A6"/>
    <w:rsid w:val="003C2CC3"/>
    <w:rsid w:val="003C30E6"/>
    <w:rsid w:val="003C3A33"/>
    <w:rsid w:val="003C41C7"/>
    <w:rsid w:val="003C51A0"/>
    <w:rsid w:val="003C5A94"/>
    <w:rsid w:val="003C5CCA"/>
    <w:rsid w:val="003C6F3D"/>
    <w:rsid w:val="003C7721"/>
    <w:rsid w:val="003D073E"/>
    <w:rsid w:val="003D0B76"/>
    <w:rsid w:val="003D1FB8"/>
    <w:rsid w:val="003D36EF"/>
    <w:rsid w:val="003D3876"/>
    <w:rsid w:val="003D55C2"/>
    <w:rsid w:val="003D7104"/>
    <w:rsid w:val="003D7223"/>
    <w:rsid w:val="003D7822"/>
    <w:rsid w:val="003E1BDA"/>
    <w:rsid w:val="003E2131"/>
    <w:rsid w:val="003E3114"/>
    <w:rsid w:val="003E3354"/>
    <w:rsid w:val="003E4D10"/>
    <w:rsid w:val="003E5605"/>
    <w:rsid w:val="003E660D"/>
    <w:rsid w:val="003E6EE3"/>
    <w:rsid w:val="003F11EE"/>
    <w:rsid w:val="003F15F3"/>
    <w:rsid w:val="003F2417"/>
    <w:rsid w:val="003F269E"/>
    <w:rsid w:val="003F4964"/>
    <w:rsid w:val="003F539F"/>
    <w:rsid w:val="003F53D5"/>
    <w:rsid w:val="003F65F3"/>
    <w:rsid w:val="003F770A"/>
    <w:rsid w:val="00401683"/>
    <w:rsid w:val="00401C43"/>
    <w:rsid w:val="004020B6"/>
    <w:rsid w:val="004046FF"/>
    <w:rsid w:val="0040489C"/>
    <w:rsid w:val="00405D42"/>
    <w:rsid w:val="00410790"/>
    <w:rsid w:val="004115AC"/>
    <w:rsid w:val="004119EB"/>
    <w:rsid w:val="00411EF4"/>
    <w:rsid w:val="00411FB7"/>
    <w:rsid w:val="004133BB"/>
    <w:rsid w:val="0041352F"/>
    <w:rsid w:val="0041383F"/>
    <w:rsid w:val="004142EF"/>
    <w:rsid w:val="00415410"/>
    <w:rsid w:val="0041592D"/>
    <w:rsid w:val="00420958"/>
    <w:rsid w:val="00420EF1"/>
    <w:rsid w:val="00421920"/>
    <w:rsid w:val="004228FF"/>
    <w:rsid w:val="00422BE6"/>
    <w:rsid w:val="004249A0"/>
    <w:rsid w:val="00431317"/>
    <w:rsid w:val="00432997"/>
    <w:rsid w:val="00432D49"/>
    <w:rsid w:val="004339EA"/>
    <w:rsid w:val="00433E8F"/>
    <w:rsid w:val="004344CF"/>
    <w:rsid w:val="00435630"/>
    <w:rsid w:val="0043686E"/>
    <w:rsid w:val="00436A10"/>
    <w:rsid w:val="0043783D"/>
    <w:rsid w:val="00441A46"/>
    <w:rsid w:val="0044577B"/>
    <w:rsid w:val="004517F1"/>
    <w:rsid w:val="004518DD"/>
    <w:rsid w:val="00455430"/>
    <w:rsid w:val="00455FDA"/>
    <w:rsid w:val="004569D4"/>
    <w:rsid w:val="00460ABE"/>
    <w:rsid w:val="00461AE3"/>
    <w:rsid w:val="00462843"/>
    <w:rsid w:val="00463268"/>
    <w:rsid w:val="00463C1A"/>
    <w:rsid w:val="00464A63"/>
    <w:rsid w:val="00464CDA"/>
    <w:rsid w:val="00464E30"/>
    <w:rsid w:val="00466DD6"/>
    <w:rsid w:val="004678EE"/>
    <w:rsid w:val="00470670"/>
    <w:rsid w:val="00472048"/>
    <w:rsid w:val="00472286"/>
    <w:rsid w:val="004736DA"/>
    <w:rsid w:val="00474C29"/>
    <w:rsid w:val="00475A47"/>
    <w:rsid w:val="004761F3"/>
    <w:rsid w:val="004765A1"/>
    <w:rsid w:val="00482752"/>
    <w:rsid w:val="00484536"/>
    <w:rsid w:val="00486585"/>
    <w:rsid w:val="0049226D"/>
    <w:rsid w:val="00494680"/>
    <w:rsid w:val="00495181"/>
    <w:rsid w:val="00495351"/>
    <w:rsid w:val="004959CC"/>
    <w:rsid w:val="00495D24"/>
    <w:rsid w:val="00497059"/>
    <w:rsid w:val="00497289"/>
    <w:rsid w:val="004A06AE"/>
    <w:rsid w:val="004A2663"/>
    <w:rsid w:val="004A2E79"/>
    <w:rsid w:val="004A510D"/>
    <w:rsid w:val="004A62D2"/>
    <w:rsid w:val="004A6621"/>
    <w:rsid w:val="004B06E3"/>
    <w:rsid w:val="004B209B"/>
    <w:rsid w:val="004B35DC"/>
    <w:rsid w:val="004B4B58"/>
    <w:rsid w:val="004B5888"/>
    <w:rsid w:val="004B629B"/>
    <w:rsid w:val="004B6350"/>
    <w:rsid w:val="004B63A9"/>
    <w:rsid w:val="004B66C6"/>
    <w:rsid w:val="004B7778"/>
    <w:rsid w:val="004B7C1B"/>
    <w:rsid w:val="004C1117"/>
    <w:rsid w:val="004C2A36"/>
    <w:rsid w:val="004C2ACF"/>
    <w:rsid w:val="004C3663"/>
    <w:rsid w:val="004C4AD6"/>
    <w:rsid w:val="004C4FE6"/>
    <w:rsid w:val="004C57EC"/>
    <w:rsid w:val="004C68B0"/>
    <w:rsid w:val="004C69F2"/>
    <w:rsid w:val="004D1461"/>
    <w:rsid w:val="004D2980"/>
    <w:rsid w:val="004D3A71"/>
    <w:rsid w:val="004D3C24"/>
    <w:rsid w:val="004D3CE4"/>
    <w:rsid w:val="004D5E26"/>
    <w:rsid w:val="004D7001"/>
    <w:rsid w:val="004D78C4"/>
    <w:rsid w:val="004D7E51"/>
    <w:rsid w:val="004E04EE"/>
    <w:rsid w:val="004E1B37"/>
    <w:rsid w:val="004E2704"/>
    <w:rsid w:val="004E423A"/>
    <w:rsid w:val="004E4D01"/>
    <w:rsid w:val="004F069A"/>
    <w:rsid w:val="004F173D"/>
    <w:rsid w:val="004F50AE"/>
    <w:rsid w:val="004F55BF"/>
    <w:rsid w:val="004F686A"/>
    <w:rsid w:val="00500964"/>
    <w:rsid w:val="00500C66"/>
    <w:rsid w:val="005011C6"/>
    <w:rsid w:val="005011E6"/>
    <w:rsid w:val="00501985"/>
    <w:rsid w:val="005026CF"/>
    <w:rsid w:val="0050309D"/>
    <w:rsid w:val="0050412A"/>
    <w:rsid w:val="00505B94"/>
    <w:rsid w:val="00505EDA"/>
    <w:rsid w:val="005060D9"/>
    <w:rsid w:val="005130EC"/>
    <w:rsid w:val="00513F8A"/>
    <w:rsid w:val="005146E6"/>
    <w:rsid w:val="0051571C"/>
    <w:rsid w:val="00516290"/>
    <w:rsid w:val="005169DC"/>
    <w:rsid w:val="0052164C"/>
    <w:rsid w:val="00521E6A"/>
    <w:rsid w:val="0052258D"/>
    <w:rsid w:val="00524632"/>
    <w:rsid w:val="00525000"/>
    <w:rsid w:val="005254E4"/>
    <w:rsid w:val="0052556C"/>
    <w:rsid w:val="005326D0"/>
    <w:rsid w:val="005330C2"/>
    <w:rsid w:val="00535A42"/>
    <w:rsid w:val="00537341"/>
    <w:rsid w:val="0053748E"/>
    <w:rsid w:val="00542ECA"/>
    <w:rsid w:val="00543E99"/>
    <w:rsid w:val="005449C6"/>
    <w:rsid w:val="005458F2"/>
    <w:rsid w:val="00547F4B"/>
    <w:rsid w:val="005507A6"/>
    <w:rsid w:val="00554056"/>
    <w:rsid w:val="00554C07"/>
    <w:rsid w:val="005556A1"/>
    <w:rsid w:val="00555E7C"/>
    <w:rsid w:val="00561557"/>
    <w:rsid w:val="00563152"/>
    <w:rsid w:val="005643A3"/>
    <w:rsid w:val="00564D86"/>
    <w:rsid w:val="0056663A"/>
    <w:rsid w:val="00566B42"/>
    <w:rsid w:val="0057112B"/>
    <w:rsid w:val="0057165C"/>
    <w:rsid w:val="00571ED2"/>
    <w:rsid w:val="005722C6"/>
    <w:rsid w:val="00575F82"/>
    <w:rsid w:val="005768C7"/>
    <w:rsid w:val="00580FF8"/>
    <w:rsid w:val="005832B4"/>
    <w:rsid w:val="00585C8D"/>
    <w:rsid w:val="005862CC"/>
    <w:rsid w:val="005911FE"/>
    <w:rsid w:val="005914EE"/>
    <w:rsid w:val="0059312F"/>
    <w:rsid w:val="00593CF2"/>
    <w:rsid w:val="00595758"/>
    <w:rsid w:val="00596081"/>
    <w:rsid w:val="005A194A"/>
    <w:rsid w:val="005A3943"/>
    <w:rsid w:val="005A3E2C"/>
    <w:rsid w:val="005A4291"/>
    <w:rsid w:val="005A42E2"/>
    <w:rsid w:val="005A4C5E"/>
    <w:rsid w:val="005A51E6"/>
    <w:rsid w:val="005A6566"/>
    <w:rsid w:val="005A7FD5"/>
    <w:rsid w:val="005B17CE"/>
    <w:rsid w:val="005B1B0A"/>
    <w:rsid w:val="005B2851"/>
    <w:rsid w:val="005B7418"/>
    <w:rsid w:val="005C031D"/>
    <w:rsid w:val="005C03A9"/>
    <w:rsid w:val="005C175D"/>
    <w:rsid w:val="005C208C"/>
    <w:rsid w:val="005C2BFC"/>
    <w:rsid w:val="005C2CA0"/>
    <w:rsid w:val="005C324B"/>
    <w:rsid w:val="005C43E2"/>
    <w:rsid w:val="005C454A"/>
    <w:rsid w:val="005C4629"/>
    <w:rsid w:val="005C62F0"/>
    <w:rsid w:val="005C7009"/>
    <w:rsid w:val="005C74C9"/>
    <w:rsid w:val="005C7E95"/>
    <w:rsid w:val="005D1B14"/>
    <w:rsid w:val="005D257B"/>
    <w:rsid w:val="005D2D73"/>
    <w:rsid w:val="005D73FE"/>
    <w:rsid w:val="005D7872"/>
    <w:rsid w:val="005D7BD2"/>
    <w:rsid w:val="005E1D5C"/>
    <w:rsid w:val="005E25DC"/>
    <w:rsid w:val="005E3FC6"/>
    <w:rsid w:val="005E4D11"/>
    <w:rsid w:val="005E52AE"/>
    <w:rsid w:val="005E5607"/>
    <w:rsid w:val="005E567C"/>
    <w:rsid w:val="005E7CD5"/>
    <w:rsid w:val="005F1204"/>
    <w:rsid w:val="005F505E"/>
    <w:rsid w:val="005F54CC"/>
    <w:rsid w:val="005F6344"/>
    <w:rsid w:val="00600E5E"/>
    <w:rsid w:val="00601742"/>
    <w:rsid w:val="00602976"/>
    <w:rsid w:val="0060388D"/>
    <w:rsid w:val="00604231"/>
    <w:rsid w:val="00605209"/>
    <w:rsid w:val="006058BE"/>
    <w:rsid w:val="00605A62"/>
    <w:rsid w:val="00610C2F"/>
    <w:rsid w:val="006138E3"/>
    <w:rsid w:val="00613AB6"/>
    <w:rsid w:val="00614D6A"/>
    <w:rsid w:val="00617859"/>
    <w:rsid w:val="00617D9B"/>
    <w:rsid w:val="006238FE"/>
    <w:rsid w:val="00625805"/>
    <w:rsid w:val="0062615F"/>
    <w:rsid w:val="00627AC4"/>
    <w:rsid w:val="0063253B"/>
    <w:rsid w:val="00635CC6"/>
    <w:rsid w:val="006363C8"/>
    <w:rsid w:val="00636995"/>
    <w:rsid w:val="00637AB8"/>
    <w:rsid w:val="00637FC2"/>
    <w:rsid w:val="0064281E"/>
    <w:rsid w:val="0064370D"/>
    <w:rsid w:val="00643771"/>
    <w:rsid w:val="006439B3"/>
    <w:rsid w:val="006443C3"/>
    <w:rsid w:val="006447D7"/>
    <w:rsid w:val="00644946"/>
    <w:rsid w:val="00645C7B"/>
    <w:rsid w:val="0064618B"/>
    <w:rsid w:val="00646AB8"/>
    <w:rsid w:val="00647BD9"/>
    <w:rsid w:val="006503DB"/>
    <w:rsid w:val="0065255B"/>
    <w:rsid w:val="00652B76"/>
    <w:rsid w:val="006536B9"/>
    <w:rsid w:val="00653CE3"/>
    <w:rsid w:val="00654A3E"/>
    <w:rsid w:val="0065534B"/>
    <w:rsid w:val="0065799A"/>
    <w:rsid w:val="006624A7"/>
    <w:rsid w:val="00663881"/>
    <w:rsid w:val="00664276"/>
    <w:rsid w:val="0066515F"/>
    <w:rsid w:val="006668AF"/>
    <w:rsid w:val="0067141B"/>
    <w:rsid w:val="00671919"/>
    <w:rsid w:val="00674EC9"/>
    <w:rsid w:val="006758F6"/>
    <w:rsid w:val="00676DE2"/>
    <w:rsid w:val="00681D13"/>
    <w:rsid w:val="0068200F"/>
    <w:rsid w:val="0068299F"/>
    <w:rsid w:val="00686439"/>
    <w:rsid w:val="00691206"/>
    <w:rsid w:val="00691C51"/>
    <w:rsid w:val="00693CE4"/>
    <w:rsid w:val="0069403F"/>
    <w:rsid w:val="00694799"/>
    <w:rsid w:val="00695622"/>
    <w:rsid w:val="00696C14"/>
    <w:rsid w:val="006A1E0E"/>
    <w:rsid w:val="006A34A5"/>
    <w:rsid w:val="006A6051"/>
    <w:rsid w:val="006A6742"/>
    <w:rsid w:val="006A7CC6"/>
    <w:rsid w:val="006B2630"/>
    <w:rsid w:val="006B31D9"/>
    <w:rsid w:val="006B336E"/>
    <w:rsid w:val="006B4661"/>
    <w:rsid w:val="006C0102"/>
    <w:rsid w:val="006C07D4"/>
    <w:rsid w:val="006C0C95"/>
    <w:rsid w:val="006C0CE6"/>
    <w:rsid w:val="006C204E"/>
    <w:rsid w:val="006C33FE"/>
    <w:rsid w:val="006C3911"/>
    <w:rsid w:val="006C41AD"/>
    <w:rsid w:val="006C5D75"/>
    <w:rsid w:val="006D04BD"/>
    <w:rsid w:val="006D06ED"/>
    <w:rsid w:val="006D1F7A"/>
    <w:rsid w:val="006D3294"/>
    <w:rsid w:val="006D49C7"/>
    <w:rsid w:val="006D4B62"/>
    <w:rsid w:val="006D51CB"/>
    <w:rsid w:val="006D5A84"/>
    <w:rsid w:val="006D7180"/>
    <w:rsid w:val="006D726B"/>
    <w:rsid w:val="006D788A"/>
    <w:rsid w:val="006E186C"/>
    <w:rsid w:val="006E1B2E"/>
    <w:rsid w:val="006E433B"/>
    <w:rsid w:val="006E5608"/>
    <w:rsid w:val="006E679E"/>
    <w:rsid w:val="006E7899"/>
    <w:rsid w:val="006E7C78"/>
    <w:rsid w:val="006F23D2"/>
    <w:rsid w:val="006F25CC"/>
    <w:rsid w:val="006F27F4"/>
    <w:rsid w:val="006F2E23"/>
    <w:rsid w:val="006F3AA2"/>
    <w:rsid w:val="006F7024"/>
    <w:rsid w:val="006F7F40"/>
    <w:rsid w:val="00702808"/>
    <w:rsid w:val="00703A7C"/>
    <w:rsid w:val="00703D54"/>
    <w:rsid w:val="007057EF"/>
    <w:rsid w:val="00707339"/>
    <w:rsid w:val="007076DA"/>
    <w:rsid w:val="00707860"/>
    <w:rsid w:val="00711B21"/>
    <w:rsid w:val="00712844"/>
    <w:rsid w:val="00713073"/>
    <w:rsid w:val="00713185"/>
    <w:rsid w:val="0071613C"/>
    <w:rsid w:val="007207BF"/>
    <w:rsid w:val="00725CB0"/>
    <w:rsid w:val="00726753"/>
    <w:rsid w:val="00727EA3"/>
    <w:rsid w:val="0073275F"/>
    <w:rsid w:val="00734BA3"/>
    <w:rsid w:val="00735D75"/>
    <w:rsid w:val="0073674C"/>
    <w:rsid w:val="0073685C"/>
    <w:rsid w:val="0073693D"/>
    <w:rsid w:val="00737EA5"/>
    <w:rsid w:val="007400AE"/>
    <w:rsid w:val="00741F3E"/>
    <w:rsid w:val="00743869"/>
    <w:rsid w:val="00743AA8"/>
    <w:rsid w:val="00744666"/>
    <w:rsid w:val="0074597E"/>
    <w:rsid w:val="00747D75"/>
    <w:rsid w:val="00750840"/>
    <w:rsid w:val="0075216B"/>
    <w:rsid w:val="00752187"/>
    <w:rsid w:val="00754347"/>
    <w:rsid w:val="00756AFB"/>
    <w:rsid w:val="00757617"/>
    <w:rsid w:val="00762406"/>
    <w:rsid w:val="00763AD8"/>
    <w:rsid w:val="00763B59"/>
    <w:rsid w:val="00765016"/>
    <w:rsid w:val="00767EC5"/>
    <w:rsid w:val="00770159"/>
    <w:rsid w:val="0077100C"/>
    <w:rsid w:val="00772BDB"/>
    <w:rsid w:val="00775BD6"/>
    <w:rsid w:val="00776472"/>
    <w:rsid w:val="00776C39"/>
    <w:rsid w:val="0077726E"/>
    <w:rsid w:val="007808ED"/>
    <w:rsid w:val="00781D00"/>
    <w:rsid w:val="007821DB"/>
    <w:rsid w:val="007838C0"/>
    <w:rsid w:val="00785865"/>
    <w:rsid w:val="007872C6"/>
    <w:rsid w:val="007900F3"/>
    <w:rsid w:val="00791B69"/>
    <w:rsid w:val="0079217A"/>
    <w:rsid w:val="00793620"/>
    <w:rsid w:val="0079498E"/>
    <w:rsid w:val="00794C24"/>
    <w:rsid w:val="007950FB"/>
    <w:rsid w:val="00795A74"/>
    <w:rsid w:val="00795BE2"/>
    <w:rsid w:val="00795C30"/>
    <w:rsid w:val="00796312"/>
    <w:rsid w:val="0079669A"/>
    <w:rsid w:val="007966CD"/>
    <w:rsid w:val="00796F10"/>
    <w:rsid w:val="007973AF"/>
    <w:rsid w:val="007975A2"/>
    <w:rsid w:val="007A1990"/>
    <w:rsid w:val="007A1CDD"/>
    <w:rsid w:val="007A2CA2"/>
    <w:rsid w:val="007A6655"/>
    <w:rsid w:val="007A6AB5"/>
    <w:rsid w:val="007B2B46"/>
    <w:rsid w:val="007B30F2"/>
    <w:rsid w:val="007B377F"/>
    <w:rsid w:val="007B4274"/>
    <w:rsid w:val="007B5117"/>
    <w:rsid w:val="007B534B"/>
    <w:rsid w:val="007B599D"/>
    <w:rsid w:val="007B59FE"/>
    <w:rsid w:val="007B6A74"/>
    <w:rsid w:val="007B70B0"/>
    <w:rsid w:val="007B71C2"/>
    <w:rsid w:val="007B73CF"/>
    <w:rsid w:val="007C2803"/>
    <w:rsid w:val="007C29D5"/>
    <w:rsid w:val="007C2DC8"/>
    <w:rsid w:val="007C3776"/>
    <w:rsid w:val="007C40CF"/>
    <w:rsid w:val="007C5E45"/>
    <w:rsid w:val="007D097E"/>
    <w:rsid w:val="007D0B90"/>
    <w:rsid w:val="007D196A"/>
    <w:rsid w:val="007D22F8"/>
    <w:rsid w:val="007D230B"/>
    <w:rsid w:val="007D2D80"/>
    <w:rsid w:val="007D3681"/>
    <w:rsid w:val="007D3824"/>
    <w:rsid w:val="007D49A1"/>
    <w:rsid w:val="007D59DD"/>
    <w:rsid w:val="007E03BB"/>
    <w:rsid w:val="007E10A8"/>
    <w:rsid w:val="007E1F4F"/>
    <w:rsid w:val="007E1F66"/>
    <w:rsid w:val="007E226C"/>
    <w:rsid w:val="007E22F3"/>
    <w:rsid w:val="007E311B"/>
    <w:rsid w:val="007E4C10"/>
    <w:rsid w:val="007E54EE"/>
    <w:rsid w:val="007E6501"/>
    <w:rsid w:val="007E6AB0"/>
    <w:rsid w:val="007E6C25"/>
    <w:rsid w:val="007F12C6"/>
    <w:rsid w:val="007F32D7"/>
    <w:rsid w:val="007F40B1"/>
    <w:rsid w:val="007F4532"/>
    <w:rsid w:val="007F76E3"/>
    <w:rsid w:val="00800051"/>
    <w:rsid w:val="00801632"/>
    <w:rsid w:val="0080520B"/>
    <w:rsid w:val="008054E6"/>
    <w:rsid w:val="00805B84"/>
    <w:rsid w:val="0080649E"/>
    <w:rsid w:val="00807468"/>
    <w:rsid w:val="00807B3E"/>
    <w:rsid w:val="00810D4A"/>
    <w:rsid w:val="00811247"/>
    <w:rsid w:val="0081139F"/>
    <w:rsid w:val="008124C0"/>
    <w:rsid w:val="00812D18"/>
    <w:rsid w:val="00812F82"/>
    <w:rsid w:val="00813874"/>
    <w:rsid w:val="008146FD"/>
    <w:rsid w:val="00814AD9"/>
    <w:rsid w:val="00815C81"/>
    <w:rsid w:val="008166C3"/>
    <w:rsid w:val="00816AAB"/>
    <w:rsid w:val="00820402"/>
    <w:rsid w:val="00821CBF"/>
    <w:rsid w:val="00824045"/>
    <w:rsid w:val="008243B2"/>
    <w:rsid w:val="00824EDF"/>
    <w:rsid w:val="00824F08"/>
    <w:rsid w:val="008250C7"/>
    <w:rsid w:val="00825C56"/>
    <w:rsid w:val="00825DDB"/>
    <w:rsid w:val="0082628B"/>
    <w:rsid w:val="008307AE"/>
    <w:rsid w:val="008310DF"/>
    <w:rsid w:val="00831105"/>
    <w:rsid w:val="008320BF"/>
    <w:rsid w:val="00833C5A"/>
    <w:rsid w:val="00835487"/>
    <w:rsid w:val="00835DD8"/>
    <w:rsid w:val="008379C8"/>
    <w:rsid w:val="008418DD"/>
    <w:rsid w:val="00844A4B"/>
    <w:rsid w:val="00844EB9"/>
    <w:rsid w:val="00846423"/>
    <w:rsid w:val="00846AD0"/>
    <w:rsid w:val="00847C60"/>
    <w:rsid w:val="00852561"/>
    <w:rsid w:val="00852928"/>
    <w:rsid w:val="00854676"/>
    <w:rsid w:val="00855F41"/>
    <w:rsid w:val="0085691F"/>
    <w:rsid w:val="00860C4B"/>
    <w:rsid w:val="00862F02"/>
    <w:rsid w:val="00865296"/>
    <w:rsid w:val="008669D2"/>
    <w:rsid w:val="00867086"/>
    <w:rsid w:val="0086738D"/>
    <w:rsid w:val="00873B0F"/>
    <w:rsid w:val="00874663"/>
    <w:rsid w:val="00874FED"/>
    <w:rsid w:val="00877143"/>
    <w:rsid w:val="0087740E"/>
    <w:rsid w:val="0087748C"/>
    <w:rsid w:val="008777D8"/>
    <w:rsid w:val="0088012E"/>
    <w:rsid w:val="00881716"/>
    <w:rsid w:val="00881A33"/>
    <w:rsid w:val="00881B95"/>
    <w:rsid w:val="008831CA"/>
    <w:rsid w:val="0089058C"/>
    <w:rsid w:val="00890A91"/>
    <w:rsid w:val="0089272A"/>
    <w:rsid w:val="00892A9A"/>
    <w:rsid w:val="008935ED"/>
    <w:rsid w:val="0089437D"/>
    <w:rsid w:val="00894890"/>
    <w:rsid w:val="00897247"/>
    <w:rsid w:val="008A1E77"/>
    <w:rsid w:val="008A40DB"/>
    <w:rsid w:val="008A4135"/>
    <w:rsid w:val="008A5C22"/>
    <w:rsid w:val="008B042F"/>
    <w:rsid w:val="008B08F0"/>
    <w:rsid w:val="008B0A81"/>
    <w:rsid w:val="008B1397"/>
    <w:rsid w:val="008B2274"/>
    <w:rsid w:val="008B262C"/>
    <w:rsid w:val="008B3223"/>
    <w:rsid w:val="008B6FC8"/>
    <w:rsid w:val="008B7A19"/>
    <w:rsid w:val="008B7EC1"/>
    <w:rsid w:val="008C15E1"/>
    <w:rsid w:val="008C19E9"/>
    <w:rsid w:val="008C1E90"/>
    <w:rsid w:val="008C26E9"/>
    <w:rsid w:val="008C431D"/>
    <w:rsid w:val="008C774E"/>
    <w:rsid w:val="008D33AB"/>
    <w:rsid w:val="008D5B42"/>
    <w:rsid w:val="008D6D9D"/>
    <w:rsid w:val="008D793E"/>
    <w:rsid w:val="008E0789"/>
    <w:rsid w:val="008E1297"/>
    <w:rsid w:val="008E1340"/>
    <w:rsid w:val="008E2CC3"/>
    <w:rsid w:val="008E2E7E"/>
    <w:rsid w:val="008E422C"/>
    <w:rsid w:val="008E43D0"/>
    <w:rsid w:val="008E4B04"/>
    <w:rsid w:val="008E548B"/>
    <w:rsid w:val="008F1691"/>
    <w:rsid w:val="008F22E2"/>
    <w:rsid w:val="008F336B"/>
    <w:rsid w:val="008F557C"/>
    <w:rsid w:val="008F5698"/>
    <w:rsid w:val="008F639E"/>
    <w:rsid w:val="008F6ED4"/>
    <w:rsid w:val="00900C6C"/>
    <w:rsid w:val="00901EF2"/>
    <w:rsid w:val="00903EB6"/>
    <w:rsid w:val="00903F11"/>
    <w:rsid w:val="00904B62"/>
    <w:rsid w:val="00906D1D"/>
    <w:rsid w:val="009079D0"/>
    <w:rsid w:val="009105ED"/>
    <w:rsid w:val="00911F24"/>
    <w:rsid w:val="00913D0A"/>
    <w:rsid w:val="009151EB"/>
    <w:rsid w:val="00915C06"/>
    <w:rsid w:val="00924972"/>
    <w:rsid w:val="00925164"/>
    <w:rsid w:val="0092550A"/>
    <w:rsid w:val="00926A61"/>
    <w:rsid w:val="00930B47"/>
    <w:rsid w:val="00930F30"/>
    <w:rsid w:val="00931E46"/>
    <w:rsid w:val="00932E1E"/>
    <w:rsid w:val="00932F95"/>
    <w:rsid w:val="00934068"/>
    <w:rsid w:val="00936826"/>
    <w:rsid w:val="00936FF4"/>
    <w:rsid w:val="0093736A"/>
    <w:rsid w:val="00937854"/>
    <w:rsid w:val="00937C0B"/>
    <w:rsid w:val="00940FAA"/>
    <w:rsid w:val="00943D85"/>
    <w:rsid w:val="009441D7"/>
    <w:rsid w:val="00945BEA"/>
    <w:rsid w:val="009469E0"/>
    <w:rsid w:val="00947516"/>
    <w:rsid w:val="00947527"/>
    <w:rsid w:val="00951B26"/>
    <w:rsid w:val="00951C4D"/>
    <w:rsid w:val="009520C8"/>
    <w:rsid w:val="00952E03"/>
    <w:rsid w:val="009547E2"/>
    <w:rsid w:val="009551C3"/>
    <w:rsid w:val="00956488"/>
    <w:rsid w:val="00956D88"/>
    <w:rsid w:val="00956F5F"/>
    <w:rsid w:val="009610DC"/>
    <w:rsid w:val="009617E3"/>
    <w:rsid w:val="00961C98"/>
    <w:rsid w:val="009625FC"/>
    <w:rsid w:val="00965A2B"/>
    <w:rsid w:val="00966B44"/>
    <w:rsid w:val="00967F1A"/>
    <w:rsid w:val="0097154F"/>
    <w:rsid w:val="009717F1"/>
    <w:rsid w:val="00972272"/>
    <w:rsid w:val="00973924"/>
    <w:rsid w:val="009756F3"/>
    <w:rsid w:val="00977DD7"/>
    <w:rsid w:val="00980847"/>
    <w:rsid w:val="0098163D"/>
    <w:rsid w:val="00981986"/>
    <w:rsid w:val="00983F1D"/>
    <w:rsid w:val="00984E63"/>
    <w:rsid w:val="00985996"/>
    <w:rsid w:val="00985B4A"/>
    <w:rsid w:val="00986978"/>
    <w:rsid w:val="00987060"/>
    <w:rsid w:val="00990645"/>
    <w:rsid w:val="00993C4C"/>
    <w:rsid w:val="009949A3"/>
    <w:rsid w:val="00994F74"/>
    <w:rsid w:val="00995226"/>
    <w:rsid w:val="0099563A"/>
    <w:rsid w:val="00995D56"/>
    <w:rsid w:val="009A00EB"/>
    <w:rsid w:val="009A13F4"/>
    <w:rsid w:val="009A2789"/>
    <w:rsid w:val="009A44BE"/>
    <w:rsid w:val="009A565D"/>
    <w:rsid w:val="009A567F"/>
    <w:rsid w:val="009A6343"/>
    <w:rsid w:val="009A738A"/>
    <w:rsid w:val="009B029F"/>
    <w:rsid w:val="009B0C2A"/>
    <w:rsid w:val="009B13CE"/>
    <w:rsid w:val="009B27F8"/>
    <w:rsid w:val="009B4A8B"/>
    <w:rsid w:val="009B6413"/>
    <w:rsid w:val="009B6536"/>
    <w:rsid w:val="009B689F"/>
    <w:rsid w:val="009B74FB"/>
    <w:rsid w:val="009C0244"/>
    <w:rsid w:val="009C0660"/>
    <w:rsid w:val="009C077E"/>
    <w:rsid w:val="009C38AA"/>
    <w:rsid w:val="009C4845"/>
    <w:rsid w:val="009C5287"/>
    <w:rsid w:val="009C5D95"/>
    <w:rsid w:val="009C6DC7"/>
    <w:rsid w:val="009C7314"/>
    <w:rsid w:val="009D0B2E"/>
    <w:rsid w:val="009D34DE"/>
    <w:rsid w:val="009D3674"/>
    <w:rsid w:val="009D5D9F"/>
    <w:rsid w:val="009E0FA2"/>
    <w:rsid w:val="009E1409"/>
    <w:rsid w:val="009E2244"/>
    <w:rsid w:val="009E2F8E"/>
    <w:rsid w:val="009E30D1"/>
    <w:rsid w:val="009E6A42"/>
    <w:rsid w:val="009E6FDE"/>
    <w:rsid w:val="009E7498"/>
    <w:rsid w:val="009F047B"/>
    <w:rsid w:val="009F07C6"/>
    <w:rsid w:val="009F0806"/>
    <w:rsid w:val="009F08EB"/>
    <w:rsid w:val="009F1AA5"/>
    <w:rsid w:val="009F317B"/>
    <w:rsid w:val="009F3F2B"/>
    <w:rsid w:val="009F4324"/>
    <w:rsid w:val="009F57FD"/>
    <w:rsid w:val="009F768F"/>
    <w:rsid w:val="009F7F40"/>
    <w:rsid w:val="009F7F9F"/>
    <w:rsid w:val="00A00E91"/>
    <w:rsid w:val="00A01344"/>
    <w:rsid w:val="00A01757"/>
    <w:rsid w:val="00A01E02"/>
    <w:rsid w:val="00A02E26"/>
    <w:rsid w:val="00A04026"/>
    <w:rsid w:val="00A05BA0"/>
    <w:rsid w:val="00A06664"/>
    <w:rsid w:val="00A06F90"/>
    <w:rsid w:val="00A07C3F"/>
    <w:rsid w:val="00A117EC"/>
    <w:rsid w:val="00A12640"/>
    <w:rsid w:val="00A159C9"/>
    <w:rsid w:val="00A167FB"/>
    <w:rsid w:val="00A178EE"/>
    <w:rsid w:val="00A17F41"/>
    <w:rsid w:val="00A20093"/>
    <w:rsid w:val="00A21267"/>
    <w:rsid w:val="00A2155E"/>
    <w:rsid w:val="00A21B70"/>
    <w:rsid w:val="00A21D02"/>
    <w:rsid w:val="00A21DDB"/>
    <w:rsid w:val="00A237A8"/>
    <w:rsid w:val="00A23CF6"/>
    <w:rsid w:val="00A255AA"/>
    <w:rsid w:val="00A256BC"/>
    <w:rsid w:val="00A2690C"/>
    <w:rsid w:val="00A2792F"/>
    <w:rsid w:val="00A30970"/>
    <w:rsid w:val="00A315E4"/>
    <w:rsid w:val="00A31971"/>
    <w:rsid w:val="00A31D96"/>
    <w:rsid w:val="00A31FEE"/>
    <w:rsid w:val="00A33C55"/>
    <w:rsid w:val="00A34053"/>
    <w:rsid w:val="00A343A5"/>
    <w:rsid w:val="00A416F1"/>
    <w:rsid w:val="00A425B0"/>
    <w:rsid w:val="00A42875"/>
    <w:rsid w:val="00A43C64"/>
    <w:rsid w:val="00A44DC1"/>
    <w:rsid w:val="00A450C7"/>
    <w:rsid w:val="00A457E3"/>
    <w:rsid w:val="00A47A98"/>
    <w:rsid w:val="00A47EE7"/>
    <w:rsid w:val="00A50810"/>
    <w:rsid w:val="00A5091F"/>
    <w:rsid w:val="00A50B43"/>
    <w:rsid w:val="00A50E96"/>
    <w:rsid w:val="00A518F3"/>
    <w:rsid w:val="00A51C87"/>
    <w:rsid w:val="00A52FD5"/>
    <w:rsid w:val="00A531CE"/>
    <w:rsid w:val="00A54197"/>
    <w:rsid w:val="00A55ACB"/>
    <w:rsid w:val="00A55C69"/>
    <w:rsid w:val="00A572B5"/>
    <w:rsid w:val="00A61821"/>
    <w:rsid w:val="00A6283A"/>
    <w:rsid w:val="00A65B14"/>
    <w:rsid w:val="00A67C62"/>
    <w:rsid w:val="00A67CA5"/>
    <w:rsid w:val="00A70FBB"/>
    <w:rsid w:val="00A70FC0"/>
    <w:rsid w:val="00A74988"/>
    <w:rsid w:val="00A74E20"/>
    <w:rsid w:val="00A75CCD"/>
    <w:rsid w:val="00A76B04"/>
    <w:rsid w:val="00A76C38"/>
    <w:rsid w:val="00A80506"/>
    <w:rsid w:val="00A806AE"/>
    <w:rsid w:val="00A8118F"/>
    <w:rsid w:val="00A82652"/>
    <w:rsid w:val="00A83458"/>
    <w:rsid w:val="00A848BF"/>
    <w:rsid w:val="00A86C39"/>
    <w:rsid w:val="00A86C41"/>
    <w:rsid w:val="00A87E05"/>
    <w:rsid w:val="00A90148"/>
    <w:rsid w:val="00A9046C"/>
    <w:rsid w:val="00A90A56"/>
    <w:rsid w:val="00A94E6C"/>
    <w:rsid w:val="00A95BE6"/>
    <w:rsid w:val="00A9607C"/>
    <w:rsid w:val="00AA0D8C"/>
    <w:rsid w:val="00AA25BC"/>
    <w:rsid w:val="00AA3077"/>
    <w:rsid w:val="00AA31DC"/>
    <w:rsid w:val="00AA46AF"/>
    <w:rsid w:val="00AA601B"/>
    <w:rsid w:val="00AB1135"/>
    <w:rsid w:val="00AB23D8"/>
    <w:rsid w:val="00AB4108"/>
    <w:rsid w:val="00AB4E9E"/>
    <w:rsid w:val="00AB5981"/>
    <w:rsid w:val="00AB6C99"/>
    <w:rsid w:val="00AB743F"/>
    <w:rsid w:val="00AC11D5"/>
    <w:rsid w:val="00AC15E5"/>
    <w:rsid w:val="00AC22BB"/>
    <w:rsid w:val="00AC3957"/>
    <w:rsid w:val="00AC4080"/>
    <w:rsid w:val="00AC4862"/>
    <w:rsid w:val="00AC599A"/>
    <w:rsid w:val="00AC5A6D"/>
    <w:rsid w:val="00AC5D73"/>
    <w:rsid w:val="00AC73AD"/>
    <w:rsid w:val="00AD1CF4"/>
    <w:rsid w:val="00AD260D"/>
    <w:rsid w:val="00AD477A"/>
    <w:rsid w:val="00AD50DE"/>
    <w:rsid w:val="00AD6A0E"/>
    <w:rsid w:val="00AD705A"/>
    <w:rsid w:val="00AD78F9"/>
    <w:rsid w:val="00AD79FF"/>
    <w:rsid w:val="00AE008D"/>
    <w:rsid w:val="00AE0355"/>
    <w:rsid w:val="00AE30E0"/>
    <w:rsid w:val="00AE346F"/>
    <w:rsid w:val="00AE5B05"/>
    <w:rsid w:val="00AF0B38"/>
    <w:rsid w:val="00AF2329"/>
    <w:rsid w:val="00AF3660"/>
    <w:rsid w:val="00AF7A20"/>
    <w:rsid w:val="00B01312"/>
    <w:rsid w:val="00B01547"/>
    <w:rsid w:val="00B024AB"/>
    <w:rsid w:val="00B02D44"/>
    <w:rsid w:val="00B02D98"/>
    <w:rsid w:val="00B03011"/>
    <w:rsid w:val="00B05018"/>
    <w:rsid w:val="00B06819"/>
    <w:rsid w:val="00B070AE"/>
    <w:rsid w:val="00B12CC1"/>
    <w:rsid w:val="00B13A5C"/>
    <w:rsid w:val="00B15D2F"/>
    <w:rsid w:val="00B16399"/>
    <w:rsid w:val="00B165B1"/>
    <w:rsid w:val="00B1760F"/>
    <w:rsid w:val="00B20435"/>
    <w:rsid w:val="00B2586D"/>
    <w:rsid w:val="00B25AE4"/>
    <w:rsid w:val="00B25E8F"/>
    <w:rsid w:val="00B264C5"/>
    <w:rsid w:val="00B26909"/>
    <w:rsid w:val="00B27664"/>
    <w:rsid w:val="00B31169"/>
    <w:rsid w:val="00B31828"/>
    <w:rsid w:val="00B32B1D"/>
    <w:rsid w:val="00B33183"/>
    <w:rsid w:val="00B35415"/>
    <w:rsid w:val="00B373B2"/>
    <w:rsid w:val="00B42BEE"/>
    <w:rsid w:val="00B452B7"/>
    <w:rsid w:val="00B458E3"/>
    <w:rsid w:val="00B46094"/>
    <w:rsid w:val="00B518FF"/>
    <w:rsid w:val="00B52636"/>
    <w:rsid w:val="00B54F17"/>
    <w:rsid w:val="00B57B51"/>
    <w:rsid w:val="00B57D47"/>
    <w:rsid w:val="00B61262"/>
    <w:rsid w:val="00B6210E"/>
    <w:rsid w:val="00B6246F"/>
    <w:rsid w:val="00B632E3"/>
    <w:rsid w:val="00B64DC8"/>
    <w:rsid w:val="00B6520A"/>
    <w:rsid w:val="00B65AC9"/>
    <w:rsid w:val="00B67A7B"/>
    <w:rsid w:val="00B70688"/>
    <w:rsid w:val="00B73936"/>
    <w:rsid w:val="00B741F0"/>
    <w:rsid w:val="00B74DCB"/>
    <w:rsid w:val="00B75288"/>
    <w:rsid w:val="00B761F1"/>
    <w:rsid w:val="00B77091"/>
    <w:rsid w:val="00B837C1"/>
    <w:rsid w:val="00B839D1"/>
    <w:rsid w:val="00B841E0"/>
    <w:rsid w:val="00B8420F"/>
    <w:rsid w:val="00B860BA"/>
    <w:rsid w:val="00B865F5"/>
    <w:rsid w:val="00B91783"/>
    <w:rsid w:val="00B91DFE"/>
    <w:rsid w:val="00B946A2"/>
    <w:rsid w:val="00B966E9"/>
    <w:rsid w:val="00B96BC7"/>
    <w:rsid w:val="00B97229"/>
    <w:rsid w:val="00BA08A3"/>
    <w:rsid w:val="00BA33F9"/>
    <w:rsid w:val="00BA342A"/>
    <w:rsid w:val="00BA4D3F"/>
    <w:rsid w:val="00BA5177"/>
    <w:rsid w:val="00BA5AB3"/>
    <w:rsid w:val="00BB03FA"/>
    <w:rsid w:val="00BB20C3"/>
    <w:rsid w:val="00BB227E"/>
    <w:rsid w:val="00BB615D"/>
    <w:rsid w:val="00BB6594"/>
    <w:rsid w:val="00BB75BD"/>
    <w:rsid w:val="00BB79BB"/>
    <w:rsid w:val="00BB7AE0"/>
    <w:rsid w:val="00BB7E3D"/>
    <w:rsid w:val="00BC1964"/>
    <w:rsid w:val="00BC2319"/>
    <w:rsid w:val="00BC286E"/>
    <w:rsid w:val="00BC3CB2"/>
    <w:rsid w:val="00BC3CD1"/>
    <w:rsid w:val="00BC4A6A"/>
    <w:rsid w:val="00BC5B79"/>
    <w:rsid w:val="00BC5EC6"/>
    <w:rsid w:val="00BC5F0E"/>
    <w:rsid w:val="00BC6E8E"/>
    <w:rsid w:val="00BD2211"/>
    <w:rsid w:val="00BD221D"/>
    <w:rsid w:val="00BD2FC9"/>
    <w:rsid w:val="00BD3E65"/>
    <w:rsid w:val="00BD5934"/>
    <w:rsid w:val="00BD6796"/>
    <w:rsid w:val="00BD7785"/>
    <w:rsid w:val="00BD7C33"/>
    <w:rsid w:val="00BD7C6B"/>
    <w:rsid w:val="00BE15D2"/>
    <w:rsid w:val="00BE3B2E"/>
    <w:rsid w:val="00BE3EB8"/>
    <w:rsid w:val="00BE69A9"/>
    <w:rsid w:val="00BF11A9"/>
    <w:rsid w:val="00BF1CBD"/>
    <w:rsid w:val="00BF34D3"/>
    <w:rsid w:val="00BF52C4"/>
    <w:rsid w:val="00BF61DB"/>
    <w:rsid w:val="00C006BE"/>
    <w:rsid w:val="00C01FAA"/>
    <w:rsid w:val="00C03BB4"/>
    <w:rsid w:val="00C04075"/>
    <w:rsid w:val="00C05B8E"/>
    <w:rsid w:val="00C06859"/>
    <w:rsid w:val="00C073E1"/>
    <w:rsid w:val="00C07EF1"/>
    <w:rsid w:val="00C1063D"/>
    <w:rsid w:val="00C12442"/>
    <w:rsid w:val="00C12824"/>
    <w:rsid w:val="00C131AE"/>
    <w:rsid w:val="00C149ED"/>
    <w:rsid w:val="00C15E0E"/>
    <w:rsid w:val="00C16747"/>
    <w:rsid w:val="00C176A3"/>
    <w:rsid w:val="00C216F0"/>
    <w:rsid w:val="00C2348F"/>
    <w:rsid w:val="00C23CB2"/>
    <w:rsid w:val="00C23FB5"/>
    <w:rsid w:val="00C24A1A"/>
    <w:rsid w:val="00C24FE3"/>
    <w:rsid w:val="00C3087D"/>
    <w:rsid w:val="00C331BB"/>
    <w:rsid w:val="00C3494E"/>
    <w:rsid w:val="00C41861"/>
    <w:rsid w:val="00C41A08"/>
    <w:rsid w:val="00C41C06"/>
    <w:rsid w:val="00C422B9"/>
    <w:rsid w:val="00C4241E"/>
    <w:rsid w:val="00C42DB4"/>
    <w:rsid w:val="00C435AE"/>
    <w:rsid w:val="00C45679"/>
    <w:rsid w:val="00C456EE"/>
    <w:rsid w:val="00C45886"/>
    <w:rsid w:val="00C46307"/>
    <w:rsid w:val="00C46E3A"/>
    <w:rsid w:val="00C47F5C"/>
    <w:rsid w:val="00C50955"/>
    <w:rsid w:val="00C50EFE"/>
    <w:rsid w:val="00C5336F"/>
    <w:rsid w:val="00C61514"/>
    <w:rsid w:val="00C615A3"/>
    <w:rsid w:val="00C616FC"/>
    <w:rsid w:val="00C62659"/>
    <w:rsid w:val="00C635DA"/>
    <w:rsid w:val="00C638DE"/>
    <w:rsid w:val="00C639E7"/>
    <w:rsid w:val="00C63B20"/>
    <w:rsid w:val="00C63BC0"/>
    <w:rsid w:val="00C6509E"/>
    <w:rsid w:val="00C656E9"/>
    <w:rsid w:val="00C659BE"/>
    <w:rsid w:val="00C6729B"/>
    <w:rsid w:val="00C67AF8"/>
    <w:rsid w:val="00C80300"/>
    <w:rsid w:val="00C80EE1"/>
    <w:rsid w:val="00C82307"/>
    <w:rsid w:val="00C83B4E"/>
    <w:rsid w:val="00C8613B"/>
    <w:rsid w:val="00C87304"/>
    <w:rsid w:val="00C873E2"/>
    <w:rsid w:val="00C92622"/>
    <w:rsid w:val="00C93BEA"/>
    <w:rsid w:val="00C96CC7"/>
    <w:rsid w:val="00C97228"/>
    <w:rsid w:val="00C9780D"/>
    <w:rsid w:val="00CA02DA"/>
    <w:rsid w:val="00CA044C"/>
    <w:rsid w:val="00CA1A54"/>
    <w:rsid w:val="00CA3342"/>
    <w:rsid w:val="00CA63E4"/>
    <w:rsid w:val="00CA6429"/>
    <w:rsid w:val="00CA7BA4"/>
    <w:rsid w:val="00CB019E"/>
    <w:rsid w:val="00CB0A91"/>
    <w:rsid w:val="00CB21C7"/>
    <w:rsid w:val="00CB310B"/>
    <w:rsid w:val="00CB37D6"/>
    <w:rsid w:val="00CB6486"/>
    <w:rsid w:val="00CB7B15"/>
    <w:rsid w:val="00CB7EDA"/>
    <w:rsid w:val="00CC1C9A"/>
    <w:rsid w:val="00CC3000"/>
    <w:rsid w:val="00CC46B2"/>
    <w:rsid w:val="00CC5015"/>
    <w:rsid w:val="00CC55DB"/>
    <w:rsid w:val="00CC5718"/>
    <w:rsid w:val="00CC6983"/>
    <w:rsid w:val="00CD1352"/>
    <w:rsid w:val="00CD1CBE"/>
    <w:rsid w:val="00CD1E3E"/>
    <w:rsid w:val="00CD28D6"/>
    <w:rsid w:val="00CD32E2"/>
    <w:rsid w:val="00CD3480"/>
    <w:rsid w:val="00CD4B0B"/>
    <w:rsid w:val="00CD4F92"/>
    <w:rsid w:val="00CD6698"/>
    <w:rsid w:val="00CE1E5B"/>
    <w:rsid w:val="00CE214E"/>
    <w:rsid w:val="00CE6708"/>
    <w:rsid w:val="00CE7675"/>
    <w:rsid w:val="00CF173A"/>
    <w:rsid w:val="00CF1D92"/>
    <w:rsid w:val="00CF4D90"/>
    <w:rsid w:val="00CF5C33"/>
    <w:rsid w:val="00CF5D91"/>
    <w:rsid w:val="00CF6854"/>
    <w:rsid w:val="00CF73EE"/>
    <w:rsid w:val="00D00050"/>
    <w:rsid w:val="00D0025C"/>
    <w:rsid w:val="00D00DED"/>
    <w:rsid w:val="00D02494"/>
    <w:rsid w:val="00D0537F"/>
    <w:rsid w:val="00D05BEF"/>
    <w:rsid w:val="00D101A6"/>
    <w:rsid w:val="00D12172"/>
    <w:rsid w:val="00D122C5"/>
    <w:rsid w:val="00D12B8C"/>
    <w:rsid w:val="00D13CB0"/>
    <w:rsid w:val="00D15591"/>
    <w:rsid w:val="00D163BA"/>
    <w:rsid w:val="00D200F6"/>
    <w:rsid w:val="00D21646"/>
    <w:rsid w:val="00D22216"/>
    <w:rsid w:val="00D223FC"/>
    <w:rsid w:val="00D32CC4"/>
    <w:rsid w:val="00D3482E"/>
    <w:rsid w:val="00D3788C"/>
    <w:rsid w:val="00D40098"/>
    <w:rsid w:val="00D451B5"/>
    <w:rsid w:val="00D454F2"/>
    <w:rsid w:val="00D47CE9"/>
    <w:rsid w:val="00D501BF"/>
    <w:rsid w:val="00D52995"/>
    <w:rsid w:val="00D531BB"/>
    <w:rsid w:val="00D562EF"/>
    <w:rsid w:val="00D56D72"/>
    <w:rsid w:val="00D570FB"/>
    <w:rsid w:val="00D67CB9"/>
    <w:rsid w:val="00D7099E"/>
    <w:rsid w:val="00D71B50"/>
    <w:rsid w:val="00D72163"/>
    <w:rsid w:val="00D72ADE"/>
    <w:rsid w:val="00D73F91"/>
    <w:rsid w:val="00D75233"/>
    <w:rsid w:val="00D7532E"/>
    <w:rsid w:val="00D7728F"/>
    <w:rsid w:val="00D77696"/>
    <w:rsid w:val="00D77AC0"/>
    <w:rsid w:val="00D77D27"/>
    <w:rsid w:val="00D80931"/>
    <w:rsid w:val="00D81CC4"/>
    <w:rsid w:val="00D8375C"/>
    <w:rsid w:val="00D84DAB"/>
    <w:rsid w:val="00D85749"/>
    <w:rsid w:val="00D8705F"/>
    <w:rsid w:val="00D87775"/>
    <w:rsid w:val="00D87EDC"/>
    <w:rsid w:val="00D9192F"/>
    <w:rsid w:val="00D91D54"/>
    <w:rsid w:val="00D9292D"/>
    <w:rsid w:val="00D92A53"/>
    <w:rsid w:val="00D940A0"/>
    <w:rsid w:val="00D94A11"/>
    <w:rsid w:val="00D94F23"/>
    <w:rsid w:val="00D9765E"/>
    <w:rsid w:val="00DA0262"/>
    <w:rsid w:val="00DA0592"/>
    <w:rsid w:val="00DA1098"/>
    <w:rsid w:val="00DA20DE"/>
    <w:rsid w:val="00DA37D3"/>
    <w:rsid w:val="00DA3C16"/>
    <w:rsid w:val="00DA4591"/>
    <w:rsid w:val="00DA469C"/>
    <w:rsid w:val="00DA6430"/>
    <w:rsid w:val="00DA6A1A"/>
    <w:rsid w:val="00DA6DC2"/>
    <w:rsid w:val="00DA7028"/>
    <w:rsid w:val="00DB1D90"/>
    <w:rsid w:val="00DB315F"/>
    <w:rsid w:val="00DB38C4"/>
    <w:rsid w:val="00DB4F33"/>
    <w:rsid w:val="00DB58F9"/>
    <w:rsid w:val="00DB63DB"/>
    <w:rsid w:val="00DB7824"/>
    <w:rsid w:val="00DC0637"/>
    <w:rsid w:val="00DC0ECB"/>
    <w:rsid w:val="00DC12AA"/>
    <w:rsid w:val="00DC308E"/>
    <w:rsid w:val="00DC4875"/>
    <w:rsid w:val="00DC7F73"/>
    <w:rsid w:val="00DD05F8"/>
    <w:rsid w:val="00DD16B5"/>
    <w:rsid w:val="00DD3C32"/>
    <w:rsid w:val="00DD58B0"/>
    <w:rsid w:val="00DD59BC"/>
    <w:rsid w:val="00DD5A62"/>
    <w:rsid w:val="00DD621A"/>
    <w:rsid w:val="00DD63A8"/>
    <w:rsid w:val="00DD7399"/>
    <w:rsid w:val="00DD763A"/>
    <w:rsid w:val="00DD7B05"/>
    <w:rsid w:val="00DE191A"/>
    <w:rsid w:val="00DE2BFE"/>
    <w:rsid w:val="00DE3123"/>
    <w:rsid w:val="00DE339F"/>
    <w:rsid w:val="00DE467E"/>
    <w:rsid w:val="00DE4C18"/>
    <w:rsid w:val="00DE4C95"/>
    <w:rsid w:val="00DE53CF"/>
    <w:rsid w:val="00DE6D1A"/>
    <w:rsid w:val="00DF0ED9"/>
    <w:rsid w:val="00DF1449"/>
    <w:rsid w:val="00DF1535"/>
    <w:rsid w:val="00DF2139"/>
    <w:rsid w:val="00DF224C"/>
    <w:rsid w:val="00DF30A3"/>
    <w:rsid w:val="00DF36D2"/>
    <w:rsid w:val="00DF40D3"/>
    <w:rsid w:val="00DF53F5"/>
    <w:rsid w:val="00DF61FD"/>
    <w:rsid w:val="00DF6D25"/>
    <w:rsid w:val="00DF7D2A"/>
    <w:rsid w:val="00E03C6D"/>
    <w:rsid w:val="00E04766"/>
    <w:rsid w:val="00E05C08"/>
    <w:rsid w:val="00E05DA0"/>
    <w:rsid w:val="00E075D1"/>
    <w:rsid w:val="00E076E8"/>
    <w:rsid w:val="00E07983"/>
    <w:rsid w:val="00E117FF"/>
    <w:rsid w:val="00E11EE3"/>
    <w:rsid w:val="00E1300F"/>
    <w:rsid w:val="00E135F9"/>
    <w:rsid w:val="00E13B30"/>
    <w:rsid w:val="00E14349"/>
    <w:rsid w:val="00E20C28"/>
    <w:rsid w:val="00E21D70"/>
    <w:rsid w:val="00E22A77"/>
    <w:rsid w:val="00E24B18"/>
    <w:rsid w:val="00E2635E"/>
    <w:rsid w:val="00E270EB"/>
    <w:rsid w:val="00E2724C"/>
    <w:rsid w:val="00E27676"/>
    <w:rsid w:val="00E3016C"/>
    <w:rsid w:val="00E30172"/>
    <w:rsid w:val="00E348BC"/>
    <w:rsid w:val="00E35ADB"/>
    <w:rsid w:val="00E37354"/>
    <w:rsid w:val="00E37D8B"/>
    <w:rsid w:val="00E41192"/>
    <w:rsid w:val="00E414FF"/>
    <w:rsid w:val="00E41749"/>
    <w:rsid w:val="00E4318F"/>
    <w:rsid w:val="00E437F8"/>
    <w:rsid w:val="00E4392E"/>
    <w:rsid w:val="00E43E88"/>
    <w:rsid w:val="00E50D29"/>
    <w:rsid w:val="00E522EA"/>
    <w:rsid w:val="00E53CB4"/>
    <w:rsid w:val="00E53D3E"/>
    <w:rsid w:val="00E53F4C"/>
    <w:rsid w:val="00E54374"/>
    <w:rsid w:val="00E54395"/>
    <w:rsid w:val="00E54741"/>
    <w:rsid w:val="00E55649"/>
    <w:rsid w:val="00E55AD0"/>
    <w:rsid w:val="00E568E5"/>
    <w:rsid w:val="00E61058"/>
    <w:rsid w:val="00E632A6"/>
    <w:rsid w:val="00E6453F"/>
    <w:rsid w:val="00E659EF"/>
    <w:rsid w:val="00E65D71"/>
    <w:rsid w:val="00E70CBD"/>
    <w:rsid w:val="00E710E0"/>
    <w:rsid w:val="00E717E8"/>
    <w:rsid w:val="00E7357A"/>
    <w:rsid w:val="00E73D81"/>
    <w:rsid w:val="00E747FC"/>
    <w:rsid w:val="00E74E44"/>
    <w:rsid w:val="00E754F4"/>
    <w:rsid w:val="00E75F4D"/>
    <w:rsid w:val="00E7660D"/>
    <w:rsid w:val="00E76732"/>
    <w:rsid w:val="00E77324"/>
    <w:rsid w:val="00E80EC0"/>
    <w:rsid w:val="00E81634"/>
    <w:rsid w:val="00E822F4"/>
    <w:rsid w:val="00E82932"/>
    <w:rsid w:val="00E82D46"/>
    <w:rsid w:val="00E85DDE"/>
    <w:rsid w:val="00E8702E"/>
    <w:rsid w:val="00E90167"/>
    <w:rsid w:val="00E909CF"/>
    <w:rsid w:val="00E91688"/>
    <w:rsid w:val="00E91955"/>
    <w:rsid w:val="00E931D9"/>
    <w:rsid w:val="00E93FB2"/>
    <w:rsid w:val="00EA043A"/>
    <w:rsid w:val="00EA2C20"/>
    <w:rsid w:val="00EA2D3D"/>
    <w:rsid w:val="00EA5B84"/>
    <w:rsid w:val="00EB20F9"/>
    <w:rsid w:val="00EB24EB"/>
    <w:rsid w:val="00EB3281"/>
    <w:rsid w:val="00EB3306"/>
    <w:rsid w:val="00EC1E2F"/>
    <w:rsid w:val="00EC2EF3"/>
    <w:rsid w:val="00EC3122"/>
    <w:rsid w:val="00EC4703"/>
    <w:rsid w:val="00EC4FC6"/>
    <w:rsid w:val="00EC622B"/>
    <w:rsid w:val="00ED06CC"/>
    <w:rsid w:val="00ED2C8E"/>
    <w:rsid w:val="00ED379E"/>
    <w:rsid w:val="00ED492E"/>
    <w:rsid w:val="00ED5E86"/>
    <w:rsid w:val="00ED7680"/>
    <w:rsid w:val="00ED7CBE"/>
    <w:rsid w:val="00EE0424"/>
    <w:rsid w:val="00EE0D47"/>
    <w:rsid w:val="00EE1147"/>
    <w:rsid w:val="00EE1D71"/>
    <w:rsid w:val="00EE1DF0"/>
    <w:rsid w:val="00EE41A3"/>
    <w:rsid w:val="00EE5358"/>
    <w:rsid w:val="00EF2DC4"/>
    <w:rsid w:val="00EF6051"/>
    <w:rsid w:val="00EF68C6"/>
    <w:rsid w:val="00EF71E9"/>
    <w:rsid w:val="00F006D2"/>
    <w:rsid w:val="00F00BD1"/>
    <w:rsid w:val="00F0195B"/>
    <w:rsid w:val="00F01C95"/>
    <w:rsid w:val="00F01FD9"/>
    <w:rsid w:val="00F04B07"/>
    <w:rsid w:val="00F04E82"/>
    <w:rsid w:val="00F05BA8"/>
    <w:rsid w:val="00F06319"/>
    <w:rsid w:val="00F07C25"/>
    <w:rsid w:val="00F10626"/>
    <w:rsid w:val="00F12200"/>
    <w:rsid w:val="00F14595"/>
    <w:rsid w:val="00F1481D"/>
    <w:rsid w:val="00F168F8"/>
    <w:rsid w:val="00F16F13"/>
    <w:rsid w:val="00F218FB"/>
    <w:rsid w:val="00F23E9A"/>
    <w:rsid w:val="00F242D9"/>
    <w:rsid w:val="00F312C9"/>
    <w:rsid w:val="00F34CCE"/>
    <w:rsid w:val="00F35EEC"/>
    <w:rsid w:val="00F3715D"/>
    <w:rsid w:val="00F42087"/>
    <w:rsid w:val="00F4353C"/>
    <w:rsid w:val="00F44B62"/>
    <w:rsid w:val="00F45BED"/>
    <w:rsid w:val="00F5072C"/>
    <w:rsid w:val="00F51CBF"/>
    <w:rsid w:val="00F5411D"/>
    <w:rsid w:val="00F55131"/>
    <w:rsid w:val="00F553FA"/>
    <w:rsid w:val="00F55F93"/>
    <w:rsid w:val="00F5680B"/>
    <w:rsid w:val="00F56CE7"/>
    <w:rsid w:val="00F56D2B"/>
    <w:rsid w:val="00F57D2D"/>
    <w:rsid w:val="00F600F8"/>
    <w:rsid w:val="00F618CE"/>
    <w:rsid w:val="00F61C89"/>
    <w:rsid w:val="00F62A49"/>
    <w:rsid w:val="00F6301C"/>
    <w:rsid w:val="00F64F0D"/>
    <w:rsid w:val="00F7026A"/>
    <w:rsid w:val="00F71826"/>
    <w:rsid w:val="00F725FB"/>
    <w:rsid w:val="00F727D9"/>
    <w:rsid w:val="00F72B45"/>
    <w:rsid w:val="00F73361"/>
    <w:rsid w:val="00F7366B"/>
    <w:rsid w:val="00F7377B"/>
    <w:rsid w:val="00F73B00"/>
    <w:rsid w:val="00F73F34"/>
    <w:rsid w:val="00F7469F"/>
    <w:rsid w:val="00F7567D"/>
    <w:rsid w:val="00F75EBF"/>
    <w:rsid w:val="00F825E9"/>
    <w:rsid w:val="00F82BC7"/>
    <w:rsid w:val="00F82C81"/>
    <w:rsid w:val="00F83DAE"/>
    <w:rsid w:val="00F83E60"/>
    <w:rsid w:val="00F84737"/>
    <w:rsid w:val="00F86183"/>
    <w:rsid w:val="00F87B69"/>
    <w:rsid w:val="00F907CB"/>
    <w:rsid w:val="00F90C95"/>
    <w:rsid w:val="00F9103E"/>
    <w:rsid w:val="00F91760"/>
    <w:rsid w:val="00F91C9A"/>
    <w:rsid w:val="00F9236C"/>
    <w:rsid w:val="00F95923"/>
    <w:rsid w:val="00F96A39"/>
    <w:rsid w:val="00F96F47"/>
    <w:rsid w:val="00F97122"/>
    <w:rsid w:val="00F97463"/>
    <w:rsid w:val="00FA1ADB"/>
    <w:rsid w:val="00FA27E8"/>
    <w:rsid w:val="00FA3783"/>
    <w:rsid w:val="00FA4620"/>
    <w:rsid w:val="00FA4DC6"/>
    <w:rsid w:val="00FA5B3D"/>
    <w:rsid w:val="00FA5D99"/>
    <w:rsid w:val="00FA7A1C"/>
    <w:rsid w:val="00FB030E"/>
    <w:rsid w:val="00FB0CD7"/>
    <w:rsid w:val="00FB1351"/>
    <w:rsid w:val="00FB3D21"/>
    <w:rsid w:val="00FB41B9"/>
    <w:rsid w:val="00FB556E"/>
    <w:rsid w:val="00FB571F"/>
    <w:rsid w:val="00FB64D4"/>
    <w:rsid w:val="00FB64E3"/>
    <w:rsid w:val="00FB6C2E"/>
    <w:rsid w:val="00FC3E0E"/>
    <w:rsid w:val="00FC42BA"/>
    <w:rsid w:val="00FC535B"/>
    <w:rsid w:val="00FC6166"/>
    <w:rsid w:val="00FC6A0F"/>
    <w:rsid w:val="00FC72C7"/>
    <w:rsid w:val="00FC7362"/>
    <w:rsid w:val="00FD01A8"/>
    <w:rsid w:val="00FD08C1"/>
    <w:rsid w:val="00FD137D"/>
    <w:rsid w:val="00FD31BE"/>
    <w:rsid w:val="00FD5B60"/>
    <w:rsid w:val="00FD65EA"/>
    <w:rsid w:val="00FD7A7A"/>
    <w:rsid w:val="00FE10C1"/>
    <w:rsid w:val="00FE11AD"/>
    <w:rsid w:val="00FE190E"/>
    <w:rsid w:val="00FE193E"/>
    <w:rsid w:val="00FE20A9"/>
    <w:rsid w:val="00FE2B5F"/>
    <w:rsid w:val="00FE48A9"/>
    <w:rsid w:val="00FE56BB"/>
    <w:rsid w:val="00FF08B7"/>
    <w:rsid w:val="00FF0FEE"/>
    <w:rsid w:val="00FF12B8"/>
    <w:rsid w:val="00FF2734"/>
    <w:rsid w:val="00FF31B9"/>
    <w:rsid w:val="00FF4B08"/>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B1DDC8"/>
  <w14:defaultImageDpi w14:val="330"/>
  <w15:docId w15:val="{EE0161A9-6123-4EC1-A564-C3D89BA7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numPr>
        <w:numId w:val="15"/>
      </w:numPr>
      <w:contextualSpacing/>
    </w:pPr>
  </w:style>
  <w:style w:type="paragraph" w:styleId="Caption">
    <w:name w:val="caption"/>
    <w:aliases w:val="eTRM Caption"/>
    <w:basedOn w:val="Normal"/>
    <w:next w:val="Normal"/>
    <w:link w:val="CaptionChar"/>
    <w:autoRedefine/>
    <w:unhideWhenUsed/>
    <w:qFormat/>
    <w:rsid w:val="00EA043A"/>
    <w:pPr>
      <w:keepNext/>
      <w:keepLines/>
      <w:spacing w:before="280" w:after="80"/>
    </w:pPr>
    <w:rPr>
      <w:rFonts w:cstheme="minorHAnsi"/>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EA043A"/>
    <w:rPr>
      <w:rFonts w:ascii="Calibri Light" w:hAnsi="Calibri Light" w:cstheme="minorHAnsi"/>
      <w:b/>
      <w:color w:val="000000"/>
      <w:sz w:val="20"/>
      <w:szCs w:val="22"/>
      <w14:textFill>
        <w14:solidFill>
          <w14:srgbClr w14:val="000000">
            <w14:lumMod w14:val="50000"/>
          </w14:srgbClr>
        </w14:solidFill>
      </w14:textFill>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E2724C"/>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theme="minorHAnsi"/>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8B3223"/>
    <w:pPr>
      <w:numPr>
        <w:numId w:val="47"/>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9C6DC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9C6DC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aliases w:val="Table Contemporary Black Header"/>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65534B"/>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65534B"/>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3D7223"/>
    <w:pPr>
      <w:spacing w:before="20" w:after="20"/>
      <w:ind w:left="270"/>
    </w:pPr>
  </w:style>
  <w:style w:type="character" w:customStyle="1" w:styleId="eTRMFootnoteTextChar">
    <w:name w:val="eTRM Footnote Text Char"/>
    <w:basedOn w:val="FootnoteTextChar"/>
    <w:link w:val="eTRMFootnoteText"/>
    <w:rsid w:val="003D7223"/>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customStyle="1" w:styleId="Reminders">
    <w:name w:val="Reminders"/>
    <w:basedOn w:val="Normal"/>
    <w:link w:val="RemindersChar"/>
    <w:rsid w:val="000B521C"/>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0B521C"/>
    <w:rPr>
      <w:rFonts w:ascii="Trebuchet MS" w:eastAsia="Times New Roman" w:hAnsi="Trebuchet MS" w:cs="Times New Roman"/>
      <w:i/>
      <w:color w:val="FF0000"/>
      <w:sz w:val="22"/>
    </w:rPr>
  </w:style>
  <w:style w:type="table" w:customStyle="1" w:styleId="TableGrid1">
    <w:name w:val="Table Grid1"/>
    <w:basedOn w:val="TableNormal"/>
    <w:next w:val="TableGrid"/>
    <w:rsid w:val="000B521C"/>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562EF"/>
    <w:rPr>
      <w:sz w:val="18"/>
      <w:szCs w:val="18"/>
    </w:rPr>
  </w:style>
  <w:style w:type="paragraph" w:styleId="CommentText">
    <w:name w:val="annotation text"/>
    <w:basedOn w:val="Normal"/>
    <w:link w:val="CommentTextChar"/>
    <w:uiPriority w:val="99"/>
    <w:unhideWhenUsed/>
    <w:rsid w:val="00D562EF"/>
    <w:pPr>
      <w:spacing w:line="240" w:lineRule="auto"/>
    </w:pPr>
    <w:rPr>
      <w:sz w:val="24"/>
    </w:rPr>
  </w:style>
  <w:style w:type="character" w:customStyle="1" w:styleId="CommentTextChar">
    <w:name w:val="Comment Text Char"/>
    <w:basedOn w:val="DefaultParagraphFont"/>
    <w:link w:val="CommentText"/>
    <w:uiPriority w:val="99"/>
    <w:rsid w:val="00D562EF"/>
    <w:rPr>
      <w:rFonts w:ascii="Calibri Light" w:hAnsi="Calibri Light"/>
    </w:rPr>
  </w:style>
  <w:style w:type="paragraph" w:styleId="CommentSubject">
    <w:name w:val="annotation subject"/>
    <w:basedOn w:val="CommentText"/>
    <w:next w:val="CommentText"/>
    <w:link w:val="CommentSubjectChar"/>
    <w:uiPriority w:val="99"/>
    <w:semiHidden/>
    <w:unhideWhenUsed/>
    <w:rsid w:val="00D562EF"/>
    <w:rPr>
      <w:b/>
      <w:bCs/>
      <w:sz w:val="20"/>
      <w:szCs w:val="20"/>
    </w:rPr>
  </w:style>
  <w:style w:type="character" w:customStyle="1" w:styleId="CommentSubjectChar">
    <w:name w:val="Comment Subject Char"/>
    <w:basedOn w:val="CommentTextChar"/>
    <w:link w:val="CommentSubject"/>
    <w:uiPriority w:val="99"/>
    <w:semiHidden/>
    <w:rsid w:val="00D562EF"/>
    <w:rPr>
      <w:rFonts w:ascii="Calibri Light" w:hAnsi="Calibri Light"/>
      <w:b/>
      <w:bCs/>
      <w:sz w:val="20"/>
      <w:szCs w:val="20"/>
    </w:rPr>
  </w:style>
  <w:style w:type="paragraph" w:styleId="BalloonText">
    <w:name w:val="Balloon Text"/>
    <w:basedOn w:val="Normal"/>
    <w:link w:val="BalloonTextChar"/>
    <w:uiPriority w:val="99"/>
    <w:semiHidden/>
    <w:unhideWhenUsed/>
    <w:rsid w:val="00D562EF"/>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562EF"/>
    <w:rPr>
      <w:rFonts w:ascii="Times New Roman" w:hAnsi="Times New Roman" w:cs="Times New Roman"/>
      <w:sz w:val="18"/>
      <w:szCs w:val="18"/>
    </w:rPr>
  </w:style>
  <w:style w:type="paragraph" w:styleId="NoSpacing">
    <w:name w:val="No Spacing"/>
    <w:uiPriority w:val="1"/>
    <w:qFormat/>
    <w:rsid w:val="00C2348F"/>
    <w:rPr>
      <w:rFonts w:eastAsiaTheme="minorHAnsi"/>
      <w:sz w:val="22"/>
      <w:szCs w:val="22"/>
    </w:rPr>
  </w:style>
  <w:style w:type="paragraph" w:styleId="DocumentMap">
    <w:name w:val="Document Map"/>
    <w:basedOn w:val="Normal"/>
    <w:link w:val="DocumentMapChar"/>
    <w:uiPriority w:val="99"/>
    <w:semiHidden/>
    <w:unhideWhenUsed/>
    <w:rsid w:val="003C27A6"/>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3C27A6"/>
    <w:rPr>
      <w:rFonts w:ascii="Times New Roman" w:hAnsi="Times New Roman" w:cs="Times New Roman"/>
    </w:rPr>
  </w:style>
  <w:style w:type="paragraph" w:customStyle="1" w:styleId="p1">
    <w:name w:val="p1"/>
    <w:basedOn w:val="Normal"/>
    <w:rsid w:val="00DA0262"/>
    <w:pPr>
      <w:spacing w:before="0" w:after="0" w:line="240" w:lineRule="auto"/>
    </w:pPr>
    <w:rPr>
      <w:rFonts w:ascii="Helvetica" w:hAnsi="Helvetica" w:cs="Times New Roman"/>
      <w:sz w:val="14"/>
      <w:szCs w:val="14"/>
    </w:rPr>
  </w:style>
  <w:style w:type="character" w:customStyle="1" w:styleId="apple-converted-space">
    <w:name w:val="apple-converted-space"/>
    <w:basedOn w:val="DefaultParagraphFont"/>
    <w:rsid w:val="009617E3"/>
  </w:style>
  <w:style w:type="character" w:customStyle="1" w:styleId="UnresolvedMention1">
    <w:name w:val="Unresolved Mention1"/>
    <w:basedOn w:val="DefaultParagraphFont"/>
    <w:uiPriority w:val="99"/>
    <w:semiHidden/>
    <w:unhideWhenUsed/>
    <w:rsid w:val="006C204E"/>
    <w:rPr>
      <w:color w:val="605E5C"/>
      <w:shd w:val="clear" w:color="auto" w:fill="E1DFDD"/>
    </w:rPr>
  </w:style>
  <w:style w:type="paragraph" w:customStyle="1" w:styleId="Default">
    <w:name w:val="Default"/>
    <w:rsid w:val="002529D3"/>
    <w:pPr>
      <w:autoSpaceDE w:val="0"/>
      <w:autoSpaceDN w:val="0"/>
      <w:adjustRightInd w:val="0"/>
    </w:pPr>
    <w:rPr>
      <w:rFonts w:ascii="Palatino Linotype" w:hAnsi="Palatino Linotype" w:cs="Palatino Linotype"/>
      <w:color w:val="000000"/>
    </w:rPr>
  </w:style>
  <w:style w:type="paragraph" w:customStyle="1" w:styleId="Reminder">
    <w:name w:val="Reminder"/>
    <w:basedOn w:val="Reminders"/>
    <w:link w:val="ReminderChar"/>
    <w:rsid w:val="00010E92"/>
  </w:style>
  <w:style w:type="character" w:customStyle="1" w:styleId="ReminderChar">
    <w:name w:val="Reminder Char"/>
    <w:basedOn w:val="RemindersChar"/>
    <w:link w:val="Reminder"/>
    <w:rsid w:val="00010E92"/>
    <w:rPr>
      <w:rFonts w:ascii="Trebuchet MS" w:eastAsia="Times New Roman" w:hAnsi="Trebuchet MS" w:cs="Times New Roman"/>
      <w:i/>
      <w:color w:val="FF0000"/>
      <w:sz w:val="22"/>
    </w:rPr>
  </w:style>
  <w:style w:type="character" w:styleId="Emphasis">
    <w:name w:val="Emphasis"/>
    <w:basedOn w:val="DefaultParagraphFont"/>
    <w:uiPriority w:val="20"/>
    <w:qFormat/>
    <w:rsid w:val="00FC72C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6936">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99754">
      <w:bodyDiv w:val="1"/>
      <w:marLeft w:val="0"/>
      <w:marRight w:val="0"/>
      <w:marTop w:val="0"/>
      <w:marBottom w:val="0"/>
      <w:divBdr>
        <w:top w:val="none" w:sz="0" w:space="0" w:color="auto"/>
        <w:left w:val="none" w:sz="0" w:space="0" w:color="auto"/>
        <w:bottom w:val="none" w:sz="0" w:space="0" w:color="auto"/>
        <w:right w:val="none" w:sz="0" w:space="0" w:color="auto"/>
      </w:divBdr>
    </w:div>
    <w:div w:id="621544686">
      <w:bodyDiv w:val="1"/>
      <w:marLeft w:val="0"/>
      <w:marRight w:val="0"/>
      <w:marTop w:val="0"/>
      <w:marBottom w:val="0"/>
      <w:divBdr>
        <w:top w:val="none" w:sz="0" w:space="0" w:color="auto"/>
        <w:left w:val="none" w:sz="0" w:space="0" w:color="auto"/>
        <w:bottom w:val="none" w:sz="0" w:space="0" w:color="auto"/>
        <w:right w:val="none" w:sz="0" w:space="0" w:color="auto"/>
      </w:divBdr>
    </w:div>
    <w:div w:id="662244600">
      <w:bodyDiv w:val="1"/>
      <w:marLeft w:val="0"/>
      <w:marRight w:val="0"/>
      <w:marTop w:val="0"/>
      <w:marBottom w:val="0"/>
      <w:divBdr>
        <w:top w:val="none" w:sz="0" w:space="0" w:color="auto"/>
        <w:left w:val="none" w:sz="0" w:space="0" w:color="auto"/>
        <w:bottom w:val="none" w:sz="0" w:space="0" w:color="auto"/>
        <w:right w:val="none" w:sz="0" w:space="0" w:color="auto"/>
      </w:divBdr>
    </w:div>
    <w:div w:id="955450573">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90704">
      <w:bodyDiv w:val="1"/>
      <w:marLeft w:val="0"/>
      <w:marRight w:val="0"/>
      <w:marTop w:val="0"/>
      <w:marBottom w:val="0"/>
      <w:divBdr>
        <w:top w:val="none" w:sz="0" w:space="0" w:color="auto"/>
        <w:left w:val="none" w:sz="0" w:space="0" w:color="auto"/>
        <w:bottom w:val="none" w:sz="0" w:space="0" w:color="auto"/>
        <w:right w:val="none" w:sz="0" w:space="0" w:color="auto"/>
      </w:divBdr>
    </w:div>
    <w:div w:id="1178349488">
      <w:bodyDiv w:val="1"/>
      <w:marLeft w:val="0"/>
      <w:marRight w:val="0"/>
      <w:marTop w:val="0"/>
      <w:marBottom w:val="0"/>
      <w:divBdr>
        <w:top w:val="none" w:sz="0" w:space="0" w:color="auto"/>
        <w:left w:val="none" w:sz="0" w:space="0" w:color="auto"/>
        <w:bottom w:val="none" w:sz="0" w:space="0" w:color="auto"/>
        <w:right w:val="none" w:sz="0" w:space="0" w:color="auto"/>
      </w:divBdr>
    </w:div>
    <w:div w:id="1317412449">
      <w:bodyDiv w:val="1"/>
      <w:marLeft w:val="0"/>
      <w:marRight w:val="0"/>
      <w:marTop w:val="0"/>
      <w:marBottom w:val="0"/>
      <w:divBdr>
        <w:top w:val="none" w:sz="0" w:space="0" w:color="auto"/>
        <w:left w:val="none" w:sz="0" w:space="0" w:color="auto"/>
        <w:bottom w:val="none" w:sz="0" w:space="0" w:color="auto"/>
        <w:right w:val="none" w:sz="0" w:space="0" w:color="auto"/>
      </w:divBdr>
    </w:div>
    <w:div w:id="1559170756">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876655925">
      <w:bodyDiv w:val="1"/>
      <w:marLeft w:val="0"/>
      <w:marRight w:val="0"/>
      <w:marTop w:val="0"/>
      <w:marBottom w:val="0"/>
      <w:divBdr>
        <w:top w:val="none" w:sz="0" w:space="0" w:color="auto"/>
        <w:left w:val="none" w:sz="0" w:space="0" w:color="auto"/>
        <w:bottom w:val="none" w:sz="0" w:space="0" w:color="auto"/>
        <w:right w:val="none" w:sz="0" w:space="0" w:color="auto"/>
      </w:divBdr>
    </w:div>
    <w:div w:id="20232398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3250B-81BE-4D70-8816-5DDEF4E67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5</TotalTime>
  <Pages>12</Pages>
  <Words>3315</Words>
  <Characters>18504</Characters>
  <Application>Microsoft Office Word</Application>
  <DocSecurity>0</DocSecurity>
  <Lines>486</Lines>
  <Paragraphs>307</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Southern California Edison</Company>
  <LinksUpToDate>false</LinksUpToDate>
  <CharactersWithSpaces>21512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Jennifer Holmes</cp:lastModifiedBy>
  <cp:revision>7</cp:revision>
  <cp:lastPrinted>2019-06-03T22:06:00Z</cp:lastPrinted>
  <dcterms:created xsi:type="dcterms:W3CDTF">2019-06-03T22:33:00Z</dcterms:created>
  <dcterms:modified xsi:type="dcterms:W3CDTF">2019-06-03T22:38:00Z</dcterms:modified>
</cp:coreProperties>
</file>