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5967" w14:textId="77777777" w:rsidR="00181E01" w:rsidRDefault="00181E01" w:rsidP="0053748E">
      <w:pPr>
        <w:pStyle w:val="Norma"/>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4026A4">
        <w:trPr>
          <w:cantSplit/>
          <w:trHeight w:hRule="exact" w:val="1890"/>
          <w:jc w:val="right"/>
        </w:trPr>
        <w:tc>
          <w:tcPr>
            <w:tcW w:w="9000" w:type="dxa"/>
            <w:shd w:val="clear" w:color="auto" w:fill="8DC63F"/>
            <w:vAlign w:val="center"/>
          </w:tcPr>
          <w:p w14:paraId="3EF67A49" w14:textId="67881A82" w:rsidR="00BD221D" w:rsidRPr="00DB2962" w:rsidRDefault="00B61584" w:rsidP="00BD221D">
            <w:pPr>
              <w:pStyle w:val="eTRMHeading1"/>
              <w:jc w:val="center"/>
              <w:rPr>
                <w:sz w:val="28"/>
              </w:rPr>
            </w:pPr>
            <w:r w:rsidRPr="00DB2962">
              <w:rPr>
                <w:sz w:val="28"/>
              </w:rPr>
              <w:t>HVAC</w:t>
            </w:r>
          </w:p>
          <w:p w14:paraId="48D0F5DB" w14:textId="70E758DA" w:rsidR="00BD221D" w:rsidRPr="001F5EA3" w:rsidRDefault="00AC02BF" w:rsidP="00B561EE">
            <w:pPr>
              <w:pStyle w:val="eTRMHeading2"/>
              <w:rPr>
                <w:color w:val="FFFFFF" w:themeColor="background1"/>
                <w:spacing w:val="60"/>
                <w:sz w:val="32"/>
              </w:rPr>
            </w:pPr>
            <w:r w:rsidRPr="001F5EA3">
              <w:rPr>
                <w:color w:val="FFFFFF" w:themeColor="background1"/>
                <w:spacing w:val="60"/>
                <w:sz w:val="32"/>
              </w:rPr>
              <w:t>Space Heating Boile</w:t>
            </w:r>
            <w:r w:rsidR="00883A20">
              <w:rPr>
                <w:color w:val="FFFFFF" w:themeColor="background1"/>
                <w:spacing w:val="60"/>
                <w:sz w:val="32"/>
              </w:rPr>
              <w:t>R, Commercial</w:t>
            </w:r>
            <w:r w:rsidR="004026A4">
              <w:rPr>
                <w:color w:val="FFFFFF" w:themeColor="background1"/>
                <w:spacing w:val="60"/>
                <w:sz w:val="32"/>
              </w:rPr>
              <w:t xml:space="preserve"> &amp; Multifamily</w:t>
            </w:r>
          </w:p>
          <w:p w14:paraId="10BE1877" w14:textId="187068A6" w:rsidR="00DB2962" w:rsidRPr="005466DB" w:rsidRDefault="00552ED0" w:rsidP="00B561EE">
            <w:pPr>
              <w:pStyle w:val="eTRMHeading2"/>
              <w:rPr>
                <w:color w:val="FFFFFF" w:themeColor="background1"/>
                <w:sz w:val="28"/>
                <w:szCs w:val="28"/>
              </w:rPr>
            </w:pPr>
            <w:r w:rsidRPr="00245D4C">
              <w:rPr>
                <w:color w:val="FFFFFF" w:themeColor="background1"/>
                <w:spacing w:val="0"/>
                <w:sz w:val="28"/>
                <w:szCs w:val="28"/>
              </w:rPr>
              <w:t>SWHC00</w:t>
            </w:r>
            <w:r w:rsidR="00392406" w:rsidRPr="00245D4C">
              <w:rPr>
                <w:color w:val="FFFFFF" w:themeColor="background1"/>
                <w:spacing w:val="0"/>
                <w:sz w:val="28"/>
                <w:szCs w:val="28"/>
              </w:rPr>
              <w:t>4</w:t>
            </w:r>
            <w:r w:rsidR="00DB2962" w:rsidRPr="00D7649A">
              <w:rPr>
                <w:color w:val="FFFFFF" w:themeColor="background1"/>
                <w:spacing w:val="0"/>
                <w:sz w:val="28"/>
                <w:szCs w:val="28"/>
              </w:rPr>
              <w:t>-0</w:t>
            </w:r>
            <w:r w:rsidR="004464B6">
              <w:rPr>
                <w:color w:val="FFFFFF" w:themeColor="background1"/>
                <w:spacing w:val="0"/>
                <w:sz w:val="28"/>
                <w:szCs w:val="28"/>
              </w:rPr>
              <w:t>3</w:t>
            </w:r>
          </w:p>
        </w:tc>
      </w:tr>
    </w:tbl>
    <w:p w14:paraId="645F3ACB" w14:textId="77777777" w:rsidR="00BD221D" w:rsidRDefault="00BD221D" w:rsidP="00BD221D">
      <w:pPr>
        <w:pStyle w:val="Norma"/>
      </w:pPr>
    </w:p>
    <w:p w14:paraId="31745A8D" w14:textId="45DC1270" w:rsidR="00D12B8C" w:rsidRPr="00E14349" w:rsidRDefault="007E1F66" w:rsidP="0053748E">
      <w:pPr>
        <w:pStyle w:val="Norma"/>
        <w:jc w:val="center"/>
        <w:rPr>
          <w:spacing w:val="80"/>
          <w:sz w:val="28"/>
        </w:rPr>
      </w:pPr>
      <w:r w:rsidRPr="00E14349">
        <w:rPr>
          <w:spacing w:val="80"/>
          <w:sz w:val="28"/>
        </w:rPr>
        <w:t>CONTENTS</w:t>
      </w:r>
    </w:p>
    <w:p w14:paraId="115B477E" w14:textId="13DEC424" w:rsidR="00D8633E"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D8633E">
        <w:rPr>
          <w:noProof/>
        </w:rPr>
        <w:t>Measure Name</w:t>
      </w:r>
      <w:r w:rsidR="00D8633E">
        <w:rPr>
          <w:noProof/>
        </w:rPr>
        <w:tab/>
      </w:r>
      <w:r w:rsidR="00D8633E">
        <w:rPr>
          <w:noProof/>
        </w:rPr>
        <w:fldChar w:fldCharType="begin"/>
      </w:r>
      <w:r w:rsidR="00D8633E">
        <w:rPr>
          <w:noProof/>
        </w:rPr>
        <w:instrText xml:space="preserve"> PAGEREF _Toc60310465 \h </w:instrText>
      </w:r>
      <w:r w:rsidR="00D8633E">
        <w:rPr>
          <w:noProof/>
        </w:rPr>
      </w:r>
      <w:r w:rsidR="00D8633E">
        <w:rPr>
          <w:noProof/>
        </w:rPr>
        <w:fldChar w:fldCharType="separate"/>
      </w:r>
      <w:r w:rsidR="00890A76">
        <w:rPr>
          <w:noProof/>
        </w:rPr>
        <w:t>2</w:t>
      </w:r>
      <w:r w:rsidR="00D8633E">
        <w:rPr>
          <w:noProof/>
        </w:rPr>
        <w:fldChar w:fldCharType="end"/>
      </w:r>
    </w:p>
    <w:p w14:paraId="75D25874" w14:textId="6EB2604E" w:rsidR="00D8633E" w:rsidRDefault="00D8633E">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_Toc60310466 \h </w:instrText>
      </w:r>
      <w:r>
        <w:rPr>
          <w:noProof/>
        </w:rPr>
      </w:r>
      <w:r>
        <w:rPr>
          <w:noProof/>
        </w:rPr>
        <w:fldChar w:fldCharType="separate"/>
      </w:r>
      <w:r w:rsidR="00890A76">
        <w:rPr>
          <w:noProof/>
        </w:rPr>
        <w:t>2</w:t>
      </w:r>
      <w:r>
        <w:rPr>
          <w:noProof/>
        </w:rPr>
        <w:fldChar w:fldCharType="end"/>
      </w:r>
    </w:p>
    <w:p w14:paraId="21985660" w14:textId="55C56B4C" w:rsidR="00D8633E" w:rsidRDefault="00D8633E">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_Toc60310467 \h </w:instrText>
      </w:r>
      <w:r>
        <w:rPr>
          <w:noProof/>
        </w:rPr>
      </w:r>
      <w:r>
        <w:rPr>
          <w:noProof/>
        </w:rPr>
        <w:fldChar w:fldCharType="separate"/>
      </w:r>
      <w:r w:rsidR="00890A76">
        <w:rPr>
          <w:noProof/>
        </w:rPr>
        <w:t>2</w:t>
      </w:r>
      <w:r>
        <w:rPr>
          <w:noProof/>
        </w:rPr>
        <w:fldChar w:fldCharType="end"/>
      </w:r>
    </w:p>
    <w:p w14:paraId="6C365AA4" w14:textId="78A6DD32" w:rsidR="00D8633E" w:rsidRDefault="00D8633E">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_Toc60310468 \h </w:instrText>
      </w:r>
      <w:r>
        <w:rPr>
          <w:noProof/>
        </w:rPr>
      </w:r>
      <w:r>
        <w:rPr>
          <w:noProof/>
        </w:rPr>
        <w:fldChar w:fldCharType="separate"/>
      </w:r>
      <w:r w:rsidR="00890A76">
        <w:rPr>
          <w:noProof/>
        </w:rPr>
        <w:t>2</w:t>
      </w:r>
      <w:r>
        <w:rPr>
          <w:noProof/>
        </w:rPr>
        <w:fldChar w:fldCharType="end"/>
      </w:r>
    </w:p>
    <w:p w14:paraId="7C404780" w14:textId="4C058BF7" w:rsidR="00D8633E" w:rsidRDefault="00D8633E">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_Toc60310469 \h </w:instrText>
      </w:r>
      <w:r>
        <w:rPr>
          <w:noProof/>
        </w:rPr>
      </w:r>
      <w:r>
        <w:rPr>
          <w:noProof/>
        </w:rPr>
        <w:fldChar w:fldCharType="separate"/>
      </w:r>
      <w:r w:rsidR="00890A76">
        <w:rPr>
          <w:noProof/>
        </w:rPr>
        <w:t>3</w:t>
      </w:r>
      <w:r>
        <w:rPr>
          <w:noProof/>
        </w:rPr>
        <w:fldChar w:fldCharType="end"/>
      </w:r>
    </w:p>
    <w:p w14:paraId="4903F881" w14:textId="61B92B2E" w:rsidR="00D8633E" w:rsidRDefault="00D8633E">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_Toc60310470 \h </w:instrText>
      </w:r>
      <w:r>
        <w:rPr>
          <w:noProof/>
        </w:rPr>
      </w:r>
      <w:r>
        <w:rPr>
          <w:noProof/>
        </w:rPr>
        <w:fldChar w:fldCharType="separate"/>
      </w:r>
      <w:r w:rsidR="00890A76">
        <w:rPr>
          <w:noProof/>
        </w:rPr>
        <w:t>4</w:t>
      </w:r>
      <w:r>
        <w:rPr>
          <w:noProof/>
        </w:rPr>
        <w:fldChar w:fldCharType="end"/>
      </w:r>
    </w:p>
    <w:p w14:paraId="38614235" w14:textId="680D6911" w:rsidR="00D8633E" w:rsidRDefault="00D8633E">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_Toc60310471 \h </w:instrText>
      </w:r>
      <w:r>
        <w:rPr>
          <w:noProof/>
        </w:rPr>
      </w:r>
      <w:r>
        <w:rPr>
          <w:noProof/>
        </w:rPr>
        <w:fldChar w:fldCharType="separate"/>
      </w:r>
      <w:r w:rsidR="00890A76">
        <w:rPr>
          <w:noProof/>
        </w:rPr>
        <w:t>5</w:t>
      </w:r>
      <w:r>
        <w:rPr>
          <w:noProof/>
        </w:rPr>
        <w:fldChar w:fldCharType="end"/>
      </w:r>
    </w:p>
    <w:p w14:paraId="0635C0D3" w14:textId="2D45570B" w:rsidR="00D8633E" w:rsidRDefault="00D8633E">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_Toc60310472 \h </w:instrText>
      </w:r>
      <w:r>
        <w:rPr>
          <w:noProof/>
        </w:rPr>
      </w:r>
      <w:r>
        <w:rPr>
          <w:noProof/>
        </w:rPr>
        <w:fldChar w:fldCharType="separate"/>
      </w:r>
      <w:r w:rsidR="00890A76">
        <w:rPr>
          <w:noProof/>
        </w:rPr>
        <w:t>6</w:t>
      </w:r>
      <w:r>
        <w:rPr>
          <w:noProof/>
        </w:rPr>
        <w:fldChar w:fldCharType="end"/>
      </w:r>
    </w:p>
    <w:p w14:paraId="573322C3" w14:textId="396AD2C6" w:rsidR="00D8633E" w:rsidRDefault="00D8633E">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_Toc60310473 \h </w:instrText>
      </w:r>
      <w:r>
        <w:rPr>
          <w:noProof/>
        </w:rPr>
      </w:r>
      <w:r>
        <w:rPr>
          <w:noProof/>
        </w:rPr>
        <w:fldChar w:fldCharType="separate"/>
      </w:r>
      <w:r w:rsidR="00890A76">
        <w:rPr>
          <w:noProof/>
        </w:rPr>
        <w:t>7</w:t>
      </w:r>
      <w:r>
        <w:rPr>
          <w:noProof/>
        </w:rPr>
        <w:fldChar w:fldCharType="end"/>
      </w:r>
    </w:p>
    <w:p w14:paraId="5FC970F3" w14:textId="65A8D3C0" w:rsidR="00D8633E" w:rsidRDefault="00D8633E">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_Toc60310474 \h </w:instrText>
      </w:r>
      <w:r>
        <w:rPr>
          <w:noProof/>
        </w:rPr>
      </w:r>
      <w:r>
        <w:rPr>
          <w:noProof/>
        </w:rPr>
        <w:fldChar w:fldCharType="separate"/>
      </w:r>
      <w:r w:rsidR="00890A76">
        <w:rPr>
          <w:noProof/>
        </w:rPr>
        <w:t>7</w:t>
      </w:r>
      <w:r>
        <w:rPr>
          <w:noProof/>
        </w:rPr>
        <w:fldChar w:fldCharType="end"/>
      </w:r>
    </w:p>
    <w:p w14:paraId="4DFEF983" w14:textId="0BE5A15D" w:rsidR="00D8633E" w:rsidRDefault="00D8633E">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_Toc60310475 \h </w:instrText>
      </w:r>
      <w:r>
        <w:rPr>
          <w:noProof/>
        </w:rPr>
      </w:r>
      <w:r>
        <w:rPr>
          <w:noProof/>
        </w:rPr>
        <w:fldChar w:fldCharType="separate"/>
      </w:r>
      <w:r w:rsidR="00890A76">
        <w:rPr>
          <w:noProof/>
        </w:rPr>
        <w:t>7</w:t>
      </w:r>
      <w:r>
        <w:rPr>
          <w:noProof/>
        </w:rPr>
        <w:fldChar w:fldCharType="end"/>
      </w:r>
    </w:p>
    <w:p w14:paraId="49B6EB42" w14:textId="66B1156A" w:rsidR="00D8633E" w:rsidRDefault="00D8633E">
      <w:pPr>
        <w:pStyle w:val="TOC3"/>
        <w:rPr>
          <w:rFonts w:asciiTheme="minorHAnsi" w:hAnsiTheme="minorHAnsi"/>
          <w:noProof/>
          <w:szCs w:val="22"/>
        </w:rPr>
      </w:pPr>
      <w:r>
        <w:rPr>
          <w:noProof/>
        </w:rPr>
        <w:t>Electric Savings (</w:t>
      </w:r>
      <w:r w:rsidRPr="000B7931">
        <w:rPr>
          <w:noProof/>
        </w:rPr>
        <w:t>kWh</w:t>
      </w:r>
      <w:r>
        <w:rPr>
          <w:noProof/>
        </w:rPr>
        <w:t>)</w:t>
      </w:r>
      <w:r>
        <w:rPr>
          <w:noProof/>
        </w:rPr>
        <w:tab/>
      </w:r>
      <w:r>
        <w:rPr>
          <w:noProof/>
        </w:rPr>
        <w:fldChar w:fldCharType="begin"/>
      </w:r>
      <w:r>
        <w:rPr>
          <w:noProof/>
        </w:rPr>
        <w:instrText xml:space="preserve"> PAGEREF _Toc60310476 \h </w:instrText>
      </w:r>
      <w:r>
        <w:rPr>
          <w:noProof/>
        </w:rPr>
      </w:r>
      <w:r>
        <w:rPr>
          <w:noProof/>
        </w:rPr>
        <w:fldChar w:fldCharType="separate"/>
      </w:r>
      <w:r w:rsidR="00890A76">
        <w:rPr>
          <w:noProof/>
        </w:rPr>
        <w:t>8</w:t>
      </w:r>
      <w:r>
        <w:rPr>
          <w:noProof/>
        </w:rPr>
        <w:fldChar w:fldCharType="end"/>
      </w:r>
    </w:p>
    <w:p w14:paraId="096C268F" w14:textId="43EB2F40" w:rsidR="00D8633E" w:rsidRDefault="00D8633E">
      <w:pPr>
        <w:pStyle w:val="TOC3"/>
        <w:rPr>
          <w:rFonts w:asciiTheme="minorHAnsi" w:hAnsiTheme="minorHAnsi"/>
          <w:noProof/>
          <w:szCs w:val="22"/>
        </w:rPr>
      </w:pPr>
      <w:r>
        <w:rPr>
          <w:noProof/>
        </w:rPr>
        <w:t>Peak Electric Demand Reduction (</w:t>
      </w:r>
      <w:r w:rsidRPr="000B7931">
        <w:rPr>
          <w:noProof/>
        </w:rPr>
        <w:t>kW</w:t>
      </w:r>
      <w:r>
        <w:rPr>
          <w:noProof/>
        </w:rPr>
        <w:t>)</w:t>
      </w:r>
      <w:r>
        <w:rPr>
          <w:noProof/>
        </w:rPr>
        <w:tab/>
      </w:r>
      <w:r>
        <w:rPr>
          <w:noProof/>
        </w:rPr>
        <w:fldChar w:fldCharType="begin"/>
      </w:r>
      <w:r>
        <w:rPr>
          <w:noProof/>
        </w:rPr>
        <w:instrText xml:space="preserve"> PAGEREF _Toc60310477 \h </w:instrText>
      </w:r>
      <w:r>
        <w:rPr>
          <w:noProof/>
        </w:rPr>
      </w:r>
      <w:r>
        <w:rPr>
          <w:noProof/>
        </w:rPr>
        <w:fldChar w:fldCharType="separate"/>
      </w:r>
      <w:r w:rsidR="00890A76">
        <w:rPr>
          <w:noProof/>
        </w:rPr>
        <w:t>8</w:t>
      </w:r>
      <w:r>
        <w:rPr>
          <w:noProof/>
        </w:rPr>
        <w:fldChar w:fldCharType="end"/>
      </w:r>
    </w:p>
    <w:p w14:paraId="150FFECA" w14:textId="4D105B43" w:rsidR="00D8633E" w:rsidRDefault="00D8633E">
      <w:pPr>
        <w:pStyle w:val="TOC3"/>
        <w:rPr>
          <w:rFonts w:asciiTheme="minorHAnsi" w:hAnsiTheme="minorHAnsi"/>
          <w:noProof/>
          <w:szCs w:val="22"/>
        </w:rPr>
      </w:pPr>
      <w:r>
        <w:rPr>
          <w:noProof/>
        </w:rPr>
        <w:t>Gas Savings (</w:t>
      </w:r>
      <w:r w:rsidRPr="000B7931">
        <w:rPr>
          <w:noProof/>
        </w:rPr>
        <w:t>Therms</w:t>
      </w:r>
      <w:r>
        <w:rPr>
          <w:noProof/>
        </w:rPr>
        <w:t>)</w:t>
      </w:r>
      <w:r>
        <w:rPr>
          <w:noProof/>
        </w:rPr>
        <w:tab/>
      </w:r>
      <w:r>
        <w:rPr>
          <w:noProof/>
        </w:rPr>
        <w:fldChar w:fldCharType="begin"/>
      </w:r>
      <w:r>
        <w:rPr>
          <w:noProof/>
        </w:rPr>
        <w:instrText xml:space="preserve"> PAGEREF _Toc60310478 \h </w:instrText>
      </w:r>
      <w:r>
        <w:rPr>
          <w:noProof/>
        </w:rPr>
      </w:r>
      <w:r>
        <w:rPr>
          <w:noProof/>
        </w:rPr>
        <w:fldChar w:fldCharType="separate"/>
      </w:r>
      <w:r w:rsidR="00890A76">
        <w:rPr>
          <w:noProof/>
        </w:rPr>
        <w:t>8</w:t>
      </w:r>
      <w:r>
        <w:rPr>
          <w:noProof/>
        </w:rPr>
        <w:fldChar w:fldCharType="end"/>
      </w:r>
    </w:p>
    <w:p w14:paraId="21AE3FC3" w14:textId="5062F2FB" w:rsidR="00D8633E" w:rsidRDefault="00D8633E">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_Toc60310479 \h </w:instrText>
      </w:r>
      <w:r>
        <w:rPr>
          <w:noProof/>
        </w:rPr>
      </w:r>
      <w:r>
        <w:rPr>
          <w:noProof/>
        </w:rPr>
        <w:fldChar w:fldCharType="separate"/>
      </w:r>
      <w:r w:rsidR="00890A76">
        <w:rPr>
          <w:noProof/>
        </w:rPr>
        <w:t>10</w:t>
      </w:r>
      <w:r>
        <w:rPr>
          <w:noProof/>
        </w:rPr>
        <w:fldChar w:fldCharType="end"/>
      </w:r>
    </w:p>
    <w:p w14:paraId="34D0CE0B" w14:textId="31FC99A3" w:rsidR="00D8633E" w:rsidRDefault="00D8633E">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_Toc60310480 \h </w:instrText>
      </w:r>
      <w:r>
        <w:rPr>
          <w:noProof/>
        </w:rPr>
      </w:r>
      <w:r>
        <w:rPr>
          <w:noProof/>
        </w:rPr>
        <w:fldChar w:fldCharType="separate"/>
      </w:r>
      <w:r w:rsidR="00890A76">
        <w:rPr>
          <w:noProof/>
        </w:rPr>
        <w:t>11</w:t>
      </w:r>
      <w:r>
        <w:rPr>
          <w:noProof/>
        </w:rPr>
        <w:fldChar w:fldCharType="end"/>
      </w:r>
    </w:p>
    <w:p w14:paraId="497D4A4C" w14:textId="63391915" w:rsidR="00D8633E" w:rsidRDefault="00D8633E">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_Toc60310481 \h </w:instrText>
      </w:r>
      <w:r>
        <w:rPr>
          <w:noProof/>
        </w:rPr>
      </w:r>
      <w:r>
        <w:rPr>
          <w:noProof/>
        </w:rPr>
        <w:fldChar w:fldCharType="separate"/>
      </w:r>
      <w:r w:rsidR="00890A76">
        <w:rPr>
          <w:noProof/>
        </w:rPr>
        <w:t>11</w:t>
      </w:r>
      <w:r>
        <w:rPr>
          <w:noProof/>
        </w:rPr>
        <w:fldChar w:fldCharType="end"/>
      </w:r>
    </w:p>
    <w:p w14:paraId="66981854" w14:textId="0B5ED43A" w:rsidR="00D8633E" w:rsidRDefault="00D8633E">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_Toc60310482 \h </w:instrText>
      </w:r>
      <w:r>
        <w:rPr>
          <w:noProof/>
        </w:rPr>
      </w:r>
      <w:r>
        <w:rPr>
          <w:noProof/>
        </w:rPr>
        <w:fldChar w:fldCharType="separate"/>
      </w:r>
      <w:r w:rsidR="00890A76">
        <w:rPr>
          <w:noProof/>
        </w:rPr>
        <w:t>12</w:t>
      </w:r>
      <w:r>
        <w:rPr>
          <w:noProof/>
        </w:rPr>
        <w:fldChar w:fldCharType="end"/>
      </w:r>
    </w:p>
    <w:p w14:paraId="73EA3CBB" w14:textId="3C5B41A6" w:rsidR="00D8633E" w:rsidRDefault="00D8633E">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_Toc60310483 \h </w:instrText>
      </w:r>
      <w:r>
        <w:rPr>
          <w:noProof/>
        </w:rPr>
      </w:r>
      <w:r>
        <w:rPr>
          <w:noProof/>
        </w:rPr>
        <w:fldChar w:fldCharType="separate"/>
      </w:r>
      <w:r w:rsidR="00890A76">
        <w:rPr>
          <w:noProof/>
        </w:rPr>
        <w:t>12</w:t>
      </w:r>
      <w:r>
        <w:rPr>
          <w:noProof/>
        </w:rPr>
        <w:fldChar w:fldCharType="end"/>
      </w:r>
    </w:p>
    <w:p w14:paraId="7C28D98D" w14:textId="54C663F0" w:rsidR="00D8633E" w:rsidRDefault="00D8633E">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_Toc60310484 \h </w:instrText>
      </w:r>
      <w:r>
        <w:rPr>
          <w:noProof/>
        </w:rPr>
      </w:r>
      <w:r>
        <w:rPr>
          <w:noProof/>
        </w:rPr>
        <w:fldChar w:fldCharType="separate"/>
      </w:r>
      <w:r w:rsidR="00890A76">
        <w:rPr>
          <w:noProof/>
        </w:rPr>
        <w:t>12</w:t>
      </w:r>
      <w:r>
        <w:rPr>
          <w:noProof/>
        </w:rPr>
        <w:fldChar w:fldCharType="end"/>
      </w:r>
    </w:p>
    <w:p w14:paraId="462EEDBC" w14:textId="1FFDB6F5" w:rsidR="00D8633E" w:rsidRDefault="00D8633E">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_Toc60310485 \h </w:instrText>
      </w:r>
      <w:r>
        <w:rPr>
          <w:noProof/>
        </w:rPr>
      </w:r>
      <w:r>
        <w:rPr>
          <w:noProof/>
        </w:rPr>
        <w:fldChar w:fldCharType="separate"/>
      </w:r>
      <w:r w:rsidR="00890A76">
        <w:rPr>
          <w:noProof/>
        </w:rPr>
        <w:t>13</w:t>
      </w:r>
      <w:r>
        <w:rPr>
          <w:noProof/>
        </w:rPr>
        <w:fldChar w:fldCharType="end"/>
      </w:r>
    </w:p>
    <w:p w14:paraId="11631459" w14:textId="0B2C93AB" w:rsidR="00D8633E" w:rsidRDefault="00D8633E">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_Toc60310486 \h </w:instrText>
      </w:r>
      <w:r>
        <w:rPr>
          <w:noProof/>
        </w:rPr>
      </w:r>
      <w:r>
        <w:rPr>
          <w:noProof/>
        </w:rPr>
        <w:fldChar w:fldCharType="separate"/>
      </w:r>
      <w:r w:rsidR="00890A76">
        <w:rPr>
          <w:noProof/>
        </w:rPr>
        <w:t>13</w:t>
      </w:r>
      <w:r>
        <w:rPr>
          <w:noProof/>
        </w:rPr>
        <w:fldChar w:fldCharType="end"/>
      </w:r>
    </w:p>
    <w:p w14:paraId="21106603" w14:textId="02C31E73" w:rsidR="00D8633E" w:rsidRDefault="00D8633E">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_Toc60310487 \h </w:instrText>
      </w:r>
      <w:r>
        <w:rPr>
          <w:noProof/>
        </w:rPr>
      </w:r>
      <w:r>
        <w:rPr>
          <w:noProof/>
        </w:rPr>
        <w:fldChar w:fldCharType="separate"/>
      </w:r>
      <w:r w:rsidR="00890A76">
        <w:rPr>
          <w:noProof/>
        </w:rPr>
        <w:t>13</w:t>
      </w:r>
      <w:r>
        <w:rPr>
          <w:noProof/>
        </w:rPr>
        <w:fldChar w:fldCharType="end"/>
      </w:r>
    </w:p>
    <w:p w14:paraId="0D26461A" w14:textId="007873EA" w:rsidR="00D8633E" w:rsidRDefault="00D8633E">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_Toc60310488 \h </w:instrText>
      </w:r>
      <w:r>
        <w:rPr>
          <w:noProof/>
        </w:rPr>
      </w:r>
      <w:r>
        <w:rPr>
          <w:noProof/>
        </w:rPr>
        <w:fldChar w:fldCharType="separate"/>
      </w:r>
      <w:r w:rsidR="00890A76">
        <w:rPr>
          <w:noProof/>
        </w:rPr>
        <w:t>15</w:t>
      </w:r>
      <w:r>
        <w:rPr>
          <w:noProof/>
        </w:rPr>
        <w:fldChar w:fldCharType="end"/>
      </w:r>
    </w:p>
    <w:p w14:paraId="4C194BAF" w14:textId="1922732D" w:rsidR="001C6C9B" w:rsidRPr="00D12B8C" w:rsidRDefault="001C6C9B" w:rsidP="00D12B8C">
      <w:pPr>
        <w:pStyle w:val="Norma"/>
      </w:pPr>
      <w:r>
        <w:fldChar w:fldCharType="end"/>
      </w:r>
    </w:p>
    <w:p w14:paraId="7DD78D3A" w14:textId="77777777" w:rsidR="007E1F66" w:rsidRDefault="007E1F66" w:rsidP="00462BB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60150591"/>
      <w:bookmarkStart w:id="3" w:name="_Toc60310465"/>
      <w:r w:rsidRPr="007E1F66">
        <w:lastRenderedPageBreak/>
        <w:t>Measure Name</w:t>
      </w:r>
      <w:bookmarkEnd w:id="0"/>
      <w:bookmarkEnd w:id="1"/>
      <w:bookmarkEnd w:id="2"/>
      <w:bookmarkEnd w:id="3"/>
    </w:p>
    <w:p w14:paraId="3B952704" w14:textId="04FF46AE" w:rsidR="00871123" w:rsidRDefault="00AC02BF" w:rsidP="00462BB6">
      <w:pPr>
        <w:pStyle w:val="Norma"/>
        <w:spacing w:before="20" w:after="20" w:line="280" w:lineRule="exact"/>
      </w:pPr>
      <w:r>
        <w:t>Space Heating Boiler</w:t>
      </w:r>
      <w:r w:rsidR="004026A4">
        <w:t>, Commercial &amp; Multifamily</w:t>
      </w:r>
    </w:p>
    <w:p w14:paraId="4EAED972" w14:textId="77777777" w:rsidR="00871123" w:rsidRPr="00401C43" w:rsidRDefault="00871123" w:rsidP="00462BB6">
      <w:pPr>
        <w:pStyle w:val="Norma"/>
        <w:spacing w:before="20" w:after="20" w:line="280" w:lineRule="exact"/>
      </w:pPr>
    </w:p>
    <w:p w14:paraId="6406A9D4" w14:textId="77777777" w:rsidR="00871123" w:rsidRPr="00074E3E" w:rsidRDefault="00871123" w:rsidP="00462BB6">
      <w:pPr>
        <w:pStyle w:val="eTRMHeading3"/>
        <w:spacing w:before="20" w:after="20"/>
      </w:pPr>
      <w:bookmarkStart w:id="4" w:name="_Toc486490840"/>
      <w:bookmarkStart w:id="5" w:name="_Toc486580913"/>
      <w:bookmarkStart w:id="6" w:name="_Toc60150592"/>
      <w:bookmarkStart w:id="7" w:name="_Toc60310466"/>
      <w:r>
        <w:t>Statewide Measure ID</w:t>
      </w:r>
      <w:bookmarkEnd w:id="4"/>
      <w:bookmarkEnd w:id="5"/>
      <w:bookmarkEnd w:id="6"/>
      <w:bookmarkEnd w:id="7"/>
    </w:p>
    <w:p w14:paraId="6EAE2100" w14:textId="52536651" w:rsidR="00871123" w:rsidRDefault="00552ED0" w:rsidP="00DB2962">
      <w:pPr>
        <w:pStyle w:val="Norma"/>
      </w:pPr>
      <w:r>
        <w:t>SWHC00</w:t>
      </w:r>
      <w:r w:rsidR="00392406">
        <w:t>4</w:t>
      </w:r>
      <w:r w:rsidR="00DB2962">
        <w:t>-0</w:t>
      </w:r>
      <w:r w:rsidR="004464B6">
        <w:t>3</w:t>
      </w:r>
    </w:p>
    <w:p w14:paraId="7BB80880" w14:textId="77777777" w:rsidR="00E14349" w:rsidRDefault="00E14349" w:rsidP="00DB2962">
      <w:pPr>
        <w:pStyle w:val="Norma"/>
      </w:pPr>
    </w:p>
    <w:p w14:paraId="0F7CA2E6" w14:textId="77777777" w:rsidR="00E70CBD" w:rsidRPr="00154391" w:rsidRDefault="00E70CBD" w:rsidP="00462BB6">
      <w:pPr>
        <w:pStyle w:val="eTRMHeading3"/>
      </w:pPr>
      <w:bookmarkStart w:id="8" w:name="_Toc486490847"/>
      <w:bookmarkStart w:id="9" w:name="_Toc486580918"/>
      <w:bookmarkStart w:id="10" w:name="_Toc60150593"/>
      <w:bookmarkStart w:id="11" w:name="_Toc60310467"/>
      <w:r w:rsidRPr="00154391">
        <w:t>Technology Summary</w:t>
      </w:r>
      <w:bookmarkEnd w:id="8"/>
      <w:bookmarkEnd w:id="9"/>
      <w:bookmarkEnd w:id="10"/>
      <w:bookmarkEnd w:id="11"/>
      <w:r w:rsidRPr="00154391">
        <w:t xml:space="preserve"> </w:t>
      </w:r>
    </w:p>
    <w:p w14:paraId="25AF4FC1" w14:textId="74542786" w:rsidR="00E74487" w:rsidRPr="006C7B9F" w:rsidRDefault="001D3398" w:rsidP="00E74487">
      <w:pPr>
        <w:pStyle w:val="Norma"/>
        <w:rPr>
          <w:b/>
          <w:bCs/>
          <w:iCs/>
          <w:smallCaps/>
        </w:rPr>
      </w:pPr>
      <w:r>
        <w:t xml:space="preserve">A </w:t>
      </w:r>
      <w:r w:rsidR="0098506C">
        <w:t>s</w:t>
      </w:r>
      <w:r w:rsidR="00E74487" w:rsidRPr="006C7B9F">
        <w:t>pace heating boiler</w:t>
      </w:r>
      <w:r>
        <w:t xml:space="preserve"> is a</w:t>
      </w:r>
      <w:r w:rsidR="00E74487" w:rsidRPr="006C7B9F">
        <w:t xml:space="preserve"> pressure vessel that transfer heat to water for use primarily in space heating applications. </w:t>
      </w:r>
      <w:r w:rsidR="0098506C">
        <w:t>A b</w:t>
      </w:r>
      <w:r w:rsidR="00E74487" w:rsidRPr="006C7B9F">
        <w:t>oiler heat</w:t>
      </w:r>
      <w:r w:rsidR="0098506C">
        <w:t>s</w:t>
      </w:r>
      <w:r w:rsidR="00E74487" w:rsidRPr="006C7B9F">
        <w:t xml:space="preserve"> water using a heat exchanger that works like an instantaneous water heater or by the addition of a separate tank with an internal heat exchanger that is connected to the boiler. </w:t>
      </w:r>
      <w:r w:rsidR="0098506C">
        <w:t>An e</w:t>
      </w:r>
      <w:r w:rsidR="00E74487" w:rsidRPr="006C7B9F">
        <w:t>nergy efficient unit often feature</w:t>
      </w:r>
      <w:r w:rsidR="0098506C">
        <w:t>s</w:t>
      </w:r>
      <w:r w:rsidR="00E74487" w:rsidRPr="006C7B9F">
        <w:t xml:space="preserve"> high-efficiency and/or low NOx burners, and typically </w:t>
      </w:r>
      <w:r w:rsidR="0098506C">
        <w:t>has</w:t>
      </w:r>
      <w:r w:rsidR="00E74487" w:rsidRPr="006C7B9F">
        <w:t xml:space="preserve"> features such as forced air burners, relatively large heat exchange surfaces, and/or utilize heat recovery from stack gases. </w:t>
      </w:r>
    </w:p>
    <w:p w14:paraId="519354C3" w14:textId="621E3A8E" w:rsidR="00E74487" w:rsidRDefault="0098506C" w:rsidP="00E74487">
      <w:pPr>
        <w:pStyle w:val="Norma"/>
      </w:pPr>
      <w:r>
        <w:t>A h</w:t>
      </w:r>
      <w:r w:rsidR="00E74487" w:rsidRPr="006C7B9F">
        <w:t xml:space="preserve">igh-efficiency gas-fired boiler, typically rated above 90% thermal efficiency, </w:t>
      </w:r>
      <w:r>
        <w:t>is</w:t>
      </w:r>
      <w:r w:rsidR="00E74487" w:rsidRPr="006C7B9F">
        <w:t xml:space="preserve"> commonly known as </w:t>
      </w:r>
      <w:r>
        <w:t xml:space="preserve">a </w:t>
      </w:r>
      <w:r w:rsidR="00E74487" w:rsidRPr="006C7B9F">
        <w:t>condensing</w:t>
      </w:r>
      <w:r w:rsidR="00E74487">
        <w:t xml:space="preserve"> </w:t>
      </w:r>
      <w:r w:rsidR="00E74487" w:rsidRPr="006C7B9F">
        <w:t xml:space="preserve">boiler. </w:t>
      </w:r>
      <w:r>
        <w:t>A c</w:t>
      </w:r>
      <w:r w:rsidR="00E74487" w:rsidRPr="006C7B9F">
        <w:t xml:space="preserve">ondensing boiler </w:t>
      </w:r>
      <w:r>
        <w:t>is</w:t>
      </w:r>
      <w:r w:rsidR="00E74487" w:rsidRPr="006C7B9F">
        <w:t xml:space="preserve"> equipped with larger heat exchanger that </w:t>
      </w:r>
      <w:r>
        <w:t>can</w:t>
      </w:r>
      <w:r w:rsidR="00E74487" w:rsidRPr="006C7B9F">
        <w:t xml:space="preserve"> recuperate additional thermal energy from the flue gas – compared to </w:t>
      </w:r>
      <w:r>
        <w:t>its</w:t>
      </w:r>
      <w:r w:rsidR="00E74487" w:rsidRPr="006C7B9F">
        <w:t xml:space="preserve"> non-condensing counterpart. </w:t>
      </w:r>
      <w:r w:rsidR="00E74487">
        <w:t xml:space="preserve">Condensing boilers </w:t>
      </w:r>
      <w:r>
        <w:t>can</w:t>
      </w:r>
      <w:r w:rsidR="00E74487">
        <w:t xml:space="preserve"> condense moisture out of the flue gas, recovering the latent heat from the water vapor present</w:t>
      </w:r>
      <w:r w:rsidR="00E74487" w:rsidRPr="006C7B9F">
        <w:t>.</w:t>
      </w:r>
      <w:r w:rsidR="00E74487">
        <w:t xml:space="preserve"> The removal of latent heat in the water vapor results in a lower flue gas temperature than </w:t>
      </w:r>
      <w:r>
        <w:t xml:space="preserve">a </w:t>
      </w:r>
      <w:r w:rsidR="00E74487">
        <w:t>traditional boiler.</w:t>
      </w:r>
    </w:p>
    <w:p w14:paraId="3CB94CD4" w14:textId="51D73693" w:rsidR="000D6FDC" w:rsidRDefault="000D6FDC" w:rsidP="00E74487">
      <w:pPr>
        <w:pStyle w:val="Norma"/>
        <w:rPr>
          <w:b/>
          <w:bCs/>
          <w:iCs/>
          <w:smallCaps/>
        </w:rPr>
      </w:pPr>
      <w:r>
        <w:t>Efficient boilers often use controls strategies to reset supply water temperature based on outdoor air</w:t>
      </w:r>
      <w:r w:rsidR="004B242A">
        <w:t xml:space="preserve"> (OA) </w:t>
      </w:r>
      <w:r>
        <w:t xml:space="preserve">temperature. This means that when the weather is warmer and heating requirements are lower, the boiler can be set to provide cooler supply water. This reduced the heating energy required by the boiler and saves energy. </w:t>
      </w:r>
    </w:p>
    <w:p w14:paraId="50651F56" w14:textId="77777777" w:rsidR="00490681" w:rsidRPr="00AB6C99" w:rsidRDefault="00490681" w:rsidP="00AB6C99">
      <w:pPr>
        <w:pStyle w:val="Norma"/>
      </w:pPr>
    </w:p>
    <w:p w14:paraId="5AF18021" w14:textId="77777777" w:rsidR="007D230B" w:rsidRPr="004B06E3" w:rsidRDefault="007D230B" w:rsidP="00462BB6">
      <w:pPr>
        <w:pStyle w:val="eTRMHeading3"/>
      </w:pPr>
      <w:bookmarkStart w:id="12" w:name="_Toc486490848"/>
      <w:bookmarkStart w:id="13" w:name="_Toc486580919"/>
      <w:bookmarkStart w:id="14" w:name="_Toc60150594"/>
      <w:bookmarkStart w:id="15" w:name="_Toc60310468"/>
      <w:r w:rsidRPr="004B06E3">
        <w:t>Measure Case Description</w:t>
      </w:r>
      <w:bookmarkEnd w:id="12"/>
      <w:bookmarkEnd w:id="13"/>
      <w:bookmarkEnd w:id="14"/>
      <w:bookmarkEnd w:id="15"/>
    </w:p>
    <w:p w14:paraId="2FEB73A9" w14:textId="4241E145" w:rsidR="00C67929" w:rsidRDefault="005C4BF7" w:rsidP="00490681">
      <w:pPr>
        <w:pStyle w:val="Norma"/>
      </w:pPr>
      <w:r>
        <w:t>The measure case is defined as a high-efficiency space heating boiler that meets the specifications below. As shown, measure offerings are designated by two tiers</w:t>
      </w:r>
      <w:r w:rsidR="004B242A">
        <w:t xml:space="preserve"> based on boiler efficiency and in some </w:t>
      </w:r>
      <w:r w:rsidR="004026A4">
        <w:t>cases</w:t>
      </w:r>
      <w:r w:rsidR="004B242A">
        <w:t xml:space="preserve"> </w:t>
      </w:r>
      <w:proofErr w:type="gramStart"/>
      <w:r w:rsidR="004B242A">
        <w:t>OA</w:t>
      </w:r>
      <w:proofErr w:type="gramEnd"/>
      <w:r w:rsidR="004B242A">
        <w:t xml:space="preserve"> reset controls. </w:t>
      </w:r>
    </w:p>
    <w:p w14:paraId="5E518290" w14:textId="7C88BCEE" w:rsidR="00490681" w:rsidRDefault="004B242A" w:rsidP="00490681">
      <w:pPr>
        <w:pStyle w:val="Norma"/>
      </w:pPr>
      <w:r>
        <w:t xml:space="preserve">The OA reset controls shown in the table describe the range of </w:t>
      </w:r>
      <w:r w:rsidR="00C67929">
        <w:t xml:space="preserve">boiler </w:t>
      </w:r>
      <w:r>
        <w:t xml:space="preserve">supply water temperature that the reset should span based on outdoor air temperature. </w:t>
      </w:r>
      <w:r w:rsidR="00C67929">
        <w:t xml:space="preserve">For steam boilers </w:t>
      </w:r>
      <w:r w:rsidR="00C67929" w:rsidRPr="00C67929">
        <w:t>is assumed that the steam goes to a heat exchanger that heats a secondary</w:t>
      </w:r>
      <w:r w:rsidR="00C67929">
        <w:t xml:space="preserve"> supply</w:t>
      </w:r>
      <w:r w:rsidR="00C67929" w:rsidRPr="00C67929">
        <w:t xml:space="preserve"> hot water loop</w:t>
      </w:r>
      <w:r w:rsidR="00C67929">
        <w:t>. This secondary hot water loop is what supplies building heating and it is the loop temperature to which</w:t>
      </w:r>
      <w:r w:rsidR="00C67929" w:rsidRPr="00C67929">
        <w:t xml:space="preserve"> the OA reset control is applied.</w:t>
      </w:r>
    </w:p>
    <w:p w14:paraId="4385C21A" w14:textId="05104D1F" w:rsidR="006D38FE" w:rsidRDefault="00832A69" w:rsidP="0051573C">
      <w:pPr>
        <w:pStyle w:val="Caption"/>
      </w:pPr>
      <w:r>
        <w:lastRenderedPageBreak/>
        <w:t>Measure Case Specification</w:t>
      </w:r>
    </w:p>
    <w:tbl>
      <w:tblPr>
        <w:tblStyle w:val="NormalTable"/>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47"/>
        <w:gridCol w:w="1705"/>
        <w:gridCol w:w="1180"/>
        <w:gridCol w:w="1180"/>
        <w:gridCol w:w="1180"/>
        <w:gridCol w:w="1180"/>
        <w:gridCol w:w="1178"/>
      </w:tblGrid>
      <w:tr w:rsidR="00ED42E6" w:rsidRPr="00154391" w14:paraId="7449C2A4" w14:textId="77D1A0DB" w:rsidTr="0051573C">
        <w:trPr>
          <w:cantSplit/>
          <w:trHeight w:val="427"/>
          <w:tblHeader/>
        </w:trPr>
        <w:tc>
          <w:tcPr>
            <w:tcW w:w="934" w:type="pct"/>
            <w:vMerge w:val="restart"/>
            <w:shd w:val="clear" w:color="auto" w:fill="F2F2F2" w:themeFill="background1" w:themeFillShade="F2"/>
            <w:vAlign w:val="bottom"/>
          </w:tcPr>
          <w:p w14:paraId="4939D75A" w14:textId="765BAD0B" w:rsidR="00ED42E6" w:rsidRPr="00154391" w:rsidRDefault="00ED42E6" w:rsidP="0051573C">
            <w:pPr>
              <w:pStyle w:val="Norma"/>
              <w:keepNext/>
              <w:keepLines/>
              <w:spacing w:before="20" w:after="20"/>
              <w:jc w:val="center"/>
              <w:rPr>
                <w:b/>
                <w:sz w:val="20"/>
                <w:szCs w:val="20"/>
              </w:rPr>
            </w:pPr>
            <w:r w:rsidRPr="00832A69">
              <w:rPr>
                <w:rFonts w:eastAsia="Times New Roman" w:cs="Calibri Light"/>
                <w:b/>
                <w:color w:val="000000"/>
                <w:sz w:val="20"/>
                <w:szCs w:val="20"/>
              </w:rPr>
              <w:t>Boiler Type</w:t>
            </w:r>
          </w:p>
        </w:tc>
        <w:tc>
          <w:tcPr>
            <w:tcW w:w="912" w:type="pct"/>
            <w:vMerge w:val="restart"/>
            <w:shd w:val="clear" w:color="auto" w:fill="F2F2F2" w:themeFill="background1" w:themeFillShade="F2"/>
            <w:vAlign w:val="bottom"/>
          </w:tcPr>
          <w:p w14:paraId="4B077581" w14:textId="360A7815" w:rsidR="00ED42E6" w:rsidRPr="00154391" w:rsidRDefault="00ED42E6" w:rsidP="0051573C">
            <w:pPr>
              <w:pStyle w:val="Norma"/>
              <w:keepNext/>
              <w:keepLines/>
              <w:spacing w:before="20" w:after="20"/>
              <w:jc w:val="center"/>
              <w:rPr>
                <w:b/>
                <w:sz w:val="20"/>
                <w:szCs w:val="20"/>
              </w:rPr>
            </w:pPr>
            <w:r w:rsidRPr="00832A69">
              <w:rPr>
                <w:rFonts w:eastAsia="Times New Roman" w:cs="Calibri Light"/>
                <w:b/>
                <w:color w:val="000000"/>
                <w:sz w:val="20"/>
                <w:szCs w:val="20"/>
              </w:rPr>
              <w:t>Rated Input (</w:t>
            </w:r>
            <w:proofErr w:type="spellStart"/>
            <w:r w:rsidRPr="00832A69">
              <w:rPr>
                <w:rFonts w:eastAsia="Times New Roman" w:cs="Calibri Light"/>
                <w:b/>
                <w:color w:val="000000"/>
                <w:sz w:val="20"/>
                <w:szCs w:val="20"/>
              </w:rPr>
              <w:t>MBtuh</w:t>
            </w:r>
            <w:proofErr w:type="spellEnd"/>
            <w:r w:rsidRPr="00832A69">
              <w:rPr>
                <w:rFonts w:eastAsia="Times New Roman" w:cs="Calibri Light"/>
                <w:b/>
                <w:color w:val="000000"/>
                <w:sz w:val="20"/>
                <w:szCs w:val="20"/>
              </w:rPr>
              <w:t>)</w:t>
            </w:r>
          </w:p>
        </w:tc>
        <w:tc>
          <w:tcPr>
            <w:tcW w:w="631" w:type="pct"/>
            <w:vMerge w:val="restart"/>
            <w:shd w:val="clear" w:color="auto" w:fill="F2F2F2" w:themeFill="background1" w:themeFillShade="F2"/>
            <w:vAlign w:val="bottom"/>
          </w:tcPr>
          <w:p w14:paraId="7833BF96" w14:textId="4AAD857C" w:rsidR="00ED42E6" w:rsidRPr="00154391" w:rsidRDefault="00ED42E6" w:rsidP="0051573C">
            <w:pPr>
              <w:pStyle w:val="Norma"/>
              <w:keepNext/>
              <w:keepLines/>
              <w:spacing w:before="20" w:after="20"/>
              <w:jc w:val="center"/>
              <w:rPr>
                <w:b/>
                <w:sz w:val="20"/>
                <w:szCs w:val="20"/>
              </w:rPr>
            </w:pPr>
            <w:r w:rsidRPr="0055786F">
              <w:rPr>
                <w:rFonts w:eastAsia="Times New Roman" w:cs="Calibri Light"/>
                <w:b/>
                <w:bCs/>
                <w:color w:val="000000"/>
                <w:sz w:val="20"/>
                <w:szCs w:val="20"/>
              </w:rPr>
              <w:t xml:space="preserve">Base </w:t>
            </w:r>
            <w:r>
              <w:rPr>
                <w:rFonts w:eastAsia="Times New Roman" w:cs="Calibri Light"/>
                <w:b/>
                <w:bCs/>
                <w:color w:val="000000"/>
                <w:sz w:val="20"/>
                <w:szCs w:val="20"/>
              </w:rPr>
              <w:t xml:space="preserve">Case </w:t>
            </w:r>
            <w:r w:rsidRPr="0055786F">
              <w:rPr>
                <w:rFonts w:eastAsia="Times New Roman" w:cs="Calibri Light"/>
                <w:b/>
                <w:bCs/>
                <w:color w:val="000000"/>
                <w:sz w:val="20"/>
                <w:szCs w:val="20"/>
              </w:rPr>
              <w:t>Eff</w:t>
            </w:r>
            <w:r>
              <w:rPr>
                <w:rFonts w:eastAsia="Times New Roman" w:cs="Calibri Light"/>
                <w:b/>
                <w:bCs/>
                <w:color w:val="000000"/>
                <w:sz w:val="20"/>
                <w:szCs w:val="20"/>
              </w:rPr>
              <w:t>iciency</w:t>
            </w:r>
          </w:p>
        </w:tc>
        <w:tc>
          <w:tcPr>
            <w:tcW w:w="1262" w:type="pct"/>
            <w:gridSpan w:val="2"/>
            <w:shd w:val="clear" w:color="auto" w:fill="F2F2F2" w:themeFill="background1" w:themeFillShade="F2"/>
            <w:vAlign w:val="bottom"/>
          </w:tcPr>
          <w:p w14:paraId="780729B5" w14:textId="1683ECB2" w:rsidR="00ED42E6" w:rsidRPr="00154391" w:rsidRDefault="00ED42E6" w:rsidP="0051573C">
            <w:pPr>
              <w:pStyle w:val="Norma"/>
              <w:keepNext/>
              <w:keepLines/>
              <w:spacing w:before="20" w:after="20"/>
              <w:jc w:val="center"/>
              <w:rPr>
                <w:b/>
                <w:sz w:val="20"/>
                <w:szCs w:val="20"/>
              </w:rPr>
            </w:pPr>
            <w:r>
              <w:rPr>
                <w:rFonts w:eastAsia="Times New Roman" w:cs="Calibri Light"/>
                <w:b/>
                <w:bCs/>
                <w:color w:val="000000"/>
                <w:sz w:val="20"/>
                <w:szCs w:val="20"/>
              </w:rPr>
              <w:t>Tier 1</w:t>
            </w:r>
          </w:p>
        </w:tc>
        <w:tc>
          <w:tcPr>
            <w:tcW w:w="1261" w:type="pct"/>
            <w:gridSpan w:val="2"/>
            <w:shd w:val="clear" w:color="auto" w:fill="F2F2F2" w:themeFill="background1" w:themeFillShade="F2"/>
            <w:vAlign w:val="bottom"/>
          </w:tcPr>
          <w:p w14:paraId="4014E805" w14:textId="367C8642" w:rsidR="00ED42E6" w:rsidRPr="00154391" w:rsidRDefault="00ED42E6" w:rsidP="0051573C">
            <w:pPr>
              <w:pStyle w:val="Norma"/>
              <w:keepNext/>
              <w:keepLines/>
              <w:spacing w:before="20" w:after="20"/>
              <w:jc w:val="center"/>
              <w:rPr>
                <w:b/>
                <w:sz w:val="20"/>
                <w:szCs w:val="20"/>
              </w:rPr>
            </w:pPr>
            <w:r>
              <w:rPr>
                <w:rFonts w:eastAsia="Times New Roman" w:cs="Calibri Light"/>
                <w:b/>
                <w:bCs/>
                <w:color w:val="000000"/>
                <w:sz w:val="20"/>
                <w:szCs w:val="20"/>
              </w:rPr>
              <w:t>Tier 2</w:t>
            </w:r>
          </w:p>
        </w:tc>
      </w:tr>
      <w:tr w:rsidR="00ED42E6" w:rsidRPr="00154391" w14:paraId="43E9B7FE" w14:textId="77777777" w:rsidTr="0051573C">
        <w:trPr>
          <w:cantSplit/>
          <w:trHeight w:val="426"/>
          <w:tblHeader/>
        </w:trPr>
        <w:tc>
          <w:tcPr>
            <w:tcW w:w="934" w:type="pct"/>
            <w:vMerge/>
            <w:shd w:val="clear" w:color="auto" w:fill="F2F2F2" w:themeFill="background1" w:themeFillShade="F2"/>
            <w:vAlign w:val="bottom"/>
          </w:tcPr>
          <w:p w14:paraId="6FFE9C3C" w14:textId="77777777" w:rsidR="00ED42E6" w:rsidRPr="00832A69" w:rsidRDefault="00ED42E6" w:rsidP="0051573C">
            <w:pPr>
              <w:pStyle w:val="Norma"/>
              <w:keepNext/>
              <w:keepLines/>
              <w:spacing w:before="20" w:after="20"/>
              <w:jc w:val="center"/>
              <w:rPr>
                <w:rFonts w:eastAsia="Times New Roman" w:cs="Calibri Light"/>
                <w:b/>
                <w:color w:val="000000"/>
                <w:sz w:val="20"/>
                <w:szCs w:val="20"/>
              </w:rPr>
            </w:pPr>
          </w:p>
        </w:tc>
        <w:tc>
          <w:tcPr>
            <w:tcW w:w="912" w:type="pct"/>
            <w:vMerge/>
            <w:shd w:val="clear" w:color="auto" w:fill="F2F2F2" w:themeFill="background1" w:themeFillShade="F2"/>
            <w:vAlign w:val="bottom"/>
          </w:tcPr>
          <w:p w14:paraId="15BCADC0" w14:textId="77777777" w:rsidR="00ED42E6" w:rsidRPr="00832A69" w:rsidRDefault="00ED42E6" w:rsidP="0051573C">
            <w:pPr>
              <w:pStyle w:val="Norma"/>
              <w:keepNext/>
              <w:keepLines/>
              <w:spacing w:before="20" w:after="20"/>
              <w:jc w:val="center"/>
              <w:rPr>
                <w:rFonts w:eastAsia="Times New Roman" w:cs="Calibri Light"/>
                <w:b/>
                <w:color w:val="000000"/>
                <w:sz w:val="20"/>
                <w:szCs w:val="20"/>
              </w:rPr>
            </w:pPr>
          </w:p>
        </w:tc>
        <w:tc>
          <w:tcPr>
            <w:tcW w:w="631" w:type="pct"/>
            <w:vMerge/>
            <w:shd w:val="clear" w:color="auto" w:fill="F2F2F2" w:themeFill="background1" w:themeFillShade="F2"/>
            <w:vAlign w:val="bottom"/>
          </w:tcPr>
          <w:p w14:paraId="02624D49" w14:textId="77777777" w:rsidR="00ED42E6" w:rsidRPr="0055786F" w:rsidRDefault="00ED42E6" w:rsidP="0051573C">
            <w:pPr>
              <w:pStyle w:val="Norma"/>
              <w:keepNext/>
              <w:keepLines/>
              <w:spacing w:before="20" w:after="20"/>
              <w:jc w:val="center"/>
              <w:rPr>
                <w:rFonts w:eastAsia="Times New Roman" w:cs="Calibri Light"/>
                <w:b/>
                <w:bCs/>
                <w:color w:val="000000"/>
                <w:sz w:val="20"/>
                <w:szCs w:val="20"/>
              </w:rPr>
            </w:pPr>
          </w:p>
        </w:tc>
        <w:tc>
          <w:tcPr>
            <w:tcW w:w="631" w:type="pct"/>
            <w:shd w:val="clear" w:color="auto" w:fill="F2F2F2" w:themeFill="background1" w:themeFillShade="F2"/>
            <w:vAlign w:val="bottom"/>
          </w:tcPr>
          <w:p w14:paraId="22043983" w14:textId="1359C7F2" w:rsidR="00ED42E6" w:rsidRPr="0055786F" w:rsidRDefault="00ED42E6" w:rsidP="0051573C">
            <w:pPr>
              <w:pStyle w:val="Norma"/>
              <w:keepNext/>
              <w:keepLines/>
              <w:spacing w:before="20" w:after="20"/>
              <w:jc w:val="center"/>
              <w:rPr>
                <w:rFonts w:eastAsia="Times New Roman" w:cs="Calibri Light"/>
                <w:b/>
                <w:bCs/>
                <w:color w:val="000000"/>
                <w:sz w:val="20"/>
                <w:szCs w:val="20"/>
              </w:rPr>
            </w:pPr>
            <w:r w:rsidRPr="0055786F">
              <w:rPr>
                <w:rFonts w:eastAsia="Times New Roman" w:cs="Calibri Light"/>
                <w:b/>
                <w:bCs/>
                <w:color w:val="000000"/>
                <w:sz w:val="20"/>
                <w:szCs w:val="20"/>
              </w:rPr>
              <w:t>Measure Eff</w:t>
            </w:r>
            <w:r>
              <w:rPr>
                <w:rFonts w:eastAsia="Times New Roman" w:cs="Calibri Light"/>
                <w:b/>
                <w:bCs/>
                <w:color w:val="000000"/>
                <w:sz w:val="20"/>
                <w:szCs w:val="20"/>
              </w:rPr>
              <w:t>iciency</w:t>
            </w:r>
          </w:p>
        </w:tc>
        <w:tc>
          <w:tcPr>
            <w:tcW w:w="631" w:type="pct"/>
            <w:shd w:val="clear" w:color="auto" w:fill="F2F2F2" w:themeFill="background1" w:themeFillShade="F2"/>
            <w:vAlign w:val="bottom"/>
          </w:tcPr>
          <w:p w14:paraId="103B9548" w14:textId="7A55342F" w:rsidR="00ED42E6" w:rsidRPr="0055786F" w:rsidRDefault="00ED42E6" w:rsidP="0051573C">
            <w:pPr>
              <w:pStyle w:val="Norma"/>
              <w:keepNext/>
              <w:keepLines/>
              <w:spacing w:before="20" w:after="20"/>
              <w:jc w:val="center"/>
              <w:rPr>
                <w:rFonts w:eastAsia="Times New Roman" w:cs="Calibri Light"/>
                <w:b/>
                <w:bCs/>
                <w:color w:val="000000"/>
                <w:sz w:val="20"/>
                <w:szCs w:val="20"/>
              </w:rPr>
            </w:pPr>
            <w:r>
              <w:rPr>
                <w:rFonts w:eastAsia="Times New Roman" w:cs="Calibri Light"/>
                <w:b/>
                <w:bCs/>
                <w:color w:val="000000"/>
                <w:sz w:val="20"/>
                <w:szCs w:val="20"/>
              </w:rPr>
              <w:t>OA Reset Control</w:t>
            </w:r>
          </w:p>
        </w:tc>
        <w:tc>
          <w:tcPr>
            <w:tcW w:w="631" w:type="pct"/>
            <w:shd w:val="clear" w:color="auto" w:fill="F2F2F2" w:themeFill="background1" w:themeFillShade="F2"/>
            <w:vAlign w:val="bottom"/>
          </w:tcPr>
          <w:p w14:paraId="3AD34241" w14:textId="7D98D03B" w:rsidR="00ED42E6" w:rsidRDefault="00ED42E6" w:rsidP="0051573C">
            <w:pPr>
              <w:pStyle w:val="Norma"/>
              <w:keepNext/>
              <w:keepLines/>
              <w:spacing w:before="20" w:after="20"/>
              <w:jc w:val="center"/>
              <w:rPr>
                <w:rFonts w:eastAsia="Times New Roman" w:cs="Calibri Light"/>
                <w:b/>
                <w:bCs/>
                <w:color w:val="000000"/>
                <w:sz w:val="20"/>
                <w:szCs w:val="20"/>
              </w:rPr>
            </w:pPr>
            <w:r w:rsidRPr="0055786F">
              <w:rPr>
                <w:rFonts w:eastAsia="Times New Roman" w:cs="Calibri Light"/>
                <w:b/>
                <w:bCs/>
                <w:color w:val="000000"/>
                <w:sz w:val="20"/>
                <w:szCs w:val="20"/>
              </w:rPr>
              <w:t>Measure Eff</w:t>
            </w:r>
            <w:r>
              <w:rPr>
                <w:rFonts w:eastAsia="Times New Roman" w:cs="Calibri Light"/>
                <w:b/>
                <w:bCs/>
                <w:color w:val="000000"/>
                <w:sz w:val="20"/>
                <w:szCs w:val="20"/>
              </w:rPr>
              <w:t>iciency</w:t>
            </w:r>
          </w:p>
        </w:tc>
        <w:tc>
          <w:tcPr>
            <w:tcW w:w="630" w:type="pct"/>
            <w:shd w:val="clear" w:color="auto" w:fill="F2F2F2" w:themeFill="background1" w:themeFillShade="F2"/>
            <w:vAlign w:val="bottom"/>
          </w:tcPr>
          <w:p w14:paraId="5677905A" w14:textId="31BFF5E9" w:rsidR="00ED42E6" w:rsidRDefault="00ED42E6" w:rsidP="0051573C">
            <w:pPr>
              <w:pStyle w:val="Norma"/>
              <w:keepNext/>
              <w:keepLines/>
              <w:spacing w:before="20" w:after="20"/>
              <w:jc w:val="center"/>
              <w:rPr>
                <w:rFonts w:eastAsia="Times New Roman" w:cs="Calibri Light"/>
                <w:b/>
                <w:bCs/>
                <w:color w:val="000000"/>
                <w:sz w:val="20"/>
                <w:szCs w:val="20"/>
              </w:rPr>
            </w:pPr>
            <w:r>
              <w:rPr>
                <w:rFonts w:eastAsia="Times New Roman" w:cs="Calibri Light"/>
                <w:b/>
                <w:bCs/>
                <w:color w:val="000000"/>
                <w:sz w:val="20"/>
                <w:szCs w:val="20"/>
              </w:rPr>
              <w:t>OA Reset Control(s)</w:t>
            </w:r>
          </w:p>
        </w:tc>
      </w:tr>
      <w:tr w:rsidR="00ED42E6" w:rsidRPr="000C412A" w14:paraId="00AD5C8D" w14:textId="77777777" w:rsidTr="005466DB">
        <w:trPr>
          <w:cantSplit/>
          <w:trHeight w:val="20"/>
        </w:trPr>
        <w:tc>
          <w:tcPr>
            <w:tcW w:w="934" w:type="pct"/>
            <w:vMerge w:val="restart"/>
            <w:shd w:val="clear" w:color="auto" w:fill="FFFFFF" w:themeFill="background1"/>
            <w:vAlign w:val="center"/>
          </w:tcPr>
          <w:p w14:paraId="254B2F92" w14:textId="6256F3E8" w:rsidR="00ED42E6" w:rsidRPr="0055786F" w:rsidRDefault="00ED42E6" w:rsidP="005466DB">
            <w:pPr>
              <w:pStyle w:val="Norma"/>
              <w:keepNext/>
              <w:keepLines/>
              <w:spacing w:before="20" w:after="20"/>
              <w:jc w:val="center"/>
              <w:rPr>
                <w:rFonts w:eastAsia="Times New Roman" w:cs="Calibri Light"/>
                <w:b/>
                <w:bCs/>
                <w:color w:val="000000"/>
                <w:sz w:val="20"/>
                <w:szCs w:val="20"/>
              </w:rPr>
            </w:pPr>
            <w:r w:rsidRPr="00C3487B">
              <w:rPr>
                <w:rFonts w:eastAsia="Times New Roman" w:cs="Calibri Light"/>
                <w:b/>
                <w:bCs/>
                <w:color w:val="000000"/>
                <w:sz w:val="20"/>
                <w:szCs w:val="20"/>
              </w:rPr>
              <w:t>Hot Water</w:t>
            </w:r>
          </w:p>
        </w:tc>
        <w:tc>
          <w:tcPr>
            <w:tcW w:w="912" w:type="pct"/>
            <w:shd w:val="clear" w:color="auto" w:fill="FFFFFF" w:themeFill="background1"/>
            <w:vAlign w:val="center"/>
          </w:tcPr>
          <w:p w14:paraId="506CBB25" w14:textId="1BC231CD" w:rsidR="00ED42E6" w:rsidRPr="000C412A" w:rsidRDefault="00ED42E6" w:rsidP="005466DB">
            <w:pPr>
              <w:pStyle w:val="Norma"/>
              <w:keepNext/>
              <w:keepLines/>
              <w:spacing w:before="20" w:after="20"/>
              <w:jc w:val="center"/>
              <w:rPr>
                <w:sz w:val="20"/>
                <w:szCs w:val="20"/>
              </w:rPr>
            </w:pPr>
            <w:r w:rsidRPr="0055786F">
              <w:rPr>
                <w:rFonts w:eastAsia="Times New Roman" w:cs="Calibri Light"/>
                <w:b/>
                <w:bCs/>
                <w:color w:val="000000"/>
                <w:sz w:val="20"/>
                <w:szCs w:val="20"/>
              </w:rPr>
              <w:t>&lt;</w:t>
            </w:r>
            <w:r w:rsidR="00A93343">
              <w:rPr>
                <w:rFonts w:eastAsia="Times New Roman" w:cs="Calibri Light"/>
                <w:b/>
                <w:bCs/>
                <w:color w:val="000000"/>
                <w:sz w:val="20"/>
                <w:szCs w:val="20"/>
              </w:rPr>
              <w:t xml:space="preserve"> </w:t>
            </w:r>
            <w:r w:rsidRPr="0055786F">
              <w:rPr>
                <w:rFonts w:eastAsia="Times New Roman" w:cs="Calibri Light"/>
                <w:b/>
                <w:bCs/>
                <w:color w:val="000000"/>
                <w:sz w:val="20"/>
                <w:szCs w:val="20"/>
              </w:rPr>
              <w:t>300 (</w:t>
            </w:r>
            <w:proofErr w:type="spellStart"/>
            <w:r w:rsidRPr="0055786F">
              <w:rPr>
                <w:rFonts w:eastAsia="Times New Roman" w:cs="Calibri Light"/>
                <w:b/>
                <w:bCs/>
                <w:color w:val="000000"/>
                <w:sz w:val="20"/>
                <w:szCs w:val="20"/>
              </w:rPr>
              <w:t>MFm</w:t>
            </w:r>
            <w:proofErr w:type="spellEnd"/>
            <w:r w:rsidRPr="0055786F">
              <w:rPr>
                <w:rFonts w:eastAsia="Times New Roman" w:cs="Calibri Light"/>
                <w:b/>
                <w:bCs/>
                <w:color w:val="000000"/>
                <w:sz w:val="20"/>
                <w:szCs w:val="20"/>
              </w:rPr>
              <w:t>)</w:t>
            </w:r>
          </w:p>
        </w:tc>
        <w:tc>
          <w:tcPr>
            <w:tcW w:w="631" w:type="pct"/>
            <w:shd w:val="clear" w:color="auto" w:fill="auto"/>
            <w:vAlign w:val="center"/>
          </w:tcPr>
          <w:p w14:paraId="765462BD" w14:textId="24C4E701"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w:t>
            </w:r>
            <w:r w:rsidR="00A7135A">
              <w:rPr>
                <w:rFonts w:eastAsia="Times New Roman" w:cs="Calibri Light"/>
                <w:sz w:val="20"/>
                <w:szCs w:val="20"/>
              </w:rPr>
              <w:t>4</w:t>
            </w:r>
            <w:r w:rsidRPr="003616C9">
              <w:rPr>
                <w:rFonts w:eastAsia="Times New Roman" w:cs="Calibri Light"/>
                <w:sz w:val="20"/>
                <w:szCs w:val="20"/>
              </w:rPr>
              <w:t>% AFUE</w:t>
            </w:r>
          </w:p>
        </w:tc>
        <w:tc>
          <w:tcPr>
            <w:tcW w:w="631" w:type="pct"/>
            <w:shd w:val="clear" w:color="auto" w:fill="auto"/>
            <w:vAlign w:val="center"/>
          </w:tcPr>
          <w:p w14:paraId="1E5CE6DF" w14:textId="30DEE49C" w:rsidR="00ED42E6" w:rsidRPr="003616C9" w:rsidRDefault="00A7135A" w:rsidP="005466DB">
            <w:pPr>
              <w:pStyle w:val="Norma"/>
              <w:keepNext/>
              <w:keepLines/>
              <w:spacing w:before="20" w:after="20"/>
              <w:jc w:val="center"/>
              <w:rPr>
                <w:sz w:val="20"/>
                <w:szCs w:val="20"/>
              </w:rPr>
            </w:pPr>
            <w:r>
              <w:rPr>
                <w:rFonts w:eastAsia="Times New Roman" w:cs="Calibri Light"/>
                <w:sz w:val="20"/>
                <w:szCs w:val="20"/>
              </w:rPr>
              <w:t>94</w:t>
            </w:r>
            <w:r w:rsidR="00ED42E6" w:rsidRPr="003616C9">
              <w:rPr>
                <w:rFonts w:eastAsia="Times New Roman" w:cs="Calibri Light"/>
                <w:sz w:val="20"/>
                <w:szCs w:val="20"/>
              </w:rPr>
              <w:t>% AFUE</w:t>
            </w:r>
          </w:p>
        </w:tc>
        <w:tc>
          <w:tcPr>
            <w:tcW w:w="631" w:type="pct"/>
            <w:shd w:val="clear" w:color="auto" w:fill="auto"/>
            <w:vAlign w:val="center"/>
          </w:tcPr>
          <w:p w14:paraId="6D11B660" w14:textId="0A3D2A78"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1" w:type="pct"/>
            <w:shd w:val="clear" w:color="auto" w:fill="auto"/>
            <w:vAlign w:val="center"/>
          </w:tcPr>
          <w:p w14:paraId="5B8E7802" w14:textId="6792FB55"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0" w:type="pct"/>
            <w:shd w:val="clear" w:color="000000" w:fill="FFFFFF"/>
            <w:vAlign w:val="center"/>
          </w:tcPr>
          <w:p w14:paraId="039EDDBD" w14:textId="0CC0DF7F"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w:t>
            </w:r>
          </w:p>
        </w:tc>
      </w:tr>
      <w:tr w:rsidR="00ED42E6" w:rsidRPr="000C412A" w14:paraId="51845FD7" w14:textId="77777777" w:rsidTr="005466DB">
        <w:trPr>
          <w:cantSplit/>
          <w:trHeight w:val="20"/>
        </w:trPr>
        <w:tc>
          <w:tcPr>
            <w:tcW w:w="934" w:type="pct"/>
            <w:vMerge/>
            <w:shd w:val="clear" w:color="000000" w:fill="FFFFFF"/>
            <w:vAlign w:val="center"/>
          </w:tcPr>
          <w:p w14:paraId="3C077860" w14:textId="77777777" w:rsidR="00ED42E6" w:rsidRPr="0055786F" w:rsidRDefault="00ED42E6" w:rsidP="005466DB">
            <w:pPr>
              <w:pStyle w:val="Norma"/>
              <w:keepNext/>
              <w:keepLines/>
              <w:spacing w:before="20" w:after="20"/>
              <w:jc w:val="center"/>
              <w:rPr>
                <w:rFonts w:eastAsia="Times New Roman" w:cs="Calibri Light"/>
                <w:b/>
                <w:bCs/>
                <w:color w:val="000000"/>
                <w:sz w:val="20"/>
                <w:szCs w:val="20"/>
              </w:rPr>
            </w:pPr>
          </w:p>
        </w:tc>
        <w:tc>
          <w:tcPr>
            <w:tcW w:w="912" w:type="pct"/>
            <w:shd w:val="clear" w:color="auto" w:fill="FFFFFF" w:themeFill="background1"/>
            <w:vAlign w:val="center"/>
          </w:tcPr>
          <w:p w14:paraId="05A1D59E" w14:textId="5E4AC907" w:rsidR="00ED42E6" w:rsidRPr="000C412A" w:rsidRDefault="00ED42E6" w:rsidP="005466DB">
            <w:pPr>
              <w:pStyle w:val="Norma"/>
              <w:keepNext/>
              <w:keepLines/>
              <w:spacing w:before="20" w:after="20"/>
              <w:jc w:val="center"/>
              <w:rPr>
                <w:sz w:val="20"/>
                <w:szCs w:val="20"/>
              </w:rPr>
            </w:pPr>
            <w:r w:rsidRPr="0055786F">
              <w:rPr>
                <w:rFonts w:eastAsia="Times New Roman" w:cs="Calibri Light"/>
                <w:b/>
                <w:bCs/>
                <w:color w:val="000000"/>
                <w:sz w:val="20"/>
                <w:szCs w:val="20"/>
              </w:rPr>
              <w:t>300 - 2,500</w:t>
            </w:r>
          </w:p>
        </w:tc>
        <w:tc>
          <w:tcPr>
            <w:tcW w:w="631" w:type="pct"/>
            <w:shd w:val="clear" w:color="auto" w:fill="auto"/>
            <w:vAlign w:val="center"/>
          </w:tcPr>
          <w:p w14:paraId="2C8CC09A" w14:textId="760EECBA"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80%TE</w:t>
            </w:r>
          </w:p>
        </w:tc>
        <w:tc>
          <w:tcPr>
            <w:tcW w:w="631" w:type="pct"/>
            <w:shd w:val="clear" w:color="auto" w:fill="auto"/>
            <w:vAlign w:val="center"/>
          </w:tcPr>
          <w:p w14:paraId="2EC5A23F" w14:textId="359C9DF2"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85% TE</w:t>
            </w:r>
          </w:p>
        </w:tc>
        <w:tc>
          <w:tcPr>
            <w:tcW w:w="631" w:type="pct"/>
            <w:shd w:val="clear" w:color="auto" w:fill="auto"/>
            <w:vAlign w:val="center"/>
          </w:tcPr>
          <w:p w14:paraId="6EEE1D9B" w14:textId="541549EB"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3FF2B187" w14:textId="2180082B"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94% TE</w:t>
            </w:r>
          </w:p>
        </w:tc>
        <w:tc>
          <w:tcPr>
            <w:tcW w:w="630" w:type="pct"/>
            <w:shd w:val="clear" w:color="auto" w:fill="FFFFFF" w:themeFill="background1"/>
            <w:vAlign w:val="center"/>
          </w:tcPr>
          <w:p w14:paraId="47C60C59" w14:textId="1062A0FA" w:rsidR="00ED42E6" w:rsidRDefault="00ED42E6">
            <w:pPr>
              <w:pStyle w:val="Norma"/>
              <w:spacing w:before="0" w:after="0" w:line="240" w:lineRule="auto"/>
              <w:jc w:val="center"/>
              <w:rPr>
                <w:rFonts w:eastAsia="Times New Roman" w:cs="Calibri Light"/>
                <w:sz w:val="20"/>
                <w:szCs w:val="20"/>
              </w:rPr>
            </w:pPr>
            <w:r>
              <w:rPr>
                <w:rFonts w:eastAsia="Times New Roman" w:cs="Calibri Light"/>
                <w:sz w:val="20"/>
                <w:szCs w:val="20"/>
              </w:rPr>
              <w:t>115-1</w:t>
            </w:r>
            <w:r w:rsidR="00E4430A">
              <w:rPr>
                <w:rFonts w:eastAsia="Times New Roman" w:cs="Calibri Light"/>
                <w:sz w:val="20"/>
                <w:szCs w:val="20"/>
              </w:rPr>
              <w:t>40</w:t>
            </w:r>
            <w:r w:rsidR="0051573C">
              <w:rPr>
                <w:rFonts w:eastAsia="Times New Roman" w:cs="Calibri Light"/>
                <w:sz w:val="20"/>
                <w:szCs w:val="20"/>
              </w:rPr>
              <w:t xml:space="preserve"> </w:t>
            </w:r>
            <w:r>
              <w:rPr>
                <w:rFonts w:eastAsia="Times New Roman" w:cs="Calibri Light"/>
                <w:sz w:val="20"/>
                <w:szCs w:val="20"/>
              </w:rPr>
              <w:t>°F or</w:t>
            </w:r>
          </w:p>
          <w:p w14:paraId="5C916960" w14:textId="4BD136B5"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r w:rsidR="00ED42E6" w:rsidRPr="000C412A" w14:paraId="3AAC87B8" w14:textId="77777777" w:rsidTr="005466DB">
        <w:trPr>
          <w:cantSplit/>
          <w:trHeight w:val="20"/>
        </w:trPr>
        <w:tc>
          <w:tcPr>
            <w:tcW w:w="934" w:type="pct"/>
            <w:vMerge/>
            <w:shd w:val="clear" w:color="000000" w:fill="FFFFFF"/>
            <w:vAlign w:val="center"/>
          </w:tcPr>
          <w:p w14:paraId="3EDC2C75" w14:textId="77777777" w:rsidR="00ED42E6" w:rsidRPr="0055786F" w:rsidRDefault="00ED42E6" w:rsidP="005466DB">
            <w:pPr>
              <w:pStyle w:val="Norma"/>
              <w:keepNext/>
              <w:keepLines/>
              <w:spacing w:before="20" w:after="20"/>
              <w:jc w:val="center"/>
              <w:rPr>
                <w:rFonts w:eastAsia="Times New Roman" w:cs="Calibri Light"/>
                <w:b/>
                <w:bCs/>
                <w:color w:val="000000"/>
                <w:sz w:val="20"/>
                <w:szCs w:val="20"/>
              </w:rPr>
            </w:pPr>
          </w:p>
        </w:tc>
        <w:tc>
          <w:tcPr>
            <w:tcW w:w="912" w:type="pct"/>
            <w:shd w:val="clear" w:color="auto" w:fill="FFFFFF" w:themeFill="background1"/>
            <w:vAlign w:val="center"/>
          </w:tcPr>
          <w:p w14:paraId="1FA2629E" w14:textId="03FD391A" w:rsidR="00ED42E6" w:rsidRPr="000C412A" w:rsidRDefault="00ED42E6" w:rsidP="005466DB">
            <w:pPr>
              <w:pStyle w:val="Norma"/>
              <w:keepNext/>
              <w:keepLines/>
              <w:spacing w:before="20" w:after="20"/>
              <w:jc w:val="center"/>
              <w:rPr>
                <w:sz w:val="20"/>
                <w:szCs w:val="20"/>
              </w:rPr>
            </w:pPr>
            <w:r>
              <w:rPr>
                <w:rFonts w:eastAsia="Times New Roman" w:cs="Calibri Light"/>
                <w:b/>
                <w:bCs/>
                <w:color w:val="000000"/>
                <w:sz w:val="20"/>
                <w:szCs w:val="20"/>
              </w:rPr>
              <w:t>≥</w:t>
            </w:r>
            <w:r w:rsidRPr="0055786F">
              <w:rPr>
                <w:rFonts w:eastAsia="Times New Roman" w:cs="Calibri Light"/>
                <w:b/>
                <w:bCs/>
                <w:color w:val="000000"/>
                <w:sz w:val="20"/>
                <w:szCs w:val="20"/>
              </w:rPr>
              <w:t xml:space="preserve"> 2,500</w:t>
            </w:r>
          </w:p>
        </w:tc>
        <w:tc>
          <w:tcPr>
            <w:tcW w:w="631" w:type="pct"/>
            <w:shd w:val="clear" w:color="auto" w:fill="auto"/>
            <w:vAlign w:val="center"/>
          </w:tcPr>
          <w:p w14:paraId="33AE0045" w14:textId="4DE6E30F"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80% TE</w:t>
            </w:r>
          </w:p>
        </w:tc>
        <w:tc>
          <w:tcPr>
            <w:tcW w:w="631" w:type="pct"/>
            <w:shd w:val="clear" w:color="auto" w:fill="auto"/>
            <w:vAlign w:val="center"/>
          </w:tcPr>
          <w:p w14:paraId="2DA1A56B" w14:textId="77777777" w:rsidR="00ED42E6" w:rsidRPr="003616C9" w:rsidRDefault="00ED42E6">
            <w:pPr>
              <w:pStyle w:val="Norma"/>
              <w:spacing w:before="0" w:after="0" w:line="240" w:lineRule="auto"/>
              <w:jc w:val="center"/>
              <w:rPr>
                <w:rFonts w:eastAsia="Times New Roman" w:cs="Calibri Light"/>
                <w:sz w:val="20"/>
                <w:szCs w:val="20"/>
              </w:rPr>
            </w:pPr>
            <w:r w:rsidRPr="003616C9">
              <w:rPr>
                <w:rFonts w:eastAsia="Times New Roman" w:cs="Calibri Light"/>
                <w:sz w:val="20"/>
                <w:szCs w:val="20"/>
              </w:rPr>
              <w:t>83% TE</w:t>
            </w:r>
          </w:p>
          <w:p w14:paraId="354D2BBD" w14:textId="6327C82C"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85% CE</w:t>
            </w:r>
          </w:p>
        </w:tc>
        <w:tc>
          <w:tcPr>
            <w:tcW w:w="631" w:type="pct"/>
            <w:shd w:val="clear" w:color="auto" w:fill="auto"/>
            <w:vAlign w:val="center"/>
          </w:tcPr>
          <w:p w14:paraId="6C93AEE0" w14:textId="4FC1A439"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78A8B092" w14:textId="7A1D3639"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94% TE</w:t>
            </w:r>
          </w:p>
        </w:tc>
        <w:tc>
          <w:tcPr>
            <w:tcW w:w="630" w:type="pct"/>
            <w:shd w:val="clear" w:color="auto" w:fill="FFFFFF" w:themeFill="background1"/>
            <w:vAlign w:val="center"/>
          </w:tcPr>
          <w:p w14:paraId="4DB61F2B" w14:textId="3EB5A1C2" w:rsidR="00ED42E6" w:rsidRDefault="00ED42E6">
            <w:pPr>
              <w:pStyle w:val="Norma"/>
              <w:spacing w:before="0" w:after="0" w:line="240" w:lineRule="auto"/>
              <w:jc w:val="center"/>
              <w:rPr>
                <w:rFonts w:eastAsia="Times New Roman" w:cs="Calibri Light"/>
                <w:sz w:val="20"/>
                <w:szCs w:val="20"/>
              </w:rPr>
            </w:pPr>
            <w:r>
              <w:rPr>
                <w:rFonts w:eastAsia="Times New Roman" w:cs="Calibri Light"/>
                <w:sz w:val="20"/>
                <w:szCs w:val="20"/>
              </w:rPr>
              <w:t>115-1</w:t>
            </w:r>
            <w:r w:rsidR="00E4430A">
              <w:rPr>
                <w:rFonts w:eastAsia="Times New Roman" w:cs="Calibri Light"/>
                <w:sz w:val="20"/>
                <w:szCs w:val="20"/>
              </w:rPr>
              <w:t>40</w:t>
            </w:r>
            <w:r w:rsidR="0051573C">
              <w:rPr>
                <w:rFonts w:eastAsia="Times New Roman" w:cs="Calibri Light"/>
                <w:sz w:val="20"/>
                <w:szCs w:val="20"/>
              </w:rPr>
              <w:t xml:space="preserve"> </w:t>
            </w:r>
            <w:r>
              <w:rPr>
                <w:rFonts w:eastAsia="Times New Roman" w:cs="Calibri Light"/>
                <w:sz w:val="20"/>
                <w:szCs w:val="20"/>
              </w:rPr>
              <w:t>°F or</w:t>
            </w:r>
          </w:p>
          <w:p w14:paraId="7A8AD223" w14:textId="2FFC7A28"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r w:rsidR="009A4D1C" w:rsidRPr="000C412A" w14:paraId="74E6F1BD" w14:textId="77777777" w:rsidTr="005466DB">
        <w:trPr>
          <w:cantSplit/>
          <w:trHeight w:val="20"/>
        </w:trPr>
        <w:tc>
          <w:tcPr>
            <w:tcW w:w="934" w:type="pct"/>
            <w:vMerge w:val="restart"/>
            <w:shd w:val="clear" w:color="auto" w:fill="FFFFFF" w:themeFill="background1"/>
            <w:vAlign w:val="center"/>
          </w:tcPr>
          <w:p w14:paraId="33F15965" w14:textId="21D136E8" w:rsidR="009A4D1C" w:rsidRPr="0055786F" w:rsidRDefault="009A4D1C" w:rsidP="005466DB">
            <w:pPr>
              <w:pStyle w:val="Norma"/>
              <w:keepNext/>
              <w:keepLines/>
              <w:spacing w:before="20" w:after="20"/>
              <w:jc w:val="center"/>
              <w:rPr>
                <w:rFonts w:eastAsia="Times New Roman" w:cs="Calibri Light"/>
                <w:b/>
                <w:bCs/>
                <w:color w:val="000000"/>
                <w:sz w:val="20"/>
                <w:szCs w:val="20"/>
              </w:rPr>
            </w:pPr>
            <w:r w:rsidRPr="00C3487B">
              <w:rPr>
                <w:rFonts w:eastAsia="Times New Roman" w:cs="Calibri Light"/>
                <w:b/>
                <w:bCs/>
                <w:color w:val="000000"/>
                <w:sz w:val="20"/>
                <w:szCs w:val="20"/>
              </w:rPr>
              <w:t>Steam</w:t>
            </w:r>
          </w:p>
        </w:tc>
        <w:tc>
          <w:tcPr>
            <w:tcW w:w="912" w:type="pct"/>
            <w:shd w:val="clear" w:color="auto" w:fill="FFFFFF" w:themeFill="background1"/>
            <w:vAlign w:val="center"/>
          </w:tcPr>
          <w:p w14:paraId="4CFF4398" w14:textId="723423D7" w:rsidR="009A4D1C" w:rsidRPr="000C412A" w:rsidRDefault="009A4D1C" w:rsidP="005466DB">
            <w:pPr>
              <w:pStyle w:val="Norma"/>
              <w:keepNext/>
              <w:keepLines/>
              <w:spacing w:before="20" w:after="20"/>
              <w:jc w:val="center"/>
              <w:rPr>
                <w:sz w:val="20"/>
                <w:szCs w:val="20"/>
              </w:rPr>
            </w:pPr>
            <w:r w:rsidRPr="0055786F">
              <w:rPr>
                <w:rFonts w:eastAsia="Times New Roman" w:cs="Calibri Light"/>
                <w:b/>
                <w:bCs/>
                <w:color w:val="000000"/>
                <w:sz w:val="20"/>
                <w:szCs w:val="20"/>
              </w:rPr>
              <w:t>300 - 2,500</w:t>
            </w:r>
          </w:p>
        </w:tc>
        <w:tc>
          <w:tcPr>
            <w:tcW w:w="631" w:type="pct"/>
            <w:shd w:val="clear" w:color="auto" w:fill="auto"/>
            <w:vAlign w:val="center"/>
          </w:tcPr>
          <w:p w14:paraId="77D0F821" w14:textId="554FECD6"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79%TE</w:t>
            </w:r>
          </w:p>
        </w:tc>
        <w:tc>
          <w:tcPr>
            <w:tcW w:w="631" w:type="pct"/>
            <w:shd w:val="clear" w:color="auto" w:fill="auto"/>
            <w:vAlign w:val="center"/>
          </w:tcPr>
          <w:p w14:paraId="26CC08FE" w14:textId="763D9FC9"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82% TE</w:t>
            </w:r>
          </w:p>
        </w:tc>
        <w:tc>
          <w:tcPr>
            <w:tcW w:w="631" w:type="pct"/>
            <w:shd w:val="clear" w:color="auto" w:fill="auto"/>
            <w:vAlign w:val="center"/>
          </w:tcPr>
          <w:p w14:paraId="7C81CD9D" w14:textId="52C5EF1B"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1AB9FBF8" w14:textId="55861D62"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0" w:type="pct"/>
            <w:vAlign w:val="center"/>
          </w:tcPr>
          <w:p w14:paraId="6C041D5A" w14:textId="77777777" w:rsidR="009A4D1C" w:rsidRPr="000C412A" w:rsidRDefault="009A4D1C" w:rsidP="005466DB">
            <w:pPr>
              <w:pStyle w:val="Norma"/>
              <w:keepNext/>
              <w:keepLines/>
              <w:spacing w:before="20" w:after="20"/>
              <w:jc w:val="center"/>
              <w:rPr>
                <w:sz w:val="20"/>
                <w:szCs w:val="20"/>
              </w:rPr>
            </w:pPr>
          </w:p>
        </w:tc>
      </w:tr>
      <w:tr w:rsidR="009A4D1C" w:rsidRPr="00B07B1A" w14:paraId="3AA36E5B" w14:textId="0BE21F8E" w:rsidTr="005466DB">
        <w:trPr>
          <w:cantSplit/>
          <w:trHeight w:val="20"/>
        </w:trPr>
        <w:tc>
          <w:tcPr>
            <w:tcW w:w="934" w:type="pct"/>
            <w:vMerge/>
            <w:vAlign w:val="center"/>
          </w:tcPr>
          <w:p w14:paraId="1DE29083" w14:textId="0E679AA6" w:rsidR="009A4D1C" w:rsidRPr="000C412A" w:rsidRDefault="009A4D1C" w:rsidP="005466DB">
            <w:pPr>
              <w:pStyle w:val="Norma"/>
              <w:keepNext/>
              <w:keepLines/>
              <w:spacing w:before="20" w:after="20"/>
              <w:jc w:val="center"/>
              <w:rPr>
                <w:sz w:val="20"/>
                <w:szCs w:val="20"/>
              </w:rPr>
            </w:pPr>
          </w:p>
        </w:tc>
        <w:tc>
          <w:tcPr>
            <w:tcW w:w="912" w:type="pct"/>
            <w:shd w:val="clear" w:color="auto" w:fill="FFFFFF" w:themeFill="background1"/>
            <w:vAlign w:val="center"/>
          </w:tcPr>
          <w:p w14:paraId="17CEB40E" w14:textId="576C67BF" w:rsidR="009A4D1C" w:rsidRPr="000C412A" w:rsidRDefault="009A4D1C" w:rsidP="005466DB">
            <w:pPr>
              <w:pStyle w:val="Norma"/>
              <w:keepNext/>
              <w:keepLines/>
              <w:spacing w:before="20" w:after="20"/>
              <w:jc w:val="center"/>
              <w:rPr>
                <w:sz w:val="20"/>
                <w:szCs w:val="20"/>
              </w:rPr>
            </w:pPr>
            <w:r>
              <w:rPr>
                <w:rFonts w:eastAsia="Times New Roman" w:cs="Calibri Light"/>
                <w:b/>
                <w:bCs/>
                <w:color w:val="000000"/>
                <w:sz w:val="20"/>
                <w:szCs w:val="20"/>
              </w:rPr>
              <w:t>≥</w:t>
            </w:r>
            <w:r w:rsidRPr="0055786F">
              <w:rPr>
                <w:rFonts w:eastAsia="Times New Roman" w:cs="Calibri Light"/>
                <w:b/>
                <w:bCs/>
                <w:color w:val="000000"/>
                <w:sz w:val="20"/>
                <w:szCs w:val="20"/>
              </w:rPr>
              <w:t xml:space="preserve"> 2,500</w:t>
            </w:r>
            <w:r>
              <w:rPr>
                <w:rFonts w:eastAsia="Times New Roman" w:cs="Calibri Light"/>
                <w:b/>
                <w:bCs/>
                <w:color w:val="000000"/>
                <w:sz w:val="20"/>
                <w:szCs w:val="20"/>
              </w:rPr>
              <w:t xml:space="preserve"> (Com)</w:t>
            </w:r>
          </w:p>
        </w:tc>
        <w:tc>
          <w:tcPr>
            <w:tcW w:w="631" w:type="pct"/>
            <w:shd w:val="clear" w:color="auto" w:fill="FFFFFF" w:themeFill="background1"/>
            <w:vAlign w:val="center"/>
          </w:tcPr>
          <w:p w14:paraId="6FDE34FB" w14:textId="2E72E657" w:rsidR="009A4D1C" w:rsidRPr="00B07B1A" w:rsidRDefault="009A4D1C" w:rsidP="005466DB">
            <w:pPr>
              <w:pStyle w:val="Norma"/>
              <w:keepNext/>
              <w:keepLines/>
              <w:spacing w:before="20" w:after="20"/>
              <w:jc w:val="center"/>
              <w:rPr>
                <w:sz w:val="20"/>
                <w:szCs w:val="20"/>
              </w:rPr>
            </w:pPr>
            <w:r w:rsidRPr="0B561DF7">
              <w:rPr>
                <w:rFonts w:eastAsia="Times New Roman" w:cs="Calibri Light"/>
                <w:sz w:val="20"/>
                <w:szCs w:val="20"/>
              </w:rPr>
              <w:t>79%TE</w:t>
            </w:r>
          </w:p>
        </w:tc>
        <w:tc>
          <w:tcPr>
            <w:tcW w:w="631" w:type="pct"/>
            <w:shd w:val="clear" w:color="auto" w:fill="FFFFFF" w:themeFill="background1"/>
            <w:vAlign w:val="center"/>
          </w:tcPr>
          <w:p w14:paraId="035E12EF" w14:textId="04750FB2" w:rsidR="009A4D1C" w:rsidRPr="00B07B1A" w:rsidRDefault="009A4D1C" w:rsidP="005466DB">
            <w:pPr>
              <w:pStyle w:val="Norma"/>
              <w:keepNext/>
              <w:keepLines/>
              <w:spacing w:before="20" w:after="20"/>
              <w:jc w:val="center"/>
              <w:rPr>
                <w:sz w:val="20"/>
                <w:szCs w:val="20"/>
              </w:rPr>
            </w:pPr>
            <w:r w:rsidRPr="0B561DF7">
              <w:rPr>
                <w:rFonts w:eastAsia="Times New Roman" w:cs="Calibri Light"/>
                <w:sz w:val="20"/>
                <w:szCs w:val="20"/>
              </w:rPr>
              <w:t xml:space="preserve">80% TE </w:t>
            </w:r>
          </w:p>
        </w:tc>
        <w:tc>
          <w:tcPr>
            <w:tcW w:w="631" w:type="pct"/>
            <w:vAlign w:val="center"/>
          </w:tcPr>
          <w:p w14:paraId="0A27CA81" w14:textId="0E72B4D4" w:rsidR="009A4D1C" w:rsidRPr="00B07B1A" w:rsidRDefault="009A4D1C" w:rsidP="005466DB">
            <w:pPr>
              <w:pStyle w:val="Norma"/>
              <w:keepNext/>
              <w:keepLines/>
              <w:spacing w:before="20" w:after="20"/>
              <w:jc w:val="center"/>
              <w:rPr>
                <w:sz w:val="20"/>
                <w:szCs w:val="20"/>
              </w:rPr>
            </w:pPr>
            <w:r w:rsidRPr="00A07669">
              <w:rPr>
                <w:rFonts w:eastAsia="Times New Roman" w:cs="Calibri Light"/>
                <w:sz w:val="20"/>
                <w:szCs w:val="20"/>
              </w:rPr>
              <w:t>140-165</w:t>
            </w:r>
            <w:r w:rsidR="0051573C">
              <w:rPr>
                <w:rFonts w:eastAsia="Times New Roman" w:cs="Calibri Light"/>
                <w:sz w:val="20"/>
                <w:szCs w:val="20"/>
              </w:rPr>
              <w:t xml:space="preserve"> </w:t>
            </w:r>
            <w:r w:rsidRPr="00A07669">
              <w:rPr>
                <w:rFonts w:eastAsia="Times New Roman" w:cs="Calibri Light"/>
                <w:sz w:val="20"/>
                <w:szCs w:val="20"/>
              </w:rPr>
              <w:t>°F</w:t>
            </w:r>
          </w:p>
        </w:tc>
        <w:tc>
          <w:tcPr>
            <w:tcW w:w="631" w:type="pct"/>
            <w:shd w:val="clear" w:color="auto" w:fill="auto"/>
            <w:vAlign w:val="center"/>
          </w:tcPr>
          <w:p w14:paraId="5579F7D3" w14:textId="75C223E1" w:rsidR="009A4D1C" w:rsidRPr="00B07B1A" w:rsidRDefault="009A4D1C" w:rsidP="005466DB">
            <w:pPr>
              <w:pStyle w:val="Norma"/>
              <w:keepNext/>
              <w:keepLines/>
              <w:spacing w:before="20" w:after="20"/>
              <w:jc w:val="center"/>
              <w:rPr>
                <w:sz w:val="20"/>
                <w:szCs w:val="20"/>
              </w:rPr>
            </w:pPr>
            <w:r>
              <w:rPr>
                <w:rFonts w:eastAsia="Times New Roman" w:cs="Calibri Light"/>
                <w:sz w:val="20"/>
                <w:szCs w:val="20"/>
              </w:rPr>
              <w:t>82% TE</w:t>
            </w:r>
          </w:p>
        </w:tc>
        <w:tc>
          <w:tcPr>
            <w:tcW w:w="630" w:type="pct"/>
            <w:vAlign w:val="center"/>
          </w:tcPr>
          <w:p w14:paraId="7CE15343" w14:textId="03E71B77" w:rsidR="009A4D1C" w:rsidRPr="00B07B1A" w:rsidRDefault="009A4D1C"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bl>
    <w:p w14:paraId="3CE50731" w14:textId="77777777" w:rsidR="004B242A" w:rsidRDefault="004B242A" w:rsidP="005466DB">
      <w:pPr>
        <w:pStyle w:val="Norma"/>
      </w:pPr>
    </w:p>
    <w:p w14:paraId="4E40C763" w14:textId="511D6F5B" w:rsidR="00D540F3" w:rsidRDefault="00D540F3" w:rsidP="00D540F3">
      <w:pPr>
        <w:pStyle w:val="Caption"/>
      </w:pPr>
      <w:r>
        <w:t>Measure Offerings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44"/>
        <w:gridCol w:w="1101"/>
        <w:gridCol w:w="7110"/>
      </w:tblGrid>
      <w:tr w:rsidR="005F28A2" w:rsidRPr="00D540F3" w14:paraId="148D5B91" w14:textId="77777777" w:rsidTr="000429BF">
        <w:trPr>
          <w:trHeight w:val="746"/>
        </w:trPr>
        <w:tc>
          <w:tcPr>
            <w:tcW w:w="1144" w:type="dxa"/>
            <w:shd w:val="clear" w:color="auto" w:fill="F2F2F2" w:themeFill="background1" w:themeFillShade="F2"/>
            <w:noWrap/>
            <w:vAlign w:val="bottom"/>
            <w:hideMark/>
          </w:tcPr>
          <w:p w14:paraId="5243C148" w14:textId="2AC5C3D0" w:rsidR="005F28A2" w:rsidRPr="00D540F3" w:rsidRDefault="005F28A2">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Statewide </w:t>
            </w:r>
            <w:r w:rsidRPr="00D540F3">
              <w:rPr>
                <w:rFonts w:ascii="Calibri Light" w:eastAsia="Times New Roman" w:hAnsi="Calibri Light" w:cs="Calibri Light"/>
                <w:b/>
                <w:bCs/>
                <w:sz w:val="20"/>
                <w:szCs w:val="20"/>
              </w:rPr>
              <w:t>Measure</w:t>
            </w:r>
            <w:r>
              <w:rPr>
                <w:rFonts w:ascii="Calibri Light" w:eastAsia="Times New Roman" w:hAnsi="Calibri Light" w:cs="Calibri Light"/>
                <w:b/>
                <w:bCs/>
                <w:sz w:val="20"/>
                <w:szCs w:val="20"/>
              </w:rPr>
              <w:t xml:space="preserve"> Offering </w:t>
            </w:r>
            <w:r w:rsidRPr="00D540F3">
              <w:rPr>
                <w:rFonts w:ascii="Calibri Light" w:eastAsia="Times New Roman" w:hAnsi="Calibri Light" w:cs="Calibri Light"/>
                <w:b/>
                <w:bCs/>
                <w:sz w:val="20"/>
                <w:szCs w:val="20"/>
              </w:rPr>
              <w:t>ID</w:t>
            </w:r>
          </w:p>
        </w:tc>
        <w:tc>
          <w:tcPr>
            <w:tcW w:w="1101" w:type="dxa"/>
            <w:shd w:val="clear" w:color="auto" w:fill="F2F2F2" w:themeFill="background1" w:themeFillShade="F2"/>
            <w:vAlign w:val="bottom"/>
          </w:tcPr>
          <w:p w14:paraId="30C17BF4" w14:textId="66E3C174" w:rsidR="005F28A2" w:rsidRDefault="005F28A2">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Sector</w:t>
            </w:r>
          </w:p>
        </w:tc>
        <w:tc>
          <w:tcPr>
            <w:tcW w:w="7110" w:type="dxa"/>
            <w:shd w:val="clear" w:color="auto" w:fill="F2F2F2" w:themeFill="background1" w:themeFillShade="F2"/>
            <w:noWrap/>
            <w:vAlign w:val="bottom"/>
            <w:hideMark/>
          </w:tcPr>
          <w:p w14:paraId="0C5ADAED" w14:textId="750DE2C4" w:rsidR="005F28A2" w:rsidRPr="00D540F3" w:rsidRDefault="005F28A2" w:rsidP="00D540F3">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Measure Offering </w:t>
            </w:r>
            <w:r w:rsidRPr="00D540F3">
              <w:rPr>
                <w:rFonts w:ascii="Calibri Light" w:eastAsia="Times New Roman" w:hAnsi="Calibri Light" w:cs="Calibri Light"/>
                <w:b/>
                <w:bCs/>
                <w:sz w:val="20"/>
                <w:szCs w:val="20"/>
              </w:rPr>
              <w:t>Description</w:t>
            </w:r>
          </w:p>
        </w:tc>
      </w:tr>
      <w:tr w:rsidR="005F28A2" w:rsidRPr="00D540F3" w14:paraId="36D58D8E" w14:textId="77777777" w:rsidTr="000429BF">
        <w:trPr>
          <w:trHeight w:val="290"/>
        </w:trPr>
        <w:tc>
          <w:tcPr>
            <w:tcW w:w="1144" w:type="dxa"/>
            <w:shd w:val="clear" w:color="auto" w:fill="auto"/>
            <w:noWrap/>
            <w:vAlign w:val="center"/>
            <w:hideMark/>
          </w:tcPr>
          <w:p w14:paraId="0DFE7643"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SWHC004A</w:t>
            </w:r>
          </w:p>
        </w:tc>
        <w:tc>
          <w:tcPr>
            <w:tcW w:w="1101" w:type="dxa"/>
            <w:vAlign w:val="bottom"/>
          </w:tcPr>
          <w:p w14:paraId="365397AF" w14:textId="0BE50413"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005F28A2" w:rsidRPr="000429BF">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760B9EBC" w14:textId="248453B1"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Space Heating Boiler, Hot Water</w:t>
            </w:r>
            <w:r w:rsidR="00AD0E7B">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&lt;</w:t>
            </w:r>
            <w:r w:rsidR="00A93343">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 xml:space="preserve">300 </w:t>
            </w:r>
            <w:proofErr w:type="spellStart"/>
            <w:r w:rsidRPr="00D540F3">
              <w:rPr>
                <w:rFonts w:ascii="Calibri Light" w:eastAsia="Times New Roman" w:hAnsi="Calibri Light" w:cs="Calibri Light"/>
                <w:color w:val="000000"/>
                <w:sz w:val="20"/>
                <w:szCs w:val="20"/>
              </w:rPr>
              <w:t>kBtu</w:t>
            </w:r>
            <w:proofErr w:type="spellEnd"/>
            <w:r w:rsidRPr="00D540F3">
              <w:rPr>
                <w:rFonts w:ascii="Calibri Light" w:eastAsia="Times New Roman" w:hAnsi="Calibri Light" w:cs="Calibri Light"/>
                <w:color w:val="000000"/>
                <w:sz w:val="20"/>
                <w:szCs w:val="20"/>
              </w:rPr>
              <w:t>/</w:t>
            </w:r>
            <w:proofErr w:type="spellStart"/>
            <w:r w:rsidRPr="00D540F3">
              <w:rPr>
                <w:rFonts w:ascii="Calibri Light" w:eastAsia="Times New Roman" w:hAnsi="Calibri Light" w:cs="Calibri Light"/>
                <w:color w:val="000000"/>
                <w:sz w:val="20"/>
                <w:szCs w:val="20"/>
              </w:rPr>
              <w:t>hr</w:t>
            </w:r>
            <w:proofErr w:type="spellEnd"/>
            <w:r w:rsidRPr="00D540F3">
              <w:rPr>
                <w:rFonts w:ascii="Calibri Light" w:eastAsia="Times New Roman" w:hAnsi="Calibri Light" w:cs="Calibri Light"/>
                <w:color w:val="000000"/>
                <w:sz w:val="20"/>
                <w:szCs w:val="20"/>
              </w:rPr>
              <w:t xml:space="preserve">, </w:t>
            </w:r>
            <w:r w:rsidR="00A7135A">
              <w:rPr>
                <w:rFonts w:ascii="Calibri Light" w:eastAsia="Times New Roman" w:hAnsi="Calibri Light" w:cs="Calibri Light"/>
                <w:color w:val="000000"/>
                <w:sz w:val="20"/>
                <w:szCs w:val="20"/>
              </w:rPr>
              <w:t>9</w:t>
            </w:r>
            <w:r w:rsidRPr="00D540F3">
              <w:rPr>
                <w:rFonts w:ascii="Calibri Light" w:eastAsia="Times New Roman" w:hAnsi="Calibri Light" w:cs="Calibri Light"/>
                <w:color w:val="000000"/>
                <w:sz w:val="20"/>
                <w:szCs w:val="20"/>
              </w:rPr>
              <w:t>4% AFUE</w:t>
            </w:r>
            <w:r w:rsidR="00A7135A">
              <w:rPr>
                <w:rFonts w:ascii="Calibri Light" w:eastAsia="Times New Roman" w:hAnsi="Calibri Light" w:cs="Calibri Light"/>
                <w:color w:val="000000"/>
                <w:sz w:val="20"/>
                <w:szCs w:val="20"/>
              </w:rPr>
              <w:t>, Condensing</w:t>
            </w:r>
            <w:r w:rsidR="00AD0E7B">
              <w:rPr>
                <w:rFonts w:ascii="Calibri Light" w:eastAsia="Times New Roman" w:hAnsi="Calibri Light" w:cs="Calibri Light"/>
                <w:color w:val="000000"/>
                <w:sz w:val="20"/>
                <w:szCs w:val="20"/>
              </w:rPr>
              <w:t>)</w:t>
            </w:r>
          </w:p>
        </w:tc>
      </w:tr>
      <w:tr w:rsidR="005F28A2" w:rsidRPr="00D540F3" w14:paraId="16E6D49C" w14:textId="77777777" w:rsidTr="000429BF">
        <w:trPr>
          <w:trHeight w:val="290"/>
        </w:trPr>
        <w:tc>
          <w:tcPr>
            <w:tcW w:w="1144" w:type="dxa"/>
            <w:shd w:val="clear" w:color="auto" w:fill="auto"/>
            <w:noWrap/>
            <w:vAlign w:val="center"/>
            <w:hideMark/>
          </w:tcPr>
          <w:p w14:paraId="39A452C8"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p>
        </w:tc>
        <w:tc>
          <w:tcPr>
            <w:tcW w:w="1101" w:type="dxa"/>
            <w:vAlign w:val="bottom"/>
          </w:tcPr>
          <w:p w14:paraId="4BCA2F5A" w14:textId="51F95904"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7008A675" w14:textId="60183652"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(300 - 2500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85.0 Et</w:t>
            </w:r>
            <w:r w:rsidR="0000213E">
              <w:rPr>
                <w:rFonts w:ascii="Calibri Light" w:eastAsia="Times New Roman" w:hAnsi="Calibri Light" w:cs="Calibri Light"/>
                <w:color w:val="000000"/>
                <w:sz w:val="20"/>
                <w:szCs w:val="20"/>
              </w:rPr>
              <w:t>)</w:t>
            </w:r>
          </w:p>
        </w:tc>
      </w:tr>
      <w:tr w:rsidR="005F28A2" w:rsidRPr="00D540F3" w14:paraId="2589795A" w14:textId="77777777" w:rsidTr="000429BF">
        <w:trPr>
          <w:trHeight w:val="290"/>
        </w:trPr>
        <w:tc>
          <w:tcPr>
            <w:tcW w:w="1144" w:type="dxa"/>
            <w:shd w:val="clear" w:color="auto" w:fill="auto"/>
            <w:noWrap/>
            <w:vAlign w:val="center"/>
            <w:hideMark/>
          </w:tcPr>
          <w:p w14:paraId="30773320"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p>
        </w:tc>
        <w:tc>
          <w:tcPr>
            <w:tcW w:w="1101" w:type="dxa"/>
            <w:vAlign w:val="bottom"/>
          </w:tcPr>
          <w:p w14:paraId="358C2B90" w14:textId="683AA10C"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67F10CEB" w14:textId="2687747A"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(300 - 2500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85.0 Et, OA Reset from 140 to 165 F)</w:t>
            </w:r>
          </w:p>
        </w:tc>
      </w:tr>
      <w:tr w:rsidR="005F28A2" w:rsidRPr="00D540F3" w14:paraId="10FB4E82" w14:textId="77777777" w:rsidTr="000429BF">
        <w:trPr>
          <w:trHeight w:val="290"/>
        </w:trPr>
        <w:tc>
          <w:tcPr>
            <w:tcW w:w="1144" w:type="dxa"/>
            <w:shd w:val="clear" w:color="auto" w:fill="auto"/>
            <w:noWrap/>
            <w:vAlign w:val="center"/>
            <w:hideMark/>
          </w:tcPr>
          <w:p w14:paraId="26012D57"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SWHC004C</w:t>
            </w:r>
          </w:p>
        </w:tc>
        <w:tc>
          <w:tcPr>
            <w:tcW w:w="1101" w:type="dxa"/>
            <w:vAlign w:val="bottom"/>
          </w:tcPr>
          <w:p w14:paraId="2AB610E2" w14:textId="65D8CFB5"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16352C90" w14:textId="6310E404"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 xml:space="preserve">Hot water boiler (300 - 2500 </w:t>
            </w:r>
            <w:proofErr w:type="spellStart"/>
            <w:r w:rsidRPr="002A2E4D">
              <w:rPr>
                <w:rFonts w:ascii="Calibri Light" w:eastAsia="Times New Roman" w:hAnsi="Calibri Light" w:cs="Calibri Light"/>
                <w:color w:val="000000"/>
                <w:sz w:val="20"/>
                <w:szCs w:val="20"/>
              </w:rPr>
              <w:t>kBtuh</w:t>
            </w:r>
            <w:proofErr w:type="spellEnd"/>
            <w:r w:rsidRPr="002A2E4D">
              <w:rPr>
                <w:rFonts w:ascii="Calibri Light" w:eastAsia="Times New Roman" w:hAnsi="Calibri Light" w:cs="Calibri Light"/>
                <w:color w:val="000000"/>
                <w:sz w:val="20"/>
                <w:szCs w:val="20"/>
              </w:rPr>
              <w:t>, 94.0 Et, condensing)</w:t>
            </w:r>
          </w:p>
        </w:tc>
      </w:tr>
      <w:tr w:rsidR="005F28A2" w:rsidRPr="00D540F3" w14:paraId="272A2B8B" w14:textId="77777777" w:rsidTr="000429BF">
        <w:trPr>
          <w:trHeight w:val="290"/>
        </w:trPr>
        <w:tc>
          <w:tcPr>
            <w:tcW w:w="1144" w:type="dxa"/>
            <w:shd w:val="clear" w:color="auto" w:fill="auto"/>
            <w:noWrap/>
            <w:vAlign w:val="center"/>
            <w:hideMark/>
          </w:tcPr>
          <w:p w14:paraId="13FF7B90"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SWHC004C</w:t>
            </w:r>
          </w:p>
        </w:tc>
        <w:tc>
          <w:tcPr>
            <w:tcW w:w="1101" w:type="dxa"/>
            <w:vAlign w:val="bottom"/>
          </w:tcPr>
          <w:p w14:paraId="48A96D2D" w14:textId="5BA7F969"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4B340ED7" w14:textId="25B26A6C"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(300 - 2500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94.0 Et, condensing, OA reset from 140 to 165 F)</w:t>
            </w:r>
          </w:p>
        </w:tc>
      </w:tr>
      <w:tr w:rsidR="005F28A2" w:rsidRPr="00D540F3" w14:paraId="6BFA1D0F" w14:textId="77777777" w:rsidTr="000429BF">
        <w:trPr>
          <w:trHeight w:val="290"/>
        </w:trPr>
        <w:tc>
          <w:tcPr>
            <w:tcW w:w="1144" w:type="dxa"/>
            <w:shd w:val="clear" w:color="auto" w:fill="auto"/>
            <w:noWrap/>
            <w:vAlign w:val="center"/>
            <w:hideMark/>
          </w:tcPr>
          <w:p w14:paraId="17D53A62"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SWHC004D</w:t>
            </w:r>
          </w:p>
        </w:tc>
        <w:tc>
          <w:tcPr>
            <w:tcW w:w="1101" w:type="dxa"/>
            <w:vAlign w:val="bottom"/>
          </w:tcPr>
          <w:p w14:paraId="510DBB6B" w14:textId="56182030"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6A2D6EA2" w14:textId="26CE3D2D"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(300 - 2500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94.0 Et, condensing, OA reset from 115 to 140 F)</w:t>
            </w:r>
          </w:p>
        </w:tc>
      </w:tr>
      <w:tr w:rsidR="005F28A2" w:rsidRPr="00D540F3" w14:paraId="6C06763C" w14:textId="77777777" w:rsidTr="000429BF">
        <w:trPr>
          <w:trHeight w:val="290"/>
        </w:trPr>
        <w:tc>
          <w:tcPr>
            <w:tcW w:w="1144" w:type="dxa"/>
            <w:shd w:val="clear" w:color="auto" w:fill="auto"/>
            <w:noWrap/>
            <w:vAlign w:val="center"/>
            <w:hideMark/>
          </w:tcPr>
          <w:p w14:paraId="7539AAFA"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SWHC004E</w:t>
            </w:r>
          </w:p>
        </w:tc>
        <w:tc>
          <w:tcPr>
            <w:tcW w:w="1101" w:type="dxa"/>
            <w:vAlign w:val="bottom"/>
          </w:tcPr>
          <w:p w14:paraId="08E3D1FC" w14:textId="49A54A1D"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406133A1" w14:textId="1A085CCD"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 xml:space="preserve">Hot water boiler (&gt; 2500 </w:t>
            </w:r>
            <w:proofErr w:type="spellStart"/>
            <w:r w:rsidRPr="002A2E4D">
              <w:rPr>
                <w:rFonts w:ascii="Calibri Light" w:eastAsia="Times New Roman" w:hAnsi="Calibri Light" w:cs="Calibri Light"/>
                <w:color w:val="000000"/>
                <w:sz w:val="20"/>
                <w:szCs w:val="20"/>
              </w:rPr>
              <w:t>kBtuh</w:t>
            </w:r>
            <w:proofErr w:type="spellEnd"/>
            <w:r w:rsidRPr="002A2E4D">
              <w:rPr>
                <w:rFonts w:ascii="Calibri Light" w:eastAsia="Times New Roman" w:hAnsi="Calibri Light" w:cs="Calibri Light"/>
                <w:color w:val="000000"/>
                <w:sz w:val="20"/>
                <w:szCs w:val="20"/>
              </w:rPr>
              <w:t>, 83.0 Et, 85.0Ec)</w:t>
            </w:r>
          </w:p>
        </w:tc>
      </w:tr>
      <w:tr w:rsidR="005F28A2" w:rsidRPr="00D540F3" w14:paraId="277AC3F9" w14:textId="77777777" w:rsidTr="000429BF">
        <w:trPr>
          <w:trHeight w:val="290"/>
        </w:trPr>
        <w:tc>
          <w:tcPr>
            <w:tcW w:w="1144" w:type="dxa"/>
            <w:shd w:val="clear" w:color="auto" w:fill="auto"/>
            <w:noWrap/>
            <w:vAlign w:val="center"/>
            <w:hideMark/>
          </w:tcPr>
          <w:p w14:paraId="4EF2D854"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SWHC004E</w:t>
            </w:r>
          </w:p>
        </w:tc>
        <w:tc>
          <w:tcPr>
            <w:tcW w:w="1101" w:type="dxa"/>
            <w:vAlign w:val="bottom"/>
          </w:tcPr>
          <w:p w14:paraId="14E88F7A" w14:textId="34AC47CB"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5561E428" w14:textId="26FB61ED"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(&gt;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83.0 Et, 85.0Ec, OA Reset from 140 to 165 F)</w:t>
            </w:r>
          </w:p>
        </w:tc>
      </w:tr>
      <w:tr w:rsidR="005F28A2" w:rsidRPr="00D540F3" w14:paraId="07708155" w14:textId="77777777" w:rsidTr="000429BF">
        <w:trPr>
          <w:trHeight w:val="290"/>
        </w:trPr>
        <w:tc>
          <w:tcPr>
            <w:tcW w:w="1144" w:type="dxa"/>
            <w:shd w:val="clear" w:color="auto" w:fill="auto"/>
            <w:noWrap/>
            <w:vAlign w:val="center"/>
            <w:hideMark/>
          </w:tcPr>
          <w:p w14:paraId="2BBD0173"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SWHC004F</w:t>
            </w:r>
          </w:p>
        </w:tc>
        <w:tc>
          <w:tcPr>
            <w:tcW w:w="1101" w:type="dxa"/>
            <w:vAlign w:val="bottom"/>
          </w:tcPr>
          <w:p w14:paraId="5BD41A0A" w14:textId="651921EF"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0CED5207" w14:textId="4DDCD4CD"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 xml:space="preserve">Hot water boiler (&gt; 2500 </w:t>
            </w:r>
            <w:proofErr w:type="spellStart"/>
            <w:r w:rsidRPr="002A2E4D">
              <w:rPr>
                <w:rFonts w:ascii="Calibri Light" w:eastAsia="Times New Roman" w:hAnsi="Calibri Light" w:cs="Calibri Light"/>
                <w:color w:val="000000"/>
                <w:sz w:val="20"/>
                <w:szCs w:val="20"/>
              </w:rPr>
              <w:t>kBtuh</w:t>
            </w:r>
            <w:proofErr w:type="spellEnd"/>
            <w:r w:rsidRPr="002A2E4D">
              <w:rPr>
                <w:rFonts w:ascii="Calibri Light" w:eastAsia="Times New Roman" w:hAnsi="Calibri Light" w:cs="Calibri Light"/>
                <w:color w:val="000000"/>
                <w:sz w:val="20"/>
                <w:szCs w:val="20"/>
              </w:rPr>
              <w:t>, 94.0 Et, condensing)</w:t>
            </w:r>
          </w:p>
        </w:tc>
      </w:tr>
      <w:tr w:rsidR="005F28A2" w:rsidRPr="00D540F3" w14:paraId="66BE7E2D" w14:textId="77777777" w:rsidTr="000429BF">
        <w:trPr>
          <w:trHeight w:val="300"/>
        </w:trPr>
        <w:tc>
          <w:tcPr>
            <w:tcW w:w="1144" w:type="dxa"/>
            <w:shd w:val="clear" w:color="auto" w:fill="auto"/>
            <w:noWrap/>
            <w:vAlign w:val="center"/>
            <w:hideMark/>
          </w:tcPr>
          <w:p w14:paraId="021E427F"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SWHC004F</w:t>
            </w:r>
          </w:p>
        </w:tc>
        <w:tc>
          <w:tcPr>
            <w:tcW w:w="1101" w:type="dxa"/>
            <w:vAlign w:val="bottom"/>
          </w:tcPr>
          <w:p w14:paraId="2870A52E" w14:textId="67AEBFDB"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5DE9A07B" w14:textId="72F7D343"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(&gt;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94.0 Et, condensing, OA reset from 140 to 165 F)</w:t>
            </w:r>
          </w:p>
        </w:tc>
      </w:tr>
      <w:tr w:rsidR="005F28A2" w:rsidRPr="00D540F3" w14:paraId="7F977D3F" w14:textId="77777777" w:rsidTr="000429BF">
        <w:trPr>
          <w:trHeight w:val="290"/>
        </w:trPr>
        <w:tc>
          <w:tcPr>
            <w:tcW w:w="1144" w:type="dxa"/>
            <w:shd w:val="clear" w:color="auto" w:fill="auto"/>
            <w:noWrap/>
            <w:vAlign w:val="center"/>
            <w:hideMark/>
          </w:tcPr>
          <w:p w14:paraId="34FB7FFB"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SWHC004G</w:t>
            </w:r>
          </w:p>
        </w:tc>
        <w:tc>
          <w:tcPr>
            <w:tcW w:w="1101" w:type="dxa"/>
            <w:vAlign w:val="bottom"/>
          </w:tcPr>
          <w:p w14:paraId="63BC11CA" w14:textId="360326D3"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2F698EC9" w14:textId="047DA8A9"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Hot water boiler (&gt;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94.0 Et, condensing, OA reset from 115 to 140 F)</w:t>
            </w:r>
          </w:p>
        </w:tc>
      </w:tr>
      <w:tr w:rsidR="005F28A2" w:rsidRPr="00D540F3" w14:paraId="44082631" w14:textId="77777777" w:rsidTr="000429BF">
        <w:trPr>
          <w:trHeight w:val="290"/>
        </w:trPr>
        <w:tc>
          <w:tcPr>
            <w:tcW w:w="1144" w:type="dxa"/>
            <w:shd w:val="clear" w:color="auto" w:fill="auto"/>
            <w:noWrap/>
            <w:vAlign w:val="center"/>
            <w:hideMark/>
          </w:tcPr>
          <w:p w14:paraId="71ACDDFC"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SWHC004H</w:t>
            </w:r>
          </w:p>
        </w:tc>
        <w:tc>
          <w:tcPr>
            <w:tcW w:w="1101" w:type="dxa"/>
            <w:vAlign w:val="bottom"/>
          </w:tcPr>
          <w:p w14:paraId="3B91FEB3" w14:textId="1037C124"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0FCCEF61" w14:textId="49682242"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 xml:space="preserve">Steam boiler (300 - 2500 </w:t>
            </w:r>
            <w:proofErr w:type="spellStart"/>
            <w:r w:rsidRPr="002A2E4D">
              <w:rPr>
                <w:rFonts w:ascii="Calibri Light" w:eastAsia="Times New Roman" w:hAnsi="Calibri Light" w:cs="Calibri Light"/>
                <w:color w:val="000000"/>
                <w:sz w:val="20"/>
                <w:szCs w:val="20"/>
              </w:rPr>
              <w:t>kBtuh</w:t>
            </w:r>
            <w:proofErr w:type="spellEnd"/>
            <w:r w:rsidRPr="002A2E4D">
              <w:rPr>
                <w:rFonts w:ascii="Calibri Light" w:eastAsia="Times New Roman" w:hAnsi="Calibri Light" w:cs="Calibri Light"/>
                <w:color w:val="000000"/>
                <w:sz w:val="20"/>
                <w:szCs w:val="20"/>
              </w:rPr>
              <w:t>, 82.0 Et)</w:t>
            </w:r>
          </w:p>
        </w:tc>
      </w:tr>
      <w:tr w:rsidR="005F28A2" w:rsidRPr="00D540F3" w14:paraId="5BDF7F01" w14:textId="77777777" w:rsidTr="000429BF">
        <w:trPr>
          <w:trHeight w:val="290"/>
        </w:trPr>
        <w:tc>
          <w:tcPr>
            <w:tcW w:w="1144" w:type="dxa"/>
            <w:shd w:val="clear" w:color="auto" w:fill="auto"/>
            <w:noWrap/>
            <w:vAlign w:val="center"/>
            <w:hideMark/>
          </w:tcPr>
          <w:p w14:paraId="07AE0A5C"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SWHC004H</w:t>
            </w:r>
          </w:p>
        </w:tc>
        <w:tc>
          <w:tcPr>
            <w:tcW w:w="1101" w:type="dxa"/>
            <w:vAlign w:val="bottom"/>
          </w:tcPr>
          <w:p w14:paraId="6CB8FB25" w14:textId="29A10151"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3AD015C2" w14:textId="6AE4F5DC"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Steam boiler (300 - 2500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82.0 Et, OA Reset from 140 to 165 F)</w:t>
            </w:r>
          </w:p>
        </w:tc>
      </w:tr>
      <w:tr w:rsidR="005F28A2" w:rsidRPr="00D540F3" w14:paraId="17C56F75" w14:textId="77777777" w:rsidTr="000429BF">
        <w:trPr>
          <w:trHeight w:val="290"/>
        </w:trPr>
        <w:tc>
          <w:tcPr>
            <w:tcW w:w="1144" w:type="dxa"/>
            <w:shd w:val="clear" w:color="auto" w:fill="auto"/>
            <w:noWrap/>
            <w:vAlign w:val="center"/>
            <w:hideMark/>
          </w:tcPr>
          <w:p w14:paraId="281826CD"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SWHC004I</w:t>
            </w:r>
          </w:p>
        </w:tc>
        <w:tc>
          <w:tcPr>
            <w:tcW w:w="1101" w:type="dxa"/>
            <w:vAlign w:val="bottom"/>
          </w:tcPr>
          <w:p w14:paraId="634FB1DC" w14:textId="20BC55B2"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41954D5B" w14:textId="0F87AEF5"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Steam boiler (&gt;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80.0 Et, OA Reset from 140 to 165 F)</w:t>
            </w:r>
          </w:p>
        </w:tc>
      </w:tr>
      <w:tr w:rsidR="005F28A2" w:rsidRPr="00D540F3" w14:paraId="6A1347A7" w14:textId="77777777" w:rsidTr="000429BF">
        <w:trPr>
          <w:trHeight w:val="290"/>
        </w:trPr>
        <w:tc>
          <w:tcPr>
            <w:tcW w:w="1144" w:type="dxa"/>
            <w:shd w:val="clear" w:color="auto" w:fill="auto"/>
            <w:noWrap/>
            <w:vAlign w:val="center"/>
            <w:hideMark/>
          </w:tcPr>
          <w:p w14:paraId="0C51955A"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SWHC004J</w:t>
            </w:r>
          </w:p>
        </w:tc>
        <w:tc>
          <w:tcPr>
            <w:tcW w:w="1101" w:type="dxa"/>
            <w:vAlign w:val="bottom"/>
          </w:tcPr>
          <w:p w14:paraId="2B695315" w14:textId="74305C43"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30DB59DD" w14:textId="0367425B"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 xml:space="preserve">Steam boiler (&gt; 2500 </w:t>
            </w:r>
            <w:proofErr w:type="spellStart"/>
            <w:r w:rsidRPr="00D540F3">
              <w:rPr>
                <w:rFonts w:ascii="Calibri Light" w:eastAsia="Times New Roman" w:hAnsi="Calibri Light" w:cs="Calibri Light"/>
                <w:color w:val="000000"/>
                <w:sz w:val="20"/>
                <w:szCs w:val="20"/>
              </w:rPr>
              <w:t>kBtuh</w:t>
            </w:r>
            <w:proofErr w:type="spellEnd"/>
            <w:r w:rsidRPr="00D540F3">
              <w:rPr>
                <w:rFonts w:ascii="Calibri Light" w:eastAsia="Times New Roman" w:hAnsi="Calibri Light" w:cs="Calibri Light"/>
                <w:color w:val="000000"/>
                <w:sz w:val="20"/>
                <w:szCs w:val="20"/>
              </w:rPr>
              <w:t>, 82.0 Et, OA Reset from 140 to 165 F)</w:t>
            </w:r>
          </w:p>
        </w:tc>
      </w:tr>
    </w:tbl>
    <w:p w14:paraId="7B975FAD" w14:textId="77777777" w:rsidR="00D540F3" w:rsidRPr="004B06E3" w:rsidRDefault="00D540F3" w:rsidP="005466DB">
      <w:pPr>
        <w:pStyle w:val="Norma"/>
      </w:pPr>
    </w:p>
    <w:p w14:paraId="54FD79D6" w14:textId="77777777" w:rsidR="00E70CBD" w:rsidRPr="00171BB8" w:rsidRDefault="00E70CBD" w:rsidP="00462BB6">
      <w:pPr>
        <w:pStyle w:val="eTRMHeading3"/>
      </w:pPr>
      <w:bookmarkStart w:id="16" w:name="_Toc486490849"/>
      <w:bookmarkStart w:id="17" w:name="_Toc486580920"/>
      <w:bookmarkStart w:id="18" w:name="_Toc60150595"/>
      <w:bookmarkStart w:id="19" w:name="_Toc60310469"/>
      <w:r w:rsidRPr="004B06E3">
        <w:t>Base Case Description</w:t>
      </w:r>
      <w:bookmarkEnd w:id="16"/>
      <w:bookmarkEnd w:id="17"/>
      <w:bookmarkEnd w:id="18"/>
      <w:bookmarkEnd w:id="19"/>
      <w:r w:rsidRPr="00171BB8">
        <w:t xml:space="preserve"> </w:t>
      </w:r>
    </w:p>
    <w:p w14:paraId="446823B0" w14:textId="5FB93E38" w:rsidR="00203268" w:rsidRPr="00D216EA" w:rsidRDefault="00E74487">
      <w:pPr>
        <w:pStyle w:val="Norma"/>
        <w:rPr>
          <w:rFonts w:cs="Arial"/>
        </w:rPr>
      </w:pPr>
      <w:bookmarkStart w:id="20" w:name="_Toc486490850"/>
      <w:bookmarkStart w:id="21" w:name="_Toc486580921"/>
      <w:r w:rsidRPr="00D216EA">
        <w:rPr>
          <w:rFonts w:cs="Arial"/>
        </w:rPr>
        <w:t>The base case</w:t>
      </w:r>
      <w:r w:rsidR="00935BCC">
        <w:rPr>
          <w:rFonts w:cs="Arial"/>
        </w:rPr>
        <w:t xml:space="preserve"> efficiency</w:t>
      </w:r>
      <w:r w:rsidR="1CB4F5BC" w:rsidRPr="00D216EA">
        <w:rPr>
          <w:rFonts w:cs="Arial"/>
        </w:rPr>
        <w:t xml:space="preserve"> for </w:t>
      </w:r>
      <w:r w:rsidR="007A61E6">
        <w:rPr>
          <w:rFonts w:cs="Arial"/>
        </w:rPr>
        <w:t>m</w:t>
      </w:r>
      <w:r w:rsidR="00BD40C7" w:rsidRPr="00D216EA">
        <w:rPr>
          <w:rFonts w:cs="Arial"/>
        </w:rPr>
        <w:t xml:space="preserve">ultifamily space heating hot water boilers </w:t>
      </w:r>
      <w:r w:rsidR="788A987D" w:rsidRPr="00D216EA">
        <w:rPr>
          <w:rFonts w:cs="Arial"/>
        </w:rPr>
        <w:t>&lt;</w:t>
      </w:r>
      <w:r w:rsidR="00135085">
        <w:rPr>
          <w:rFonts w:cs="Arial"/>
        </w:rPr>
        <w:t xml:space="preserve"> </w:t>
      </w:r>
      <w:r w:rsidR="00BD40C7" w:rsidRPr="00D216EA">
        <w:rPr>
          <w:rFonts w:cs="Arial"/>
        </w:rPr>
        <w:t xml:space="preserve">300 </w:t>
      </w:r>
      <w:proofErr w:type="spellStart"/>
      <w:r w:rsidR="00464758">
        <w:rPr>
          <w:rFonts w:cs="Arial"/>
        </w:rPr>
        <w:t>k</w:t>
      </w:r>
      <w:r w:rsidR="00BD40C7" w:rsidRPr="00D216EA">
        <w:rPr>
          <w:rFonts w:cs="Arial"/>
        </w:rPr>
        <w:t>Btuh</w:t>
      </w:r>
      <w:proofErr w:type="spellEnd"/>
      <w:r w:rsidR="00BD40C7" w:rsidRPr="00D216EA">
        <w:rPr>
          <w:rFonts w:cs="Arial"/>
        </w:rPr>
        <w:t xml:space="preserve"> is 8</w:t>
      </w:r>
      <w:r w:rsidR="00A7135A">
        <w:rPr>
          <w:rFonts w:cs="Arial"/>
        </w:rPr>
        <w:t>4</w:t>
      </w:r>
      <w:r w:rsidR="00BD40C7" w:rsidRPr="00D216EA">
        <w:rPr>
          <w:rFonts w:cs="Arial"/>
        </w:rPr>
        <w:t>% AFUE. The base case for all other space heating hot water boilers is a thermal efficienc</w:t>
      </w:r>
      <w:r w:rsidR="0051573C">
        <w:rPr>
          <w:rFonts w:cs="Arial"/>
        </w:rPr>
        <w:t xml:space="preserve">y </w:t>
      </w:r>
      <w:r w:rsidR="00BD40C7" w:rsidRPr="00D216EA">
        <w:rPr>
          <w:rFonts w:cs="Arial"/>
        </w:rPr>
        <w:t xml:space="preserve">of 80%. The base case for space heating steam boilers is a thermal efficiency of 79%.    </w:t>
      </w:r>
    </w:p>
    <w:p w14:paraId="67B1BB5C" w14:textId="77777777" w:rsidR="00E74487" w:rsidRDefault="00E74487" w:rsidP="00203268">
      <w:pPr>
        <w:pStyle w:val="Norma"/>
      </w:pPr>
    </w:p>
    <w:p w14:paraId="7D9DA4A6" w14:textId="1743B27C" w:rsidR="007D230B" w:rsidRDefault="007D230B" w:rsidP="004F705B">
      <w:pPr>
        <w:pStyle w:val="eTRMHeading3"/>
      </w:pPr>
      <w:bookmarkStart w:id="22" w:name="_Toc60150596"/>
      <w:bookmarkStart w:id="23" w:name="_Toc60310470"/>
      <w:r w:rsidRPr="004B06E3">
        <w:lastRenderedPageBreak/>
        <w:t>Code Requirements</w:t>
      </w:r>
      <w:bookmarkEnd w:id="20"/>
      <w:bookmarkEnd w:id="21"/>
      <w:bookmarkEnd w:id="22"/>
      <w:bookmarkEnd w:id="23"/>
    </w:p>
    <w:p w14:paraId="46A8DF4C" w14:textId="7482055C" w:rsidR="000C412A" w:rsidRPr="004754B9" w:rsidRDefault="000C412A" w:rsidP="000C412A">
      <w:pPr>
        <w:pStyle w:val="Norma"/>
      </w:pPr>
      <w:r>
        <w:t>A space heating boiler installed in commercial or multifamily premise is subject to state regulation – as codified in the California State Appliance Efficiency Regulations (Title 20) and the California Building Energy Efficiency Standards (Title 2</w:t>
      </w:r>
      <w:r w:rsidR="00547C58">
        <w:t>4)</w:t>
      </w:r>
      <w:r>
        <w:t xml:space="preserve">. Note </w:t>
      </w:r>
      <w:r w:rsidRPr="004754B9">
        <w:t xml:space="preserve">that the more stringent code </w:t>
      </w:r>
      <w:r>
        <w:t>is</w:t>
      </w:r>
      <w:r w:rsidRPr="004754B9">
        <w:t xml:space="preserve"> applied in all </w:t>
      </w:r>
      <w:r>
        <w:t>relevant</w:t>
      </w:r>
      <w:r w:rsidRPr="004754B9">
        <w:t xml:space="preserve"> situations. In this case,</w:t>
      </w:r>
      <w:r w:rsidRPr="003E2F63">
        <w:t xml:space="preserve"> 201</w:t>
      </w:r>
      <w:r w:rsidR="00A610E0">
        <w:t>9</w:t>
      </w:r>
      <w:r w:rsidRPr="003E2F63">
        <w:t xml:space="preserve"> California Title 24 code supersedes the </w:t>
      </w:r>
      <w:r w:rsidR="00A610E0" w:rsidRPr="003E2F63">
        <w:t>201</w:t>
      </w:r>
      <w:r w:rsidR="00A610E0">
        <w:t>9</w:t>
      </w:r>
      <w:r w:rsidR="00A610E0" w:rsidRPr="003E2F63">
        <w:t xml:space="preserve"> </w:t>
      </w:r>
      <w:r w:rsidRPr="003E2F63">
        <w:t>Title 20 code as the regulatory baseline for all measur</w:t>
      </w:r>
      <w:r w:rsidRPr="004754B9">
        <w:t>e</w:t>
      </w:r>
      <w:r>
        <w:t xml:space="preserve"> offerings</w:t>
      </w:r>
      <w:r w:rsidRPr="004754B9">
        <w:t>.</w:t>
      </w:r>
      <w:r w:rsidR="00357082">
        <w:t xml:space="preserve"> </w:t>
      </w:r>
    </w:p>
    <w:p w14:paraId="7E96141F" w14:textId="2F94ABC6" w:rsidR="00FD2C54" w:rsidRDefault="00FD2C54" w:rsidP="00D93A6D">
      <w:pPr>
        <w:pStyle w:val="Caption"/>
      </w:pPr>
      <w:r>
        <w:t xml:space="preserve">Applicable State and Federal </w:t>
      </w:r>
      <w:r w:rsidRPr="00CD6698">
        <w:t>Code</w:t>
      </w:r>
      <w:r>
        <w:t>s and Standards</w:t>
      </w:r>
      <w:r w:rsidRPr="002C39E3">
        <w:t xml:space="preserve"> </w:t>
      </w:r>
    </w:p>
    <w:tbl>
      <w:tblPr>
        <w:tblStyle w:val="NormalTable"/>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510"/>
        <w:gridCol w:w="2430"/>
      </w:tblGrid>
      <w:tr w:rsidR="00FC77BB" w:rsidRPr="00154391" w14:paraId="4623D54B" w14:textId="689B6080" w:rsidTr="005466DB">
        <w:trPr>
          <w:cantSplit/>
          <w:trHeight w:val="20"/>
        </w:trPr>
        <w:tc>
          <w:tcPr>
            <w:tcW w:w="3595" w:type="dxa"/>
            <w:shd w:val="clear" w:color="auto" w:fill="F2F2F2" w:themeFill="background1" w:themeFillShade="F2"/>
            <w:vAlign w:val="bottom"/>
          </w:tcPr>
          <w:p w14:paraId="5E8EE0C5" w14:textId="77777777" w:rsidR="00FC77BB" w:rsidRPr="00154391" w:rsidRDefault="00FC77BB" w:rsidP="004F705B">
            <w:pPr>
              <w:pStyle w:val="Norma"/>
              <w:keepNext/>
              <w:keepLines/>
              <w:spacing w:before="20" w:after="20"/>
              <w:rPr>
                <w:b/>
                <w:sz w:val="20"/>
                <w:szCs w:val="20"/>
              </w:rPr>
            </w:pPr>
            <w:r w:rsidRPr="0079498E">
              <w:rPr>
                <w:b/>
                <w:sz w:val="20"/>
              </w:rPr>
              <w:t>Code</w:t>
            </w:r>
          </w:p>
        </w:tc>
        <w:tc>
          <w:tcPr>
            <w:tcW w:w="3510" w:type="dxa"/>
            <w:shd w:val="clear" w:color="auto" w:fill="F2F2F2" w:themeFill="background1" w:themeFillShade="F2"/>
            <w:vAlign w:val="bottom"/>
          </w:tcPr>
          <w:p w14:paraId="2A51DAFB" w14:textId="77777777" w:rsidR="00FC77BB" w:rsidRPr="00154391" w:rsidRDefault="00FC77BB" w:rsidP="004F705B">
            <w:pPr>
              <w:pStyle w:val="Norma"/>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pStyle w:val="Norma"/>
              <w:keepNext/>
              <w:keepLines/>
              <w:spacing w:before="20" w:after="20"/>
              <w:jc w:val="center"/>
              <w:rPr>
                <w:b/>
                <w:sz w:val="20"/>
                <w:szCs w:val="20"/>
              </w:rPr>
            </w:pPr>
            <w:r w:rsidRPr="0079498E">
              <w:rPr>
                <w:b/>
                <w:sz w:val="20"/>
              </w:rPr>
              <w:t>Effective Date</w:t>
            </w:r>
          </w:p>
        </w:tc>
      </w:tr>
      <w:tr w:rsidR="00BA7EEB" w:rsidRPr="000C412A" w14:paraId="782F7264" w14:textId="345CFA23" w:rsidTr="0C03F8FD">
        <w:trPr>
          <w:cantSplit/>
          <w:trHeight w:val="20"/>
        </w:trPr>
        <w:tc>
          <w:tcPr>
            <w:tcW w:w="3595" w:type="dxa"/>
            <w:shd w:val="clear" w:color="auto" w:fill="auto"/>
          </w:tcPr>
          <w:p w14:paraId="67BA833F" w14:textId="3B147E27" w:rsidR="00BA7EEB" w:rsidRPr="000C412A" w:rsidRDefault="00BA7EEB" w:rsidP="00BA7EEB">
            <w:pPr>
              <w:pStyle w:val="Norma"/>
              <w:keepNext/>
              <w:keepLines/>
              <w:spacing w:before="20" w:after="20"/>
              <w:rPr>
                <w:sz w:val="20"/>
                <w:szCs w:val="20"/>
              </w:rPr>
            </w:pPr>
            <w:r w:rsidRPr="000C412A">
              <w:rPr>
                <w:sz w:val="20"/>
                <w:szCs w:val="20"/>
              </w:rPr>
              <w:t xml:space="preserve">CA Appliance Efficiency Regulations – Title 20 </w:t>
            </w:r>
            <w:r w:rsidR="000C412A">
              <w:rPr>
                <w:sz w:val="20"/>
                <w:szCs w:val="20"/>
              </w:rPr>
              <w:t>(201</w:t>
            </w:r>
            <w:r w:rsidR="000635F2">
              <w:rPr>
                <w:sz w:val="20"/>
                <w:szCs w:val="20"/>
              </w:rPr>
              <w:t>9</w:t>
            </w:r>
            <w:r w:rsidR="000C412A">
              <w:rPr>
                <w:sz w:val="20"/>
                <w:szCs w:val="20"/>
              </w:rPr>
              <w:t>)</w:t>
            </w:r>
          </w:p>
        </w:tc>
        <w:tc>
          <w:tcPr>
            <w:tcW w:w="3510" w:type="dxa"/>
            <w:shd w:val="clear" w:color="auto" w:fill="auto"/>
          </w:tcPr>
          <w:p w14:paraId="794A0264" w14:textId="46CCDEC2" w:rsidR="00BA7EEB" w:rsidRPr="000C412A" w:rsidRDefault="000C412A" w:rsidP="00BA7EEB">
            <w:pPr>
              <w:pStyle w:val="Norma"/>
              <w:keepNext/>
              <w:keepLines/>
              <w:spacing w:before="20" w:after="20"/>
              <w:rPr>
                <w:sz w:val="20"/>
                <w:szCs w:val="20"/>
              </w:rPr>
            </w:pPr>
            <w:r w:rsidRPr="000C412A">
              <w:rPr>
                <w:rFonts w:cstheme="minorHAnsi"/>
                <w:sz w:val="20"/>
                <w:szCs w:val="20"/>
              </w:rPr>
              <w:t>Section 1605.1(e)</w:t>
            </w:r>
          </w:p>
        </w:tc>
        <w:tc>
          <w:tcPr>
            <w:tcW w:w="2430" w:type="dxa"/>
            <w:shd w:val="clear" w:color="auto" w:fill="auto"/>
          </w:tcPr>
          <w:p w14:paraId="274AB5DC" w14:textId="0B0C23F6" w:rsidR="00BA7EEB" w:rsidRPr="000C412A" w:rsidRDefault="00BA7EEB" w:rsidP="00BA7EEB">
            <w:pPr>
              <w:pStyle w:val="Norma"/>
              <w:keepNext/>
              <w:keepLines/>
              <w:spacing w:before="20" w:after="20"/>
              <w:rPr>
                <w:sz w:val="20"/>
                <w:szCs w:val="20"/>
              </w:rPr>
            </w:pPr>
            <w:r w:rsidRPr="000C412A">
              <w:rPr>
                <w:rFonts w:cstheme="minorHAnsi"/>
                <w:sz w:val="20"/>
                <w:szCs w:val="20"/>
              </w:rPr>
              <w:t>J</w:t>
            </w:r>
            <w:r w:rsidR="000635F2">
              <w:rPr>
                <w:rFonts w:cstheme="minorHAnsi"/>
                <w:sz w:val="20"/>
                <w:szCs w:val="20"/>
              </w:rPr>
              <w:t>an</w:t>
            </w:r>
            <w:r w:rsidR="0051573C">
              <w:rPr>
                <w:rFonts w:cstheme="minorHAnsi"/>
                <w:sz w:val="20"/>
                <w:szCs w:val="20"/>
              </w:rPr>
              <w:t>uary</w:t>
            </w:r>
            <w:r w:rsidRPr="000C412A">
              <w:rPr>
                <w:rFonts w:cstheme="minorHAnsi"/>
                <w:sz w:val="20"/>
                <w:szCs w:val="20"/>
              </w:rPr>
              <w:t xml:space="preserve"> 1, 201</w:t>
            </w:r>
            <w:r w:rsidR="000635F2">
              <w:rPr>
                <w:rFonts w:cstheme="minorHAnsi"/>
                <w:sz w:val="20"/>
                <w:szCs w:val="20"/>
              </w:rPr>
              <w:t>9</w:t>
            </w:r>
            <w:r w:rsidR="00DD6BE6">
              <w:rPr>
                <w:rFonts w:cstheme="minorHAnsi"/>
                <w:sz w:val="20"/>
                <w:szCs w:val="20"/>
              </w:rPr>
              <w:t xml:space="preserve"> </w:t>
            </w:r>
          </w:p>
        </w:tc>
      </w:tr>
      <w:tr w:rsidR="00BA7EEB" w:rsidRPr="000C412A" w14:paraId="1238F946" w14:textId="64CC1E4E" w:rsidTr="0C03F8FD">
        <w:trPr>
          <w:cantSplit/>
          <w:trHeight w:val="20"/>
        </w:trPr>
        <w:tc>
          <w:tcPr>
            <w:tcW w:w="3595" w:type="dxa"/>
            <w:shd w:val="clear" w:color="auto" w:fill="auto"/>
          </w:tcPr>
          <w:p w14:paraId="4F444C61" w14:textId="11409D91" w:rsidR="00BA7EEB" w:rsidRPr="000C412A" w:rsidRDefault="00BA7EEB" w:rsidP="00BA7EEB">
            <w:pPr>
              <w:pStyle w:val="Norma"/>
              <w:keepNext/>
              <w:keepLines/>
              <w:spacing w:before="20" w:after="20"/>
              <w:rPr>
                <w:sz w:val="20"/>
                <w:szCs w:val="20"/>
              </w:rPr>
            </w:pPr>
            <w:r w:rsidRPr="000C412A">
              <w:rPr>
                <w:sz w:val="20"/>
                <w:szCs w:val="20"/>
              </w:rPr>
              <w:t>CA Building Energy Efficiency Standards – Title 24 (201</w:t>
            </w:r>
            <w:r w:rsidR="00F33FA8">
              <w:rPr>
                <w:sz w:val="20"/>
                <w:szCs w:val="20"/>
              </w:rPr>
              <w:t>9</w:t>
            </w:r>
            <w:r w:rsidRPr="000C412A">
              <w:rPr>
                <w:sz w:val="20"/>
                <w:szCs w:val="20"/>
              </w:rPr>
              <w:t>)</w:t>
            </w:r>
          </w:p>
        </w:tc>
        <w:tc>
          <w:tcPr>
            <w:tcW w:w="3510" w:type="dxa"/>
            <w:shd w:val="clear" w:color="auto" w:fill="auto"/>
          </w:tcPr>
          <w:p w14:paraId="0A330E5E" w14:textId="2A760664" w:rsidR="000C412A" w:rsidRPr="000C412A" w:rsidRDefault="000C412A" w:rsidP="00BA7EEB">
            <w:pPr>
              <w:pStyle w:val="Norma"/>
              <w:keepNext/>
              <w:keepLines/>
              <w:spacing w:before="20" w:after="20"/>
              <w:rPr>
                <w:sz w:val="20"/>
                <w:szCs w:val="20"/>
              </w:rPr>
            </w:pPr>
            <w:r w:rsidRPr="000C412A">
              <w:rPr>
                <w:rFonts w:cstheme="minorHAnsi"/>
                <w:sz w:val="20"/>
                <w:szCs w:val="20"/>
              </w:rPr>
              <w:t>Section 110.2</w:t>
            </w:r>
          </w:p>
        </w:tc>
        <w:tc>
          <w:tcPr>
            <w:tcW w:w="2430" w:type="dxa"/>
            <w:shd w:val="clear" w:color="auto" w:fill="auto"/>
          </w:tcPr>
          <w:p w14:paraId="63BAD98E" w14:textId="462BD52C" w:rsidR="00BA7EEB" w:rsidRPr="005466DB" w:rsidRDefault="00547C58" w:rsidP="005466DB">
            <w:pPr>
              <w:pStyle w:val="Norma"/>
              <w:keepNext/>
              <w:keepLines/>
              <w:spacing w:before="20" w:after="20"/>
              <w:rPr>
                <w:sz w:val="20"/>
                <w:szCs w:val="20"/>
              </w:rPr>
            </w:pPr>
            <w:r w:rsidRPr="00D216EA">
              <w:rPr>
                <w:sz w:val="20"/>
                <w:szCs w:val="20"/>
              </w:rPr>
              <w:t>Jan</w:t>
            </w:r>
            <w:r w:rsidR="0051573C">
              <w:rPr>
                <w:sz w:val="20"/>
                <w:szCs w:val="20"/>
              </w:rPr>
              <w:t>uary</w:t>
            </w:r>
            <w:r w:rsidR="0025754A" w:rsidRPr="00D216EA">
              <w:rPr>
                <w:sz w:val="20"/>
                <w:szCs w:val="20"/>
              </w:rPr>
              <w:t xml:space="preserve"> </w:t>
            </w:r>
            <w:r w:rsidR="00BA7EEB" w:rsidRPr="00D216EA">
              <w:rPr>
                <w:sz w:val="20"/>
                <w:szCs w:val="20"/>
              </w:rPr>
              <w:t xml:space="preserve">1, </w:t>
            </w:r>
            <w:r w:rsidR="0025754A" w:rsidRPr="00D216EA">
              <w:rPr>
                <w:sz w:val="20"/>
                <w:szCs w:val="20"/>
              </w:rPr>
              <w:t>20</w:t>
            </w:r>
            <w:r w:rsidR="006D6C32">
              <w:rPr>
                <w:sz w:val="20"/>
                <w:szCs w:val="20"/>
              </w:rPr>
              <w:t>19</w:t>
            </w:r>
          </w:p>
        </w:tc>
      </w:tr>
      <w:tr w:rsidR="00DE1251" w:rsidRPr="000C412A" w14:paraId="23FB50B6" w14:textId="5078B94B" w:rsidTr="0C03F8FD">
        <w:trPr>
          <w:cantSplit/>
          <w:trHeight w:val="20"/>
        </w:trPr>
        <w:tc>
          <w:tcPr>
            <w:tcW w:w="3595" w:type="dxa"/>
            <w:shd w:val="clear" w:color="auto" w:fill="auto"/>
          </w:tcPr>
          <w:p w14:paraId="2EBFC05B" w14:textId="2F3213B8" w:rsidR="00DE1251" w:rsidRPr="000C412A" w:rsidRDefault="00DE1251" w:rsidP="00DE1251">
            <w:pPr>
              <w:pStyle w:val="Norma"/>
              <w:keepNext/>
              <w:keepLines/>
              <w:spacing w:before="20" w:after="20"/>
              <w:rPr>
                <w:sz w:val="20"/>
                <w:szCs w:val="20"/>
              </w:rPr>
            </w:pPr>
            <w:r w:rsidRPr="000C412A">
              <w:rPr>
                <w:sz w:val="20"/>
                <w:szCs w:val="20"/>
              </w:rPr>
              <w:t>Federal Standards</w:t>
            </w:r>
          </w:p>
        </w:tc>
        <w:tc>
          <w:tcPr>
            <w:tcW w:w="3510" w:type="dxa"/>
            <w:shd w:val="clear" w:color="auto" w:fill="auto"/>
          </w:tcPr>
          <w:p w14:paraId="0D43394E" w14:textId="593DA523" w:rsidR="00DE1251" w:rsidRPr="000C412A" w:rsidRDefault="006C6E8C" w:rsidP="00DE1251">
            <w:pPr>
              <w:pStyle w:val="Norma"/>
              <w:keepNext/>
              <w:keepLines/>
              <w:spacing w:before="20" w:after="20"/>
              <w:rPr>
                <w:sz w:val="20"/>
                <w:szCs w:val="20"/>
              </w:rPr>
            </w:pPr>
            <w:r>
              <w:rPr>
                <w:sz w:val="20"/>
                <w:szCs w:val="20"/>
              </w:rPr>
              <w:t>None.</w:t>
            </w:r>
          </w:p>
        </w:tc>
        <w:tc>
          <w:tcPr>
            <w:tcW w:w="2430" w:type="dxa"/>
            <w:shd w:val="clear" w:color="auto" w:fill="auto"/>
          </w:tcPr>
          <w:p w14:paraId="66FA1B6F" w14:textId="1DD12C96" w:rsidR="00DE1251" w:rsidRPr="000C412A" w:rsidRDefault="006C6E8C" w:rsidP="002B108B">
            <w:pPr>
              <w:pStyle w:val="Norma"/>
              <w:keepNext/>
              <w:keepLines/>
              <w:spacing w:before="20" w:after="20"/>
              <w:rPr>
                <w:sz w:val="20"/>
                <w:szCs w:val="20"/>
              </w:rPr>
            </w:pPr>
            <w:r>
              <w:rPr>
                <w:sz w:val="20"/>
                <w:szCs w:val="20"/>
              </w:rPr>
              <w:t>n/a</w:t>
            </w:r>
          </w:p>
        </w:tc>
      </w:tr>
    </w:tbl>
    <w:p w14:paraId="7A129097" w14:textId="5E46AE92" w:rsidR="0C03F8FD" w:rsidRPr="005466DB" w:rsidRDefault="0C03F8FD">
      <w:pPr>
        <w:pStyle w:val="Norma"/>
        <w:rPr>
          <w:b/>
          <w:bCs/>
        </w:rPr>
      </w:pPr>
    </w:p>
    <w:p w14:paraId="05B6740D" w14:textId="54745477" w:rsidR="00BA7EEB" w:rsidRPr="001E3079" w:rsidRDefault="00BA7EEB" w:rsidP="000C412A">
      <w:pPr>
        <w:pStyle w:val="Norma"/>
        <w:rPr>
          <w:b/>
        </w:rPr>
      </w:pPr>
      <w:r w:rsidRPr="001E3079">
        <w:rPr>
          <w:b/>
        </w:rPr>
        <w:t>Title 20</w:t>
      </w:r>
      <w:r w:rsidR="001E3079" w:rsidRPr="001E3079">
        <w:rPr>
          <w:b/>
        </w:rPr>
        <w:t>,</w:t>
      </w:r>
      <w:r w:rsidRPr="001E3079">
        <w:rPr>
          <w:b/>
        </w:rPr>
        <w:t xml:space="preserve"> Section </w:t>
      </w:r>
      <w:r w:rsidR="001E3079" w:rsidRPr="001E3079">
        <w:rPr>
          <w:rFonts w:cstheme="minorHAnsi"/>
          <w:b/>
          <w:sz w:val="20"/>
          <w:szCs w:val="20"/>
        </w:rPr>
        <w:t>1605.1(e)</w:t>
      </w:r>
      <w:r w:rsidRPr="001E3079">
        <w:rPr>
          <w:b/>
        </w:rPr>
        <w:t>:</w:t>
      </w:r>
      <w:r w:rsidR="00357082">
        <w:rPr>
          <w:rStyle w:val="FootnoteReference"/>
          <w:b/>
        </w:rPr>
        <w:footnoteReference w:id="2"/>
      </w:r>
      <w:r w:rsidRPr="001E3079">
        <w:rPr>
          <w:b/>
        </w:rPr>
        <w:t xml:space="preserve"> </w:t>
      </w:r>
    </w:p>
    <w:p w14:paraId="5A17BF5E" w14:textId="77777777" w:rsidR="00BA7EEB" w:rsidRPr="00BA7EEB" w:rsidRDefault="00BA7EEB" w:rsidP="00BA7EEB">
      <w:pPr>
        <w:pStyle w:val="NoSpacing"/>
        <w:ind w:left="720" w:right="720"/>
        <w:rPr>
          <w:rFonts w:ascii="Times New Roman" w:hAnsi="Times New Roman" w:cs="Times New Roman"/>
          <w:i/>
          <w:sz w:val="20"/>
        </w:rPr>
      </w:pPr>
      <w:r w:rsidRPr="00BA7EEB">
        <w:rPr>
          <w:rFonts w:ascii="Times New Roman" w:hAnsi="Times New Roman" w:cs="Times New Roman"/>
          <w:i/>
          <w:sz w:val="20"/>
        </w:rPr>
        <w:t>Central Gas Furnaces, Central Gas Boilers, Central Oil Furnaces, Central Oil Boilers and Electric Residential Boilers. The AFUE, thermal efficiency, and combustion efficiency, as applicable, of central gas furnaces, central gas boilers, central oil furnaces, and central oil boilers manufactured on or after the effective dates shown shall be not less than the applicable values shown in Tables E-3 and E-4. Electric hot water residential boilers manufactured on or after September 1, 2012 shall meet the design standard shown in Table E-3.</w:t>
      </w:r>
    </w:p>
    <w:p w14:paraId="7366C841" w14:textId="5AF30DB5" w:rsidR="00BA7EEB" w:rsidRPr="00F15942" w:rsidRDefault="00BA7EEB" w:rsidP="00BA7EEB">
      <w:pPr>
        <w:pStyle w:val="Caption"/>
      </w:pPr>
      <w:r>
        <w:t>Title 20 Section 1605.1</w:t>
      </w:r>
      <w:r w:rsidR="001E3079">
        <w:t>(e),</w:t>
      </w:r>
      <w:r>
        <w:t xml:space="preserve"> Table E-</w:t>
      </w:r>
      <w:r w:rsidR="000C412A">
        <w:t>3 &amp; E-4</w:t>
      </w:r>
      <w:r>
        <w:t>,</w:t>
      </w:r>
      <w:r w:rsidRPr="00BA7EEB">
        <w:t xml:space="preserve"> </w:t>
      </w:r>
      <w:r w:rsidRPr="00F15942">
        <w:t>Standards for Gas- and Oil-Fired Central Boilers and Electric Residential Boilers</w:t>
      </w:r>
    </w:p>
    <w:tbl>
      <w:tblPr>
        <w:tblStyle w:val="NormalTable"/>
        <w:tblW w:w="8573"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4320"/>
        <w:gridCol w:w="1223"/>
        <w:gridCol w:w="1296"/>
        <w:gridCol w:w="1734"/>
      </w:tblGrid>
      <w:tr w:rsidR="000C412A" w:rsidRPr="00BA4375" w14:paraId="05C07A29" w14:textId="77777777" w:rsidTr="00FC3FB0">
        <w:trPr>
          <w:tblHeader/>
        </w:trPr>
        <w:tc>
          <w:tcPr>
            <w:tcW w:w="4320" w:type="dxa"/>
            <w:shd w:val="clear" w:color="auto" w:fill="F2F2F2" w:themeFill="background1" w:themeFillShade="F2"/>
            <w:vAlign w:val="bottom"/>
          </w:tcPr>
          <w:p w14:paraId="491D54E2"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Title 20 Std. Description</w:t>
            </w:r>
          </w:p>
        </w:tc>
        <w:tc>
          <w:tcPr>
            <w:tcW w:w="1223" w:type="dxa"/>
            <w:shd w:val="clear" w:color="auto" w:fill="F2F2F2" w:themeFill="background1" w:themeFillShade="F2"/>
            <w:vAlign w:val="bottom"/>
          </w:tcPr>
          <w:p w14:paraId="23DD2F8E" w14:textId="3113A236" w:rsidR="000C412A" w:rsidRPr="00F15942" w:rsidRDefault="001E3079" w:rsidP="000C412A">
            <w:pPr>
              <w:pStyle w:val="Norma"/>
              <w:spacing w:before="0" w:after="0" w:line="240" w:lineRule="auto"/>
              <w:jc w:val="center"/>
              <w:rPr>
                <w:rFonts w:cstheme="minorHAnsi"/>
                <w:b/>
                <w:sz w:val="20"/>
                <w:szCs w:val="20"/>
              </w:rPr>
            </w:pPr>
            <w:r>
              <w:rPr>
                <w:rFonts w:cstheme="minorHAnsi"/>
                <w:b/>
                <w:sz w:val="20"/>
                <w:szCs w:val="20"/>
              </w:rPr>
              <w:t xml:space="preserve">Min. </w:t>
            </w:r>
            <w:r w:rsidR="000C412A">
              <w:rPr>
                <w:rFonts w:cstheme="minorHAnsi"/>
                <w:b/>
                <w:sz w:val="20"/>
                <w:szCs w:val="20"/>
              </w:rPr>
              <w:t>Efficiency Rating</w:t>
            </w:r>
          </w:p>
        </w:tc>
        <w:tc>
          <w:tcPr>
            <w:tcW w:w="1296" w:type="dxa"/>
            <w:shd w:val="clear" w:color="auto" w:fill="F2F2F2" w:themeFill="background1" w:themeFillShade="F2"/>
            <w:vAlign w:val="bottom"/>
          </w:tcPr>
          <w:p w14:paraId="77761CBF"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Units</w:t>
            </w:r>
          </w:p>
        </w:tc>
        <w:tc>
          <w:tcPr>
            <w:tcW w:w="1734" w:type="dxa"/>
            <w:shd w:val="clear" w:color="auto" w:fill="F2F2F2" w:themeFill="background1" w:themeFillShade="F2"/>
            <w:vAlign w:val="bottom"/>
          </w:tcPr>
          <w:p w14:paraId="0939B424"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Code Source or Reference</w:t>
            </w:r>
          </w:p>
        </w:tc>
      </w:tr>
      <w:tr w:rsidR="000C412A" w:rsidRPr="00BA4375" w14:paraId="1C008D2C" w14:textId="77777777" w:rsidTr="00FC3FB0">
        <w:tc>
          <w:tcPr>
            <w:tcW w:w="4320" w:type="dxa"/>
            <w:shd w:val="clear" w:color="auto" w:fill="auto"/>
            <w:vAlign w:val="center"/>
          </w:tcPr>
          <w:p w14:paraId="441B2965" w14:textId="1049BCF5" w:rsidR="000C412A" w:rsidRPr="00F15942" w:rsidRDefault="000C412A" w:rsidP="000C412A">
            <w:pPr>
              <w:pStyle w:val="Norma"/>
              <w:spacing w:before="0" w:after="0" w:line="240" w:lineRule="auto"/>
              <w:jc w:val="both"/>
              <w:rPr>
                <w:rFonts w:cs="Arial"/>
                <w:sz w:val="20"/>
                <w:szCs w:val="20"/>
              </w:rPr>
            </w:pPr>
            <w:r>
              <w:rPr>
                <w:rFonts w:cs="Arial"/>
                <w:sz w:val="20"/>
                <w:szCs w:val="20"/>
              </w:rPr>
              <w:t xml:space="preserve">Boiler, hot water, Gas-Fired (&lt; 300 </w:t>
            </w:r>
            <w:proofErr w:type="spellStart"/>
            <w:r>
              <w:rPr>
                <w:rFonts w:cs="Arial"/>
                <w:sz w:val="20"/>
                <w:szCs w:val="20"/>
              </w:rPr>
              <w:t>kBTUh</w:t>
            </w:r>
            <w:proofErr w:type="spellEnd"/>
            <w:r>
              <w:rPr>
                <w:rFonts w:cs="Arial"/>
                <w:sz w:val="20"/>
                <w:szCs w:val="20"/>
              </w:rPr>
              <w:t>)</w:t>
            </w:r>
          </w:p>
        </w:tc>
        <w:tc>
          <w:tcPr>
            <w:tcW w:w="1223" w:type="dxa"/>
            <w:shd w:val="clear" w:color="auto" w:fill="auto"/>
            <w:vAlign w:val="center"/>
          </w:tcPr>
          <w:p w14:paraId="3BBE93E3" w14:textId="47627325" w:rsidR="000C412A" w:rsidRDefault="000C412A" w:rsidP="000C412A">
            <w:pPr>
              <w:pStyle w:val="Norma"/>
              <w:spacing w:before="0" w:after="0" w:line="240" w:lineRule="auto"/>
              <w:jc w:val="center"/>
              <w:rPr>
                <w:rFonts w:cstheme="minorHAnsi"/>
                <w:sz w:val="20"/>
                <w:szCs w:val="20"/>
              </w:rPr>
            </w:pPr>
            <w:r>
              <w:rPr>
                <w:rFonts w:cs="Arial"/>
                <w:sz w:val="20"/>
                <w:szCs w:val="20"/>
              </w:rPr>
              <w:t>8</w:t>
            </w:r>
            <w:r w:rsidR="00276D03">
              <w:rPr>
                <w:rFonts w:cs="Arial"/>
                <w:sz w:val="20"/>
                <w:szCs w:val="20"/>
              </w:rPr>
              <w:t>4</w:t>
            </w:r>
            <w:r>
              <w:rPr>
                <w:rFonts w:cs="Arial"/>
                <w:sz w:val="20"/>
                <w:szCs w:val="20"/>
              </w:rPr>
              <w:t>%</w:t>
            </w:r>
          </w:p>
        </w:tc>
        <w:tc>
          <w:tcPr>
            <w:tcW w:w="1296" w:type="dxa"/>
            <w:shd w:val="clear" w:color="auto" w:fill="auto"/>
            <w:vAlign w:val="center"/>
          </w:tcPr>
          <w:p w14:paraId="193C34D3" w14:textId="408B0A92" w:rsidR="000C412A" w:rsidRDefault="000C412A" w:rsidP="000C412A">
            <w:pPr>
              <w:pStyle w:val="Norma"/>
              <w:spacing w:before="0" w:after="0" w:line="240" w:lineRule="auto"/>
              <w:rPr>
                <w:rFonts w:cstheme="minorHAnsi"/>
                <w:sz w:val="20"/>
                <w:szCs w:val="20"/>
              </w:rPr>
            </w:pPr>
            <w:r>
              <w:rPr>
                <w:rFonts w:cs="Arial"/>
                <w:sz w:val="20"/>
                <w:szCs w:val="20"/>
              </w:rPr>
              <w:t>AFUE</w:t>
            </w:r>
          </w:p>
        </w:tc>
        <w:tc>
          <w:tcPr>
            <w:tcW w:w="1734" w:type="dxa"/>
            <w:shd w:val="clear" w:color="auto" w:fill="auto"/>
            <w:vAlign w:val="center"/>
          </w:tcPr>
          <w:p w14:paraId="35C32F76" w14:textId="2C6F2FD7" w:rsidR="000C412A" w:rsidRDefault="000C412A" w:rsidP="00FC3FB0">
            <w:pPr>
              <w:pStyle w:val="Norma"/>
              <w:spacing w:before="0" w:after="0" w:line="240" w:lineRule="auto"/>
              <w:rPr>
                <w:rFonts w:cstheme="minorHAnsi"/>
                <w:sz w:val="20"/>
                <w:szCs w:val="20"/>
              </w:rPr>
            </w:pPr>
            <w:r>
              <w:rPr>
                <w:rFonts w:cstheme="minorHAnsi"/>
                <w:sz w:val="20"/>
                <w:szCs w:val="20"/>
              </w:rPr>
              <w:t>Table E-3</w:t>
            </w:r>
          </w:p>
        </w:tc>
      </w:tr>
      <w:tr w:rsidR="00FC3FB0" w:rsidRPr="00BA4375" w14:paraId="41B4AEF5" w14:textId="77777777" w:rsidTr="00FC3FB0">
        <w:tc>
          <w:tcPr>
            <w:tcW w:w="4320" w:type="dxa"/>
            <w:shd w:val="clear" w:color="auto" w:fill="auto"/>
          </w:tcPr>
          <w:p w14:paraId="5C349983" w14:textId="42876C17" w:rsidR="00FC3FB0" w:rsidRPr="00F15942" w:rsidRDefault="00FC3FB0" w:rsidP="00FC3FB0">
            <w:pPr>
              <w:pStyle w:val="Norma"/>
              <w:spacing w:before="0" w:after="0" w:line="240" w:lineRule="auto"/>
              <w:jc w:val="both"/>
              <w:rPr>
                <w:rFonts w:cstheme="minorHAnsi"/>
                <w:sz w:val="20"/>
                <w:szCs w:val="20"/>
              </w:rPr>
            </w:pPr>
            <w:r w:rsidRPr="00F15942">
              <w:rPr>
                <w:rFonts w:cs="Arial"/>
                <w:sz w:val="20"/>
                <w:szCs w:val="20"/>
              </w:rPr>
              <w:t>Boiler, hot water, Gas Fired (</w:t>
            </w:r>
            <w:r w:rsidR="00623587" w:rsidRPr="00623587">
              <w:rPr>
                <w:rFonts w:eastAsia="Times New Roman" w:cs="Calibri Light"/>
                <w:color w:val="000000"/>
                <w:sz w:val="20"/>
                <w:szCs w:val="20"/>
              </w:rPr>
              <w:t>≥</w:t>
            </w:r>
            <w:r w:rsidRPr="00F15942">
              <w:rPr>
                <w:rFonts w:cs="Arial"/>
                <w:sz w:val="20"/>
                <w:szCs w:val="20"/>
              </w:rPr>
              <w:t xml:space="preserve"> 300 </w:t>
            </w:r>
            <w:proofErr w:type="spellStart"/>
            <w:r w:rsidRPr="00F15942">
              <w:rPr>
                <w:rFonts w:cs="Arial"/>
                <w:sz w:val="20"/>
                <w:szCs w:val="20"/>
              </w:rPr>
              <w:t>kBTUh</w:t>
            </w:r>
            <w:proofErr w:type="spellEnd"/>
            <w:r w:rsidRPr="00F15942">
              <w:rPr>
                <w:rFonts w:cs="Arial"/>
                <w:sz w:val="20"/>
                <w:szCs w:val="20"/>
              </w:rPr>
              <w:t xml:space="preserve">, </w:t>
            </w:r>
            <w:r w:rsidR="00623587">
              <w:rPr>
                <w:rFonts w:cs="Calibri Light"/>
                <w:sz w:val="20"/>
                <w:szCs w:val="20"/>
              </w:rPr>
              <w:t>≤</w:t>
            </w:r>
            <w:r w:rsidR="00623587">
              <w:rPr>
                <w:rFonts w:cs="Arial"/>
                <w:sz w:val="20"/>
                <w:szCs w:val="20"/>
              </w:rPr>
              <w:t xml:space="preserve"> </w:t>
            </w:r>
            <w:r w:rsidRPr="00F15942">
              <w:rPr>
                <w:rFonts w:cs="Arial"/>
                <w:sz w:val="20"/>
                <w:szCs w:val="20"/>
              </w:rPr>
              <w:t xml:space="preserve">2,500 </w:t>
            </w:r>
            <w:proofErr w:type="spellStart"/>
            <w:r w:rsidRPr="00F15942">
              <w:rPr>
                <w:rFonts w:cs="Arial"/>
                <w:sz w:val="20"/>
                <w:szCs w:val="20"/>
              </w:rPr>
              <w:t>kBTUh</w:t>
            </w:r>
            <w:proofErr w:type="spellEnd"/>
            <w:r w:rsidRPr="00F15942">
              <w:rPr>
                <w:rFonts w:cs="Arial"/>
                <w:sz w:val="20"/>
                <w:szCs w:val="20"/>
              </w:rPr>
              <w:t>)</w:t>
            </w:r>
          </w:p>
        </w:tc>
        <w:tc>
          <w:tcPr>
            <w:tcW w:w="1223" w:type="dxa"/>
            <w:shd w:val="clear" w:color="auto" w:fill="auto"/>
            <w:vAlign w:val="center"/>
          </w:tcPr>
          <w:p w14:paraId="2E2FE6CD" w14:textId="1B38DE12" w:rsidR="00FC3FB0" w:rsidRPr="00F15942" w:rsidRDefault="00FC3FB0" w:rsidP="00FC3FB0">
            <w:pPr>
              <w:pStyle w:val="Norma"/>
              <w:spacing w:before="0" w:after="0" w:line="240" w:lineRule="auto"/>
              <w:jc w:val="center"/>
              <w:rPr>
                <w:rFonts w:cstheme="minorHAnsi"/>
                <w:sz w:val="20"/>
                <w:szCs w:val="20"/>
              </w:rPr>
            </w:pPr>
            <w:r>
              <w:rPr>
                <w:rFonts w:cstheme="minorHAnsi"/>
                <w:sz w:val="20"/>
                <w:szCs w:val="20"/>
              </w:rPr>
              <w:t>80</w:t>
            </w:r>
            <w:r w:rsidRPr="00F15942">
              <w:rPr>
                <w:rFonts w:cstheme="minorHAnsi"/>
                <w:sz w:val="20"/>
                <w:szCs w:val="20"/>
              </w:rPr>
              <w:t>%</w:t>
            </w:r>
          </w:p>
        </w:tc>
        <w:tc>
          <w:tcPr>
            <w:tcW w:w="1296" w:type="dxa"/>
            <w:shd w:val="clear" w:color="auto" w:fill="auto"/>
            <w:vAlign w:val="center"/>
          </w:tcPr>
          <w:p w14:paraId="7EB60AE1" w14:textId="2B50D124" w:rsidR="00FC3FB0" w:rsidRPr="00F15942" w:rsidRDefault="00FC3FB0" w:rsidP="00FC3FB0">
            <w:pPr>
              <w:pStyle w:val="Norma"/>
              <w:spacing w:before="0" w:after="0" w:line="240" w:lineRule="auto"/>
              <w:rPr>
                <w:rFonts w:cstheme="minorHAnsi"/>
                <w:sz w:val="20"/>
                <w:szCs w:val="20"/>
              </w:rPr>
            </w:pPr>
            <w:r w:rsidRPr="00F15942">
              <w:rPr>
                <w:rFonts w:cs="Arial"/>
                <w:sz w:val="20"/>
                <w:szCs w:val="20"/>
              </w:rPr>
              <w:t>Thermal Efficiency</w:t>
            </w:r>
          </w:p>
        </w:tc>
        <w:tc>
          <w:tcPr>
            <w:tcW w:w="1734" w:type="dxa"/>
            <w:shd w:val="clear" w:color="auto" w:fill="auto"/>
            <w:vAlign w:val="center"/>
          </w:tcPr>
          <w:p w14:paraId="28CC53B9" w14:textId="77E2B461" w:rsidR="00FC3FB0" w:rsidRPr="00F15942" w:rsidRDefault="00FC3FB0" w:rsidP="00FC3FB0">
            <w:pPr>
              <w:pStyle w:val="Norma"/>
              <w:spacing w:before="0" w:after="0" w:line="240" w:lineRule="auto"/>
              <w:rPr>
                <w:rFonts w:cstheme="minorHAnsi"/>
                <w:sz w:val="20"/>
                <w:szCs w:val="20"/>
              </w:rPr>
            </w:pPr>
            <w:r>
              <w:rPr>
                <w:rFonts w:cstheme="minorHAnsi"/>
                <w:sz w:val="20"/>
                <w:szCs w:val="20"/>
              </w:rPr>
              <w:t>Table E-4</w:t>
            </w:r>
          </w:p>
        </w:tc>
      </w:tr>
      <w:tr w:rsidR="00FC3FB0" w:rsidRPr="00BA4375" w14:paraId="7DDFDC8E" w14:textId="77777777" w:rsidTr="00FC3FB0">
        <w:trPr>
          <w:trHeight w:val="278"/>
        </w:trPr>
        <w:tc>
          <w:tcPr>
            <w:tcW w:w="4320" w:type="dxa"/>
            <w:shd w:val="clear" w:color="auto" w:fill="auto"/>
          </w:tcPr>
          <w:p w14:paraId="4BA8C32C" w14:textId="60527746" w:rsidR="00FC3FB0" w:rsidRPr="00F15942" w:rsidRDefault="00FC3FB0" w:rsidP="00FC3FB0">
            <w:pPr>
              <w:pStyle w:val="Norma"/>
              <w:spacing w:before="0" w:after="0" w:line="240" w:lineRule="auto"/>
              <w:jc w:val="both"/>
              <w:rPr>
                <w:rFonts w:cs="Arial"/>
                <w:sz w:val="20"/>
                <w:szCs w:val="20"/>
              </w:rPr>
            </w:pPr>
            <w:r w:rsidRPr="00036911">
              <w:rPr>
                <w:rFonts w:cs="Arial"/>
                <w:sz w:val="20"/>
                <w:szCs w:val="20"/>
              </w:rPr>
              <w:t>Boiler, steam, Gas-Fired all except natural draft</w:t>
            </w:r>
            <w:r>
              <w:rPr>
                <w:rFonts w:cs="Arial"/>
                <w:sz w:val="20"/>
                <w:szCs w:val="20"/>
              </w:rPr>
              <w:t xml:space="preserve"> </w:t>
            </w:r>
            <w:r w:rsidRPr="00036911">
              <w:rPr>
                <w:rFonts w:cs="Arial"/>
                <w:sz w:val="20"/>
                <w:szCs w:val="20"/>
              </w:rPr>
              <w:t>(</w:t>
            </w:r>
            <w:r w:rsidR="00623587" w:rsidRPr="00623587">
              <w:rPr>
                <w:rFonts w:eastAsia="Times New Roman" w:cs="Calibri Light"/>
                <w:color w:val="000000"/>
                <w:sz w:val="20"/>
                <w:szCs w:val="20"/>
              </w:rPr>
              <w:t>≥</w:t>
            </w:r>
            <w:r w:rsidRPr="00036911">
              <w:rPr>
                <w:rFonts w:cs="Arial"/>
                <w:sz w:val="20"/>
                <w:szCs w:val="20"/>
              </w:rPr>
              <w:t xml:space="preserve"> 300 </w:t>
            </w:r>
            <w:proofErr w:type="spellStart"/>
            <w:r w:rsidRPr="00036911">
              <w:rPr>
                <w:rFonts w:cs="Arial"/>
                <w:sz w:val="20"/>
                <w:szCs w:val="20"/>
              </w:rPr>
              <w:t>kBTUh</w:t>
            </w:r>
            <w:proofErr w:type="spellEnd"/>
            <w:r w:rsidRPr="00036911">
              <w:rPr>
                <w:rFonts w:cs="Arial"/>
                <w:sz w:val="20"/>
                <w:szCs w:val="20"/>
              </w:rPr>
              <w:t xml:space="preserve">, </w:t>
            </w:r>
            <w:r w:rsidR="00623587">
              <w:rPr>
                <w:rFonts w:cs="Calibri Light"/>
                <w:sz w:val="20"/>
                <w:szCs w:val="20"/>
              </w:rPr>
              <w:t>≤</w:t>
            </w:r>
            <w:r w:rsidR="00623587">
              <w:rPr>
                <w:rFonts w:cs="Arial"/>
                <w:sz w:val="20"/>
                <w:szCs w:val="20"/>
              </w:rPr>
              <w:t xml:space="preserve"> </w:t>
            </w:r>
            <w:r w:rsidRPr="00036911">
              <w:rPr>
                <w:rFonts w:cs="Arial"/>
                <w:sz w:val="20"/>
                <w:szCs w:val="20"/>
              </w:rPr>
              <w:t xml:space="preserve">2,500 </w:t>
            </w:r>
            <w:proofErr w:type="spellStart"/>
            <w:r w:rsidRPr="00036911">
              <w:rPr>
                <w:rFonts w:cs="Arial"/>
                <w:sz w:val="20"/>
                <w:szCs w:val="20"/>
              </w:rPr>
              <w:t>kBTUh</w:t>
            </w:r>
            <w:proofErr w:type="spellEnd"/>
            <w:r w:rsidRPr="00036911">
              <w:rPr>
                <w:rFonts w:cs="Arial"/>
                <w:sz w:val="20"/>
                <w:szCs w:val="20"/>
              </w:rPr>
              <w:t>)</w:t>
            </w:r>
          </w:p>
        </w:tc>
        <w:tc>
          <w:tcPr>
            <w:tcW w:w="1223" w:type="dxa"/>
            <w:shd w:val="clear" w:color="auto" w:fill="auto"/>
            <w:vAlign w:val="center"/>
          </w:tcPr>
          <w:p w14:paraId="4FD3DFD3" w14:textId="716EB676" w:rsidR="00FC3FB0" w:rsidRDefault="00FC3FB0" w:rsidP="00FC3FB0">
            <w:pPr>
              <w:pStyle w:val="Norma"/>
              <w:spacing w:before="0" w:after="0" w:line="240" w:lineRule="auto"/>
              <w:jc w:val="center"/>
              <w:rPr>
                <w:rFonts w:cstheme="minorHAnsi"/>
                <w:sz w:val="20"/>
                <w:szCs w:val="20"/>
              </w:rPr>
            </w:pPr>
            <w:r w:rsidRPr="00036911">
              <w:rPr>
                <w:rFonts w:cs="Arial"/>
                <w:sz w:val="20"/>
                <w:szCs w:val="20"/>
              </w:rPr>
              <w:t>79%</w:t>
            </w:r>
          </w:p>
        </w:tc>
        <w:tc>
          <w:tcPr>
            <w:tcW w:w="1296" w:type="dxa"/>
            <w:shd w:val="clear" w:color="auto" w:fill="auto"/>
            <w:vAlign w:val="center"/>
          </w:tcPr>
          <w:p w14:paraId="0E3E83E3" w14:textId="3F3EE524" w:rsidR="00FC3FB0" w:rsidRDefault="00FC3FB0" w:rsidP="00FC3FB0">
            <w:pPr>
              <w:pStyle w:val="Norma"/>
              <w:spacing w:before="0" w:after="0" w:line="240" w:lineRule="auto"/>
              <w:rPr>
                <w:rFonts w:cstheme="minorHAnsi"/>
                <w:sz w:val="20"/>
                <w:szCs w:val="20"/>
              </w:rPr>
            </w:pPr>
            <w:r w:rsidRPr="00F15942">
              <w:rPr>
                <w:rFonts w:cs="Arial"/>
                <w:sz w:val="20"/>
                <w:szCs w:val="20"/>
              </w:rPr>
              <w:t>Thermal Efficiency</w:t>
            </w:r>
          </w:p>
        </w:tc>
        <w:tc>
          <w:tcPr>
            <w:tcW w:w="1734" w:type="dxa"/>
            <w:shd w:val="clear" w:color="auto" w:fill="auto"/>
            <w:vAlign w:val="center"/>
          </w:tcPr>
          <w:p w14:paraId="0F5653F7" w14:textId="364487E7" w:rsidR="00FC3FB0" w:rsidRDefault="00FC3FB0" w:rsidP="00FC3FB0">
            <w:pPr>
              <w:pStyle w:val="Norma"/>
              <w:spacing w:before="0" w:after="0" w:line="240" w:lineRule="auto"/>
              <w:rPr>
                <w:rFonts w:cstheme="minorHAnsi"/>
                <w:sz w:val="20"/>
                <w:szCs w:val="20"/>
              </w:rPr>
            </w:pPr>
            <w:r>
              <w:rPr>
                <w:rFonts w:cstheme="minorHAnsi"/>
                <w:sz w:val="20"/>
                <w:szCs w:val="20"/>
              </w:rPr>
              <w:t>Table E-4</w:t>
            </w:r>
          </w:p>
        </w:tc>
      </w:tr>
    </w:tbl>
    <w:p w14:paraId="0F707375" w14:textId="77777777" w:rsidR="0057119C" w:rsidRDefault="0057119C" w:rsidP="00BA7EEB">
      <w:pPr>
        <w:pStyle w:val="Norma"/>
      </w:pPr>
    </w:p>
    <w:p w14:paraId="101D2BC6" w14:textId="79B76DA4" w:rsidR="00BA7EEB" w:rsidRDefault="00357082" w:rsidP="00BA7EEB">
      <w:pPr>
        <w:pStyle w:val="Norma"/>
      </w:pPr>
      <w:r>
        <w:t xml:space="preserve">The minimum efficiency rating of the measure, </w:t>
      </w:r>
      <w:r w:rsidRPr="001D3494">
        <w:t xml:space="preserve">Boiler, hot water, Gas-Fired (&lt; 300 </w:t>
      </w:r>
      <w:proofErr w:type="spellStart"/>
      <w:r w:rsidRPr="001D3494">
        <w:t>kBTUh</w:t>
      </w:r>
      <w:proofErr w:type="spellEnd"/>
      <w:r w:rsidRPr="001D3494">
        <w:t xml:space="preserve">) </w:t>
      </w:r>
      <w:r w:rsidR="001D3494">
        <w:t>was</w:t>
      </w:r>
      <w:r w:rsidRPr="001D3494">
        <w:t xml:space="preserve"> updated to 84% effective from Jan</w:t>
      </w:r>
      <w:r w:rsidR="00FC3FB0" w:rsidRPr="001D3494">
        <w:t>uary</w:t>
      </w:r>
      <w:r w:rsidRPr="001D3494">
        <w:t xml:space="preserve"> 15</w:t>
      </w:r>
      <w:r w:rsidR="00E60FFE" w:rsidRPr="001D3494">
        <w:t>, 2021</w:t>
      </w:r>
      <w:r w:rsidRPr="001D3494">
        <w:t>.</w:t>
      </w:r>
    </w:p>
    <w:p w14:paraId="34CF2E21" w14:textId="77777777" w:rsidR="001D3494" w:rsidRPr="00F15942" w:rsidRDefault="001D3494" w:rsidP="00BA7EEB">
      <w:pPr>
        <w:pStyle w:val="Norma"/>
      </w:pPr>
    </w:p>
    <w:p w14:paraId="0A46162E" w14:textId="4BACBF15" w:rsidR="00BA7EEB" w:rsidRPr="000C412A" w:rsidRDefault="00BA7EEB" w:rsidP="000C412A">
      <w:pPr>
        <w:pStyle w:val="Norma"/>
      </w:pPr>
      <w:r w:rsidRPr="000C412A">
        <w:rPr>
          <w:b/>
        </w:rPr>
        <w:lastRenderedPageBreak/>
        <w:t>Title 24</w:t>
      </w:r>
      <w:r w:rsidR="000C412A">
        <w:rPr>
          <w:b/>
        </w:rPr>
        <w:t>, Section 110.2</w:t>
      </w:r>
      <w:r w:rsidRPr="000C412A">
        <w:rPr>
          <w:b/>
        </w:rPr>
        <w:t>:</w:t>
      </w:r>
      <w:r w:rsidRPr="000C412A">
        <w:t xml:space="preserve"> </w:t>
      </w:r>
      <w:r w:rsidR="001E3079" w:rsidRPr="000C412A">
        <w:rPr>
          <w:rStyle w:val="FootnoteReference"/>
          <w:szCs w:val="22"/>
        </w:rPr>
        <w:footnoteReference w:id="3"/>
      </w:r>
    </w:p>
    <w:p w14:paraId="3DCD88DA" w14:textId="77777777" w:rsidR="00BA7EEB" w:rsidRPr="00DB2962" w:rsidRDefault="00BA7EEB" w:rsidP="00BA7EEB">
      <w:pPr>
        <w:pStyle w:val="Norma"/>
        <w:autoSpaceDE w:val="0"/>
        <w:autoSpaceDN w:val="0"/>
        <w:adjustRightInd w:val="0"/>
        <w:ind w:left="720" w:right="720"/>
        <w:rPr>
          <w:rFonts w:cs="Calibri Light"/>
          <w:i/>
          <w:sz w:val="20"/>
          <w:szCs w:val="22"/>
        </w:rPr>
      </w:pPr>
      <w:r w:rsidRPr="00DB2962">
        <w:rPr>
          <w:rFonts w:cs="Calibri Light"/>
          <w:i/>
          <w:sz w:val="20"/>
          <w:szCs w:val="22"/>
        </w:rPr>
        <w:t>Any space-conditioning equipment listed in this section may be installed only if the manufacturer has certified to the Commission that the equipment complies with all the applicable requirements of this section.</w:t>
      </w:r>
    </w:p>
    <w:p w14:paraId="74FB4805" w14:textId="77777777" w:rsidR="00BA7EEB" w:rsidRPr="00DB2962" w:rsidRDefault="00BA7EEB" w:rsidP="00BA7EEB">
      <w:pPr>
        <w:pStyle w:val="Norma"/>
        <w:numPr>
          <w:ilvl w:val="0"/>
          <w:numId w:val="24"/>
        </w:numPr>
        <w:autoSpaceDE w:val="0"/>
        <w:autoSpaceDN w:val="0"/>
        <w:adjustRightInd w:val="0"/>
        <w:spacing w:before="0" w:after="0" w:line="240" w:lineRule="auto"/>
        <w:ind w:left="1800" w:right="720"/>
        <w:rPr>
          <w:rFonts w:cs="Calibri Light"/>
          <w:i/>
          <w:sz w:val="20"/>
          <w:szCs w:val="22"/>
        </w:rPr>
      </w:pPr>
      <w:r w:rsidRPr="00DB2962">
        <w:rPr>
          <w:rFonts w:cs="Calibri Light"/>
          <w:b/>
          <w:bCs/>
          <w:i/>
          <w:sz w:val="20"/>
          <w:szCs w:val="22"/>
        </w:rPr>
        <w:t xml:space="preserve">Efficiency. </w:t>
      </w:r>
      <w:r w:rsidRPr="00DB2962">
        <w:rPr>
          <w:rFonts w:cs="Calibri Light"/>
          <w:i/>
          <w:sz w:val="20"/>
          <w:szCs w:val="22"/>
        </w:rPr>
        <w:t>Equipment shall meet the applicable efficiency requirements in TABLE 110.2-A through TABLE 110.2- K subject to the following:</w:t>
      </w:r>
    </w:p>
    <w:p w14:paraId="0EC37C5B"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 xml:space="preserve">If more than one efficiency standard is listed for any equipment in TABLE 110.2-A through TABLE 110.2-K, the equipment shall meet all the applicable standards that are </w:t>
      </w:r>
      <w:proofErr w:type="gramStart"/>
      <w:r w:rsidRPr="00DB2962">
        <w:rPr>
          <w:rFonts w:cs="Calibri Light"/>
          <w:i/>
          <w:sz w:val="20"/>
          <w:szCs w:val="22"/>
        </w:rPr>
        <w:t>listed;</w:t>
      </w:r>
      <w:proofErr w:type="gramEnd"/>
      <w:r w:rsidRPr="00DB2962">
        <w:rPr>
          <w:rFonts w:cs="Calibri Light"/>
          <w:i/>
          <w:sz w:val="20"/>
          <w:szCs w:val="22"/>
        </w:rPr>
        <w:t xml:space="preserve"> and</w:t>
      </w:r>
    </w:p>
    <w:p w14:paraId="7C8679D5"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 xml:space="preserve">If more than one test method is listed in TABLE 110.2-A through TABLE 110.2-K, the equipment shall comply with the applicable efficiency standards when tested with each listed test </w:t>
      </w:r>
      <w:proofErr w:type="gramStart"/>
      <w:r w:rsidRPr="00DB2962">
        <w:rPr>
          <w:rFonts w:cs="Calibri Light"/>
          <w:i/>
          <w:sz w:val="20"/>
          <w:szCs w:val="22"/>
        </w:rPr>
        <w:t>method;</w:t>
      </w:r>
      <w:proofErr w:type="gramEnd"/>
      <w:r w:rsidRPr="00DB2962">
        <w:rPr>
          <w:rFonts w:cs="Calibri Light"/>
          <w:i/>
          <w:sz w:val="20"/>
          <w:szCs w:val="22"/>
        </w:rPr>
        <w:t xml:space="preserve"> and </w:t>
      </w:r>
    </w:p>
    <w:p w14:paraId="4DFCEB38"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 xml:space="preserve">Where equipment can serve more than one function, such as both heating and cooling, or both space heating and water heating, it shall comply with all the efficiency standards applicable to each </w:t>
      </w:r>
      <w:proofErr w:type="gramStart"/>
      <w:r w:rsidRPr="00DB2962">
        <w:rPr>
          <w:rFonts w:cs="Calibri Light"/>
          <w:i/>
          <w:sz w:val="20"/>
          <w:szCs w:val="22"/>
        </w:rPr>
        <w:t>function;</w:t>
      </w:r>
      <w:proofErr w:type="gramEnd"/>
      <w:r w:rsidRPr="00DB2962">
        <w:rPr>
          <w:rFonts w:cs="Calibri Light"/>
          <w:i/>
          <w:sz w:val="20"/>
          <w:szCs w:val="22"/>
        </w:rPr>
        <w:t xml:space="preserve"> and</w:t>
      </w:r>
    </w:p>
    <w:p w14:paraId="7AD8B382"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Where a requirement is for equipment rated at its "maximum rated capacity" or "minimum rated capacity," the capacity shall be as provided for and allowed by the controls, during steady-state operation.</w:t>
      </w:r>
    </w:p>
    <w:p w14:paraId="666B7F34" w14:textId="77777777" w:rsidR="00BA7EEB" w:rsidRPr="00F15942" w:rsidRDefault="00BA7EEB" w:rsidP="00E540DE">
      <w:pPr>
        <w:pStyle w:val="Norma"/>
      </w:pPr>
    </w:p>
    <w:p w14:paraId="681727E3" w14:textId="32BE2A05" w:rsidR="00BA7EEB" w:rsidRDefault="00BA7EEB" w:rsidP="001E3079">
      <w:pPr>
        <w:pStyle w:val="Caption"/>
        <w:rPr>
          <w:rFonts w:ascii="Calibri" w:hAnsi="Calibri" w:cs="Calibri"/>
        </w:rPr>
      </w:pPr>
      <w:r w:rsidRPr="003E2F63">
        <w:t>201</w:t>
      </w:r>
      <w:r w:rsidR="00A72F15">
        <w:t>9</w:t>
      </w:r>
      <w:r w:rsidRPr="003E2F63">
        <w:t xml:space="preserve"> California Title 24</w:t>
      </w:r>
      <w:r w:rsidRPr="00F15942">
        <w:t xml:space="preserve">, Section 110.2, Table 110.2-K, Gas- and Oil-Fired Boilers, Minimum Efficiency </w:t>
      </w:r>
      <w:r w:rsidR="001E3079">
        <w:t>R</w:t>
      </w:r>
      <w:r w:rsidRPr="00F15942">
        <w:t>equirements.</w:t>
      </w:r>
    </w:p>
    <w:tbl>
      <w:tblPr>
        <w:tblStyle w:val="NormalTable"/>
        <w:tblW w:w="81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0A0" w:firstRow="1" w:lastRow="0" w:firstColumn="1" w:lastColumn="0" w:noHBand="0" w:noVBand="0"/>
      </w:tblPr>
      <w:tblGrid>
        <w:gridCol w:w="4207"/>
        <w:gridCol w:w="1080"/>
        <w:gridCol w:w="1260"/>
        <w:gridCol w:w="1620"/>
      </w:tblGrid>
      <w:tr w:rsidR="001E3079" w:rsidRPr="00F15942" w14:paraId="78EF7170" w14:textId="77777777" w:rsidTr="00FC3FB0">
        <w:tc>
          <w:tcPr>
            <w:tcW w:w="4207" w:type="dxa"/>
            <w:shd w:val="clear" w:color="auto" w:fill="F2F2F2" w:themeFill="background1" w:themeFillShade="F2"/>
            <w:vAlign w:val="bottom"/>
          </w:tcPr>
          <w:p w14:paraId="2C96C993"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Title 24 Std. Description</w:t>
            </w:r>
          </w:p>
        </w:tc>
        <w:tc>
          <w:tcPr>
            <w:tcW w:w="1080" w:type="dxa"/>
            <w:shd w:val="clear" w:color="auto" w:fill="F2F2F2" w:themeFill="background1" w:themeFillShade="F2"/>
            <w:vAlign w:val="bottom"/>
          </w:tcPr>
          <w:p w14:paraId="6CA94FF5" w14:textId="0BF713DC" w:rsidR="001E3079" w:rsidRPr="00F15942" w:rsidRDefault="001E3079" w:rsidP="001E3079">
            <w:pPr>
              <w:pStyle w:val="Norma"/>
              <w:spacing w:before="0" w:after="0" w:line="240" w:lineRule="auto"/>
              <w:jc w:val="center"/>
              <w:rPr>
                <w:rFonts w:cs="Arial"/>
                <w:b/>
                <w:sz w:val="20"/>
                <w:szCs w:val="20"/>
              </w:rPr>
            </w:pPr>
            <w:r>
              <w:rPr>
                <w:rFonts w:cs="Arial"/>
                <w:b/>
                <w:sz w:val="20"/>
                <w:szCs w:val="20"/>
              </w:rPr>
              <w:t xml:space="preserve">Min. Efficiency Rating </w:t>
            </w:r>
          </w:p>
        </w:tc>
        <w:tc>
          <w:tcPr>
            <w:tcW w:w="1260" w:type="dxa"/>
            <w:shd w:val="clear" w:color="auto" w:fill="F2F2F2" w:themeFill="background1" w:themeFillShade="F2"/>
            <w:vAlign w:val="bottom"/>
          </w:tcPr>
          <w:p w14:paraId="366D517B"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Units</w:t>
            </w:r>
          </w:p>
        </w:tc>
        <w:tc>
          <w:tcPr>
            <w:tcW w:w="1620" w:type="dxa"/>
            <w:shd w:val="clear" w:color="auto" w:fill="F2F2F2" w:themeFill="background1" w:themeFillShade="F2"/>
            <w:vAlign w:val="bottom"/>
          </w:tcPr>
          <w:p w14:paraId="1ADBAFAE"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Code Source or Reference</w:t>
            </w:r>
          </w:p>
        </w:tc>
      </w:tr>
      <w:tr w:rsidR="001E3079" w:rsidRPr="00F15942" w14:paraId="3BD772A3" w14:textId="77777777" w:rsidTr="00FC3FB0">
        <w:tc>
          <w:tcPr>
            <w:tcW w:w="4207" w:type="dxa"/>
            <w:shd w:val="clear" w:color="auto" w:fill="auto"/>
            <w:vAlign w:val="center"/>
          </w:tcPr>
          <w:p w14:paraId="14DFBD9E" w14:textId="53BF9FE8" w:rsidR="001E3079" w:rsidRPr="00F15942" w:rsidRDefault="001E3079" w:rsidP="001E3079">
            <w:pPr>
              <w:pStyle w:val="Norma"/>
              <w:spacing w:before="0" w:after="0" w:line="240" w:lineRule="auto"/>
              <w:rPr>
                <w:rFonts w:cs="Arial"/>
                <w:sz w:val="20"/>
                <w:szCs w:val="20"/>
              </w:rPr>
            </w:pPr>
            <w:r>
              <w:rPr>
                <w:rFonts w:cs="Arial"/>
                <w:sz w:val="20"/>
                <w:szCs w:val="20"/>
              </w:rPr>
              <w:t xml:space="preserve">Boiler, hot water, Gas-Fired </w:t>
            </w:r>
            <w:r w:rsidR="00DB2962">
              <w:rPr>
                <w:rFonts w:cs="Arial"/>
                <w:sz w:val="20"/>
                <w:szCs w:val="20"/>
              </w:rPr>
              <w:br/>
            </w:r>
            <w:r>
              <w:rPr>
                <w:rFonts w:cs="Arial"/>
                <w:sz w:val="20"/>
                <w:szCs w:val="20"/>
              </w:rPr>
              <w:t xml:space="preserve">(&lt; 300 </w:t>
            </w:r>
            <w:proofErr w:type="spellStart"/>
            <w:r>
              <w:rPr>
                <w:rFonts w:cs="Arial"/>
                <w:sz w:val="20"/>
                <w:szCs w:val="20"/>
              </w:rPr>
              <w:t>kBTUh</w:t>
            </w:r>
            <w:proofErr w:type="spellEnd"/>
            <w:r>
              <w:rPr>
                <w:rFonts w:cs="Arial"/>
                <w:sz w:val="20"/>
                <w:szCs w:val="20"/>
              </w:rPr>
              <w:t>)</w:t>
            </w:r>
          </w:p>
        </w:tc>
        <w:tc>
          <w:tcPr>
            <w:tcW w:w="1080" w:type="dxa"/>
            <w:shd w:val="clear" w:color="auto" w:fill="auto"/>
            <w:vAlign w:val="center"/>
          </w:tcPr>
          <w:p w14:paraId="727DAC2F" w14:textId="3F7A34E9" w:rsidR="001E3079" w:rsidRPr="00F15942" w:rsidRDefault="001E3079" w:rsidP="001E3079">
            <w:pPr>
              <w:pStyle w:val="Norma"/>
              <w:spacing w:before="0" w:after="0" w:line="240" w:lineRule="auto"/>
              <w:jc w:val="center"/>
              <w:rPr>
                <w:rFonts w:cs="Arial"/>
                <w:sz w:val="20"/>
                <w:szCs w:val="20"/>
              </w:rPr>
            </w:pPr>
            <w:r>
              <w:rPr>
                <w:rFonts w:cs="Arial"/>
                <w:sz w:val="20"/>
                <w:szCs w:val="20"/>
              </w:rPr>
              <w:t>82%</w:t>
            </w:r>
          </w:p>
        </w:tc>
        <w:tc>
          <w:tcPr>
            <w:tcW w:w="1260" w:type="dxa"/>
            <w:shd w:val="clear" w:color="auto" w:fill="auto"/>
            <w:vAlign w:val="center"/>
          </w:tcPr>
          <w:p w14:paraId="5A43713F" w14:textId="07721AC9" w:rsidR="001E3079" w:rsidRPr="00F15942" w:rsidRDefault="001E3079" w:rsidP="001E3079">
            <w:pPr>
              <w:pStyle w:val="Norma"/>
              <w:spacing w:before="0" w:after="0" w:line="240" w:lineRule="auto"/>
              <w:rPr>
                <w:rFonts w:cs="Arial"/>
                <w:sz w:val="20"/>
                <w:szCs w:val="20"/>
              </w:rPr>
            </w:pPr>
            <w:r>
              <w:rPr>
                <w:rFonts w:cs="Arial"/>
                <w:sz w:val="20"/>
                <w:szCs w:val="20"/>
              </w:rPr>
              <w:t>AFUE</w:t>
            </w:r>
          </w:p>
        </w:tc>
        <w:tc>
          <w:tcPr>
            <w:tcW w:w="1620" w:type="dxa"/>
            <w:shd w:val="clear" w:color="auto" w:fill="auto"/>
            <w:vAlign w:val="center"/>
          </w:tcPr>
          <w:p w14:paraId="685C668F" w14:textId="7D3C255B" w:rsidR="001E3079" w:rsidRPr="00F15942" w:rsidRDefault="001E3079" w:rsidP="001E3079">
            <w:pPr>
              <w:pStyle w:val="Norma"/>
              <w:spacing w:before="0" w:after="0" w:line="240" w:lineRule="auto"/>
              <w:rPr>
                <w:rFonts w:cs="Arial"/>
                <w:sz w:val="20"/>
                <w:szCs w:val="20"/>
              </w:rPr>
            </w:pPr>
            <w:r w:rsidRPr="00F15942">
              <w:rPr>
                <w:rFonts w:cs="Arial"/>
                <w:sz w:val="20"/>
                <w:szCs w:val="20"/>
              </w:rPr>
              <w:t>Table 110.2-K</w:t>
            </w:r>
          </w:p>
        </w:tc>
      </w:tr>
      <w:tr w:rsidR="001E3079" w:rsidRPr="00F15942" w14:paraId="1DB58471" w14:textId="77777777" w:rsidTr="00FC3FB0">
        <w:tc>
          <w:tcPr>
            <w:tcW w:w="4207" w:type="dxa"/>
            <w:shd w:val="clear" w:color="auto" w:fill="auto"/>
            <w:vAlign w:val="center"/>
          </w:tcPr>
          <w:p w14:paraId="5355A643" w14:textId="0C80A184" w:rsidR="001E3079" w:rsidRPr="00F15942" w:rsidRDefault="001E3079" w:rsidP="001E3079">
            <w:pPr>
              <w:pStyle w:val="Norma"/>
              <w:spacing w:before="0" w:after="0" w:line="240" w:lineRule="auto"/>
              <w:rPr>
                <w:rFonts w:cs="Arial"/>
                <w:sz w:val="20"/>
                <w:szCs w:val="20"/>
              </w:rPr>
            </w:pPr>
            <w:r w:rsidRPr="00F15942">
              <w:rPr>
                <w:rFonts w:cs="Arial"/>
                <w:sz w:val="20"/>
                <w:szCs w:val="20"/>
              </w:rPr>
              <w:t xml:space="preserve">Boiler, hot water, Gas Fired </w:t>
            </w:r>
            <w:r w:rsidR="00DB2962">
              <w:rPr>
                <w:rFonts w:cs="Arial"/>
                <w:sz w:val="20"/>
                <w:szCs w:val="20"/>
              </w:rPr>
              <w:br/>
            </w:r>
            <w:r w:rsidRPr="00F15942">
              <w:rPr>
                <w:rFonts w:cs="Arial"/>
                <w:sz w:val="20"/>
                <w:szCs w:val="20"/>
              </w:rPr>
              <w:t>(</w:t>
            </w:r>
            <w:r w:rsidR="00623587">
              <w:rPr>
                <w:rFonts w:cs="Calibri Light"/>
                <w:sz w:val="20"/>
                <w:szCs w:val="20"/>
              </w:rPr>
              <w:t>≥</w:t>
            </w:r>
            <w:r w:rsidRPr="00F15942">
              <w:rPr>
                <w:rFonts w:cs="Arial"/>
                <w:sz w:val="20"/>
                <w:szCs w:val="20"/>
              </w:rPr>
              <w:t xml:space="preserve"> 300 </w:t>
            </w:r>
            <w:proofErr w:type="spellStart"/>
            <w:r w:rsidRPr="00F15942">
              <w:rPr>
                <w:rFonts w:cs="Arial"/>
                <w:sz w:val="20"/>
                <w:szCs w:val="20"/>
              </w:rPr>
              <w:t>kBTUh</w:t>
            </w:r>
            <w:proofErr w:type="spellEnd"/>
            <w:r w:rsidRPr="00F15942">
              <w:rPr>
                <w:rFonts w:cs="Arial"/>
                <w:sz w:val="20"/>
                <w:szCs w:val="20"/>
              </w:rPr>
              <w:t xml:space="preserve">, </w:t>
            </w:r>
            <w:r w:rsidR="00623587">
              <w:rPr>
                <w:rFonts w:cs="Calibri Light"/>
                <w:sz w:val="20"/>
                <w:szCs w:val="20"/>
              </w:rPr>
              <w:t xml:space="preserve">≤ </w:t>
            </w:r>
            <w:r w:rsidRPr="00F15942">
              <w:rPr>
                <w:rFonts w:cs="Arial"/>
                <w:sz w:val="20"/>
                <w:szCs w:val="20"/>
              </w:rPr>
              <w:t xml:space="preserve">2,500 </w:t>
            </w:r>
            <w:proofErr w:type="spellStart"/>
            <w:r w:rsidRPr="00F15942">
              <w:rPr>
                <w:rFonts w:cs="Arial"/>
                <w:sz w:val="20"/>
                <w:szCs w:val="20"/>
              </w:rPr>
              <w:t>kBTUh</w:t>
            </w:r>
            <w:proofErr w:type="spellEnd"/>
            <w:r w:rsidRPr="00F15942">
              <w:rPr>
                <w:rFonts w:cs="Arial"/>
                <w:sz w:val="20"/>
                <w:szCs w:val="20"/>
              </w:rPr>
              <w:t>)</w:t>
            </w:r>
          </w:p>
        </w:tc>
        <w:tc>
          <w:tcPr>
            <w:tcW w:w="1080" w:type="dxa"/>
            <w:shd w:val="clear" w:color="auto" w:fill="auto"/>
            <w:vAlign w:val="center"/>
          </w:tcPr>
          <w:p w14:paraId="5FAA569C" w14:textId="77777777" w:rsidR="001E3079" w:rsidRPr="00F15942" w:rsidRDefault="001E3079" w:rsidP="001E3079">
            <w:pPr>
              <w:pStyle w:val="Norma"/>
              <w:spacing w:before="0" w:after="0" w:line="240" w:lineRule="auto"/>
              <w:jc w:val="center"/>
              <w:rPr>
                <w:rFonts w:cs="Arial"/>
                <w:sz w:val="20"/>
                <w:szCs w:val="20"/>
              </w:rPr>
            </w:pPr>
            <w:r w:rsidRPr="00F15942">
              <w:rPr>
                <w:rFonts w:cs="Arial"/>
                <w:sz w:val="20"/>
                <w:szCs w:val="20"/>
              </w:rPr>
              <w:t>80%</w:t>
            </w:r>
          </w:p>
        </w:tc>
        <w:tc>
          <w:tcPr>
            <w:tcW w:w="1260" w:type="dxa"/>
            <w:shd w:val="clear" w:color="auto" w:fill="auto"/>
            <w:vAlign w:val="center"/>
          </w:tcPr>
          <w:p w14:paraId="24C983AD" w14:textId="77777777" w:rsidR="001E3079" w:rsidRPr="00F15942" w:rsidRDefault="001E3079" w:rsidP="001E3079">
            <w:pPr>
              <w:pStyle w:val="Norma"/>
              <w:spacing w:before="0" w:after="0" w:line="240" w:lineRule="auto"/>
              <w:rPr>
                <w:rFonts w:cs="Arial"/>
                <w:sz w:val="20"/>
                <w:szCs w:val="20"/>
              </w:rPr>
            </w:pPr>
            <w:r w:rsidRPr="00F15942">
              <w:rPr>
                <w:rFonts w:cs="Arial"/>
                <w:sz w:val="20"/>
                <w:szCs w:val="20"/>
              </w:rPr>
              <w:t>Thermal Efficiency</w:t>
            </w:r>
          </w:p>
        </w:tc>
        <w:tc>
          <w:tcPr>
            <w:tcW w:w="1620" w:type="dxa"/>
            <w:shd w:val="clear" w:color="auto" w:fill="auto"/>
            <w:vAlign w:val="center"/>
          </w:tcPr>
          <w:p w14:paraId="61CD57FE" w14:textId="77777777" w:rsidR="001E3079" w:rsidRPr="00F15942" w:rsidRDefault="001E3079" w:rsidP="001E3079">
            <w:pPr>
              <w:pStyle w:val="Norma"/>
              <w:spacing w:before="0" w:after="0" w:line="240" w:lineRule="auto"/>
              <w:rPr>
                <w:rFonts w:cs="Arial"/>
                <w:sz w:val="20"/>
                <w:szCs w:val="20"/>
              </w:rPr>
            </w:pPr>
            <w:r w:rsidRPr="00F15942">
              <w:rPr>
                <w:rFonts w:cs="Arial"/>
                <w:sz w:val="20"/>
                <w:szCs w:val="20"/>
              </w:rPr>
              <w:t>Table 110.2-K</w:t>
            </w:r>
          </w:p>
        </w:tc>
      </w:tr>
      <w:tr w:rsidR="001E3079" w:rsidRPr="00F15942" w14:paraId="7F0AD6AF" w14:textId="77777777" w:rsidTr="00FC3FB0">
        <w:tc>
          <w:tcPr>
            <w:tcW w:w="4207" w:type="dxa"/>
            <w:shd w:val="clear" w:color="auto" w:fill="auto"/>
            <w:vAlign w:val="center"/>
          </w:tcPr>
          <w:p w14:paraId="57A69C5F" w14:textId="54715CB4" w:rsidR="001E3079" w:rsidRPr="00F15942" w:rsidRDefault="001E3079" w:rsidP="001E3079">
            <w:pPr>
              <w:pStyle w:val="Norma"/>
              <w:spacing w:before="0" w:after="0" w:line="240" w:lineRule="auto"/>
              <w:rPr>
                <w:rFonts w:cs="Arial"/>
                <w:sz w:val="20"/>
                <w:szCs w:val="20"/>
              </w:rPr>
            </w:pPr>
            <w:r w:rsidRPr="00036911">
              <w:rPr>
                <w:rFonts w:cs="Arial"/>
                <w:sz w:val="20"/>
                <w:szCs w:val="20"/>
              </w:rPr>
              <w:t xml:space="preserve">Boiler, hot water, Gas Fired </w:t>
            </w:r>
            <w:r w:rsidR="00DB2962">
              <w:rPr>
                <w:rFonts w:cs="Arial"/>
                <w:sz w:val="20"/>
                <w:szCs w:val="20"/>
              </w:rPr>
              <w:br/>
            </w:r>
            <w:r w:rsidRPr="00036911">
              <w:rPr>
                <w:rFonts w:cs="Arial"/>
                <w:sz w:val="20"/>
                <w:szCs w:val="20"/>
              </w:rPr>
              <w:t xml:space="preserve">(&gt; 2,500 </w:t>
            </w:r>
            <w:proofErr w:type="spellStart"/>
            <w:r w:rsidRPr="00036911">
              <w:rPr>
                <w:rFonts w:cs="Arial"/>
                <w:sz w:val="20"/>
                <w:szCs w:val="20"/>
              </w:rPr>
              <w:t>kBTUh</w:t>
            </w:r>
            <w:proofErr w:type="spellEnd"/>
            <w:r w:rsidRPr="00036911">
              <w:rPr>
                <w:rFonts w:cs="Arial"/>
                <w:sz w:val="20"/>
                <w:szCs w:val="20"/>
              </w:rPr>
              <w:t>)</w:t>
            </w:r>
          </w:p>
        </w:tc>
        <w:tc>
          <w:tcPr>
            <w:tcW w:w="1080" w:type="dxa"/>
            <w:shd w:val="clear" w:color="auto" w:fill="auto"/>
            <w:vAlign w:val="center"/>
          </w:tcPr>
          <w:p w14:paraId="2FEFAB58" w14:textId="77777777" w:rsidR="001E3079" w:rsidRPr="00F15942" w:rsidRDefault="001E3079" w:rsidP="001E3079">
            <w:pPr>
              <w:pStyle w:val="Norma"/>
              <w:spacing w:before="0" w:after="0" w:line="240" w:lineRule="auto"/>
              <w:jc w:val="center"/>
              <w:rPr>
                <w:rFonts w:cs="Arial"/>
                <w:sz w:val="20"/>
                <w:szCs w:val="20"/>
              </w:rPr>
            </w:pPr>
            <w:r w:rsidRPr="00036911">
              <w:rPr>
                <w:rFonts w:cs="Arial"/>
                <w:sz w:val="20"/>
                <w:szCs w:val="20"/>
              </w:rPr>
              <w:t>82%</w:t>
            </w:r>
          </w:p>
        </w:tc>
        <w:tc>
          <w:tcPr>
            <w:tcW w:w="1260" w:type="dxa"/>
            <w:shd w:val="clear" w:color="auto" w:fill="auto"/>
            <w:vAlign w:val="center"/>
          </w:tcPr>
          <w:p w14:paraId="188D140E" w14:textId="77777777" w:rsidR="001E3079" w:rsidRPr="00F15942" w:rsidRDefault="001E3079" w:rsidP="001E3079">
            <w:pPr>
              <w:pStyle w:val="Norma"/>
              <w:spacing w:before="0" w:after="0" w:line="240" w:lineRule="auto"/>
              <w:rPr>
                <w:rFonts w:cs="Arial"/>
                <w:sz w:val="20"/>
                <w:szCs w:val="20"/>
              </w:rPr>
            </w:pPr>
            <w:r w:rsidRPr="00036911">
              <w:rPr>
                <w:rFonts w:cs="Arial"/>
                <w:sz w:val="20"/>
                <w:szCs w:val="20"/>
              </w:rPr>
              <w:t>Combustion Efficiency</w:t>
            </w:r>
          </w:p>
        </w:tc>
        <w:tc>
          <w:tcPr>
            <w:tcW w:w="1620" w:type="dxa"/>
            <w:shd w:val="clear" w:color="auto" w:fill="auto"/>
            <w:vAlign w:val="center"/>
          </w:tcPr>
          <w:p w14:paraId="774722B1" w14:textId="77777777" w:rsidR="001E3079" w:rsidRPr="00F15942" w:rsidRDefault="001E3079" w:rsidP="001E3079">
            <w:pPr>
              <w:pStyle w:val="Norma"/>
              <w:spacing w:before="0" w:after="0" w:line="240" w:lineRule="auto"/>
              <w:rPr>
                <w:rFonts w:cs="Arial"/>
                <w:sz w:val="20"/>
                <w:szCs w:val="20"/>
              </w:rPr>
            </w:pPr>
            <w:r w:rsidRPr="00036911">
              <w:rPr>
                <w:rFonts w:cs="Arial"/>
                <w:sz w:val="20"/>
                <w:szCs w:val="20"/>
              </w:rPr>
              <w:t>Table 110.2-K</w:t>
            </w:r>
          </w:p>
        </w:tc>
      </w:tr>
      <w:tr w:rsidR="00F33FA8" w:rsidRPr="00F15942" w14:paraId="645347FA" w14:textId="77777777" w:rsidTr="00FC3FB0">
        <w:tc>
          <w:tcPr>
            <w:tcW w:w="4207" w:type="dxa"/>
            <w:shd w:val="clear" w:color="auto" w:fill="auto"/>
            <w:vAlign w:val="center"/>
          </w:tcPr>
          <w:p w14:paraId="5DDAF77A" w14:textId="67B06E5F" w:rsidR="00F33FA8" w:rsidRPr="00F15942" w:rsidRDefault="00F33FA8" w:rsidP="00F33FA8">
            <w:pPr>
              <w:pStyle w:val="Norma"/>
              <w:spacing w:before="0" w:after="0" w:line="240" w:lineRule="auto"/>
              <w:rPr>
                <w:rFonts w:cs="Arial"/>
                <w:sz w:val="20"/>
                <w:szCs w:val="20"/>
              </w:rPr>
            </w:pPr>
            <w:r w:rsidRPr="00036911">
              <w:rPr>
                <w:rFonts w:cs="Arial"/>
                <w:sz w:val="20"/>
                <w:szCs w:val="20"/>
              </w:rPr>
              <w:t>Boiler, steam, Gas-Fired all except natural draft</w:t>
            </w:r>
            <w:r>
              <w:rPr>
                <w:rFonts w:cs="Arial"/>
                <w:sz w:val="20"/>
                <w:szCs w:val="20"/>
              </w:rPr>
              <w:t xml:space="preserve"> </w:t>
            </w:r>
            <w:r>
              <w:rPr>
                <w:rFonts w:cs="Arial"/>
                <w:sz w:val="20"/>
                <w:szCs w:val="20"/>
              </w:rPr>
              <w:br/>
            </w:r>
            <w:r w:rsidRPr="00036911">
              <w:rPr>
                <w:rFonts w:cs="Arial"/>
                <w:sz w:val="20"/>
                <w:szCs w:val="20"/>
              </w:rPr>
              <w:t>(</w:t>
            </w:r>
            <w:r w:rsidR="00623587">
              <w:rPr>
                <w:rFonts w:cs="Calibri Light"/>
                <w:sz w:val="20"/>
                <w:szCs w:val="20"/>
              </w:rPr>
              <w:t>≥</w:t>
            </w:r>
            <w:r w:rsidRPr="00036911">
              <w:rPr>
                <w:rFonts w:cs="Arial"/>
                <w:sz w:val="20"/>
                <w:szCs w:val="20"/>
              </w:rPr>
              <w:t xml:space="preserve"> 300 </w:t>
            </w:r>
            <w:proofErr w:type="spellStart"/>
            <w:r w:rsidRPr="00036911">
              <w:rPr>
                <w:rFonts w:cs="Arial"/>
                <w:sz w:val="20"/>
                <w:szCs w:val="20"/>
              </w:rPr>
              <w:t>kBTUh</w:t>
            </w:r>
            <w:proofErr w:type="spellEnd"/>
            <w:r w:rsidRPr="00036911">
              <w:rPr>
                <w:rFonts w:cs="Arial"/>
                <w:sz w:val="20"/>
                <w:szCs w:val="20"/>
              </w:rPr>
              <w:t xml:space="preserve">, </w:t>
            </w:r>
            <w:r w:rsidR="00623587">
              <w:rPr>
                <w:rFonts w:cs="Calibri Light"/>
                <w:sz w:val="20"/>
                <w:szCs w:val="20"/>
              </w:rPr>
              <w:t>≤</w:t>
            </w:r>
            <w:r w:rsidR="00623587">
              <w:rPr>
                <w:rFonts w:cs="Arial"/>
                <w:sz w:val="20"/>
                <w:szCs w:val="20"/>
              </w:rPr>
              <w:t xml:space="preserve"> </w:t>
            </w:r>
            <w:r w:rsidRPr="00036911">
              <w:rPr>
                <w:rFonts w:cs="Arial"/>
                <w:sz w:val="20"/>
                <w:szCs w:val="20"/>
              </w:rPr>
              <w:t xml:space="preserve">2,500 </w:t>
            </w:r>
            <w:proofErr w:type="spellStart"/>
            <w:r w:rsidRPr="00036911">
              <w:rPr>
                <w:rFonts w:cs="Arial"/>
                <w:sz w:val="20"/>
                <w:szCs w:val="20"/>
              </w:rPr>
              <w:t>kBTUh</w:t>
            </w:r>
            <w:proofErr w:type="spellEnd"/>
            <w:r w:rsidRPr="00036911">
              <w:rPr>
                <w:rFonts w:cs="Arial"/>
                <w:sz w:val="20"/>
                <w:szCs w:val="20"/>
              </w:rPr>
              <w:t>)</w:t>
            </w:r>
          </w:p>
        </w:tc>
        <w:tc>
          <w:tcPr>
            <w:tcW w:w="1080" w:type="dxa"/>
            <w:shd w:val="clear" w:color="auto" w:fill="auto"/>
            <w:vAlign w:val="center"/>
          </w:tcPr>
          <w:p w14:paraId="37113B6E" w14:textId="77777777" w:rsidR="00F33FA8" w:rsidRPr="00F15942" w:rsidRDefault="00F33FA8" w:rsidP="00F33FA8">
            <w:pPr>
              <w:pStyle w:val="Norma"/>
              <w:spacing w:before="0" w:after="0" w:line="240" w:lineRule="auto"/>
              <w:jc w:val="center"/>
              <w:rPr>
                <w:rFonts w:cs="Arial"/>
                <w:sz w:val="20"/>
                <w:szCs w:val="20"/>
              </w:rPr>
            </w:pPr>
            <w:r w:rsidRPr="00036911">
              <w:rPr>
                <w:rFonts w:cs="Arial"/>
                <w:sz w:val="20"/>
                <w:szCs w:val="20"/>
              </w:rPr>
              <w:t>79%</w:t>
            </w:r>
          </w:p>
        </w:tc>
        <w:tc>
          <w:tcPr>
            <w:tcW w:w="1260" w:type="dxa"/>
            <w:shd w:val="clear" w:color="auto" w:fill="auto"/>
            <w:vAlign w:val="center"/>
          </w:tcPr>
          <w:p w14:paraId="2B21B391"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Thermal Efficiency</w:t>
            </w:r>
          </w:p>
        </w:tc>
        <w:tc>
          <w:tcPr>
            <w:tcW w:w="1620" w:type="dxa"/>
            <w:shd w:val="clear" w:color="auto" w:fill="auto"/>
            <w:vAlign w:val="center"/>
          </w:tcPr>
          <w:p w14:paraId="46F29BE4"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Table 110.2-K</w:t>
            </w:r>
          </w:p>
        </w:tc>
      </w:tr>
      <w:tr w:rsidR="00F33FA8" w:rsidRPr="00F15942" w14:paraId="67230BD9" w14:textId="77777777" w:rsidTr="00FC3FB0">
        <w:tc>
          <w:tcPr>
            <w:tcW w:w="4207" w:type="dxa"/>
            <w:shd w:val="clear" w:color="auto" w:fill="auto"/>
            <w:vAlign w:val="center"/>
          </w:tcPr>
          <w:p w14:paraId="69FD2CF7" w14:textId="05C68C5A" w:rsidR="00F33FA8" w:rsidRPr="00F15942" w:rsidRDefault="00F33FA8" w:rsidP="00F33FA8">
            <w:pPr>
              <w:pStyle w:val="Norma"/>
              <w:spacing w:before="0" w:after="0" w:line="240" w:lineRule="auto"/>
              <w:rPr>
                <w:rFonts w:cs="Arial"/>
                <w:sz w:val="20"/>
                <w:szCs w:val="20"/>
              </w:rPr>
            </w:pPr>
            <w:r w:rsidRPr="00036911">
              <w:rPr>
                <w:rFonts w:cs="Arial"/>
                <w:sz w:val="20"/>
                <w:szCs w:val="20"/>
              </w:rPr>
              <w:t>Boiler, steam, Gas-Fired all, except natural draft</w:t>
            </w:r>
            <w:r>
              <w:rPr>
                <w:rFonts w:cs="Arial"/>
                <w:sz w:val="20"/>
                <w:szCs w:val="20"/>
              </w:rPr>
              <w:t xml:space="preserve"> </w:t>
            </w:r>
            <w:r>
              <w:rPr>
                <w:rFonts w:cs="Arial"/>
                <w:sz w:val="20"/>
                <w:szCs w:val="20"/>
              </w:rPr>
              <w:br/>
            </w:r>
            <w:r w:rsidRPr="00036911">
              <w:rPr>
                <w:rFonts w:cs="Arial"/>
                <w:sz w:val="20"/>
                <w:szCs w:val="20"/>
              </w:rPr>
              <w:t>(&gt;</w:t>
            </w:r>
            <w:r>
              <w:rPr>
                <w:rFonts w:cs="Arial"/>
                <w:sz w:val="20"/>
                <w:szCs w:val="20"/>
              </w:rPr>
              <w:t xml:space="preserve"> </w:t>
            </w:r>
            <w:r w:rsidRPr="00036911">
              <w:rPr>
                <w:rFonts w:cs="Arial"/>
                <w:sz w:val="20"/>
                <w:szCs w:val="20"/>
              </w:rPr>
              <w:t xml:space="preserve">2,500 </w:t>
            </w:r>
            <w:proofErr w:type="spellStart"/>
            <w:r w:rsidRPr="00036911">
              <w:rPr>
                <w:rFonts w:cs="Arial"/>
                <w:sz w:val="20"/>
                <w:szCs w:val="20"/>
              </w:rPr>
              <w:t>kBTUh</w:t>
            </w:r>
            <w:proofErr w:type="spellEnd"/>
            <w:r w:rsidRPr="00036911">
              <w:rPr>
                <w:rFonts w:cs="Arial"/>
                <w:sz w:val="20"/>
                <w:szCs w:val="20"/>
              </w:rPr>
              <w:t>)</w:t>
            </w:r>
          </w:p>
        </w:tc>
        <w:tc>
          <w:tcPr>
            <w:tcW w:w="1080" w:type="dxa"/>
            <w:shd w:val="clear" w:color="auto" w:fill="auto"/>
            <w:vAlign w:val="center"/>
          </w:tcPr>
          <w:p w14:paraId="5C9B964F" w14:textId="77777777" w:rsidR="00F33FA8" w:rsidRPr="00F15942" w:rsidRDefault="00F33FA8" w:rsidP="00F33FA8">
            <w:pPr>
              <w:pStyle w:val="Norma"/>
              <w:spacing w:before="0" w:after="0" w:line="240" w:lineRule="auto"/>
              <w:jc w:val="center"/>
              <w:rPr>
                <w:rFonts w:cs="Arial"/>
                <w:sz w:val="20"/>
                <w:szCs w:val="20"/>
              </w:rPr>
            </w:pPr>
            <w:r w:rsidRPr="00036911">
              <w:rPr>
                <w:rFonts w:cs="Arial"/>
                <w:sz w:val="20"/>
                <w:szCs w:val="20"/>
              </w:rPr>
              <w:t>79%</w:t>
            </w:r>
          </w:p>
        </w:tc>
        <w:tc>
          <w:tcPr>
            <w:tcW w:w="1260" w:type="dxa"/>
            <w:shd w:val="clear" w:color="auto" w:fill="auto"/>
            <w:vAlign w:val="center"/>
          </w:tcPr>
          <w:p w14:paraId="57E22CBD"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Thermal Efficiency</w:t>
            </w:r>
          </w:p>
        </w:tc>
        <w:tc>
          <w:tcPr>
            <w:tcW w:w="1620" w:type="dxa"/>
            <w:shd w:val="clear" w:color="auto" w:fill="auto"/>
            <w:vAlign w:val="center"/>
          </w:tcPr>
          <w:p w14:paraId="1ADB38E9"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Table 110.2-K</w:t>
            </w:r>
          </w:p>
        </w:tc>
      </w:tr>
    </w:tbl>
    <w:p w14:paraId="36241D02" w14:textId="77777777" w:rsidR="00BA7EEB" w:rsidRPr="006A7DF5" w:rsidRDefault="00BA7EEB" w:rsidP="00BA7EEB">
      <w:pPr>
        <w:pStyle w:val="Norma"/>
        <w:rPr>
          <w:rFonts w:cs="Arial"/>
          <w:szCs w:val="22"/>
        </w:rPr>
      </w:pPr>
    </w:p>
    <w:p w14:paraId="1EE16D20" w14:textId="77777777" w:rsidR="007D230B" w:rsidRPr="00171BB8" w:rsidRDefault="007D230B" w:rsidP="00462BB6">
      <w:pPr>
        <w:pStyle w:val="eTRMHeading3"/>
      </w:pPr>
      <w:bookmarkStart w:id="24" w:name="_Toc486490851"/>
      <w:bookmarkStart w:id="25" w:name="_Toc486580922"/>
      <w:bookmarkStart w:id="26" w:name="_Toc60150597"/>
      <w:bookmarkStart w:id="27" w:name="_Toc60310471"/>
      <w:r w:rsidRPr="00A83458">
        <w:t>Normalizing</w:t>
      </w:r>
      <w:r w:rsidRPr="00171BB8">
        <w:t xml:space="preserve"> Unit</w:t>
      </w:r>
      <w:bookmarkEnd w:id="24"/>
      <w:bookmarkEnd w:id="25"/>
      <w:bookmarkEnd w:id="26"/>
      <w:bookmarkEnd w:id="27"/>
    </w:p>
    <w:p w14:paraId="61E7A93F" w14:textId="766F66D1" w:rsidR="002B422B" w:rsidRDefault="00201A99" w:rsidP="00DE1251">
      <w:pPr>
        <w:pStyle w:val="Norma"/>
      </w:pPr>
      <w:bookmarkStart w:id="28" w:name="_Toc486490852"/>
      <w:bookmarkStart w:id="29" w:name="_Toc486580923"/>
      <w:bookmarkStart w:id="30" w:name="_Hlk515365299"/>
      <w:bookmarkStart w:id="31" w:name="_Hlk515878271"/>
      <w:r>
        <w:t>Cap-</w:t>
      </w:r>
      <w:proofErr w:type="spellStart"/>
      <w:r>
        <w:t>kBTUh</w:t>
      </w:r>
      <w:proofErr w:type="spellEnd"/>
      <w:r>
        <w:t xml:space="preserve"> (</w:t>
      </w:r>
      <w:proofErr w:type="spellStart"/>
      <w:r w:rsidR="00E74487">
        <w:t>kBtu</w:t>
      </w:r>
      <w:proofErr w:type="spellEnd"/>
      <w:r w:rsidR="00E540DE">
        <w:t>/</w:t>
      </w:r>
      <w:proofErr w:type="spellStart"/>
      <w:r w:rsidR="00E74487">
        <w:t>h</w:t>
      </w:r>
      <w:r w:rsidR="00E540DE">
        <w:t>r</w:t>
      </w:r>
      <w:proofErr w:type="spellEnd"/>
      <w:r w:rsidR="00E74487">
        <w:t xml:space="preserve"> of boiler rated input</w:t>
      </w:r>
      <w:r>
        <w:t>)</w:t>
      </w:r>
    </w:p>
    <w:p w14:paraId="0B15C99D" w14:textId="6E7D91A9" w:rsidR="00077E20" w:rsidRDefault="007D230B" w:rsidP="00462BB6">
      <w:pPr>
        <w:pStyle w:val="eTRMHeading3"/>
      </w:pPr>
      <w:bookmarkStart w:id="32" w:name="_Toc60150598"/>
      <w:bookmarkStart w:id="33" w:name="_Toc60310472"/>
      <w:r w:rsidRPr="004B06E3">
        <w:lastRenderedPageBreak/>
        <w:t>Program Requirements</w:t>
      </w:r>
      <w:bookmarkEnd w:id="28"/>
      <w:bookmarkEnd w:id="29"/>
      <w:bookmarkEnd w:id="32"/>
      <w:bookmarkEnd w:id="33"/>
      <w:r w:rsidRPr="004B06E3">
        <w:t xml:space="preserve"> </w:t>
      </w:r>
    </w:p>
    <w:p w14:paraId="17450B90" w14:textId="77777777" w:rsidR="00DB2962" w:rsidRDefault="00DB2962" w:rsidP="00DB2962">
      <w:pPr>
        <w:pStyle w:val="eTRMHeading5"/>
        <w:keepNext/>
        <w:keepLines/>
      </w:pPr>
      <w:bookmarkStart w:id="34" w:name="_Hlk516047641"/>
      <w:bookmarkEnd w:id="30"/>
      <w:r>
        <w:t>Measure Implementation Eligibility</w:t>
      </w:r>
    </w:p>
    <w:p w14:paraId="4ED94B5C" w14:textId="4B42567F" w:rsidR="00DB2962" w:rsidRDefault="00DB2962" w:rsidP="00DB2962">
      <w:pPr>
        <w:pStyle w:val="Norma"/>
      </w:pPr>
      <w:bookmarkStart w:id="35" w:name="_Hlk527543844"/>
      <w:bookmarkStart w:id="3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5"/>
    </w:p>
    <w:bookmarkEnd w:id="36"/>
    <w:p w14:paraId="012CDD2C" w14:textId="77777777" w:rsidR="00DB2962" w:rsidRPr="00CC4643" w:rsidRDefault="00DB2962" w:rsidP="00DB2962">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2DC5BCA0" w:rsidR="001B426F" w:rsidRDefault="001B426F" w:rsidP="00DB12EF">
      <w:pPr>
        <w:pStyle w:val="Caption"/>
        <w:keepNext w:val="0"/>
        <w:keepLines w:val="0"/>
      </w:pPr>
      <w:r>
        <w:t>Implementation Eligibility</w:t>
      </w:r>
    </w:p>
    <w:tbl>
      <w:tblPr>
        <w:tblStyle w:val="NormalTable"/>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F75CEB">
        <w:trPr>
          <w:cantSplit/>
          <w:trHeight w:val="20"/>
          <w:tblHeader/>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0948DB">
            <w:pPr>
              <w:pStyle w:val="Norma"/>
              <w:spacing w:before="20" w:after="20" w:line="240" w:lineRule="auto"/>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0948DB">
            <w:pPr>
              <w:pStyle w:val="Norma"/>
              <w:spacing w:before="20" w:after="20" w:line="240" w:lineRule="auto"/>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0948DB">
            <w:pPr>
              <w:pStyle w:val="Norma"/>
              <w:spacing w:before="20" w:after="20" w:line="240" w:lineRule="auto"/>
              <w:rPr>
                <w:b/>
                <w:bCs/>
                <w:sz w:val="20"/>
              </w:rPr>
            </w:pPr>
            <w:r w:rsidRPr="00A47168">
              <w:rPr>
                <w:b/>
                <w:bCs/>
                <w:sz w:val="20"/>
              </w:rPr>
              <w:t>Sector</w:t>
            </w:r>
          </w:p>
        </w:tc>
      </w:tr>
      <w:tr w:rsidR="00FC3FB0" w:rsidRPr="00A47168" w14:paraId="54F21FF2" w14:textId="77777777" w:rsidTr="00DB12EF">
        <w:trPr>
          <w:cantSplit/>
          <w:trHeight w:val="20"/>
        </w:trPr>
        <w:tc>
          <w:tcPr>
            <w:tcW w:w="3024" w:type="dxa"/>
            <w:noWrap/>
            <w:tcMar>
              <w:top w:w="0" w:type="dxa"/>
              <w:left w:w="108" w:type="dxa"/>
              <w:bottom w:w="0" w:type="dxa"/>
              <w:right w:w="108" w:type="dxa"/>
            </w:tcMar>
            <w:vAlign w:val="center"/>
          </w:tcPr>
          <w:p w14:paraId="178C5C26" w14:textId="0BD5A6BA" w:rsidR="00FC3FB0" w:rsidRPr="005466DB" w:rsidRDefault="00FC3FB0"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7EB7E369" w14:textId="34ABA224" w:rsidR="00FC3FB0" w:rsidRPr="005466DB" w:rsidRDefault="00FC3FB0" w:rsidP="000948DB">
            <w:pPr>
              <w:pStyle w:val="Norma"/>
              <w:autoSpaceDE w:val="0"/>
              <w:autoSpaceDN w:val="0"/>
              <w:adjustRightInd w:val="0"/>
              <w:spacing w:before="20" w:after="20" w:line="240" w:lineRule="auto"/>
              <w:rPr>
                <w:color w:val="000000"/>
                <w:sz w:val="20"/>
                <w:szCs w:val="20"/>
              </w:rPr>
            </w:pPr>
            <w:proofErr w:type="spellStart"/>
            <w:r>
              <w:rPr>
                <w:rFonts w:cs="Helv"/>
                <w:sz w:val="20"/>
                <w:szCs w:val="20"/>
              </w:rPr>
              <w:t>DnDeemDI</w:t>
            </w:r>
            <w:proofErr w:type="spellEnd"/>
          </w:p>
        </w:tc>
        <w:tc>
          <w:tcPr>
            <w:tcW w:w="3024" w:type="dxa"/>
            <w:noWrap/>
            <w:tcMar>
              <w:top w:w="0" w:type="dxa"/>
              <w:left w:w="108" w:type="dxa"/>
              <w:bottom w:w="0" w:type="dxa"/>
              <w:right w:w="108" w:type="dxa"/>
            </w:tcMar>
            <w:vAlign w:val="center"/>
          </w:tcPr>
          <w:p w14:paraId="6F9C2987" w14:textId="061F194F"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58434622" w14:textId="77777777" w:rsidTr="00DB12EF">
        <w:trPr>
          <w:cantSplit/>
          <w:trHeight w:val="20"/>
        </w:trPr>
        <w:tc>
          <w:tcPr>
            <w:tcW w:w="3024" w:type="dxa"/>
            <w:noWrap/>
            <w:tcMar>
              <w:top w:w="0" w:type="dxa"/>
              <w:left w:w="108" w:type="dxa"/>
              <w:bottom w:w="0" w:type="dxa"/>
              <w:right w:w="108" w:type="dxa"/>
            </w:tcMar>
            <w:vAlign w:val="center"/>
          </w:tcPr>
          <w:p w14:paraId="783C40B2" w14:textId="1E69D895"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3A8AD8F0" w14:textId="5BF19407" w:rsidR="00FC3FB0" w:rsidRPr="005466DB" w:rsidRDefault="00FC3FB0" w:rsidP="000948DB">
            <w:pPr>
              <w:pStyle w:val="Norma"/>
              <w:autoSpaceDE w:val="0"/>
              <w:autoSpaceDN w:val="0"/>
              <w:adjustRightInd w:val="0"/>
              <w:spacing w:before="20" w:after="20" w:line="240" w:lineRule="auto"/>
              <w:rPr>
                <w:color w:val="000000"/>
                <w:sz w:val="20"/>
                <w:szCs w:val="20"/>
              </w:rPr>
            </w:pPr>
            <w:proofErr w:type="spellStart"/>
            <w:r>
              <w:rPr>
                <w:rFonts w:cs="Helv"/>
                <w:sz w:val="20"/>
                <w:szCs w:val="20"/>
              </w:rPr>
              <w:t>UpDeemed</w:t>
            </w:r>
            <w:proofErr w:type="spellEnd"/>
          </w:p>
        </w:tc>
        <w:tc>
          <w:tcPr>
            <w:tcW w:w="3024" w:type="dxa"/>
            <w:noWrap/>
            <w:tcMar>
              <w:top w:w="0" w:type="dxa"/>
              <w:left w:w="108" w:type="dxa"/>
              <w:bottom w:w="0" w:type="dxa"/>
              <w:right w:w="108" w:type="dxa"/>
            </w:tcMar>
            <w:vAlign w:val="center"/>
          </w:tcPr>
          <w:p w14:paraId="7BB134CB" w14:textId="028D10B2"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384E4BA8" w14:textId="77777777" w:rsidTr="00DB12EF">
        <w:trPr>
          <w:cantSplit/>
          <w:trHeight w:val="20"/>
        </w:trPr>
        <w:tc>
          <w:tcPr>
            <w:tcW w:w="3024" w:type="dxa"/>
            <w:noWrap/>
            <w:tcMar>
              <w:top w:w="0" w:type="dxa"/>
              <w:left w:w="108" w:type="dxa"/>
              <w:bottom w:w="0" w:type="dxa"/>
              <w:right w:w="108" w:type="dxa"/>
            </w:tcMar>
            <w:vAlign w:val="center"/>
          </w:tcPr>
          <w:p w14:paraId="07F7E60B" w14:textId="58FB5DA6"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4C40DC15" w14:textId="56ED3E6E" w:rsidR="00FC3FB0" w:rsidRPr="005466DB" w:rsidRDefault="00FC3FB0" w:rsidP="000948DB">
            <w:pPr>
              <w:pStyle w:val="Norma"/>
              <w:autoSpaceDE w:val="0"/>
              <w:autoSpaceDN w:val="0"/>
              <w:adjustRightInd w:val="0"/>
              <w:spacing w:before="20" w:after="20" w:line="240" w:lineRule="auto"/>
              <w:rPr>
                <w:color w:val="000000"/>
                <w:sz w:val="20"/>
                <w:szCs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center"/>
          </w:tcPr>
          <w:p w14:paraId="6F4800A9" w14:textId="66822321"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32C83563" w14:textId="77777777" w:rsidTr="00DB12EF">
        <w:trPr>
          <w:cantSplit/>
          <w:trHeight w:val="20"/>
        </w:trPr>
        <w:tc>
          <w:tcPr>
            <w:tcW w:w="3024" w:type="dxa"/>
            <w:noWrap/>
            <w:tcMar>
              <w:top w:w="0" w:type="dxa"/>
              <w:left w:w="108" w:type="dxa"/>
              <w:bottom w:w="0" w:type="dxa"/>
              <w:right w:w="108" w:type="dxa"/>
            </w:tcMar>
            <w:vAlign w:val="center"/>
          </w:tcPr>
          <w:p w14:paraId="02D5AE80" w14:textId="3E4499EC"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5A9417D3" w14:textId="0CF8DE75" w:rsidR="00FC3FB0" w:rsidRPr="005466DB" w:rsidRDefault="00FC3FB0" w:rsidP="000948DB">
            <w:pPr>
              <w:pStyle w:val="Norma"/>
              <w:autoSpaceDE w:val="0"/>
              <w:autoSpaceDN w:val="0"/>
              <w:adjustRightInd w:val="0"/>
              <w:spacing w:before="20" w:after="20" w:line="240" w:lineRule="auto"/>
              <w:rPr>
                <w:color w:val="000000"/>
                <w:sz w:val="20"/>
                <w:szCs w:val="20"/>
              </w:rPr>
            </w:pPr>
            <w:proofErr w:type="spellStart"/>
            <w:r>
              <w:rPr>
                <w:rFonts w:cs="Helv"/>
                <w:sz w:val="20"/>
                <w:szCs w:val="20"/>
              </w:rPr>
              <w:t>DnDeemDI</w:t>
            </w:r>
            <w:proofErr w:type="spellEnd"/>
          </w:p>
        </w:tc>
        <w:tc>
          <w:tcPr>
            <w:tcW w:w="3024" w:type="dxa"/>
            <w:noWrap/>
            <w:tcMar>
              <w:top w:w="0" w:type="dxa"/>
              <w:left w:w="108" w:type="dxa"/>
              <w:bottom w:w="0" w:type="dxa"/>
              <w:right w:w="108" w:type="dxa"/>
            </w:tcMar>
            <w:vAlign w:val="center"/>
          </w:tcPr>
          <w:p w14:paraId="7E62E3C0" w14:textId="15A54E55" w:rsidR="00FC3FB0" w:rsidRPr="00737DBC" w:rsidRDefault="00DB12EF" w:rsidP="000948DB">
            <w:pPr>
              <w:pStyle w:val="Norma"/>
              <w:spacing w:before="20" w:after="20" w:line="240" w:lineRule="auto"/>
              <w:rPr>
                <w:color w:val="000000"/>
                <w:sz w:val="20"/>
                <w:szCs w:val="20"/>
              </w:rPr>
            </w:pPr>
            <w:r>
              <w:rPr>
                <w:sz w:val="20"/>
                <w:szCs w:val="20"/>
              </w:rPr>
              <w:t>Res</w:t>
            </w:r>
            <w:r w:rsidR="00FC3FB0" w:rsidRPr="005466DB">
              <w:rPr>
                <w:sz w:val="20"/>
                <w:szCs w:val="20"/>
              </w:rPr>
              <w:t xml:space="preserve"> (</w:t>
            </w:r>
            <w:r w:rsidR="00201A99">
              <w:rPr>
                <w:sz w:val="20"/>
                <w:szCs w:val="20"/>
              </w:rPr>
              <w:t>M</w:t>
            </w:r>
            <w:r w:rsidR="00FC3FB0" w:rsidRPr="005466DB">
              <w:rPr>
                <w:sz w:val="20"/>
                <w:szCs w:val="20"/>
              </w:rPr>
              <w:t>ultifamily)</w:t>
            </w:r>
          </w:p>
        </w:tc>
      </w:tr>
      <w:tr w:rsidR="00DB12EF" w:rsidRPr="00A47168" w14:paraId="5D22EDDB" w14:textId="77777777" w:rsidTr="00DB12EF">
        <w:trPr>
          <w:cantSplit/>
          <w:trHeight w:val="20"/>
        </w:trPr>
        <w:tc>
          <w:tcPr>
            <w:tcW w:w="3024" w:type="dxa"/>
            <w:noWrap/>
            <w:tcMar>
              <w:top w:w="0" w:type="dxa"/>
              <w:left w:w="108" w:type="dxa"/>
              <w:bottom w:w="0" w:type="dxa"/>
              <w:right w:w="108" w:type="dxa"/>
            </w:tcMar>
            <w:vAlign w:val="center"/>
          </w:tcPr>
          <w:p w14:paraId="67C06326" w14:textId="68D1CCCC" w:rsidR="00DB12EF" w:rsidRPr="005466DB" w:rsidRDefault="00DB12EF"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5AA899A5" w14:textId="38A2BAE8" w:rsidR="00DB12EF" w:rsidRPr="005466DB" w:rsidRDefault="00DB12EF" w:rsidP="000948DB">
            <w:pPr>
              <w:pStyle w:val="Norma"/>
              <w:autoSpaceDE w:val="0"/>
              <w:autoSpaceDN w:val="0"/>
              <w:adjustRightInd w:val="0"/>
              <w:spacing w:before="20" w:after="20" w:line="240" w:lineRule="auto"/>
              <w:rPr>
                <w:color w:val="000000"/>
                <w:sz w:val="20"/>
                <w:szCs w:val="20"/>
              </w:rPr>
            </w:pPr>
            <w:proofErr w:type="spellStart"/>
            <w:r>
              <w:rPr>
                <w:rFonts w:cs="Helv"/>
                <w:sz w:val="20"/>
                <w:szCs w:val="20"/>
              </w:rPr>
              <w:t>UpDeemed</w:t>
            </w:r>
            <w:proofErr w:type="spellEnd"/>
          </w:p>
        </w:tc>
        <w:tc>
          <w:tcPr>
            <w:tcW w:w="3024" w:type="dxa"/>
            <w:noWrap/>
            <w:tcMar>
              <w:top w:w="0" w:type="dxa"/>
              <w:left w:w="108" w:type="dxa"/>
              <w:bottom w:w="0" w:type="dxa"/>
              <w:right w:w="108" w:type="dxa"/>
            </w:tcMar>
            <w:vAlign w:val="center"/>
          </w:tcPr>
          <w:p w14:paraId="111B3DEA" w14:textId="7430500C" w:rsidR="00DB12EF" w:rsidRPr="00737DBC" w:rsidRDefault="00DB12EF" w:rsidP="000948DB">
            <w:pPr>
              <w:pStyle w:val="Norma"/>
              <w:spacing w:before="20" w:after="20" w:line="240" w:lineRule="auto"/>
              <w:rPr>
                <w:color w:val="000000"/>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660949C7" w14:textId="77777777" w:rsidTr="00DB12EF">
        <w:trPr>
          <w:cantSplit/>
          <w:trHeight w:val="20"/>
        </w:trPr>
        <w:tc>
          <w:tcPr>
            <w:tcW w:w="3024" w:type="dxa"/>
            <w:noWrap/>
            <w:tcMar>
              <w:top w:w="0" w:type="dxa"/>
              <w:left w:w="108" w:type="dxa"/>
              <w:bottom w:w="0" w:type="dxa"/>
              <w:right w:w="108" w:type="dxa"/>
            </w:tcMar>
            <w:vAlign w:val="center"/>
          </w:tcPr>
          <w:p w14:paraId="200BDF13" w14:textId="53AA94AF" w:rsidR="00DB12EF" w:rsidRPr="005466DB" w:rsidRDefault="00DB12EF"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0279A0B1" w14:textId="61CC5233" w:rsidR="00DB12EF" w:rsidRPr="005466DB" w:rsidRDefault="00DB12EF" w:rsidP="000948DB">
            <w:pPr>
              <w:pStyle w:val="Norma"/>
              <w:spacing w:before="20" w:after="20" w:line="240" w:lineRule="auto"/>
              <w:rPr>
                <w:color w:val="000000"/>
                <w:sz w:val="20"/>
                <w:szCs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center"/>
          </w:tcPr>
          <w:p w14:paraId="0F16500A" w14:textId="37170592" w:rsidR="00DB12EF" w:rsidRPr="00737DBC" w:rsidRDefault="00DB12EF" w:rsidP="000948DB">
            <w:pPr>
              <w:pStyle w:val="Norma"/>
              <w:spacing w:before="20" w:after="20" w:line="240" w:lineRule="auto"/>
              <w:rPr>
                <w:color w:val="000000"/>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FC3FB0" w:rsidRPr="00A47168" w14:paraId="1C14EE35" w14:textId="77777777" w:rsidTr="00DB12EF">
        <w:trPr>
          <w:cantSplit/>
          <w:trHeight w:val="20"/>
        </w:trPr>
        <w:tc>
          <w:tcPr>
            <w:tcW w:w="3024" w:type="dxa"/>
            <w:noWrap/>
            <w:tcMar>
              <w:top w:w="0" w:type="dxa"/>
              <w:left w:w="108" w:type="dxa"/>
              <w:bottom w:w="0" w:type="dxa"/>
              <w:right w:w="108" w:type="dxa"/>
            </w:tcMar>
            <w:vAlign w:val="center"/>
          </w:tcPr>
          <w:p w14:paraId="134F2EFC" w14:textId="0E595F3F"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5FCA266D" w14:textId="7A4E771C" w:rsidR="00FC3FB0" w:rsidRPr="008C5609" w:rsidRDefault="00FC3FB0" w:rsidP="000948DB">
            <w:pPr>
              <w:pStyle w:val="Norma"/>
              <w:spacing w:before="20" w:after="20" w:line="240" w:lineRule="auto"/>
              <w:rPr>
                <w:sz w:val="20"/>
                <w:szCs w:val="20"/>
              </w:rPr>
            </w:pPr>
            <w:proofErr w:type="spellStart"/>
            <w:r>
              <w:rPr>
                <w:rFonts w:cs="Helv"/>
                <w:sz w:val="20"/>
                <w:szCs w:val="20"/>
              </w:rPr>
              <w:t>DnDeemDI</w:t>
            </w:r>
            <w:proofErr w:type="spellEnd"/>
          </w:p>
        </w:tc>
        <w:tc>
          <w:tcPr>
            <w:tcW w:w="3024" w:type="dxa"/>
            <w:noWrap/>
            <w:tcMar>
              <w:top w:w="0" w:type="dxa"/>
              <w:left w:w="108" w:type="dxa"/>
              <w:bottom w:w="0" w:type="dxa"/>
              <w:right w:w="108" w:type="dxa"/>
            </w:tcMar>
            <w:vAlign w:val="center"/>
          </w:tcPr>
          <w:p w14:paraId="69311C3B" w14:textId="11CCA578" w:rsidR="00FC3FB0" w:rsidRPr="005A3B69" w:rsidRDefault="00FC3FB0" w:rsidP="000948DB">
            <w:pPr>
              <w:pStyle w:val="Norma"/>
              <w:spacing w:before="20" w:after="20" w:line="240" w:lineRule="auto"/>
              <w:rPr>
                <w:sz w:val="20"/>
                <w:szCs w:val="20"/>
              </w:rPr>
            </w:pPr>
            <w:r>
              <w:rPr>
                <w:sz w:val="20"/>
                <w:szCs w:val="20"/>
              </w:rPr>
              <w:t>Com</w:t>
            </w:r>
          </w:p>
        </w:tc>
      </w:tr>
      <w:tr w:rsidR="00FC3FB0" w:rsidRPr="00A47168" w14:paraId="0F83D359" w14:textId="77777777" w:rsidTr="00DB12EF">
        <w:trPr>
          <w:cantSplit/>
          <w:trHeight w:val="20"/>
        </w:trPr>
        <w:tc>
          <w:tcPr>
            <w:tcW w:w="3024" w:type="dxa"/>
            <w:noWrap/>
            <w:tcMar>
              <w:top w:w="0" w:type="dxa"/>
              <w:left w:w="108" w:type="dxa"/>
              <w:bottom w:w="0" w:type="dxa"/>
              <w:right w:w="108" w:type="dxa"/>
            </w:tcMar>
            <w:vAlign w:val="center"/>
          </w:tcPr>
          <w:p w14:paraId="6F180CFA" w14:textId="15A7BEAB"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08B6C8E9" w14:textId="1FA16B6E" w:rsidR="00FC3FB0" w:rsidRPr="008C5609" w:rsidRDefault="00FC3FB0" w:rsidP="000948DB">
            <w:pPr>
              <w:pStyle w:val="Norma"/>
              <w:spacing w:before="20" w:after="20" w:line="240" w:lineRule="auto"/>
              <w:rPr>
                <w:sz w:val="20"/>
                <w:szCs w:val="20"/>
              </w:rPr>
            </w:pPr>
            <w:proofErr w:type="spellStart"/>
            <w:r>
              <w:rPr>
                <w:rFonts w:cs="Helv"/>
                <w:sz w:val="20"/>
                <w:szCs w:val="20"/>
              </w:rPr>
              <w:t>UpDeemed</w:t>
            </w:r>
            <w:proofErr w:type="spellEnd"/>
          </w:p>
        </w:tc>
        <w:tc>
          <w:tcPr>
            <w:tcW w:w="3024" w:type="dxa"/>
            <w:noWrap/>
            <w:tcMar>
              <w:top w:w="0" w:type="dxa"/>
              <w:left w:w="108" w:type="dxa"/>
              <w:bottom w:w="0" w:type="dxa"/>
              <w:right w:w="108" w:type="dxa"/>
            </w:tcMar>
            <w:vAlign w:val="center"/>
          </w:tcPr>
          <w:p w14:paraId="6746504F" w14:textId="2D3209C6" w:rsidR="00FC3FB0" w:rsidRPr="005A3B69" w:rsidRDefault="00FC3FB0" w:rsidP="000948DB">
            <w:pPr>
              <w:pStyle w:val="Norma"/>
              <w:spacing w:before="20" w:after="20" w:line="240" w:lineRule="auto"/>
              <w:rPr>
                <w:sz w:val="20"/>
                <w:szCs w:val="20"/>
              </w:rPr>
            </w:pPr>
            <w:r>
              <w:rPr>
                <w:sz w:val="20"/>
                <w:szCs w:val="20"/>
              </w:rPr>
              <w:t>Com</w:t>
            </w:r>
          </w:p>
        </w:tc>
      </w:tr>
      <w:tr w:rsidR="00FC3FB0" w:rsidRPr="00A47168" w14:paraId="38AF65D3" w14:textId="77777777" w:rsidTr="00DB12EF">
        <w:trPr>
          <w:cantSplit/>
          <w:trHeight w:val="20"/>
        </w:trPr>
        <w:tc>
          <w:tcPr>
            <w:tcW w:w="3024" w:type="dxa"/>
            <w:noWrap/>
            <w:tcMar>
              <w:top w:w="0" w:type="dxa"/>
              <w:left w:w="108" w:type="dxa"/>
              <w:bottom w:w="0" w:type="dxa"/>
              <w:right w:w="108" w:type="dxa"/>
            </w:tcMar>
            <w:vAlign w:val="center"/>
          </w:tcPr>
          <w:p w14:paraId="03C3E7BC" w14:textId="5F4A643C"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0D9DD617" w14:textId="085086E0" w:rsidR="00FC3FB0" w:rsidRPr="008C5609" w:rsidRDefault="00FC3FB0" w:rsidP="000948DB">
            <w:pPr>
              <w:pStyle w:val="Norma"/>
              <w:spacing w:before="20" w:after="20" w:line="240" w:lineRule="auto"/>
              <w:rPr>
                <w:sz w:val="20"/>
                <w:szCs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center"/>
          </w:tcPr>
          <w:p w14:paraId="7B2AEC12" w14:textId="6B09D31A" w:rsidR="00FC3FB0" w:rsidRPr="005A3B69" w:rsidRDefault="00FC3FB0" w:rsidP="000948DB">
            <w:pPr>
              <w:pStyle w:val="Norma"/>
              <w:spacing w:before="20" w:after="20" w:line="240" w:lineRule="auto"/>
              <w:rPr>
                <w:sz w:val="20"/>
                <w:szCs w:val="20"/>
              </w:rPr>
            </w:pPr>
            <w:r>
              <w:rPr>
                <w:sz w:val="20"/>
                <w:szCs w:val="20"/>
              </w:rPr>
              <w:t>Com</w:t>
            </w:r>
          </w:p>
        </w:tc>
      </w:tr>
      <w:tr w:rsidR="00DB12EF" w:rsidRPr="00A47168" w14:paraId="70600EE0" w14:textId="77777777" w:rsidTr="00DB12EF">
        <w:trPr>
          <w:cantSplit/>
          <w:trHeight w:val="20"/>
        </w:trPr>
        <w:tc>
          <w:tcPr>
            <w:tcW w:w="3024" w:type="dxa"/>
            <w:noWrap/>
            <w:tcMar>
              <w:top w:w="0" w:type="dxa"/>
              <w:left w:w="108" w:type="dxa"/>
              <w:bottom w:w="0" w:type="dxa"/>
              <w:right w:w="108" w:type="dxa"/>
            </w:tcMar>
            <w:vAlign w:val="center"/>
          </w:tcPr>
          <w:p w14:paraId="2D9E6233" w14:textId="43F441E4"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302A12BF" w14:textId="34DC6B24" w:rsidR="00DB12EF" w:rsidRPr="008C5609" w:rsidRDefault="00DB12EF" w:rsidP="000948DB">
            <w:pPr>
              <w:pStyle w:val="Norma"/>
              <w:spacing w:before="20" w:after="20" w:line="240" w:lineRule="auto"/>
              <w:rPr>
                <w:sz w:val="20"/>
                <w:szCs w:val="20"/>
              </w:rPr>
            </w:pPr>
            <w:proofErr w:type="spellStart"/>
            <w:r>
              <w:rPr>
                <w:rFonts w:cs="Helv"/>
                <w:sz w:val="20"/>
                <w:szCs w:val="20"/>
              </w:rPr>
              <w:t>DnDeemDI</w:t>
            </w:r>
            <w:proofErr w:type="spellEnd"/>
          </w:p>
        </w:tc>
        <w:tc>
          <w:tcPr>
            <w:tcW w:w="3024" w:type="dxa"/>
            <w:noWrap/>
            <w:tcMar>
              <w:top w:w="0" w:type="dxa"/>
              <w:left w:w="108" w:type="dxa"/>
              <w:bottom w:w="0" w:type="dxa"/>
              <w:right w:w="108" w:type="dxa"/>
            </w:tcMar>
            <w:vAlign w:val="center"/>
          </w:tcPr>
          <w:p w14:paraId="591E0985" w14:textId="195FC616"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29C5035B" w14:textId="77777777" w:rsidTr="00DB12EF">
        <w:trPr>
          <w:cantSplit/>
          <w:trHeight w:val="20"/>
        </w:trPr>
        <w:tc>
          <w:tcPr>
            <w:tcW w:w="3024" w:type="dxa"/>
            <w:noWrap/>
            <w:tcMar>
              <w:top w:w="0" w:type="dxa"/>
              <w:left w:w="108" w:type="dxa"/>
              <w:bottom w:w="0" w:type="dxa"/>
              <w:right w:w="108" w:type="dxa"/>
            </w:tcMar>
            <w:vAlign w:val="center"/>
          </w:tcPr>
          <w:p w14:paraId="1391F722" w14:textId="0C90977B"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61C29F7A" w14:textId="70040595" w:rsidR="00DB12EF" w:rsidRPr="008C5609" w:rsidRDefault="00DB12EF" w:rsidP="000948DB">
            <w:pPr>
              <w:pStyle w:val="Norma"/>
              <w:spacing w:before="20" w:after="20" w:line="240" w:lineRule="auto"/>
              <w:rPr>
                <w:sz w:val="20"/>
                <w:szCs w:val="20"/>
              </w:rPr>
            </w:pPr>
            <w:proofErr w:type="spellStart"/>
            <w:r>
              <w:rPr>
                <w:rFonts w:cs="Helv"/>
                <w:sz w:val="20"/>
                <w:szCs w:val="20"/>
              </w:rPr>
              <w:t>UpDeemed</w:t>
            </w:r>
            <w:proofErr w:type="spellEnd"/>
          </w:p>
        </w:tc>
        <w:tc>
          <w:tcPr>
            <w:tcW w:w="3024" w:type="dxa"/>
            <w:noWrap/>
            <w:tcMar>
              <w:top w:w="0" w:type="dxa"/>
              <w:left w:w="108" w:type="dxa"/>
              <w:bottom w:w="0" w:type="dxa"/>
              <w:right w:w="108" w:type="dxa"/>
            </w:tcMar>
            <w:vAlign w:val="center"/>
          </w:tcPr>
          <w:p w14:paraId="026CFA25" w14:textId="2B7962A5"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52665F90" w14:textId="77777777" w:rsidTr="00DB12EF">
        <w:trPr>
          <w:cantSplit/>
          <w:trHeight w:val="20"/>
        </w:trPr>
        <w:tc>
          <w:tcPr>
            <w:tcW w:w="3024" w:type="dxa"/>
            <w:noWrap/>
            <w:tcMar>
              <w:top w:w="0" w:type="dxa"/>
              <w:left w:w="108" w:type="dxa"/>
              <w:bottom w:w="0" w:type="dxa"/>
              <w:right w:w="108" w:type="dxa"/>
            </w:tcMar>
            <w:vAlign w:val="center"/>
          </w:tcPr>
          <w:p w14:paraId="5464E086" w14:textId="22100062"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3D0667B2" w14:textId="3056269D" w:rsidR="00DB12EF" w:rsidRPr="008C5609" w:rsidRDefault="00DB12EF" w:rsidP="000948DB">
            <w:pPr>
              <w:pStyle w:val="Norma"/>
              <w:spacing w:before="20" w:after="20" w:line="240" w:lineRule="auto"/>
              <w:rPr>
                <w:sz w:val="20"/>
                <w:szCs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center"/>
          </w:tcPr>
          <w:p w14:paraId="39C4EA89" w14:textId="692E649F"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bl>
    <w:p w14:paraId="73035A5C" w14:textId="56C037AC" w:rsidR="001B426F" w:rsidRDefault="001B426F" w:rsidP="001B426F">
      <w:pPr>
        <w:pStyle w:val="Norma"/>
      </w:pPr>
    </w:p>
    <w:p w14:paraId="27249DCD" w14:textId="77777777" w:rsidR="00E74487" w:rsidRDefault="00E74487" w:rsidP="001B426F">
      <w:pPr>
        <w:pStyle w:val="Norma"/>
      </w:pPr>
    </w:p>
    <w:bookmarkEnd w:id="31"/>
    <w:bookmarkEnd w:id="34"/>
    <w:p w14:paraId="50711562" w14:textId="4FA719D3" w:rsidR="00AA46AF" w:rsidRDefault="00196649" w:rsidP="00154391">
      <w:pPr>
        <w:pStyle w:val="eTRMHeading5"/>
      </w:pPr>
      <w:r>
        <w:t>Eligible Products</w:t>
      </w:r>
    </w:p>
    <w:p w14:paraId="14EE94F4" w14:textId="4406C81A" w:rsidR="00E74487" w:rsidRPr="006C7B9F" w:rsidRDefault="00E74487" w:rsidP="00DB2962">
      <w:pPr>
        <w:pStyle w:val="Norma"/>
        <w:rPr>
          <w:i/>
        </w:rPr>
      </w:pPr>
      <w:r>
        <w:t>The boiler m</w:t>
      </w:r>
      <w:r w:rsidRPr="006C7B9F">
        <w:t xml:space="preserve">ust be used for space heating to induce human comfort, as defined by the California </w:t>
      </w:r>
      <w:r w:rsidR="000A64F6">
        <w:t>Appliance Efficiency Regulations (Title 20)</w:t>
      </w:r>
      <w:r w:rsidRPr="006C7B9F">
        <w:t xml:space="preserve"> and </w:t>
      </w:r>
      <w:r w:rsidR="000A64F6">
        <w:t>Building Energy Efficiency S</w:t>
      </w:r>
      <w:r w:rsidRPr="006C7B9F">
        <w:t>tandards</w:t>
      </w:r>
      <w:r w:rsidR="000A64F6">
        <w:t xml:space="preserve"> (Title 24)</w:t>
      </w:r>
      <w:r w:rsidRPr="006C7B9F">
        <w:t>.</w:t>
      </w:r>
    </w:p>
    <w:p w14:paraId="1FD4FE61" w14:textId="63079B57" w:rsidR="00E74487" w:rsidRDefault="00E74487" w:rsidP="00DB2962">
      <w:pPr>
        <w:pStyle w:val="Norma"/>
      </w:pPr>
      <w:r>
        <w:t>The boiler m</w:t>
      </w:r>
      <w:r w:rsidRPr="006C7B9F">
        <w:t xml:space="preserve">ust meet efficiency </w:t>
      </w:r>
      <w:r w:rsidR="000B2680">
        <w:t xml:space="preserve">and reset </w:t>
      </w:r>
      <w:r w:rsidRPr="006C7B9F">
        <w:t xml:space="preserve">requirements based on input ratings and types shown in the </w:t>
      </w:r>
      <w:r>
        <w:t>Measure Case Description</w:t>
      </w:r>
      <w:r w:rsidRPr="006C7B9F">
        <w:t>.</w:t>
      </w:r>
    </w:p>
    <w:p w14:paraId="01369068" w14:textId="53E88FBC" w:rsidR="000B2680" w:rsidRPr="006C7B9F" w:rsidRDefault="000B2680" w:rsidP="000B2680">
      <w:pPr>
        <w:pStyle w:val="Norma"/>
        <w:rPr>
          <w:i/>
        </w:rPr>
      </w:pPr>
      <w:r>
        <w:t>The i</w:t>
      </w:r>
      <w:r w:rsidRPr="006C7B9F">
        <w:t>nstallation address must have a commercial natural gas account</w:t>
      </w:r>
      <w:r>
        <w:t xml:space="preserve"> </w:t>
      </w:r>
      <w:r w:rsidR="00984B2A">
        <w:t>with</w:t>
      </w:r>
      <w:r>
        <w:t xml:space="preserve"> a California </w:t>
      </w:r>
      <w:r w:rsidR="00984B2A">
        <w:t>IOU</w:t>
      </w:r>
      <w:r>
        <w:t>.</w:t>
      </w:r>
    </w:p>
    <w:p w14:paraId="1D62512A" w14:textId="77777777" w:rsidR="002942B0" w:rsidRDefault="002942B0" w:rsidP="002942B0">
      <w:pPr>
        <w:pStyle w:val="Norma"/>
      </w:pPr>
    </w:p>
    <w:p w14:paraId="7CE938DA" w14:textId="2434378C" w:rsidR="007B6A74" w:rsidRPr="00401C43" w:rsidRDefault="007B6A74" w:rsidP="00401C43">
      <w:pPr>
        <w:pStyle w:val="eTRMHeading5"/>
      </w:pPr>
      <w:r w:rsidRPr="00401C43">
        <w:t>Eligible Building Types</w:t>
      </w:r>
      <w:r w:rsidR="00E57AAD">
        <w:t xml:space="preserve"> and Vintages</w:t>
      </w:r>
    </w:p>
    <w:p w14:paraId="57010B43" w14:textId="71839938" w:rsidR="00DB2962" w:rsidRDefault="0082533C" w:rsidP="00BA7EEB">
      <w:pPr>
        <w:pStyle w:val="Norma"/>
      </w:pPr>
      <w:r w:rsidRPr="0082533C">
        <w:t xml:space="preserve">This measure is applicable for </w:t>
      </w:r>
      <w:r w:rsidR="00E70DBD">
        <w:t xml:space="preserve">the following </w:t>
      </w:r>
      <w:r w:rsidR="005C4BF7">
        <w:t xml:space="preserve">existing </w:t>
      </w:r>
      <w:r w:rsidR="005F28A2">
        <w:t xml:space="preserve">and new </w:t>
      </w:r>
      <w:r w:rsidR="00E74487" w:rsidRPr="006C7B9F">
        <w:t>commercial and multifamily installations.</w:t>
      </w:r>
    </w:p>
    <w:tbl>
      <w:tblPr>
        <w:tblStyle w:val="NormalTable"/>
        <w:tblW w:w="892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775"/>
        <w:gridCol w:w="5149"/>
      </w:tblGrid>
      <w:tr w:rsidR="00E70DBD" w:rsidRPr="00A47168" w14:paraId="171FAC27" w14:textId="77777777" w:rsidTr="00285040">
        <w:trPr>
          <w:cantSplit/>
          <w:trHeight w:val="18"/>
          <w:tblHeader/>
        </w:trPr>
        <w:tc>
          <w:tcPr>
            <w:tcW w:w="3775" w:type="dxa"/>
            <w:shd w:val="clear" w:color="auto" w:fill="F2F2F2" w:themeFill="background1" w:themeFillShade="F2"/>
            <w:noWrap/>
            <w:tcMar>
              <w:top w:w="0" w:type="dxa"/>
              <w:left w:w="108" w:type="dxa"/>
              <w:bottom w:w="0" w:type="dxa"/>
              <w:right w:w="108" w:type="dxa"/>
            </w:tcMar>
            <w:vAlign w:val="bottom"/>
            <w:hideMark/>
          </w:tcPr>
          <w:p w14:paraId="51DA5C2A" w14:textId="7DF7312E" w:rsidR="00E70DBD" w:rsidRPr="00A47168" w:rsidRDefault="00E70DBD" w:rsidP="00E70DBD">
            <w:pPr>
              <w:pStyle w:val="Norma"/>
              <w:spacing w:before="20" w:after="20" w:line="240" w:lineRule="auto"/>
              <w:rPr>
                <w:b/>
                <w:bCs/>
                <w:sz w:val="20"/>
              </w:rPr>
            </w:pPr>
            <w:r>
              <w:rPr>
                <w:rFonts w:eastAsia="Times New Roman" w:cs="Calibri Light"/>
                <w:b/>
                <w:bCs/>
                <w:sz w:val="20"/>
                <w:szCs w:val="20"/>
              </w:rPr>
              <w:t>Building Type Sector</w:t>
            </w:r>
          </w:p>
        </w:tc>
        <w:tc>
          <w:tcPr>
            <w:tcW w:w="5149" w:type="dxa"/>
            <w:shd w:val="clear" w:color="auto" w:fill="F2F2F2" w:themeFill="background1" w:themeFillShade="F2"/>
            <w:noWrap/>
            <w:tcMar>
              <w:top w:w="0" w:type="dxa"/>
              <w:left w:w="108" w:type="dxa"/>
              <w:bottom w:w="0" w:type="dxa"/>
              <w:right w:w="108" w:type="dxa"/>
            </w:tcMar>
            <w:vAlign w:val="bottom"/>
            <w:hideMark/>
          </w:tcPr>
          <w:p w14:paraId="410E9990" w14:textId="49686328" w:rsidR="00E70DBD" w:rsidRPr="00A47168" w:rsidRDefault="00E70DBD" w:rsidP="00E70DBD">
            <w:pPr>
              <w:pStyle w:val="Norma"/>
              <w:spacing w:before="20" w:after="20" w:line="240" w:lineRule="auto"/>
              <w:rPr>
                <w:b/>
                <w:bCs/>
                <w:sz w:val="20"/>
              </w:rPr>
            </w:pPr>
            <w:r>
              <w:rPr>
                <w:b/>
                <w:bCs/>
                <w:sz w:val="20"/>
              </w:rPr>
              <w:t>Building Types(s)</w:t>
            </w:r>
          </w:p>
        </w:tc>
      </w:tr>
      <w:tr w:rsidR="00E70DBD" w:rsidRPr="00A47168" w14:paraId="5C1E0809" w14:textId="77777777" w:rsidTr="00285040">
        <w:trPr>
          <w:cantSplit/>
          <w:trHeight w:val="18"/>
          <w:tblHeader/>
        </w:trPr>
        <w:tc>
          <w:tcPr>
            <w:tcW w:w="3775" w:type="dxa"/>
            <w:shd w:val="clear" w:color="auto" w:fill="auto"/>
            <w:noWrap/>
            <w:tcMar>
              <w:top w:w="0" w:type="dxa"/>
              <w:left w:w="108" w:type="dxa"/>
              <w:bottom w:w="0" w:type="dxa"/>
              <w:right w:w="108" w:type="dxa"/>
            </w:tcMar>
            <w:vAlign w:val="center"/>
          </w:tcPr>
          <w:p w14:paraId="58267CC3" w14:textId="221AF126" w:rsidR="00E70DBD" w:rsidRDefault="00E70DBD" w:rsidP="00E70DBD">
            <w:pPr>
              <w:pStyle w:val="Norma"/>
              <w:spacing w:before="20" w:after="20" w:line="240" w:lineRule="auto"/>
              <w:rPr>
                <w:b/>
                <w:bCs/>
                <w:sz w:val="20"/>
              </w:rPr>
            </w:pPr>
            <w:r>
              <w:rPr>
                <w:rFonts w:eastAsia="Times New Roman" w:cs="Calibri Light"/>
                <w:color w:val="000000"/>
                <w:sz w:val="20"/>
                <w:szCs w:val="20"/>
              </w:rPr>
              <w:t>Residential</w:t>
            </w:r>
          </w:p>
        </w:tc>
        <w:tc>
          <w:tcPr>
            <w:tcW w:w="5149" w:type="dxa"/>
            <w:shd w:val="clear" w:color="auto" w:fill="auto"/>
            <w:noWrap/>
            <w:tcMar>
              <w:top w:w="0" w:type="dxa"/>
              <w:left w:w="108" w:type="dxa"/>
              <w:bottom w:w="0" w:type="dxa"/>
              <w:right w:w="108" w:type="dxa"/>
            </w:tcMar>
          </w:tcPr>
          <w:p w14:paraId="578D2054" w14:textId="5F1B3218" w:rsidR="00E70DBD" w:rsidRPr="00015A5C" w:rsidRDefault="00E70DBD" w:rsidP="00E70DBD">
            <w:pPr>
              <w:pStyle w:val="Norma"/>
              <w:spacing w:before="20" w:after="20" w:line="240" w:lineRule="auto"/>
              <w:rPr>
                <w:b/>
                <w:bCs/>
                <w:sz w:val="20"/>
                <w:szCs w:val="22"/>
              </w:rPr>
            </w:pPr>
            <w:r w:rsidRPr="00285040">
              <w:rPr>
                <w:sz w:val="20"/>
                <w:szCs w:val="22"/>
              </w:rPr>
              <w:t>Residential Multi-family</w:t>
            </w:r>
          </w:p>
        </w:tc>
      </w:tr>
      <w:tr w:rsidR="00E70DBD" w:rsidRPr="00A47168" w14:paraId="7E495523" w14:textId="77777777" w:rsidTr="00285040">
        <w:trPr>
          <w:cantSplit/>
          <w:trHeight w:val="18"/>
        </w:trPr>
        <w:tc>
          <w:tcPr>
            <w:tcW w:w="3775" w:type="dxa"/>
            <w:noWrap/>
            <w:tcMar>
              <w:top w:w="0" w:type="dxa"/>
              <w:left w:w="108" w:type="dxa"/>
              <w:bottom w:w="0" w:type="dxa"/>
              <w:right w:w="108" w:type="dxa"/>
            </w:tcMar>
            <w:vAlign w:val="center"/>
          </w:tcPr>
          <w:p w14:paraId="351C0001" w14:textId="7E3C4A6D" w:rsidR="00E70DBD" w:rsidRPr="005466DB" w:rsidRDefault="00E70DBD" w:rsidP="00E70DBD">
            <w:pPr>
              <w:pStyle w:val="Norma"/>
              <w:spacing w:before="20" w:after="20" w:line="240" w:lineRule="auto"/>
              <w:rPr>
                <w:color w:val="000000"/>
                <w:sz w:val="20"/>
                <w:szCs w:val="20"/>
              </w:rPr>
            </w:pPr>
            <w:r>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0E38E3CF" w14:textId="21E17870"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Commercial</w:t>
            </w:r>
          </w:p>
        </w:tc>
      </w:tr>
      <w:tr w:rsidR="00E70DBD" w:rsidRPr="00A47168" w14:paraId="21203CAD" w14:textId="77777777" w:rsidTr="00285040">
        <w:trPr>
          <w:cantSplit/>
          <w:trHeight w:val="18"/>
        </w:trPr>
        <w:tc>
          <w:tcPr>
            <w:tcW w:w="3775" w:type="dxa"/>
            <w:noWrap/>
            <w:tcMar>
              <w:top w:w="0" w:type="dxa"/>
              <w:left w:w="108" w:type="dxa"/>
              <w:bottom w:w="0" w:type="dxa"/>
              <w:right w:w="108" w:type="dxa"/>
            </w:tcMar>
          </w:tcPr>
          <w:p w14:paraId="5E541FC4" w14:textId="2344507D"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lastRenderedPageBreak/>
              <w:t>Commercial</w:t>
            </w:r>
          </w:p>
        </w:tc>
        <w:tc>
          <w:tcPr>
            <w:tcW w:w="5149" w:type="dxa"/>
            <w:noWrap/>
            <w:tcMar>
              <w:top w:w="0" w:type="dxa"/>
              <w:left w:w="108" w:type="dxa"/>
              <w:bottom w:w="0" w:type="dxa"/>
              <w:right w:w="108" w:type="dxa"/>
            </w:tcMar>
          </w:tcPr>
          <w:p w14:paraId="5C538C60" w14:textId="6CDEC048"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Community College</w:t>
            </w:r>
          </w:p>
        </w:tc>
      </w:tr>
      <w:tr w:rsidR="00E70DBD" w:rsidRPr="00A47168" w14:paraId="0A2896DE" w14:textId="77777777" w:rsidTr="00285040">
        <w:trPr>
          <w:cantSplit/>
          <w:trHeight w:val="18"/>
        </w:trPr>
        <w:tc>
          <w:tcPr>
            <w:tcW w:w="3775" w:type="dxa"/>
            <w:noWrap/>
            <w:tcMar>
              <w:top w:w="0" w:type="dxa"/>
              <w:left w:w="108" w:type="dxa"/>
              <w:bottom w:w="0" w:type="dxa"/>
              <w:right w:w="108" w:type="dxa"/>
            </w:tcMar>
          </w:tcPr>
          <w:p w14:paraId="6CC48C04" w14:textId="0ED0869B"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4B3C671E" w14:textId="26380196"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Secondary School</w:t>
            </w:r>
          </w:p>
        </w:tc>
      </w:tr>
      <w:tr w:rsidR="00E70DBD" w:rsidRPr="00A47168" w14:paraId="2747AA98" w14:textId="77777777" w:rsidTr="00285040">
        <w:trPr>
          <w:cantSplit/>
          <w:trHeight w:val="18"/>
        </w:trPr>
        <w:tc>
          <w:tcPr>
            <w:tcW w:w="3775" w:type="dxa"/>
            <w:noWrap/>
            <w:tcMar>
              <w:top w:w="0" w:type="dxa"/>
              <w:left w:w="108" w:type="dxa"/>
              <w:bottom w:w="0" w:type="dxa"/>
              <w:right w:w="108" w:type="dxa"/>
            </w:tcMar>
          </w:tcPr>
          <w:p w14:paraId="52306A6F" w14:textId="70C8AED0"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26700F79" w14:textId="4C739A33"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University</w:t>
            </w:r>
          </w:p>
        </w:tc>
      </w:tr>
      <w:tr w:rsidR="00E70DBD" w:rsidRPr="00A47168" w14:paraId="7ED05E06" w14:textId="77777777" w:rsidTr="00285040">
        <w:trPr>
          <w:cantSplit/>
          <w:trHeight w:val="18"/>
        </w:trPr>
        <w:tc>
          <w:tcPr>
            <w:tcW w:w="3775" w:type="dxa"/>
            <w:noWrap/>
            <w:tcMar>
              <w:top w:w="0" w:type="dxa"/>
              <w:left w:w="108" w:type="dxa"/>
              <w:bottom w:w="0" w:type="dxa"/>
              <w:right w:w="108" w:type="dxa"/>
            </w:tcMar>
          </w:tcPr>
          <w:p w14:paraId="03686143" w14:textId="5DE75ED7" w:rsidR="00E70DBD" w:rsidRPr="005466DB" w:rsidRDefault="00E70DBD" w:rsidP="00E70DBD">
            <w:pPr>
              <w:pStyle w:val="Norma"/>
              <w:spacing w:before="20" w:after="20" w:line="240" w:lineRule="auto"/>
              <w:rPr>
                <w:color w:val="000000"/>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56680B39" w14:textId="4448DA34"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Health/Medical - Hospital</w:t>
            </w:r>
          </w:p>
        </w:tc>
      </w:tr>
      <w:tr w:rsidR="00E70DBD" w:rsidRPr="00A47168" w14:paraId="2B602260" w14:textId="77777777" w:rsidTr="00285040">
        <w:trPr>
          <w:cantSplit/>
          <w:trHeight w:val="18"/>
        </w:trPr>
        <w:tc>
          <w:tcPr>
            <w:tcW w:w="3775" w:type="dxa"/>
            <w:noWrap/>
            <w:tcMar>
              <w:top w:w="0" w:type="dxa"/>
              <w:left w:w="108" w:type="dxa"/>
              <w:bottom w:w="0" w:type="dxa"/>
              <w:right w:w="108" w:type="dxa"/>
            </w:tcMar>
          </w:tcPr>
          <w:p w14:paraId="1AB40617" w14:textId="102E52EC" w:rsidR="00E70DBD" w:rsidRPr="005466DB" w:rsidRDefault="00E70DBD" w:rsidP="00E70DBD">
            <w:pPr>
              <w:pStyle w:val="Norma"/>
              <w:spacing w:before="20" w:after="20" w:line="240" w:lineRule="auto"/>
              <w:rPr>
                <w:color w:val="000000"/>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075A6837" w14:textId="10619BDF" w:rsidR="00E70DBD" w:rsidRPr="00015A5C" w:rsidRDefault="00E70DBD" w:rsidP="00E70DBD">
            <w:pPr>
              <w:pStyle w:val="Norma"/>
              <w:spacing w:before="20" w:after="20" w:line="240" w:lineRule="auto"/>
              <w:rPr>
                <w:color w:val="000000"/>
                <w:sz w:val="20"/>
                <w:szCs w:val="22"/>
              </w:rPr>
            </w:pPr>
            <w:r w:rsidRPr="00285040">
              <w:rPr>
                <w:sz w:val="20"/>
                <w:szCs w:val="22"/>
              </w:rPr>
              <w:t>Lodging - Hotel</w:t>
            </w:r>
          </w:p>
        </w:tc>
      </w:tr>
      <w:tr w:rsidR="00E70DBD" w:rsidRPr="00A47168" w14:paraId="5777720F" w14:textId="77777777" w:rsidTr="00285040">
        <w:trPr>
          <w:cantSplit/>
          <w:trHeight w:val="18"/>
        </w:trPr>
        <w:tc>
          <w:tcPr>
            <w:tcW w:w="3775" w:type="dxa"/>
            <w:noWrap/>
            <w:tcMar>
              <w:top w:w="0" w:type="dxa"/>
              <w:left w:w="108" w:type="dxa"/>
              <w:bottom w:w="0" w:type="dxa"/>
              <w:right w:w="108" w:type="dxa"/>
            </w:tcMar>
          </w:tcPr>
          <w:p w14:paraId="22137DEA" w14:textId="5C2FE207"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60D246F5" w14:textId="67E9DD9A" w:rsidR="00E70DBD" w:rsidRPr="00015A5C" w:rsidRDefault="00E70DBD" w:rsidP="00E70DBD">
            <w:pPr>
              <w:pStyle w:val="Norma"/>
              <w:spacing w:before="20" w:after="20" w:line="240" w:lineRule="auto"/>
              <w:rPr>
                <w:sz w:val="20"/>
                <w:szCs w:val="22"/>
              </w:rPr>
            </w:pPr>
            <w:r w:rsidRPr="00285040">
              <w:rPr>
                <w:sz w:val="20"/>
                <w:szCs w:val="22"/>
              </w:rPr>
              <w:t>Health/Medical - Nursing Home</w:t>
            </w:r>
          </w:p>
        </w:tc>
      </w:tr>
      <w:tr w:rsidR="00E70DBD" w:rsidRPr="00A47168" w14:paraId="5195BE13" w14:textId="77777777" w:rsidTr="00285040">
        <w:trPr>
          <w:cantSplit/>
          <w:trHeight w:val="18"/>
        </w:trPr>
        <w:tc>
          <w:tcPr>
            <w:tcW w:w="3775" w:type="dxa"/>
            <w:noWrap/>
            <w:tcMar>
              <w:top w:w="0" w:type="dxa"/>
              <w:left w:w="108" w:type="dxa"/>
              <w:bottom w:w="0" w:type="dxa"/>
              <w:right w:w="108" w:type="dxa"/>
            </w:tcMar>
          </w:tcPr>
          <w:p w14:paraId="1C5F840A" w14:textId="33FF0C85"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17593E44" w14:textId="70471681" w:rsidR="00E70DBD" w:rsidRPr="00015A5C" w:rsidRDefault="00E70DBD" w:rsidP="00E70DBD">
            <w:pPr>
              <w:pStyle w:val="Norma"/>
              <w:spacing w:before="20" w:after="20" w:line="240" w:lineRule="auto"/>
              <w:rPr>
                <w:sz w:val="20"/>
                <w:szCs w:val="22"/>
              </w:rPr>
            </w:pPr>
            <w:r w:rsidRPr="00285040">
              <w:rPr>
                <w:sz w:val="20"/>
                <w:szCs w:val="22"/>
              </w:rPr>
              <w:t>Office - Large</w:t>
            </w:r>
          </w:p>
        </w:tc>
      </w:tr>
      <w:tr w:rsidR="00E70DBD" w:rsidRPr="00A47168" w14:paraId="14E689B6" w14:textId="77777777" w:rsidTr="00285040">
        <w:trPr>
          <w:cantSplit/>
          <w:trHeight w:val="18"/>
        </w:trPr>
        <w:tc>
          <w:tcPr>
            <w:tcW w:w="3775" w:type="dxa"/>
            <w:noWrap/>
            <w:tcMar>
              <w:top w:w="0" w:type="dxa"/>
              <w:left w:w="108" w:type="dxa"/>
              <w:bottom w:w="0" w:type="dxa"/>
              <w:right w:w="108" w:type="dxa"/>
            </w:tcMar>
          </w:tcPr>
          <w:p w14:paraId="78A9ADCC" w14:textId="5A902C52"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207D7594" w14:textId="4EE7EB71" w:rsidR="00E70DBD" w:rsidRPr="00015A5C" w:rsidRDefault="00E70DBD" w:rsidP="00E70DBD">
            <w:pPr>
              <w:pStyle w:val="Norma"/>
              <w:spacing w:before="20" w:after="20" w:line="240" w:lineRule="auto"/>
              <w:rPr>
                <w:sz w:val="20"/>
                <w:szCs w:val="22"/>
              </w:rPr>
            </w:pPr>
            <w:r w:rsidRPr="00285040">
              <w:rPr>
                <w:sz w:val="20"/>
                <w:szCs w:val="22"/>
              </w:rPr>
              <w:t>Office - Small</w:t>
            </w:r>
          </w:p>
        </w:tc>
      </w:tr>
      <w:tr w:rsidR="00E70DBD" w:rsidRPr="00A47168" w14:paraId="1DEE5839" w14:textId="77777777" w:rsidTr="00285040">
        <w:trPr>
          <w:cantSplit/>
          <w:trHeight w:val="18"/>
        </w:trPr>
        <w:tc>
          <w:tcPr>
            <w:tcW w:w="3775" w:type="dxa"/>
            <w:noWrap/>
            <w:tcMar>
              <w:top w:w="0" w:type="dxa"/>
              <w:left w:w="108" w:type="dxa"/>
              <w:bottom w:w="0" w:type="dxa"/>
              <w:right w:w="108" w:type="dxa"/>
            </w:tcMar>
          </w:tcPr>
          <w:p w14:paraId="6B3DBFF0" w14:textId="6801361B"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3AF95C90" w14:textId="64F90876" w:rsidR="00E70DBD" w:rsidRPr="00015A5C" w:rsidRDefault="00E70DBD" w:rsidP="00E70DBD">
            <w:pPr>
              <w:pStyle w:val="Norma"/>
              <w:spacing w:before="20" w:after="20" w:line="240" w:lineRule="auto"/>
              <w:rPr>
                <w:sz w:val="20"/>
                <w:szCs w:val="22"/>
              </w:rPr>
            </w:pPr>
            <w:r w:rsidRPr="00285040">
              <w:rPr>
                <w:sz w:val="20"/>
                <w:szCs w:val="22"/>
              </w:rPr>
              <w:t>Retail - Multistory Large</w:t>
            </w:r>
          </w:p>
        </w:tc>
      </w:tr>
      <w:tr w:rsidR="00E70DBD" w:rsidRPr="00A47168" w14:paraId="1EEBE07E" w14:textId="77777777" w:rsidTr="00285040">
        <w:trPr>
          <w:cantSplit/>
          <w:trHeight w:val="18"/>
        </w:trPr>
        <w:tc>
          <w:tcPr>
            <w:tcW w:w="3775" w:type="dxa"/>
            <w:noWrap/>
            <w:tcMar>
              <w:top w:w="0" w:type="dxa"/>
              <w:left w:w="108" w:type="dxa"/>
              <w:bottom w:w="0" w:type="dxa"/>
              <w:right w:w="108" w:type="dxa"/>
            </w:tcMar>
          </w:tcPr>
          <w:p w14:paraId="5BBB356F" w14:textId="11858E5E"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37FDBC0A" w14:textId="190F53B8" w:rsidR="00E70DBD" w:rsidRPr="00015A5C" w:rsidRDefault="00E70DBD" w:rsidP="00E70DBD">
            <w:pPr>
              <w:pStyle w:val="Norma"/>
              <w:spacing w:before="20" w:after="20" w:line="240" w:lineRule="auto"/>
              <w:rPr>
                <w:sz w:val="20"/>
                <w:szCs w:val="22"/>
              </w:rPr>
            </w:pPr>
            <w:r w:rsidRPr="00285040">
              <w:rPr>
                <w:sz w:val="20"/>
                <w:szCs w:val="22"/>
              </w:rPr>
              <w:t>Manufacturing Biotech</w:t>
            </w:r>
          </w:p>
        </w:tc>
      </w:tr>
    </w:tbl>
    <w:p w14:paraId="48DBC767" w14:textId="77777777" w:rsidR="000B2680" w:rsidRDefault="000B2680" w:rsidP="00BA7EEB">
      <w:pPr>
        <w:pStyle w:val="Norma"/>
      </w:pPr>
    </w:p>
    <w:p w14:paraId="20A760F1" w14:textId="743C5026" w:rsidR="00E277D4" w:rsidRDefault="00E70DBD" w:rsidP="00BA7EEB">
      <w:pPr>
        <w:pStyle w:val="Norma"/>
      </w:pPr>
      <w:r>
        <w:t>The following table shows which sector’s building type are applicable for each measure:</w:t>
      </w:r>
    </w:p>
    <w:tbl>
      <w:tblPr>
        <w:tblW w:w="89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50"/>
        <w:gridCol w:w="3966"/>
      </w:tblGrid>
      <w:tr w:rsidR="00E70DBD" w:rsidRPr="00D540F3" w14:paraId="1EA38E8B" w14:textId="77777777" w:rsidTr="00285040">
        <w:trPr>
          <w:trHeight w:val="537"/>
        </w:trPr>
        <w:tc>
          <w:tcPr>
            <w:tcW w:w="4950" w:type="dxa"/>
            <w:shd w:val="clear" w:color="auto" w:fill="F2F2F2" w:themeFill="background1" w:themeFillShade="F2"/>
            <w:noWrap/>
            <w:vAlign w:val="bottom"/>
            <w:hideMark/>
          </w:tcPr>
          <w:p w14:paraId="6618196F" w14:textId="77777777" w:rsidR="00E70DBD" w:rsidRPr="00D540F3" w:rsidRDefault="00E70DBD" w:rsidP="00015A5C">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Statewide </w:t>
            </w:r>
            <w:r w:rsidRPr="00D540F3">
              <w:rPr>
                <w:rFonts w:ascii="Calibri Light" w:eastAsia="Times New Roman" w:hAnsi="Calibri Light" w:cs="Calibri Light"/>
                <w:b/>
                <w:bCs/>
                <w:sz w:val="20"/>
                <w:szCs w:val="20"/>
              </w:rPr>
              <w:t>Measure</w:t>
            </w:r>
            <w:r>
              <w:rPr>
                <w:rFonts w:ascii="Calibri Light" w:eastAsia="Times New Roman" w:hAnsi="Calibri Light" w:cs="Calibri Light"/>
                <w:b/>
                <w:bCs/>
                <w:sz w:val="20"/>
                <w:szCs w:val="20"/>
              </w:rPr>
              <w:t xml:space="preserve"> Offering </w:t>
            </w:r>
            <w:r w:rsidRPr="00D540F3">
              <w:rPr>
                <w:rFonts w:ascii="Calibri Light" w:eastAsia="Times New Roman" w:hAnsi="Calibri Light" w:cs="Calibri Light"/>
                <w:b/>
                <w:bCs/>
                <w:sz w:val="20"/>
                <w:szCs w:val="20"/>
              </w:rPr>
              <w:t>ID</w:t>
            </w:r>
          </w:p>
        </w:tc>
        <w:tc>
          <w:tcPr>
            <w:tcW w:w="3966" w:type="dxa"/>
            <w:shd w:val="clear" w:color="auto" w:fill="F2F2F2" w:themeFill="background1" w:themeFillShade="F2"/>
            <w:vAlign w:val="bottom"/>
          </w:tcPr>
          <w:p w14:paraId="4594B7C0" w14:textId="3C574F8D" w:rsidR="00E70DBD" w:rsidRDefault="00E70DBD" w:rsidP="00015A5C">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Sector(s)</w:t>
            </w:r>
          </w:p>
        </w:tc>
      </w:tr>
      <w:tr w:rsidR="00E70DBD" w:rsidRPr="00D540F3" w14:paraId="2AD7E4E5" w14:textId="77777777" w:rsidTr="00285040">
        <w:trPr>
          <w:trHeight w:val="209"/>
        </w:trPr>
        <w:tc>
          <w:tcPr>
            <w:tcW w:w="4950" w:type="dxa"/>
            <w:shd w:val="clear" w:color="auto" w:fill="auto"/>
            <w:noWrap/>
            <w:vAlign w:val="center"/>
            <w:hideMark/>
          </w:tcPr>
          <w:p w14:paraId="03A039D9" w14:textId="77777777" w:rsidR="00E70DBD" w:rsidRPr="00D540F3" w:rsidRDefault="00E70DBD"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SWHC004A</w:t>
            </w:r>
          </w:p>
        </w:tc>
        <w:tc>
          <w:tcPr>
            <w:tcW w:w="3966" w:type="dxa"/>
            <w:vAlign w:val="bottom"/>
          </w:tcPr>
          <w:p w14:paraId="34D7FB05" w14:textId="03E8A75E" w:rsidR="00E70DBD" w:rsidRPr="00D540F3" w:rsidRDefault="00E70DBD" w:rsidP="00015A5C">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0429BF">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 Only</w:t>
            </w:r>
          </w:p>
        </w:tc>
      </w:tr>
      <w:tr w:rsidR="00E70DBD" w:rsidRPr="00D540F3" w14:paraId="7F99C139" w14:textId="77777777" w:rsidTr="00285040">
        <w:trPr>
          <w:trHeight w:val="209"/>
        </w:trPr>
        <w:tc>
          <w:tcPr>
            <w:tcW w:w="4950" w:type="dxa"/>
            <w:shd w:val="clear" w:color="auto" w:fill="auto"/>
            <w:noWrap/>
            <w:vAlign w:val="center"/>
            <w:hideMark/>
          </w:tcPr>
          <w:p w14:paraId="3774EB40" w14:textId="18041462" w:rsidR="00E70DBD" w:rsidRPr="00D540F3" w:rsidRDefault="00E70DBD"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SWHC004C</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SWHC004E</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SWHC004F</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w:t>
            </w:r>
            <w:r w:rsidR="006D0FCB">
              <w:rPr>
                <w:rFonts w:ascii="Calibri Light" w:eastAsia="Times New Roman" w:hAnsi="Calibri Light" w:cs="Calibri Light"/>
                <w:color w:val="000000"/>
                <w:sz w:val="20"/>
                <w:szCs w:val="20"/>
              </w:rPr>
              <w:t>H</w:t>
            </w:r>
          </w:p>
        </w:tc>
        <w:tc>
          <w:tcPr>
            <w:tcW w:w="3966" w:type="dxa"/>
            <w:vAlign w:val="bottom"/>
          </w:tcPr>
          <w:p w14:paraId="1B71C9B9" w14:textId="244E7263" w:rsidR="00E70DBD" w:rsidRPr="00D540F3" w:rsidRDefault="00E70DBD" w:rsidP="00015A5C">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proofErr w:type="spellStart"/>
            <w:r w:rsidRPr="00147E87">
              <w:rPr>
                <w:rFonts w:ascii="Calibri Light" w:eastAsia="Times New Roman" w:hAnsi="Calibri Light" w:cs="Calibri Light"/>
                <w:color w:val="000000"/>
                <w:sz w:val="20"/>
                <w:szCs w:val="20"/>
              </w:rPr>
              <w:t>MFm</w:t>
            </w:r>
            <w:proofErr w:type="spellEnd"/>
            <w:r>
              <w:rPr>
                <w:rFonts w:ascii="Calibri Light" w:eastAsia="Times New Roman" w:hAnsi="Calibri Light" w:cs="Calibri Light"/>
                <w:color w:val="000000"/>
                <w:sz w:val="20"/>
                <w:szCs w:val="20"/>
              </w:rPr>
              <w:t>) and Commercial</w:t>
            </w:r>
          </w:p>
        </w:tc>
      </w:tr>
      <w:tr w:rsidR="00E70DBD" w:rsidRPr="00D540F3" w14:paraId="5358A741" w14:textId="77777777" w:rsidTr="00285040">
        <w:trPr>
          <w:trHeight w:val="209"/>
        </w:trPr>
        <w:tc>
          <w:tcPr>
            <w:tcW w:w="4950" w:type="dxa"/>
            <w:shd w:val="clear" w:color="auto" w:fill="auto"/>
            <w:noWrap/>
            <w:vAlign w:val="center"/>
            <w:hideMark/>
          </w:tcPr>
          <w:p w14:paraId="4896A2D0" w14:textId="131FA498" w:rsidR="00E70DBD" w:rsidRPr="00D540F3" w:rsidRDefault="006D0FCB"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SWHC004D</w:t>
            </w:r>
            <w:r>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SWHC004</w:t>
            </w:r>
            <w:r>
              <w:rPr>
                <w:rFonts w:ascii="Calibri Light" w:eastAsia="Times New Roman" w:hAnsi="Calibri Light" w:cs="Calibri Light"/>
                <w:color w:val="000000"/>
                <w:sz w:val="20"/>
                <w:szCs w:val="20"/>
              </w:rPr>
              <w:t xml:space="preserve">G, </w:t>
            </w:r>
            <w:r w:rsidRPr="00D540F3">
              <w:rPr>
                <w:rFonts w:ascii="Calibri Light" w:eastAsia="Times New Roman" w:hAnsi="Calibri Light" w:cs="Calibri Light"/>
                <w:color w:val="000000"/>
                <w:sz w:val="20"/>
                <w:szCs w:val="20"/>
              </w:rPr>
              <w:t>SWHC004</w:t>
            </w:r>
            <w:r>
              <w:rPr>
                <w:rFonts w:ascii="Calibri Light" w:eastAsia="Times New Roman" w:hAnsi="Calibri Light" w:cs="Calibri Light"/>
                <w:color w:val="000000"/>
                <w:sz w:val="20"/>
                <w:szCs w:val="20"/>
              </w:rPr>
              <w:t>I,</w:t>
            </w:r>
            <w:r w:rsidRPr="00D540F3">
              <w:rPr>
                <w:rFonts w:ascii="Calibri Light" w:eastAsia="Times New Roman" w:hAnsi="Calibri Light" w:cs="Calibri Light"/>
                <w:color w:val="000000"/>
                <w:sz w:val="20"/>
                <w:szCs w:val="20"/>
              </w:rPr>
              <w:t xml:space="preserve"> SWHC004</w:t>
            </w:r>
            <w:r>
              <w:rPr>
                <w:rFonts w:ascii="Calibri Light" w:eastAsia="Times New Roman" w:hAnsi="Calibri Light" w:cs="Calibri Light"/>
                <w:color w:val="000000"/>
                <w:sz w:val="20"/>
                <w:szCs w:val="20"/>
              </w:rPr>
              <w:t>J</w:t>
            </w:r>
          </w:p>
        </w:tc>
        <w:tc>
          <w:tcPr>
            <w:tcW w:w="3966" w:type="dxa"/>
            <w:vAlign w:val="bottom"/>
          </w:tcPr>
          <w:p w14:paraId="55F0F02F" w14:textId="54CAC74F" w:rsidR="00E70DBD" w:rsidRPr="00D540F3" w:rsidRDefault="00E70DBD" w:rsidP="00015A5C">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r>
              <w:rPr>
                <w:rFonts w:ascii="Calibri Light" w:eastAsia="Times New Roman" w:hAnsi="Calibri Light" w:cs="Calibri Light"/>
                <w:color w:val="000000"/>
                <w:sz w:val="20"/>
                <w:szCs w:val="20"/>
              </w:rPr>
              <w:t>mercial Only</w:t>
            </w:r>
          </w:p>
        </w:tc>
      </w:tr>
    </w:tbl>
    <w:p w14:paraId="7AA25502" w14:textId="77777777" w:rsidR="00571D95" w:rsidRPr="00571D95" w:rsidRDefault="00571D95" w:rsidP="00571D95">
      <w:pPr>
        <w:pStyle w:val="Norma"/>
      </w:pPr>
    </w:p>
    <w:p w14:paraId="1A3705F3" w14:textId="4BC0985D" w:rsidR="007B6A74" w:rsidRPr="004B06E3" w:rsidRDefault="00196649" w:rsidP="00154391">
      <w:pPr>
        <w:pStyle w:val="eTRMHeading5"/>
      </w:pPr>
      <w:r>
        <w:t>Eligible Climate Zones</w:t>
      </w:r>
    </w:p>
    <w:p w14:paraId="4A9FD22A" w14:textId="2FADD4F4" w:rsidR="004B6780" w:rsidRDefault="004B6780" w:rsidP="004B6780">
      <w:pPr>
        <w:pStyle w:val="Norma"/>
      </w:pPr>
      <w:r>
        <w:t xml:space="preserve">This measure is applicable </w:t>
      </w:r>
      <w:r w:rsidR="002B108B">
        <w:t>in</w:t>
      </w:r>
      <w:r>
        <w:t xml:space="preserve"> </w:t>
      </w:r>
      <w:r w:rsidR="0082533C">
        <w:t xml:space="preserve">all </w:t>
      </w:r>
      <w:r>
        <w:t>California climate zones.</w:t>
      </w:r>
    </w:p>
    <w:p w14:paraId="34FF761D" w14:textId="77777777" w:rsidR="006C41AD" w:rsidRPr="004B06E3" w:rsidRDefault="006C41AD" w:rsidP="004B06E3">
      <w:pPr>
        <w:pStyle w:val="Norma"/>
      </w:pPr>
    </w:p>
    <w:p w14:paraId="47630D60" w14:textId="77777777" w:rsidR="007D230B" w:rsidRPr="004B06E3" w:rsidRDefault="007D230B" w:rsidP="00462BB6">
      <w:pPr>
        <w:pStyle w:val="eTRMHeading3"/>
      </w:pPr>
      <w:bookmarkStart w:id="37" w:name="_Toc486490853"/>
      <w:bookmarkStart w:id="38" w:name="_Toc486580924"/>
      <w:bookmarkStart w:id="39" w:name="_Toc60150599"/>
      <w:bookmarkStart w:id="40" w:name="_Toc60310473"/>
      <w:r w:rsidRPr="004B06E3">
        <w:t>Program Exclusions</w:t>
      </w:r>
      <w:bookmarkEnd w:id="37"/>
      <w:bookmarkEnd w:id="38"/>
      <w:bookmarkEnd w:id="39"/>
      <w:bookmarkEnd w:id="40"/>
      <w:r w:rsidRPr="004B06E3">
        <w:t xml:space="preserve"> </w:t>
      </w:r>
    </w:p>
    <w:p w14:paraId="6F2B4656" w14:textId="7B839AE3" w:rsidR="007C35A9" w:rsidRPr="00E540DE" w:rsidRDefault="00E540DE" w:rsidP="004B06E3">
      <w:pPr>
        <w:pStyle w:val="Norma"/>
      </w:pPr>
      <w:r w:rsidRPr="00E540DE">
        <w:t>None.</w:t>
      </w:r>
    </w:p>
    <w:p w14:paraId="02D9E5AA" w14:textId="77777777" w:rsidR="00E540DE" w:rsidRPr="004B06E3" w:rsidRDefault="00E540DE" w:rsidP="004B06E3">
      <w:pPr>
        <w:pStyle w:val="Norma"/>
      </w:pPr>
    </w:p>
    <w:p w14:paraId="655E299F" w14:textId="77777777" w:rsidR="007D230B" w:rsidRPr="004B06E3" w:rsidRDefault="007D230B" w:rsidP="00462BB6">
      <w:pPr>
        <w:pStyle w:val="eTRMHeading3"/>
      </w:pPr>
      <w:bookmarkStart w:id="41" w:name="_Toc486490854"/>
      <w:bookmarkStart w:id="42" w:name="_Toc486580925"/>
      <w:bookmarkStart w:id="43" w:name="_Toc60150600"/>
      <w:bookmarkStart w:id="44" w:name="_Toc60310474"/>
      <w:r w:rsidRPr="004B06E3">
        <w:t>Data Collection Requirements</w:t>
      </w:r>
      <w:bookmarkEnd w:id="41"/>
      <w:bookmarkEnd w:id="42"/>
      <w:bookmarkEnd w:id="43"/>
      <w:bookmarkEnd w:id="44"/>
      <w:r w:rsidRPr="004B06E3">
        <w:t xml:space="preserve"> </w:t>
      </w:r>
    </w:p>
    <w:p w14:paraId="55084908" w14:textId="7CF48B90" w:rsidR="00BC5393" w:rsidRDefault="00DC52B0" w:rsidP="004B06E3">
      <w:pPr>
        <w:pStyle w:val="Norma"/>
      </w:pPr>
      <w:r w:rsidRPr="00DC52B0">
        <w:t>For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4C9B152A" w14:textId="569BB62E" w:rsidR="000B2680" w:rsidRPr="000B2680" w:rsidRDefault="000B2680" w:rsidP="004B06E3">
      <w:pPr>
        <w:pStyle w:val="Norma"/>
        <w:rPr>
          <w:i/>
        </w:rPr>
      </w:pPr>
      <w:r>
        <w:t xml:space="preserve">Documentation may be required, such as the </w:t>
      </w:r>
      <w:r w:rsidRPr="006C7B9F">
        <w:t xml:space="preserve">manufacturer specification sheet </w:t>
      </w:r>
      <w:r>
        <w:t>that lists</w:t>
      </w:r>
      <w:r w:rsidRPr="006C7B9F">
        <w:t xml:space="preserve"> the boiler type, input rating</w:t>
      </w:r>
      <w:r>
        <w:t>,</w:t>
      </w:r>
      <w:r w:rsidRPr="006C7B9F">
        <w:t xml:space="preserve"> and efficiency rating.</w:t>
      </w:r>
    </w:p>
    <w:p w14:paraId="1A0C79C1" w14:textId="77777777" w:rsidR="00DB2962" w:rsidRPr="004B06E3" w:rsidRDefault="00DB2962" w:rsidP="004B06E3">
      <w:pPr>
        <w:pStyle w:val="Norma"/>
      </w:pPr>
    </w:p>
    <w:p w14:paraId="4891FCAB" w14:textId="77777777" w:rsidR="007D230B" w:rsidRPr="004B06E3" w:rsidRDefault="007D230B" w:rsidP="00462BB6">
      <w:pPr>
        <w:pStyle w:val="eTRMHeading3"/>
      </w:pPr>
      <w:bookmarkStart w:id="45" w:name="_Toc486490855"/>
      <w:bookmarkStart w:id="46" w:name="_Toc486580926"/>
      <w:bookmarkStart w:id="47" w:name="_Toc60150601"/>
      <w:bookmarkStart w:id="48" w:name="_Toc60310475"/>
      <w:r w:rsidRPr="004B06E3">
        <w:t>Use Category</w:t>
      </w:r>
      <w:bookmarkEnd w:id="45"/>
      <w:bookmarkEnd w:id="46"/>
      <w:bookmarkEnd w:id="47"/>
      <w:bookmarkEnd w:id="48"/>
    </w:p>
    <w:p w14:paraId="13382FF9" w14:textId="3946B975" w:rsidR="004142EF" w:rsidRDefault="00132E1A" w:rsidP="004B06E3">
      <w:pPr>
        <w:pStyle w:val="Norma"/>
      </w:pPr>
      <w:r>
        <w:t>HVAC</w:t>
      </w:r>
    </w:p>
    <w:p w14:paraId="69458728" w14:textId="77777777" w:rsidR="00132E1A" w:rsidRPr="004B06E3" w:rsidRDefault="00132E1A" w:rsidP="004B06E3">
      <w:pPr>
        <w:pStyle w:val="Norma"/>
      </w:pPr>
    </w:p>
    <w:p w14:paraId="4B62D367" w14:textId="1BB7FD99" w:rsidR="007D230B" w:rsidRDefault="007D230B" w:rsidP="00462BB6">
      <w:pPr>
        <w:pStyle w:val="eTRMHeading3"/>
      </w:pPr>
      <w:bookmarkStart w:id="49" w:name="_Toc486490857"/>
      <w:bookmarkStart w:id="50" w:name="_Toc486580928"/>
      <w:bookmarkStart w:id="51" w:name="_Toc60150602"/>
      <w:bookmarkStart w:id="52" w:name="_Toc60310476"/>
      <w:r w:rsidRPr="004B06E3">
        <w:lastRenderedPageBreak/>
        <w:t>Electric Savings</w:t>
      </w:r>
      <w:r w:rsidR="00245AFF" w:rsidRPr="004B06E3">
        <w:t xml:space="preserve"> (</w:t>
      </w:r>
      <w:r w:rsidR="00E14349" w:rsidRPr="0069555E">
        <w:rPr>
          <w:caps w:val="0"/>
        </w:rPr>
        <w:t>k</w:t>
      </w:r>
      <w:r w:rsidR="00245AFF" w:rsidRPr="0069555E">
        <w:rPr>
          <w:caps w:val="0"/>
        </w:rPr>
        <w:t>Wh</w:t>
      </w:r>
      <w:r w:rsidR="00245AFF" w:rsidRPr="004B06E3">
        <w:t>)</w:t>
      </w:r>
      <w:bookmarkEnd w:id="49"/>
      <w:bookmarkEnd w:id="50"/>
      <w:bookmarkEnd w:id="51"/>
      <w:bookmarkEnd w:id="52"/>
    </w:p>
    <w:p w14:paraId="03815842" w14:textId="7C50618A" w:rsidR="00C831AC" w:rsidRPr="00DC52B0" w:rsidRDefault="00C831AC" w:rsidP="00DC52B0">
      <w:pPr>
        <w:pStyle w:val="eTRMHeading4"/>
        <w:rPr>
          <w:caps/>
        </w:rPr>
      </w:pPr>
      <w:r>
        <w:rPr>
          <w:rFonts w:eastAsiaTheme="minorEastAsia" w:cstheme="minorBidi"/>
          <w:color w:val="auto"/>
          <w:sz w:val="22"/>
          <w:szCs w:val="24"/>
        </w:rPr>
        <w:t>Electric impacts are approved for condensing boilers</w:t>
      </w:r>
      <w:r w:rsidRPr="00C831AC">
        <w:rPr>
          <w:rFonts w:eastAsiaTheme="minorEastAsia" w:cstheme="minorBidi"/>
          <w:color w:val="auto"/>
          <w:sz w:val="22"/>
          <w:szCs w:val="24"/>
        </w:rPr>
        <w:t xml:space="preserve"> measure</w:t>
      </w:r>
      <w:r>
        <w:rPr>
          <w:rFonts w:eastAsiaTheme="minorEastAsia" w:cstheme="minorBidi"/>
          <w:color w:val="auto"/>
          <w:sz w:val="22"/>
          <w:szCs w:val="24"/>
        </w:rPr>
        <w:t>s</w:t>
      </w:r>
      <w:r w:rsidRPr="00C831AC">
        <w:rPr>
          <w:rFonts w:eastAsiaTheme="minorEastAsia" w:cstheme="minorBidi"/>
          <w:color w:val="auto"/>
          <w:sz w:val="22"/>
          <w:szCs w:val="24"/>
        </w:rPr>
        <w:t xml:space="preserve"> in the 2020 version of the Database for Energy Efficient Resources (DEER). </w:t>
      </w:r>
      <w:r>
        <w:rPr>
          <w:rFonts w:eastAsiaTheme="minorEastAsia" w:cstheme="minorBidi"/>
          <w:color w:val="auto"/>
          <w:sz w:val="22"/>
          <w:szCs w:val="24"/>
        </w:rPr>
        <w:t>See Gas Savings section for DEER IDs.</w:t>
      </w:r>
    </w:p>
    <w:p w14:paraId="42EFE894" w14:textId="77777777" w:rsidR="00A2295F" w:rsidRDefault="00A2295F" w:rsidP="00A2295F">
      <w:pPr>
        <w:pStyle w:val="Norma"/>
      </w:pPr>
    </w:p>
    <w:p w14:paraId="46B7702E" w14:textId="25E7DA7A" w:rsidR="00BB4F22" w:rsidRPr="004B06E3" w:rsidRDefault="00BB4F22" w:rsidP="00BB4F22">
      <w:pPr>
        <w:pStyle w:val="eTRMHeading3"/>
      </w:pPr>
      <w:bookmarkStart w:id="53" w:name="_Toc486490856"/>
      <w:bookmarkStart w:id="54" w:name="_Toc486580927"/>
      <w:bookmarkStart w:id="55" w:name="_Toc60150603"/>
      <w:bookmarkStart w:id="56" w:name="_Toc60310477"/>
      <w:r w:rsidRPr="004B06E3">
        <w:t>Peak Electric Demand Reduction (</w:t>
      </w:r>
      <w:r w:rsidRPr="0069555E">
        <w:rPr>
          <w:caps w:val="0"/>
        </w:rPr>
        <w:t>kW</w:t>
      </w:r>
      <w:r w:rsidRPr="004B06E3">
        <w:t>)</w:t>
      </w:r>
      <w:bookmarkEnd w:id="53"/>
      <w:bookmarkEnd w:id="54"/>
      <w:bookmarkEnd w:id="55"/>
      <w:bookmarkEnd w:id="56"/>
    </w:p>
    <w:p w14:paraId="4169D31C" w14:textId="50976577" w:rsidR="00890293" w:rsidRDefault="00135085" w:rsidP="00AD6076">
      <w:pPr>
        <w:pStyle w:val="Norma"/>
        <w:rPr>
          <w:rFonts w:asciiTheme="minorHAnsi" w:hAnsiTheme="minorHAnsi"/>
          <w:szCs w:val="22"/>
        </w:rPr>
      </w:pPr>
      <w:r>
        <w:t xml:space="preserve">There is </w:t>
      </w:r>
      <w:r w:rsidR="007571F1">
        <w:t xml:space="preserve">peak demand reduction approved for </w:t>
      </w:r>
      <w:r>
        <w:t>this measure in the 2020 version of the Database for Energy Efficient Resources (DEER).</w:t>
      </w:r>
      <w:r w:rsidR="007571F1">
        <w:t xml:space="preserve"> </w:t>
      </w:r>
    </w:p>
    <w:p w14:paraId="46FF3B3A" w14:textId="77777777" w:rsidR="00BA26E3" w:rsidRDefault="00BA26E3" w:rsidP="00BA26E3">
      <w:pPr>
        <w:pStyle w:val="Reminders"/>
        <w:rPr>
          <w:rFonts w:asciiTheme="minorHAnsi" w:hAnsiTheme="minorHAnsi" w:cstheme="minorHAnsi"/>
          <w:i w:val="0"/>
          <w:color w:val="auto"/>
          <w:szCs w:val="22"/>
        </w:rPr>
      </w:pPr>
    </w:p>
    <w:p w14:paraId="02E97124" w14:textId="77777777" w:rsidR="00177EB6" w:rsidRPr="004B06E3" w:rsidRDefault="00177EB6" w:rsidP="00177EB6">
      <w:pPr>
        <w:pStyle w:val="eTRMHeading3"/>
      </w:pPr>
      <w:bookmarkStart w:id="57" w:name="_Toc486490858"/>
      <w:bookmarkStart w:id="58" w:name="_Toc486580929"/>
      <w:bookmarkStart w:id="59" w:name="_Toc60150604"/>
      <w:bookmarkStart w:id="60" w:name="_Toc60310478"/>
      <w:r w:rsidRPr="004B06E3">
        <w:t>Gas Savings (</w:t>
      </w:r>
      <w:proofErr w:type="spellStart"/>
      <w:r w:rsidRPr="0069555E">
        <w:rPr>
          <w:caps w:val="0"/>
        </w:rPr>
        <w:t>Therms</w:t>
      </w:r>
      <w:proofErr w:type="spellEnd"/>
      <w:r w:rsidRPr="004B06E3">
        <w:t>)</w:t>
      </w:r>
      <w:bookmarkEnd w:id="57"/>
      <w:bookmarkEnd w:id="58"/>
      <w:bookmarkEnd w:id="59"/>
      <w:bookmarkEnd w:id="60"/>
    </w:p>
    <w:p w14:paraId="1A9398CD" w14:textId="77777777" w:rsidR="00A2295F" w:rsidRDefault="00A2295F" w:rsidP="00A2295F">
      <w:pPr>
        <w:pStyle w:val="eTRMHeading4"/>
      </w:pPr>
      <w:r>
        <w:t>Commercial</w:t>
      </w:r>
    </w:p>
    <w:p w14:paraId="2B59B688" w14:textId="13FC11CC" w:rsidR="00A2295F" w:rsidRDefault="00A2295F" w:rsidP="00A2295F">
      <w:pPr>
        <w:pStyle w:val="Norma"/>
        <w:spacing w:before="0" w:after="0" w:line="240" w:lineRule="auto"/>
        <w:rPr>
          <w:rFonts w:asciiTheme="minorHAnsi" w:hAnsiTheme="minorHAnsi"/>
          <w:szCs w:val="22"/>
        </w:rPr>
      </w:pPr>
      <w:r>
        <w:t xml:space="preserve">The </w:t>
      </w:r>
      <w:r w:rsidR="00890293">
        <w:t>gas</w:t>
      </w:r>
      <w:r w:rsidRPr="00370595">
        <w:t xml:space="preserve"> energy savings </w:t>
      </w:r>
      <w:r>
        <w:t>of a space heating boiler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5466DB">
        <w:t xml:space="preserve">DEER </w:t>
      </w:r>
      <w:bookmarkStart w:id="61" w:name="_Hlk502507659"/>
      <w:r w:rsidR="00D475EA" w:rsidRPr="005466DB">
        <w:t>2020</w:t>
      </w:r>
      <w:r w:rsidR="00C831AC">
        <w:t>.</w:t>
      </w:r>
      <w:r w:rsidRPr="005466DB">
        <w:t xml:space="preserve"> </w:t>
      </w:r>
      <w:bookmarkEnd w:id="61"/>
      <w:r w:rsidRPr="00006F8E">
        <w:t>The results were reported in the Remote Ex-Ante Database Interface (READI) tool</w:t>
      </w:r>
      <w:r w:rsidR="00EE2E9B">
        <w:t xml:space="preserve"> </w:t>
      </w:r>
      <w:r w:rsidR="00EE2E9B" w:rsidRPr="00BB1979">
        <w:t>(version v.2.5.1)</w:t>
      </w:r>
      <w:r w:rsidRPr="00006F8E">
        <w:t>; the</w:t>
      </w:r>
      <w:r w:rsidRPr="00AB4637">
        <w:t xml:space="preserve"> results have not been modified.</w:t>
      </w:r>
      <w:r w:rsidR="00A60FE5">
        <w:t xml:space="preserve"> Building HVAC type </w:t>
      </w:r>
      <w:proofErr w:type="spellStart"/>
      <w:r w:rsidR="0043117B">
        <w:t>cAVVG</w:t>
      </w:r>
      <w:proofErr w:type="spellEnd"/>
      <w:r w:rsidR="00A60FE5">
        <w:t xml:space="preserve"> was</w:t>
      </w:r>
      <w:r w:rsidR="00DB5A6F">
        <w:t xml:space="preserve"> selected</w:t>
      </w:r>
      <w:r w:rsidR="00A60FE5">
        <w:t xml:space="preserve"> for all measures.</w:t>
      </w:r>
    </w:p>
    <w:p w14:paraId="2BBC52E1" w14:textId="43AA0D4E" w:rsidR="00A2295F" w:rsidRPr="00B6432B" w:rsidRDefault="000A64F6" w:rsidP="000A64F6">
      <w:pPr>
        <w:pStyle w:val="eTRMTextBoxTitle"/>
      </w:pPr>
      <w:r>
        <w:t xml:space="preserve">Statewide Measure Offering IDs and </w:t>
      </w:r>
      <w:r w:rsidR="00A2295F">
        <w:t xml:space="preserve">DEER </w:t>
      </w:r>
      <w:r>
        <w:t>Energy Impact</w:t>
      </w:r>
      <w:r w:rsidR="00A2295F">
        <w:t xml:space="preserve"> IDs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050"/>
        <w:gridCol w:w="4426"/>
        <w:gridCol w:w="2874"/>
      </w:tblGrid>
      <w:tr w:rsidR="003B6C83" w:rsidRPr="00C14A17" w14:paraId="412A9099" w14:textId="77777777" w:rsidTr="00A67BC0">
        <w:trPr>
          <w:tblHeader/>
        </w:trPr>
        <w:tc>
          <w:tcPr>
            <w:tcW w:w="1096" w:type="pct"/>
            <w:shd w:val="clear" w:color="auto" w:fill="F2F2F2" w:themeFill="background1" w:themeFillShade="F2"/>
          </w:tcPr>
          <w:p w14:paraId="3EFD95E2" w14:textId="5A069CF5" w:rsidR="003B6C83" w:rsidRPr="00B6432B" w:rsidRDefault="00811170" w:rsidP="000A64F6">
            <w:pPr>
              <w:pStyle w:val="Norma"/>
              <w:spacing w:before="0" w:after="0" w:line="240" w:lineRule="auto"/>
              <w:jc w:val="center"/>
              <w:rPr>
                <w:rFonts w:cstheme="minorHAnsi"/>
                <w:b/>
                <w:sz w:val="20"/>
              </w:rPr>
            </w:pPr>
            <w:r>
              <w:rPr>
                <w:rFonts w:cstheme="minorHAnsi"/>
                <w:b/>
                <w:sz w:val="20"/>
              </w:rPr>
              <w:t xml:space="preserve">Statewide </w:t>
            </w:r>
            <w:r w:rsidR="000A64F6">
              <w:rPr>
                <w:rFonts w:cstheme="minorHAnsi"/>
                <w:b/>
                <w:sz w:val="20"/>
              </w:rPr>
              <w:t xml:space="preserve">Measure </w:t>
            </w:r>
            <w:r>
              <w:rPr>
                <w:rFonts w:cstheme="minorHAnsi"/>
                <w:b/>
                <w:sz w:val="20"/>
              </w:rPr>
              <w:t>Offering ID</w:t>
            </w:r>
          </w:p>
        </w:tc>
        <w:tc>
          <w:tcPr>
            <w:tcW w:w="2367" w:type="pct"/>
            <w:shd w:val="clear" w:color="auto" w:fill="F2F2F2" w:themeFill="background1" w:themeFillShade="F2"/>
            <w:vAlign w:val="bottom"/>
          </w:tcPr>
          <w:p w14:paraId="72C4428C" w14:textId="450DDB22" w:rsidR="003B6C83" w:rsidRPr="00B6432B" w:rsidRDefault="003B6C83" w:rsidP="000A64F6">
            <w:pPr>
              <w:pStyle w:val="Norma"/>
              <w:spacing w:before="0" w:after="0" w:line="240" w:lineRule="auto"/>
              <w:jc w:val="center"/>
              <w:rPr>
                <w:rFonts w:cstheme="minorHAnsi"/>
                <w:b/>
                <w:sz w:val="20"/>
              </w:rPr>
            </w:pPr>
            <w:r w:rsidRPr="00B6432B">
              <w:rPr>
                <w:rFonts w:cstheme="minorHAnsi"/>
                <w:b/>
                <w:sz w:val="20"/>
              </w:rPr>
              <w:t>Measure Offering</w:t>
            </w:r>
            <w:r w:rsidR="000A64F6">
              <w:rPr>
                <w:rFonts w:cstheme="minorHAnsi"/>
                <w:b/>
                <w:sz w:val="20"/>
              </w:rPr>
              <w:t xml:space="preserve"> Description</w:t>
            </w:r>
          </w:p>
        </w:tc>
        <w:tc>
          <w:tcPr>
            <w:tcW w:w="1537" w:type="pct"/>
            <w:shd w:val="clear" w:color="auto" w:fill="F2F2F2" w:themeFill="background1" w:themeFillShade="F2"/>
            <w:vAlign w:val="bottom"/>
          </w:tcPr>
          <w:p w14:paraId="6E39F9A1" w14:textId="1BAAADEA" w:rsidR="003B6C83" w:rsidRPr="00B6432B" w:rsidRDefault="003B6C83" w:rsidP="000A64F6">
            <w:pPr>
              <w:pStyle w:val="Norma"/>
              <w:spacing w:before="0" w:after="0" w:line="240" w:lineRule="auto"/>
              <w:jc w:val="center"/>
              <w:rPr>
                <w:rFonts w:cstheme="minorHAnsi"/>
                <w:b/>
                <w:sz w:val="20"/>
                <w:highlight w:val="yellow"/>
              </w:rPr>
            </w:pPr>
            <w:r w:rsidRPr="00B6432B">
              <w:rPr>
                <w:rFonts w:cstheme="minorHAnsi"/>
                <w:b/>
                <w:sz w:val="20"/>
              </w:rPr>
              <w:t xml:space="preserve">DEER </w:t>
            </w:r>
            <w:r w:rsidR="000A64F6">
              <w:rPr>
                <w:rFonts w:cstheme="minorHAnsi"/>
                <w:b/>
                <w:sz w:val="20"/>
              </w:rPr>
              <w:t>Energy Impact</w:t>
            </w:r>
            <w:r w:rsidRPr="00B6432B">
              <w:rPr>
                <w:rFonts w:cstheme="minorHAnsi"/>
                <w:b/>
                <w:sz w:val="20"/>
              </w:rPr>
              <w:t xml:space="preserve"> ID</w:t>
            </w:r>
          </w:p>
        </w:tc>
      </w:tr>
      <w:tr w:rsidR="006A4F24" w:rsidRPr="00C14A17" w14:paraId="5DDFDCFC" w14:textId="77777777" w:rsidTr="00A67BC0">
        <w:tc>
          <w:tcPr>
            <w:tcW w:w="1096" w:type="pct"/>
            <w:vAlign w:val="center"/>
          </w:tcPr>
          <w:p w14:paraId="016B9680" w14:textId="4E4AF343" w:rsidR="006A4F24" w:rsidRPr="003011BB" w:rsidRDefault="006A4F24" w:rsidP="00A67BC0">
            <w:pPr>
              <w:pStyle w:val="Norma"/>
              <w:spacing w:before="0" w:after="0"/>
              <w:rPr>
                <w:sz w:val="20"/>
              </w:rPr>
            </w:pPr>
            <w:r w:rsidRPr="003011BB">
              <w:rPr>
                <w:rFonts w:cstheme="minorBidi"/>
                <w:sz w:val="20"/>
              </w:rPr>
              <w:t>SWHC004B</w:t>
            </w:r>
          </w:p>
        </w:tc>
        <w:tc>
          <w:tcPr>
            <w:tcW w:w="2367" w:type="pct"/>
            <w:vAlign w:val="center"/>
          </w:tcPr>
          <w:p w14:paraId="1779515E" w14:textId="7705CCA4" w:rsidR="006A4F24" w:rsidRPr="005466DB" w:rsidRDefault="006A4F24" w:rsidP="00A67BC0">
            <w:pPr>
              <w:pStyle w:val="Norma"/>
              <w:spacing w:before="0" w:after="0"/>
              <w:rPr>
                <w:sz w:val="20"/>
              </w:rPr>
            </w:pPr>
            <w:r w:rsidRPr="005466DB">
              <w:rPr>
                <w:rFonts w:cstheme="minorBidi"/>
                <w:sz w:val="20"/>
              </w:rPr>
              <w:t xml:space="preserve">Hot water boiler (300 - 2500 </w:t>
            </w:r>
            <w:proofErr w:type="spellStart"/>
            <w:r w:rsidRPr="005466DB">
              <w:rPr>
                <w:rFonts w:cstheme="minorBidi"/>
                <w:sz w:val="20"/>
              </w:rPr>
              <w:t>kBtuh</w:t>
            </w:r>
            <w:proofErr w:type="spellEnd"/>
            <w:r w:rsidRPr="005466DB">
              <w:rPr>
                <w:rFonts w:cstheme="minorBidi"/>
                <w:sz w:val="20"/>
              </w:rPr>
              <w:t>, 85.0 Et, OA Reset from 140 to 165 F)</w:t>
            </w:r>
          </w:p>
        </w:tc>
        <w:tc>
          <w:tcPr>
            <w:tcW w:w="1537" w:type="pct"/>
            <w:vAlign w:val="center"/>
          </w:tcPr>
          <w:p w14:paraId="243344B7" w14:textId="3488B58D" w:rsidR="006A4F24" w:rsidRPr="005466DB" w:rsidRDefault="006A4F24" w:rsidP="00A67BC0">
            <w:pPr>
              <w:pStyle w:val="Norma"/>
              <w:spacing w:before="0" w:after="0"/>
              <w:rPr>
                <w:sz w:val="20"/>
              </w:rPr>
            </w:pPr>
            <w:r w:rsidRPr="005466DB">
              <w:rPr>
                <w:rFonts w:cstheme="minorBidi"/>
                <w:sz w:val="20"/>
              </w:rPr>
              <w:t>NG-HVAC-Blr-HW-300to2500kBtuh-85p0Et-Drft</w:t>
            </w:r>
          </w:p>
        </w:tc>
      </w:tr>
      <w:tr w:rsidR="006A4F24" w:rsidRPr="00C14A17" w14:paraId="1BD88C2A" w14:textId="77777777" w:rsidTr="00A67BC0">
        <w:tc>
          <w:tcPr>
            <w:tcW w:w="1096" w:type="pct"/>
            <w:vAlign w:val="center"/>
          </w:tcPr>
          <w:p w14:paraId="41A7E4A3" w14:textId="7BA9B35E" w:rsidR="006A4F24" w:rsidRPr="00737DBC" w:rsidRDefault="006A4F24" w:rsidP="00A67BC0">
            <w:pPr>
              <w:pStyle w:val="Norma"/>
              <w:spacing w:before="0" w:after="0"/>
              <w:rPr>
                <w:rFonts w:cstheme="minorBidi"/>
                <w:sz w:val="20"/>
              </w:rPr>
            </w:pPr>
            <w:bookmarkStart w:id="62" w:name="_Hlk60309249"/>
            <w:r w:rsidRPr="003011BB">
              <w:rPr>
                <w:sz w:val="20"/>
              </w:rPr>
              <w:t>SWHC004C</w:t>
            </w:r>
          </w:p>
        </w:tc>
        <w:tc>
          <w:tcPr>
            <w:tcW w:w="2367" w:type="pct"/>
            <w:vAlign w:val="center"/>
          </w:tcPr>
          <w:p w14:paraId="18FA01D8" w14:textId="3853127D" w:rsidR="006A4F24" w:rsidRPr="00737DBC" w:rsidRDefault="006A4F24" w:rsidP="00A67BC0">
            <w:pPr>
              <w:pStyle w:val="Norma"/>
              <w:spacing w:before="0" w:after="0"/>
              <w:rPr>
                <w:rFonts w:cstheme="minorBidi"/>
                <w:sz w:val="20"/>
              </w:rPr>
            </w:pPr>
            <w:r w:rsidRPr="005466DB">
              <w:rPr>
                <w:rFonts w:cstheme="minorBidi"/>
                <w:sz w:val="20"/>
              </w:rPr>
              <w:t xml:space="preserve">Hot water boiler (300 - 2500 </w:t>
            </w:r>
            <w:proofErr w:type="spellStart"/>
            <w:r w:rsidRPr="005466DB">
              <w:rPr>
                <w:rFonts w:cstheme="minorBidi"/>
                <w:sz w:val="20"/>
              </w:rPr>
              <w:t>kBtuh</w:t>
            </w:r>
            <w:proofErr w:type="spellEnd"/>
            <w:r w:rsidRPr="005466DB">
              <w:rPr>
                <w:rFonts w:cstheme="minorBidi"/>
                <w:sz w:val="20"/>
              </w:rPr>
              <w:t>, 94.0 Et, condensing, OA reset from 140 to 165 F)</w:t>
            </w:r>
          </w:p>
        </w:tc>
        <w:tc>
          <w:tcPr>
            <w:tcW w:w="1537" w:type="pct"/>
            <w:vAlign w:val="center"/>
          </w:tcPr>
          <w:p w14:paraId="4A258127" w14:textId="65F90A44" w:rsidR="006A4F24" w:rsidRPr="00737DBC" w:rsidRDefault="006A4F24" w:rsidP="00A67BC0">
            <w:pPr>
              <w:pStyle w:val="Norma"/>
              <w:spacing w:before="0" w:after="0"/>
              <w:rPr>
                <w:rFonts w:cstheme="minorBidi"/>
                <w:sz w:val="20"/>
              </w:rPr>
            </w:pPr>
            <w:r w:rsidRPr="005466DB">
              <w:rPr>
                <w:rFonts w:cstheme="minorBidi"/>
                <w:sz w:val="20"/>
              </w:rPr>
              <w:t>NG-HVAC-Blr-HW-300to2500kBtuh-94p0Et-CndStd</w:t>
            </w:r>
          </w:p>
        </w:tc>
      </w:tr>
      <w:bookmarkEnd w:id="62"/>
      <w:tr w:rsidR="006A4F24" w:rsidRPr="00C14A17" w14:paraId="0A73AEF0" w14:textId="77777777" w:rsidTr="00A67BC0">
        <w:tc>
          <w:tcPr>
            <w:tcW w:w="1096" w:type="pct"/>
            <w:vAlign w:val="center"/>
          </w:tcPr>
          <w:p w14:paraId="1B5E045D" w14:textId="645E02A1" w:rsidR="006A4F24" w:rsidRPr="00737DBC" w:rsidRDefault="006A4F24" w:rsidP="00A67BC0">
            <w:pPr>
              <w:pStyle w:val="Norma"/>
              <w:spacing w:before="0" w:after="0"/>
              <w:rPr>
                <w:rFonts w:cstheme="minorBidi"/>
                <w:sz w:val="20"/>
              </w:rPr>
            </w:pPr>
            <w:r w:rsidRPr="003011BB">
              <w:rPr>
                <w:sz w:val="20"/>
              </w:rPr>
              <w:t>SWHC004D</w:t>
            </w:r>
          </w:p>
        </w:tc>
        <w:tc>
          <w:tcPr>
            <w:tcW w:w="2367" w:type="pct"/>
            <w:vAlign w:val="center"/>
          </w:tcPr>
          <w:p w14:paraId="5D85D650" w14:textId="2818EA40" w:rsidR="006A4F24" w:rsidRPr="00737DBC" w:rsidRDefault="006A4F24" w:rsidP="00A67BC0">
            <w:pPr>
              <w:pStyle w:val="Norma"/>
              <w:spacing w:before="0" w:after="0"/>
              <w:rPr>
                <w:rFonts w:cstheme="minorBidi"/>
                <w:sz w:val="20"/>
              </w:rPr>
            </w:pPr>
            <w:r w:rsidRPr="003D6F12">
              <w:rPr>
                <w:rFonts w:cstheme="minorBidi"/>
                <w:sz w:val="20"/>
              </w:rPr>
              <w:t xml:space="preserve">Hot water boiler (300 - 2500 </w:t>
            </w:r>
            <w:proofErr w:type="spellStart"/>
            <w:r w:rsidRPr="003D6F12">
              <w:rPr>
                <w:rFonts w:cstheme="minorBidi"/>
                <w:sz w:val="20"/>
              </w:rPr>
              <w:t>kBtuh</w:t>
            </w:r>
            <w:proofErr w:type="spellEnd"/>
            <w:r w:rsidRPr="003D6F12">
              <w:rPr>
                <w:rFonts w:cstheme="minorBidi"/>
                <w:sz w:val="20"/>
              </w:rPr>
              <w:t>, 94.0 Et, condensing, OA reset from 115 to 140 F)</w:t>
            </w:r>
          </w:p>
        </w:tc>
        <w:tc>
          <w:tcPr>
            <w:tcW w:w="1537" w:type="pct"/>
            <w:vAlign w:val="center"/>
          </w:tcPr>
          <w:p w14:paraId="727B9799" w14:textId="5EDF5B2F" w:rsidR="006A4F24" w:rsidRPr="00737DBC" w:rsidRDefault="006A4F24" w:rsidP="00A67BC0">
            <w:pPr>
              <w:pStyle w:val="Norma"/>
              <w:spacing w:before="0" w:after="0"/>
              <w:rPr>
                <w:rFonts w:cstheme="minorBidi"/>
                <w:sz w:val="20"/>
              </w:rPr>
            </w:pPr>
            <w:r w:rsidRPr="00483944">
              <w:rPr>
                <w:rFonts w:cstheme="minorBidi"/>
                <w:sz w:val="20"/>
              </w:rPr>
              <w:t>NG-HVAC-Blr-HW-300to2500kBtuh-94p0Et-CndLow</w:t>
            </w:r>
          </w:p>
        </w:tc>
      </w:tr>
      <w:tr w:rsidR="006A4F24" w:rsidRPr="00C14A17" w14:paraId="53ACED5A" w14:textId="77777777" w:rsidTr="00A67BC0">
        <w:tc>
          <w:tcPr>
            <w:tcW w:w="1096" w:type="pct"/>
            <w:vAlign w:val="center"/>
          </w:tcPr>
          <w:p w14:paraId="4E50023F" w14:textId="39BA1448" w:rsidR="006A4F24" w:rsidRPr="00737DBC" w:rsidRDefault="006A4F24" w:rsidP="00A67BC0">
            <w:pPr>
              <w:pStyle w:val="Norma"/>
              <w:spacing w:before="0" w:after="0"/>
              <w:rPr>
                <w:sz w:val="20"/>
              </w:rPr>
            </w:pPr>
            <w:r w:rsidRPr="003011BB">
              <w:rPr>
                <w:sz w:val="20"/>
              </w:rPr>
              <w:t>SWHC004E</w:t>
            </w:r>
          </w:p>
        </w:tc>
        <w:tc>
          <w:tcPr>
            <w:tcW w:w="2367" w:type="pct"/>
            <w:vAlign w:val="center"/>
          </w:tcPr>
          <w:p w14:paraId="130AE576" w14:textId="32A8F1D0" w:rsidR="006A4F24" w:rsidRPr="00737DBC" w:rsidRDefault="006A4F24" w:rsidP="00A67BC0">
            <w:pPr>
              <w:pStyle w:val="Norma"/>
              <w:spacing w:before="0" w:after="0"/>
              <w:rPr>
                <w:rFonts w:cstheme="minorBidi"/>
                <w:sz w:val="20"/>
              </w:rPr>
            </w:pPr>
            <w:r w:rsidRPr="00B07B1A">
              <w:rPr>
                <w:sz w:val="20"/>
              </w:rPr>
              <w:t xml:space="preserve">Hot water boiler (&gt; 2500 </w:t>
            </w:r>
            <w:proofErr w:type="spellStart"/>
            <w:r w:rsidRPr="00B07B1A">
              <w:rPr>
                <w:sz w:val="20"/>
              </w:rPr>
              <w:t>kBtuh</w:t>
            </w:r>
            <w:proofErr w:type="spellEnd"/>
            <w:r w:rsidRPr="00B07B1A">
              <w:rPr>
                <w:sz w:val="20"/>
              </w:rPr>
              <w:t>, 83.0 Et, 85.0Ec, OA Reset from 140 to 165 F)</w:t>
            </w:r>
          </w:p>
        </w:tc>
        <w:tc>
          <w:tcPr>
            <w:tcW w:w="1537" w:type="pct"/>
            <w:vAlign w:val="center"/>
          </w:tcPr>
          <w:p w14:paraId="2411A328" w14:textId="1651825F" w:rsidR="006A4F24" w:rsidRPr="009A4D1C" w:rsidRDefault="006A4F24" w:rsidP="00A67BC0">
            <w:pPr>
              <w:pStyle w:val="Norma"/>
              <w:spacing w:before="0" w:after="0"/>
              <w:rPr>
                <w:rFonts w:cstheme="minorBidi"/>
                <w:sz w:val="20"/>
              </w:rPr>
            </w:pPr>
            <w:r w:rsidRPr="00B07B1A">
              <w:rPr>
                <w:rFonts w:cstheme="minorBidi"/>
                <w:sz w:val="20"/>
              </w:rPr>
              <w:t>NG-HVAC-Blr-HW-gt2500kBtuh-83p0Et-Drft</w:t>
            </w:r>
          </w:p>
        </w:tc>
      </w:tr>
      <w:tr w:rsidR="006A4F24" w:rsidRPr="00C14A17" w14:paraId="72878466" w14:textId="77777777" w:rsidTr="00A67BC0">
        <w:tc>
          <w:tcPr>
            <w:tcW w:w="1096" w:type="pct"/>
            <w:vAlign w:val="center"/>
          </w:tcPr>
          <w:p w14:paraId="4E74E61A" w14:textId="500326C4" w:rsidR="006A4F24" w:rsidRPr="00737DBC" w:rsidRDefault="006A4F24" w:rsidP="00A67BC0">
            <w:pPr>
              <w:pStyle w:val="Norma"/>
              <w:spacing w:before="0" w:after="0"/>
              <w:rPr>
                <w:sz w:val="20"/>
              </w:rPr>
            </w:pPr>
            <w:r w:rsidRPr="003011BB">
              <w:rPr>
                <w:sz w:val="20"/>
              </w:rPr>
              <w:t>SWHC004F</w:t>
            </w:r>
          </w:p>
        </w:tc>
        <w:tc>
          <w:tcPr>
            <w:tcW w:w="2367" w:type="pct"/>
            <w:vAlign w:val="center"/>
          </w:tcPr>
          <w:p w14:paraId="2C1A7BE6" w14:textId="3D3F8438" w:rsidR="006A4F24" w:rsidRPr="00737DBC" w:rsidRDefault="006A4F24" w:rsidP="00A67BC0">
            <w:pPr>
              <w:pStyle w:val="Norma"/>
              <w:spacing w:before="0" w:after="0"/>
              <w:rPr>
                <w:rFonts w:cstheme="minorBidi"/>
                <w:sz w:val="20"/>
              </w:rPr>
            </w:pPr>
            <w:r w:rsidRPr="00B07B1A">
              <w:rPr>
                <w:sz w:val="20"/>
              </w:rPr>
              <w:t xml:space="preserve">Hot water boiler (&gt; 2500 </w:t>
            </w:r>
            <w:proofErr w:type="spellStart"/>
            <w:r w:rsidRPr="00B07B1A">
              <w:rPr>
                <w:sz w:val="20"/>
              </w:rPr>
              <w:t>kBtuh</w:t>
            </w:r>
            <w:proofErr w:type="spellEnd"/>
            <w:r w:rsidRPr="00B07B1A">
              <w:rPr>
                <w:sz w:val="20"/>
              </w:rPr>
              <w:t>, 94.0 Et, condensing, OA reset from 140 to 165 F)</w:t>
            </w:r>
          </w:p>
        </w:tc>
        <w:tc>
          <w:tcPr>
            <w:tcW w:w="1537" w:type="pct"/>
            <w:vAlign w:val="center"/>
          </w:tcPr>
          <w:p w14:paraId="0F0FF71B" w14:textId="48C03CD3" w:rsidR="006A4F24" w:rsidRPr="009A4D1C" w:rsidRDefault="006A4F24" w:rsidP="00A67BC0">
            <w:pPr>
              <w:pStyle w:val="Norma"/>
              <w:spacing w:before="0" w:after="0"/>
              <w:rPr>
                <w:rFonts w:cstheme="minorBidi"/>
                <w:sz w:val="20"/>
              </w:rPr>
            </w:pPr>
            <w:r w:rsidRPr="00B07B1A">
              <w:rPr>
                <w:rFonts w:cstheme="minorBidi"/>
                <w:sz w:val="20"/>
              </w:rPr>
              <w:t>NG-HVAC-Blr-HW-gt2500kBtuh-94p0Et-CndStd</w:t>
            </w:r>
          </w:p>
        </w:tc>
      </w:tr>
      <w:tr w:rsidR="006A4F24" w:rsidRPr="00C14A17" w14:paraId="5DC7D245" w14:textId="77777777" w:rsidTr="00A67BC0">
        <w:tc>
          <w:tcPr>
            <w:tcW w:w="1096" w:type="pct"/>
            <w:vAlign w:val="center"/>
          </w:tcPr>
          <w:p w14:paraId="6DF57D00" w14:textId="11EA3463" w:rsidR="006A4F24" w:rsidRPr="00737DBC" w:rsidRDefault="006A4F24" w:rsidP="00A67BC0">
            <w:pPr>
              <w:pStyle w:val="Norma"/>
              <w:spacing w:before="0" w:after="0"/>
              <w:rPr>
                <w:sz w:val="20"/>
              </w:rPr>
            </w:pPr>
            <w:r w:rsidRPr="003011BB">
              <w:rPr>
                <w:sz w:val="20"/>
              </w:rPr>
              <w:t>SWHC004G</w:t>
            </w:r>
          </w:p>
        </w:tc>
        <w:tc>
          <w:tcPr>
            <w:tcW w:w="2367" w:type="pct"/>
            <w:vAlign w:val="center"/>
          </w:tcPr>
          <w:p w14:paraId="53EF22BB" w14:textId="60E86340" w:rsidR="006A4F24" w:rsidRPr="00737DBC" w:rsidRDefault="006A4F24" w:rsidP="00A67BC0">
            <w:pPr>
              <w:pStyle w:val="Norma"/>
              <w:spacing w:before="0" w:after="0"/>
              <w:rPr>
                <w:rFonts w:cstheme="minorBidi"/>
                <w:sz w:val="20"/>
              </w:rPr>
            </w:pPr>
            <w:r w:rsidRPr="004045A2">
              <w:rPr>
                <w:sz w:val="20"/>
              </w:rPr>
              <w:t xml:space="preserve">Hot water boiler (&gt; 2500 </w:t>
            </w:r>
            <w:proofErr w:type="spellStart"/>
            <w:r w:rsidRPr="004045A2">
              <w:rPr>
                <w:sz w:val="20"/>
              </w:rPr>
              <w:t>kBtuh</w:t>
            </w:r>
            <w:proofErr w:type="spellEnd"/>
            <w:r w:rsidRPr="004045A2">
              <w:rPr>
                <w:sz w:val="20"/>
              </w:rPr>
              <w:t>, 94.0 Et, condensing, OA reset from 115 to 140 F)</w:t>
            </w:r>
            <w:r>
              <w:rPr>
                <w:sz w:val="20"/>
              </w:rPr>
              <w:t xml:space="preserve"> </w:t>
            </w:r>
          </w:p>
        </w:tc>
        <w:tc>
          <w:tcPr>
            <w:tcW w:w="1537" w:type="pct"/>
            <w:vAlign w:val="center"/>
          </w:tcPr>
          <w:p w14:paraId="18144C82" w14:textId="4E346B4F" w:rsidR="006A4F24" w:rsidRPr="00737DBC" w:rsidRDefault="006A4F24" w:rsidP="00A67BC0">
            <w:pPr>
              <w:pStyle w:val="Norma"/>
              <w:spacing w:before="0" w:after="0"/>
              <w:rPr>
                <w:rFonts w:cstheme="minorBidi"/>
                <w:sz w:val="20"/>
              </w:rPr>
            </w:pPr>
            <w:r w:rsidRPr="003D6F12">
              <w:rPr>
                <w:rFonts w:cstheme="minorBidi"/>
                <w:sz w:val="20"/>
              </w:rPr>
              <w:t>NG-HVAC-Blr-HW-gt2500kBtuh-94p0Et-CndLow</w:t>
            </w:r>
          </w:p>
        </w:tc>
      </w:tr>
      <w:tr w:rsidR="006A4F24" w:rsidRPr="00C14A17" w14:paraId="10E87599" w14:textId="77777777" w:rsidTr="00A67BC0">
        <w:tc>
          <w:tcPr>
            <w:tcW w:w="1096" w:type="pct"/>
            <w:vAlign w:val="center"/>
          </w:tcPr>
          <w:p w14:paraId="2FEA6343" w14:textId="4C05A677" w:rsidR="006A4F24" w:rsidRPr="00737DBC" w:rsidRDefault="006A4F24" w:rsidP="00A67BC0">
            <w:pPr>
              <w:pStyle w:val="Norma"/>
              <w:spacing w:before="0" w:after="0"/>
              <w:rPr>
                <w:sz w:val="20"/>
              </w:rPr>
            </w:pPr>
            <w:r w:rsidRPr="00B07B1A">
              <w:rPr>
                <w:sz w:val="20"/>
              </w:rPr>
              <w:t>SWHC004</w:t>
            </w:r>
            <w:r>
              <w:rPr>
                <w:sz w:val="20"/>
              </w:rPr>
              <w:t>H</w:t>
            </w:r>
          </w:p>
        </w:tc>
        <w:tc>
          <w:tcPr>
            <w:tcW w:w="2367" w:type="pct"/>
            <w:vAlign w:val="center"/>
          </w:tcPr>
          <w:p w14:paraId="55DA8000" w14:textId="6262B757" w:rsidR="006A4F24" w:rsidRPr="00737DBC" w:rsidRDefault="006A4F24" w:rsidP="00A67BC0">
            <w:pPr>
              <w:pStyle w:val="Norma"/>
              <w:spacing w:before="0" w:after="0"/>
              <w:rPr>
                <w:rFonts w:cstheme="minorBidi"/>
                <w:sz w:val="20"/>
              </w:rPr>
            </w:pPr>
            <w:r w:rsidRPr="00B07B1A">
              <w:rPr>
                <w:sz w:val="20"/>
              </w:rPr>
              <w:t xml:space="preserve">Steam boiler (300 - 2500 </w:t>
            </w:r>
            <w:proofErr w:type="spellStart"/>
            <w:r w:rsidRPr="00B07B1A">
              <w:rPr>
                <w:sz w:val="20"/>
              </w:rPr>
              <w:t>kBtuh</w:t>
            </w:r>
            <w:proofErr w:type="spellEnd"/>
            <w:r w:rsidRPr="00B07B1A">
              <w:rPr>
                <w:sz w:val="20"/>
              </w:rPr>
              <w:t>, 82.0 Et, OA Reset from 140 to 165 F)</w:t>
            </w:r>
          </w:p>
        </w:tc>
        <w:tc>
          <w:tcPr>
            <w:tcW w:w="1537" w:type="pct"/>
            <w:vAlign w:val="center"/>
          </w:tcPr>
          <w:p w14:paraId="3A6D5F29" w14:textId="00207347" w:rsidR="006A4F24" w:rsidRPr="00737DBC" w:rsidRDefault="006A4F24" w:rsidP="00A67BC0">
            <w:pPr>
              <w:pStyle w:val="Norma"/>
              <w:spacing w:before="0" w:after="0"/>
              <w:rPr>
                <w:rFonts w:cstheme="minorBidi"/>
                <w:sz w:val="20"/>
              </w:rPr>
            </w:pPr>
            <w:r w:rsidRPr="00B07B1A">
              <w:rPr>
                <w:rFonts w:cstheme="minorBidi"/>
                <w:sz w:val="20"/>
              </w:rPr>
              <w:t>NG-HVAC-Blr-Stm-300to2500kBtuh-82p0Et-Drft</w:t>
            </w:r>
          </w:p>
        </w:tc>
      </w:tr>
      <w:tr w:rsidR="006A4F24" w:rsidRPr="00C14A17" w14:paraId="0ACEBF00" w14:textId="77777777" w:rsidTr="00A67BC0">
        <w:tc>
          <w:tcPr>
            <w:tcW w:w="1096" w:type="pct"/>
            <w:vAlign w:val="center"/>
          </w:tcPr>
          <w:p w14:paraId="19C45CD9" w14:textId="467DDBFD" w:rsidR="006A4F24" w:rsidRPr="005466DB" w:rsidRDefault="006A4F24" w:rsidP="00A67BC0">
            <w:pPr>
              <w:pStyle w:val="Norma"/>
              <w:spacing w:before="0" w:after="0"/>
              <w:rPr>
                <w:sz w:val="20"/>
              </w:rPr>
            </w:pPr>
            <w:r w:rsidRPr="00B07B1A">
              <w:rPr>
                <w:sz w:val="20"/>
              </w:rPr>
              <w:t>SWHC004</w:t>
            </w:r>
            <w:r>
              <w:rPr>
                <w:sz w:val="20"/>
              </w:rPr>
              <w:t>I</w:t>
            </w:r>
          </w:p>
        </w:tc>
        <w:tc>
          <w:tcPr>
            <w:tcW w:w="2367" w:type="pct"/>
            <w:vAlign w:val="center"/>
          </w:tcPr>
          <w:p w14:paraId="1D2AA390" w14:textId="656D4AA8" w:rsidR="006A4F24" w:rsidRPr="005466DB" w:rsidRDefault="006A4F24" w:rsidP="00A67BC0">
            <w:pPr>
              <w:pStyle w:val="Norma"/>
              <w:spacing w:before="0" w:after="0"/>
              <w:rPr>
                <w:sz w:val="20"/>
              </w:rPr>
            </w:pPr>
            <w:r w:rsidRPr="00B07B1A">
              <w:rPr>
                <w:sz w:val="20"/>
              </w:rPr>
              <w:t xml:space="preserve">Steam boiler (&gt; 2500 </w:t>
            </w:r>
            <w:proofErr w:type="spellStart"/>
            <w:r w:rsidRPr="00B07B1A">
              <w:rPr>
                <w:sz w:val="20"/>
              </w:rPr>
              <w:t>kBtuh</w:t>
            </w:r>
            <w:proofErr w:type="spellEnd"/>
            <w:r w:rsidRPr="00B07B1A">
              <w:rPr>
                <w:sz w:val="20"/>
              </w:rPr>
              <w:t>, 80.0 Et, OA Reset from 140 to 165 F)</w:t>
            </w:r>
          </w:p>
        </w:tc>
        <w:tc>
          <w:tcPr>
            <w:tcW w:w="1537" w:type="pct"/>
            <w:vAlign w:val="center"/>
          </w:tcPr>
          <w:p w14:paraId="07D17DAB" w14:textId="2CD5EF64" w:rsidR="006A4F24" w:rsidRPr="005466DB" w:rsidRDefault="006A4F24" w:rsidP="00A67BC0">
            <w:pPr>
              <w:pStyle w:val="Norma"/>
              <w:spacing w:before="0" w:after="0"/>
              <w:rPr>
                <w:rFonts w:cstheme="minorBidi"/>
                <w:sz w:val="20"/>
              </w:rPr>
            </w:pPr>
            <w:r w:rsidRPr="00B07B1A">
              <w:rPr>
                <w:rFonts w:cstheme="minorBidi"/>
                <w:sz w:val="20"/>
              </w:rPr>
              <w:t>NG-HVAC-Blr-Stm-gt2500kBtuh-80p0Et-Drft</w:t>
            </w:r>
          </w:p>
        </w:tc>
      </w:tr>
      <w:tr w:rsidR="006A4F24" w:rsidRPr="00C14A17" w14:paraId="26759504" w14:textId="77777777" w:rsidTr="00A67BC0">
        <w:tc>
          <w:tcPr>
            <w:tcW w:w="1096" w:type="pct"/>
            <w:vAlign w:val="center"/>
          </w:tcPr>
          <w:p w14:paraId="361FDDD3" w14:textId="0A040374" w:rsidR="006A4F24" w:rsidRPr="005A3B69" w:rsidRDefault="006A4F24" w:rsidP="00A67BC0">
            <w:pPr>
              <w:pStyle w:val="Norma"/>
              <w:spacing w:before="0" w:after="0"/>
              <w:rPr>
                <w:sz w:val="20"/>
              </w:rPr>
            </w:pPr>
            <w:r w:rsidRPr="00B07B1A">
              <w:rPr>
                <w:sz w:val="20"/>
              </w:rPr>
              <w:t>SWHC004</w:t>
            </w:r>
            <w:r>
              <w:rPr>
                <w:sz w:val="20"/>
              </w:rPr>
              <w:t>J</w:t>
            </w:r>
          </w:p>
        </w:tc>
        <w:tc>
          <w:tcPr>
            <w:tcW w:w="2367" w:type="pct"/>
            <w:vAlign w:val="center"/>
          </w:tcPr>
          <w:p w14:paraId="7F8DB92C" w14:textId="57054198" w:rsidR="006A4F24" w:rsidRPr="005A3B69" w:rsidRDefault="006A4F24" w:rsidP="00A67BC0">
            <w:pPr>
              <w:pStyle w:val="Norma"/>
              <w:spacing w:before="0" w:after="0"/>
              <w:rPr>
                <w:sz w:val="20"/>
              </w:rPr>
            </w:pPr>
            <w:r w:rsidRPr="00B07B1A">
              <w:rPr>
                <w:sz w:val="20"/>
              </w:rPr>
              <w:t xml:space="preserve">Steam boiler (&gt; 2500 </w:t>
            </w:r>
            <w:proofErr w:type="spellStart"/>
            <w:r w:rsidRPr="00B07B1A">
              <w:rPr>
                <w:sz w:val="20"/>
              </w:rPr>
              <w:t>kBtuh</w:t>
            </w:r>
            <w:proofErr w:type="spellEnd"/>
            <w:r w:rsidRPr="00B07B1A">
              <w:rPr>
                <w:sz w:val="20"/>
              </w:rPr>
              <w:t>, 82.0 Et, OA Reset from 140 to 165 F)</w:t>
            </w:r>
          </w:p>
        </w:tc>
        <w:tc>
          <w:tcPr>
            <w:tcW w:w="1537" w:type="pct"/>
            <w:vAlign w:val="center"/>
          </w:tcPr>
          <w:p w14:paraId="7B05BECC" w14:textId="7FB256DB" w:rsidR="006A4F24" w:rsidRPr="005A3B69" w:rsidRDefault="006A4F24" w:rsidP="00A67BC0">
            <w:pPr>
              <w:pStyle w:val="Norma"/>
              <w:spacing w:before="0" w:after="0"/>
              <w:rPr>
                <w:sz w:val="20"/>
              </w:rPr>
            </w:pPr>
            <w:r w:rsidRPr="00B07B1A">
              <w:rPr>
                <w:sz w:val="20"/>
              </w:rPr>
              <w:t>NG-HVAC-Blr-Stm-gt2500kBtuh-82p0Et-Drft</w:t>
            </w:r>
          </w:p>
        </w:tc>
      </w:tr>
    </w:tbl>
    <w:p w14:paraId="40F42FEB" w14:textId="1A727B3E" w:rsidR="00A2295F" w:rsidRDefault="00A2295F" w:rsidP="00A2295F">
      <w:pPr>
        <w:pStyle w:val="Norma"/>
      </w:pPr>
    </w:p>
    <w:p w14:paraId="72DF3331" w14:textId="77777777" w:rsidR="00A2295F" w:rsidRDefault="00A2295F" w:rsidP="00A2295F">
      <w:pPr>
        <w:pStyle w:val="eTRMHeading4"/>
      </w:pPr>
      <w:r>
        <w:t xml:space="preserve">Multifamily </w:t>
      </w:r>
    </w:p>
    <w:p w14:paraId="77BBE36C" w14:textId="68BC9EC6" w:rsidR="00A2295F" w:rsidRDefault="00A2295F" w:rsidP="00A2295F">
      <w:pPr>
        <w:pStyle w:val="Norma"/>
      </w:pPr>
      <w:r>
        <w:t xml:space="preserve">The </w:t>
      </w:r>
      <w:r w:rsidR="008D3721">
        <w:t xml:space="preserve">unit </w:t>
      </w:r>
      <w:r>
        <w:t xml:space="preserve">energy savings </w:t>
      </w:r>
      <w:r w:rsidR="008D3721">
        <w:t xml:space="preserve">(UES) </w:t>
      </w:r>
      <w:r>
        <w:t xml:space="preserve">of a space heating boiler in a multifamily property was calculated </w:t>
      </w:r>
      <w:r w:rsidR="001678B0">
        <w:t xml:space="preserve">as the difference between the base case and measure case unit energy consumption </w:t>
      </w:r>
      <w:r w:rsidR="008D3721">
        <w:t xml:space="preserve">(UEC) </w:t>
      </w:r>
      <w:r w:rsidR="001678B0">
        <w:t xml:space="preserve">derived from </w:t>
      </w:r>
      <w:r w:rsidR="001678B0">
        <w:lastRenderedPageBreak/>
        <w:t xml:space="preserve">building </w:t>
      </w:r>
      <w:r>
        <w:t xml:space="preserve">energy </w:t>
      </w:r>
      <w:r w:rsidR="001678B0">
        <w:t>use simulations</w:t>
      </w:r>
      <w:r>
        <w:t xml:space="preserve"> in </w:t>
      </w:r>
      <w:proofErr w:type="spellStart"/>
      <w:r>
        <w:t>eQUEST</w:t>
      </w:r>
      <w:proofErr w:type="spellEnd"/>
      <w:r w:rsidR="001678B0">
        <w:t xml:space="preserve"> 3-</w:t>
      </w:r>
      <w:r w:rsidR="003616C9">
        <w:t>6</w:t>
      </w:r>
      <w:r w:rsidR="001678B0">
        <w:t>5</w:t>
      </w:r>
      <w:r>
        <w:t>.</w:t>
      </w:r>
      <w:r w:rsidR="00E55CD9">
        <w:rPr>
          <w:rStyle w:val="FootnoteReference"/>
        </w:rPr>
        <w:footnoteReference w:id="4"/>
      </w:r>
      <w:r>
        <w:t xml:space="preserve"> The base case energy models were based on DEER prototype buildings for each climate zone (CZ01-CZ16) and for</w:t>
      </w:r>
      <w:r w:rsidR="006B3CB4">
        <w:t xml:space="preserve"> the</w:t>
      </w:r>
      <w:r>
        <w:t xml:space="preserve"> following </w:t>
      </w:r>
      <w:r w:rsidR="0010065B">
        <w:t xml:space="preserve">existing and new </w:t>
      </w:r>
      <w:r>
        <w:t>building vintages: 2003</w:t>
      </w:r>
      <w:r w:rsidR="00FF16EC">
        <w:t>,2007, 2011, 2015 and 2020</w:t>
      </w:r>
      <w:r>
        <w:t>. Each model was modified</w:t>
      </w:r>
      <w:r w:rsidR="004E733B">
        <w:t xml:space="preserve"> to</w:t>
      </w:r>
      <w:r>
        <w:t xml:space="preserve"> include a heating hot water circulation loop, heating hot water boiler, and a hot water coil at each air handling unit. Inputs were left to DEER prototype defaults unless otherwise noted below. </w:t>
      </w:r>
    </w:p>
    <w:p w14:paraId="7E10938D" w14:textId="5794E7DA" w:rsidR="00A2295F" w:rsidRDefault="00A2295F" w:rsidP="00A2295F">
      <w:pPr>
        <w:pStyle w:val="Norma"/>
      </w:pPr>
      <w:proofErr w:type="spellStart"/>
      <w:r>
        <w:t>eQUEST</w:t>
      </w:r>
      <w:proofErr w:type="spellEnd"/>
      <w:r>
        <w:t xml:space="preserve"> was allowed to auto-size equipment specifications based on DEER prototype zone load requirements. All auto-sized components were left unchanged between the </w:t>
      </w:r>
      <w:r w:rsidR="001678B0">
        <w:t>base case</w:t>
      </w:r>
      <w:r>
        <w:t xml:space="preserve"> and measure cases. </w:t>
      </w:r>
    </w:p>
    <w:p w14:paraId="5CF98906" w14:textId="77777777" w:rsidR="00A2295F" w:rsidRPr="00A2295F" w:rsidRDefault="00A2295F" w:rsidP="001E65F5">
      <w:pPr>
        <w:pStyle w:val="eTRMTextBoxTitle"/>
        <w:keepNext/>
        <w:keepLines/>
      </w:pPr>
      <w:r w:rsidRPr="00A2295F">
        <w:t xml:space="preserve">Summary of the Changes to the Prototype </w:t>
      </w:r>
      <w:proofErr w:type="spellStart"/>
      <w:r w:rsidRPr="00A2295F">
        <w:t>eQUEST</w:t>
      </w:r>
      <w:proofErr w:type="spellEnd"/>
      <w:r w:rsidRPr="00A2295F">
        <w:t xml:space="preserve"> Models by DOE-2 Keyword</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435"/>
        <w:gridCol w:w="4050"/>
        <w:gridCol w:w="3865"/>
      </w:tblGrid>
      <w:tr w:rsidR="00A2295F" w:rsidRPr="00C14A17" w14:paraId="226955A9" w14:textId="77777777" w:rsidTr="00A2295F">
        <w:trPr>
          <w:tblHeader/>
        </w:trPr>
        <w:tc>
          <w:tcPr>
            <w:tcW w:w="767" w:type="pct"/>
            <w:shd w:val="clear" w:color="auto" w:fill="F2F2F2" w:themeFill="background1" w:themeFillShade="F2"/>
          </w:tcPr>
          <w:p w14:paraId="6C0A8E4F" w14:textId="77777777" w:rsidR="00A2295F" w:rsidRPr="004B2425" w:rsidRDefault="00A2295F" w:rsidP="001E65F5">
            <w:pPr>
              <w:pStyle w:val="Norma"/>
              <w:keepNext/>
              <w:keepLines/>
              <w:spacing w:before="0" w:after="0" w:line="240" w:lineRule="auto"/>
              <w:rPr>
                <w:rFonts w:cstheme="minorHAnsi"/>
                <w:b/>
                <w:sz w:val="20"/>
              </w:rPr>
            </w:pPr>
            <w:r w:rsidRPr="004B2425">
              <w:rPr>
                <w:rFonts w:cstheme="minorHAnsi"/>
                <w:b/>
                <w:sz w:val="20"/>
              </w:rPr>
              <w:t>System</w:t>
            </w:r>
          </w:p>
        </w:tc>
        <w:tc>
          <w:tcPr>
            <w:tcW w:w="2166" w:type="pct"/>
            <w:shd w:val="clear" w:color="auto" w:fill="F2F2F2" w:themeFill="background1" w:themeFillShade="F2"/>
          </w:tcPr>
          <w:p w14:paraId="6C025273" w14:textId="77777777" w:rsidR="00A2295F" w:rsidRPr="004B2425" w:rsidRDefault="00A2295F" w:rsidP="001E65F5">
            <w:pPr>
              <w:pStyle w:val="Norma"/>
              <w:keepNext/>
              <w:keepLines/>
              <w:spacing w:before="0" w:after="0" w:line="240" w:lineRule="auto"/>
              <w:rPr>
                <w:rFonts w:cstheme="minorHAnsi"/>
                <w:b/>
                <w:sz w:val="20"/>
              </w:rPr>
            </w:pPr>
            <w:r w:rsidRPr="004B2425">
              <w:rPr>
                <w:rFonts w:cstheme="minorHAnsi"/>
                <w:b/>
                <w:sz w:val="20"/>
              </w:rPr>
              <w:t>DOE-2 Keyword Change</w:t>
            </w:r>
          </w:p>
        </w:tc>
        <w:tc>
          <w:tcPr>
            <w:tcW w:w="2067" w:type="pct"/>
            <w:shd w:val="clear" w:color="auto" w:fill="F2F2F2" w:themeFill="background1" w:themeFillShade="F2"/>
          </w:tcPr>
          <w:p w14:paraId="3021F965" w14:textId="77777777" w:rsidR="00A2295F" w:rsidRPr="004B2425" w:rsidRDefault="00A2295F" w:rsidP="001E65F5">
            <w:pPr>
              <w:pStyle w:val="Norma"/>
              <w:keepNext/>
              <w:keepLines/>
              <w:spacing w:before="0" w:after="0" w:line="240" w:lineRule="auto"/>
              <w:rPr>
                <w:rFonts w:cstheme="minorHAnsi"/>
                <w:b/>
                <w:sz w:val="20"/>
                <w:highlight w:val="yellow"/>
              </w:rPr>
            </w:pPr>
            <w:r w:rsidRPr="004B2425">
              <w:rPr>
                <w:rFonts w:cstheme="minorHAnsi"/>
                <w:b/>
                <w:sz w:val="20"/>
              </w:rPr>
              <w:t>Notes</w:t>
            </w:r>
          </w:p>
        </w:tc>
      </w:tr>
      <w:tr w:rsidR="00A2295F" w:rsidRPr="00C14A17" w14:paraId="385EC177" w14:textId="77777777" w:rsidTr="008E1E47">
        <w:tc>
          <w:tcPr>
            <w:tcW w:w="767" w:type="pct"/>
            <w:vAlign w:val="center"/>
          </w:tcPr>
          <w:p w14:paraId="3E07F030" w14:textId="77777777" w:rsidR="00A2295F" w:rsidRPr="004B2425" w:rsidRDefault="00A2295F" w:rsidP="001E65F5">
            <w:pPr>
              <w:pStyle w:val="Norma"/>
              <w:keepNext/>
              <w:keepLines/>
              <w:spacing w:before="0" w:after="0" w:line="240" w:lineRule="auto"/>
              <w:rPr>
                <w:rFonts w:cstheme="minorHAnsi"/>
                <w:sz w:val="20"/>
              </w:rPr>
            </w:pPr>
            <w:r w:rsidRPr="004B2425">
              <w:rPr>
                <w:rFonts w:cs="Arial"/>
                <w:sz w:val="20"/>
              </w:rPr>
              <w:t>HVAC Systems</w:t>
            </w:r>
            <w:r>
              <w:rPr>
                <w:rFonts w:cs="Arial"/>
                <w:sz w:val="20"/>
              </w:rPr>
              <w:t xml:space="preserve"> </w:t>
            </w:r>
            <w:r w:rsidRPr="004B2425">
              <w:rPr>
                <w:rFonts w:cs="Arial"/>
                <w:sz w:val="20"/>
              </w:rPr>
              <w:t xml:space="preserve">/ Zones   </w:t>
            </w:r>
          </w:p>
        </w:tc>
        <w:tc>
          <w:tcPr>
            <w:tcW w:w="2166" w:type="pct"/>
            <w:vAlign w:val="center"/>
          </w:tcPr>
          <w:p w14:paraId="51963954"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HEAT-SOURCE</w:t>
            </w:r>
            <w:r>
              <w:rPr>
                <w:rFonts w:cstheme="minorHAnsi"/>
                <w:sz w:val="20"/>
              </w:rPr>
              <w:t xml:space="preserve"> </w:t>
            </w:r>
            <w:r w:rsidRPr="004B2425">
              <w:rPr>
                <w:rFonts w:cstheme="minorHAnsi"/>
                <w:sz w:val="20"/>
              </w:rPr>
              <w:t>= HOT-WATER</w:t>
            </w:r>
          </w:p>
        </w:tc>
        <w:tc>
          <w:tcPr>
            <w:tcW w:w="2067" w:type="pct"/>
            <w:vAlign w:val="center"/>
          </w:tcPr>
          <w:p w14:paraId="0B2227D5"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Changed AHU heat source from a natural gas furnace heating section to heating hot water coils. This was performed to each AHU</w:t>
            </w:r>
          </w:p>
        </w:tc>
      </w:tr>
      <w:tr w:rsidR="00A2295F" w:rsidRPr="00C14A17" w14:paraId="4A76633B" w14:textId="77777777" w:rsidTr="008E1E47">
        <w:tc>
          <w:tcPr>
            <w:tcW w:w="767" w:type="pct"/>
            <w:vAlign w:val="center"/>
          </w:tcPr>
          <w:p w14:paraId="2630B6B8"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Circulation Loops</w:t>
            </w:r>
          </w:p>
        </w:tc>
        <w:tc>
          <w:tcPr>
            <w:tcW w:w="2166" w:type="pct"/>
            <w:vAlign w:val="center"/>
          </w:tcPr>
          <w:p w14:paraId="35DE6512"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"DEFAULT-HW"</w:t>
            </w:r>
            <w:r>
              <w:rPr>
                <w:rFonts w:cstheme="minorHAnsi"/>
                <w:sz w:val="20"/>
              </w:rPr>
              <w:t xml:space="preserve"> </w:t>
            </w:r>
            <w:r w:rsidRPr="004B2425">
              <w:rPr>
                <w:rFonts w:cstheme="minorHAnsi"/>
                <w:sz w:val="20"/>
              </w:rPr>
              <w:t>= CIRCULATION-LOOP</w:t>
            </w:r>
          </w:p>
          <w:p w14:paraId="2FD82E2B"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LIBRARY-ENTRY "DEFAULT-HW"</w:t>
            </w:r>
          </w:p>
        </w:tc>
        <w:tc>
          <w:tcPr>
            <w:tcW w:w="2067" w:type="pct"/>
            <w:vAlign w:val="center"/>
          </w:tcPr>
          <w:p w14:paraId="136FFE2B"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 xml:space="preserve">Created DHW circulation loop using </w:t>
            </w:r>
            <w:proofErr w:type="spellStart"/>
            <w:r w:rsidRPr="004B2425">
              <w:rPr>
                <w:rFonts w:cstheme="minorHAnsi"/>
                <w:sz w:val="20"/>
              </w:rPr>
              <w:t>eQUEST</w:t>
            </w:r>
            <w:proofErr w:type="spellEnd"/>
            <w:r w:rsidRPr="004B2425">
              <w:rPr>
                <w:rFonts w:cstheme="minorHAnsi"/>
                <w:sz w:val="20"/>
              </w:rPr>
              <w:t xml:space="preserve"> defaults</w:t>
            </w:r>
          </w:p>
        </w:tc>
      </w:tr>
      <w:tr w:rsidR="00A2295F" w:rsidRPr="00C14A17" w14:paraId="1FC0775E" w14:textId="77777777" w:rsidTr="008E1E47">
        <w:tc>
          <w:tcPr>
            <w:tcW w:w="767" w:type="pct"/>
            <w:vAlign w:val="center"/>
          </w:tcPr>
          <w:p w14:paraId="3AC99D55"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63A5A9FB" w14:textId="77777777" w:rsidR="00A2295F" w:rsidRPr="004B2425" w:rsidRDefault="00A2295F" w:rsidP="008E1E47">
            <w:pPr>
              <w:pStyle w:val="Norma"/>
              <w:spacing w:before="0" w:after="0" w:line="240" w:lineRule="auto"/>
              <w:rPr>
                <w:rFonts w:cs="Arial"/>
                <w:sz w:val="20"/>
              </w:rPr>
            </w:pPr>
            <w:r w:rsidRPr="004B2425">
              <w:rPr>
                <w:rFonts w:cs="Arial"/>
                <w:sz w:val="20"/>
              </w:rPr>
              <w:t>TYPE = HW-BOILER-W/DRAFT</w:t>
            </w:r>
          </w:p>
        </w:tc>
        <w:tc>
          <w:tcPr>
            <w:tcW w:w="2067" w:type="pct"/>
            <w:vAlign w:val="center"/>
          </w:tcPr>
          <w:p w14:paraId="6576F5CC"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baseline boiler type based on DEER database</w:t>
            </w:r>
          </w:p>
        </w:tc>
      </w:tr>
      <w:tr w:rsidR="00A2295F" w:rsidRPr="00C14A17" w14:paraId="7177F65F" w14:textId="77777777" w:rsidTr="008E1E47">
        <w:tc>
          <w:tcPr>
            <w:tcW w:w="767" w:type="pct"/>
            <w:vAlign w:val="center"/>
          </w:tcPr>
          <w:p w14:paraId="35B005F9"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CE1FD78" w14:textId="77777777" w:rsidR="00A2295F" w:rsidRPr="004B2425" w:rsidRDefault="00A2295F" w:rsidP="008E1E47">
            <w:pPr>
              <w:pStyle w:val="Norma"/>
              <w:spacing w:before="0" w:after="0" w:line="240" w:lineRule="auto"/>
              <w:rPr>
                <w:rFonts w:cs="Arial"/>
                <w:sz w:val="20"/>
              </w:rPr>
            </w:pPr>
            <w:r w:rsidRPr="004B2425">
              <w:rPr>
                <w:rFonts w:cs="Arial"/>
                <w:sz w:val="20"/>
              </w:rPr>
              <w:t>HEAT-INPUT-RATIO = {Parameter ("Boiler HIR")}</w:t>
            </w:r>
          </w:p>
        </w:tc>
        <w:tc>
          <w:tcPr>
            <w:tcW w:w="2067" w:type="pct"/>
            <w:vAlign w:val="center"/>
          </w:tcPr>
          <w:p w14:paraId="44C5C088"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boiler efficiency by a global parameter to allow for boiler efficiency adjustments based on measure</w:t>
            </w:r>
          </w:p>
        </w:tc>
      </w:tr>
      <w:tr w:rsidR="00A2295F" w:rsidRPr="00C14A17" w14:paraId="382E810A" w14:textId="77777777" w:rsidTr="008E1E47">
        <w:tc>
          <w:tcPr>
            <w:tcW w:w="767" w:type="pct"/>
            <w:vAlign w:val="center"/>
          </w:tcPr>
          <w:p w14:paraId="223399F8"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0A67186" w14:textId="77777777" w:rsidR="00A2295F" w:rsidRPr="004B2425" w:rsidRDefault="00A2295F" w:rsidP="008E1E47">
            <w:pPr>
              <w:pStyle w:val="Norma"/>
              <w:spacing w:before="0" w:after="0" w:line="240" w:lineRule="auto"/>
              <w:rPr>
                <w:rFonts w:cs="Arial"/>
                <w:sz w:val="20"/>
              </w:rPr>
            </w:pPr>
            <w:r w:rsidRPr="004B2425">
              <w:rPr>
                <w:rFonts w:cs="Arial"/>
                <w:sz w:val="20"/>
              </w:rPr>
              <w:t>CAPACITY-RATIO</w:t>
            </w:r>
            <w:r>
              <w:rPr>
                <w:rFonts w:cs="Arial"/>
                <w:sz w:val="20"/>
              </w:rPr>
              <w:t xml:space="preserve"> </w:t>
            </w:r>
            <w:r w:rsidRPr="004B2425">
              <w:rPr>
                <w:rFonts w:cs="Arial"/>
                <w:sz w:val="20"/>
              </w:rPr>
              <w:t>= {Parameter ("Boiler Cap")}</w:t>
            </w:r>
          </w:p>
        </w:tc>
        <w:tc>
          <w:tcPr>
            <w:tcW w:w="2067" w:type="pct"/>
            <w:vAlign w:val="center"/>
          </w:tcPr>
          <w:p w14:paraId="7C5DDE85"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boiler capacity by a global parameter to allow for boiler input capacity adjustments based on measure</w:t>
            </w:r>
          </w:p>
        </w:tc>
      </w:tr>
      <w:tr w:rsidR="00A2295F" w:rsidRPr="00C14A17" w14:paraId="4F346649" w14:textId="77777777" w:rsidTr="008E1E47">
        <w:tc>
          <w:tcPr>
            <w:tcW w:w="767" w:type="pct"/>
            <w:vAlign w:val="center"/>
          </w:tcPr>
          <w:p w14:paraId="6B1925B0"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EC7AE99" w14:textId="77777777" w:rsidR="00A2295F" w:rsidRPr="004B2425" w:rsidRDefault="00A2295F" w:rsidP="008E1E47">
            <w:pPr>
              <w:pStyle w:val="Norma"/>
              <w:spacing w:before="0" w:after="0" w:line="240" w:lineRule="auto"/>
              <w:rPr>
                <w:rFonts w:cs="Arial"/>
                <w:sz w:val="20"/>
              </w:rPr>
            </w:pPr>
            <w:r w:rsidRPr="004B2425">
              <w:rPr>
                <w:rFonts w:cs="Arial"/>
                <w:sz w:val="20"/>
              </w:rPr>
              <w:t>HW-LOOP = "DEFAULT-HW"</w:t>
            </w:r>
          </w:p>
        </w:tc>
        <w:tc>
          <w:tcPr>
            <w:tcW w:w="2067" w:type="pct"/>
            <w:vAlign w:val="center"/>
          </w:tcPr>
          <w:p w14:paraId="0D81FF86"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Assigned the boiler to serve the “DEFAULT-HW” circulation loop</w:t>
            </w:r>
          </w:p>
        </w:tc>
      </w:tr>
    </w:tbl>
    <w:p w14:paraId="32EAF014" w14:textId="7A586969" w:rsidR="00A2295F" w:rsidRDefault="00A2295F" w:rsidP="00A2295F">
      <w:pPr>
        <w:pStyle w:val="Norma"/>
        <w:rPr>
          <w:i/>
        </w:rPr>
      </w:pPr>
      <w:r>
        <w:t xml:space="preserve">The </w:t>
      </w:r>
      <w:r w:rsidR="001678B0">
        <w:t>base case</w:t>
      </w:r>
      <w:r>
        <w:t xml:space="preserve"> and </w:t>
      </w:r>
      <w:r w:rsidR="001678B0">
        <w:t>measure case</w:t>
      </w:r>
      <w:r>
        <w:t xml:space="preserve"> energy </w:t>
      </w:r>
      <w:r w:rsidR="001678B0">
        <w:t xml:space="preserve">use </w:t>
      </w:r>
      <w:r>
        <w:t>models were changed to reflect the appropriate boiler efficiency, boiler type and capacity ratio for each measure</w:t>
      </w:r>
      <w:r w:rsidR="001678B0">
        <w:t xml:space="preserve"> offering</w:t>
      </w:r>
      <w:r>
        <w:t xml:space="preserve">. The following table </w:t>
      </w:r>
      <w:r w:rsidR="001678B0">
        <w:t>provides</w:t>
      </w:r>
      <w:r>
        <w:t xml:space="preserve"> the boiler type, boiler efficiency, </w:t>
      </w:r>
      <w:r w:rsidR="00747787">
        <w:t xml:space="preserve">and </w:t>
      </w:r>
      <w:r>
        <w:t xml:space="preserve">boiler </w:t>
      </w:r>
      <w:r w:rsidR="00667EA0">
        <w:t>heat input ratio (</w:t>
      </w:r>
      <w:r>
        <w:t>HIR</w:t>
      </w:r>
      <w:r w:rsidR="00667EA0">
        <w:t>)</w:t>
      </w:r>
      <w:r>
        <w:t xml:space="preserve"> for each measure offering. These inputs were modified in each </w:t>
      </w:r>
      <w:proofErr w:type="spellStart"/>
      <w:r>
        <w:t>eQUEST</w:t>
      </w:r>
      <w:proofErr w:type="spellEnd"/>
      <w:r>
        <w:t xml:space="preserve"> model based on </w:t>
      </w:r>
      <w:r w:rsidR="001C1369">
        <w:t xml:space="preserve">the </w:t>
      </w:r>
      <w:r>
        <w:t>measure.</w:t>
      </w:r>
      <w:r w:rsidR="001248C7">
        <w:t xml:space="preserve"> For the small </w:t>
      </w:r>
      <w:r w:rsidR="00623587">
        <w:t xml:space="preserve">boiler offering A, the average AFUE of all qualifying units </w:t>
      </w:r>
      <w:r w:rsidR="00623587">
        <w:rPr>
          <w:rFonts w:cs="Calibri Light"/>
        </w:rPr>
        <w:t>≤</w:t>
      </w:r>
      <w:r w:rsidR="00623587">
        <w:t xml:space="preserve"> 300kBtu/</w:t>
      </w:r>
      <w:proofErr w:type="spellStart"/>
      <w:r w:rsidR="00623587">
        <w:t>hr</w:t>
      </w:r>
      <w:proofErr w:type="spellEnd"/>
      <w:r w:rsidR="00623587">
        <w:t xml:space="preserve"> and </w:t>
      </w:r>
      <w:r w:rsidR="00623587">
        <w:rPr>
          <w:rFonts w:cs="Calibri Light"/>
        </w:rPr>
        <w:t>≥</w:t>
      </w:r>
      <w:r w:rsidR="00623587">
        <w:t xml:space="preserve"> 94</w:t>
      </w:r>
      <w:r w:rsidR="00A93343">
        <w:t>%</w:t>
      </w:r>
      <w:r w:rsidR="00623587">
        <w:t xml:space="preserve"> AFUE </w:t>
      </w:r>
      <w:r w:rsidR="00A93343">
        <w:t xml:space="preserve">was used as the measure case AFUE in </w:t>
      </w:r>
      <w:proofErr w:type="spellStart"/>
      <w:r w:rsidR="00A93343">
        <w:t>eQUEST</w:t>
      </w:r>
      <w:proofErr w:type="spellEnd"/>
      <w:r w:rsidR="00A93343">
        <w:t>.</w:t>
      </w:r>
    </w:p>
    <w:p w14:paraId="4852FB1C" w14:textId="77777777" w:rsidR="00A2295F" w:rsidRPr="00D63EA0" w:rsidRDefault="00A2295F" w:rsidP="00A2295F">
      <w:pPr>
        <w:pStyle w:val="Caption"/>
      </w:pPr>
      <w:proofErr w:type="spellStart"/>
      <w:r w:rsidRPr="00D63EA0">
        <w:t>eQUEST</w:t>
      </w:r>
      <w:proofErr w:type="spellEnd"/>
      <w:r w:rsidRPr="00D63EA0">
        <w:t xml:space="preserve"> </w:t>
      </w:r>
      <w:r>
        <w:t xml:space="preserve">Boiler </w:t>
      </w:r>
      <w:r w:rsidRPr="00D63EA0">
        <w:t>Input Summary Table</w:t>
      </w:r>
    </w:p>
    <w:tbl>
      <w:tblPr>
        <w:tblStyle w:val="NormalTable"/>
        <w:tblW w:w="939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5"/>
        <w:gridCol w:w="1530"/>
        <w:gridCol w:w="2520"/>
        <w:gridCol w:w="1890"/>
        <w:gridCol w:w="1663"/>
      </w:tblGrid>
      <w:tr w:rsidR="00E55CD9" w:rsidRPr="00A2295F" w14:paraId="245902E2" w14:textId="77777777" w:rsidTr="00285040">
        <w:trPr>
          <w:cantSplit/>
          <w:trHeight w:val="20"/>
          <w:tblHeader/>
        </w:trPr>
        <w:tc>
          <w:tcPr>
            <w:tcW w:w="1795" w:type="dxa"/>
            <w:shd w:val="clear" w:color="auto" w:fill="F2F2F2" w:themeFill="background1" w:themeFillShade="F2"/>
            <w:vAlign w:val="bottom"/>
            <w:hideMark/>
          </w:tcPr>
          <w:p w14:paraId="327835EB"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Measure</w:t>
            </w:r>
          </w:p>
        </w:tc>
        <w:tc>
          <w:tcPr>
            <w:tcW w:w="1530" w:type="dxa"/>
            <w:shd w:val="clear" w:color="auto" w:fill="F2F2F2" w:themeFill="background1" w:themeFillShade="F2"/>
            <w:vAlign w:val="bottom"/>
            <w:hideMark/>
          </w:tcPr>
          <w:p w14:paraId="48B93C8E"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Case</w:t>
            </w:r>
          </w:p>
        </w:tc>
        <w:tc>
          <w:tcPr>
            <w:tcW w:w="2520" w:type="dxa"/>
            <w:shd w:val="clear" w:color="auto" w:fill="F2F2F2" w:themeFill="background1" w:themeFillShade="F2"/>
            <w:vAlign w:val="bottom"/>
            <w:hideMark/>
          </w:tcPr>
          <w:p w14:paraId="0554F8AB" w14:textId="60A82F44"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TYPE</w:t>
            </w:r>
          </w:p>
          <w:p w14:paraId="27D46CDF"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(DOE2 Keyword Listed)</w:t>
            </w:r>
          </w:p>
        </w:tc>
        <w:tc>
          <w:tcPr>
            <w:tcW w:w="1890" w:type="dxa"/>
            <w:shd w:val="clear" w:color="auto" w:fill="F2F2F2" w:themeFill="background1" w:themeFillShade="F2"/>
            <w:vAlign w:val="bottom"/>
            <w:hideMark/>
          </w:tcPr>
          <w:p w14:paraId="1B617C0F" w14:textId="5AD8E828"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 xml:space="preserve">Boiler </w:t>
            </w:r>
            <w:r>
              <w:rPr>
                <w:rFonts w:cs="Calibri Light"/>
                <w:b/>
                <w:sz w:val="20"/>
                <w:szCs w:val="20"/>
              </w:rPr>
              <w:t xml:space="preserve">Thermal </w:t>
            </w:r>
            <w:r w:rsidRPr="00A2295F">
              <w:rPr>
                <w:rFonts w:cs="Calibri Light"/>
                <w:b/>
                <w:sz w:val="20"/>
                <w:szCs w:val="20"/>
              </w:rPr>
              <w:t xml:space="preserve">Efficiency </w:t>
            </w:r>
          </w:p>
        </w:tc>
        <w:tc>
          <w:tcPr>
            <w:tcW w:w="1663" w:type="dxa"/>
            <w:shd w:val="clear" w:color="auto" w:fill="F2F2F2" w:themeFill="background1" w:themeFillShade="F2"/>
            <w:vAlign w:val="bottom"/>
            <w:hideMark/>
          </w:tcPr>
          <w:p w14:paraId="05E10526" w14:textId="2F2A1C45"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HEAT-INPUT-RATIO</w:t>
            </w:r>
          </w:p>
        </w:tc>
      </w:tr>
      <w:tr w:rsidR="001248C7" w:rsidRPr="00A2295F" w14:paraId="2F89D1DC" w14:textId="77777777" w:rsidTr="001248C7">
        <w:trPr>
          <w:cantSplit/>
          <w:trHeight w:val="20"/>
        </w:trPr>
        <w:tc>
          <w:tcPr>
            <w:tcW w:w="1795" w:type="dxa"/>
            <w:vMerge w:val="restart"/>
            <w:shd w:val="clear" w:color="auto" w:fill="auto"/>
            <w:vAlign w:val="center"/>
          </w:tcPr>
          <w:p w14:paraId="05D05F10" w14:textId="632F28F5"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SWHC004A</w:t>
            </w:r>
          </w:p>
        </w:tc>
        <w:tc>
          <w:tcPr>
            <w:tcW w:w="1530" w:type="dxa"/>
            <w:shd w:val="clear" w:color="auto" w:fill="auto"/>
            <w:noWrap/>
            <w:vAlign w:val="center"/>
          </w:tcPr>
          <w:p w14:paraId="25DB9CD1" w14:textId="234318EC"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tcPr>
          <w:p w14:paraId="751BB3A5" w14:textId="601FC802"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42C7CA36" w14:textId="3E48F05C"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84%</w:t>
            </w:r>
            <w:r>
              <w:rPr>
                <w:rFonts w:cs="Calibri Light"/>
                <w:sz w:val="20"/>
                <w:szCs w:val="20"/>
              </w:rPr>
              <w:t xml:space="preserve"> (AFUE)</w:t>
            </w:r>
          </w:p>
        </w:tc>
        <w:tc>
          <w:tcPr>
            <w:tcW w:w="1663" w:type="dxa"/>
            <w:shd w:val="clear" w:color="auto" w:fill="auto"/>
            <w:noWrap/>
            <w:vAlign w:val="center"/>
          </w:tcPr>
          <w:p w14:paraId="05A54A78" w14:textId="0F39C806"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1.1904</w:t>
            </w:r>
          </w:p>
        </w:tc>
      </w:tr>
      <w:tr w:rsidR="001248C7" w:rsidRPr="00A2295F" w14:paraId="736DFD84" w14:textId="77777777" w:rsidTr="001248C7">
        <w:trPr>
          <w:cantSplit/>
          <w:trHeight w:val="20"/>
        </w:trPr>
        <w:tc>
          <w:tcPr>
            <w:tcW w:w="1795" w:type="dxa"/>
            <w:vMerge/>
            <w:vAlign w:val="center"/>
          </w:tcPr>
          <w:p w14:paraId="5544AC8D" w14:textId="77777777" w:rsidR="001248C7" w:rsidRPr="00E55CD9" w:rsidRDefault="001248C7" w:rsidP="001248C7">
            <w:pPr>
              <w:pStyle w:val="Norma"/>
              <w:spacing w:before="0" w:after="0" w:line="240" w:lineRule="auto"/>
              <w:rPr>
                <w:rFonts w:cs="Calibri Light"/>
                <w:sz w:val="20"/>
                <w:szCs w:val="20"/>
              </w:rPr>
            </w:pPr>
          </w:p>
        </w:tc>
        <w:tc>
          <w:tcPr>
            <w:tcW w:w="1530" w:type="dxa"/>
            <w:shd w:val="clear" w:color="auto" w:fill="auto"/>
            <w:noWrap/>
            <w:vAlign w:val="center"/>
          </w:tcPr>
          <w:p w14:paraId="469C8FF0" w14:textId="36BB5669"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tcPr>
          <w:p w14:paraId="7F4AC78B" w14:textId="4BEED7E1"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72D62C22" w14:textId="24DCB57F" w:rsidR="001248C7" w:rsidRPr="00E55CD9" w:rsidRDefault="001248C7" w:rsidP="001248C7">
            <w:pPr>
              <w:pStyle w:val="Norma"/>
              <w:spacing w:before="0" w:after="0" w:line="240" w:lineRule="auto"/>
              <w:jc w:val="center"/>
              <w:rPr>
                <w:rFonts w:cs="Calibri Light"/>
                <w:sz w:val="20"/>
                <w:szCs w:val="20"/>
              </w:rPr>
            </w:pPr>
            <w:r>
              <w:rPr>
                <w:rFonts w:cs="Calibri Light"/>
                <w:sz w:val="20"/>
                <w:szCs w:val="20"/>
              </w:rPr>
              <w:t>95.4</w:t>
            </w:r>
            <w:r w:rsidRPr="00E55CD9">
              <w:rPr>
                <w:rFonts w:cs="Calibri Light"/>
                <w:sz w:val="20"/>
                <w:szCs w:val="20"/>
              </w:rPr>
              <w:t>%</w:t>
            </w:r>
            <w:r>
              <w:rPr>
                <w:rFonts w:cs="Calibri Light"/>
                <w:sz w:val="20"/>
                <w:szCs w:val="20"/>
              </w:rPr>
              <w:t xml:space="preserve"> (AFUE)</w:t>
            </w:r>
          </w:p>
        </w:tc>
        <w:tc>
          <w:tcPr>
            <w:tcW w:w="1663" w:type="dxa"/>
            <w:shd w:val="clear" w:color="auto" w:fill="auto"/>
            <w:noWrap/>
            <w:vAlign w:val="center"/>
          </w:tcPr>
          <w:p w14:paraId="1D68124F" w14:textId="422B8C0C"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1.0638</w:t>
            </w:r>
          </w:p>
        </w:tc>
      </w:tr>
      <w:tr w:rsidR="001248C7" w:rsidRPr="00A2295F" w14:paraId="5BC1A9FF" w14:textId="77777777" w:rsidTr="00285040">
        <w:trPr>
          <w:cantSplit/>
          <w:trHeight w:val="20"/>
        </w:trPr>
        <w:tc>
          <w:tcPr>
            <w:tcW w:w="1795" w:type="dxa"/>
            <w:vMerge w:val="restart"/>
            <w:vAlign w:val="center"/>
          </w:tcPr>
          <w:p w14:paraId="08161073" w14:textId="7EBDF8CC"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SWHC004B</w:t>
            </w:r>
          </w:p>
        </w:tc>
        <w:tc>
          <w:tcPr>
            <w:tcW w:w="1530" w:type="dxa"/>
            <w:shd w:val="clear" w:color="auto" w:fill="auto"/>
            <w:noWrap/>
            <w:vAlign w:val="center"/>
          </w:tcPr>
          <w:p w14:paraId="5181B79C" w14:textId="58FEB241"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tcPr>
          <w:p w14:paraId="786DBF79" w14:textId="3E09431A"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25578310" w14:textId="04600DF9"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tcPr>
          <w:p w14:paraId="294BCB44" w14:textId="7404AE8B"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1.2500</w:t>
            </w:r>
          </w:p>
        </w:tc>
      </w:tr>
      <w:tr w:rsidR="001248C7" w:rsidRPr="00A2295F" w14:paraId="641D9DAE" w14:textId="77777777" w:rsidTr="00285040">
        <w:trPr>
          <w:cantSplit/>
          <w:trHeight w:val="20"/>
        </w:trPr>
        <w:tc>
          <w:tcPr>
            <w:tcW w:w="1795" w:type="dxa"/>
            <w:vMerge/>
            <w:vAlign w:val="center"/>
          </w:tcPr>
          <w:p w14:paraId="6999035C" w14:textId="77777777" w:rsidR="001248C7" w:rsidRPr="00E55CD9" w:rsidRDefault="001248C7" w:rsidP="001248C7">
            <w:pPr>
              <w:pStyle w:val="Norma"/>
              <w:spacing w:before="0" w:after="0" w:line="240" w:lineRule="auto"/>
              <w:rPr>
                <w:rFonts w:cs="Calibri Light"/>
                <w:sz w:val="20"/>
                <w:szCs w:val="20"/>
              </w:rPr>
            </w:pPr>
          </w:p>
        </w:tc>
        <w:tc>
          <w:tcPr>
            <w:tcW w:w="1530" w:type="dxa"/>
            <w:shd w:val="clear" w:color="auto" w:fill="auto"/>
            <w:noWrap/>
            <w:vAlign w:val="center"/>
          </w:tcPr>
          <w:p w14:paraId="2E22BCF6" w14:textId="72A90753"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tcPr>
          <w:p w14:paraId="05B7E95C" w14:textId="598AECAB"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7B80268A" w14:textId="41A63D27"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85%</w:t>
            </w:r>
          </w:p>
        </w:tc>
        <w:tc>
          <w:tcPr>
            <w:tcW w:w="1663" w:type="dxa"/>
            <w:shd w:val="clear" w:color="auto" w:fill="auto"/>
            <w:noWrap/>
            <w:vAlign w:val="center"/>
          </w:tcPr>
          <w:p w14:paraId="7E537E34" w14:textId="2184E3A0"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1.1764</w:t>
            </w:r>
          </w:p>
        </w:tc>
      </w:tr>
      <w:tr w:rsidR="00E55CD9" w:rsidRPr="00A2295F" w14:paraId="6DBFE074" w14:textId="77777777" w:rsidTr="00285040">
        <w:trPr>
          <w:cantSplit/>
          <w:trHeight w:val="20"/>
        </w:trPr>
        <w:tc>
          <w:tcPr>
            <w:tcW w:w="1795" w:type="dxa"/>
            <w:vMerge w:val="restart"/>
            <w:shd w:val="clear" w:color="auto" w:fill="auto"/>
            <w:vAlign w:val="center"/>
            <w:hideMark/>
          </w:tcPr>
          <w:p w14:paraId="5DA3962E" w14:textId="6879519D" w:rsidR="00E55CD9" w:rsidRPr="00E55CD9" w:rsidRDefault="00E55CD9">
            <w:pPr>
              <w:pStyle w:val="Norma"/>
              <w:spacing w:before="0" w:after="0" w:line="240" w:lineRule="auto"/>
              <w:rPr>
                <w:rFonts w:cs="Calibri Light"/>
                <w:sz w:val="20"/>
                <w:szCs w:val="20"/>
              </w:rPr>
            </w:pPr>
            <w:r w:rsidRPr="00E55CD9">
              <w:rPr>
                <w:rFonts w:cs="Calibri Light"/>
                <w:sz w:val="20"/>
                <w:szCs w:val="20"/>
              </w:rPr>
              <w:t>SWHC004C</w:t>
            </w:r>
          </w:p>
        </w:tc>
        <w:tc>
          <w:tcPr>
            <w:tcW w:w="1530" w:type="dxa"/>
            <w:shd w:val="clear" w:color="auto" w:fill="auto"/>
            <w:noWrap/>
            <w:vAlign w:val="center"/>
            <w:hideMark/>
          </w:tcPr>
          <w:p w14:paraId="67C54BD5" w14:textId="55EA4284"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16FB2484"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3BB49247"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195C7BB9" w14:textId="486D02A4"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29CDD977" w14:textId="77777777" w:rsidTr="00285040">
        <w:trPr>
          <w:cantSplit/>
          <w:trHeight w:val="20"/>
        </w:trPr>
        <w:tc>
          <w:tcPr>
            <w:tcW w:w="1795" w:type="dxa"/>
            <w:vMerge/>
            <w:vAlign w:val="center"/>
            <w:hideMark/>
          </w:tcPr>
          <w:p w14:paraId="7512A185"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66CB745C" w14:textId="7237BC10"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263BCFCE"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HW-CONDENSING</w:t>
            </w:r>
          </w:p>
        </w:tc>
        <w:tc>
          <w:tcPr>
            <w:tcW w:w="1890" w:type="dxa"/>
            <w:shd w:val="clear" w:color="auto" w:fill="auto"/>
            <w:noWrap/>
            <w:vAlign w:val="center"/>
            <w:hideMark/>
          </w:tcPr>
          <w:p w14:paraId="5F9FD84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94%</w:t>
            </w:r>
          </w:p>
        </w:tc>
        <w:tc>
          <w:tcPr>
            <w:tcW w:w="1663" w:type="dxa"/>
            <w:shd w:val="clear" w:color="auto" w:fill="auto"/>
            <w:noWrap/>
            <w:vAlign w:val="center"/>
            <w:hideMark/>
          </w:tcPr>
          <w:p w14:paraId="12389F05"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1.0638</w:t>
            </w:r>
          </w:p>
        </w:tc>
      </w:tr>
      <w:tr w:rsidR="00E55CD9" w:rsidRPr="00A2295F" w14:paraId="52B51F34" w14:textId="77777777" w:rsidTr="00285040">
        <w:trPr>
          <w:cantSplit/>
          <w:trHeight w:val="20"/>
        </w:trPr>
        <w:tc>
          <w:tcPr>
            <w:tcW w:w="1795" w:type="dxa"/>
            <w:vMerge w:val="restart"/>
            <w:shd w:val="clear" w:color="auto" w:fill="auto"/>
            <w:vAlign w:val="center"/>
            <w:hideMark/>
          </w:tcPr>
          <w:p w14:paraId="591C6D5D" w14:textId="78555AE8" w:rsidR="00E55CD9" w:rsidRPr="00E55CD9" w:rsidRDefault="00E55CD9">
            <w:pPr>
              <w:pStyle w:val="Norma"/>
              <w:spacing w:before="0" w:after="0" w:line="240" w:lineRule="auto"/>
              <w:rPr>
                <w:rFonts w:cs="Calibri Light"/>
                <w:sz w:val="20"/>
                <w:szCs w:val="20"/>
              </w:rPr>
            </w:pPr>
            <w:r w:rsidRPr="00E55CD9">
              <w:rPr>
                <w:rFonts w:cs="Calibri Light"/>
                <w:sz w:val="20"/>
                <w:szCs w:val="20"/>
              </w:rPr>
              <w:t>SWHC004E</w:t>
            </w:r>
            <w:r w:rsidR="00F75CEB">
              <w:rPr>
                <w:rStyle w:val="FootnoteReference"/>
              </w:rPr>
              <w:t xml:space="preserve"> </w:t>
            </w:r>
            <w:r w:rsidR="00F75CEB" w:rsidRPr="008E62E0">
              <w:rPr>
                <w:vertAlign w:val="superscript"/>
              </w:rPr>
              <w:t>*</w:t>
            </w:r>
          </w:p>
        </w:tc>
        <w:tc>
          <w:tcPr>
            <w:tcW w:w="1530" w:type="dxa"/>
            <w:shd w:val="clear" w:color="auto" w:fill="auto"/>
            <w:noWrap/>
            <w:vAlign w:val="center"/>
            <w:hideMark/>
          </w:tcPr>
          <w:p w14:paraId="329C7F66" w14:textId="5043F608"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38D03423"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266CF28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3CA07697" w14:textId="5D21D7F6"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7AAA9490" w14:textId="77777777" w:rsidTr="00285040">
        <w:trPr>
          <w:cantSplit/>
          <w:trHeight w:val="20"/>
        </w:trPr>
        <w:tc>
          <w:tcPr>
            <w:tcW w:w="1795" w:type="dxa"/>
            <w:vMerge/>
            <w:vAlign w:val="center"/>
            <w:hideMark/>
          </w:tcPr>
          <w:p w14:paraId="097AE556"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4ABCC6BE" w14:textId="3F87A442"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47215132"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6434D3C3"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83%</w:t>
            </w:r>
          </w:p>
        </w:tc>
        <w:tc>
          <w:tcPr>
            <w:tcW w:w="1663" w:type="dxa"/>
            <w:shd w:val="clear" w:color="auto" w:fill="auto"/>
            <w:noWrap/>
            <w:vAlign w:val="center"/>
            <w:hideMark/>
          </w:tcPr>
          <w:p w14:paraId="59ACCF8F"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1.2048</w:t>
            </w:r>
          </w:p>
        </w:tc>
      </w:tr>
      <w:tr w:rsidR="00E55CD9" w:rsidRPr="00A2295F" w14:paraId="6E0460D3" w14:textId="77777777" w:rsidTr="00285040">
        <w:trPr>
          <w:cantSplit/>
          <w:trHeight w:val="62"/>
        </w:trPr>
        <w:tc>
          <w:tcPr>
            <w:tcW w:w="1795" w:type="dxa"/>
            <w:vMerge w:val="restart"/>
            <w:shd w:val="clear" w:color="auto" w:fill="auto"/>
            <w:vAlign w:val="center"/>
            <w:hideMark/>
          </w:tcPr>
          <w:p w14:paraId="7D124734" w14:textId="71D3CF00" w:rsidR="00E55CD9" w:rsidRPr="00E55CD9" w:rsidRDefault="00E55CD9">
            <w:pPr>
              <w:pStyle w:val="Norma"/>
              <w:spacing w:before="0" w:after="0" w:line="240" w:lineRule="auto"/>
              <w:rPr>
                <w:rFonts w:cs="Calibri Light"/>
                <w:sz w:val="20"/>
                <w:szCs w:val="20"/>
              </w:rPr>
            </w:pPr>
            <w:r w:rsidRPr="00E55CD9">
              <w:rPr>
                <w:rFonts w:cs="Calibri Light"/>
                <w:sz w:val="20"/>
                <w:szCs w:val="20"/>
              </w:rPr>
              <w:lastRenderedPageBreak/>
              <w:t>SWHC004F</w:t>
            </w:r>
          </w:p>
        </w:tc>
        <w:tc>
          <w:tcPr>
            <w:tcW w:w="1530" w:type="dxa"/>
            <w:shd w:val="clear" w:color="auto" w:fill="auto"/>
            <w:noWrap/>
            <w:vAlign w:val="center"/>
            <w:hideMark/>
          </w:tcPr>
          <w:p w14:paraId="41428F80" w14:textId="35A5DE5D"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3187F3D9"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47A29736"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438FC21E" w14:textId="65AE7DFA"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29806B43" w14:textId="77777777" w:rsidTr="00285040">
        <w:trPr>
          <w:cantSplit/>
          <w:trHeight w:val="20"/>
        </w:trPr>
        <w:tc>
          <w:tcPr>
            <w:tcW w:w="1795" w:type="dxa"/>
            <w:vMerge/>
            <w:vAlign w:val="center"/>
            <w:hideMark/>
          </w:tcPr>
          <w:p w14:paraId="390365FB"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526C143E" w14:textId="22EE4946"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175161FF"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HW-CONDENSING</w:t>
            </w:r>
          </w:p>
        </w:tc>
        <w:tc>
          <w:tcPr>
            <w:tcW w:w="1890" w:type="dxa"/>
            <w:shd w:val="clear" w:color="auto" w:fill="auto"/>
            <w:noWrap/>
            <w:vAlign w:val="center"/>
            <w:hideMark/>
          </w:tcPr>
          <w:p w14:paraId="2829347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94%</w:t>
            </w:r>
          </w:p>
        </w:tc>
        <w:tc>
          <w:tcPr>
            <w:tcW w:w="1663" w:type="dxa"/>
            <w:shd w:val="clear" w:color="auto" w:fill="auto"/>
            <w:noWrap/>
            <w:vAlign w:val="center"/>
            <w:hideMark/>
          </w:tcPr>
          <w:p w14:paraId="4FCDFE30"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1.0638</w:t>
            </w:r>
          </w:p>
        </w:tc>
      </w:tr>
      <w:tr w:rsidR="00E55CD9" w:rsidRPr="00A2295F" w14:paraId="1B90BFD4" w14:textId="77777777" w:rsidTr="00285040">
        <w:trPr>
          <w:cantSplit/>
          <w:trHeight w:val="20"/>
        </w:trPr>
        <w:tc>
          <w:tcPr>
            <w:tcW w:w="1795" w:type="dxa"/>
            <w:vMerge w:val="restart"/>
            <w:shd w:val="clear" w:color="auto" w:fill="auto"/>
            <w:vAlign w:val="center"/>
            <w:hideMark/>
          </w:tcPr>
          <w:p w14:paraId="3E9FA80E" w14:textId="6DE259FC" w:rsidR="00E55CD9" w:rsidRPr="00E55CD9" w:rsidRDefault="00E55CD9">
            <w:pPr>
              <w:pStyle w:val="Norma"/>
              <w:spacing w:before="0" w:after="0" w:line="240" w:lineRule="auto"/>
              <w:rPr>
                <w:rFonts w:cs="Calibri Light"/>
                <w:sz w:val="20"/>
                <w:szCs w:val="20"/>
              </w:rPr>
            </w:pPr>
            <w:r w:rsidRPr="00E55CD9">
              <w:rPr>
                <w:rFonts w:cs="Calibri Light"/>
                <w:sz w:val="20"/>
                <w:szCs w:val="20"/>
              </w:rPr>
              <w:t>SWHC004H</w:t>
            </w:r>
          </w:p>
        </w:tc>
        <w:tc>
          <w:tcPr>
            <w:tcW w:w="1530" w:type="dxa"/>
            <w:shd w:val="clear" w:color="auto" w:fill="auto"/>
            <w:noWrap/>
            <w:vAlign w:val="center"/>
            <w:hideMark/>
          </w:tcPr>
          <w:p w14:paraId="0DFEFC34" w14:textId="37AF094D"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0A1E0593"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STM-BOILER</w:t>
            </w:r>
          </w:p>
        </w:tc>
        <w:tc>
          <w:tcPr>
            <w:tcW w:w="1890" w:type="dxa"/>
            <w:shd w:val="clear" w:color="auto" w:fill="auto"/>
            <w:noWrap/>
            <w:vAlign w:val="center"/>
            <w:hideMark/>
          </w:tcPr>
          <w:p w14:paraId="3CC89219"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79%</w:t>
            </w:r>
          </w:p>
        </w:tc>
        <w:tc>
          <w:tcPr>
            <w:tcW w:w="1663" w:type="dxa"/>
            <w:shd w:val="clear" w:color="auto" w:fill="auto"/>
            <w:noWrap/>
            <w:vAlign w:val="center"/>
            <w:hideMark/>
          </w:tcPr>
          <w:p w14:paraId="75999DAC"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1.2658</w:t>
            </w:r>
          </w:p>
        </w:tc>
      </w:tr>
      <w:tr w:rsidR="00E55CD9" w:rsidRPr="00A2295F" w14:paraId="302F8286" w14:textId="77777777" w:rsidTr="00285040">
        <w:trPr>
          <w:cantSplit/>
          <w:trHeight w:val="20"/>
        </w:trPr>
        <w:tc>
          <w:tcPr>
            <w:tcW w:w="1795" w:type="dxa"/>
            <w:vMerge/>
            <w:vAlign w:val="center"/>
            <w:hideMark/>
          </w:tcPr>
          <w:p w14:paraId="1B1BDC05"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16D4618B" w14:textId="3B31A0B5"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6CAECE09"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STM-BOILER</w:t>
            </w:r>
          </w:p>
        </w:tc>
        <w:tc>
          <w:tcPr>
            <w:tcW w:w="1890" w:type="dxa"/>
            <w:shd w:val="clear" w:color="auto" w:fill="auto"/>
            <w:noWrap/>
            <w:vAlign w:val="center"/>
            <w:hideMark/>
          </w:tcPr>
          <w:p w14:paraId="0923267C"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82%</w:t>
            </w:r>
          </w:p>
        </w:tc>
        <w:tc>
          <w:tcPr>
            <w:tcW w:w="1663" w:type="dxa"/>
            <w:shd w:val="clear" w:color="auto" w:fill="auto"/>
            <w:noWrap/>
            <w:vAlign w:val="center"/>
            <w:hideMark/>
          </w:tcPr>
          <w:p w14:paraId="2488163A"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1.2195</w:t>
            </w:r>
          </w:p>
        </w:tc>
      </w:tr>
    </w:tbl>
    <w:p w14:paraId="4B7F9D6B" w14:textId="09301847" w:rsidR="00A2295F" w:rsidRDefault="00F75CEB" w:rsidP="008E62E0">
      <w:pPr>
        <w:pStyle w:val="eTRMTableFootnote"/>
      </w:pPr>
      <w:r>
        <w:t>* This measure</w:t>
      </w:r>
      <w:r w:rsidRPr="005466DB">
        <w:t xml:space="preserve"> </w:t>
      </w:r>
      <w:r>
        <w:t xml:space="preserve">offering </w:t>
      </w:r>
      <w:r w:rsidRPr="005466DB">
        <w:t xml:space="preserve">uses combustion efficiency as the efficiency metric in both the baseline and measure case. DEER uses a 2% loss in converting from combustion to thermal efficiency. Therefore 2% </w:t>
      </w:r>
      <w:r>
        <w:t xml:space="preserve">was subtracted </w:t>
      </w:r>
      <w:r w:rsidRPr="005466DB">
        <w:t>from both the baseline and measure combustion efficiencies to obtain the thermal efficiency.</w:t>
      </w:r>
    </w:p>
    <w:p w14:paraId="5E414B45" w14:textId="77777777" w:rsidR="00F75CEB" w:rsidRPr="00E55CD9" w:rsidRDefault="00F75CEB" w:rsidP="00E55CD9">
      <w:pPr>
        <w:pStyle w:val="Norma"/>
        <w:rPr>
          <w:rFonts w:asciiTheme="minorHAnsi" w:hAnsiTheme="minorHAnsi" w:cstheme="minorHAnsi"/>
          <w:iCs/>
          <w:szCs w:val="22"/>
        </w:rPr>
      </w:pPr>
    </w:p>
    <w:p w14:paraId="79C6E57D" w14:textId="11897AF0" w:rsidR="00A2295F" w:rsidRDefault="00A2295F" w:rsidP="00667EA0">
      <w:pPr>
        <w:pStyle w:val="Norma"/>
        <w:keepNext/>
        <w:keepLines/>
      </w:pPr>
      <w:r>
        <w:t xml:space="preserve">All </w:t>
      </w:r>
      <w:proofErr w:type="spellStart"/>
      <w:r>
        <w:t>eQUEST</w:t>
      </w:r>
      <w:proofErr w:type="spellEnd"/>
      <w:r>
        <w:t xml:space="preserve"> simulations</w:t>
      </w:r>
      <w:r w:rsidR="00E616E2">
        <w:t xml:space="preserve"> </w:t>
      </w:r>
      <w:r>
        <w:t xml:space="preserve">were performed using CZ2010 weather data specific to each climate zone. The </w:t>
      </w:r>
      <w:r w:rsidR="00883EA9">
        <w:t>pre</w:t>
      </w:r>
      <w:r w:rsidR="007B0318">
        <w:t xml:space="preserve">vious version of the workpaper used </w:t>
      </w:r>
      <w:r w:rsidR="00466A37">
        <w:t xml:space="preserve">various </w:t>
      </w:r>
      <w:r>
        <w:t>capacity ratio</w:t>
      </w:r>
      <w:r w:rsidR="00466A37">
        <w:t>s</w:t>
      </w:r>
      <w:r>
        <w:t xml:space="preserve"> to get the average boiler capacity to fall within the size requirements for each measure</w:t>
      </w:r>
      <w:r w:rsidR="001678B0">
        <w:t xml:space="preserve"> offering</w:t>
      </w:r>
      <w:r>
        <w:t xml:space="preserve">. </w:t>
      </w:r>
      <w:r w:rsidR="006777AF">
        <w:t xml:space="preserve">However, it was found that this methodology </w:t>
      </w:r>
      <w:r w:rsidR="00F12E92">
        <w:t xml:space="preserve">either </w:t>
      </w:r>
      <w:r w:rsidR="00DA6627">
        <w:t xml:space="preserve">greatly oversized </w:t>
      </w:r>
      <w:r w:rsidR="00F12E92">
        <w:t xml:space="preserve">or undersized </w:t>
      </w:r>
      <w:r w:rsidR="00DA6627">
        <w:t xml:space="preserve">the boiler capacity in relation to </w:t>
      </w:r>
      <w:r w:rsidR="001461C9">
        <w:t xml:space="preserve">the </w:t>
      </w:r>
      <w:r w:rsidR="002A4562">
        <w:t xml:space="preserve">heating </w:t>
      </w:r>
      <w:r w:rsidR="00DA6627">
        <w:t>loop load.</w:t>
      </w:r>
      <w:r w:rsidR="00F330C9">
        <w:t xml:space="preserve"> </w:t>
      </w:r>
      <w:r w:rsidR="0051423C">
        <w:t xml:space="preserve">Boilers below 300 </w:t>
      </w:r>
      <w:proofErr w:type="spellStart"/>
      <w:r w:rsidR="001C4761">
        <w:t>kBtu</w:t>
      </w:r>
      <w:r w:rsidR="00F977E8">
        <w:t>h</w:t>
      </w:r>
      <w:proofErr w:type="spellEnd"/>
      <w:r w:rsidR="0051423C">
        <w:t xml:space="preserve"> were found to be </w:t>
      </w:r>
      <w:r w:rsidR="002830B1">
        <w:t>ac</w:t>
      </w:r>
      <w:r w:rsidR="005F2A04">
        <w:t>curately</w:t>
      </w:r>
      <w:r w:rsidR="0051423C">
        <w:t xml:space="preserve"> sized for the </w:t>
      </w:r>
      <w:r w:rsidR="0067729E">
        <w:t xml:space="preserve">net </w:t>
      </w:r>
      <w:r w:rsidR="001461C9">
        <w:t>heating</w:t>
      </w:r>
      <w:r w:rsidR="0067729E">
        <w:t xml:space="preserve"> loop load generated by DEER models. </w:t>
      </w:r>
      <w:r w:rsidR="00F977E8">
        <w:t xml:space="preserve">Therefore, </w:t>
      </w:r>
      <w:r w:rsidR="00EE42A1">
        <w:t>the DEER</w:t>
      </w:r>
      <w:r w:rsidR="004018DC">
        <w:t xml:space="preserve"> prototype models for existing </w:t>
      </w:r>
      <w:r w:rsidR="00342DA3">
        <w:t xml:space="preserve">and new </w:t>
      </w:r>
      <w:r w:rsidR="004018DC">
        <w:t>vintage</w:t>
      </w:r>
      <w:r w:rsidR="00342DA3">
        <w:t>s</w:t>
      </w:r>
      <w:r w:rsidR="004018DC">
        <w:t xml:space="preserve"> and </w:t>
      </w:r>
      <w:r w:rsidR="00615283">
        <w:t>all the 16 climate zones were simulated using a Capacity-Ratio of 1</w:t>
      </w:r>
      <w:r w:rsidR="00271A83">
        <w:t xml:space="preserve">, while using appropriate baseline and measure case efficiencies </w:t>
      </w:r>
      <w:r w:rsidR="00F53BDC">
        <w:t>for</w:t>
      </w:r>
      <w:r w:rsidR="00791477">
        <w:t xml:space="preserve"> boiler capacity ranges </w:t>
      </w:r>
      <w:r w:rsidR="00271A83">
        <w:t xml:space="preserve">listed in table above.  </w:t>
      </w:r>
    </w:p>
    <w:p w14:paraId="365D6B14" w14:textId="1F04301F" w:rsidR="0012314E" w:rsidRDefault="00B14DE8" w:rsidP="00A2295F">
      <w:pPr>
        <w:pStyle w:val="Norma"/>
      </w:pPr>
      <w:r w:rsidRPr="005466DB">
        <w:t>The</w:t>
      </w:r>
      <w:r>
        <w:t xml:space="preserve"> boiler performance curve for condensing boiler was modified </w:t>
      </w:r>
      <w:r w:rsidR="00370B4D">
        <w:t xml:space="preserve">based on </w:t>
      </w:r>
      <w:r w:rsidR="008E3C76">
        <w:t>test data f</w:t>
      </w:r>
      <w:r w:rsidR="00127A1D">
        <w:t>rom</w:t>
      </w:r>
      <w:r w:rsidR="008E3C76">
        <w:t xml:space="preserve"> boiler research project for ASHRAE Standard 155P</w:t>
      </w:r>
      <w:r w:rsidR="00E55CD9">
        <w:t>.</w:t>
      </w:r>
      <w:r w:rsidR="00E55CD9">
        <w:rPr>
          <w:rStyle w:val="FootnoteReference"/>
        </w:rPr>
        <w:footnoteReference w:id="5"/>
      </w:r>
      <w:r w:rsidR="008E3C76">
        <w:t xml:space="preserve"> Boiler curve </w:t>
      </w:r>
      <w:r w:rsidR="006929B6">
        <w:t xml:space="preserve">based on </w:t>
      </w:r>
      <w:r w:rsidR="008E3C76">
        <w:t xml:space="preserve">unit 2 </w:t>
      </w:r>
      <w:r w:rsidR="000F5E13">
        <w:t>(condensing boiler)</w:t>
      </w:r>
      <w:r w:rsidR="00B95993">
        <w:t xml:space="preserve"> was used to simulate the appropriate measure case.</w:t>
      </w:r>
    </w:p>
    <w:p w14:paraId="075B7AEA" w14:textId="7D3A6FB8" w:rsidR="00C6314A" w:rsidRPr="005466DB" w:rsidRDefault="00C6314A" w:rsidP="00A2295F">
      <w:pPr>
        <w:pStyle w:val="Norma"/>
      </w:pPr>
      <w:r>
        <w:t xml:space="preserve">The </w:t>
      </w:r>
      <w:r w:rsidR="00FE0696">
        <w:t>thermostat</w:t>
      </w:r>
      <w:r>
        <w:t xml:space="preserve"> </w:t>
      </w:r>
      <w:r w:rsidR="00564FBC">
        <w:t>setting was updated in both baseline and measure case models</w:t>
      </w:r>
      <w:r w:rsidR="0063185A">
        <w:t xml:space="preserve"> to </w:t>
      </w:r>
      <w:proofErr w:type="spellStart"/>
      <w:r w:rsidR="0063185A">
        <w:t>Tstat</w:t>
      </w:r>
      <w:proofErr w:type="spellEnd"/>
      <w:r w:rsidR="0063185A">
        <w:t xml:space="preserve"> #4</w:t>
      </w:r>
      <w:r w:rsidR="00564FBC">
        <w:t xml:space="preserve">. A </w:t>
      </w:r>
      <w:r w:rsidR="00FE0696">
        <w:t>thermostat</w:t>
      </w:r>
      <w:r w:rsidR="00564FBC">
        <w:t xml:space="preserve"> setting of 4 </w:t>
      </w:r>
      <w:r w:rsidR="001D4509">
        <w:t>has both the highest average and median setpoint values</w:t>
      </w:r>
      <w:r w:rsidR="00112535">
        <w:t xml:space="preserve"> </w:t>
      </w:r>
      <w:r w:rsidR="00FE0696">
        <w:t>(a</w:t>
      </w:r>
      <w:r w:rsidR="00112535">
        <w:t xml:space="preserve"> conservative</w:t>
      </w:r>
      <w:r w:rsidR="00FE0696">
        <w:t xml:space="preserve"> setting)</w:t>
      </w:r>
      <w:r w:rsidR="00112535">
        <w:t>.</w:t>
      </w:r>
    </w:p>
    <w:p w14:paraId="78FEA7EB" w14:textId="37AACFDD" w:rsidR="00A2295F" w:rsidRDefault="008D3721" w:rsidP="00A2295F">
      <w:pPr>
        <w:pStyle w:val="Norma"/>
        <w:rPr>
          <w:i/>
        </w:rPr>
      </w:pPr>
      <w:r>
        <w:t>The final UES</w:t>
      </w:r>
      <w:r w:rsidR="00A2295F">
        <w:t xml:space="preserve"> </w:t>
      </w:r>
      <w:r>
        <w:t>for each measure offering was</w:t>
      </w:r>
      <w:r w:rsidR="00A2295F">
        <w:t xml:space="preserve"> calculated </w:t>
      </w:r>
      <w:r w:rsidR="00DB2962">
        <w:t>as</w:t>
      </w:r>
      <w:r w:rsidR="00A2295F">
        <w:t xml:space="preserve"> the weighted average </w:t>
      </w:r>
      <w:r>
        <w:t xml:space="preserve">savings </w:t>
      </w:r>
      <w:r w:rsidR="00A2295F">
        <w:t>of all building vintages using the DEER impact weights</w:t>
      </w:r>
      <w:r w:rsidR="001678B0">
        <w:t>.</w:t>
      </w:r>
      <w:r w:rsidR="00C719A8">
        <w:rPr>
          <w:rStyle w:val="FootnoteReference"/>
          <w:rFonts w:asciiTheme="minorHAnsi" w:hAnsiTheme="minorHAnsi" w:cstheme="minorHAnsi"/>
          <w:szCs w:val="22"/>
        </w:rPr>
        <w:footnoteReference w:id="6"/>
      </w:r>
      <w:r w:rsidR="00C719A8">
        <w:t xml:space="preserve"> </w:t>
      </w:r>
      <w:r w:rsidR="00BB2B39">
        <w:t xml:space="preserve">The impact weights </w:t>
      </w:r>
      <w:r w:rsidR="005115E8">
        <w:t xml:space="preserve">are expressed as percentages for each of the “eras” used for DEER weighted measures. </w:t>
      </w:r>
      <w:r w:rsidR="006D0AB5">
        <w:t xml:space="preserve">The impact weights </w:t>
      </w:r>
      <w:r w:rsidR="00667EA0">
        <w:t>were</w:t>
      </w:r>
      <w:r w:rsidR="006D0AB5">
        <w:t xml:space="preserve"> used to weight savings values provided for specific building </w:t>
      </w:r>
      <w:r w:rsidR="00E95E05">
        <w:t>vintages of each era. The eras and their vintages</w:t>
      </w:r>
      <w:r w:rsidR="005431BC">
        <w:t xml:space="preserve"> that were used</w:t>
      </w:r>
      <w:r w:rsidR="00E95E05">
        <w:t xml:space="preserve"> </w:t>
      </w:r>
      <w:r w:rsidR="00851C0D">
        <w:t xml:space="preserve">within the calculations </w:t>
      </w:r>
      <w:r w:rsidR="00442224">
        <w:t xml:space="preserve">for this </w:t>
      </w:r>
      <w:r w:rsidR="00FE0696">
        <w:t>measure</w:t>
      </w:r>
      <w:r w:rsidR="00442224">
        <w:t xml:space="preserve"> </w:t>
      </w:r>
      <w:r w:rsidR="00E95E05">
        <w:t xml:space="preserve">are as follows: </w:t>
      </w:r>
      <w:r w:rsidR="00171438">
        <w:t>“Ex”</w:t>
      </w:r>
      <w:r w:rsidR="00CA36DB">
        <w:t xml:space="preserve"> - </w:t>
      </w:r>
      <w:r w:rsidR="00171438">
        <w:t>Existing/Median Vintage: 2003, 2007, 2011, an</w:t>
      </w:r>
      <w:r w:rsidR="005431BC">
        <w:t>d 2015; “New”</w:t>
      </w:r>
      <w:r w:rsidR="00CA36DB">
        <w:t xml:space="preserve"> – New Vintage: </w:t>
      </w:r>
      <w:r w:rsidR="0099030B">
        <w:t>New</w:t>
      </w:r>
      <w:r w:rsidR="00CA36DB">
        <w:t xml:space="preserve">. The impact weights </w:t>
      </w:r>
      <w:r w:rsidR="00BB2B39">
        <w:t xml:space="preserve">were found by normalizing the </w:t>
      </w:r>
      <w:r w:rsidR="00B918EB">
        <w:t>DEER weight (“</w:t>
      </w:r>
      <w:proofErr w:type="spellStart"/>
      <w:r w:rsidR="00B918EB">
        <w:t>wt_vint</w:t>
      </w:r>
      <w:proofErr w:type="spellEnd"/>
      <w:r w:rsidR="00B918EB">
        <w:t xml:space="preserve">”) for each permutation of Building Type, </w:t>
      </w:r>
      <w:r w:rsidR="008D6670">
        <w:t>Climate</w:t>
      </w:r>
      <w:r w:rsidR="00B918EB">
        <w:t xml:space="preserve"> Zone, and Vintage</w:t>
      </w:r>
      <w:r w:rsidR="004F1663">
        <w:t xml:space="preserve"> by the total for its</w:t>
      </w:r>
      <w:r w:rsidR="0091744C">
        <w:t xml:space="preserve"> Buil</w:t>
      </w:r>
      <w:r w:rsidR="008D6670">
        <w:t>ding</w:t>
      </w:r>
      <w:r w:rsidR="0091744C">
        <w:t xml:space="preserve"> Type, </w:t>
      </w:r>
      <w:r w:rsidR="008D6670">
        <w:t>Climate</w:t>
      </w:r>
      <w:r w:rsidR="0091744C">
        <w:t xml:space="preserve"> Zone, </w:t>
      </w:r>
      <w:r w:rsidR="008D6670">
        <w:t xml:space="preserve">and </w:t>
      </w:r>
      <w:r w:rsidR="007E66FB">
        <w:t>E</w:t>
      </w:r>
      <w:r w:rsidR="008D6670">
        <w:t xml:space="preserve">ra. </w:t>
      </w:r>
      <w:r w:rsidR="004F1663">
        <w:t xml:space="preserve"> </w:t>
      </w:r>
    </w:p>
    <w:p w14:paraId="3E718EB3" w14:textId="42EE74A9" w:rsidR="00A2295F" w:rsidRDefault="001678B0" w:rsidP="00A2295F">
      <w:pPr>
        <w:pStyle w:val="Norma"/>
        <w:rPr>
          <w:i/>
        </w:rPr>
      </w:pPr>
      <w:r>
        <w:t>The w</w:t>
      </w:r>
      <w:r w:rsidR="00A2295F">
        <w:t xml:space="preserve">eighted </w:t>
      </w:r>
      <w:r w:rsidR="008D3721">
        <w:t>UES values</w:t>
      </w:r>
      <w:r w:rsidR="00A2295F">
        <w:t xml:space="preserve"> were then normalized to </w:t>
      </w:r>
      <w:proofErr w:type="spellStart"/>
      <w:r w:rsidR="00A2295F">
        <w:t>Therms</w:t>
      </w:r>
      <w:proofErr w:type="spellEnd"/>
      <w:r w:rsidR="00A2295F">
        <w:t>/</w:t>
      </w:r>
      <w:proofErr w:type="spellStart"/>
      <w:r w:rsidR="00E540DE">
        <w:t>kBtu</w:t>
      </w:r>
      <w:r w:rsidR="00A2295F">
        <w:t>h</w:t>
      </w:r>
      <w:proofErr w:type="spellEnd"/>
      <w:r w:rsidR="00A2295F">
        <w:t xml:space="preserve"> of input capacity. </w:t>
      </w:r>
    </w:p>
    <w:p w14:paraId="31F6665E" w14:textId="77777777" w:rsidR="00A2295F" w:rsidRDefault="00A2295F" w:rsidP="00A2295F">
      <w:pPr>
        <w:pStyle w:val="Norma"/>
      </w:pPr>
    </w:p>
    <w:p w14:paraId="4DDCD51F" w14:textId="4F2BBAD7" w:rsidR="007D230B" w:rsidRPr="004B06E3" w:rsidRDefault="00245AFF" w:rsidP="00462BB6">
      <w:pPr>
        <w:pStyle w:val="eTRMHeading3"/>
      </w:pPr>
      <w:bookmarkStart w:id="63" w:name="_Toc60150605"/>
      <w:bookmarkStart w:id="64" w:name="_Toc60310479"/>
      <w:bookmarkStart w:id="65" w:name="_Toc486490859"/>
      <w:bookmarkStart w:id="66" w:name="_Toc486580930"/>
      <w:r w:rsidRPr="004B06E3">
        <w:t>Life Cycle</w:t>
      </w:r>
      <w:bookmarkEnd w:id="63"/>
      <w:bookmarkEnd w:id="64"/>
      <w:r w:rsidR="007D230B" w:rsidRPr="004B06E3">
        <w:t xml:space="preserve"> </w:t>
      </w:r>
      <w:bookmarkEnd w:id="65"/>
      <w:bookmarkEnd w:id="66"/>
    </w:p>
    <w:p w14:paraId="6459579D" w14:textId="77777777" w:rsidR="00177EB6" w:rsidRDefault="007F669E" w:rsidP="004142EF">
      <w:pPr>
        <w:pStyle w:val="Norma"/>
      </w:pPr>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lastRenderedPageBreak/>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2BE8EC3E" w14:textId="32FFF406" w:rsidR="007D230B" w:rsidRDefault="007F669E" w:rsidP="004142EF">
      <w:pPr>
        <w:pStyle w:val="Norma"/>
      </w:pPr>
      <w:r w:rsidRPr="0068497F">
        <w:t xml:space="preserve">The EUL and RUL specified for </w:t>
      </w:r>
      <w:r w:rsidR="00CF5D82" w:rsidRPr="0068497F">
        <w:t xml:space="preserve">the </w:t>
      </w:r>
      <w:r w:rsidR="007159BC">
        <w:t xml:space="preserve">space heating boiler </w:t>
      </w:r>
      <w:r w:rsidR="00CF5D82" w:rsidRPr="0068497F">
        <w:t>measure</w:t>
      </w:r>
      <w:r w:rsidRPr="0068497F">
        <w:t xml:space="preserve"> are presented </w:t>
      </w:r>
      <w:r w:rsidR="0068497F" w:rsidRPr="0068497F">
        <w:t>below</w:t>
      </w:r>
      <w:r w:rsidRPr="0068497F">
        <w:t>.</w:t>
      </w:r>
      <w:r>
        <w:t xml:space="preserve"> </w:t>
      </w:r>
      <w:r w:rsidR="00516D7F">
        <w:t xml:space="preserve">Note that RUL is only applicable for add-on </w:t>
      </w:r>
      <w:r w:rsidR="00DB2962">
        <w:t xml:space="preserve">equipment </w:t>
      </w:r>
      <w:r w:rsidR="00516D7F">
        <w:t xml:space="preserve">and early replacement </w:t>
      </w:r>
      <w:r w:rsidR="00DB2962">
        <w:t>installations,</w:t>
      </w:r>
      <w:r w:rsidR="00516D7F">
        <w:t xml:space="preserve"> thus not applicable for this measure.</w:t>
      </w:r>
    </w:p>
    <w:p w14:paraId="7D542FEF" w14:textId="422EAC56" w:rsidR="00FD2C54" w:rsidRPr="00920905" w:rsidRDefault="00FD2C54" w:rsidP="00EA057C">
      <w:pPr>
        <w:pStyle w:val="Caption"/>
      </w:pPr>
      <w:r>
        <w:t>Effective Useful Life</w:t>
      </w:r>
      <w:r w:rsidR="00BB4F22">
        <w:t xml:space="preserve"> and Remaining Useful Life</w:t>
      </w:r>
    </w:p>
    <w:tbl>
      <w:tblPr>
        <w:tblStyle w:val="NormalTable"/>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CF5D82" w:rsidRPr="00500C4E" w14:paraId="1FE81044" w14:textId="0C091959" w:rsidTr="00CF5D82">
        <w:trPr>
          <w:cantSplit/>
          <w:trHeight w:val="20"/>
        </w:trPr>
        <w:tc>
          <w:tcPr>
            <w:tcW w:w="2877" w:type="dxa"/>
            <w:shd w:val="clear" w:color="auto" w:fill="F2F2F2" w:themeFill="background1" w:themeFillShade="F2"/>
            <w:vAlign w:val="bottom"/>
          </w:tcPr>
          <w:p w14:paraId="1666F440" w14:textId="31AB2C31"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Source</w:t>
            </w:r>
          </w:p>
        </w:tc>
      </w:tr>
      <w:tr w:rsidR="00CF5D82" w:rsidRPr="00500C4E" w14:paraId="7B636A73" w14:textId="217149CE" w:rsidTr="002F5593">
        <w:trPr>
          <w:cantSplit/>
          <w:trHeight w:val="20"/>
        </w:trPr>
        <w:tc>
          <w:tcPr>
            <w:tcW w:w="2877" w:type="dxa"/>
            <w:vAlign w:val="center"/>
          </w:tcPr>
          <w:p w14:paraId="64E6D65F" w14:textId="63968C12" w:rsidR="00CF5D82" w:rsidRPr="00177EB6" w:rsidRDefault="00CF5D82" w:rsidP="002F5593">
            <w:pPr>
              <w:pStyle w:val="Norma"/>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p>
        </w:tc>
        <w:tc>
          <w:tcPr>
            <w:tcW w:w="1438" w:type="dxa"/>
            <w:vAlign w:val="center"/>
          </w:tcPr>
          <w:p w14:paraId="636160CC" w14:textId="33D535CD" w:rsidR="00AC02BF" w:rsidRPr="00DB2962" w:rsidRDefault="00BA7EEB" w:rsidP="002F5593">
            <w:pPr>
              <w:pStyle w:val="Norma"/>
              <w:keepNext/>
              <w:keepLines/>
              <w:spacing w:before="20" w:after="20"/>
              <w:jc w:val="center"/>
              <w:rPr>
                <w:sz w:val="20"/>
                <w:szCs w:val="20"/>
              </w:rPr>
            </w:pPr>
            <w:r w:rsidRPr="00DB2962">
              <w:rPr>
                <w:sz w:val="20"/>
                <w:szCs w:val="20"/>
              </w:rPr>
              <w:t>20.0</w:t>
            </w:r>
          </w:p>
        </w:tc>
        <w:tc>
          <w:tcPr>
            <w:tcW w:w="5220" w:type="dxa"/>
          </w:tcPr>
          <w:p w14:paraId="12293357" w14:textId="7598576A" w:rsidR="00784E68" w:rsidRPr="009D4240" w:rsidRDefault="009D4240" w:rsidP="002B422B">
            <w:pPr>
              <w:pStyle w:val="Norma"/>
              <w:keepNext/>
              <w:keepLines/>
              <w:spacing w:before="20" w:after="20"/>
              <w:rPr>
                <w:rFonts w:cs="Calibri Light"/>
                <w:color w:val="191919" w:themeColor="text1"/>
                <w:sz w:val="18"/>
                <w:szCs w:val="20"/>
              </w:rPr>
            </w:pPr>
            <w:r w:rsidRPr="009D4240">
              <w:rPr>
                <w:sz w:val="18"/>
                <w:szCs w:val="20"/>
              </w:rPr>
              <w:t xml:space="preserve">California Public Utilities Commission (CPUC), Energy Division.  2003. </w:t>
            </w:r>
            <w:r w:rsidRPr="009D4240">
              <w:rPr>
                <w:rStyle w:val="Emphasis"/>
                <w:sz w:val="18"/>
                <w:szCs w:val="20"/>
              </w:rPr>
              <w:t xml:space="preserve">Energy Efficiency Policy Manual v 2.0. </w:t>
            </w:r>
            <w:r w:rsidRPr="009D4240">
              <w:rPr>
                <w:rStyle w:val="Emphasis"/>
                <w:i w:val="0"/>
                <w:iCs w:val="0"/>
                <w:sz w:val="18"/>
                <w:szCs w:val="20"/>
              </w:rPr>
              <w:t>P</w:t>
            </w:r>
            <w:r w:rsidRPr="009D4240">
              <w:rPr>
                <w:rStyle w:val="Emphasis"/>
                <w:sz w:val="18"/>
                <w:szCs w:val="20"/>
              </w:rPr>
              <w:t>age 17.</w:t>
            </w:r>
          </w:p>
        </w:tc>
      </w:tr>
      <w:tr w:rsidR="00CF5D82" w:rsidRPr="00500C4E" w14:paraId="71871DE1" w14:textId="51A3395E" w:rsidTr="002F5593">
        <w:trPr>
          <w:cantSplit/>
          <w:trHeight w:val="20"/>
        </w:trPr>
        <w:tc>
          <w:tcPr>
            <w:tcW w:w="2877" w:type="dxa"/>
            <w:vAlign w:val="center"/>
          </w:tcPr>
          <w:p w14:paraId="4BA48D82" w14:textId="5EFD77B9" w:rsidR="00CF5D82" w:rsidRPr="00177EB6" w:rsidRDefault="00CF5D82" w:rsidP="002F5593">
            <w:pPr>
              <w:pStyle w:val="Norma"/>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1438" w:type="dxa"/>
            <w:vAlign w:val="center"/>
          </w:tcPr>
          <w:p w14:paraId="012CC38D" w14:textId="0B74914F" w:rsidR="00CF5D82" w:rsidRPr="00DB2962" w:rsidRDefault="0055786F" w:rsidP="002F5593">
            <w:pPr>
              <w:pStyle w:val="Norma"/>
              <w:keepNext/>
              <w:keepLines/>
              <w:spacing w:before="20" w:after="20"/>
              <w:jc w:val="center"/>
              <w:rPr>
                <w:sz w:val="20"/>
                <w:szCs w:val="20"/>
              </w:rPr>
            </w:pPr>
            <w:r w:rsidRPr="00DB2962">
              <w:rPr>
                <w:sz w:val="20"/>
                <w:szCs w:val="20"/>
              </w:rPr>
              <w:t>n/a</w:t>
            </w:r>
          </w:p>
        </w:tc>
        <w:tc>
          <w:tcPr>
            <w:tcW w:w="5220" w:type="dxa"/>
          </w:tcPr>
          <w:p w14:paraId="7DDC9DCA" w14:textId="71334559" w:rsidR="00CF5D82" w:rsidRPr="005466DB" w:rsidRDefault="002F5593" w:rsidP="002B422B">
            <w:pPr>
              <w:pStyle w:val="Norma"/>
              <w:keepNext/>
              <w:keepLines/>
              <w:spacing w:before="20" w:after="20"/>
              <w:rPr>
                <w:color w:val="191919" w:themeColor="text1"/>
                <w:sz w:val="20"/>
                <w:szCs w:val="20"/>
              </w:rPr>
            </w:pPr>
            <w:r>
              <w:rPr>
                <w:color w:val="191919" w:themeColor="text1"/>
                <w:sz w:val="20"/>
                <w:szCs w:val="20"/>
              </w:rPr>
              <w:t>-</w:t>
            </w:r>
          </w:p>
        </w:tc>
      </w:tr>
    </w:tbl>
    <w:p w14:paraId="21BBC22B" w14:textId="77777777" w:rsidR="007D230B" w:rsidRPr="004B06E3" w:rsidRDefault="007D230B" w:rsidP="004142EF">
      <w:pPr>
        <w:pStyle w:val="Norma"/>
      </w:pPr>
    </w:p>
    <w:p w14:paraId="3B14B593" w14:textId="0D9030D3" w:rsidR="007D230B" w:rsidRDefault="007D230B" w:rsidP="00462BB6">
      <w:pPr>
        <w:pStyle w:val="eTRMHeading3"/>
      </w:pPr>
      <w:bookmarkStart w:id="67" w:name="_Toc486490860"/>
      <w:bookmarkStart w:id="68" w:name="_Toc486580931"/>
      <w:bookmarkStart w:id="69" w:name="_Toc60150606"/>
      <w:bookmarkStart w:id="70" w:name="_Toc60310480"/>
      <w:r w:rsidRPr="004B06E3">
        <w:t>Base Case Material Cost ($/unit)</w:t>
      </w:r>
      <w:bookmarkEnd w:id="67"/>
      <w:bookmarkEnd w:id="68"/>
      <w:bookmarkEnd w:id="69"/>
      <w:bookmarkEnd w:id="70"/>
    </w:p>
    <w:p w14:paraId="69ADF848" w14:textId="251903E2" w:rsidR="00874656" w:rsidRDefault="000E580E" w:rsidP="00522372">
      <w:pPr>
        <w:pStyle w:val="Norma"/>
      </w:pPr>
      <w:bookmarkStart w:id="71" w:name="_Toc486490861"/>
      <w:bookmarkStart w:id="72" w:name="_Toc486580932"/>
      <w:r>
        <w:t xml:space="preserve">Base case equipment costs for conventional and condensing boilers were obtained from 2020 distributor quotes. </w:t>
      </w:r>
      <w:r w:rsidR="00DB5A6F">
        <w:t>Using Microsoft Excel’s Data Analysis tool, m</w:t>
      </w:r>
      <w:r w:rsidR="008D1F0B">
        <w:t xml:space="preserve">ultiple regression </w:t>
      </w:r>
      <w:r w:rsidR="002F7E58">
        <w:t xml:space="preserve">analysis </w:t>
      </w:r>
      <w:r w:rsidR="008D1F0B">
        <w:t>was performed to calculate the relationship between dependent variable Cost ($) and independent variables Capacity (</w:t>
      </w:r>
      <w:proofErr w:type="spellStart"/>
      <w:r w:rsidR="008D1F0B">
        <w:t>kBtuh</w:t>
      </w:r>
      <w:proofErr w:type="spellEnd"/>
      <w:r w:rsidR="008D1F0B">
        <w:t xml:space="preserve">) and Efficiency. </w:t>
      </w:r>
      <w:r w:rsidR="00EB701B">
        <w:t>Cost metrics ($/</w:t>
      </w:r>
      <w:proofErr w:type="spellStart"/>
      <w:r w:rsidR="00EB701B">
        <w:t>kBtuh</w:t>
      </w:r>
      <w:proofErr w:type="spellEnd"/>
      <w:r w:rsidR="00EB701B">
        <w:t xml:space="preserve">) were then established based on the capacity </w:t>
      </w:r>
      <w:r w:rsidR="00CE7900">
        <w:t xml:space="preserve">and efficiency </w:t>
      </w:r>
      <w:r w:rsidR="00EB701B">
        <w:t>ranges of the measures</w:t>
      </w:r>
      <w:r w:rsidR="006753F9">
        <w:rPr>
          <w:rStyle w:val="FootnoteReference"/>
        </w:rPr>
        <w:footnoteReference w:id="7"/>
      </w:r>
      <w:r w:rsidR="00EB701B">
        <w:t>.</w:t>
      </w:r>
      <w:r w:rsidR="00DB5A6F">
        <w:t xml:space="preserve"> The multiple regression analysis follows the same strategy used in </w:t>
      </w:r>
      <w:r w:rsidR="00DB5A6F" w:rsidRPr="004F1792">
        <w:rPr>
          <w:i/>
          <w:iCs/>
        </w:rPr>
        <w:t>2010-2012 WO017 Ex Ante Measure Cost Study</w:t>
      </w:r>
      <w:r w:rsidR="00DB5A6F" w:rsidRPr="004F1792">
        <w:t xml:space="preserve"> conducted by </w:t>
      </w:r>
      <w:proofErr w:type="spellStart"/>
      <w:r w:rsidR="00DB5A6F" w:rsidRPr="004F1792">
        <w:t>Itron</w:t>
      </w:r>
      <w:proofErr w:type="spellEnd"/>
      <w:r w:rsidR="00DB5A6F" w:rsidRPr="004F1792">
        <w:t>, Inc.</w:t>
      </w:r>
      <w:r w:rsidR="00DB5A6F" w:rsidRPr="004F1792">
        <w:rPr>
          <w:rStyle w:val="FootnoteReference"/>
        </w:rPr>
        <w:footnoteReference w:id="8"/>
      </w:r>
      <w:r w:rsidR="00DB5A6F" w:rsidRPr="004F1792">
        <w:t xml:space="preserve"> </w:t>
      </w:r>
    </w:p>
    <w:p w14:paraId="3E89EC98" w14:textId="3D1EC2E5" w:rsidR="000D6FDC" w:rsidRDefault="000D6FDC" w:rsidP="000D6FDC">
      <w:pPr>
        <w:pStyle w:val="Norma"/>
        <w:rPr>
          <w:color w:val="FF0000"/>
        </w:rPr>
      </w:pPr>
      <w:r>
        <w:t xml:space="preserve">For boilers with capacities &lt;300 </w:t>
      </w:r>
      <w:proofErr w:type="spellStart"/>
      <w:r>
        <w:t>kBtuh</w:t>
      </w:r>
      <w:proofErr w:type="spellEnd"/>
      <w:r>
        <w:t xml:space="preserve"> the multiple regression analysis was found not to be </w:t>
      </w:r>
      <w:r w:rsidR="00015A5C">
        <w:t>reasonable</w:t>
      </w:r>
      <w:r>
        <w:t xml:space="preserve">. As such, the average costs per </w:t>
      </w:r>
      <w:proofErr w:type="spellStart"/>
      <w:r>
        <w:t>kBtuh</w:t>
      </w:r>
      <w:proofErr w:type="spellEnd"/>
      <w:r>
        <w:t xml:space="preserve"> for all the relevant base case boilers &lt;300 </w:t>
      </w:r>
      <w:proofErr w:type="spellStart"/>
      <w:r>
        <w:t>kBtuh</w:t>
      </w:r>
      <w:proofErr w:type="spellEnd"/>
      <w:r>
        <w:t xml:space="preserve"> was used for the base case material costs.  </w:t>
      </w:r>
    </w:p>
    <w:p w14:paraId="773C97F1" w14:textId="0F8DB1E0" w:rsidR="00522372" w:rsidRDefault="00DB5A6F" w:rsidP="00522372">
      <w:pPr>
        <w:pStyle w:val="Norma"/>
      </w:pPr>
      <w:r>
        <w:t>Distributor quotes did not include pricing for steam boilers, so b</w:t>
      </w:r>
      <w:r w:rsidR="008D1F0B" w:rsidRPr="008D1F0B">
        <w:t xml:space="preserve">ase case equipment costs for steam boilers </w:t>
      </w:r>
      <w:r w:rsidR="00C719A8" w:rsidRPr="000429BF">
        <w:t xml:space="preserve">were obtained </w:t>
      </w:r>
      <w:r w:rsidR="00522372" w:rsidRPr="000429BF">
        <w:t xml:space="preserve">from the </w:t>
      </w:r>
      <w:r w:rsidR="00522372" w:rsidRPr="000429BF">
        <w:rPr>
          <w:i/>
          <w:iCs/>
        </w:rPr>
        <w:t>2010-2012 WO017 Ex Ante Measure Cost Study</w:t>
      </w:r>
      <w:r>
        <w:t xml:space="preserve">. </w:t>
      </w:r>
      <w:r w:rsidR="00061434" w:rsidRPr="000429BF">
        <w:t xml:space="preserve">These costs were scaled to reflect </w:t>
      </w:r>
      <w:r w:rsidR="008D1F0B">
        <w:t>2020</w:t>
      </w:r>
      <w:r w:rsidR="008D1F0B" w:rsidRPr="000429BF">
        <w:t xml:space="preserve"> </w:t>
      </w:r>
      <w:r w:rsidR="00061434" w:rsidRPr="000429BF">
        <w:t>pricing using RS Means Historical Cost Index</w:t>
      </w:r>
      <w:r w:rsidR="001D3398" w:rsidRPr="000429BF">
        <w:t xml:space="preserve"> using the average price index across 12 California cities.</w:t>
      </w:r>
      <w:r w:rsidR="001D3398" w:rsidRPr="000429BF">
        <w:rPr>
          <w:rStyle w:val="FootnoteReference"/>
        </w:rPr>
        <w:footnoteReference w:id="9"/>
      </w:r>
      <w:r w:rsidR="00061434" w:rsidRPr="000429BF">
        <w:t xml:space="preserve"> </w:t>
      </w:r>
    </w:p>
    <w:p w14:paraId="3E82B4F7" w14:textId="49ED85F0" w:rsidR="008D1F0B" w:rsidRPr="000429BF" w:rsidRDefault="00CE7900" w:rsidP="00522372">
      <w:pPr>
        <w:pStyle w:val="Norma"/>
      </w:pPr>
      <w:r>
        <w:t>As a secondary check, b</w:t>
      </w:r>
      <w:r w:rsidR="0090325C">
        <w:t>oiler c</w:t>
      </w:r>
      <w:r w:rsidR="00196A36">
        <w:t xml:space="preserve">osts were compared to online retailers in Q4 of 2020 </w:t>
      </w:r>
      <w:r w:rsidR="00DB5A6F">
        <w:t>and were found to be reasonable</w:t>
      </w:r>
      <w:r w:rsidR="00196A36">
        <w:t>.</w:t>
      </w:r>
    </w:p>
    <w:p w14:paraId="67CAB55A" w14:textId="77777777" w:rsidR="00B71813" w:rsidRDefault="00B71813" w:rsidP="00B71813">
      <w:pPr>
        <w:pStyle w:val="Reminders"/>
        <w:rPr>
          <w:rFonts w:ascii="Calibri" w:hAnsi="Calibri" w:cs="Calibri"/>
          <w:i w:val="0"/>
          <w:color w:val="auto"/>
        </w:rPr>
      </w:pPr>
    </w:p>
    <w:p w14:paraId="44E8DBEB" w14:textId="77777777" w:rsidR="007D230B" w:rsidRPr="004B06E3" w:rsidRDefault="007D230B" w:rsidP="00462BB6">
      <w:pPr>
        <w:pStyle w:val="eTRMHeading3"/>
      </w:pPr>
      <w:bookmarkStart w:id="73" w:name="_Toc60150607"/>
      <w:bookmarkStart w:id="74" w:name="_Toc60310481"/>
      <w:r w:rsidRPr="004B06E3">
        <w:t>Measure Case Material Cost ($/unit)</w:t>
      </w:r>
      <w:bookmarkEnd w:id="71"/>
      <w:bookmarkEnd w:id="72"/>
      <w:bookmarkEnd w:id="73"/>
      <w:bookmarkEnd w:id="74"/>
    </w:p>
    <w:p w14:paraId="5ABA661D" w14:textId="5D0A3EF4" w:rsidR="008D1F0B" w:rsidRDefault="008D1F0B" w:rsidP="008D1F0B">
      <w:pPr>
        <w:pStyle w:val="Norma"/>
      </w:pPr>
      <w:r>
        <w:t xml:space="preserve">Measure case equipment costs for conventional and condensing boilers were obtained from 2020 distributor quotes. </w:t>
      </w:r>
      <w:r w:rsidR="00DB5A6F">
        <w:t>Using Microsoft Excel’s Data Analysis tool, multiple regression analysis was performed to calculate the relationship between dependent variable Cost ($) and independent variables Capacity (</w:t>
      </w:r>
      <w:proofErr w:type="spellStart"/>
      <w:r w:rsidR="00DB5A6F">
        <w:t>kBtuh</w:t>
      </w:r>
      <w:proofErr w:type="spellEnd"/>
      <w:r w:rsidR="00DB5A6F">
        <w:t>) and Efficiency. Cost metrics ($/</w:t>
      </w:r>
      <w:proofErr w:type="spellStart"/>
      <w:r w:rsidR="00DB5A6F">
        <w:t>kBtuh</w:t>
      </w:r>
      <w:proofErr w:type="spellEnd"/>
      <w:r w:rsidR="00DB5A6F">
        <w:t xml:space="preserve">) were then established based on the capacity </w:t>
      </w:r>
      <w:r w:rsidR="00CE7900">
        <w:t xml:space="preserve">and efficiency </w:t>
      </w:r>
      <w:r w:rsidR="00DB5A6F">
        <w:lastRenderedPageBreak/>
        <w:t>ranges of the measures</w:t>
      </w:r>
      <w:r w:rsidR="006753F9" w:rsidRPr="006753F9">
        <w:rPr>
          <w:rStyle w:val="FootnoteReference"/>
        </w:rPr>
        <w:t xml:space="preserve"> </w:t>
      </w:r>
      <w:r w:rsidR="006753F9">
        <w:rPr>
          <w:rStyle w:val="FootnoteReference"/>
        </w:rPr>
        <w:footnoteReference w:id="10"/>
      </w:r>
      <w:r w:rsidR="00DB5A6F">
        <w:t xml:space="preserve">. The multiple regression analysis follows the same strategy used in </w:t>
      </w:r>
      <w:r w:rsidR="00DB5A6F" w:rsidRPr="004F1792">
        <w:rPr>
          <w:i/>
          <w:iCs/>
        </w:rPr>
        <w:t>2010-2012 WO017 Ex Ante Measure Cost Study</w:t>
      </w:r>
      <w:r w:rsidR="00DB5A6F" w:rsidRPr="004F1792">
        <w:t xml:space="preserve"> conducted by </w:t>
      </w:r>
      <w:proofErr w:type="spellStart"/>
      <w:r w:rsidR="00DB5A6F" w:rsidRPr="004F1792">
        <w:t>Itron</w:t>
      </w:r>
      <w:proofErr w:type="spellEnd"/>
      <w:r w:rsidR="00DB5A6F" w:rsidRPr="004F1792">
        <w:t>, Inc.</w:t>
      </w:r>
      <w:r w:rsidR="00DB5A6F" w:rsidRPr="004F1792">
        <w:rPr>
          <w:rStyle w:val="FootnoteReference"/>
        </w:rPr>
        <w:footnoteReference w:id="11"/>
      </w:r>
    </w:p>
    <w:p w14:paraId="6D1DED68" w14:textId="48A6A999" w:rsidR="006D0FCB" w:rsidRDefault="006D0FCB" w:rsidP="008D1F0B">
      <w:pPr>
        <w:pStyle w:val="Norma"/>
        <w:rPr>
          <w:color w:val="FF0000"/>
        </w:rPr>
      </w:pPr>
      <w:r>
        <w:t xml:space="preserve">For boilers with capacities &lt;300 </w:t>
      </w:r>
      <w:proofErr w:type="spellStart"/>
      <w:r>
        <w:t>kBtuh</w:t>
      </w:r>
      <w:proofErr w:type="spellEnd"/>
      <w:r>
        <w:t xml:space="preserve"> the multiple regression analysis was found not to be </w:t>
      </w:r>
      <w:r w:rsidR="00015A5C">
        <w:t>reasonable</w:t>
      </w:r>
      <w:r>
        <w:t xml:space="preserve">. As such, the </w:t>
      </w:r>
      <w:r w:rsidR="000D6FDC">
        <w:t xml:space="preserve">average costs per </w:t>
      </w:r>
      <w:proofErr w:type="spellStart"/>
      <w:r w:rsidR="000D6FDC">
        <w:t>kBtuh</w:t>
      </w:r>
      <w:proofErr w:type="spellEnd"/>
      <w:r w:rsidR="000D6FDC">
        <w:t xml:space="preserve"> for all the eligible measure case boilers &lt;300 </w:t>
      </w:r>
      <w:proofErr w:type="spellStart"/>
      <w:r w:rsidR="000D6FDC">
        <w:t>kBtuh</w:t>
      </w:r>
      <w:proofErr w:type="spellEnd"/>
      <w:r w:rsidR="000D6FDC">
        <w:t xml:space="preserve"> was used for the measure material costs.  </w:t>
      </w:r>
    </w:p>
    <w:p w14:paraId="3BEC4E50" w14:textId="09A6A729" w:rsidR="008D1F0B" w:rsidRDefault="00DB5A6F" w:rsidP="008D1F0B">
      <w:pPr>
        <w:pStyle w:val="Norma"/>
      </w:pPr>
      <w:r>
        <w:t>Distributor quotes did not include pricing for steam boilers, so m</w:t>
      </w:r>
      <w:r w:rsidR="008D1F0B">
        <w:t>easure</w:t>
      </w:r>
      <w:r w:rsidR="008D1F0B" w:rsidRPr="00C44CEB">
        <w:t xml:space="preserve"> case equipment costs for steam boilers were obtained from the </w:t>
      </w:r>
      <w:r w:rsidR="008D1F0B" w:rsidRPr="00C44CEB">
        <w:rPr>
          <w:i/>
          <w:iCs/>
        </w:rPr>
        <w:t>2010-2012 WO017 Ex Ante Measure Cost Study</w:t>
      </w:r>
      <w:r w:rsidR="008D1F0B" w:rsidRPr="00C44CEB">
        <w:t xml:space="preserve"> conducted by </w:t>
      </w:r>
      <w:proofErr w:type="spellStart"/>
      <w:r w:rsidR="008D1F0B" w:rsidRPr="00C44CEB">
        <w:t>Itron</w:t>
      </w:r>
      <w:proofErr w:type="spellEnd"/>
      <w:r w:rsidR="008D1F0B" w:rsidRPr="00C44CEB">
        <w:t xml:space="preserve">, Inc. These costs were scaled to reflect </w:t>
      </w:r>
      <w:r w:rsidR="008D1F0B">
        <w:t>2020</w:t>
      </w:r>
      <w:r w:rsidR="008D1F0B" w:rsidRPr="00C44CEB">
        <w:t xml:space="preserve"> pricing using RS Means Historical Cost Index using the average price index across 12 California cities.</w:t>
      </w:r>
      <w:bookmarkStart w:id="75" w:name="_Ref69126855"/>
      <w:r w:rsidR="008D1F0B" w:rsidRPr="00C44CEB">
        <w:rPr>
          <w:rStyle w:val="FootnoteReference"/>
        </w:rPr>
        <w:footnoteReference w:id="12"/>
      </w:r>
      <w:bookmarkEnd w:id="75"/>
    </w:p>
    <w:p w14:paraId="7444B664" w14:textId="569BE250" w:rsidR="008D1F0B" w:rsidRDefault="008D1F0B" w:rsidP="008D1F0B">
      <w:pPr>
        <w:pStyle w:val="Norma"/>
      </w:pPr>
      <w:r w:rsidRPr="000429BF">
        <w:t xml:space="preserve">The WO017 Study did not report measure costs for the steam boiler 82% TE, &gt; 2,500 </w:t>
      </w:r>
      <w:proofErr w:type="spellStart"/>
      <w:r w:rsidRPr="000429BF">
        <w:t>kBtuh</w:t>
      </w:r>
      <w:proofErr w:type="spellEnd"/>
      <w:r w:rsidRPr="000429BF">
        <w:t xml:space="preserve">. Thus, the cost for this measure offering was determined using </w:t>
      </w:r>
      <w:r w:rsidR="004A1C00">
        <w:t>a multiple regression</w:t>
      </w:r>
      <w:r w:rsidRPr="000429BF">
        <w:t xml:space="preserve"> modeling approach outlined in the 2010-2012 WO017 Study. Costs are reported on a per input </w:t>
      </w:r>
      <w:proofErr w:type="spellStart"/>
      <w:r w:rsidRPr="000429BF">
        <w:t>kBtuh</w:t>
      </w:r>
      <w:proofErr w:type="spellEnd"/>
      <w:r w:rsidRPr="000429BF">
        <w:t xml:space="preserve"> basis. </w:t>
      </w:r>
    </w:p>
    <w:p w14:paraId="73851C7D" w14:textId="35460A27" w:rsidR="008D1F0B" w:rsidRPr="00C44CEB" w:rsidRDefault="00CE7900" w:rsidP="008D1F0B">
      <w:pPr>
        <w:pStyle w:val="Norma"/>
      </w:pPr>
      <w:r>
        <w:t xml:space="preserve">As a secondary check, </w:t>
      </w:r>
      <w:r w:rsidR="0090325C">
        <w:t>boiler costs</w:t>
      </w:r>
      <w:r w:rsidR="00196A36">
        <w:t xml:space="preserve"> were compared to online retailers in Q4 of 2020 </w:t>
      </w:r>
      <w:r w:rsidR="00DB5A6F">
        <w:t>and were found to be reasonable</w:t>
      </w:r>
      <w:r w:rsidR="00196A36">
        <w:t>.</w:t>
      </w:r>
    </w:p>
    <w:p w14:paraId="09E601DB" w14:textId="77777777" w:rsidR="009D322A" w:rsidRDefault="009D322A" w:rsidP="004142EF">
      <w:pPr>
        <w:pStyle w:val="Norma"/>
      </w:pPr>
    </w:p>
    <w:p w14:paraId="02691007" w14:textId="3C007D4F" w:rsidR="007D230B" w:rsidRPr="004B06E3" w:rsidRDefault="002E5874" w:rsidP="00462BB6">
      <w:pPr>
        <w:pStyle w:val="eTRMHeading3"/>
      </w:pPr>
      <w:bookmarkStart w:id="76" w:name="_Toc486490862"/>
      <w:bookmarkStart w:id="77" w:name="_Toc486580933"/>
      <w:bookmarkStart w:id="78" w:name="_Toc60150608"/>
      <w:bookmarkStart w:id="79" w:name="_Toc60310482"/>
      <w:r>
        <w:t xml:space="preserve">Base Case </w:t>
      </w:r>
      <w:r w:rsidR="007D230B" w:rsidRPr="004B06E3">
        <w:t>Labor Cost ($/unit)</w:t>
      </w:r>
      <w:bookmarkEnd w:id="76"/>
      <w:bookmarkEnd w:id="77"/>
      <w:bookmarkEnd w:id="78"/>
      <w:bookmarkEnd w:id="79"/>
    </w:p>
    <w:p w14:paraId="6B06EC5B" w14:textId="59193823" w:rsidR="006753F9" w:rsidRDefault="009D322A" w:rsidP="009D322A">
      <w:pPr>
        <w:pStyle w:val="Norma"/>
      </w:pPr>
      <w:r>
        <w:t>The base case installation labor</w:t>
      </w:r>
      <w:r w:rsidRPr="00D04744">
        <w:t xml:space="preserve"> </w:t>
      </w:r>
      <w:r w:rsidR="008D1F0B">
        <w:t xml:space="preserve">hours </w:t>
      </w:r>
      <w:r>
        <w:t xml:space="preserve">were obtained </w:t>
      </w:r>
      <w:r w:rsidRPr="00D04744">
        <w:t xml:space="preserve">from the </w:t>
      </w:r>
      <w:r w:rsidRPr="002F5593">
        <w:rPr>
          <w:i/>
          <w:iCs/>
        </w:rPr>
        <w:t>2010-2012 WO017 Ex Ante Measure Cost Study</w:t>
      </w:r>
      <w:r w:rsidRPr="00D04744">
        <w:t xml:space="preserve"> </w:t>
      </w:r>
      <w:r>
        <w:t xml:space="preserve">conducted by </w:t>
      </w:r>
      <w:proofErr w:type="spellStart"/>
      <w:r>
        <w:t>Itron</w:t>
      </w:r>
      <w:proofErr w:type="spellEnd"/>
      <w:r>
        <w:t>, Inc.</w:t>
      </w:r>
      <w:r w:rsidR="00061434">
        <w:t xml:space="preserve"> </w:t>
      </w:r>
      <w:r w:rsidR="008D1F0B">
        <w:t xml:space="preserve">Labor rate was determined using 2020 RS Means pricing for a </w:t>
      </w:r>
      <w:r w:rsidR="00A93343">
        <w:t>steamfitter and</w:t>
      </w:r>
      <w:r w:rsidR="008D1F0B">
        <w:t xml:space="preserve"> scaled to California pricing using the </w:t>
      </w:r>
      <w:r w:rsidR="008D1F0B" w:rsidRPr="00C44CEB">
        <w:t xml:space="preserve">RS Means </w:t>
      </w:r>
      <w:r w:rsidR="008D1F0B">
        <w:t>City</w:t>
      </w:r>
      <w:r w:rsidR="008D1F0B" w:rsidRPr="00C44CEB">
        <w:t xml:space="preserve"> Cost Index across </w:t>
      </w:r>
      <w:r w:rsidR="008D1F0B">
        <w:t>37</w:t>
      </w:r>
      <w:r w:rsidR="008D1F0B" w:rsidRPr="00C44CEB">
        <w:t xml:space="preserve"> California cities.</w:t>
      </w:r>
      <w:r w:rsidR="00A93343" w:rsidRPr="00A93343">
        <w:rPr>
          <w:vertAlign w:val="superscript"/>
        </w:rPr>
        <w:fldChar w:fldCharType="begin"/>
      </w:r>
      <w:r w:rsidR="00A93343" w:rsidRPr="00A93343">
        <w:rPr>
          <w:vertAlign w:val="superscript"/>
        </w:rPr>
        <w:instrText xml:space="preserve"> NOTEREF _Ref69126855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890A76">
        <w:rPr>
          <w:vertAlign w:val="superscript"/>
        </w:rPr>
        <w:t>11</w:t>
      </w:r>
      <w:r w:rsidR="00A93343" w:rsidRPr="00A93343">
        <w:rPr>
          <w:vertAlign w:val="superscript"/>
        </w:rPr>
        <w:fldChar w:fldCharType="end"/>
      </w:r>
      <w:r w:rsidR="00EB701B">
        <w:t xml:space="preserve"> </w:t>
      </w:r>
      <w:r w:rsidR="00EB701B" w:rsidRPr="00C44CEB">
        <w:t xml:space="preserve">Costs are reported on a per input </w:t>
      </w:r>
      <w:proofErr w:type="spellStart"/>
      <w:r w:rsidR="00EB701B" w:rsidRPr="00C44CEB">
        <w:t>kBtuh</w:t>
      </w:r>
      <w:proofErr w:type="spellEnd"/>
      <w:r w:rsidR="00EB701B" w:rsidRPr="00C44CEB">
        <w:t xml:space="preserve"> </w:t>
      </w:r>
      <w:proofErr w:type="spellStart"/>
      <w:r w:rsidR="00EB701B" w:rsidRPr="00C44CEB">
        <w:t>basis</w:t>
      </w:r>
      <w:r w:rsidR="00A93343">
        <w:t>.</w:t>
      </w:r>
      <w:r w:rsidR="00A93343" w:rsidRPr="00A93343">
        <w:rPr>
          <w:vertAlign w:val="superscript"/>
        </w:rPr>
        <w:fldChar w:fldCharType="begin"/>
      </w:r>
      <w:r w:rsidR="00A93343" w:rsidRPr="00A93343">
        <w:rPr>
          <w:vertAlign w:val="superscript"/>
        </w:rPr>
        <w:instrText xml:space="preserve"> NOTEREF _Ref69126939 \h </w:instrText>
      </w:r>
      <w:r w:rsidR="00A93343" w:rsidRPr="00A93343">
        <w:rPr>
          <w:vertAlign w:val="superscript"/>
        </w:rPr>
      </w:r>
      <w:r w:rsidR="00A93343" w:rsidRPr="00A93343">
        <w:rPr>
          <w:vertAlign w:val="superscript"/>
        </w:rPr>
        <w:fldChar w:fldCharType="separate"/>
      </w:r>
      <w:r w:rsidR="00890A76">
        <w:rPr>
          <w:b/>
          <w:bCs/>
          <w:vertAlign w:val="superscript"/>
        </w:rPr>
        <w:t>Error</w:t>
      </w:r>
      <w:proofErr w:type="spellEnd"/>
      <w:r w:rsidR="00890A76">
        <w:rPr>
          <w:b/>
          <w:bCs/>
          <w:vertAlign w:val="superscript"/>
        </w:rPr>
        <w:t>! Bookmark not defined.</w:t>
      </w:r>
      <w:r w:rsidR="00A93343" w:rsidRPr="00A93343">
        <w:rPr>
          <w:vertAlign w:val="superscript"/>
        </w:rPr>
        <w:fldChar w:fldCharType="end"/>
      </w:r>
    </w:p>
    <w:p w14:paraId="29807085" w14:textId="77777777" w:rsidR="00890293" w:rsidRPr="002E5874" w:rsidRDefault="00890293" w:rsidP="002E5874">
      <w:pPr>
        <w:pStyle w:val="Norma"/>
      </w:pPr>
    </w:p>
    <w:p w14:paraId="5E89BC5E" w14:textId="22B628A3" w:rsidR="002E5874" w:rsidRPr="004B06E3" w:rsidRDefault="002E5874" w:rsidP="002E5874">
      <w:pPr>
        <w:pStyle w:val="eTRMHeading3"/>
      </w:pPr>
      <w:bookmarkStart w:id="80" w:name="_Toc60150609"/>
      <w:bookmarkStart w:id="81" w:name="_Toc60310483"/>
      <w:r>
        <w:t xml:space="preserve">Measure Case </w:t>
      </w:r>
      <w:r w:rsidRPr="004B06E3">
        <w:t>Labor Cost ($/unit)</w:t>
      </w:r>
      <w:bookmarkEnd w:id="80"/>
      <w:bookmarkEnd w:id="81"/>
    </w:p>
    <w:p w14:paraId="6D8DAA2A" w14:textId="78204338" w:rsidR="008D1F0B" w:rsidRPr="000429BF" w:rsidRDefault="008D1F0B" w:rsidP="00DD6BE6">
      <w:pPr>
        <w:pStyle w:val="Norma"/>
      </w:pPr>
      <w:bookmarkStart w:id="82" w:name="_Toc486490863"/>
      <w:bookmarkStart w:id="83" w:name="_Toc486580934"/>
      <w:r>
        <w:t>The measure case installation labor</w:t>
      </w:r>
      <w:r w:rsidRPr="00D04744">
        <w:t xml:space="preserve"> </w:t>
      </w:r>
      <w:r>
        <w:t xml:space="preserve">hours were obtained </w:t>
      </w:r>
      <w:r w:rsidRPr="00D04744">
        <w:t xml:space="preserve">from the </w:t>
      </w:r>
      <w:r w:rsidRPr="002F5593">
        <w:rPr>
          <w:i/>
          <w:iCs/>
        </w:rPr>
        <w:t>2010-2012 WO017 Ex Ante Measure Cost Study</w:t>
      </w:r>
      <w:r w:rsidRPr="00D04744">
        <w:t xml:space="preserve"> </w:t>
      </w:r>
      <w:r>
        <w:t xml:space="preserve">conducted by </w:t>
      </w:r>
      <w:proofErr w:type="spellStart"/>
      <w:r>
        <w:t>Itron</w:t>
      </w:r>
      <w:proofErr w:type="spellEnd"/>
      <w:r>
        <w:t xml:space="preserve">, Inc. Labor rate was determined using 2020 RS Means pricing for a </w:t>
      </w:r>
      <w:r w:rsidR="00A93343">
        <w:t>steamfitter and</w:t>
      </w:r>
      <w:r>
        <w:t xml:space="preserve"> scaled to California pricing using the </w:t>
      </w:r>
      <w:r w:rsidRPr="00C44CEB">
        <w:t xml:space="preserve">RS Means </w:t>
      </w:r>
      <w:r>
        <w:t>City</w:t>
      </w:r>
      <w:r w:rsidRPr="00C44CEB">
        <w:t xml:space="preserve"> Cost Index across </w:t>
      </w:r>
      <w:r>
        <w:t>37</w:t>
      </w:r>
      <w:r w:rsidRPr="00C44CEB">
        <w:t xml:space="preserve"> California cities</w:t>
      </w:r>
      <w:r w:rsidR="00A93343">
        <w:t>.</w:t>
      </w:r>
      <w:r w:rsidR="00A93343" w:rsidRPr="00A93343">
        <w:rPr>
          <w:vertAlign w:val="superscript"/>
        </w:rPr>
        <w:t xml:space="preserve"> </w:t>
      </w:r>
      <w:r w:rsidR="00A93343" w:rsidRPr="00A93343">
        <w:rPr>
          <w:vertAlign w:val="superscript"/>
        </w:rPr>
        <w:fldChar w:fldCharType="begin"/>
      </w:r>
      <w:r w:rsidR="00A93343" w:rsidRPr="00A93343">
        <w:rPr>
          <w:vertAlign w:val="superscript"/>
        </w:rPr>
        <w:instrText xml:space="preserve"> NOTEREF _Ref69126855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890A76">
        <w:rPr>
          <w:vertAlign w:val="superscript"/>
        </w:rPr>
        <w:t>11</w:t>
      </w:r>
      <w:r w:rsidR="00A93343" w:rsidRPr="00A93343">
        <w:rPr>
          <w:vertAlign w:val="superscript"/>
        </w:rPr>
        <w:fldChar w:fldCharType="end"/>
      </w:r>
      <w:r w:rsidR="00EB701B">
        <w:t xml:space="preserve"> </w:t>
      </w:r>
      <w:r w:rsidR="00EB701B" w:rsidRPr="00C44CEB">
        <w:t xml:space="preserve">Costs are reported on a per input </w:t>
      </w:r>
      <w:proofErr w:type="spellStart"/>
      <w:r w:rsidR="00EB701B" w:rsidRPr="00C44CEB">
        <w:t>kBtuh</w:t>
      </w:r>
      <w:proofErr w:type="spellEnd"/>
      <w:r w:rsidR="00EB701B" w:rsidRPr="00C44CEB">
        <w:t xml:space="preserve"> basis</w:t>
      </w:r>
      <w:r w:rsidR="00A93343">
        <w:t>.</w:t>
      </w:r>
      <w:r w:rsidR="00A93343" w:rsidRPr="000429BF">
        <w:t xml:space="preserve"> </w:t>
      </w:r>
      <w:r w:rsidR="00A93343" w:rsidRPr="00A93343">
        <w:rPr>
          <w:vertAlign w:val="superscript"/>
        </w:rPr>
        <w:fldChar w:fldCharType="begin"/>
      </w:r>
      <w:r w:rsidR="00A93343" w:rsidRPr="00A93343">
        <w:rPr>
          <w:vertAlign w:val="superscript"/>
        </w:rPr>
        <w:instrText xml:space="preserve"> NOTEREF _Ref69126939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890A76">
        <w:rPr>
          <w:b/>
          <w:bCs/>
          <w:vertAlign w:val="superscript"/>
        </w:rPr>
        <w:t>Error! Bookmark not defined.</w:t>
      </w:r>
      <w:r w:rsidR="00A93343" w:rsidRPr="00A93343">
        <w:rPr>
          <w:vertAlign w:val="superscript"/>
        </w:rPr>
        <w:fldChar w:fldCharType="end"/>
      </w:r>
    </w:p>
    <w:p w14:paraId="63025F6B" w14:textId="77777777" w:rsidR="00DD6BE6" w:rsidRDefault="00DD6BE6" w:rsidP="00890293">
      <w:pPr>
        <w:pStyle w:val="Norma"/>
      </w:pPr>
    </w:p>
    <w:p w14:paraId="050D9183" w14:textId="110BA7CB" w:rsidR="007D230B" w:rsidRPr="004B06E3" w:rsidRDefault="004B06E3" w:rsidP="00462BB6">
      <w:pPr>
        <w:pStyle w:val="eTRMHeading3"/>
      </w:pPr>
      <w:bookmarkStart w:id="84" w:name="_Toc60150610"/>
      <w:bookmarkStart w:id="85" w:name="_Toc60310484"/>
      <w:r>
        <w:t>Net-to-Gross</w:t>
      </w:r>
      <w:bookmarkEnd w:id="82"/>
      <w:bookmarkEnd w:id="83"/>
      <w:r w:rsidR="008D4652">
        <w:t xml:space="preserve"> (NTG)</w:t>
      </w:r>
      <w:bookmarkEnd w:id="84"/>
      <w:bookmarkEnd w:id="85"/>
    </w:p>
    <w:p w14:paraId="74940D3A" w14:textId="75148F5B" w:rsidR="007D230B" w:rsidRPr="004B06E3" w:rsidRDefault="00AA3E2A" w:rsidP="004142EF">
      <w:pPr>
        <w:pStyle w:val="Norma"/>
      </w:pPr>
      <w:r w:rsidRPr="00860FEC">
        <w:t xml:space="preserve">The net-to-gross (NTG) ratio represents the portion of gross impacts that are determined to be directly </w:t>
      </w:r>
      <w:r w:rsidRPr="0063038A">
        <w:t xml:space="preserve">attributed to a specific program intervention. </w:t>
      </w:r>
      <w:r w:rsidR="0063038A" w:rsidRPr="0063038A">
        <w:t xml:space="preserve">This NTG value is based upon the average of all NTG ratios for all evaluated 2006 – 2008 commercial programs, as documented in the 2011 DEER Update Study conducted by </w:t>
      </w:r>
      <w:proofErr w:type="spellStart"/>
      <w:r w:rsidR="0063038A" w:rsidRPr="0063038A">
        <w:t>Itron</w:t>
      </w:r>
      <w:proofErr w:type="spellEnd"/>
      <w:r w:rsidR="0063038A" w:rsidRPr="0063038A">
        <w:t xml:space="preserve">, Inc. This sector average NTG (“default NTG”) is applicable to all energy </w:t>
      </w:r>
      <w:r w:rsidR="0063038A" w:rsidRPr="0063038A">
        <w:lastRenderedPageBreak/>
        <w:t>efficiency measures that have</w:t>
      </w:r>
      <w:r w:rsidR="0063038A" w:rsidRPr="00AF3038">
        <w:t xml:space="preserve"> been offered </w:t>
      </w:r>
      <w:r w:rsidR="0063038A">
        <w:t>through</w:t>
      </w:r>
      <w:r w:rsidR="0063038A" w:rsidRPr="00AF3038">
        <w:t xml:space="preserve"> commercial </w:t>
      </w:r>
      <w:r w:rsidR="0063038A">
        <w:t xml:space="preserve">sector </w:t>
      </w:r>
      <w:r w:rsidR="0063038A" w:rsidRPr="00AF3038">
        <w:t>programs for more than two years and for which impact evaluation results are not available.</w:t>
      </w:r>
    </w:p>
    <w:p w14:paraId="0D1CEED6" w14:textId="672644EA" w:rsidR="00DE1A0F" w:rsidRPr="0059426D" w:rsidRDefault="00DE1A0F" w:rsidP="00EA057C">
      <w:pPr>
        <w:pStyle w:val="Caption"/>
      </w:pPr>
      <w:r>
        <w:t>Net-to-Gross Ratios</w:t>
      </w:r>
    </w:p>
    <w:tbl>
      <w:tblPr>
        <w:tblStyle w:val="NormalTable"/>
        <w:tblW w:w="91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25"/>
        <w:gridCol w:w="900"/>
        <w:gridCol w:w="4950"/>
      </w:tblGrid>
      <w:tr w:rsidR="00AA3E2A" w:rsidRPr="0059426D" w14:paraId="0D2B92AF" w14:textId="662FBAEE" w:rsidTr="000429BF">
        <w:trPr>
          <w:cantSplit/>
          <w:trHeight w:val="20"/>
        </w:trPr>
        <w:tc>
          <w:tcPr>
            <w:tcW w:w="3325" w:type="dxa"/>
            <w:shd w:val="clear" w:color="000000" w:fill="F2F2F2" w:themeFill="background1" w:themeFillShade="F2"/>
            <w:vAlign w:val="bottom"/>
          </w:tcPr>
          <w:p w14:paraId="2A033AD8" w14:textId="3B553F77" w:rsidR="00AA3E2A" w:rsidRPr="0059426D" w:rsidRDefault="00177EB6"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900" w:type="dxa"/>
            <w:shd w:val="clear" w:color="000000" w:fill="F2F2F2" w:themeFill="background1" w:themeFillShade="F2"/>
            <w:vAlign w:val="bottom"/>
          </w:tcPr>
          <w:p w14:paraId="547E5263" w14:textId="4D6989E1" w:rsidR="00AA3E2A" w:rsidRPr="0059426D" w:rsidRDefault="00177EB6"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Value</w:t>
            </w:r>
          </w:p>
        </w:tc>
        <w:tc>
          <w:tcPr>
            <w:tcW w:w="4950" w:type="dxa"/>
            <w:shd w:val="clear" w:color="000000" w:fill="F2F2F2" w:themeFill="background1" w:themeFillShade="F2"/>
          </w:tcPr>
          <w:p w14:paraId="50233CF6" w14:textId="0C7F65AC" w:rsidR="00AA3E2A" w:rsidRDefault="00AA3E2A"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Source</w:t>
            </w:r>
          </w:p>
        </w:tc>
      </w:tr>
      <w:tr w:rsidR="00E33173" w:rsidRPr="0059426D" w14:paraId="682BF062" w14:textId="72E696E9" w:rsidTr="000429BF">
        <w:trPr>
          <w:cantSplit/>
          <w:trHeight w:val="20"/>
        </w:trPr>
        <w:tc>
          <w:tcPr>
            <w:tcW w:w="3325" w:type="dxa"/>
            <w:vAlign w:val="center"/>
          </w:tcPr>
          <w:p w14:paraId="03E3AA8A" w14:textId="37002618" w:rsidR="00E33173" w:rsidRDefault="00E33173" w:rsidP="0063038A">
            <w:pPr>
              <w:pStyle w:val="Norma"/>
              <w:keepNext/>
              <w:keepLines/>
              <w:spacing w:before="0" w:after="0" w:line="200" w:lineRule="atLeast"/>
              <w:rPr>
                <w:rFonts w:cs="Arial"/>
                <w:color w:val="000000"/>
                <w:sz w:val="20"/>
                <w:szCs w:val="20"/>
              </w:rPr>
            </w:pPr>
            <w:r w:rsidRPr="00177EB6">
              <w:rPr>
                <w:rFonts w:cs="Arial"/>
                <w:color w:val="000000"/>
                <w:sz w:val="20"/>
                <w:szCs w:val="20"/>
              </w:rPr>
              <w:t xml:space="preserve">NTG </w:t>
            </w:r>
            <w:r>
              <w:rPr>
                <w:rFonts w:cs="Arial"/>
                <w:color w:val="000000"/>
                <w:sz w:val="20"/>
                <w:szCs w:val="20"/>
              </w:rPr>
              <w:t>– Residential</w:t>
            </w:r>
          </w:p>
          <w:p w14:paraId="5BA6FA92" w14:textId="7F98A9B3" w:rsidR="00E33173" w:rsidRPr="00177EB6" w:rsidRDefault="00E33173" w:rsidP="0063038A">
            <w:pPr>
              <w:pStyle w:val="Norma"/>
              <w:keepNext/>
              <w:keepLines/>
              <w:spacing w:before="0" w:after="0" w:line="200" w:lineRule="atLeast"/>
              <w:rPr>
                <w:rFonts w:cstheme="minorHAnsi"/>
                <w:sz w:val="20"/>
                <w:szCs w:val="20"/>
              </w:rPr>
            </w:pPr>
            <w:r>
              <w:rPr>
                <w:rFonts w:cs="Arial"/>
                <w:color w:val="000000"/>
                <w:sz w:val="20"/>
                <w:szCs w:val="20"/>
              </w:rPr>
              <w:t xml:space="preserve">NTG ID: </w:t>
            </w:r>
            <w:r w:rsidRPr="000429BF">
              <w:rPr>
                <w:rFonts w:cs="Arial"/>
                <w:i/>
                <w:iCs/>
                <w:color w:val="000000"/>
                <w:sz w:val="20"/>
                <w:szCs w:val="20"/>
              </w:rPr>
              <w:t>Res-Default&gt;2</w:t>
            </w:r>
          </w:p>
        </w:tc>
        <w:tc>
          <w:tcPr>
            <w:tcW w:w="900" w:type="dxa"/>
            <w:shd w:val="clear" w:color="auto" w:fill="auto"/>
            <w:noWrap/>
            <w:vAlign w:val="center"/>
          </w:tcPr>
          <w:p w14:paraId="62F18FF1" w14:textId="358A9B99" w:rsidR="00E33173" w:rsidRPr="00DB2962" w:rsidRDefault="00E33173" w:rsidP="0063038A">
            <w:pPr>
              <w:pStyle w:val="Norma"/>
              <w:keepNext/>
              <w:keepLines/>
              <w:spacing w:before="0" w:after="0" w:line="200" w:lineRule="atLeast"/>
              <w:jc w:val="center"/>
              <w:rPr>
                <w:sz w:val="20"/>
                <w:szCs w:val="20"/>
              </w:rPr>
            </w:pPr>
            <w:r w:rsidRPr="00DB2962">
              <w:rPr>
                <w:sz w:val="20"/>
                <w:szCs w:val="20"/>
              </w:rPr>
              <w:t>0.</w:t>
            </w:r>
            <w:r>
              <w:rPr>
                <w:sz w:val="20"/>
                <w:szCs w:val="20"/>
              </w:rPr>
              <w:t>55</w:t>
            </w:r>
          </w:p>
        </w:tc>
        <w:tc>
          <w:tcPr>
            <w:tcW w:w="4950" w:type="dxa"/>
            <w:vMerge w:val="restart"/>
            <w:vAlign w:val="center"/>
          </w:tcPr>
          <w:p w14:paraId="133857EB" w14:textId="0A466FFA" w:rsidR="00E33173" w:rsidRPr="005466DB" w:rsidRDefault="00E33173" w:rsidP="005466DB">
            <w:pPr>
              <w:pStyle w:val="Norma"/>
              <w:keepNext/>
              <w:keepLines/>
              <w:spacing w:before="0" w:after="0" w:line="200" w:lineRule="atLeast"/>
              <w:rPr>
                <w:sz w:val="18"/>
                <w:szCs w:val="18"/>
              </w:rPr>
            </w:pPr>
            <w:proofErr w:type="spellStart"/>
            <w:r w:rsidRPr="005466DB">
              <w:rPr>
                <w:sz w:val="18"/>
                <w:szCs w:val="18"/>
              </w:rPr>
              <w:t>Itron</w:t>
            </w:r>
            <w:proofErr w:type="spellEnd"/>
            <w:r w:rsidRPr="005466DB">
              <w:rPr>
                <w:sz w:val="18"/>
                <w:szCs w:val="18"/>
              </w:rPr>
              <w:t xml:space="preserve">, Inc. 2011. </w:t>
            </w:r>
            <w:r w:rsidRPr="005466DB">
              <w:rPr>
                <w:i/>
                <w:sz w:val="18"/>
                <w:szCs w:val="18"/>
              </w:rPr>
              <w:t>DEER Database 2011 Update Documentation.</w:t>
            </w:r>
            <w:r w:rsidRPr="005466DB">
              <w:rPr>
                <w:sz w:val="18"/>
                <w:szCs w:val="18"/>
              </w:rPr>
              <w:t xml:space="preserve"> Prepared for the California Public Utilities Commission. Page</w:t>
            </w:r>
            <w:r>
              <w:rPr>
                <w:sz w:val="18"/>
                <w:szCs w:val="18"/>
              </w:rPr>
              <w:t>s</w:t>
            </w:r>
            <w:r w:rsidRPr="005466DB">
              <w:rPr>
                <w:sz w:val="18"/>
                <w:szCs w:val="18"/>
              </w:rPr>
              <w:t xml:space="preserve"> 15-4 Table 15-3.</w:t>
            </w:r>
          </w:p>
        </w:tc>
      </w:tr>
      <w:tr w:rsidR="00E33173" w:rsidRPr="0059426D" w14:paraId="5A29A2AA" w14:textId="77777777" w:rsidTr="000429BF">
        <w:trPr>
          <w:cantSplit/>
          <w:trHeight w:val="20"/>
        </w:trPr>
        <w:tc>
          <w:tcPr>
            <w:tcW w:w="3325" w:type="dxa"/>
            <w:vAlign w:val="center"/>
          </w:tcPr>
          <w:p w14:paraId="62A8F64F" w14:textId="4A62450F" w:rsidR="00E33173" w:rsidRDefault="00E33173" w:rsidP="001D1EF3">
            <w:pPr>
              <w:pStyle w:val="Norma"/>
              <w:keepNext/>
              <w:keepLines/>
              <w:spacing w:before="0" w:after="0" w:line="200" w:lineRule="atLeast"/>
              <w:rPr>
                <w:rFonts w:cs="Arial"/>
                <w:color w:val="000000"/>
                <w:sz w:val="20"/>
                <w:szCs w:val="20"/>
              </w:rPr>
            </w:pPr>
            <w:r w:rsidRPr="00177EB6">
              <w:rPr>
                <w:rFonts w:cs="Arial"/>
                <w:color w:val="000000"/>
                <w:sz w:val="20"/>
                <w:szCs w:val="20"/>
              </w:rPr>
              <w:t xml:space="preserve">NTG </w:t>
            </w:r>
            <w:r>
              <w:rPr>
                <w:rFonts w:cs="Arial"/>
                <w:color w:val="000000"/>
                <w:sz w:val="20"/>
                <w:szCs w:val="20"/>
              </w:rPr>
              <w:t>– Commercial</w:t>
            </w:r>
          </w:p>
          <w:p w14:paraId="7F2D1201" w14:textId="05BC8958" w:rsidR="00E33173" w:rsidRPr="00177EB6" w:rsidRDefault="00E33173" w:rsidP="001D1EF3">
            <w:pPr>
              <w:pStyle w:val="Norma"/>
              <w:keepNext/>
              <w:keepLines/>
              <w:spacing w:before="0" w:after="0" w:line="200" w:lineRule="atLeast"/>
              <w:rPr>
                <w:rFonts w:cs="Arial"/>
                <w:color w:val="000000"/>
                <w:sz w:val="20"/>
                <w:szCs w:val="20"/>
              </w:rPr>
            </w:pPr>
            <w:r>
              <w:rPr>
                <w:rFonts w:cs="Arial"/>
                <w:color w:val="000000"/>
                <w:sz w:val="20"/>
                <w:szCs w:val="20"/>
              </w:rPr>
              <w:t xml:space="preserve">NTG ID: </w:t>
            </w:r>
            <w:r w:rsidRPr="000429BF">
              <w:rPr>
                <w:rFonts w:cs="Arial"/>
                <w:i/>
                <w:iCs/>
                <w:color w:val="000000"/>
                <w:sz w:val="20"/>
                <w:szCs w:val="20"/>
              </w:rPr>
              <w:t>Com-Default&gt;2yrs</w:t>
            </w:r>
          </w:p>
        </w:tc>
        <w:tc>
          <w:tcPr>
            <w:tcW w:w="900" w:type="dxa"/>
            <w:shd w:val="clear" w:color="auto" w:fill="auto"/>
            <w:noWrap/>
            <w:vAlign w:val="center"/>
          </w:tcPr>
          <w:p w14:paraId="7F18ABC4" w14:textId="47DDD672" w:rsidR="00E33173" w:rsidRPr="00DB2962" w:rsidRDefault="00E33173" w:rsidP="001D1EF3">
            <w:pPr>
              <w:pStyle w:val="Norma"/>
              <w:keepNext/>
              <w:keepLines/>
              <w:spacing w:before="0" w:after="0" w:line="200" w:lineRule="atLeast"/>
              <w:jc w:val="center"/>
              <w:rPr>
                <w:sz w:val="20"/>
                <w:szCs w:val="20"/>
              </w:rPr>
            </w:pPr>
            <w:r w:rsidRPr="00DB2962">
              <w:rPr>
                <w:sz w:val="20"/>
                <w:szCs w:val="20"/>
              </w:rPr>
              <w:t>0.</w:t>
            </w:r>
            <w:r>
              <w:rPr>
                <w:sz w:val="20"/>
                <w:szCs w:val="20"/>
              </w:rPr>
              <w:t>60</w:t>
            </w:r>
          </w:p>
        </w:tc>
        <w:tc>
          <w:tcPr>
            <w:tcW w:w="4950" w:type="dxa"/>
            <w:vMerge/>
            <w:vAlign w:val="center"/>
          </w:tcPr>
          <w:p w14:paraId="708284B2" w14:textId="6A5BEC4D" w:rsidR="00E33173" w:rsidRPr="005466DB" w:rsidRDefault="00E33173" w:rsidP="00AE297E">
            <w:pPr>
              <w:pStyle w:val="Norma"/>
              <w:keepNext/>
              <w:keepLines/>
              <w:spacing w:before="0" w:after="0" w:line="200" w:lineRule="atLeast"/>
              <w:rPr>
                <w:sz w:val="20"/>
                <w:szCs w:val="20"/>
              </w:rPr>
            </w:pPr>
          </w:p>
        </w:tc>
      </w:tr>
      <w:tr w:rsidR="00F70066" w:rsidRPr="0059426D" w14:paraId="30F12809" w14:textId="77777777" w:rsidTr="000429BF">
        <w:trPr>
          <w:cantSplit/>
          <w:trHeight w:val="20"/>
        </w:trPr>
        <w:tc>
          <w:tcPr>
            <w:tcW w:w="3325" w:type="dxa"/>
            <w:vAlign w:val="center"/>
          </w:tcPr>
          <w:p w14:paraId="7458FBA6" w14:textId="77777777" w:rsidR="00F70066" w:rsidRDefault="00F70066" w:rsidP="00F70066">
            <w:pPr>
              <w:pStyle w:val="Norma"/>
              <w:keepNext/>
              <w:keepLines/>
              <w:spacing w:before="0" w:after="0" w:line="200" w:lineRule="atLeast"/>
              <w:rPr>
                <w:rFonts w:cs="Arial"/>
                <w:color w:val="000000"/>
                <w:sz w:val="20"/>
                <w:szCs w:val="20"/>
              </w:rPr>
            </w:pPr>
            <w:r>
              <w:rPr>
                <w:rFonts w:cs="Arial"/>
                <w:color w:val="000000"/>
                <w:sz w:val="20"/>
                <w:szCs w:val="20"/>
              </w:rPr>
              <w:t>NTG – Commercial (Downstream)</w:t>
            </w:r>
          </w:p>
          <w:p w14:paraId="0861B53D" w14:textId="14BAFA75" w:rsidR="00F70066" w:rsidRPr="00177EB6" w:rsidRDefault="00F70066" w:rsidP="00F70066">
            <w:pPr>
              <w:pStyle w:val="Norma"/>
              <w:keepNext/>
              <w:keepLines/>
              <w:spacing w:before="0" w:after="0" w:line="200" w:lineRule="atLeast"/>
              <w:rPr>
                <w:rFonts w:cs="Arial"/>
                <w:color w:val="000000"/>
                <w:sz w:val="20"/>
                <w:szCs w:val="20"/>
              </w:rPr>
            </w:pPr>
            <w:r>
              <w:rPr>
                <w:rFonts w:cs="Calibri Light"/>
                <w:iCs/>
                <w:sz w:val="20"/>
                <w:szCs w:val="20"/>
              </w:rPr>
              <w:t xml:space="preserve">NTG ID: </w:t>
            </w:r>
            <w:proofErr w:type="spellStart"/>
            <w:r w:rsidRPr="005C7EFC">
              <w:rPr>
                <w:rFonts w:cs="Calibri Light"/>
                <w:i/>
                <w:sz w:val="20"/>
                <w:szCs w:val="20"/>
              </w:rPr>
              <w:t>NonRes-sAll-mHVAC-NGBoiler</w:t>
            </w:r>
            <w:proofErr w:type="spellEnd"/>
          </w:p>
        </w:tc>
        <w:tc>
          <w:tcPr>
            <w:tcW w:w="900" w:type="dxa"/>
            <w:shd w:val="clear" w:color="auto" w:fill="auto"/>
            <w:noWrap/>
            <w:vAlign w:val="center"/>
          </w:tcPr>
          <w:p w14:paraId="2772A4DA" w14:textId="64270463" w:rsidR="00F70066" w:rsidRPr="00DB2962" w:rsidRDefault="00F70066" w:rsidP="00F70066">
            <w:pPr>
              <w:pStyle w:val="Norma"/>
              <w:keepNext/>
              <w:keepLines/>
              <w:spacing w:before="0" w:after="0" w:line="200" w:lineRule="atLeast"/>
              <w:jc w:val="center"/>
              <w:rPr>
                <w:sz w:val="20"/>
                <w:szCs w:val="20"/>
              </w:rPr>
            </w:pPr>
            <w:r>
              <w:rPr>
                <w:sz w:val="20"/>
                <w:szCs w:val="20"/>
              </w:rPr>
              <w:t>0.20</w:t>
            </w:r>
          </w:p>
        </w:tc>
        <w:tc>
          <w:tcPr>
            <w:tcW w:w="4950" w:type="dxa"/>
            <w:vMerge/>
            <w:vAlign w:val="center"/>
          </w:tcPr>
          <w:p w14:paraId="742B01CE" w14:textId="77777777" w:rsidR="00F70066" w:rsidRPr="005466DB" w:rsidRDefault="00F70066" w:rsidP="00F70066">
            <w:pPr>
              <w:pStyle w:val="Norma"/>
              <w:keepNext/>
              <w:keepLines/>
              <w:spacing w:before="0" w:after="0" w:line="200" w:lineRule="atLeast"/>
              <w:rPr>
                <w:sz w:val="20"/>
                <w:szCs w:val="20"/>
              </w:rPr>
            </w:pPr>
          </w:p>
        </w:tc>
      </w:tr>
    </w:tbl>
    <w:p w14:paraId="6ECC6493" w14:textId="77777777" w:rsidR="007D230B" w:rsidRPr="004B06E3" w:rsidRDefault="007D230B" w:rsidP="004142EF">
      <w:pPr>
        <w:pStyle w:val="Norma"/>
      </w:pPr>
    </w:p>
    <w:p w14:paraId="323B5B02" w14:textId="4C4B13DC" w:rsidR="007D230B" w:rsidRPr="004B06E3" w:rsidRDefault="00D02C36" w:rsidP="00462BB6">
      <w:pPr>
        <w:pStyle w:val="eTRMHeading3"/>
      </w:pPr>
      <w:bookmarkStart w:id="86" w:name="_Toc486490864"/>
      <w:bookmarkStart w:id="87" w:name="_Toc486580935"/>
      <w:bookmarkStart w:id="88" w:name="_Toc60150611"/>
      <w:bookmarkStart w:id="89" w:name="_Toc60310485"/>
      <w:r>
        <w:t>Gross Savings Installation Adjustment (</w:t>
      </w:r>
      <w:r w:rsidR="007D230B" w:rsidRPr="004B06E3">
        <w:t>GSIA</w:t>
      </w:r>
      <w:bookmarkEnd w:id="86"/>
      <w:bookmarkEnd w:id="87"/>
      <w:r>
        <w:t>)</w:t>
      </w:r>
      <w:bookmarkEnd w:id="88"/>
      <w:bookmarkEnd w:id="89"/>
    </w:p>
    <w:p w14:paraId="4E0A3706" w14:textId="77777777" w:rsidR="006173C9" w:rsidRDefault="006173C9" w:rsidP="006173C9">
      <w:pPr>
        <w:pStyle w:val="Norma"/>
      </w:pPr>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t>T</w:t>
      </w:r>
      <w:r w:rsidRPr="00AD00D3">
        <w:t xml:space="preserve">he </w:t>
      </w:r>
      <w:r>
        <w:t xml:space="preserve">assigned GSIA </w:t>
      </w:r>
      <w:r w:rsidRPr="00AD00D3">
        <w:t xml:space="preserve">value </w:t>
      </w:r>
      <w:r>
        <w:t xml:space="preserve">for this measure </w:t>
      </w:r>
      <w:r w:rsidRPr="00AD00D3">
        <w:t xml:space="preserve">is </w:t>
      </w:r>
      <w:r>
        <w:t>specified below</w:t>
      </w:r>
      <w:r w:rsidRPr="00B83999">
        <w:t>.</w:t>
      </w:r>
      <w:r>
        <w:t xml:space="preserve"> This GSIA rate is the current “default” rate specified for measures for which an alternative GSIA has not been estimated and approved.</w:t>
      </w:r>
    </w:p>
    <w:p w14:paraId="78EDCDE6" w14:textId="77777777" w:rsidR="006173C9" w:rsidRPr="0059426D" w:rsidRDefault="006173C9" w:rsidP="006173C9">
      <w:pPr>
        <w:pStyle w:val="Caption"/>
        <w:rPr>
          <w:b w:val="0"/>
        </w:rPr>
      </w:pPr>
      <w:r>
        <w:t>Gross Savings Installation Adjustment Rates</w:t>
      </w:r>
    </w:p>
    <w:tbl>
      <w:tblPr>
        <w:tblStyle w:val="NormalTable"/>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6173C9" w:rsidRPr="00052C24" w14:paraId="3EA9D5B3" w14:textId="77777777" w:rsidTr="00E563B9">
        <w:tc>
          <w:tcPr>
            <w:tcW w:w="2190" w:type="dxa"/>
            <w:shd w:val="clear" w:color="auto" w:fill="F2F2F2" w:themeFill="background1" w:themeFillShade="F2"/>
            <w:vAlign w:val="bottom"/>
          </w:tcPr>
          <w:p w14:paraId="5600DFE6" w14:textId="77777777" w:rsidR="006173C9" w:rsidRPr="00052C24" w:rsidRDefault="006173C9" w:rsidP="00E563B9">
            <w:pPr>
              <w:pStyle w:val="Norma"/>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7A9A5165" w14:textId="77777777" w:rsidR="006173C9" w:rsidRPr="00052C24" w:rsidRDefault="006173C9" w:rsidP="00E563B9">
            <w:pPr>
              <w:pStyle w:val="Norma"/>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0D317D8A" w14:textId="77777777" w:rsidR="006173C9" w:rsidRDefault="006173C9" w:rsidP="00E563B9">
            <w:pPr>
              <w:pStyle w:val="Norma"/>
              <w:keepNext/>
              <w:keepLines/>
              <w:spacing w:before="0" w:after="0" w:line="200" w:lineRule="atLeast"/>
              <w:jc w:val="center"/>
              <w:rPr>
                <w:b/>
                <w:sz w:val="20"/>
              </w:rPr>
            </w:pPr>
            <w:r>
              <w:rPr>
                <w:b/>
                <w:sz w:val="20"/>
              </w:rPr>
              <w:t>Source</w:t>
            </w:r>
          </w:p>
        </w:tc>
      </w:tr>
      <w:tr w:rsidR="006173C9" w:rsidRPr="009062D0" w14:paraId="2FF3FEAB" w14:textId="77777777" w:rsidTr="00E563B9">
        <w:trPr>
          <w:trHeight w:val="260"/>
        </w:trPr>
        <w:tc>
          <w:tcPr>
            <w:tcW w:w="2190" w:type="dxa"/>
            <w:vAlign w:val="center"/>
          </w:tcPr>
          <w:p w14:paraId="14780135" w14:textId="77777777" w:rsidR="006173C9" w:rsidRPr="00737DBC" w:rsidRDefault="006173C9" w:rsidP="00E563B9">
            <w:pPr>
              <w:pStyle w:val="Norma"/>
              <w:keepNext/>
              <w:keepLines/>
              <w:spacing w:before="0" w:after="0" w:line="200" w:lineRule="atLeast"/>
              <w:rPr>
                <w:sz w:val="20"/>
                <w:szCs w:val="20"/>
              </w:rPr>
            </w:pPr>
            <w:r w:rsidRPr="00737DBC">
              <w:rPr>
                <w:sz w:val="20"/>
                <w:szCs w:val="20"/>
              </w:rPr>
              <w:t>GSIA</w:t>
            </w:r>
          </w:p>
        </w:tc>
        <w:tc>
          <w:tcPr>
            <w:tcW w:w="1620" w:type="dxa"/>
            <w:shd w:val="clear" w:color="auto" w:fill="auto"/>
            <w:vAlign w:val="center"/>
          </w:tcPr>
          <w:p w14:paraId="5AD3052D" w14:textId="77777777" w:rsidR="006173C9" w:rsidRPr="009A4D1C" w:rsidRDefault="006173C9" w:rsidP="00E563B9">
            <w:pPr>
              <w:pStyle w:val="Norma"/>
              <w:keepNext/>
              <w:keepLines/>
              <w:spacing w:before="0" w:after="0" w:line="200" w:lineRule="atLeast"/>
              <w:jc w:val="center"/>
              <w:rPr>
                <w:sz w:val="20"/>
                <w:szCs w:val="20"/>
              </w:rPr>
            </w:pPr>
            <w:r w:rsidRPr="005A3B69">
              <w:rPr>
                <w:sz w:val="20"/>
                <w:szCs w:val="20"/>
              </w:rPr>
              <w:t>1.0</w:t>
            </w:r>
          </w:p>
        </w:tc>
        <w:tc>
          <w:tcPr>
            <w:tcW w:w="5640" w:type="dxa"/>
            <w:vAlign w:val="center"/>
          </w:tcPr>
          <w:p w14:paraId="6C7A6EA7" w14:textId="360E1D09" w:rsidR="00784E68" w:rsidRPr="002709DB" w:rsidRDefault="006173C9" w:rsidP="002709DB">
            <w:pPr>
              <w:pStyle w:val="Norma"/>
              <w:keepNext/>
              <w:keepLines/>
              <w:spacing w:before="0" w:after="0" w:line="240" w:lineRule="auto"/>
              <w:rPr>
                <w:rFonts w:eastAsia="Times New Roman" w:cs="Times New Roman"/>
                <w:color w:val="000000"/>
                <w:sz w:val="18"/>
                <w:szCs w:val="18"/>
              </w:rPr>
            </w:pPr>
            <w:r w:rsidRPr="002709DB">
              <w:rPr>
                <w:rFonts w:eastAsia="Times New Roman" w:cs="Times New Roman"/>
                <w:color w:val="000000"/>
                <w:sz w:val="18"/>
                <w:szCs w:val="18"/>
              </w:rPr>
              <w:t xml:space="preserve">California Public Utilities Commission (CPUC), Energy Division. 2013. </w:t>
            </w:r>
            <w:r w:rsidRPr="002709DB">
              <w:rPr>
                <w:rFonts w:eastAsia="Times New Roman" w:cs="Times New Roman"/>
                <w:i/>
                <w:color w:val="000000"/>
                <w:sz w:val="18"/>
                <w:szCs w:val="18"/>
              </w:rPr>
              <w:t>Energy Efficiency Policy Manual Version 5</w:t>
            </w:r>
            <w:r w:rsidRPr="002709DB">
              <w:rPr>
                <w:rFonts w:eastAsia="Times New Roman" w:cs="Times New Roman"/>
                <w:color w:val="000000"/>
                <w:sz w:val="18"/>
                <w:szCs w:val="18"/>
              </w:rPr>
              <w:t>. Page 31.</w:t>
            </w:r>
          </w:p>
        </w:tc>
      </w:tr>
    </w:tbl>
    <w:p w14:paraId="08395124" w14:textId="77777777" w:rsidR="00DE1A0F" w:rsidRDefault="00DE1A0F" w:rsidP="00DE1A0F">
      <w:pPr>
        <w:pStyle w:val="Norma"/>
        <w:rPr>
          <w:rFonts w:cs="Arial"/>
          <w:sz w:val="20"/>
          <w:szCs w:val="20"/>
        </w:rPr>
      </w:pPr>
    </w:p>
    <w:p w14:paraId="498C05E5" w14:textId="232D8547" w:rsidR="002C67DF" w:rsidRPr="004B06E3" w:rsidRDefault="002C67DF" w:rsidP="00462BB6">
      <w:pPr>
        <w:pStyle w:val="eTRMHeading3"/>
      </w:pPr>
      <w:bookmarkStart w:id="90" w:name="_Toc486490865"/>
      <w:bookmarkStart w:id="91" w:name="_Toc486580936"/>
      <w:bookmarkStart w:id="92" w:name="_Toc60150612"/>
      <w:bookmarkStart w:id="93" w:name="_Toc60310486"/>
      <w:r w:rsidRPr="004B06E3">
        <w:t xml:space="preserve">Non-Energy </w:t>
      </w:r>
      <w:bookmarkEnd w:id="90"/>
      <w:bookmarkEnd w:id="91"/>
      <w:r w:rsidR="00DA6B7E">
        <w:t>Impacts</w:t>
      </w:r>
      <w:bookmarkEnd w:id="92"/>
      <w:bookmarkEnd w:id="93"/>
    </w:p>
    <w:p w14:paraId="0D73FC70" w14:textId="27339D17" w:rsidR="00697A88" w:rsidRPr="00AC02BF" w:rsidRDefault="00697A88" w:rsidP="00697A88">
      <w:pPr>
        <w:pStyle w:val="Norma"/>
        <w:rPr>
          <w:rFonts w:cs="Arial"/>
          <w:szCs w:val="20"/>
        </w:rPr>
      </w:pPr>
      <w:r w:rsidRPr="00AC02BF">
        <w:rPr>
          <w:rFonts w:cs="Arial"/>
          <w:szCs w:val="20"/>
        </w:rPr>
        <w:t xml:space="preserve">Non-energy benefits for this measure have not been </w:t>
      </w:r>
      <w:r w:rsidR="009D7F4D" w:rsidRPr="00AC02BF">
        <w:rPr>
          <w:rFonts w:cs="Arial"/>
          <w:szCs w:val="20"/>
        </w:rPr>
        <w:t>quantified</w:t>
      </w:r>
      <w:r w:rsidRPr="00AC02BF">
        <w:rPr>
          <w:rFonts w:cs="Arial"/>
          <w:szCs w:val="20"/>
        </w:rPr>
        <w:t>.</w:t>
      </w:r>
    </w:p>
    <w:p w14:paraId="0C37F289" w14:textId="77777777" w:rsidR="00697A88" w:rsidRDefault="00697A88" w:rsidP="004142EF">
      <w:pPr>
        <w:pStyle w:val="Norma"/>
      </w:pPr>
    </w:p>
    <w:p w14:paraId="7D8551BB" w14:textId="760F7D39" w:rsidR="009C31A4" w:rsidRPr="004B06E3" w:rsidRDefault="009C31A4" w:rsidP="00462BB6">
      <w:pPr>
        <w:pStyle w:val="eTRMHeading3"/>
      </w:pPr>
      <w:bookmarkStart w:id="94" w:name="_Toc60150613"/>
      <w:bookmarkStart w:id="95" w:name="_Toc60310487"/>
      <w:r>
        <w:t>DEER Differences Analysis</w:t>
      </w:r>
      <w:bookmarkEnd w:id="94"/>
      <w:bookmarkEnd w:id="95"/>
    </w:p>
    <w:p w14:paraId="2370E922" w14:textId="097E28E9" w:rsidR="00DE14A7" w:rsidRDefault="003F21D2" w:rsidP="00AC02BF">
      <w:pPr>
        <w:pStyle w:val="Norma"/>
      </w:pPr>
      <w:r>
        <w:t xml:space="preserve">This section provides a summary of </w:t>
      </w:r>
      <w:r w:rsidR="0068497F">
        <w:t>inputs and methods from the Database of Energy Efficient Resources (</w:t>
      </w:r>
      <w:r>
        <w:t>DEER</w:t>
      </w:r>
      <w:r w:rsidR="0068497F">
        <w:t>)</w:t>
      </w:r>
      <w:r>
        <w:t>, and the rationale for inputs and methods that are not DEER-based.</w:t>
      </w:r>
      <w:r w:rsidR="0068497F">
        <w:t xml:space="preserve"> </w:t>
      </w:r>
    </w:p>
    <w:p w14:paraId="65DACC90" w14:textId="77777777" w:rsidR="002246D1" w:rsidRDefault="002246D1" w:rsidP="00EA057C">
      <w:pPr>
        <w:pStyle w:val="Caption"/>
      </w:pPr>
    </w:p>
    <w:p w14:paraId="756C62FB" w14:textId="24081A04" w:rsidR="00EA057C" w:rsidRPr="00920905" w:rsidRDefault="00EA057C" w:rsidP="00EA057C">
      <w:pPr>
        <w:pStyle w:val="Caption"/>
      </w:pPr>
      <w:r w:rsidRPr="00920905">
        <w:t>DEER Difference Summary</w:t>
      </w:r>
    </w:p>
    <w:tbl>
      <w:tblPr>
        <w:tblStyle w:val="NormalTable"/>
        <w:tblW w:w="50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057"/>
        <w:gridCol w:w="6478"/>
      </w:tblGrid>
      <w:tr w:rsidR="00EA057C" w:rsidRPr="00500C4E" w14:paraId="59D017C8" w14:textId="77777777" w:rsidTr="002709DB">
        <w:trPr>
          <w:trHeight w:val="20"/>
          <w:tblHeader/>
        </w:trPr>
        <w:tc>
          <w:tcPr>
            <w:tcW w:w="1603" w:type="pct"/>
            <w:shd w:val="clear" w:color="auto" w:fill="F2F2F2" w:themeFill="background1" w:themeFillShade="F2"/>
          </w:tcPr>
          <w:p w14:paraId="5A1E2CE5" w14:textId="77777777" w:rsidR="00EA057C" w:rsidRPr="00EA057C" w:rsidRDefault="00EA057C" w:rsidP="0082533C">
            <w:pPr>
              <w:pStyle w:val="Norma"/>
              <w:tabs>
                <w:tab w:val="right" w:pos="2957"/>
              </w:tabs>
              <w:spacing w:before="20" w:after="20"/>
              <w:rPr>
                <w:rFonts w:cs="Arial"/>
                <w:b/>
                <w:sz w:val="20"/>
                <w:szCs w:val="20"/>
              </w:rPr>
            </w:pPr>
            <w:r w:rsidRPr="00EA057C">
              <w:rPr>
                <w:rFonts w:cs="Arial"/>
                <w:b/>
                <w:sz w:val="20"/>
                <w:szCs w:val="20"/>
              </w:rPr>
              <w:t>DEER Item</w:t>
            </w:r>
          </w:p>
        </w:tc>
        <w:tc>
          <w:tcPr>
            <w:tcW w:w="3397" w:type="pct"/>
            <w:shd w:val="clear" w:color="auto" w:fill="F2F2F2" w:themeFill="background1" w:themeFillShade="F2"/>
          </w:tcPr>
          <w:p w14:paraId="52AD34D1" w14:textId="0CFF441B" w:rsidR="00EA057C" w:rsidRPr="00EA057C" w:rsidRDefault="00EA057C" w:rsidP="0082533C">
            <w:pPr>
              <w:pStyle w:val="Norma"/>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892C20" w:rsidRPr="00500C4E" w14:paraId="33003020" w14:textId="77777777" w:rsidTr="002709DB">
        <w:trPr>
          <w:trHeight w:val="20"/>
        </w:trPr>
        <w:tc>
          <w:tcPr>
            <w:tcW w:w="1603" w:type="pct"/>
          </w:tcPr>
          <w:p w14:paraId="1F2D360A" w14:textId="63854127" w:rsidR="00892C20" w:rsidRPr="005A3B69" w:rsidRDefault="00892C20" w:rsidP="00892C20">
            <w:pPr>
              <w:pStyle w:val="Norma"/>
              <w:spacing w:before="20" w:after="20"/>
              <w:rPr>
                <w:rFonts w:cs="Arial"/>
                <w:sz w:val="20"/>
                <w:szCs w:val="20"/>
              </w:rPr>
            </w:pPr>
            <w:r w:rsidRPr="005466DB">
              <w:rPr>
                <w:rFonts w:cs="Arial"/>
                <w:sz w:val="20"/>
                <w:szCs w:val="20"/>
              </w:rPr>
              <w:t>Modified DEER methodology</w:t>
            </w:r>
          </w:p>
        </w:tc>
        <w:tc>
          <w:tcPr>
            <w:tcW w:w="3397" w:type="pct"/>
          </w:tcPr>
          <w:p w14:paraId="247EE411" w14:textId="0A2166B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507422EA" w14:textId="77777777" w:rsidTr="002709DB">
        <w:trPr>
          <w:trHeight w:val="20"/>
        </w:trPr>
        <w:tc>
          <w:tcPr>
            <w:tcW w:w="1603" w:type="pct"/>
          </w:tcPr>
          <w:p w14:paraId="29430E33" w14:textId="3E6D2888" w:rsidR="00892C20" w:rsidRPr="005A3B69" w:rsidRDefault="00892C20" w:rsidP="00892C20">
            <w:pPr>
              <w:pStyle w:val="Norma"/>
              <w:spacing w:before="20" w:after="20"/>
              <w:rPr>
                <w:rFonts w:cs="Arial"/>
                <w:sz w:val="20"/>
                <w:szCs w:val="20"/>
              </w:rPr>
            </w:pPr>
            <w:r w:rsidRPr="005466DB">
              <w:rPr>
                <w:rFonts w:cs="Arial"/>
                <w:sz w:val="20"/>
                <w:szCs w:val="20"/>
              </w:rPr>
              <w:t>Scaled DEER measure</w:t>
            </w:r>
          </w:p>
        </w:tc>
        <w:tc>
          <w:tcPr>
            <w:tcW w:w="3397" w:type="pct"/>
          </w:tcPr>
          <w:p w14:paraId="0C847473" w14:textId="7CB8C4E4" w:rsidR="00892C20" w:rsidRPr="002709DB" w:rsidRDefault="00892C20" w:rsidP="00892C20">
            <w:pPr>
              <w:pStyle w:val="Norma"/>
              <w:spacing w:before="20" w:after="20"/>
              <w:rPr>
                <w:rFonts w:cs="Calibri Light"/>
                <w:sz w:val="20"/>
                <w:szCs w:val="20"/>
              </w:rPr>
            </w:pPr>
            <w:r w:rsidRPr="002709DB">
              <w:rPr>
                <w:rFonts w:cs="Arial"/>
                <w:sz w:val="20"/>
                <w:szCs w:val="20"/>
              </w:rPr>
              <w:t>No</w:t>
            </w:r>
          </w:p>
        </w:tc>
      </w:tr>
      <w:tr w:rsidR="00892C20" w:rsidRPr="00500C4E" w14:paraId="335CDE40" w14:textId="77777777" w:rsidTr="002709DB">
        <w:trPr>
          <w:trHeight w:val="20"/>
        </w:trPr>
        <w:tc>
          <w:tcPr>
            <w:tcW w:w="1603" w:type="pct"/>
          </w:tcPr>
          <w:p w14:paraId="126C3B42" w14:textId="576656B6" w:rsidR="00892C20" w:rsidRPr="00737DBC" w:rsidRDefault="00892C20" w:rsidP="00892C20">
            <w:pPr>
              <w:pStyle w:val="Norma"/>
              <w:spacing w:before="20" w:after="20"/>
              <w:rPr>
                <w:rFonts w:cs="Arial"/>
                <w:sz w:val="20"/>
                <w:szCs w:val="20"/>
              </w:rPr>
            </w:pPr>
            <w:r w:rsidRPr="005466DB">
              <w:rPr>
                <w:rFonts w:cs="Arial"/>
                <w:sz w:val="20"/>
                <w:szCs w:val="20"/>
              </w:rPr>
              <w:t>DEER Base Case</w:t>
            </w:r>
          </w:p>
        </w:tc>
        <w:tc>
          <w:tcPr>
            <w:tcW w:w="3397" w:type="pct"/>
          </w:tcPr>
          <w:p w14:paraId="5D2A1B0E" w14:textId="0C1975F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1F8399E1" w14:textId="77777777" w:rsidTr="002709DB">
        <w:trPr>
          <w:trHeight w:val="20"/>
        </w:trPr>
        <w:tc>
          <w:tcPr>
            <w:tcW w:w="1603" w:type="pct"/>
          </w:tcPr>
          <w:p w14:paraId="0CC701E3" w14:textId="47CE284B" w:rsidR="00892C20" w:rsidRPr="005A3B69" w:rsidRDefault="00892C20" w:rsidP="00892C20">
            <w:pPr>
              <w:pStyle w:val="Norma"/>
              <w:spacing w:before="20" w:after="20"/>
              <w:rPr>
                <w:rFonts w:cs="Arial"/>
                <w:sz w:val="20"/>
                <w:szCs w:val="20"/>
              </w:rPr>
            </w:pPr>
            <w:r w:rsidRPr="005466DB">
              <w:rPr>
                <w:rFonts w:cs="Arial"/>
                <w:sz w:val="20"/>
                <w:szCs w:val="20"/>
              </w:rPr>
              <w:t>DEER Measure Case</w:t>
            </w:r>
          </w:p>
        </w:tc>
        <w:tc>
          <w:tcPr>
            <w:tcW w:w="3397" w:type="pct"/>
          </w:tcPr>
          <w:p w14:paraId="49A023A0" w14:textId="4AEC904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663742C6" w14:textId="77777777" w:rsidTr="002709DB">
        <w:trPr>
          <w:trHeight w:val="20"/>
        </w:trPr>
        <w:tc>
          <w:tcPr>
            <w:tcW w:w="1603" w:type="pct"/>
          </w:tcPr>
          <w:p w14:paraId="16B2FDAB" w14:textId="7066BA45" w:rsidR="00892C20" w:rsidRPr="005A3B69" w:rsidRDefault="00892C20" w:rsidP="00892C20">
            <w:pPr>
              <w:pStyle w:val="Norma"/>
              <w:spacing w:before="20" w:after="20"/>
              <w:rPr>
                <w:rFonts w:cs="Arial"/>
                <w:sz w:val="20"/>
                <w:szCs w:val="20"/>
              </w:rPr>
            </w:pPr>
            <w:r w:rsidRPr="005466DB">
              <w:rPr>
                <w:rFonts w:cs="Arial"/>
                <w:sz w:val="20"/>
                <w:szCs w:val="20"/>
              </w:rPr>
              <w:t>DEER Building Types</w:t>
            </w:r>
          </w:p>
        </w:tc>
        <w:tc>
          <w:tcPr>
            <w:tcW w:w="3397" w:type="pct"/>
          </w:tcPr>
          <w:p w14:paraId="6BBA540C" w14:textId="3004CCCC"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424F1325" w14:textId="77777777" w:rsidTr="002709DB">
        <w:trPr>
          <w:trHeight w:val="20"/>
        </w:trPr>
        <w:tc>
          <w:tcPr>
            <w:tcW w:w="1603" w:type="pct"/>
          </w:tcPr>
          <w:p w14:paraId="71098DDA" w14:textId="43317EF5" w:rsidR="00892C20" w:rsidRPr="005A3B69" w:rsidRDefault="00892C20" w:rsidP="00892C20">
            <w:pPr>
              <w:pStyle w:val="Norma"/>
              <w:spacing w:before="20" w:after="20"/>
              <w:rPr>
                <w:rFonts w:cs="Arial"/>
                <w:sz w:val="20"/>
                <w:szCs w:val="20"/>
              </w:rPr>
            </w:pPr>
            <w:r w:rsidRPr="005466DB">
              <w:rPr>
                <w:rFonts w:cs="Arial"/>
                <w:sz w:val="20"/>
                <w:szCs w:val="20"/>
              </w:rPr>
              <w:t>DEER Operating Hours</w:t>
            </w:r>
          </w:p>
        </w:tc>
        <w:tc>
          <w:tcPr>
            <w:tcW w:w="3397" w:type="pct"/>
          </w:tcPr>
          <w:p w14:paraId="1693E1EE" w14:textId="5CE05678"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0B93AD47" w14:textId="77777777" w:rsidTr="002709DB">
        <w:trPr>
          <w:trHeight w:val="20"/>
        </w:trPr>
        <w:tc>
          <w:tcPr>
            <w:tcW w:w="1603" w:type="pct"/>
          </w:tcPr>
          <w:p w14:paraId="6E9E484F" w14:textId="25620ECA" w:rsidR="00892C20" w:rsidRPr="005A3B69" w:rsidRDefault="00892C20" w:rsidP="00892C20">
            <w:pPr>
              <w:pStyle w:val="Norma"/>
              <w:spacing w:before="20" w:after="20"/>
              <w:rPr>
                <w:rFonts w:cs="Arial"/>
                <w:sz w:val="20"/>
                <w:szCs w:val="20"/>
              </w:rPr>
            </w:pPr>
            <w:r w:rsidRPr="005466DB">
              <w:rPr>
                <w:rFonts w:cs="Arial"/>
                <w:sz w:val="20"/>
                <w:szCs w:val="20"/>
              </w:rPr>
              <w:t xml:space="preserve">DEER </w:t>
            </w:r>
            <w:proofErr w:type="spellStart"/>
            <w:r w:rsidRPr="005466DB">
              <w:rPr>
                <w:rFonts w:cs="Arial"/>
                <w:sz w:val="20"/>
                <w:szCs w:val="20"/>
              </w:rPr>
              <w:t>eQUEST</w:t>
            </w:r>
            <w:proofErr w:type="spellEnd"/>
            <w:r w:rsidRPr="005466DB">
              <w:rPr>
                <w:rFonts w:cs="Arial"/>
                <w:sz w:val="20"/>
                <w:szCs w:val="20"/>
              </w:rPr>
              <w:t xml:space="preserve"> Prototypes</w:t>
            </w:r>
          </w:p>
        </w:tc>
        <w:tc>
          <w:tcPr>
            <w:tcW w:w="3397" w:type="pct"/>
          </w:tcPr>
          <w:p w14:paraId="4948DEAF" w14:textId="3DDE2304" w:rsidR="00892C20" w:rsidRPr="002709DB" w:rsidDel="00505CEC"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2CFDE9D3" w14:textId="77777777" w:rsidTr="002709DB">
        <w:trPr>
          <w:trHeight w:val="180"/>
        </w:trPr>
        <w:tc>
          <w:tcPr>
            <w:tcW w:w="1603" w:type="pct"/>
          </w:tcPr>
          <w:p w14:paraId="3B6B3E22" w14:textId="0DF21CCF" w:rsidR="00892C20" w:rsidRPr="00737DBC" w:rsidRDefault="00892C20" w:rsidP="00892C20">
            <w:pPr>
              <w:pStyle w:val="Norma"/>
              <w:spacing w:before="20" w:after="20"/>
              <w:rPr>
                <w:rFonts w:cs="Arial"/>
                <w:sz w:val="20"/>
                <w:szCs w:val="20"/>
              </w:rPr>
            </w:pPr>
            <w:r w:rsidRPr="005466DB">
              <w:rPr>
                <w:rFonts w:cs="Arial"/>
                <w:sz w:val="20"/>
                <w:szCs w:val="20"/>
              </w:rPr>
              <w:lastRenderedPageBreak/>
              <w:t>DEER Version</w:t>
            </w:r>
          </w:p>
        </w:tc>
        <w:tc>
          <w:tcPr>
            <w:tcW w:w="3397" w:type="pct"/>
          </w:tcPr>
          <w:p w14:paraId="1C3B60D1" w14:textId="1C47E833" w:rsidR="00892C20" w:rsidRPr="00737DBC" w:rsidRDefault="00892C20" w:rsidP="00892C20">
            <w:pPr>
              <w:pStyle w:val="Norma"/>
              <w:spacing w:before="20" w:after="20"/>
              <w:rPr>
                <w:rFonts w:cs="Calibri Light"/>
                <w:color w:val="FF0000"/>
                <w:sz w:val="20"/>
                <w:szCs w:val="20"/>
              </w:rPr>
            </w:pPr>
            <w:r w:rsidRPr="005466DB">
              <w:rPr>
                <w:rFonts w:cstheme="minorHAnsi"/>
                <w:sz w:val="20"/>
                <w:szCs w:val="20"/>
              </w:rPr>
              <w:t>DEER 2020, READI v2.5.1</w:t>
            </w:r>
          </w:p>
        </w:tc>
      </w:tr>
      <w:tr w:rsidR="00892C20" w:rsidRPr="00500C4E" w14:paraId="3B7464D7" w14:textId="77777777" w:rsidTr="002709DB">
        <w:trPr>
          <w:trHeight w:val="20"/>
        </w:trPr>
        <w:tc>
          <w:tcPr>
            <w:tcW w:w="1603" w:type="pct"/>
          </w:tcPr>
          <w:p w14:paraId="24000A76" w14:textId="0DA3AC72" w:rsidR="00892C20" w:rsidRPr="005A3B69" w:rsidRDefault="00892C20" w:rsidP="00892C20">
            <w:pPr>
              <w:pStyle w:val="Norma"/>
              <w:spacing w:before="20" w:after="20"/>
              <w:rPr>
                <w:rFonts w:cs="Arial"/>
                <w:sz w:val="20"/>
                <w:szCs w:val="20"/>
              </w:rPr>
            </w:pPr>
            <w:r w:rsidRPr="005466DB">
              <w:rPr>
                <w:rFonts w:cs="Arial"/>
                <w:sz w:val="20"/>
                <w:szCs w:val="20"/>
              </w:rPr>
              <w:t>Reason for Deviation from DEER</w:t>
            </w:r>
          </w:p>
        </w:tc>
        <w:tc>
          <w:tcPr>
            <w:tcW w:w="3397" w:type="pct"/>
          </w:tcPr>
          <w:p w14:paraId="125AAB90" w14:textId="5B1B4291" w:rsidR="00892C20" w:rsidRPr="00737DBC" w:rsidRDefault="00892C20" w:rsidP="00892C20">
            <w:pPr>
              <w:pStyle w:val="Norma"/>
              <w:spacing w:before="20" w:after="20"/>
              <w:rPr>
                <w:rFonts w:cs="Calibri Light"/>
                <w:color w:val="FF0000"/>
                <w:sz w:val="20"/>
                <w:szCs w:val="20"/>
              </w:rPr>
            </w:pPr>
            <w:r w:rsidRPr="005466DB">
              <w:rPr>
                <w:rFonts w:cs="Arial"/>
                <w:sz w:val="20"/>
                <w:szCs w:val="20"/>
              </w:rPr>
              <w:t>DEER does not include boiler measures for the Multifamily (</w:t>
            </w:r>
            <w:proofErr w:type="spellStart"/>
            <w:r w:rsidRPr="005466DB">
              <w:rPr>
                <w:rFonts w:cs="Arial"/>
                <w:sz w:val="20"/>
                <w:szCs w:val="20"/>
              </w:rPr>
              <w:t>MFm</w:t>
            </w:r>
            <w:proofErr w:type="spellEnd"/>
            <w:r w:rsidRPr="005466DB">
              <w:rPr>
                <w:rFonts w:cs="Arial"/>
                <w:sz w:val="20"/>
                <w:szCs w:val="20"/>
              </w:rPr>
              <w:t xml:space="preserve">) building type. </w:t>
            </w:r>
          </w:p>
        </w:tc>
      </w:tr>
      <w:tr w:rsidR="00926180" w:rsidRPr="00500C4E" w14:paraId="4A7EE859" w14:textId="77777777" w:rsidTr="002709DB">
        <w:trPr>
          <w:trHeight w:val="20"/>
        </w:trPr>
        <w:tc>
          <w:tcPr>
            <w:tcW w:w="1603" w:type="pct"/>
          </w:tcPr>
          <w:p w14:paraId="7B4D686A" w14:textId="7D35FDC4" w:rsidR="00926180" w:rsidRPr="005A3B69" w:rsidRDefault="00926180" w:rsidP="00926180">
            <w:pPr>
              <w:pStyle w:val="Norma"/>
              <w:spacing w:before="20" w:after="20"/>
              <w:rPr>
                <w:rFonts w:cs="Arial"/>
                <w:sz w:val="20"/>
                <w:szCs w:val="20"/>
              </w:rPr>
            </w:pPr>
            <w:r w:rsidRPr="005466DB">
              <w:rPr>
                <w:rFonts w:cs="Arial"/>
                <w:sz w:val="20"/>
                <w:szCs w:val="20"/>
              </w:rPr>
              <w:t>DEER Measure IDs Used</w:t>
            </w:r>
          </w:p>
        </w:tc>
        <w:tc>
          <w:tcPr>
            <w:tcW w:w="3397" w:type="pct"/>
          </w:tcPr>
          <w:p w14:paraId="1D0372F6"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NG-HVAC-Blr-Stm-300to2500kBtuh-82p0Et-Drft</w:t>
            </w:r>
          </w:p>
          <w:p w14:paraId="285E1119"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NG-HVAC-Blr-Stm-gt2500kBtuh-80p0Et-Drft</w:t>
            </w:r>
          </w:p>
          <w:p w14:paraId="3BC2BBBB"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NG-HVAC-Blr-Stm-gt2500kBtuh-82p0Et-Drft</w:t>
            </w:r>
          </w:p>
          <w:p w14:paraId="38A8D1FF"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NG-HVAC-Blr-HW-300to2500kBtuh-85p0Et-Drft</w:t>
            </w:r>
          </w:p>
          <w:p w14:paraId="3F8CEE0A" w14:textId="77777777" w:rsidR="00926180" w:rsidRDefault="00926180" w:rsidP="00926180">
            <w:pPr>
              <w:pStyle w:val="Norma"/>
              <w:spacing w:beforeLines="20" w:before="48" w:afterLines="20" w:after="48"/>
              <w:rPr>
                <w:rFonts w:cs="Arial"/>
                <w:sz w:val="20"/>
                <w:szCs w:val="20"/>
              </w:rPr>
            </w:pPr>
            <w:r w:rsidRPr="005466DB">
              <w:rPr>
                <w:rFonts w:cs="Arial"/>
                <w:sz w:val="20"/>
                <w:szCs w:val="20"/>
              </w:rPr>
              <w:t>NG-HVAC-Blr-HW-300to2500kBtuh-94p0Et-CndStd</w:t>
            </w:r>
          </w:p>
          <w:p w14:paraId="1C94DDA3"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NG-HVAC-Blr-HW-300to2500kBtuh-94p0Et-Cnd</w:t>
            </w:r>
            <w:r>
              <w:rPr>
                <w:rFonts w:cs="Arial"/>
                <w:sz w:val="20"/>
                <w:szCs w:val="20"/>
              </w:rPr>
              <w:t>Low</w:t>
            </w:r>
          </w:p>
          <w:p w14:paraId="16076E30"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NG-HVAC-Blr-HW-gt2500kBtuh-83p0Et-Drft</w:t>
            </w:r>
          </w:p>
          <w:p w14:paraId="361AF537" w14:textId="77777777" w:rsidR="00926180" w:rsidRPr="005466DB" w:rsidRDefault="00926180" w:rsidP="00926180">
            <w:pPr>
              <w:pStyle w:val="Norma"/>
              <w:spacing w:beforeLines="20" w:before="48" w:afterLines="20" w:after="48"/>
              <w:rPr>
                <w:rFonts w:cs="Arial"/>
                <w:sz w:val="20"/>
                <w:szCs w:val="20"/>
              </w:rPr>
            </w:pPr>
            <w:r w:rsidRPr="005466DB">
              <w:rPr>
                <w:rFonts w:cs="Arial"/>
                <w:sz w:val="20"/>
                <w:szCs w:val="20"/>
              </w:rPr>
              <w:t>NG-HVAC-Blr-HW-gt2500kBtuh-94p0Et-CndStd</w:t>
            </w:r>
          </w:p>
          <w:p w14:paraId="63ABA251" w14:textId="433E0749" w:rsidR="00926180" w:rsidRPr="005A3B69" w:rsidRDefault="00926180" w:rsidP="00926180">
            <w:pPr>
              <w:pStyle w:val="Norma"/>
              <w:spacing w:beforeLines="20" w:before="48" w:afterLines="20" w:after="48"/>
              <w:rPr>
                <w:rFonts w:eastAsia="Times New Roman" w:cs="Calibri Light"/>
                <w:color w:val="000000"/>
                <w:sz w:val="20"/>
                <w:szCs w:val="20"/>
              </w:rPr>
            </w:pPr>
            <w:r w:rsidRPr="005466DB">
              <w:rPr>
                <w:rFonts w:cs="Arial"/>
                <w:sz w:val="20"/>
                <w:szCs w:val="20"/>
              </w:rPr>
              <w:t>NG-HVAC-Blr-HW-gt2500kBtuh-94p0Et-Cnd</w:t>
            </w:r>
            <w:r>
              <w:rPr>
                <w:rFonts w:cs="Arial"/>
                <w:sz w:val="20"/>
                <w:szCs w:val="20"/>
              </w:rPr>
              <w:t>Low</w:t>
            </w:r>
          </w:p>
        </w:tc>
      </w:tr>
      <w:tr w:rsidR="00926180" w:rsidRPr="00500C4E" w14:paraId="096D1528" w14:textId="77777777" w:rsidTr="002709DB">
        <w:trPr>
          <w:trHeight w:val="20"/>
        </w:trPr>
        <w:tc>
          <w:tcPr>
            <w:tcW w:w="1603" w:type="pct"/>
          </w:tcPr>
          <w:p w14:paraId="524520A4" w14:textId="1997127F" w:rsidR="00926180" w:rsidRPr="005466DB" w:rsidRDefault="00926180" w:rsidP="00926180">
            <w:pPr>
              <w:pStyle w:val="Norma"/>
              <w:spacing w:before="20" w:after="20"/>
              <w:rPr>
                <w:rFonts w:cs="Arial"/>
                <w:sz w:val="20"/>
                <w:szCs w:val="20"/>
              </w:rPr>
            </w:pPr>
            <w:r w:rsidRPr="007C6349">
              <w:rPr>
                <w:rFonts w:cs="Calibri Light"/>
                <w:sz w:val="20"/>
                <w:szCs w:val="20"/>
              </w:rPr>
              <w:t>NTG</w:t>
            </w:r>
          </w:p>
        </w:tc>
        <w:tc>
          <w:tcPr>
            <w:tcW w:w="3397" w:type="pct"/>
          </w:tcPr>
          <w:p w14:paraId="66A8478D" w14:textId="77777777" w:rsidR="00926180" w:rsidRDefault="00926180" w:rsidP="00926180">
            <w:pPr>
              <w:pStyle w:val="Norma"/>
              <w:spacing w:beforeLines="20" w:before="48" w:afterLines="20" w:after="48"/>
              <w:rPr>
                <w:rFonts w:cs="Calibri Light"/>
                <w:i/>
                <w:sz w:val="20"/>
                <w:szCs w:val="20"/>
              </w:rPr>
            </w:pPr>
            <w:r w:rsidRPr="007C6349">
              <w:rPr>
                <w:rFonts w:cs="Calibri Light"/>
                <w:sz w:val="20"/>
                <w:szCs w:val="20"/>
              </w:rPr>
              <w:t>Source: DEER</w:t>
            </w:r>
            <w:r>
              <w:rPr>
                <w:rFonts w:cs="Calibri Light"/>
                <w:sz w:val="20"/>
                <w:szCs w:val="20"/>
              </w:rPr>
              <w:t xml:space="preserve"> 2019</w:t>
            </w:r>
            <w:r w:rsidRPr="007C6349">
              <w:rPr>
                <w:rFonts w:cs="Calibri Light"/>
                <w:sz w:val="20"/>
                <w:szCs w:val="20"/>
              </w:rPr>
              <w:t>. The NTG of 0.6</w:t>
            </w:r>
            <w:r>
              <w:rPr>
                <w:rFonts w:cs="Calibri Light"/>
                <w:sz w:val="20"/>
                <w:szCs w:val="20"/>
              </w:rPr>
              <w:t>0</w:t>
            </w:r>
            <w:r w:rsidRPr="007C6349">
              <w:rPr>
                <w:rFonts w:cs="Calibri Light"/>
                <w:sz w:val="20"/>
                <w:szCs w:val="20"/>
              </w:rPr>
              <w:t xml:space="preserve"> is associated with NTG ID: </w:t>
            </w:r>
            <w:r>
              <w:rPr>
                <w:rFonts w:cs="Calibri Light"/>
                <w:i/>
                <w:sz w:val="20"/>
                <w:szCs w:val="20"/>
              </w:rPr>
              <w:t>Com-Default&gt;2yrs.</w:t>
            </w:r>
            <w:r w:rsidRPr="007C6349">
              <w:rPr>
                <w:rFonts w:cs="Calibri Light"/>
                <w:sz w:val="20"/>
                <w:szCs w:val="20"/>
              </w:rPr>
              <w:t xml:space="preserve"> The NTG of 0.</w:t>
            </w:r>
            <w:r>
              <w:rPr>
                <w:rFonts w:cs="Calibri Light"/>
                <w:sz w:val="20"/>
                <w:szCs w:val="20"/>
              </w:rPr>
              <w:t>55</w:t>
            </w:r>
            <w:r w:rsidRPr="007C6349">
              <w:rPr>
                <w:rFonts w:cs="Calibri Light"/>
                <w:sz w:val="20"/>
                <w:szCs w:val="20"/>
              </w:rPr>
              <w:t xml:space="preserve"> is associated with NTG ID: </w:t>
            </w:r>
            <w:r>
              <w:rPr>
                <w:rFonts w:cs="Calibri Light"/>
                <w:i/>
                <w:sz w:val="20"/>
                <w:szCs w:val="20"/>
              </w:rPr>
              <w:t>Res-Default&gt;2.</w:t>
            </w:r>
          </w:p>
          <w:p w14:paraId="41021F07" w14:textId="34610494" w:rsidR="00926180" w:rsidRPr="00E76FF7" w:rsidRDefault="00926180" w:rsidP="00926180">
            <w:pPr>
              <w:pStyle w:val="Norma"/>
              <w:spacing w:beforeLines="20" w:before="48" w:afterLines="20" w:after="48"/>
              <w:rPr>
                <w:rFonts w:cs="Calibri Light"/>
                <w:i/>
                <w:sz w:val="20"/>
                <w:szCs w:val="20"/>
              </w:rPr>
            </w:pPr>
            <w:r w:rsidRPr="00E33173">
              <w:rPr>
                <w:rFonts w:cs="Calibri Light"/>
                <w:iCs/>
                <w:sz w:val="20"/>
                <w:szCs w:val="20"/>
              </w:rPr>
              <w:t>Source:</w:t>
            </w:r>
            <w:r>
              <w:rPr>
                <w:rFonts w:cs="Calibri Light"/>
                <w:i/>
                <w:sz w:val="20"/>
                <w:szCs w:val="20"/>
              </w:rPr>
              <w:t xml:space="preserve"> </w:t>
            </w:r>
            <w:r w:rsidRPr="00BB1D17">
              <w:rPr>
                <w:rFonts w:cs="Calibri Light"/>
                <w:iCs/>
                <w:sz w:val="20"/>
                <w:szCs w:val="20"/>
              </w:rPr>
              <w:t>D</w:t>
            </w:r>
            <w:r>
              <w:rPr>
                <w:rFonts w:cs="Calibri Light"/>
                <w:iCs/>
                <w:sz w:val="20"/>
                <w:szCs w:val="20"/>
              </w:rPr>
              <w:t>EER</w:t>
            </w:r>
            <w:r w:rsidRPr="00BB1D17">
              <w:rPr>
                <w:rFonts w:cs="Calibri Light"/>
                <w:iCs/>
                <w:sz w:val="20"/>
                <w:szCs w:val="20"/>
              </w:rPr>
              <w:t xml:space="preserve"> 2022. </w:t>
            </w:r>
            <w:r>
              <w:rPr>
                <w:rFonts w:cs="Calibri Light"/>
                <w:iCs/>
                <w:sz w:val="20"/>
                <w:szCs w:val="20"/>
              </w:rPr>
              <w:t xml:space="preserve">The NTG of 0.20 is associated with NTG ID: </w:t>
            </w:r>
            <w:proofErr w:type="spellStart"/>
            <w:r w:rsidRPr="00B616BD">
              <w:rPr>
                <w:rFonts w:cs="Calibri Light"/>
                <w:i/>
                <w:sz w:val="20"/>
                <w:szCs w:val="20"/>
              </w:rPr>
              <w:t>NonRes-sAll-mHVAC-NGBoiler</w:t>
            </w:r>
            <w:proofErr w:type="spellEnd"/>
            <w:r>
              <w:rPr>
                <w:rFonts w:cs="Calibri Light"/>
                <w:iCs/>
                <w:sz w:val="20"/>
                <w:szCs w:val="20"/>
              </w:rPr>
              <w:t xml:space="preserve"> </w:t>
            </w:r>
            <w:r w:rsidRPr="00B616BD">
              <w:rPr>
                <w:rFonts w:cs="Calibri Light"/>
                <w:iCs/>
                <w:sz w:val="20"/>
                <w:szCs w:val="20"/>
              </w:rPr>
              <w:t>per CPUC Resolution E-5082</w:t>
            </w:r>
          </w:p>
        </w:tc>
      </w:tr>
      <w:tr w:rsidR="00926180" w:rsidRPr="00500C4E" w14:paraId="6890ABFD" w14:textId="77777777" w:rsidTr="002709DB">
        <w:trPr>
          <w:trHeight w:val="20"/>
        </w:trPr>
        <w:tc>
          <w:tcPr>
            <w:tcW w:w="1603" w:type="pct"/>
          </w:tcPr>
          <w:p w14:paraId="06ED03C5" w14:textId="38C1D04E" w:rsidR="00926180" w:rsidRPr="005466DB" w:rsidRDefault="00926180" w:rsidP="00926180">
            <w:pPr>
              <w:pStyle w:val="Norma"/>
              <w:spacing w:before="20" w:after="20"/>
              <w:rPr>
                <w:rFonts w:cs="Arial"/>
                <w:sz w:val="20"/>
                <w:szCs w:val="20"/>
              </w:rPr>
            </w:pPr>
            <w:r w:rsidRPr="007C6349">
              <w:rPr>
                <w:rFonts w:cs="Calibri Light"/>
                <w:sz w:val="20"/>
                <w:szCs w:val="20"/>
              </w:rPr>
              <w:t>GSIA</w:t>
            </w:r>
          </w:p>
        </w:tc>
        <w:tc>
          <w:tcPr>
            <w:tcW w:w="3397" w:type="pct"/>
          </w:tcPr>
          <w:p w14:paraId="4DB66014" w14:textId="3C122BEA" w:rsidR="00926180" w:rsidRPr="005466DB" w:rsidRDefault="00926180" w:rsidP="00926180">
            <w:pPr>
              <w:pStyle w:val="Norma"/>
              <w:spacing w:beforeLines="20" w:before="48" w:afterLines="20" w:after="48"/>
              <w:rPr>
                <w:rFonts w:cs="Arial"/>
                <w:sz w:val="20"/>
                <w:szCs w:val="20"/>
              </w:rPr>
            </w:pPr>
            <w:r w:rsidRPr="007C6349">
              <w:rPr>
                <w:rFonts w:cs="Calibri Light"/>
                <w:sz w:val="20"/>
                <w:szCs w:val="20"/>
              </w:rPr>
              <w:t>Source: DEER</w:t>
            </w:r>
            <w:r>
              <w:rPr>
                <w:rFonts w:cs="Calibri Light"/>
                <w:sz w:val="20"/>
                <w:szCs w:val="20"/>
              </w:rPr>
              <w:t xml:space="preserve"> 2011</w:t>
            </w:r>
            <w:r w:rsidRPr="007C6349">
              <w:rPr>
                <w:rFonts w:cs="Calibri Light"/>
                <w:sz w:val="20"/>
                <w:szCs w:val="20"/>
              </w:rPr>
              <w:t xml:space="preserve">. The GSIA of 1.0 is associated with GSIA ID: </w:t>
            </w:r>
            <w:r w:rsidRPr="007C6349">
              <w:rPr>
                <w:rFonts w:cs="Calibri Light"/>
                <w:i/>
                <w:sz w:val="20"/>
                <w:szCs w:val="20"/>
              </w:rPr>
              <w:t>Def-GSIA</w:t>
            </w:r>
          </w:p>
        </w:tc>
      </w:tr>
      <w:tr w:rsidR="00926180" w:rsidRPr="00500C4E" w14:paraId="20B96A60" w14:textId="77777777" w:rsidTr="002709DB">
        <w:trPr>
          <w:trHeight w:val="20"/>
        </w:trPr>
        <w:tc>
          <w:tcPr>
            <w:tcW w:w="1603" w:type="pct"/>
          </w:tcPr>
          <w:p w14:paraId="05B41DA6" w14:textId="6B254553" w:rsidR="00926180" w:rsidRPr="005466DB" w:rsidRDefault="00926180" w:rsidP="00926180">
            <w:pPr>
              <w:pStyle w:val="Norma"/>
              <w:spacing w:before="20" w:after="20"/>
              <w:rPr>
                <w:rFonts w:cs="Arial"/>
                <w:sz w:val="20"/>
                <w:szCs w:val="20"/>
              </w:rPr>
            </w:pPr>
            <w:r w:rsidRPr="007C6349">
              <w:rPr>
                <w:rFonts w:cs="Calibri Light"/>
                <w:sz w:val="20"/>
                <w:szCs w:val="20"/>
              </w:rPr>
              <w:t>EUL/RUL</w:t>
            </w:r>
          </w:p>
        </w:tc>
        <w:tc>
          <w:tcPr>
            <w:tcW w:w="3397" w:type="pct"/>
          </w:tcPr>
          <w:p w14:paraId="69E2112A" w14:textId="20F2BF1A" w:rsidR="00926180" w:rsidRPr="005466DB" w:rsidRDefault="00926180" w:rsidP="00926180">
            <w:pPr>
              <w:pStyle w:val="Norma"/>
              <w:spacing w:beforeLines="20" w:before="48" w:afterLines="20" w:after="48"/>
              <w:rPr>
                <w:rFonts w:cs="Arial"/>
                <w:sz w:val="20"/>
                <w:szCs w:val="20"/>
              </w:rPr>
            </w:pPr>
            <w:r w:rsidRPr="007C6349">
              <w:rPr>
                <w:rFonts w:cs="Calibri Light"/>
                <w:sz w:val="20"/>
                <w:szCs w:val="20"/>
              </w:rPr>
              <w:t>Source: DEER 20</w:t>
            </w:r>
            <w:r>
              <w:rPr>
                <w:rFonts w:cs="Calibri Light"/>
                <w:sz w:val="20"/>
                <w:szCs w:val="20"/>
              </w:rPr>
              <w:t>13</w:t>
            </w:r>
            <w:r w:rsidRPr="007C6349">
              <w:rPr>
                <w:rFonts w:cs="Calibri Light"/>
                <w:sz w:val="20"/>
                <w:szCs w:val="20"/>
              </w:rPr>
              <w:t xml:space="preserve">. The value of </w:t>
            </w:r>
            <w:r>
              <w:rPr>
                <w:rFonts w:cs="Calibri Light"/>
                <w:sz w:val="20"/>
                <w:szCs w:val="20"/>
              </w:rPr>
              <w:t>20</w:t>
            </w:r>
            <w:r w:rsidRPr="007C6349">
              <w:rPr>
                <w:rFonts w:cs="Calibri Light"/>
                <w:sz w:val="20"/>
                <w:szCs w:val="20"/>
              </w:rPr>
              <w:t xml:space="preserve"> years is associated with EUL ID: </w:t>
            </w:r>
            <w:r>
              <w:rPr>
                <w:rFonts w:cs="Calibri Light"/>
                <w:i/>
                <w:sz w:val="20"/>
                <w:szCs w:val="20"/>
              </w:rPr>
              <w:t>HVAC-</w:t>
            </w:r>
            <w:proofErr w:type="spellStart"/>
            <w:r>
              <w:rPr>
                <w:rFonts w:cs="Calibri Light"/>
                <w:i/>
                <w:sz w:val="20"/>
                <w:szCs w:val="20"/>
              </w:rPr>
              <w:t>Blr</w:t>
            </w:r>
            <w:proofErr w:type="spellEnd"/>
          </w:p>
        </w:tc>
      </w:tr>
    </w:tbl>
    <w:p w14:paraId="3D440479" w14:textId="7616D25E" w:rsidR="00EA057C" w:rsidRDefault="00EA057C" w:rsidP="0082533C">
      <w:pPr>
        <w:pStyle w:val="Norma"/>
      </w:pPr>
      <w:bookmarkStart w:id="96" w:name="_Hlk516051142"/>
    </w:p>
    <w:p w14:paraId="59542C0D" w14:textId="77777777" w:rsidR="007D230B" w:rsidRDefault="007D230B" w:rsidP="00462BB6">
      <w:pPr>
        <w:pStyle w:val="eTRMHeading3"/>
      </w:pPr>
      <w:bookmarkStart w:id="97" w:name="_Toc486490866"/>
      <w:bookmarkStart w:id="98" w:name="_Toc486580937"/>
      <w:bookmarkStart w:id="99" w:name="_Toc60150614"/>
      <w:bookmarkStart w:id="100" w:name="_Toc60310488"/>
      <w:bookmarkStart w:id="101" w:name="_Hlk516047558"/>
      <w:r w:rsidRPr="004B06E3">
        <w:lastRenderedPageBreak/>
        <w:t>Revision History</w:t>
      </w:r>
      <w:bookmarkEnd w:id="97"/>
      <w:bookmarkEnd w:id="98"/>
      <w:bookmarkEnd w:id="99"/>
      <w:bookmarkEnd w:id="100"/>
    </w:p>
    <w:p w14:paraId="3661732B" w14:textId="50EC4C0F" w:rsidR="00CA1CB3" w:rsidRDefault="00742F88" w:rsidP="00742F88">
      <w:pPr>
        <w:pStyle w:val="Caption"/>
      </w:pPr>
      <w:bookmarkStart w:id="102" w:name="_Hlk515959178"/>
      <w:r>
        <w:t>Measure Characterization Revision History</w:t>
      </w:r>
    </w:p>
    <w:tbl>
      <w:tblPr>
        <w:tblStyle w:val="NormalTable"/>
        <w:tblW w:w="505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3"/>
        <w:gridCol w:w="1575"/>
        <w:gridCol w:w="1711"/>
        <w:gridCol w:w="5216"/>
      </w:tblGrid>
      <w:tr w:rsidR="00CA1CB3" w:rsidRPr="00500C4E" w14:paraId="1904D58C" w14:textId="6E96D877" w:rsidTr="007C711E">
        <w:trPr>
          <w:trHeight w:val="20"/>
        </w:trPr>
        <w:tc>
          <w:tcPr>
            <w:tcW w:w="499" w:type="pct"/>
            <w:shd w:val="clear" w:color="auto" w:fill="F2F2F2" w:themeFill="background1" w:themeFillShade="F2"/>
            <w:vAlign w:val="bottom"/>
          </w:tcPr>
          <w:p w14:paraId="5365A71C" w14:textId="5EB86E00" w:rsidR="00CA1CB3" w:rsidRPr="00EA057C" w:rsidRDefault="00CA1CB3" w:rsidP="00871123">
            <w:pPr>
              <w:pStyle w:val="Norma"/>
              <w:keepNext/>
              <w:keepLines/>
              <w:tabs>
                <w:tab w:val="right" w:pos="2957"/>
              </w:tabs>
              <w:spacing w:before="20" w:after="20"/>
              <w:rPr>
                <w:rFonts w:cs="Arial"/>
                <w:b/>
                <w:sz w:val="20"/>
                <w:szCs w:val="20"/>
              </w:rPr>
            </w:pPr>
            <w:r>
              <w:rPr>
                <w:rFonts w:cs="Arial"/>
                <w:b/>
                <w:sz w:val="20"/>
                <w:szCs w:val="20"/>
              </w:rPr>
              <w:lastRenderedPageBreak/>
              <w:t>Revision Number</w:t>
            </w:r>
          </w:p>
        </w:tc>
        <w:tc>
          <w:tcPr>
            <w:tcW w:w="834" w:type="pct"/>
            <w:shd w:val="clear" w:color="auto" w:fill="F2F2F2" w:themeFill="background1" w:themeFillShade="F2"/>
            <w:vAlign w:val="bottom"/>
          </w:tcPr>
          <w:p w14:paraId="7DC8BCED" w14:textId="54BC0795" w:rsidR="00CA1CB3" w:rsidRPr="00EA057C" w:rsidRDefault="002709DB" w:rsidP="00871123">
            <w:pPr>
              <w:pStyle w:val="Norma"/>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06" w:type="pct"/>
            <w:shd w:val="clear" w:color="auto" w:fill="F2F2F2" w:themeFill="background1" w:themeFillShade="F2"/>
            <w:vAlign w:val="bottom"/>
          </w:tcPr>
          <w:p w14:paraId="10DC2402" w14:textId="63223EB6" w:rsidR="00CA1CB3" w:rsidRDefault="00CA1CB3" w:rsidP="00871123">
            <w:pPr>
              <w:pStyle w:val="Norma"/>
              <w:keepNext/>
              <w:keepLines/>
              <w:spacing w:before="20" w:after="20"/>
              <w:rPr>
                <w:rFonts w:cs="Arial"/>
                <w:b/>
                <w:sz w:val="20"/>
                <w:szCs w:val="20"/>
              </w:rPr>
            </w:pPr>
            <w:r>
              <w:rPr>
                <w:rFonts w:cs="Arial"/>
                <w:b/>
                <w:sz w:val="20"/>
                <w:szCs w:val="20"/>
              </w:rPr>
              <w:t>Primary Author, Title, Organization</w:t>
            </w:r>
          </w:p>
        </w:tc>
        <w:tc>
          <w:tcPr>
            <w:tcW w:w="2761" w:type="pct"/>
            <w:shd w:val="clear" w:color="auto" w:fill="F2F2F2" w:themeFill="background1" w:themeFillShade="F2"/>
            <w:vAlign w:val="bottom"/>
          </w:tcPr>
          <w:p w14:paraId="27C17E65" w14:textId="222C519C" w:rsidR="00CA1CB3" w:rsidRDefault="00CA1CB3" w:rsidP="00871123">
            <w:pPr>
              <w:pStyle w:val="Norma"/>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pStyle w:val="Norma"/>
              <w:keepNext/>
              <w:keepLines/>
              <w:spacing w:before="20" w:after="20"/>
              <w:rPr>
                <w:rFonts w:cs="Arial"/>
                <w:b/>
                <w:sz w:val="20"/>
                <w:szCs w:val="20"/>
              </w:rPr>
            </w:pPr>
            <w:r>
              <w:rPr>
                <w:rFonts w:cs="Arial"/>
                <w:b/>
                <w:sz w:val="20"/>
                <w:szCs w:val="20"/>
              </w:rPr>
              <w:t>Effective Date and Approved By</w:t>
            </w:r>
          </w:p>
        </w:tc>
      </w:tr>
      <w:tr w:rsidR="00485730" w:rsidRPr="00CA1CB3" w14:paraId="0A9DBD7D" w14:textId="04A29668" w:rsidTr="007C711E">
        <w:trPr>
          <w:trHeight w:val="20"/>
        </w:trPr>
        <w:tc>
          <w:tcPr>
            <w:tcW w:w="499" w:type="pct"/>
            <w:vMerge w:val="restart"/>
          </w:tcPr>
          <w:p w14:paraId="38788C98" w14:textId="650C945D" w:rsidR="00485730" w:rsidRPr="00CA1CB3" w:rsidRDefault="00485730" w:rsidP="00871123">
            <w:pPr>
              <w:pStyle w:val="Norma"/>
              <w:keepNext/>
              <w:keepLines/>
              <w:spacing w:before="20" w:after="20"/>
              <w:rPr>
                <w:rFonts w:cs="Arial"/>
                <w:sz w:val="20"/>
                <w:szCs w:val="20"/>
              </w:rPr>
            </w:pPr>
            <w:r w:rsidRPr="00CA1CB3">
              <w:rPr>
                <w:rFonts w:cs="Arial"/>
                <w:sz w:val="20"/>
                <w:szCs w:val="20"/>
              </w:rPr>
              <w:t>0</w:t>
            </w:r>
            <w:r>
              <w:rPr>
                <w:rFonts w:cs="Arial"/>
                <w:sz w:val="20"/>
                <w:szCs w:val="20"/>
              </w:rPr>
              <w:t>1</w:t>
            </w:r>
          </w:p>
        </w:tc>
        <w:tc>
          <w:tcPr>
            <w:tcW w:w="834" w:type="pct"/>
          </w:tcPr>
          <w:p w14:paraId="03B67B1D" w14:textId="57B9A0B4" w:rsidR="00485730" w:rsidRPr="009B610A" w:rsidRDefault="00485730" w:rsidP="00871123">
            <w:pPr>
              <w:pStyle w:val="Norma"/>
              <w:keepNext/>
              <w:keepLines/>
              <w:spacing w:before="20" w:after="20"/>
              <w:rPr>
                <w:rFonts w:cs="Arial"/>
                <w:sz w:val="20"/>
                <w:szCs w:val="20"/>
              </w:rPr>
            </w:pPr>
            <w:r w:rsidRPr="009B610A">
              <w:rPr>
                <w:rFonts w:cs="Arial"/>
                <w:sz w:val="20"/>
                <w:szCs w:val="20"/>
              </w:rPr>
              <w:t>06/30/2018</w:t>
            </w:r>
          </w:p>
        </w:tc>
        <w:tc>
          <w:tcPr>
            <w:tcW w:w="906" w:type="pct"/>
          </w:tcPr>
          <w:p w14:paraId="24160CE8" w14:textId="00B7658B" w:rsidR="00485730" w:rsidRPr="009B610A" w:rsidRDefault="00485730" w:rsidP="00871123">
            <w:pPr>
              <w:pStyle w:val="Norma"/>
              <w:keepNext/>
              <w:keepLines/>
              <w:spacing w:before="20" w:after="20"/>
              <w:rPr>
                <w:rFonts w:cs="Arial"/>
                <w:sz w:val="20"/>
                <w:szCs w:val="20"/>
              </w:rPr>
            </w:pPr>
            <w:r w:rsidRPr="009B610A">
              <w:rPr>
                <w:rFonts w:cs="Arial"/>
                <w:sz w:val="20"/>
                <w:szCs w:val="20"/>
              </w:rPr>
              <w:t>Jennifer Holmes</w:t>
            </w:r>
          </w:p>
          <w:p w14:paraId="32D154D7" w14:textId="0FB8154E" w:rsidR="00485730" w:rsidRPr="009B610A" w:rsidRDefault="00485730" w:rsidP="00871123">
            <w:pPr>
              <w:pStyle w:val="Norma"/>
              <w:keepNext/>
              <w:keepLines/>
              <w:spacing w:before="20" w:after="20"/>
              <w:rPr>
                <w:rFonts w:cs="Arial"/>
                <w:sz w:val="20"/>
                <w:szCs w:val="20"/>
              </w:rPr>
            </w:pPr>
            <w:r w:rsidRPr="009B610A">
              <w:rPr>
                <w:rFonts w:cs="Arial"/>
                <w:sz w:val="20"/>
                <w:szCs w:val="20"/>
              </w:rPr>
              <w:t>Cal TF Staff</w:t>
            </w:r>
          </w:p>
        </w:tc>
        <w:tc>
          <w:tcPr>
            <w:tcW w:w="2761" w:type="pct"/>
          </w:tcPr>
          <w:p w14:paraId="0C93091A" w14:textId="77777777" w:rsidR="00485730" w:rsidRDefault="00485730" w:rsidP="00871123">
            <w:pPr>
              <w:pStyle w:val="Norma"/>
              <w:keepNext/>
              <w:keepLines/>
              <w:spacing w:before="20" w:after="20"/>
              <w:rPr>
                <w:rFonts w:cs="Arial"/>
                <w:sz w:val="20"/>
                <w:szCs w:val="20"/>
              </w:rPr>
            </w:pPr>
            <w:r>
              <w:rPr>
                <w:rFonts w:cs="Arial"/>
                <w:sz w:val="20"/>
                <w:szCs w:val="20"/>
              </w:rPr>
              <w:t>Draft of consolidated text for this statewide measure is based upon:</w:t>
            </w:r>
          </w:p>
          <w:p w14:paraId="7E91526C" w14:textId="0238C69A" w:rsidR="00485730" w:rsidRDefault="00485730" w:rsidP="009B610A">
            <w:pPr>
              <w:pStyle w:val="Norma"/>
              <w:keepNext/>
              <w:keepLines/>
              <w:spacing w:before="20" w:after="20"/>
              <w:rPr>
                <w:rFonts w:cs="Arial"/>
                <w:sz w:val="20"/>
                <w:szCs w:val="20"/>
              </w:rPr>
            </w:pPr>
            <w:r>
              <w:rPr>
                <w:rFonts w:cs="Arial"/>
                <w:sz w:val="20"/>
                <w:szCs w:val="20"/>
              </w:rPr>
              <w:t>PGECOHVC101, Revision 6 (January 1, 2017)</w:t>
            </w:r>
          </w:p>
          <w:p w14:paraId="5727C215" w14:textId="0F6E3CF4" w:rsidR="00485730" w:rsidRDefault="00485730" w:rsidP="009B610A">
            <w:pPr>
              <w:pStyle w:val="Norma"/>
              <w:keepNext/>
              <w:keepLines/>
              <w:spacing w:before="20" w:after="20"/>
              <w:rPr>
                <w:rFonts w:cs="Arial"/>
                <w:sz w:val="20"/>
                <w:szCs w:val="20"/>
              </w:rPr>
            </w:pPr>
            <w:r>
              <w:t>WPSDGENRHC1061, Revision 1 (September 23, 2016) – short form</w:t>
            </w:r>
          </w:p>
          <w:p w14:paraId="18BE178C" w14:textId="55925A97" w:rsidR="00485730" w:rsidRDefault="00485730" w:rsidP="009B610A">
            <w:pPr>
              <w:pStyle w:val="Norma"/>
              <w:keepNext/>
              <w:keepLines/>
              <w:spacing w:before="20" w:after="20"/>
              <w:rPr>
                <w:rFonts w:cs="Arial"/>
                <w:sz w:val="20"/>
                <w:szCs w:val="20"/>
              </w:rPr>
            </w:pPr>
            <w:r>
              <w:rPr>
                <w:rFonts w:cs="Arial"/>
                <w:sz w:val="20"/>
                <w:szCs w:val="20"/>
              </w:rPr>
              <w:t>WPSCGNRHC12026A, Revision 4 (March 17, 2014)</w:t>
            </w:r>
          </w:p>
          <w:p w14:paraId="6C70C36F" w14:textId="77AAD84D" w:rsidR="00485730" w:rsidRPr="00CA1CB3" w:rsidRDefault="00485730" w:rsidP="009B610A">
            <w:pPr>
              <w:pStyle w:val="Norma"/>
              <w:keepNext/>
              <w:keepLines/>
              <w:spacing w:before="20" w:after="20"/>
              <w:rPr>
                <w:rFonts w:cs="Arial"/>
                <w:sz w:val="20"/>
                <w:szCs w:val="20"/>
              </w:rPr>
            </w:pPr>
            <w:r>
              <w:rPr>
                <w:rFonts w:cs="Arial"/>
                <w:sz w:val="20"/>
                <w:szCs w:val="20"/>
              </w:rPr>
              <w:t>Consensus reached among Cal TF members.</w:t>
            </w:r>
          </w:p>
        </w:tc>
      </w:tr>
      <w:tr w:rsidR="00485730" w:rsidRPr="00CA1CB3" w14:paraId="092B323D" w14:textId="77777777" w:rsidTr="007C711E">
        <w:trPr>
          <w:trHeight w:val="20"/>
        </w:trPr>
        <w:tc>
          <w:tcPr>
            <w:tcW w:w="499" w:type="pct"/>
            <w:vMerge/>
          </w:tcPr>
          <w:p w14:paraId="0BD4D078" w14:textId="2BD3D8A9" w:rsidR="00485730" w:rsidRPr="00CA1CB3" w:rsidRDefault="00485730" w:rsidP="00871123">
            <w:pPr>
              <w:pStyle w:val="Norma"/>
              <w:keepNext/>
              <w:keepLines/>
              <w:spacing w:before="20" w:after="20"/>
              <w:rPr>
                <w:rFonts w:cs="Arial"/>
                <w:sz w:val="20"/>
                <w:szCs w:val="20"/>
              </w:rPr>
            </w:pPr>
          </w:p>
        </w:tc>
        <w:tc>
          <w:tcPr>
            <w:tcW w:w="834" w:type="pct"/>
          </w:tcPr>
          <w:p w14:paraId="7E4E5505" w14:textId="5275F488" w:rsidR="00485730" w:rsidRPr="009B610A" w:rsidRDefault="00485730" w:rsidP="00871123">
            <w:pPr>
              <w:pStyle w:val="Norma"/>
              <w:keepNext/>
              <w:keepLines/>
              <w:spacing w:before="20" w:after="20"/>
              <w:rPr>
                <w:rFonts w:cs="Arial"/>
                <w:sz w:val="20"/>
                <w:szCs w:val="20"/>
              </w:rPr>
            </w:pPr>
            <w:r>
              <w:rPr>
                <w:rFonts w:cs="Arial"/>
                <w:sz w:val="20"/>
                <w:szCs w:val="20"/>
              </w:rPr>
              <w:t>6/12/2019</w:t>
            </w:r>
          </w:p>
        </w:tc>
        <w:tc>
          <w:tcPr>
            <w:tcW w:w="906" w:type="pct"/>
          </w:tcPr>
          <w:p w14:paraId="6368C4CF" w14:textId="77777777" w:rsidR="00485730" w:rsidRDefault="00485730" w:rsidP="00871123">
            <w:pPr>
              <w:pStyle w:val="Norma"/>
              <w:keepNext/>
              <w:keepLines/>
              <w:spacing w:before="20" w:after="20"/>
              <w:rPr>
                <w:rFonts w:cs="Arial"/>
                <w:sz w:val="20"/>
                <w:szCs w:val="20"/>
              </w:rPr>
            </w:pPr>
            <w:r>
              <w:rPr>
                <w:rFonts w:cs="Arial"/>
                <w:sz w:val="20"/>
                <w:szCs w:val="20"/>
              </w:rPr>
              <w:t>Lake Casco</w:t>
            </w:r>
          </w:p>
          <w:p w14:paraId="1E20A152" w14:textId="7B48A52B" w:rsidR="00485730" w:rsidRPr="009B610A" w:rsidRDefault="00485730" w:rsidP="00871123">
            <w:pPr>
              <w:pStyle w:val="Norma"/>
              <w:keepNext/>
              <w:keepLines/>
              <w:spacing w:before="20" w:after="20"/>
              <w:rPr>
                <w:rFonts w:cs="Arial"/>
                <w:sz w:val="20"/>
                <w:szCs w:val="20"/>
              </w:rPr>
            </w:pPr>
            <w:r>
              <w:rPr>
                <w:rFonts w:cs="Arial"/>
                <w:sz w:val="20"/>
                <w:szCs w:val="20"/>
              </w:rPr>
              <w:t>TRC</w:t>
            </w:r>
          </w:p>
        </w:tc>
        <w:tc>
          <w:tcPr>
            <w:tcW w:w="2761" w:type="pct"/>
          </w:tcPr>
          <w:p w14:paraId="7E5D6134" w14:textId="213D206B" w:rsidR="00485730" w:rsidRDefault="00485730" w:rsidP="00871123">
            <w:pPr>
              <w:pStyle w:val="Norma"/>
              <w:keepNext/>
              <w:keepLines/>
              <w:spacing w:before="20" w:after="20"/>
              <w:rPr>
                <w:rFonts w:cs="Arial"/>
                <w:sz w:val="20"/>
                <w:szCs w:val="20"/>
              </w:rPr>
            </w:pPr>
            <w:r>
              <w:rPr>
                <w:rFonts w:cs="Arial"/>
                <w:sz w:val="20"/>
                <w:szCs w:val="20"/>
              </w:rPr>
              <w:t>Updates to:</w:t>
            </w:r>
          </w:p>
          <w:p w14:paraId="0C6AFF38" w14:textId="196CCF67" w:rsidR="00485730" w:rsidRDefault="00485730" w:rsidP="00871123">
            <w:pPr>
              <w:pStyle w:val="Norma"/>
              <w:keepNext/>
              <w:keepLines/>
              <w:spacing w:before="20" w:after="20"/>
              <w:rPr>
                <w:rFonts w:cs="Arial"/>
                <w:sz w:val="20"/>
                <w:szCs w:val="20"/>
              </w:rPr>
            </w:pPr>
            <w:r>
              <w:rPr>
                <w:rFonts w:cs="Arial"/>
                <w:sz w:val="20"/>
                <w:szCs w:val="20"/>
              </w:rPr>
              <w:t xml:space="preserve">Condensing boiler measures with OA temp reset from </w:t>
            </w:r>
            <w:r>
              <w:rPr>
                <w:sz w:val="20"/>
              </w:rPr>
              <w:t>115 to 140°</w:t>
            </w:r>
            <w:r w:rsidRPr="00B07B1A">
              <w:rPr>
                <w:sz w:val="20"/>
              </w:rPr>
              <w:t>F</w:t>
            </w:r>
            <w:r>
              <w:rPr>
                <w:sz w:val="20"/>
              </w:rPr>
              <w:t xml:space="preserve"> and Steam boiler </w:t>
            </w:r>
            <w:r>
              <w:rPr>
                <w:rFonts w:cs="Arial"/>
                <w:sz w:val="20"/>
                <w:szCs w:val="20"/>
              </w:rPr>
              <w:t xml:space="preserve">82% TE, &gt;2500 </w:t>
            </w:r>
            <w:proofErr w:type="spellStart"/>
            <w:r>
              <w:rPr>
                <w:rFonts w:cs="Arial"/>
                <w:sz w:val="20"/>
                <w:szCs w:val="20"/>
              </w:rPr>
              <w:t>kBtuh</w:t>
            </w:r>
            <w:proofErr w:type="spellEnd"/>
            <w:r>
              <w:rPr>
                <w:rFonts w:cs="Arial"/>
                <w:sz w:val="20"/>
                <w:szCs w:val="20"/>
              </w:rPr>
              <w:t xml:space="preserve"> added</w:t>
            </w:r>
          </w:p>
          <w:p w14:paraId="68AB2E2F" w14:textId="585B87EC" w:rsidR="00485730" w:rsidRDefault="00485730" w:rsidP="00871123">
            <w:pPr>
              <w:pStyle w:val="Norma"/>
              <w:keepNext/>
              <w:keepLines/>
              <w:spacing w:before="20" w:after="20"/>
              <w:rPr>
                <w:rFonts w:cs="Arial"/>
                <w:sz w:val="20"/>
                <w:szCs w:val="20"/>
              </w:rPr>
            </w:pPr>
            <w:r>
              <w:rPr>
                <w:rFonts w:cs="Arial"/>
                <w:sz w:val="20"/>
                <w:szCs w:val="20"/>
              </w:rPr>
              <w:t xml:space="preserve">Code requirement updated to reflect 2019 Title 20 and 2019 Title 24 versions.  </w:t>
            </w:r>
          </w:p>
          <w:p w14:paraId="713782C7" w14:textId="5CF66B87" w:rsidR="00485730" w:rsidRDefault="00485730" w:rsidP="00871123">
            <w:pPr>
              <w:pStyle w:val="Norma"/>
              <w:keepNext/>
              <w:keepLines/>
              <w:spacing w:before="20" w:after="20"/>
              <w:rPr>
                <w:rFonts w:cs="Arial"/>
                <w:sz w:val="20"/>
                <w:szCs w:val="20"/>
              </w:rPr>
            </w:pPr>
            <w:r>
              <w:rPr>
                <w:rFonts w:cs="Arial"/>
                <w:sz w:val="20"/>
                <w:szCs w:val="20"/>
              </w:rPr>
              <w:t>Measure Offering updated to reflect newest DEER</w:t>
            </w:r>
          </w:p>
          <w:p w14:paraId="34B2D792" w14:textId="5FAF8C9B" w:rsidR="00485730" w:rsidRDefault="00485730" w:rsidP="00871123">
            <w:pPr>
              <w:pStyle w:val="Norma"/>
              <w:keepNext/>
              <w:keepLines/>
              <w:spacing w:before="20" w:after="20"/>
              <w:rPr>
                <w:rFonts w:cs="Arial"/>
                <w:sz w:val="20"/>
                <w:szCs w:val="20"/>
              </w:rPr>
            </w:pPr>
            <w:r>
              <w:rPr>
                <w:rFonts w:cs="Arial"/>
                <w:sz w:val="20"/>
                <w:szCs w:val="20"/>
              </w:rPr>
              <w:t>Material and Labor Cost for the Base case and Measure case updated to reflect current pricing.</w:t>
            </w:r>
          </w:p>
          <w:p w14:paraId="64D98E0B" w14:textId="03ECA8FC" w:rsidR="00485730" w:rsidRDefault="00485730" w:rsidP="00871123">
            <w:pPr>
              <w:pStyle w:val="Norma"/>
              <w:keepNext/>
              <w:keepLines/>
              <w:spacing w:before="20" w:after="20"/>
              <w:rPr>
                <w:rFonts w:cs="Arial"/>
                <w:sz w:val="20"/>
                <w:szCs w:val="20"/>
              </w:rPr>
            </w:pPr>
            <w:r>
              <w:rPr>
                <w:rFonts w:cs="Arial"/>
                <w:sz w:val="20"/>
                <w:szCs w:val="20"/>
              </w:rPr>
              <w:t>Net-to-Gross ratio for Residential sector included.</w:t>
            </w:r>
          </w:p>
        </w:tc>
      </w:tr>
      <w:tr w:rsidR="00485730" w:rsidRPr="00CA1CB3" w14:paraId="07E9F1C6" w14:textId="77777777" w:rsidTr="007C711E">
        <w:trPr>
          <w:trHeight w:val="20"/>
        </w:trPr>
        <w:tc>
          <w:tcPr>
            <w:tcW w:w="499" w:type="pct"/>
            <w:vMerge/>
          </w:tcPr>
          <w:p w14:paraId="475FCD0A" w14:textId="77777777" w:rsidR="00485730" w:rsidRDefault="00485730" w:rsidP="009D4240">
            <w:pPr>
              <w:pStyle w:val="Norma"/>
              <w:keepNext/>
              <w:keepLines/>
              <w:spacing w:before="20" w:after="20"/>
              <w:rPr>
                <w:rFonts w:cs="Arial"/>
                <w:sz w:val="20"/>
                <w:szCs w:val="20"/>
              </w:rPr>
            </w:pPr>
          </w:p>
        </w:tc>
        <w:tc>
          <w:tcPr>
            <w:tcW w:w="834" w:type="pct"/>
          </w:tcPr>
          <w:p w14:paraId="4149CD3A" w14:textId="792BA60E" w:rsidR="00485730" w:rsidRDefault="00485730" w:rsidP="009D4240">
            <w:pPr>
              <w:pStyle w:val="Norma"/>
              <w:keepNext/>
              <w:keepLines/>
              <w:spacing w:before="20" w:after="20"/>
              <w:rPr>
                <w:rFonts w:cs="Arial"/>
                <w:sz w:val="20"/>
                <w:szCs w:val="20"/>
              </w:rPr>
            </w:pPr>
            <w:r>
              <w:rPr>
                <w:rFonts w:cs="Arial"/>
                <w:sz w:val="20"/>
                <w:szCs w:val="20"/>
              </w:rPr>
              <w:t>06/27/2019</w:t>
            </w:r>
          </w:p>
        </w:tc>
        <w:tc>
          <w:tcPr>
            <w:tcW w:w="906" w:type="pct"/>
          </w:tcPr>
          <w:p w14:paraId="4834910A" w14:textId="77777777" w:rsidR="00485730" w:rsidRPr="009B610A" w:rsidRDefault="00485730" w:rsidP="009D4240">
            <w:pPr>
              <w:pStyle w:val="Norma"/>
              <w:keepNext/>
              <w:keepLines/>
              <w:spacing w:before="20" w:after="20"/>
              <w:rPr>
                <w:rFonts w:cs="Arial"/>
                <w:sz w:val="20"/>
                <w:szCs w:val="20"/>
              </w:rPr>
            </w:pPr>
            <w:r w:rsidRPr="009B610A">
              <w:rPr>
                <w:rFonts w:cs="Arial"/>
                <w:sz w:val="20"/>
                <w:szCs w:val="20"/>
              </w:rPr>
              <w:t>Jennifer Holmes</w:t>
            </w:r>
          </w:p>
          <w:p w14:paraId="475306AE" w14:textId="23AD11B7" w:rsidR="00485730" w:rsidRDefault="00485730" w:rsidP="009D4240">
            <w:pPr>
              <w:pStyle w:val="Norma"/>
              <w:keepNext/>
              <w:keepLines/>
              <w:spacing w:before="20" w:after="20"/>
              <w:rPr>
                <w:rFonts w:cs="Arial"/>
                <w:sz w:val="20"/>
                <w:szCs w:val="20"/>
              </w:rPr>
            </w:pPr>
            <w:r w:rsidRPr="009B610A">
              <w:rPr>
                <w:rFonts w:cs="Arial"/>
                <w:sz w:val="20"/>
                <w:szCs w:val="20"/>
              </w:rPr>
              <w:t>Cal TF Staff</w:t>
            </w:r>
          </w:p>
        </w:tc>
        <w:tc>
          <w:tcPr>
            <w:tcW w:w="2761" w:type="pct"/>
          </w:tcPr>
          <w:p w14:paraId="57342E88" w14:textId="43184048" w:rsidR="00485730" w:rsidRDefault="00485730" w:rsidP="009D4240">
            <w:pPr>
              <w:pStyle w:val="Norma"/>
              <w:keepNext/>
              <w:keepLines/>
              <w:spacing w:before="20" w:after="20"/>
              <w:rPr>
                <w:rFonts w:cs="Arial"/>
                <w:sz w:val="20"/>
                <w:szCs w:val="20"/>
              </w:rPr>
            </w:pPr>
            <w:r>
              <w:rPr>
                <w:rFonts w:cs="Arial"/>
                <w:sz w:val="20"/>
                <w:szCs w:val="20"/>
              </w:rPr>
              <w:t>Revisions for submittal of version 01.</w:t>
            </w:r>
          </w:p>
        </w:tc>
      </w:tr>
      <w:tr w:rsidR="00E34E28" w:rsidRPr="00CA1CB3" w14:paraId="2E4D7441" w14:textId="77777777" w:rsidTr="007C711E">
        <w:trPr>
          <w:trHeight w:val="20"/>
        </w:trPr>
        <w:tc>
          <w:tcPr>
            <w:tcW w:w="499" w:type="pct"/>
            <w:vMerge w:val="restart"/>
          </w:tcPr>
          <w:p w14:paraId="6A0C9B09" w14:textId="77777777" w:rsidR="00E34E28" w:rsidRDefault="00E34E28" w:rsidP="009D4240">
            <w:pPr>
              <w:pStyle w:val="Norma"/>
              <w:keepNext/>
              <w:keepLines/>
              <w:spacing w:before="20" w:after="20"/>
              <w:rPr>
                <w:rFonts w:cs="Arial"/>
                <w:sz w:val="20"/>
                <w:szCs w:val="20"/>
              </w:rPr>
            </w:pPr>
            <w:r>
              <w:rPr>
                <w:rFonts w:cs="Arial"/>
                <w:sz w:val="20"/>
                <w:szCs w:val="20"/>
              </w:rPr>
              <w:t>02</w:t>
            </w:r>
          </w:p>
          <w:p w14:paraId="38E344D1" w14:textId="6BBB789E" w:rsidR="00E34E28" w:rsidRDefault="00E34E28" w:rsidP="009D4240">
            <w:pPr>
              <w:pStyle w:val="Norma"/>
              <w:keepNext/>
              <w:keepLines/>
              <w:spacing w:before="20" w:after="20"/>
              <w:rPr>
                <w:rFonts w:cs="Arial"/>
                <w:sz w:val="20"/>
                <w:szCs w:val="20"/>
              </w:rPr>
            </w:pPr>
          </w:p>
        </w:tc>
        <w:tc>
          <w:tcPr>
            <w:tcW w:w="834" w:type="pct"/>
          </w:tcPr>
          <w:p w14:paraId="01D3DAE6" w14:textId="20CCA159" w:rsidR="00E34E28" w:rsidRDefault="00E34E28" w:rsidP="009D4240">
            <w:pPr>
              <w:pStyle w:val="Norma"/>
              <w:keepNext/>
              <w:keepLines/>
              <w:spacing w:before="20" w:after="20"/>
              <w:rPr>
                <w:rFonts w:cs="Arial"/>
                <w:sz w:val="20"/>
                <w:szCs w:val="20"/>
              </w:rPr>
            </w:pPr>
            <w:r>
              <w:rPr>
                <w:rFonts w:cs="Arial"/>
                <w:sz w:val="20"/>
                <w:szCs w:val="20"/>
              </w:rPr>
              <w:t>12/25/2020</w:t>
            </w:r>
          </w:p>
        </w:tc>
        <w:tc>
          <w:tcPr>
            <w:tcW w:w="906" w:type="pct"/>
          </w:tcPr>
          <w:p w14:paraId="3F486EF4" w14:textId="77777777" w:rsidR="00E34E28" w:rsidRDefault="00E34E28" w:rsidP="009D4240">
            <w:pPr>
              <w:pStyle w:val="Norma"/>
              <w:keepNext/>
              <w:keepLines/>
              <w:spacing w:before="20" w:after="20"/>
              <w:rPr>
                <w:rFonts w:cs="Arial"/>
                <w:sz w:val="20"/>
                <w:szCs w:val="20"/>
              </w:rPr>
            </w:pPr>
            <w:r>
              <w:rPr>
                <w:rFonts w:cs="Arial"/>
                <w:sz w:val="20"/>
                <w:szCs w:val="20"/>
              </w:rPr>
              <w:t>Stephen Brett Reno, P.E.</w:t>
            </w:r>
          </w:p>
          <w:p w14:paraId="75C324F2" w14:textId="77777777" w:rsidR="00E34E28" w:rsidRDefault="00E34E28" w:rsidP="009D4240">
            <w:pPr>
              <w:pStyle w:val="Norma"/>
              <w:keepNext/>
              <w:keepLines/>
              <w:spacing w:before="20" w:after="20"/>
              <w:rPr>
                <w:rFonts w:cs="Arial"/>
                <w:sz w:val="20"/>
                <w:szCs w:val="20"/>
              </w:rPr>
            </w:pPr>
            <w:r>
              <w:rPr>
                <w:rFonts w:cs="Arial"/>
                <w:sz w:val="20"/>
                <w:szCs w:val="20"/>
              </w:rPr>
              <w:t>TRC</w:t>
            </w:r>
          </w:p>
          <w:p w14:paraId="72B74EF3" w14:textId="77777777" w:rsidR="00E34E28" w:rsidRDefault="00E34E28" w:rsidP="009D4240">
            <w:pPr>
              <w:pStyle w:val="Norma"/>
              <w:keepNext/>
              <w:keepLines/>
              <w:spacing w:before="20" w:after="20"/>
              <w:rPr>
                <w:rFonts w:cs="Arial"/>
                <w:sz w:val="20"/>
                <w:szCs w:val="20"/>
              </w:rPr>
            </w:pPr>
            <w:r>
              <w:rPr>
                <w:rFonts w:cs="Arial"/>
                <w:sz w:val="20"/>
                <w:szCs w:val="20"/>
              </w:rPr>
              <w:t>Tai Voong</w:t>
            </w:r>
          </w:p>
          <w:p w14:paraId="37815C48" w14:textId="131AD7A8" w:rsidR="00E34E28" w:rsidRPr="009B610A" w:rsidRDefault="00E34E28" w:rsidP="009D4240">
            <w:pPr>
              <w:pStyle w:val="Norma"/>
              <w:keepNext/>
              <w:keepLines/>
              <w:spacing w:before="20" w:after="20"/>
              <w:rPr>
                <w:rFonts w:cs="Arial"/>
                <w:sz w:val="20"/>
                <w:szCs w:val="20"/>
              </w:rPr>
            </w:pPr>
            <w:r>
              <w:rPr>
                <w:rFonts w:cs="Arial"/>
                <w:sz w:val="20"/>
                <w:szCs w:val="20"/>
              </w:rPr>
              <w:t>PG&amp;E</w:t>
            </w:r>
          </w:p>
        </w:tc>
        <w:tc>
          <w:tcPr>
            <w:tcW w:w="2761" w:type="pct"/>
          </w:tcPr>
          <w:p w14:paraId="60AF8942" w14:textId="211B829B" w:rsidR="00E34E28" w:rsidRDefault="00E34E28" w:rsidP="009D4240">
            <w:pPr>
              <w:pStyle w:val="Norma"/>
              <w:keepNext/>
              <w:keepLines/>
              <w:spacing w:before="20" w:after="20"/>
              <w:rPr>
                <w:rFonts w:cs="Arial"/>
                <w:sz w:val="20"/>
                <w:szCs w:val="20"/>
              </w:rPr>
            </w:pPr>
            <w:r>
              <w:rPr>
                <w:rFonts w:cs="Arial"/>
                <w:sz w:val="20"/>
                <w:szCs w:val="20"/>
              </w:rPr>
              <w:t>Updated costs to 2020 values</w:t>
            </w:r>
          </w:p>
          <w:p w14:paraId="319A08F1" w14:textId="64ABB24C" w:rsidR="00E34E28" w:rsidRDefault="00E34E28" w:rsidP="009D4240">
            <w:pPr>
              <w:pStyle w:val="Norma"/>
              <w:keepNext/>
              <w:keepLines/>
              <w:spacing w:before="20" w:after="20"/>
              <w:rPr>
                <w:rFonts w:cs="Arial"/>
                <w:sz w:val="20"/>
                <w:szCs w:val="20"/>
              </w:rPr>
            </w:pPr>
            <w:r>
              <w:rPr>
                <w:rFonts w:cs="Arial"/>
                <w:sz w:val="20"/>
                <w:szCs w:val="20"/>
              </w:rPr>
              <w:t xml:space="preserve">Updated NTG values for Commercial Downstream measures to </w:t>
            </w:r>
            <w:proofErr w:type="spellStart"/>
            <w:r w:rsidRPr="00CC4759">
              <w:rPr>
                <w:rFonts w:cs="Arial"/>
                <w:sz w:val="20"/>
                <w:szCs w:val="20"/>
              </w:rPr>
              <w:t>NonRes-sAll-mHVAC-NGBoiler</w:t>
            </w:r>
            <w:proofErr w:type="spellEnd"/>
            <w:r>
              <w:rPr>
                <w:rFonts w:cs="Arial"/>
                <w:sz w:val="20"/>
                <w:szCs w:val="20"/>
              </w:rPr>
              <w:t xml:space="preserve"> </w:t>
            </w:r>
            <w:r w:rsidRPr="00B616BD">
              <w:rPr>
                <w:rFonts w:cs="Arial"/>
                <w:sz w:val="20"/>
                <w:szCs w:val="20"/>
              </w:rPr>
              <w:t>per CPUC Resolution E-5082</w:t>
            </w:r>
          </w:p>
          <w:p w14:paraId="6ED36BD8" w14:textId="49DFAB01" w:rsidR="00E34E28" w:rsidRDefault="00E34E28" w:rsidP="009D4240">
            <w:pPr>
              <w:pStyle w:val="Norma"/>
              <w:keepNext/>
              <w:keepLines/>
              <w:spacing w:before="20" w:after="20"/>
              <w:rPr>
                <w:rFonts w:cs="Arial"/>
                <w:sz w:val="20"/>
                <w:szCs w:val="20"/>
              </w:rPr>
            </w:pPr>
            <w:r>
              <w:rPr>
                <w:rFonts w:cs="Arial"/>
                <w:sz w:val="20"/>
                <w:szCs w:val="20"/>
              </w:rPr>
              <w:t>Added new commercial building types</w:t>
            </w:r>
          </w:p>
          <w:p w14:paraId="78BE0EDF" w14:textId="4322BA0B" w:rsidR="00E34E28" w:rsidRDefault="00E34E28" w:rsidP="009D4240">
            <w:pPr>
              <w:pStyle w:val="Norma"/>
              <w:keepNext/>
              <w:keepLines/>
              <w:spacing w:before="20" w:after="20"/>
              <w:rPr>
                <w:rFonts w:cs="Arial"/>
                <w:sz w:val="20"/>
                <w:szCs w:val="20"/>
              </w:rPr>
            </w:pPr>
            <w:r>
              <w:rPr>
                <w:rFonts w:cs="Arial"/>
                <w:sz w:val="20"/>
                <w:szCs w:val="20"/>
              </w:rPr>
              <w:t>Used “Any” PA impacts for all DEER commercial building savings</w:t>
            </w:r>
          </w:p>
        </w:tc>
      </w:tr>
      <w:tr w:rsidR="00E34E28" w:rsidRPr="00CA1CB3" w14:paraId="2E5EE380" w14:textId="77777777" w:rsidTr="007C711E">
        <w:trPr>
          <w:trHeight w:val="20"/>
        </w:trPr>
        <w:tc>
          <w:tcPr>
            <w:tcW w:w="499" w:type="pct"/>
            <w:vMerge/>
          </w:tcPr>
          <w:p w14:paraId="16874535" w14:textId="36A262CC" w:rsidR="00E34E28" w:rsidRDefault="00E34E28" w:rsidP="009D4240">
            <w:pPr>
              <w:pStyle w:val="Norma"/>
              <w:keepNext/>
              <w:keepLines/>
              <w:spacing w:before="20" w:after="20"/>
              <w:rPr>
                <w:rFonts w:cs="Arial"/>
                <w:sz w:val="20"/>
                <w:szCs w:val="20"/>
              </w:rPr>
            </w:pPr>
          </w:p>
        </w:tc>
        <w:tc>
          <w:tcPr>
            <w:tcW w:w="834" w:type="pct"/>
          </w:tcPr>
          <w:p w14:paraId="5E76B6ED" w14:textId="5A067CF4" w:rsidR="00E34E28" w:rsidRDefault="00E34E28" w:rsidP="009D4240">
            <w:pPr>
              <w:pStyle w:val="Norma"/>
              <w:keepNext/>
              <w:keepLines/>
              <w:spacing w:before="20" w:after="20"/>
              <w:rPr>
                <w:rFonts w:cs="Arial"/>
                <w:sz w:val="20"/>
                <w:szCs w:val="20"/>
              </w:rPr>
            </w:pPr>
            <w:r>
              <w:rPr>
                <w:rFonts w:cs="Arial"/>
                <w:sz w:val="20"/>
                <w:szCs w:val="20"/>
              </w:rPr>
              <w:t>4/30/2021</w:t>
            </w:r>
          </w:p>
        </w:tc>
        <w:tc>
          <w:tcPr>
            <w:tcW w:w="906" w:type="pct"/>
          </w:tcPr>
          <w:p w14:paraId="70E86B56" w14:textId="6380E723" w:rsidR="00E34E28" w:rsidRDefault="00E34E28" w:rsidP="009D4240">
            <w:pPr>
              <w:pStyle w:val="Norma"/>
              <w:keepNext/>
              <w:keepLines/>
              <w:spacing w:before="20" w:after="20"/>
              <w:rPr>
                <w:rFonts w:cs="Arial"/>
                <w:sz w:val="20"/>
                <w:szCs w:val="20"/>
              </w:rPr>
            </w:pPr>
            <w:r>
              <w:rPr>
                <w:rFonts w:cs="Arial"/>
                <w:sz w:val="20"/>
                <w:szCs w:val="20"/>
              </w:rPr>
              <w:t>TRC</w:t>
            </w:r>
          </w:p>
          <w:p w14:paraId="63302306" w14:textId="48BC79F1" w:rsidR="00E34E28" w:rsidRDefault="00E34E28" w:rsidP="009D4240">
            <w:pPr>
              <w:pStyle w:val="Norma"/>
              <w:keepNext/>
              <w:keepLines/>
              <w:spacing w:before="20" w:after="20"/>
              <w:rPr>
                <w:rFonts w:cs="Arial"/>
                <w:sz w:val="20"/>
                <w:szCs w:val="20"/>
              </w:rPr>
            </w:pPr>
          </w:p>
          <w:p w14:paraId="019EE773" w14:textId="77777777" w:rsidR="00E34E28" w:rsidRDefault="00E34E28" w:rsidP="009D4240">
            <w:pPr>
              <w:pStyle w:val="Norma"/>
              <w:keepNext/>
              <w:keepLines/>
              <w:spacing w:before="20" w:after="20"/>
              <w:rPr>
                <w:rFonts w:cs="Arial"/>
                <w:sz w:val="20"/>
                <w:szCs w:val="20"/>
              </w:rPr>
            </w:pPr>
          </w:p>
          <w:p w14:paraId="1F6ABFD3" w14:textId="77777777" w:rsidR="00E34E28" w:rsidRDefault="00E34E28" w:rsidP="008F01C2">
            <w:pPr>
              <w:pStyle w:val="Norma"/>
              <w:keepNext/>
              <w:keepLines/>
              <w:spacing w:before="20" w:after="20"/>
              <w:rPr>
                <w:rFonts w:cs="Arial"/>
                <w:sz w:val="20"/>
                <w:szCs w:val="20"/>
              </w:rPr>
            </w:pPr>
            <w:r>
              <w:rPr>
                <w:rFonts w:cs="Arial"/>
                <w:sz w:val="20"/>
                <w:szCs w:val="20"/>
              </w:rPr>
              <w:t>Anders Danryd,</w:t>
            </w:r>
          </w:p>
          <w:p w14:paraId="0B54968A" w14:textId="04A05FFA" w:rsidR="00E34E28" w:rsidRDefault="00E34E28" w:rsidP="009D4240">
            <w:pPr>
              <w:pStyle w:val="Norma"/>
              <w:keepNext/>
              <w:keepLines/>
              <w:spacing w:before="20" w:after="20"/>
              <w:rPr>
                <w:rFonts w:cs="Arial"/>
                <w:sz w:val="20"/>
                <w:szCs w:val="20"/>
              </w:rPr>
            </w:pPr>
            <w:r>
              <w:rPr>
                <w:rFonts w:cs="Arial"/>
                <w:sz w:val="20"/>
                <w:szCs w:val="20"/>
              </w:rPr>
              <w:t>SoCalGas</w:t>
            </w:r>
          </w:p>
        </w:tc>
        <w:tc>
          <w:tcPr>
            <w:tcW w:w="2761" w:type="pct"/>
          </w:tcPr>
          <w:p w14:paraId="372965B9" w14:textId="09DE3137" w:rsidR="00E34E28" w:rsidRDefault="00E34E28" w:rsidP="009D4240">
            <w:pPr>
              <w:pStyle w:val="Norma"/>
              <w:keepNext/>
              <w:keepLines/>
              <w:spacing w:before="20" w:after="20"/>
              <w:rPr>
                <w:rFonts w:cs="Arial"/>
                <w:sz w:val="20"/>
                <w:szCs w:val="20"/>
              </w:rPr>
            </w:pPr>
            <w:r>
              <w:rPr>
                <w:rFonts w:cs="Arial"/>
                <w:sz w:val="20"/>
                <w:szCs w:val="20"/>
              </w:rPr>
              <w:t>Updated Offering A minimum AFUE due to code update to the base case. Updated descriptions for outdoor reset control, clarified eligible building types.</w:t>
            </w:r>
          </w:p>
          <w:p w14:paraId="471FE9F3" w14:textId="50458550" w:rsidR="00E34E28" w:rsidRDefault="00E34E28" w:rsidP="009D4240">
            <w:pPr>
              <w:pStyle w:val="Norma"/>
              <w:keepNext/>
              <w:keepLines/>
              <w:spacing w:before="20" w:after="20"/>
              <w:rPr>
                <w:rFonts w:cs="Arial"/>
                <w:sz w:val="20"/>
                <w:szCs w:val="20"/>
              </w:rPr>
            </w:pPr>
            <w:r>
              <w:rPr>
                <w:rFonts w:cs="Arial"/>
                <w:sz w:val="20"/>
                <w:szCs w:val="20"/>
              </w:rPr>
              <w:t>Removed NTG ID update for 2022. Fixed errors in the EAD tables.</w:t>
            </w:r>
          </w:p>
        </w:tc>
      </w:tr>
      <w:tr w:rsidR="00E34E28" w:rsidRPr="00CA1CB3" w14:paraId="2D81C291" w14:textId="77777777" w:rsidTr="007C711E">
        <w:trPr>
          <w:trHeight w:val="20"/>
        </w:trPr>
        <w:tc>
          <w:tcPr>
            <w:tcW w:w="499" w:type="pct"/>
            <w:vMerge/>
          </w:tcPr>
          <w:p w14:paraId="6389969C" w14:textId="77777777" w:rsidR="00E34E28" w:rsidRDefault="00E34E28" w:rsidP="009D4240">
            <w:pPr>
              <w:pStyle w:val="Norma"/>
              <w:keepNext/>
              <w:keepLines/>
              <w:spacing w:before="20" w:after="20"/>
              <w:rPr>
                <w:rFonts w:cs="Arial"/>
                <w:sz w:val="20"/>
                <w:szCs w:val="20"/>
              </w:rPr>
            </w:pPr>
          </w:p>
        </w:tc>
        <w:tc>
          <w:tcPr>
            <w:tcW w:w="834" w:type="pct"/>
          </w:tcPr>
          <w:p w14:paraId="3063BA16" w14:textId="120AA5DB" w:rsidR="00E34E28" w:rsidRDefault="00E774DF" w:rsidP="009D4240">
            <w:pPr>
              <w:pStyle w:val="Norma"/>
              <w:keepNext/>
              <w:keepLines/>
              <w:spacing w:before="20" w:after="20"/>
              <w:rPr>
                <w:rFonts w:cs="Arial"/>
                <w:sz w:val="20"/>
                <w:szCs w:val="20"/>
              </w:rPr>
            </w:pPr>
            <w:r>
              <w:rPr>
                <w:rFonts w:cs="Arial"/>
                <w:sz w:val="20"/>
                <w:szCs w:val="20"/>
              </w:rPr>
              <w:t>09/14/2021</w:t>
            </w:r>
          </w:p>
        </w:tc>
        <w:tc>
          <w:tcPr>
            <w:tcW w:w="906" w:type="pct"/>
          </w:tcPr>
          <w:p w14:paraId="48A6C099" w14:textId="77777777" w:rsidR="00A17E8B" w:rsidRDefault="00A17E8B" w:rsidP="00A17E8B">
            <w:pPr>
              <w:pStyle w:val="Norma"/>
              <w:keepNext/>
              <w:keepLines/>
              <w:spacing w:before="20" w:after="20"/>
              <w:rPr>
                <w:rFonts w:cs="Arial"/>
                <w:sz w:val="20"/>
                <w:szCs w:val="20"/>
              </w:rPr>
            </w:pPr>
            <w:r>
              <w:rPr>
                <w:rFonts w:cs="Arial"/>
                <w:sz w:val="20"/>
                <w:szCs w:val="20"/>
              </w:rPr>
              <w:t>Soe K. Hla</w:t>
            </w:r>
          </w:p>
          <w:p w14:paraId="7CE6A88B" w14:textId="40378313" w:rsidR="00E34E28" w:rsidRDefault="00A17E8B" w:rsidP="00A17E8B">
            <w:pPr>
              <w:pStyle w:val="Norma"/>
              <w:keepNext/>
              <w:keepLines/>
              <w:spacing w:before="20" w:after="20"/>
              <w:rPr>
                <w:rFonts w:cs="Arial"/>
                <w:sz w:val="20"/>
                <w:szCs w:val="20"/>
              </w:rPr>
            </w:pPr>
            <w:r>
              <w:rPr>
                <w:rFonts w:cs="Arial"/>
                <w:sz w:val="20"/>
                <w:szCs w:val="20"/>
              </w:rPr>
              <w:t>PG&amp;E</w:t>
            </w:r>
          </w:p>
        </w:tc>
        <w:tc>
          <w:tcPr>
            <w:tcW w:w="2761" w:type="pct"/>
          </w:tcPr>
          <w:p w14:paraId="5FF02C89" w14:textId="77777777" w:rsidR="00AA4929" w:rsidRDefault="00AA4929" w:rsidP="00AA4929">
            <w:pPr>
              <w:pStyle w:val="Norma"/>
              <w:keepNext/>
              <w:keepLines/>
              <w:spacing w:before="20" w:after="20"/>
              <w:rPr>
                <w:rFonts w:cs="Arial"/>
                <w:sz w:val="20"/>
                <w:szCs w:val="20"/>
              </w:rPr>
            </w:pPr>
            <w:r w:rsidRPr="00C013FB">
              <w:rPr>
                <w:rFonts w:cs="Arial"/>
                <w:sz w:val="20"/>
                <w:szCs w:val="20"/>
              </w:rPr>
              <w:t>Replace</w:t>
            </w:r>
            <w:r>
              <w:rPr>
                <w:rFonts w:cs="Arial"/>
                <w:sz w:val="20"/>
                <w:szCs w:val="20"/>
              </w:rPr>
              <w:t>d</w:t>
            </w:r>
            <w:r w:rsidRPr="00C013FB">
              <w:rPr>
                <w:rFonts w:cs="Arial"/>
                <w:sz w:val="20"/>
                <w:szCs w:val="20"/>
              </w:rPr>
              <w:t xml:space="preserve"> PGE measure code for </w:t>
            </w:r>
            <w:r>
              <w:rPr>
                <w:rFonts w:cs="Arial"/>
                <w:sz w:val="20"/>
                <w:szCs w:val="20"/>
              </w:rPr>
              <w:t>m</w:t>
            </w:r>
            <w:r w:rsidRPr="00C013FB">
              <w:rPr>
                <w:rFonts w:cs="Arial"/>
                <w:sz w:val="20"/>
                <w:szCs w:val="20"/>
              </w:rPr>
              <w:t>easures with Res Sector, adopted remaining PGE measures</w:t>
            </w:r>
          </w:p>
          <w:p w14:paraId="1BE973CA" w14:textId="77777777" w:rsidR="00AA4929" w:rsidRDefault="00AA4929" w:rsidP="00AA4929">
            <w:pPr>
              <w:pStyle w:val="Norma"/>
              <w:keepNext/>
              <w:keepLines/>
              <w:spacing w:before="20" w:after="20"/>
              <w:rPr>
                <w:rFonts w:cs="Arial"/>
                <w:sz w:val="20"/>
                <w:szCs w:val="20"/>
              </w:rPr>
            </w:pPr>
            <w:r w:rsidRPr="00EC4B09">
              <w:rPr>
                <w:rFonts w:cs="Arial"/>
                <w:sz w:val="20"/>
                <w:szCs w:val="20"/>
              </w:rPr>
              <w:t xml:space="preserve">Remove OA </w:t>
            </w:r>
            <w:r>
              <w:rPr>
                <w:rFonts w:cs="Arial"/>
                <w:sz w:val="20"/>
                <w:szCs w:val="20"/>
              </w:rPr>
              <w:t>R</w:t>
            </w:r>
            <w:r w:rsidRPr="00EC4B09">
              <w:rPr>
                <w:rFonts w:cs="Arial"/>
                <w:sz w:val="20"/>
                <w:szCs w:val="20"/>
              </w:rPr>
              <w:t xml:space="preserve">eset </w:t>
            </w:r>
            <w:r>
              <w:rPr>
                <w:rFonts w:cs="Arial"/>
                <w:sz w:val="20"/>
                <w:szCs w:val="20"/>
              </w:rPr>
              <w:t>C</w:t>
            </w:r>
            <w:r w:rsidRPr="00EC4B09">
              <w:rPr>
                <w:rFonts w:cs="Arial"/>
                <w:sz w:val="20"/>
                <w:szCs w:val="20"/>
              </w:rPr>
              <w:t>ontrol from measure B Res-Sector</w:t>
            </w:r>
            <w:r>
              <w:rPr>
                <w:rFonts w:cs="Arial"/>
                <w:sz w:val="20"/>
                <w:szCs w:val="20"/>
              </w:rPr>
              <w:t xml:space="preserve"> from Measure Tab- EAD</w:t>
            </w:r>
            <w:r w:rsidRPr="00EC4B09">
              <w:rPr>
                <w:rFonts w:cs="Arial"/>
                <w:sz w:val="20"/>
                <w:szCs w:val="20"/>
              </w:rPr>
              <w:t xml:space="preserve">, </w:t>
            </w:r>
            <w:r>
              <w:rPr>
                <w:rFonts w:cs="Arial"/>
                <w:sz w:val="20"/>
                <w:szCs w:val="20"/>
              </w:rPr>
              <w:t xml:space="preserve">Updated </w:t>
            </w:r>
            <w:r w:rsidRPr="00EC4B09">
              <w:rPr>
                <w:rFonts w:cs="Arial"/>
                <w:sz w:val="20"/>
                <w:szCs w:val="20"/>
              </w:rPr>
              <w:t>measure description</w:t>
            </w:r>
            <w:r>
              <w:rPr>
                <w:rFonts w:cs="Arial"/>
                <w:sz w:val="20"/>
                <w:szCs w:val="20"/>
              </w:rPr>
              <w:t>s</w:t>
            </w:r>
            <w:r w:rsidRPr="00EC4B09">
              <w:rPr>
                <w:rFonts w:cs="Arial"/>
                <w:sz w:val="20"/>
                <w:szCs w:val="20"/>
              </w:rPr>
              <w:t xml:space="preserve"> in Implementation Tab</w:t>
            </w:r>
            <w:r>
              <w:rPr>
                <w:rFonts w:cs="Arial"/>
                <w:sz w:val="20"/>
                <w:szCs w:val="20"/>
              </w:rPr>
              <w:t>- EAD</w:t>
            </w:r>
            <w:r w:rsidRPr="00EC4B09">
              <w:rPr>
                <w:rFonts w:cs="Arial"/>
                <w:sz w:val="20"/>
                <w:szCs w:val="20"/>
              </w:rPr>
              <w:t xml:space="preserve"> to match description from Measure Tab</w:t>
            </w:r>
            <w:r>
              <w:rPr>
                <w:rFonts w:cs="Arial"/>
                <w:sz w:val="20"/>
                <w:szCs w:val="20"/>
              </w:rPr>
              <w:t xml:space="preserve">- EAD. Added new </w:t>
            </w:r>
            <w:proofErr w:type="spellStart"/>
            <w:r>
              <w:rPr>
                <w:rFonts w:cs="Arial"/>
                <w:sz w:val="20"/>
                <w:szCs w:val="20"/>
              </w:rPr>
              <w:t>ElecImpactProfile</w:t>
            </w:r>
            <w:proofErr w:type="spellEnd"/>
            <w:r>
              <w:rPr>
                <w:rFonts w:cs="Arial"/>
                <w:sz w:val="20"/>
                <w:szCs w:val="20"/>
              </w:rPr>
              <w:t xml:space="preserve"> IDs instead of “blank” in EAD.</w:t>
            </w:r>
          </w:p>
          <w:p w14:paraId="37DCD26F" w14:textId="660BD510" w:rsidR="00E34E28" w:rsidRDefault="00AA4929" w:rsidP="00AA4929">
            <w:pPr>
              <w:pStyle w:val="Norma"/>
              <w:keepNext/>
              <w:keepLines/>
              <w:spacing w:before="20" w:after="20"/>
              <w:rPr>
                <w:rFonts w:cs="Arial"/>
                <w:sz w:val="20"/>
                <w:szCs w:val="20"/>
              </w:rPr>
            </w:pPr>
            <w:r>
              <w:rPr>
                <w:rFonts w:cs="Arial"/>
                <w:sz w:val="20"/>
                <w:szCs w:val="20"/>
              </w:rPr>
              <w:t>Corrected OA Reset Control temperature in Measure Case Specification Table in Word Doc. Corrected DEER Measure IDs Used in DEER Difference Summary Table in Word Doc.</w:t>
            </w:r>
          </w:p>
        </w:tc>
      </w:tr>
      <w:tr w:rsidR="007C711E" w:rsidRPr="00CA1CB3" w14:paraId="563D8C40" w14:textId="77777777" w:rsidTr="007C711E">
        <w:trPr>
          <w:trHeight w:val="20"/>
        </w:trPr>
        <w:tc>
          <w:tcPr>
            <w:tcW w:w="499" w:type="pct"/>
            <w:vMerge w:val="restart"/>
          </w:tcPr>
          <w:p w14:paraId="30A72518" w14:textId="02583A6E" w:rsidR="007C711E" w:rsidRDefault="007C711E" w:rsidP="003C2D46">
            <w:pPr>
              <w:pStyle w:val="Norma"/>
              <w:keepNext/>
              <w:keepLines/>
              <w:spacing w:before="20" w:after="20"/>
              <w:rPr>
                <w:rFonts w:cs="Arial"/>
                <w:sz w:val="20"/>
                <w:szCs w:val="20"/>
              </w:rPr>
            </w:pPr>
            <w:r>
              <w:rPr>
                <w:rFonts w:cs="Arial"/>
                <w:sz w:val="20"/>
                <w:szCs w:val="20"/>
              </w:rPr>
              <w:t>03</w:t>
            </w:r>
          </w:p>
        </w:tc>
        <w:tc>
          <w:tcPr>
            <w:tcW w:w="834" w:type="pct"/>
          </w:tcPr>
          <w:p w14:paraId="1746DA45" w14:textId="40DE947C" w:rsidR="007C711E" w:rsidRDefault="007C711E" w:rsidP="003C2D46">
            <w:pPr>
              <w:pStyle w:val="Norma"/>
              <w:keepNext/>
              <w:keepLines/>
              <w:spacing w:before="20" w:after="20"/>
              <w:rPr>
                <w:rFonts w:cs="Arial"/>
                <w:sz w:val="20"/>
                <w:szCs w:val="20"/>
              </w:rPr>
            </w:pPr>
            <w:r>
              <w:rPr>
                <w:rFonts w:cs="Arial"/>
                <w:sz w:val="20"/>
                <w:szCs w:val="20"/>
              </w:rPr>
              <w:t>06/07/2021</w:t>
            </w:r>
          </w:p>
        </w:tc>
        <w:tc>
          <w:tcPr>
            <w:tcW w:w="906" w:type="pct"/>
          </w:tcPr>
          <w:p w14:paraId="0DC64EA1" w14:textId="77777777" w:rsidR="007C711E" w:rsidRDefault="007C711E" w:rsidP="003C2D46">
            <w:pPr>
              <w:pStyle w:val="Norma"/>
              <w:keepNext/>
              <w:keepLines/>
              <w:spacing w:before="20" w:after="20"/>
              <w:rPr>
                <w:rFonts w:cs="Arial"/>
                <w:sz w:val="20"/>
                <w:szCs w:val="20"/>
              </w:rPr>
            </w:pPr>
            <w:r>
              <w:rPr>
                <w:rFonts w:cs="Arial"/>
                <w:sz w:val="20"/>
                <w:szCs w:val="20"/>
              </w:rPr>
              <w:t>Anders Danryd,</w:t>
            </w:r>
          </w:p>
          <w:p w14:paraId="143046A9" w14:textId="0BC3209B" w:rsidR="007C711E" w:rsidRDefault="007C711E" w:rsidP="003C2D46">
            <w:pPr>
              <w:pStyle w:val="Norma"/>
              <w:keepNext/>
              <w:keepLines/>
              <w:spacing w:before="20" w:after="20"/>
              <w:rPr>
                <w:rFonts w:cs="Arial"/>
                <w:sz w:val="20"/>
                <w:szCs w:val="20"/>
              </w:rPr>
            </w:pPr>
            <w:r>
              <w:rPr>
                <w:rFonts w:cs="Arial"/>
                <w:sz w:val="20"/>
                <w:szCs w:val="20"/>
              </w:rPr>
              <w:t>SoCalGas</w:t>
            </w:r>
          </w:p>
        </w:tc>
        <w:tc>
          <w:tcPr>
            <w:tcW w:w="2761" w:type="pct"/>
          </w:tcPr>
          <w:p w14:paraId="1B1380B6" w14:textId="57C68192" w:rsidR="007C711E" w:rsidRDefault="007C711E" w:rsidP="003C2D46">
            <w:pPr>
              <w:pStyle w:val="Norma"/>
              <w:keepNext/>
              <w:keepLines/>
              <w:spacing w:before="20" w:after="20"/>
              <w:rPr>
                <w:rFonts w:cs="Arial"/>
                <w:sz w:val="20"/>
                <w:szCs w:val="20"/>
              </w:rPr>
            </w:pPr>
            <w:r>
              <w:rPr>
                <w:rFonts w:cs="Arial"/>
                <w:sz w:val="20"/>
                <w:szCs w:val="20"/>
              </w:rPr>
              <w:t xml:space="preserve">Updated NTG values for Commercial Downstream measures to </w:t>
            </w:r>
            <w:proofErr w:type="spellStart"/>
            <w:r w:rsidRPr="00CC4759">
              <w:rPr>
                <w:rFonts w:cs="Arial"/>
                <w:sz w:val="20"/>
                <w:szCs w:val="20"/>
              </w:rPr>
              <w:t>NonRes-sAll-mHVAC-NGBoiler</w:t>
            </w:r>
            <w:proofErr w:type="spellEnd"/>
            <w:r>
              <w:rPr>
                <w:rFonts w:cs="Arial"/>
                <w:sz w:val="20"/>
                <w:szCs w:val="20"/>
              </w:rPr>
              <w:t xml:space="preserve"> </w:t>
            </w:r>
            <w:r w:rsidRPr="00B616BD">
              <w:rPr>
                <w:rFonts w:cs="Arial"/>
                <w:sz w:val="20"/>
                <w:szCs w:val="20"/>
              </w:rPr>
              <w:t>per CPUC Resolution E-5082</w:t>
            </w:r>
          </w:p>
        </w:tc>
      </w:tr>
      <w:tr w:rsidR="007C711E" w:rsidRPr="00CA1CB3" w14:paraId="42E1BC88" w14:textId="77777777" w:rsidTr="007C711E">
        <w:trPr>
          <w:trHeight w:val="20"/>
        </w:trPr>
        <w:tc>
          <w:tcPr>
            <w:tcW w:w="499" w:type="pct"/>
            <w:vMerge/>
          </w:tcPr>
          <w:p w14:paraId="49DC17CC" w14:textId="77777777" w:rsidR="007C711E" w:rsidRDefault="007C711E" w:rsidP="003C2D46">
            <w:pPr>
              <w:pStyle w:val="Norma"/>
              <w:keepNext/>
              <w:keepLines/>
              <w:spacing w:before="20" w:after="20"/>
              <w:rPr>
                <w:rFonts w:cs="Arial"/>
                <w:sz w:val="20"/>
                <w:szCs w:val="20"/>
              </w:rPr>
            </w:pPr>
          </w:p>
        </w:tc>
        <w:tc>
          <w:tcPr>
            <w:tcW w:w="834" w:type="pct"/>
          </w:tcPr>
          <w:p w14:paraId="1B89D078" w14:textId="04B6833F" w:rsidR="007C711E" w:rsidRDefault="007C711E" w:rsidP="003C2D46">
            <w:pPr>
              <w:pStyle w:val="Norma"/>
              <w:keepNext/>
              <w:keepLines/>
              <w:spacing w:before="20" w:after="20"/>
              <w:rPr>
                <w:rFonts w:cs="Arial"/>
                <w:sz w:val="20"/>
                <w:szCs w:val="20"/>
              </w:rPr>
            </w:pPr>
            <w:r>
              <w:rPr>
                <w:rFonts w:cs="Arial"/>
                <w:sz w:val="20"/>
                <w:szCs w:val="20"/>
              </w:rPr>
              <w:t>11/19/2021</w:t>
            </w:r>
          </w:p>
        </w:tc>
        <w:tc>
          <w:tcPr>
            <w:tcW w:w="906" w:type="pct"/>
          </w:tcPr>
          <w:p w14:paraId="2349C9AB" w14:textId="77777777" w:rsidR="007C711E" w:rsidRDefault="007C711E" w:rsidP="003C2D46">
            <w:pPr>
              <w:pStyle w:val="Norma"/>
              <w:keepNext/>
              <w:keepLines/>
              <w:spacing w:before="20" w:after="20"/>
              <w:rPr>
                <w:rFonts w:cs="Arial"/>
                <w:sz w:val="20"/>
                <w:szCs w:val="20"/>
              </w:rPr>
            </w:pPr>
            <w:r>
              <w:rPr>
                <w:rFonts w:cs="Arial"/>
                <w:sz w:val="20"/>
                <w:szCs w:val="20"/>
              </w:rPr>
              <w:t>Soe K. Hla</w:t>
            </w:r>
          </w:p>
          <w:p w14:paraId="110F5088" w14:textId="19C2F2B8" w:rsidR="007C711E" w:rsidRDefault="007C711E" w:rsidP="003C2D46">
            <w:pPr>
              <w:pStyle w:val="Norma"/>
              <w:keepNext/>
              <w:keepLines/>
              <w:spacing w:before="20" w:after="20"/>
              <w:rPr>
                <w:rFonts w:cs="Arial"/>
                <w:sz w:val="20"/>
                <w:szCs w:val="20"/>
              </w:rPr>
            </w:pPr>
            <w:r>
              <w:rPr>
                <w:rFonts w:cs="Arial"/>
                <w:sz w:val="20"/>
                <w:szCs w:val="20"/>
              </w:rPr>
              <w:t>PG&amp;E</w:t>
            </w:r>
          </w:p>
        </w:tc>
        <w:tc>
          <w:tcPr>
            <w:tcW w:w="2761" w:type="pct"/>
          </w:tcPr>
          <w:p w14:paraId="13912915" w14:textId="0D1E81F8" w:rsidR="007C711E" w:rsidRDefault="007C711E" w:rsidP="003C2D46">
            <w:pPr>
              <w:pStyle w:val="Norma"/>
              <w:keepNext/>
              <w:keepLines/>
              <w:spacing w:before="20" w:after="20"/>
              <w:rPr>
                <w:rFonts w:cs="Arial"/>
                <w:sz w:val="20"/>
                <w:szCs w:val="20"/>
              </w:rPr>
            </w:pPr>
            <w:r>
              <w:rPr>
                <w:rFonts w:cs="Arial"/>
                <w:sz w:val="20"/>
                <w:szCs w:val="20"/>
              </w:rPr>
              <w:t>Copied all the changes incorporated to rev. 02 updated on 09/14/2021.</w:t>
            </w:r>
          </w:p>
        </w:tc>
      </w:tr>
      <w:tr w:rsidR="007C711E" w:rsidRPr="00CA1CB3" w14:paraId="641D25E8" w14:textId="77777777" w:rsidTr="007C711E">
        <w:trPr>
          <w:trHeight w:val="20"/>
        </w:trPr>
        <w:tc>
          <w:tcPr>
            <w:tcW w:w="499" w:type="pct"/>
            <w:vMerge/>
          </w:tcPr>
          <w:p w14:paraId="7304D37B" w14:textId="77777777" w:rsidR="007C711E" w:rsidRDefault="007C711E" w:rsidP="003C2D46">
            <w:pPr>
              <w:pStyle w:val="Norma"/>
              <w:keepNext/>
              <w:keepLines/>
              <w:spacing w:before="20" w:after="20"/>
              <w:rPr>
                <w:rFonts w:cs="Arial"/>
                <w:sz w:val="20"/>
                <w:szCs w:val="20"/>
              </w:rPr>
            </w:pPr>
          </w:p>
        </w:tc>
        <w:tc>
          <w:tcPr>
            <w:tcW w:w="834" w:type="pct"/>
          </w:tcPr>
          <w:p w14:paraId="1B32015C" w14:textId="338F6F86" w:rsidR="007C711E" w:rsidRDefault="00BA6C70" w:rsidP="003C2D46">
            <w:pPr>
              <w:pStyle w:val="Norma"/>
              <w:keepNext/>
              <w:keepLines/>
              <w:spacing w:before="20" w:after="20"/>
              <w:rPr>
                <w:rFonts w:cs="Arial"/>
                <w:sz w:val="20"/>
                <w:szCs w:val="20"/>
              </w:rPr>
            </w:pPr>
            <w:r>
              <w:rPr>
                <w:rFonts w:cs="Arial"/>
                <w:sz w:val="20"/>
                <w:szCs w:val="20"/>
              </w:rPr>
              <w:t>12/09/2021</w:t>
            </w:r>
          </w:p>
        </w:tc>
        <w:tc>
          <w:tcPr>
            <w:tcW w:w="906" w:type="pct"/>
          </w:tcPr>
          <w:p w14:paraId="0CABE537" w14:textId="77777777" w:rsidR="00BA6C70" w:rsidRDefault="00BA6C70" w:rsidP="00BA6C70">
            <w:pPr>
              <w:pStyle w:val="Norma"/>
              <w:keepNext/>
              <w:keepLines/>
              <w:spacing w:before="20" w:after="20"/>
              <w:rPr>
                <w:rFonts w:cs="Arial"/>
                <w:sz w:val="20"/>
                <w:szCs w:val="20"/>
              </w:rPr>
            </w:pPr>
            <w:r>
              <w:rPr>
                <w:rFonts w:cs="Arial"/>
                <w:sz w:val="20"/>
                <w:szCs w:val="20"/>
              </w:rPr>
              <w:t>Jeff Cun,</w:t>
            </w:r>
          </w:p>
          <w:p w14:paraId="686AF193" w14:textId="398515DE" w:rsidR="007C711E" w:rsidRDefault="00BA6C70" w:rsidP="00BA6C70">
            <w:pPr>
              <w:pStyle w:val="Norma"/>
              <w:keepNext/>
              <w:keepLines/>
              <w:spacing w:before="20" w:after="20"/>
              <w:rPr>
                <w:rFonts w:cs="Arial"/>
                <w:sz w:val="20"/>
                <w:szCs w:val="20"/>
              </w:rPr>
            </w:pPr>
            <w:r>
              <w:rPr>
                <w:rFonts w:cs="Arial"/>
                <w:sz w:val="20"/>
                <w:szCs w:val="20"/>
              </w:rPr>
              <w:t>SoCalGas</w:t>
            </w:r>
          </w:p>
        </w:tc>
        <w:tc>
          <w:tcPr>
            <w:tcW w:w="2761" w:type="pct"/>
          </w:tcPr>
          <w:p w14:paraId="69C2755B" w14:textId="2A46571B" w:rsidR="007C711E" w:rsidRDefault="00BA6C70" w:rsidP="003C2D46">
            <w:pPr>
              <w:pStyle w:val="Norma"/>
              <w:keepNext/>
              <w:keepLines/>
              <w:spacing w:before="20" w:after="20"/>
              <w:rPr>
                <w:rFonts w:cs="Arial"/>
                <w:sz w:val="20"/>
                <w:szCs w:val="20"/>
              </w:rPr>
            </w:pPr>
            <w:r>
              <w:rPr>
                <w:rFonts w:cs="Arial"/>
                <w:sz w:val="20"/>
                <w:szCs w:val="20"/>
              </w:rPr>
              <w:t xml:space="preserve">Updated EAD table with correct values from </w:t>
            </w:r>
            <w:proofErr w:type="spellStart"/>
            <w:r>
              <w:rPr>
                <w:rFonts w:cs="Arial"/>
                <w:sz w:val="20"/>
                <w:szCs w:val="20"/>
              </w:rPr>
              <w:t>WBStd</w:t>
            </w:r>
            <w:proofErr w:type="spellEnd"/>
            <w:r>
              <w:rPr>
                <w:rFonts w:cs="Arial"/>
                <w:sz w:val="20"/>
                <w:szCs w:val="20"/>
              </w:rPr>
              <w:t xml:space="preserve"> </w:t>
            </w:r>
            <w:proofErr w:type="spellStart"/>
            <w:r>
              <w:rPr>
                <w:rFonts w:cs="Arial"/>
                <w:sz w:val="20"/>
                <w:szCs w:val="20"/>
              </w:rPr>
              <w:t>colums</w:t>
            </w:r>
            <w:proofErr w:type="spellEnd"/>
            <w:r>
              <w:rPr>
                <w:rFonts w:cs="Arial"/>
                <w:sz w:val="20"/>
                <w:szCs w:val="20"/>
              </w:rPr>
              <w:t xml:space="preserve"> and HVAC type updated to </w:t>
            </w:r>
            <w:proofErr w:type="spellStart"/>
            <w:r>
              <w:rPr>
                <w:rFonts w:cs="Arial"/>
                <w:sz w:val="20"/>
                <w:szCs w:val="20"/>
              </w:rPr>
              <w:t>cAVVG</w:t>
            </w:r>
            <w:proofErr w:type="spellEnd"/>
            <w:r>
              <w:rPr>
                <w:rFonts w:cs="Arial"/>
                <w:sz w:val="20"/>
                <w:szCs w:val="20"/>
              </w:rPr>
              <w:t xml:space="preserve">. Updated text to </w:t>
            </w:r>
            <w:proofErr w:type="spellStart"/>
            <w:r>
              <w:rPr>
                <w:rFonts w:cs="Arial"/>
                <w:sz w:val="20"/>
                <w:szCs w:val="20"/>
              </w:rPr>
              <w:t>cAVVG</w:t>
            </w:r>
            <w:proofErr w:type="spellEnd"/>
            <w:r>
              <w:rPr>
                <w:rFonts w:cs="Arial"/>
                <w:sz w:val="20"/>
                <w:szCs w:val="20"/>
              </w:rPr>
              <w:t>.</w:t>
            </w:r>
          </w:p>
        </w:tc>
      </w:tr>
      <w:bookmarkEnd w:id="96"/>
      <w:bookmarkEnd w:id="101"/>
      <w:bookmarkEnd w:id="102"/>
    </w:tbl>
    <w:p w14:paraId="5C9CAB2A" w14:textId="77777777" w:rsidR="00085726" w:rsidRDefault="00085726" w:rsidP="00387072">
      <w:pPr>
        <w:pStyle w:val="Norma"/>
      </w:pPr>
    </w:p>
    <w:sectPr w:rsidR="00085726" w:rsidSect="00245D4C">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C5251" w14:textId="77777777" w:rsidR="00244322" w:rsidRDefault="00244322" w:rsidP="00A2690C">
      <w:pPr>
        <w:pStyle w:val="Norma"/>
      </w:pPr>
      <w:r>
        <w:separator/>
      </w:r>
    </w:p>
    <w:p w14:paraId="4BCEB55B" w14:textId="77777777" w:rsidR="00244322" w:rsidRDefault="00244322">
      <w:pPr>
        <w:pStyle w:val="Norma"/>
      </w:pPr>
    </w:p>
  </w:endnote>
  <w:endnote w:type="continuationSeparator" w:id="0">
    <w:p w14:paraId="104B5966" w14:textId="77777777" w:rsidR="00244322" w:rsidRDefault="00244322" w:rsidP="00A2690C">
      <w:pPr>
        <w:pStyle w:val="Norma"/>
      </w:pPr>
      <w:r>
        <w:continuationSeparator/>
      </w:r>
    </w:p>
    <w:p w14:paraId="35B15F78" w14:textId="77777777" w:rsidR="00244322" w:rsidRDefault="00244322">
      <w:pPr>
        <w:pStyle w:val="Norma"/>
      </w:pPr>
    </w:p>
  </w:endnote>
  <w:endnote w:type="continuationNotice" w:id="1">
    <w:p w14:paraId="02DFE853" w14:textId="77777777" w:rsidR="00244322" w:rsidRDefault="00244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8D06" w14:textId="77777777" w:rsidR="00015A5C" w:rsidRDefault="00015A5C"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9" name="Picture 9"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15A5C" w:rsidRPr="00B837C1" w:rsidRDefault="00015A5C"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114B" w14:textId="77777777" w:rsidR="00015A5C" w:rsidRDefault="00015A5C"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0" name="Picture 1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015A5C" w:rsidRPr="00B837C1" w:rsidRDefault="00015A5C"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9099" w14:textId="77777777" w:rsidR="00015A5C" w:rsidRDefault="00015A5C"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015A5C" w:rsidRPr="005F505E" w:rsidRDefault="00015A5C"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1E36A" w14:textId="77777777" w:rsidR="00244322" w:rsidRDefault="00244322" w:rsidP="00A2690C">
      <w:pPr>
        <w:pStyle w:val="Norma"/>
      </w:pPr>
      <w:r>
        <w:separator/>
      </w:r>
    </w:p>
    <w:p w14:paraId="6A3E1BD1" w14:textId="77777777" w:rsidR="00244322" w:rsidRDefault="00244322">
      <w:pPr>
        <w:pStyle w:val="Norma"/>
      </w:pPr>
    </w:p>
  </w:footnote>
  <w:footnote w:type="continuationSeparator" w:id="0">
    <w:p w14:paraId="769CB115" w14:textId="77777777" w:rsidR="00244322" w:rsidRDefault="00244322" w:rsidP="00A2690C">
      <w:pPr>
        <w:pStyle w:val="Norma"/>
      </w:pPr>
      <w:r>
        <w:continuationSeparator/>
      </w:r>
    </w:p>
    <w:p w14:paraId="744264BE" w14:textId="77777777" w:rsidR="00244322" w:rsidRDefault="00244322">
      <w:pPr>
        <w:pStyle w:val="Norma"/>
      </w:pPr>
    </w:p>
  </w:footnote>
  <w:footnote w:type="continuationNotice" w:id="1">
    <w:p w14:paraId="0700139E" w14:textId="77777777" w:rsidR="00244322" w:rsidRDefault="00244322"/>
  </w:footnote>
  <w:footnote w:id="2">
    <w:p w14:paraId="0DD93D1D" w14:textId="6AAEC8DB" w:rsidR="00015A5C" w:rsidRDefault="00015A5C">
      <w:pPr>
        <w:pStyle w:val="FootnoteText"/>
      </w:pPr>
      <w:r>
        <w:rPr>
          <w:rStyle w:val="FootnoteReference"/>
        </w:rPr>
        <w:footnoteRef/>
      </w:r>
      <w:r>
        <w:t xml:space="preserve"> California Energy Commission (CEC). 2019. </w:t>
      </w:r>
      <w:r>
        <w:rPr>
          <w:rStyle w:val="Emphasis"/>
        </w:rPr>
        <w:t>California Code of Regulations Title 20</w:t>
      </w:r>
      <w:r>
        <w:t>. CEC-140-2019-002. January.</w:t>
      </w:r>
    </w:p>
  </w:footnote>
  <w:footnote w:id="3">
    <w:p w14:paraId="6F053F07" w14:textId="3B961E1B" w:rsidR="00015A5C" w:rsidRPr="005466DB" w:rsidRDefault="00015A5C" w:rsidP="005466DB">
      <w:pPr>
        <w:pStyle w:val="Norma"/>
        <w:autoSpaceDE w:val="0"/>
        <w:autoSpaceDN w:val="0"/>
        <w:adjustRightInd w:val="0"/>
        <w:spacing w:before="0" w:after="0" w:line="240" w:lineRule="auto"/>
        <w:rPr>
          <w:sz w:val="18"/>
        </w:rPr>
      </w:pPr>
      <w:r w:rsidRPr="00090871">
        <w:rPr>
          <w:rStyle w:val="FootnoteReference"/>
          <w:rFonts w:asciiTheme="minorHAnsi" w:hAnsiTheme="minorHAnsi"/>
          <w:szCs w:val="22"/>
        </w:rPr>
        <w:footnoteRef/>
      </w:r>
      <w:r w:rsidRPr="00090871">
        <w:rPr>
          <w:rFonts w:asciiTheme="minorHAnsi" w:hAnsiTheme="minorHAnsi" w:cs="Arial"/>
          <w:szCs w:val="22"/>
        </w:rPr>
        <w:t xml:space="preserve"> </w:t>
      </w:r>
      <w:r w:rsidRPr="005466DB">
        <w:rPr>
          <w:rStyle w:val="eTRMFootnoteTextChar"/>
        </w:rPr>
        <w:t xml:space="preserve"> </w:t>
      </w:r>
      <w:r w:rsidRPr="00FC3FB0">
        <w:rPr>
          <w:rStyle w:val="eTRMFootnoteTextChar"/>
        </w:rPr>
        <w:t xml:space="preserve">California Energy Commission (CEC). 2018. </w:t>
      </w:r>
      <w:r w:rsidRPr="00FC3FB0">
        <w:rPr>
          <w:rStyle w:val="eTRMFootnoteTextChar"/>
          <w:i/>
          <w:iCs/>
        </w:rPr>
        <w:t>2019 Building Energy Efficiency Standards for Residential and Nonresidential Buildings (Title 24).</w:t>
      </w:r>
      <w:r w:rsidRPr="00FC3FB0">
        <w:rPr>
          <w:rStyle w:val="eTRMFootnoteTextChar"/>
        </w:rPr>
        <w:t xml:space="preserve"> CEC-400-2018-020-CMF.</w:t>
      </w:r>
    </w:p>
  </w:footnote>
  <w:footnote w:id="4">
    <w:p w14:paraId="7470A5EF" w14:textId="77777777" w:rsidR="00015A5C" w:rsidRDefault="00015A5C" w:rsidP="00E55CD9">
      <w:pPr>
        <w:pStyle w:val="FootnoteText"/>
      </w:pPr>
      <w:r>
        <w:rPr>
          <w:rStyle w:val="FootnoteReference"/>
        </w:rPr>
        <w:footnoteRef/>
      </w:r>
      <w:r>
        <w:t xml:space="preserve"> </w:t>
      </w:r>
      <w:r w:rsidRPr="005466DB">
        <w:t>Pacific Gas and Electric Company (PG&amp;E). 2019. “</w:t>
      </w:r>
      <w:r w:rsidRPr="00235CB7">
        <w:t>SWHC004-01 </w:t>
      </w:r>
      <w:proofErr w:type="spellStart"/>
      <w:r w:rsidRPr="00235CB7">
        <w:t>eQUEST</w:t>
      </w:r>
      <w:proofErr w:type="spellEnd"/>
      <w:r w:rsidRPr="00235CB7">
        <w:t xml:space="preserve"> Calculations.zip</w:t>
      </w:r>
      <w:r w:rsidRPr="005466DB">
        <w:t>.”</w:t>
      </w:r>
    </w:p>
  </w:footnote>
  <w:footnote w:id="5">
    <w:p w14:paraId="40EEF860" w14:textId="2A2215C8" w:rsidR="00015A5C" w:rsidRDefault="00015A5C">
      <w:pPr>
        <w:pStyle w:val="FootnoteText"/>
      </w:pPr>
      <w:r>
        <w:rPr>
          <w:rStyle w:val="FootnoteReference"/>
        </w:rPr>
        <w:footnoteRef/>
      </w:r>
      <w:r>
        <w:t xml:space="preserve"> Pacific Gas and Electric Company (PG&amp;E), Applied Technology Services. </w:t>
      </w:r>
      <w:r w:rsidRPr="002F5593">
        <w:rPr>
          <w:i/>
          <w:iCs/>
        </w:rPr>
        <w:t>2012. Boiler Research Project – ASHRAE Standard 155P.</w:t>
      </w:r>
      <w:r>
        <w:t xml:space="preserve"> ET Project Number: ET11PGE5271. February 29.</w:t>
      </w:r>
    </w:p>
  </w:footnote>
  <w:footnote w:id="6">
    <w:p w14:paraId="250071AD" w14:textId="35195B75" w:rsidR="00015A5C" w:rsidRDefault="00015A5C" w:rsidP="00A2295F">
      <w:pPr>
        <w:pStyle w:val="FootnoteText"/>
      </w:pPr>
      <w:r>
        <w:rPr>
          <w:rStyle w:val="FootnoteReference"/>
        </w:rPr>
        <w:footnoteRef/>
      </w:r>
      <w:r>
        <w:t xml:space="preserve"> Pacific Gas and Electric Company (PG&amp;E). 2019. “SWHC004-01 </w:t>
      </w:r>
      <w:r w:rsidRPr="005466DB">
        <w:rPr>
          <w:rStyle w:val="eTRMFootnoteTextChar"/>
        </w:rPr>
        <w:t>DEER 2020 Building Weights Tables</w:t>
      </w:r>
      <w:r>
        <w:rPr>
          <w:rStyle w:val="eTRMFootnoteTextChar"/>
        </w:rPr>
        <w:t>.xlsx.”</w:t>
      </w:r>
    </w:p>
  </w:footnote>
  <w:footnote w:id="7">
    <w:p w14:paraId="41911029" w14:textId="77777777" w:rsidR="00015A5C" w:rsidRDefault="00015A5C" w:rsidP="006753F9">
      <w:pPr>
        <w:pStyle w:val="FootnoteText"/>
      </w:pPr>
      <w:r>
        <w:rPr>
          <w:rStyle w:val="FootnoteReference"/>
        </w:rPr>
        <w:footnoteRef/>
      </w:r>
      <w:r>
        <w:t xml:space="preserve"> Pacific Gas &amp; Electric</w:t>
      </w:r>
      <w:r w:rsidRPr="00362964">
        <w:t xml:space="preserve"> (</w:t>
      </w:r>
      <w:r>
        <w:t>PGE</w:t>
      </w:r>
      <w:r w:rsidRPr="00362964">
        <w:t>). (n.d.) "</w:t>
      </w:r>
      <w:r w:rsidRPr="005D2326">
        <w:t>SW</w:t>
      </w:r>
      <w:r>
        <w:t>HC04</w:t>
      </w:r>
      <w:r w:rsidRPr="005D2326">
        <w:t>-0</w:t>
      </w:r>
      <w:r>
        <w:t>2</w:t>
      </w:r>
      <w:r w:rsidRPr="005D2326">
        <w:t xml:space="preserve"> </w:t>
      </w:r>
      <w:r>
        <w:t>MeasureDataSpec.xls</w:t>
      </w:r>
      <w:r w:rsidRPr="00362964">
        <w:t>"</w:t>
      </w:r>
      <w:r>
        <w:t>, “Cost Data” tab.</w:t>
      </w:r>
    </w:p>
  </w:footnote>
  <w:footnote w:id="8">
    <w:p w14:paraId="4D6BA5CA" w14:textId="77777777" w:rsidR="00015A5C" w:rsidRDefault="00015A5C" w:rsidP="00DB5A6F">
      <w:pPr>
        <w:pStyle w:val="FootnoteText"/>
      </w:pPr>
      <w:r w:rsidRPr="00090871">
        <w:rPr>
          <w:rStyle w:val="FootnoteReference"/>
          <w:rFonts w:asciiTheme="minorHAnsi" w:hAnsiTheme="minorHAnsi"/>
          <w:sz w:val="22"/>
          <w:szCs w:val="22"/>
        </w:rPr>
        <w:footnoteRef/>
      </w:r>
      <w:r w:rsidRPr="00090871">
        <w:rPr>
          <w:rFonts w:asciiTheme="minorHAnsi" w:hAnsiTheme="minorHAnsi"/>
          <w:sz w:val="22"/>
          <w:szCs w:val="22"/>
        </w:rPr>
        <w:t xml:space="preserve"> </w:t>
      </w:r>
      <w:r w:rsidRPr="005466DB">
        <w:rPr>
          <w:rStyle w:val="eTRMFootnoteTextChar"/>
        </w:rPr>
        <w:t xml:space="preserve"> </w:t>
      </w:r>
      <w:proofErr w:type="spellStart"/>
      <w:r w:rsidRPr="00D3709A">
        <w:t>Itron</w:t>
      </w:r>
      <w:proofErr w:type="spellEnd"/>
      <w:r w:rsidRPr="00D3709A">
        <w:t xml:space="preserve">, Inc. 2014. </w:t>
      </w:r>
      <w:r w:rsidRPr="005035CE">
        <w:rPr>
          <w:i/>
        </w:rPr>
        <w:t>2010-2012 WO017 Ex Ante Measure Cost Study Final Report</w:t>
      </w:r>
      <w:r w:rsidRPr="003B0BB4">
        <w:t>.</w:t>
      </w:r>
      <w:r w:rsidRPr="00D3709A">
        <w:t xml:space="preserve"> Prepared for the California Public Utilities Commission.</w:t>
      </w:r>
      <w:r>
        <w:t xml:space="preserve"> Table 3-20. </w:t>
      </w:r>
    </w:p>
  </w:footnote>
  <w:footnote w:id="9">
    <w:p w14:paraId="01555E03" w14:textId="361401BD" w:rsidR="00015A5C" w:rsidRDefault="00015A5C" w:rsidP="001D3398">
      <w:pPr>
        <w:pStyle w:val="FootnoteText"/>
      </w:pPr>
      <w:r>
        <w:rPr>
          <w:rStyle w:val="FootnoteReference"/>
        </w:rPr>
        <w:footnoteRef/>
      </w:r>
      <w:r>
        <w:t xml:space="preserve"> Gordian. (n.d.) “</w:t>
      </w:r>
      <w:proofErr w:type="spellStart"/>
      <w:r>
        <w:t>RSMeans</w:t>
      </w:r>
      <w:proofErr w:type="spellEnd"/>
      <w:r>
        <w:t xml:space="preserve"> Cost Index.pdf.”</w:t>
      </w:r>
    </w:p>
  </w:footnote>
  <w:footnote w:id="10">
    <w:p w14:paraId="6ACD40DF" w14:textId="77777777" w:rsidR="00015A5C" w:rsidRDefault="00015A5C" w:rsidP="006753F9">
      <w:pPr>
        <w:pStyle w:val="FootnoteText"/>
      </w:pPr>
      <w:r>
        <w:rPr>
          <w:rStyle w:val="FootnoteReference"/>
        </w:rPr>
        <w:footnoteRef/>
      </w:r>
      <w:r>
        <w:t xml:space="preserve"> Pacific Gas &amp; Electric</w:t>
      </w:r>
      <w:r w:rsidRPr="00362964">
        <w:t xml:space="preserve"> (</w:t>
      </w:r>
      <w:r>
        <w:t>PGE</w:t>
      </w:r>
      <w:r w:rsidRPr="00362964">
        <w:t>). (n.d.) "</w:t>
      </w:r>
      <w:r w:rsidRPr="005D2326">
        <w:t>SW</w:t>
      </w:r>
      <w:r>
        <w:t>HC04</w:t>
      </w:r>
      <w:r w:rsidRPr="005D2326">
        <w:t>-0</w:t>
      </w:r>
      <w:r>
        <w:t>2</w:t>
      </w:r>
      <w:r w:rsidRPr="005D2326">
        <w:t xml:space="preserve"> </w:t>
      </w:r>
      <w:r>
        <w:t>MeasureDataSpec.xls</w:t>
      </w:r>
      <w:r w:rsidRPr="00362964">
        <w:t>"</w:t>
      </w:r>
      <w:r>
        <w:t>, “Cost Data” tab.</w:t>
      </w:r>
    </w:p>
  </w:footnote>
  <w:footnote w:id="11">
    <w:p w14:paraId="1EB0908A" w14:textId="77777777" w:rsidR="00015A5C" w:rsidRDefault="00015A5C" w:rsidP="00DB5A6F">
      <w:pPr>
        <w:pStyle w:val="FootnoteText"/>
      </w:pPr>
      <w:r w:rsidRPr="00090871">
        <w:rPr>
          <w:rStyle w:val="FootnoteReference"/>
          <w:rFonts w:asciiTheme="minorHAnsi" w:hAnsiTheme="minorHAnsi"/>
          <w:sz w:val="22"/>
          <w:szCs w:val="22"/>
        </w:rPr>
        <w:footnoteRef/>
      </w:r>
      <w:r w:rsidRPr="00090871">
        <w:rPr>
          <w:rFonts w:asciiTheme="minorHAnsi" w:hAnsiTheme="minorHAnsi"/>
          <w:sz w:val="22"/>
          <w:szCs w:val="22"/>
        </w:rPr>
        <w:t xml:space="preserve"> </w:t>
      </w:r>
      <w:r w:rsidRPr="005466DB">
        <w:rPr>
          <w:rStyle w:val="eTRMFootnoteTextChar"/>
        </w:rPr>
        <w:t xml:space="preserve"> </w:t>
      </w:r>
      <w:proofErr w:type="spellStart"/>
      <w:r w:rsidRPr="00D3709A">
        <w:t>Itron</w:t>
      </w:r>
      <w:proofErr w:type="spellEnd"/>
      <w:r w:rsidRPr="00D3709A">
        <w:t xml:space="preserve">, Inc. 2014. </w:t>
      </w:r>
      <w:r w:rsidRPr="005035CE">
        <w:rPr>
          <w:i/>
        </w:rPr>
        <w:t>2010-2012 WO017 Ex Ante Measure Cost Study Final Report</w:t>
      </w:r>
      <w:r w:rsidRPr="003B0BB4">
        <w:t>.</w:t>
      </w:r>
      <w:r w:rsidRPr="00D3709A">
        <w:t xml:space="preserve"> Prepared for the California Public Utilities Commission.</w:t>
      </w:r>
      <w:r>
        <w:t xml:space="preserve"> Table 3-20. </w:t>
      </w:r>
    </w:p>
  </w:footnote>
  <w:footnote w:id="12">
    <w:p w14:paraId="08A7C345" w14:textId="77777777" w:rsidR="00015A5C" w:rsidRDefault="00015A5C" w:rsidP="008D1F0B">
      <w:pPr>
        <w:pStyle w:val="FootnoteText"/>
      </w:pPr>
      <w:r>
        <w:rPr>
          <w:rStyle w:val="FootnoteReference"/>
        </w:rPr>
        <w:footnoteRef/>
      </w:r>
      <w:r>
        <w:t xml:space="preserve"> Gordian. (n.d.) “</w:t>
      </w:r>
      <w:proofErr w:type="spellStart"/>
      <w:r>
        <w:t>RSMeans</w:t>
      </w:r>
      <w:proofErr w:type="spellEnd"/>
      <w:r>
        <w:t xml:space="preserve"> Cost Index.pdf.”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4C8F" w14:textId="159C53FF" w:rsidR="00015A5C" w:rsidRPr="000220A0" w:rsidRDefault="00015A5C"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1ACE" w14:textId="1E2D747A" w:rsidR="00015A5C" w:rsidRDefault="00015A5C">
    <w:pPr>
      <w:pStyle w:val="Header"/>
    </w:pPr>
    <w:proofErr w:type="gramStart"/>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n</w:t>
    </w:r>
    <w:proofErr w:type="gramEnd"/>
    <w:r w:rsidRPr="000220A0">
      <w:rPr>
        <w:rFonts w:ascii="Calibri Light" w:hAnsi="Calibri Light"/>
      </w:rPr>
      <w:t xml:space="preserve"> </w:t>
    </w:r>
    <w:r>
      <w:rPr>
        <w:rFonts w:ascii="Calibri Light" w:hAnsi="Calibri Light"/>
      </w:rPr>
      <w:t xml:space="preserve"> </w:t>
    </w:r>
    <w:r>
      <w:rPr>
        <w:rFonts w:ascii="Calibri Light" w:hAnsi="Calibri Light"/>
        <w:b/>
      </w:rPr>
      <w:t>Space Heating Boiler</w:t>
    </w:r>
  </w:p>
  <w:p w14:paraId="0BBA2503" w14:textId="77777777" w:rsidR="00015A5C" w:rsidRDefault="00015A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AA" w14:textId="77777777" w:rsidR="00015A5C" w:rsidRDefault="00015A5C" w:rsidP="00BD221D">
    <w:pPr>
      <w:pStyle w:val="Norma"/>
      <w:jc w:val="center"/>
    </w:pPr>
  </w:p>
  <w:p w14:paraId="342310D5" w14:textId="5BACBCD8" w:rsidR="00015A5C" w:rsidRDefault="00015A5C" w:rsidP="00BD221D">
    <w:pPr>
      <w:pStyle w:val="Norma"/>
      <w:jc w:val="center"/>
    </w:pPr>
    <w:r>
      <w:rPr>
        <w:noProof/>
      </w:rPr>
      <w:drawing>
        <wp:inline distT="0" distB="0" distL="0" distR="0" wp14:anchorId="4B2AF0A8" wp14:editId="70209D78">
          <wp:extent cx="937307" cy="1405961"/>
          <wp:effectExtent l="0" t="0" r="2540" b="0"/>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937307" cy="140596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D616" w14:textId="0FA1EB94" w:rsidR="00015A5C" w:rsidRDefault="00015A5C" w:rsidP="001D7A57">
    <w:pPr>
      <w:pStyle w:val="Header"/>
    </w:pPr>
    <w:r>
      <w:rPr>
        <w:rFonts w:ascii="Calibri Light" w:hAnsi="Calibri Light"/>
      </w:rPr>
      <w:t>HVAC</w:t>
    </w:r>
    <w:r w:rsidRPr="000220A0">
      <w:rPr>
        <w:rFonts w:ascii="Calibri Light" w:hAnsi="Calibri Light"/>
      </w:rPr>
      <w:t xml:space="preserve"> </w:t>
    </w:r>
    <w:r w:rsidRPr="00181E01">
      <w:rPr>
        <w:rFonts w:ascii="Wingdings" w:eastAsia="Wingdings" w:hAnsi="Wingdings" w:cs="Wingdings"/>
        <w:color w:val="8DC63F"/>
      </w:rPr>
      <w:t>n</w:t>
    </w:r>
    <w:r w:rsidRPr="000220A0">
      <w:rPr>
        <w:rFonts w:ascii="Calibri Light" w:hAnsi="Calibri Light"/>
      </w:rPr>
      <w:t xml:space="preserve"> </w:t>
    </w:r>
    <w:r>
      <w:rPr>
        <w:rFonts w:ascii="Calibri Light" w:hAnsi="Calibri Light"/>
        <w:b/>
      </w:rPr>
      <w:t>Space Heating Boiler</w:t>
    </w:r>
    <w:r w:rsidR="004026A4">
      <w:rPr>
        <w:rFonts w:ascii="Calibri Light" w:hAnsi="Calibri Light"/>
        <w:b/>
      </w:rPr>
      <w:t>, Commercial &amp; Multifamily</w:t>
    </w:r>
  </w:p>
  <w:p w14:paraId="2AC97B25" w14:textId="77777777" w:rsidR="00015A5C" w:rsidRDefault="00015A5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757E" w14:textId="68B81AAC" w:rsidR="00015A5C" w:rsidRDefault="00015A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C05E0"/>
    <w:multiLevelType w:val="hybridMultilevel"/>
    <w:tmpl w:val="ED08D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52A15"/>
    <w:multiLevelType w:val="hybridMultilevel"/>
    <w:tmpl w:val="5468A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06C64"/>
    <w:multiLevelType w:val="hybridMultilevel"/>
    <w:tmpl w:val="3298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F6CC5"/>
    <w:multiLevelType w:val="hybridMultilevel"/>
    <w:tmpl w:val="593CD4C2"/>
    <w:lvl w:ilvl="0" w:tplc="16EA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F71F0"/>
    <w:multiLevelType w:val="hybridMultilevel"/>
    <w:tmpl w:val="E586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77131B"/>
    <w:multiLevelType w:val="hybridMultilevel"/>
    <w:tmpl w:val="69149AA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801B01"/>
    <w:multiLevelType w:val="hybridMultilevel"/>
    <w:tmpl w:val="E1E82E7E"/>
    <w:name w:val="EMIBULLET2"/>
    <w:lvl w:ilvl="0" w:tplc="0340F2F0">
      <w:start w:val="1"/>
      <w:numFmt w:val="bullet"/>
      <w:lvlText w:val=""/>
      <w:lvlJc w:val="left"/>
      <w:pPr>
        <w:tabs>
          <w:tab w:val="num" w:pos="792"/>
        </w:tabs>
        <w:ind w:left="792" w:hanging="288"/>
      </w:pPr>
      <w:rPr>
        <w:rFonts w:ascii="Symbol" w:hAnsi="Symbol" w:hint="default"/>
        <w:color w:val="696969" w:themeColor="text1" w:themeTint="A6"/>
      </w:rPr>
    </w:lvl>
    <w:lvl w:ilvl="1" w:tplc="82C89994">
      <w:start w:val="1"/>
      <w:numFmt w:val="bullet"/>
      <w:lvlText w:val="o"/>
      <w:lvlJc w:val="left"/>
      <w:pPr>
        <w:tabs>
          <w:tab w:val="num" w:pos="1080"/>
        </w:tabs>
        <w:ind w:left="1440" w:hanging="360"/>
      </w:pPr>
      <w:rPr>
        <w:rFonts w:ascii="Courier New" w:hAnsi="Courier New"/>
        <w:position w:val="5"/>
        <w:sz w:val="14"/>
        <w:szCs w:val="14"/>
      </w:rPr>
    </w:lvl>
    <w:lvl w:ilvl="2" w:tplc="72DE4E20">
      <w:start w:val="1"/>
      <w:numFmt w:val="bullet"/>
      <w:lvlText w:val=""/>
      <w:lvlJc w:val="left"/>
      <w:pPr>
        <w:ind w:left="2160" w:hanging="360"/>
      </w:pPr>
      <w:rPr>
        <w:rFonts w:ascii="Wingdings" w:hAnsi="Wingdings" w:hint="default"/>
      </w:rPr>
    </w:lvl>
    <w:lvl w:ilvl="3" w:tplc="A27CDB54">
      <w:start w:val="1"/>
      <w:numFmt w:val="bullet"/>
      <w:lvlText w:val=""/>
      <w:lvlJc w:val="left"/>
      <w:pPr>
        <w:ind w:left="2880" w:hanging="360"/>
      </w:pPr>
      <w:rPr>
        <w:rFonts w:ascii="Symbol" w:hAnsi="Symbol" w:hint="default"/>
      </w:rPr>
    </w:lvl>
    <w:lvl w:ilvl="4" w:tplc="A604637E">
      <w:start w:val="1"/>
      <w:numFmt w:val="bullet"/>
      <w:lvlText w:val="o"/>
      <w:lvlJc w:val="left"/>
      <w:pPr>
        <w:ind w:left="3600" w:hanging="360"/>
      </w:pPr>
      <w:rPr>
        <w:rFonts w:ascii="Courier New" w:hAnsi="Courier New" w:hint="default"/>
      </w:rPr>
    </w:lvl>
    <w:lvl w:ilvl="5" w:tplc="494420AE">
      <w:start w:val="1"/>
      <w:numFmt w:val="bullet"/>
      <w:lvlText w:val=""/>
      <w:lvlJc w:val="left"/>
      <w:pPr>
        <w:ind w:left="4320" w:hanging="360"/>
      </w:pPr>
      <w:rPr>
        <w:rFonts w:ascii="Wingdings" w:hAnsi="Wingdings" w:hint="default"/>
      </w:rPr>
    </w:lvl>
    <w:lvl w:ilvl="6" w:tplc="0C8E02A2">
      <w:start w:val="1"/>
      <w:numFmt w:val="bullet"/>
      <w:lvlText w:val=""/>
      <w:lvlJc w:val="left"/>
      <w:pPr>
        <w:ind w:left="5040" w:hanging="360"/>
      </w:pPr>
      <w:rPr>
        <w:rFonts w:ascii="Symbol" w:hAnsi="Symbol" w:hint="default"/>
      </w:rPr>
    </w:lvl>
    <w:lvl w:ilvl="7" w:tplc="6520E342">
      <w:start w:val="1"/>
      <w:numFmt w:val="bullet"/>
      <w:lvlText w:val="o"/>
      <w:lvlJc w:val="left"/>
      <w:pPr>
        <w:ind w:left="5760" w:hanging="360"/>
      </w:pPr>
      <w:rPr>
        <w:rFonts w:ascii="Courier New" w:hAnsi="Courier New" w:hint="default"/>
      </w:rPr>
    </w:lvl>
    <w:lvl w:ilvl="8" w:tplc="05341800">
      <w:start w:val="1"/>
      <w:numFmt w:val="bullet"/>
      <w:lvlText w:val=""/>
      <w:lvlJc w:val="left"/>
      <w:pPr>
        <w:ind w:left="6480" w:hanging="360"/>
      </w:pPr>
      <w:rPr>
        <w:rFonts w:ascii="Wingdings" w:hAnsi="Wingdings" w:hint="default"/>
      </w:rPr>
    </w:lvl>
  </w:abstractNum>
  <w:abstractNum w:abstractNumId="14" w15:restartNumberingAfterBreak="0">
    <w:nsid w:val="39C33106"/>
    <w:multiLevelType w:val="multilevel"/>
    <w:tmpl w:val="A5C85532"/>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43E57611"/>
    <w:multiLevelType w:val="hybridMultilevel"/>
    <w:tmpl w:val="E1E82E7E"/>
    <w:name w:val="EMIBULLET32"/>
    <w:lvl w:ilvl="0" w:tplc="11CCFAAA">
      <w:start w:val="1"/>
      <w:numFmt w:val="bullet"/>
      <w:lvlText w:val=""/>
      <w:lvlJc w:val="left"/>
      <w:pPr>
        <w:tabs>
          <w:tab w:val="num" w:pos="792"/>
        </w:tabs>
        <w:ind w:left="792" w:hanging="288"/>
      </w:pPr>
      <w:rPr>
        <w:rFonts w:ascii="Symbol" w:hAnsi="Symbol" w:hint="default"/>
        <w:color w:val="696969" w:themeColor="text1" w:themeTint="A6"/>
      </w:rPr>
    </w:lvl>
    <w:lvl w:ilvl="1" w:tplc="F59022E4">
      <w:start w:val="1"/>
      <w:numFmt w:val="bullet"/>
      <w:lvlText w:val="o"/>
      <w:lvlJc w:val="left"/>
      <w:pPr>
        <w:tabs>
          <w:tab w:val="num" w:pos="1080"/>
        </w:tabs>
        <w:ind w:left="1440" w:hanging="360"/>
      </w:pPr>
      <w:rPr>
        <w:rFonts w:ascii="Courier New" w:hAnsi="Courier New"/>
        <w:position w:val="5"/>
        <w:sz w:val="14"/>
        <w:szCs w:val="14"/>
      </w:rPr>
    </w:lvl>
    <w:lvl w:ilvl="2" w:tplc="ED264EAE">
      <w:start w:val="1"/>
      <w:numFmt w:val="bullet"/>
      <w:lvlText w:val=""/>
      <w:lvlJc w:val="left"/>
      <w:pPr>
        <w:ind w:left="2160" w:hanging="360"/>
      </w:pPr>
      <w:rPr>
        <w:rFonts w:ascii="Wingdings" w:hAnsi="Wingdings" w:hint="default"/>
      </w:rPr>
    </w:lvl>
    <w:lvl w:ilvl="3" w:tplc="F8B4DCA2">
      <w:start w:val="1"/>
      <w:numFmt w:val="bullet"/>
      <w:lvlText w:val=""/>
      <w:lvlJc w:val="left"/>
      <w:pPr>
        <w:ind w:left="2880" w:hanging="360"/>
      </w:pPr>
      <w:rPr>
        <w:rFonts w:ascii="Symbol" w:hAnsi="Symbol" w:hint="default"/>
      </w:rPr>
    </w:lvl>
    <w:lvl w:ilvl="4" w:tplc="AF7CA348">
      <w:start w:val="1"/>
      <w:numFmt w:val="bullet"/>
      <w:lvlText w:val="o"/>
      <w:lvlJc w:val="left"/>
      <w:pPr>
        <w:ind w:left="3600" w:hanging="360"/>
      </w:pPr>
      <w:rPr>
        <w:rFonts w:ascii="Courier New" w:hAnsi="Courier New" w:hint="default"/>
      </w:rPr>
    </w:lvl>
    <w:lvl w:ilvl="5" w:tplc="7280F0EE">
      <w:start w:val="1"/>
      <w:numFmt w:val="bullet"/>
      <w:lvlText w:val=""/>
      <w:lvlJc w:val="left"/>
      <w:pPr>
        <w:ind w:left="4320" w:hanging="360"/>
      </w:pPr>
      <w:rPr>
        <w:rFonts w:ascii="Wingdings" w:hAnsi="Wingdings" w:hint="default"/>
      </w:rPr>
    </w:lvl>
    <w:lvl w:ilvl="6" w:tplc="9648BE08">
      <w:start w:val="1"/>
      <w:numFmt w:val="bullet"/>
      <w:lvlText w:val=""/>
      <w:lvlJc w:val="left"/>
      <w:pPr>
        <w:ind w:left="5040" w:hanging="360"/>
      </w:pPr>
      <w:rPr>
        <w:rFonts w:ascii="Symbol" w:hAnsi="Symbol" w:hint="default"/>
      </w:rPr>
    </w:lvl>
    <w:lvl w:ilvl="7" w:tplc="B562DEB2">
      <w:start w:val="1"/>
      <w:numFmt w:val="bullet"/>
      <w:lvlText w:val="o"/>
      <w:lvlJc w:val="left"/>
      <w:pPr>
        <w:ind w:left="5760" w:hanging="360"/>
      </w:pPr>
      <w:rPr>
        <w:rFonts w:ascii="Courier New" w:hAnsi="Courier New" w:hint="default"/>
      </w:rPr>
    </w:lvl>
    <w:lvl w:ilvl="8" w:tplc="E5C66482">
      <w:start w:val="1"/>
      <w:numFmt w:val="bullet"/>
      <w:lvlText w:val=""/>
      <w:lvlJc w:val="left"/>
      <w:pPr>
        <w:ind w:left="6480" w:hanging="360"/>
      </w:pPr>
      <w:rPr>
        <w:rFonts w:ascii="Wingdings" w:hAnsi="Wingdings" w:hint="default"/>
      </w:rPr>
    </w:lvl>
  </w:abstractNum>
  <w:abstractNum w:abstractNumId="16"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CD50229E"/>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D7F8C266"/>
    <w:lvl w:ilvl="0" w:tplc="3A4CF13A">
      <w:start w:val="1"/>
      <w:numFmt w:val="bullet"/>
      <w:pStyle w:val="eTRMBu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5332F4DE"/>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9650D"/>
    <w:multiLevelType w:val="multilevel"/>
    <w:tmpl w:val="843C60EA"/>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3" w15:restartNumberingAfterBreak="0">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87042B"/>
    <w:multiLevelType w:val="hybridMultilevel"/>
    <w:tmpl w:val="2EE8C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8F168C"/>
    <w:multiLevelType w:val="hybridMultilevel"/>
    <w:tmpl w:val="5B44B6F0"/>
    <w:lvl w:ilvl="0" w:tplc="82D2172C">
      <w:start w:val="1"/>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2"/>
  </w:num>
  <w:num w:numId="4">
    <w:abstractNumId w:val="22"/>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19"/>
  </w:num>
  <w:num w:numId="9">
    <w:abstractNumId w:val="0"/>
  </w:num>
  <w:num w:numId="10">
    <w:abstractNumId w:val="21"/>
  </w:num>
  <w:num w:numId="11">
    <w:abstractNumId w:val="11"/>
  </w:num>
  <w:num w:numId="12">
    <w:abstractNumId w:val="5"/>
  </w:num>
  <w:num w:numId="13">
    <w:abstractNumId w:val="18"/>
  </w:num>
  <w:num w:numId="14">
    <w:abstractNumId w:val="16"/>
  </w:num>
  <w:num w:numId="15">
    <w:abstractNumId w:val="7"/>
  </w:num>
  <w:num w:numId="16">
    <w:abstractNumId w:val="3"/>
  </w:num>
  <w:num w:numId="17">
    <w:abstractNumId w:val="24"/>
  </w:num>
  <w:num w:numId="18">
    <w:abstractNumId w:val="2"/>
  </w:num>
  <w:num w:numId="19">
    <w:abstractNumId w:val="4"/>
  </w:num>
  <w:num w:numId="20">
    <w:abstractNumId w:val="9"/>
  </w:num>
  <w:num w:numId="21">
    <w:abstractNumId w:val="6"/>
  </w:num>
  <w:num w:numId="22">
    <w:abstractNumId w:val="12"/>
  </w:num>
  <w:num w:numId="23">
    <w:abstractNumId w:val="10"/>
  </w:num>
  <w:num w:numId="24">
    <w:abstractNumId w:val="23"/>
  </w:num>
  <w:num w:numId="25">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13E"/>
    <w:rsid w:val="00005B06"/>
    <w:rsid w:val="000063B0"/>
    <w:rsid w:val="000110D9"/>
    <w:rsid w:val="000111AF"/>
    <w:rsid w:val="00012D61"/>
    <w:rsid w:val="00015A5C"/>
    <w:rsid w:val="00016928"/>
    <w:rsid w:val="000220A0"/>
    <w:rsid w:val="000229F1"/>
    <w:rsid w:val="0002389A"/>
    <w:rsid w:val="00026D58"/>
    <w:rsid w:val="000302DF"/>
    <w:rsid w:val="00031184"/>
    <w:rsid w:val="00031707"/>
    <w:rsid w:val="000329C6"/>
    <w:rsid w:val="00032CDC"/>
    <w:rsid w:val="00035268"/>
    <w:rsid w:val="000354BD"/>
    <w:rsid w:val="00037A06"/>
    <w:rsid w:val="00042430"/>
    <w:rsid w:val="000429BF"/>
    <w:rsid w:val="000431B1"/>
    <w:rsid w:val="00046BB0"/>
    <w:rsid w:val="00051DBB"/>
    <w:rsid w:val="00052C95"/>
    <w:rsid w:val="000530E4"/>
    <w:rsid w:val="0005587A"/>
    <w:rsid w:val="00056009"/>
    <w:rsid w:val="00061434"/>
    <w:rsid w:val="00061D34"/>
    <w:rsid w:val="000621A8"/>
    <w:rsid w:val="00062E24"/>
    <w:rsid w:val="000635F2"/>
    <w:rsid w:val="00064D47"/>
    <w:rsid w:val="00065E54"/>
    <w:rsid w:val="000672E5"/>
    <w:rsid w:val="00067D45"/>
    <w:rsid w:val="00074E3E"/>
    <w:rsid w:val="000767E9"/>
    <w:rsid w:val="00077C2F"/>
    <w:rsid w:val="00077E20"/>
    <w:rsid w:val="0008108C"/>
    <w:rsid w:val="000841AA"/>
    <w:rsid w:val="000853C1"/>
    <w:rsid w:val="00085726"/>
    <w:rsid w:val="00087FD4"/>
    <w:rsid w:val="00090BBF"/>
    <w:rsid w:val="000910B7"/>
    <w:rsid w:val="00091581"/>
    <w:rsid w:val="00094517"/>
    <w:rsid w:val="000948DB"/>
    <w:rsid w:val="00096485"/>
    <w:rsid w:val="000978C8"/>
    <w:rsid w:val="000A270E"/>
    <w:rsid w:val="000A2AE0"/>
    <w:rsid w:val="000A2B28"/>
    <w:rsid w:val="000A4D3A"/>
    <w:rsid w:val="000A6133"/>
    <w:rsid w:val="000A62EF"/>
    <w:rsid w:val="000A64F6"/>
    <w:rsid w:val="000A66B7"/>
    <w:rsid w:val="000A7058"/>
    <w:rsid w:val="000B139B"/>
    <w:rsid w:val="000B2680"/>
    <w:rsid w:val="000B43B9"/>
    <w:rsid w:val="000B6004"/>
    <w:rsid w:val="000B68F1"/>
    <w:rsid w:val="000C36B4"/>
    <w:rsid w:val="000C412A"/>
    <w:rsid w:val="000C6D79"/>
    <w:rsid w:val="000C72C1"/>
    <w:rsid w:val="000C7B77"/>
    <w:rsid w:val="000D6FDC"/>
    <w:rsid w:val="000E044A"/>
    <w:rsid w:val="000E580E"/>
    <w:rsid w:val="000F1833"/>
    <w:rsid w:val="000F199B"/>
    <w:rsid w:val="000F5E13"/>
    <w:rsid w:val="000F6A9A"/>
    <w:rsid w:val="0010065B"/>
    <w:rsid w:val="00103399"/>
    <w:rsid w:val="0010471F"/>
    <w:rsid w:val="00104933"/>
    <w:rsid w:val="001111D1"/>
    <w:rsid w:val="0011173A"/>
    <w:rsid w:val="00111A53"/>
    <w:rsid w:val="00112535"/>
    <w:rsid w:val="00112856"/>
    <w:rsid w:val="00112C2A"/>
    <w:rsid w:val="0011498C"/>
    <w:rsid w:val="0011657D"/>
    <w:rsid w:val="00120592"/>
    <w:rsid w:val="001217DF"/>
    <w:rsid w:val="0012187D"/>
    <w:rsid w:val="0012314E"/>
    <w:rsid w:val="00123883"/>
    <w:rsid w:val="001248C7"/>
    <w:rsid w:val="00124BFE"/>
    <w:rsid w:val="00124F8F"/>
    <w:rsid w:val="00126809"/>
    <w:rsid w:val="00126B25"/>
    <w:rsid w:val="00127A1D"/>
    <w:rsid w:val="0013133F"/>
    <w:rsid w:val="00131C5A"/>
    <w:rsid w:val="00132E1A"/>
    <w:rsid w:val="0013380B"/>
    <w:rsid w:val="00135085"/>
    <w:rsid w:val="00136395"/>
    <w:rsid w:val="00142D3C"/>
    <w:rsid w:val="00143062"/>
    <w:rsid w:val="001451AB"/>
    <w:rsid w:val="001461C9"/>
    <w:rsid w:val="00151B9F"/>
    <w:rsid w:val="00152B3E"/>
    <w:rsid w:val="00153BB7"/>
    <w:rsid w:val="00153BDA"/>
    <w:rsid w:val="00154391"/>
    <w:rsid w:val="001564FC"/>
    <w:rsid w:val="00157985"/>
    <w:rsid w:val="00161C96"/>
    <w:rsid w:val="00161DF1"/>
    <w:rsid w:val="001648F6"/>
    <w:rsid w:val="001678B0"/>
    <w:rsid w:val="00171438"/>
    <w:rsid w:val="00171BB8"/>
    <w:rsid w:val="00174707"/>
    <w:rsid w:val="00176982"/>
    <w:rsid w:val="00177EB6"/>
    <w:rsid w:val="00180DAD"/>
    <w:rsid w:val="00181672"/>
    <w:rsid w:val="00181E01"/>
    <w:rsid w:val="001846ED"/>
    <w:rsid w:val="00190091"/>
    <w:rsid w:val="00190D17"/>
    <w:rsid w:val="0019424B"/>
    <w:rsid w:val="001944A0"/>
    <w:rsid w:val="001944B4"/>
    <w:rsid w:val="00195B03"/>
    <w:rsid w:val="00196649"/>
    <w:rsid w:val="00196A36"/>
    <w:rsid w:val="001A11C7"/>
    <w:rsid w:val="001A4BE1"/>
    <w:rsid w:val="001A63A6"/>
    <w:rsid w:val="001A7A21"/>
    <w:rsid w:val="001A7F75"/>
    <w:rsid w:val="001B0D29"/>
    <w:rsid w:val="001B1D23"/>
    <w:rsid w:val="001B426F"/>
    <w:rsid w:val="001B4D2C"/>
    <w:rsid w:val="001B6DC1"/>
    <w:rsid w:val="001C1369"/>
    <w:rsid w:val="001C2ACE"/>
    <w:rsid w:val="001C4761"/>
    <w:rsid w:val="001C6C9B"/>
    <w:rsid w:val="001C7134"/>
    <w:rsid w:val="001C72AC"/>
    <w:rsid w:val="001D1325"/>
    <w:rsid w:val="001D1EF3"/>
    <w:rsid w:val="001D3398"/>
    <w:rsid w:val="001D3494"/>
    <w:rsid w:val="001D4509"/>
    <w:rsid w:val="001D656F"/>
    <w:rsid w:val="001D65A6"/>
    <w:rsid w:val="001D6FC1"/>
    <w:rsid w:val="001D7A57"/>
    <w:rsid w:val="001E19A3"/>
    <w:rsid w:val="001E3079"/>
    <w:rsid w:val="001E4108"/>
    <w:rsid w:val="001E4C3F"/>
    <w:rsid w:val="001E6273"/>
    <w:rsid w:val="001E65F5"/>
    <w:rsid w:val="001F00E9"/>
    <w:rsid w:val="001F5EA3"/>
    <w:rsid w:val="001F735E"/>
    <w:rsid w:val="002005A8"/>
    <w:rsid w:val="002006B6"/>
    <w:rsid w:val="00201A99"/>
    <w:rsid w:val="00203268"/>
    <w:rsid w:val="00203BAA"/>
    <w:rsid w:val="00205BAF"/>
    <w:rsid w:val="00207F85"/>
    <w:rsid w:val="002118E8"/>
    <w:rsid w:val="0021226A"/>
    <w:rsid w:val="0021230E"/>
    <w:rsid w:val="00214EDC"/>
    <w:rsid w:val="00223E93"/>
    <w:rsid w:val="002246D1"/>
    <w:rsid w:val="00224A16"/>
    <w:rsid w:val="00225142"/>
    <w:rsid w:val="00226694"/>
    <w:rsid w:val="002272DD"/>
    <w:rsid w:val="00227BDD"/>
    <w:rsid w:val="002318A4"/>
    <w:rsid w:val="00231E7D"/>
    <w:rsid w:val="002335FF"/>
    <w:rsid w:val="00233D87"/>
    <w:rsid w:val="00235CB7"/>
    <w:rsid w:val="0023666C"/>
    <w:rsid w:val="00236692"/>
    <w:rsid w:val="002367C8"/>
    <w:rsid w:val="00236E0A"/>
    <w:rsid w:val="00237964"/>
    <w:rsid w:val="002434DE"/>
    <w:rsid w:val="0024382E"/>
    <w:rsid w:val="00244322"/>
    <w:rsid w:val="00245AFF"/>
    <w:rsid w:val="00245D4C"/>
    <w:rsid w:val="0024628D"/>
    <w:rsid w:val="0024690E"/>
    <w:rsid w:val="0024697F"/>
    <w:rsid w:val="00251ABC"/>
    <w:rsid w:val="002524CF"/>
    <w:rsid w:val="00256400"/>
    <w:rsid w:val="0025754A"/>
    <w:rsid w:val="00263572"/>
    <w:rsid w:val="00265165"/>
    <w:rsid w:val="002652D2"/>
    <w:rsid w:val="00265F86"/>
    <w:rsid w:val="002709DB"/>
    <w:rsid w:val="00271A83"/>
    <w:rsid w:val="00271B18"/>
    <w:rsid w:val="002762D0"/>
    <w:rsid w:val="00276D03"/>
    <w:rsid w:val="00276F9B"/>
    <w:rsid w:val="002830B1"/>
    <w:rsid w:val="00285040"/>
    <w:rsid w:val="00286FE0"/>
    <w:rsid w:val="0028774B"/>
    <w:rsid w:val="00290021"/>
    <w:rsid w:val="00290A51"/>
    <w:rsid w:val="002942B0"/>
    <w:rsid w:val="0029555D"/>
    <w:rsid w:val="0029781E"/>
    <w:rsid w:val="00297EF1"/>
    <w:rsid w:val="002A100A"/>
    <w:rsid w:val="002A1953"/>
    <w:rsid w:val="002A2471"/>
    <w:rsid w:val="002A2A94"/>
    <w:rsid w:val="002A2E4D"/>
    <w:rsid w:val="002A3ECA"/>
    <w:rsid w:val="002A444E"/>
    <w:rsid w:val="002A4562"/>
    <w:rsid w:val="002A5ACD"/>
    <w:rsid w:val="002A7AEB"/>
    <w:rsid w:val="002B0653"/>
    <w:rsid w:val="002B107C"/>
    <w:rsid w:val="002B108B"/>
    <w:rsid w:val="002B1817"/>
    <w:rsid w:val="002B2C97"/>
    <w:rsid w:val="002B3BF4"/>
    <w:rsid w:val="002B422B"/>
    <w:rsid w:val="002B5A6D"/>
    <w:rsid w:val="002B6DED"/>
    <w:rsid w:val="002B6F2A"/>
    <w:rsid w:val="002C06FC"/>
    <w:rsid w:val="002C1117"/>
    <w:rsid w:val="002C67DF"/>
    <w:rsid w:val="002D0036"/>
    <w:rsid w:val="002D17CE"/>
    <w:rsid w:val="002D1CA3"/>
    <w:rsid w:val="002D29F8"/>
    <w:rsid w:val="002D40EE"/>
    <w:rsid w:val="002D4993"/>
    <w:rsid w:val="002D50E9"/>
    <w:rsid w:val="002D5CFA"/>
    <w:rsid w:val="002E5874"/>
    <w:rsid w:val="002F036B"/>
    <w:rsid w:val="002F5593"/>
    <w:rsid w:val="002F5CBB"/>
    <w:rsid w:val="002F7C51"/>
    <w:rsid w:val="002F7D98"/>
    <w:rsid w:val="002F7E58"/>
    <w:rsid w:val="0030176B"/>
    <w:rsid w:val="00302A82"/>
    <w:rsid w:val="003033FA"/>
    <w:rsid w:val="00304892"/>
    <w:rsid w:val="003103FB"/>
    <w:rsid w:val="003128A5"/>
    <w:rsid w:val="00313E1D"/>
    <w:rsid w:val="00321906"/>
    <w:rsid w:val="003247FA"/>
    <w:rsid w:val="003270B0"/>
    <w:rsid w:val="003309DA"/>
    <w:rsid w:val="00330A99"/>
    <w:rsid w:val="00333809"/>
    <w:rsid w:val="00336313"/>
    <w:rsid w:val="00337D1D"/>
    <w:rsid w:val="00340609"/>
    <w:rsid w:val="00342DA3"/>
    <w:rsid w:val="0035060F"/>
    <w:rsid w:val="00352864"/>
    <w:rsid w:val="003531B6"/>
    <w:rsid w:val="00354D3E"/>
    <w:rsid w:val="00355B00"/>
    <w:rsid w:val="00356C50"/>
    <w:rsid w:val="00357082"/>
    <w:rsid w:val="003616C9"/>
    <w:rsid w:val="00362F9E"/>
    <w:rsid w:val="00363BE8"/>
    <w:rsid w:val="003701B1"/>
    <w:rsid w:val="00370B4D"/>
    <w:rsid w:val="00370B5D"/>
    <w:rsid w:val="00372DEE"/>
    <w:rsid w:val="00372F61"/>
    <w:rsid w:val="003841FB"/>
    <w:rsid w:val="00385069"/>
    <w:rsid w:val="00387072"/>
    <w:rsid w:val="00392097"/>
    <w:rsid w:val="00392406"/>
    <w:rsid w:val="00392684"/>
    <w:rsid w:val="003947D0"/>
    <w:rsid w:val="003975B9"/>
    <w:rsid w:val="003A0B5E"/>
    <w:rsid w:val="003A7E70"/>
    <w:rsid w:val="003B4F96"/>
    <w:rsid w:val="003B5002"/>
    <w:rsid w:val="003B66BD"/>
    <w:rsid w:val="003B6C83"/>
    <w:rsid w:val="003B7610"/>
    <w:rsid w:val="003C2CC3"/>
    <w:rsid w:val="003C2D46"/>
    <w:rsid w:val="003C7539"/>
    <w:rsid w:val="003C7721"/>
    <w:rsid w:val="003D1FB8"/>
    <w:rsid w:val="003D28D1"/>
    <w:rsid w:val="003D2C62"/>
    <w:rsid w:val="003D3956"/>
    <w:rsid w:val="003D6F12"/>
    <w:rsid w:val="003D7104"/>
    <w:rsid w:val="003E2013"/>
    <w:rsid w:val="003E26A0"/>
    <w:rsid w:val="003E50CF"/>
    <w:rsid w:val="003E5605"/>
    <w:rsid w:val="003E661C"/>
    <w:rsid w:val="003E7BC6"/>
    <w:rsid w:val="003F21D2"/>
    <w:rsid w:val="003F269E"/>
    <w:rsid w:val="003F37AA"/>
    <w:rsid w:val="003F4964"/>
    <w:rsid w:val="003F65F3"/>
    <w:rsid w:val="004018DC"/>
    <w:rsid w:val="00401C43"/>
    <w:rsid w:val="004026A4"/>
    <w:rsid w:val="004045A2"/>
    <w:rsid w:val="004046FF"/>
    <w:rsid w:val="00410790"/>
    <w:rsid w:val="00411EF4"/>
    <w:rsid w:val="004132D3"/>
    <w:rsid w:val="004133BB"/>
    <w:rsid w:val="004142EF"/>
    <w:rsid w:val="00420958"/>
    <w:rsid w:val="00420EF1"/>
    <w:rsid w:val="00421920"/>
    <w:rsid w:val="00421EE1"/>
    <w:rsid w:val="004236E5"/>
    <w:rsid w:val="00423D33"/>
    <w:rsid w:val="00424192"/>
    <w:rsid w:val="004249A0"/>
    <w:rsid w:val="0043117B"/>
    <w:rsid w:val="0043155E"/>
    <w:rsid w:val="00432D49"/>
    <w:rsid w:val="004339EA"/>
    <w:rsid w:val="00433E8F"/>
    <w:rsid w:val="00434145"/>
    <w:rsid w:val="00437FD0"/>
    <w:rsid w:val="004416F4"/>
    <w:rsid w:val="00441B62"/>
    <w:rsid w:val="00442224"/>
    <w:rsid w:val="00444491"/>
    <w:rsid w:val="0044577B"/>
    <w:rsid w:val="004464B6"/>
    <w:rsid w:val="00451588"/>
    <w:rsid w:val="004517F1"/>
    <w:rsid w:val="00451FF6"/>
    <w:rsid w:val="004556DF"/>
    <w:rsid w:val="00455E26"/>
    <w:rsid w:val="00460E69"/>
    <w:rsid w:val="0046158A"/>
    <w:rsid w:val="00461AE3"/>
    <w:rsid w:val="00462BB6"/>
    <w:rsid w:val="00464758"/>
    <w:rsid w:val="00464A63"/>
    <w:rsid w:val="00466A37"/>
    <w:rsid w:val="00466DD6"/>
    <w:rsid w:val="00470670"/>
    <w:rsid w:val="00472286"/>
    <w:rsid w:val="00475A47"/>
    <w:rsid w:val="00475D57"/>
    <w:rsid w:val="00480D48"/>
    <w:rsid w:val="00483944"/>
    <w:rsid w:val="00484536"/>
    <w:rsid w:val="00485730"/>
    <w:rsid w:val="00486585"/>
    <w:rsid w:val="0048766B"/>
    <w:rsid w:val="0048799E"/>
    <w:rsid w:val="00490681"/>
    <w:rsid w:val="00491E5B"/>
    <w:rsid w:val="004956F2"/>
    <w:rsid w:val="0049615E"/>
    <w:rsid w:val="00497289"/>
    <w:rsid w:val="00497F91"/>
    <w:rsid w:val="004A06AE"/>
    <w:rsid w:val="004A1613"/>
    <w:rsid w:val="004A1C00"/>
    <w:rsid w:val="004A27AC"/>
    <w:rsid w:val="004A32F9"/>
    <w:rsid w:val="004A510D"/>
    <w:rsid w:val="004A5A05"/>
    <w:rsid w:val="004B06E3"/>
    <w:rsid w:val="004B2425"/>
    <w:rsid w:val="004B242A"/>
    <w:rsid w:val="004B3395"/>
    <w:rsid w:val="004B35DC"/>
    <w:rsid w:val="004B5888"/>
    <w:rsid w:val="004B6780"/>
    <w:rsid w:val="004B6CFF"/>
    <w:rsid w:val="004B746C"/>
    <w:rsid w:val="004B7CAA"/>
    <w:rsid w:val="004C2A36"/>
    <w:rsid w:val="004C3663"/>
    <w:rsid w:val="004C391E"/>
    <w:rsid w:val="004C57EC"/>
    <w:rsid w:val="004C69F2"/>
    <w:rsid w:val="004C6D53"/>
    <w:rsid w:val="004D0C20"/>
    <w:rsid w:val="004D1461"/>
    <w:rsid w:val="004D3A71"/>
    <w:rsid w:val="004D3CE4"/>
    <w:rsid w:val="004D5EB0"/>
    <w:rsid w:val="004D7E51"/>
    <w:rsid w:val="004E04EE"/>
    <w:rsid w:val="004E1B37"/>
    <w:rsid w:val="004E2704"/>
    <w:rsid w:val="004E3E74"/>
    <w:rsid w:val="004E3F72"/>
    <w:rsid w:val="004E4B7F"/>
    <w:rsid w:val="004E4D01"/>
    <w:rsid w:val="004E733B"/>
    <w:rsid w:val="004F1663"/>
    <w:rsid w:val="004F20D0"/>
    <w:rsid w:val="004F4AB7"/>
    <w:rsid w:val="004F705B"/>
    <w:rsid w:val="004F7F21"/>
    <w:rsid w:val="00500964"/>
    <w:rsid w:val="00500C66"/>
    <w:rsid w:val="00505B94"/>
    <w:rsid w:val="005115E8"/>
    <w:rsid w:val="005130EC"/>
    <w:rsid w:val="0051423C"/>
    <w:rsid w:val="005146E6"/>
    <w:rsid w:val="0051573C"/>
    <w:rsid w:val="00516D7F"/>
    <w:rsid w:val="00522372"/>
    <w:rsid w:val="00535A42"/>
    <w:rsid w:val="0053701E"/>
    <w:rsid w:val="0053748E"/>
    <w:rsid w:val="00542441"/>
    <w:rsid w:val="005431BC"/>
    <w:rsid w:val="005449C6"/>
    <w:rsid w:val="005466DB"/>
    <w:rsid w:val="00547C58"/>
    <w:rsid w:val="00552ED0"/>
    <w:rsid w:val="00552FD6"/>
    <w:rsid w:val="0055755B"/>
    <w:rsid w:val="0055786F"/>
    <w:rsid w:val="0056177B"/>
    <w:rsid w:val="005636C3"/>
    <w:rsid w:val="00564FBC"/>
    <w:rsid w:val="00566B42"/>
    <w:rsid w:val="0057119C"/>
    <w:rsid w:val="0057165C"/>
    <w:rsid w:val="00571D95"/>
    <w:rsid w:val="005722C6"/>
    <w:rsid w:val="00580FF8"/>
    <w:rsid w:val="00582575"/>
    <w:rsid w:val="005855C0"/>
    <w:rsid w:val="00585C8D"/>
    <w:rsid w:val="005862CC"/>
    <w:rsid w:val="005911FE"/>
    <w:rsid w:val="0059312F"/>
    <w:rsid w:val="00593220"/>
    <w:rsid w:val="0059380C"/>
    <w:rsid w:val="00595758"/>
    <w:rsid w:val="00595C4B"/>
    <w:rsid w:val="00596081"/>
    <w:rsid w:val="005A23A8"/>
    <w:rsid w:val="005A3943"/>
    <w:rsid w:val="005A3A58"/>
    <w:rsid w:val="005A3B69"/>
    <w:rsid w:val="005A51E6"/>
    <w:rsid w:val="005A632E"/>
    <w:rsid w:val="005A74DC"/>
    <w:rsid w:val="005B023A"/>
    <w:rsid w:val="005B2AAB"/>
    <w:rsid w:val="005B7155"/>
    <w:rsid w:val="005B7418"/>
    <w:rsid w:val="005C03A9"/>
    <w:rsid w:val="005C1BD9"/>
    <w:rsid w:val="005C2BFC"/>
    <w:rsid w:val="005C324B"/>
    <w:rsid w:val="005C43E2"/>
    <w:rsid w:val="005C454A"/>
    <w:rsid w:val="005C4BF7"/>
    <w:rsid w:val="005C74C9"/>
    <w:rsid w:val="005C7EFC"/>
    <w:rsid w:val="005D1B14"/>
    <w:rsid w:val="005D257B"/>
    <w:rsid w:val="005D495E"/>
    <w:rsid w:val="005E1D5C"/>
    <w:rsid w:val="005E25DC"/>
    <w:rsid w:val="005E52AE"/>
    <w:rsid w:val="005E5607"/>
    <w:rsid w:val="005E567C"/>
    <w:rsid w:val="005E5AFE"/>
    <w:rsid w:val="005E6221"/>
    <w:rsid w:val="005F28A2"/>
    <w:rsid w:val="005F2A04"/>
    <w:rsid w:val="005F505E"/>
    <w:rsid w:val="005F7A18"/>
    <w:rsid w:val="00600A1A"/>
    <w:rsid w:val="00602976"/>
    <w:rsid w:val="0060388D"/>
    <w:rsid w:val="00603D8F"/>
    <w:rsid w:val="00604231"/>
    <w:rsid w:val="00606355"/>
    <w:rsid w:val="006068F3"/>
    <w:rsid w:val="00610C2F"/>
    <w:rsid w:val="00612B64"/>
    <w:rsid w:val="00615283"/>
    <w:rsid w:val="0061538B"/>
    <w:rsid w:val="006154AB"/>
    <w:rsid w:val="006173C9"/>
    <w:rsid w:val="0062187C"/>
    <w:rsid w:val="00623587"/>
    <w:rsid w:val="006236B3"/>
    <w:rsid w:val="006239BC"/>
    <w:rsid w:val="00625744"/>
    <w:rsid w:val="00625805"/>
    <w:rsid w:val="0062667D"/>
    <w:rsid w:val="00627AC4"/>
    <w:rsid w:val="0063038A"/>
    <w:rsid w:val="00630F59"/>
    <w:rsid w:val="0063185A"/>
    <w:rsid w:val="0063253B"/>
    <w:rsid w:val="0063263A"/>
    <w:rsid w:val="006333F3"/>
    <w:rsid w:val="006363C8"/>
    <w:rsid w:val="00637AB8"/>
    <w:rsid w:val="0064370D"/>
    <w:rsid w:val="00643771"/>
    <w:rsid w:val="00644946"/>
    <w:rsid w:val="00646AB8"/>
    <w:rsid w:val="00647BD9"/>
    <w:rsid w:val="00654A3E"/>
    <w:rsid w:val="0065570F"/>
    <w:rsid w:val="00657C37"/>
    <w:rsid w:val="006624A7"/>
    <w:rsid w:val="00662966"/>
    <w:rsid w:val="0066515F"/>
    <w:rsid w:val="006663E9"/>
    <w:rsid w:val="006668AF"/>
    <w:rsid w:val="00667EA0"/>
    <w:rsid w:val="00670A7E"/>
    <w:rsid w:val="00670EDC"/>
    <w:rsid w:val="00671A26"/>
    <w:rsid w:val="0067278C"/>
    <w:rsid w:val="006753F9"/>
    <w:rsid w:val="00676DAA"/>
    <w:rsid w:val="0067729E"/>
    <w:rsid w:val="006777AF"/>
    <w:rsid w:val="0068497F"/>
    <w:rsid w:val="00686439"/>
    <w:rsid w:val="00686A53"/>
    <w:rsid w:val="00687AC5"/>
    <w:rsid w:val="006929B6"/>
    <w:rsid w:val="0069555E"/>
    <w:rsid w:val="00695D25"/>
    <w:rsid w:val="00697A88"/>
    <w:rsid w:val="00697CF1"/>
    <w:rsid w:val="006A35A5"/>
    <w:rsid w:val="006A4F24"/>
    <w:rsid w:val="006A6051"/>
    <w:rsid w:val="006B31D9"/>
    <w:rsid w:val="006B3CB4"/>
    <w:rsid w:val="006C0102"/>
    <w:rsid w:val="006C07D4"/>
    <w:rsid w:val="006C1824"/>
    <w:rsid w:val="006C41AD"/>
    <w:rsid w:val="006C6E8C"/>
    <w:rsid w:val="006D04BD"/>
    <w:rsid w:val="006D0AB5"/>
    <w:rsid w:val="006D0FCB"/>
    <w:rsid w:val="006D38FE"/>
    <w:rsid w:val="006D47EF"/>
    <w:rsid w:val="006D6644"/>
    <w:rsid w:val="006D6C32"/>
    <w:rsid w:val="006D7180"/>
    <w:rsid w:val="006E433B"/>
    <w:rsid w:val="006E648B"/>
    <w:rsid w:val="006E7899"/>
    <w:rsid w:val="006E7C78"/>
    <w:rsid w:val="006F0C4F"/>
    <w:rsid w:val="006F2394"/>
    <w:rsid w:val="006F27F4"/>
    <w:rsid w:val="006F2E23"/>
    <w:rsid w:val="006F4C30"/>
    <w:rsid w:val="006F7024"/>
    <w:rsid w:val="00703A7C"/>
    <w:rsid w:val="00705038"/>
    <w:rsid w:val="007076DA"/>
    <w:rsid w:val="00707860"/>
    <w:rsid w:val="007159BC"/>
    <w:rsid w:val="00717131"/>
    <w:rsid w:val="00717AA0"/>
    <w:rsid w:val="007207BF"/>
    <w:rsid w:val="00725CB0"/>
    <w:rsid w:val="0073009E"/>
    <w:rsid w:val="0073517D"/>
    <w:rsid w:val="0073683A"/>
    <w:rsid w:val="0073685C"/>
    <w:rsid w:val="00737DBC"/>
    <w:rsid w:val="00737EA5"/>
    <w:rsid w:val="007400AE"/>
    <w:rsid w:val="00741F3E"/>
    <w:rsid w:val="00742F88"/>
    <w:rsid w:val="00743AA8"/>
    <w:rsid w:val="00747787"/>
    <w:rsid w:val="00750840"/>
    <w:rsid w:val="007565CB"/>
    <w:rsid w:val="007571F1"/>
    <w:rsid w:val="00757617"/>
    <w:rsid w:val="0076370E"/>
    <w:rsid w:val="00763AD8"/>
    <w:rsid w:val="00765016"/>
    <w:rsid w:val="00765D28"/>
    <w:rsid w:val="007661D8"/>
    <w:rsid w:val="00767EDE"/>
    <w:rsid w:val="0077100C"/>
    <w:rsid w:val="007732DF"/>
    <w:rsid w:val="007737B5"/>
    <w:rsid w:val="00774D00"/>
    <w:rsid w:val="00776C39"/>
    <w:rsid w:val="00781D00"/>
    <w:rsid w:val="007825AC"/>
    <w:rsid w:val="00784E68"/>
    <w:rsid w:val="007900F3"/>
    <w:rsid w:val="00791477"/>
    <w:rsid w:val="00791B69"/>
    <w:rsid w:val="0079498E"/>
    <w:rsid w:val="00796F10"/>
    <w:rsid w:val="007A61E6"/>
    <w:rsid w:val="007A6AB5"/>
    <w:rsid w:val="007A6C67"/>
    <w:rsid w:val="007B0318"/>
    <w:rsid w:val="007B14D9"/>
    <w:rsid w:val="007B2B46"/>
    <w:rsid w:val="007B30F2"/>
    <w:rsid w:val="007B377F"/>
    <w:rsid w:val="007B4274"/>
    <w:rsid w:val="007B443D"/>
    <w:rsid w:val="007B5117"/>
    <w:rsid w:val="007B599D"/>
    <w:rsid w:val="007B6650"/>
    <w:rsid w:val="007B6A74"/>
    <w:rsid w:val="007C04D8"/>
    <w:rsid w:val="007C1650"/>
    <w:rsid w:val="007C2DC8"/>
    <w:rsid w:val="007C35A9"/>
    <w:rsid w:val="007C6349"/>
    <w:rsid w:val="007C6C4C"/>
    <w:rsid w:val="007C711E"/>
    <w:rsid w:val="007C7868"/>
    <w:rsid w:val="007D0662"/>
    <w:rsid w:val="007D097E"/>
    <w:rsid w:val="007D230B"/>
    <w:rsid w:val="007D2D80"/>
    <w:rsid w:val="007D3681"/>
    <w:rsid w:val="007D3824"/>
    <w:rsid w:val="007D49A1"/>
    <w:rsid w:val="007D5261"/>
    <w:rsid w:val="007D59DD"/>
    <w:rsid w:val="007E1F66"/>
    <w:rsid w:val="007E2CB5"/>
    <w:rsid w:val="007E4C10"/>
    <w:rsid w:val="007E6501"/>
    <w:rsid w:val="007E66FB"/>
    <w:rsid w:val="007E6C25"/>
    <w:rsid w:val="007F2C16"/>
    <w:rsid w:val="007F32D7"/>
    <w:rsid w:val="007F4D94"/>
    <w:rsid w:val="007F4F97"/>
    <w:rsid w:val="007F5780"/>
    <w:rsid w:val="007F669E"/>
    <w:rsid w:val="00801632"/>
    <w:rsid w:val="00802BFF"/>
    <w:rsid w:val="0080520B"/>
    <w:rsid w:val="008069D5"/>
    <w:rsid w:val="00807B3E"/>
    <w:rsid w:val="00810201"/>
    <w:rsid w:val="00810D4A"/>
    <w:rsid w:val="00811170"/>
    <w:rsid w:val="00812F82"/>
    <w:rsid w:val="008146FD"/>
    <w:rsid w:val="0081631D"/>
    <w:rsid w:val="00816AAB"/>
    <w:rsid w:val="00820402"/>
    <w:rsid w:val="008243B2"/>
    <w:rsid w:val="00824F08"/>
    <w:rsid w:val="00824FB2"/>
    <w:rsid w:val="0082533C"/>
    <w:rsid w:val="00825D7F"/>
    <w:rsid w:val="008310DF"/>
    <w:rsid w:val="00831105"/>
    <w:rsid w:val="00831932"/>
    <w:rsid w:val="00832A69"/>
    <w:rsid w:val="00833E21"/>
    <w:rsid w:val="00835487"/>
    <w:rsid w:val="00835E04"/>
    <w:rsid w:val="00843714"/>
    <w:rsid w:val="00844860"/>
    <w:rsid w:val="00844A4B"/>
    <w:rsid w:val="00851C0D"/>
    <w:rsid w:val="00854676"/>
    <w:rsid w:val="00865296"/>
    <w:rsid w:val="00867086"/>
    <w:rsid w:val="00871123"/>
    <w:rsid w:val="00874656"/>
    <w:rsid w:val="00874663"/>
    <w:rsid w:val="0087471D"/>
    <w:rsid w:val="008813B8"/>
    <w:rsid w:val="00881B8D"/>
    <w:rsid w:val="00881B95"/>
    <w:rsid w:val="008831CA"/>
    <w:rsid w:val="00883A20"/>
    <w:rsid w:val="00883EA9"/>
    <w:rsid w:val="00887FDA"/>
    <w:rsid w:val="00890293"/>
    <w:rsid w:val="00890A76"/>
    <w:rsid w:val="00890E66"/>
    <w:rsid w:val="0089272A"/>
    <w:rsid w:val="00892C20"/>
    <w:rsid w:val="00894890"/>
    <w:rsid w:val="00897247"/>
    <w:rsid w:val="008A4D09"/>
    <w:rsid w:val="008B08F0"/>
    <w:rsid w:val="008B262C"/>
    <w:rsid w:val="008B2DAD"/>
    <w:rsid w:val="008B5900"/>
    <w:rsid w:val="008B6FC8"/>
    <w:rsid w:val="008C19E9"/>
    <w:rsid w:val="008C1E7F"/>
    <w:rsid w:val="008C26E9"/>
    <w:rsid w:val="008C5609"/>
    <w:rsid w:val="008C774E"/>
    <w:rsid w:val="008D1F0B"/>
    <w:rsid w:val="008D3721"/>
    <w:rsid w:val="008D4652"/>
    <w:rsid w:val="008D6670"/>
    <w:rsid w:val="008D6D9D"/>
    <w:rsid w:val="008E0A9C"/>
    <w:rsid w:val="008E1E47"/>
    <w:rsid w:val="008E3C76"/>
    <w:rsid w:val="008E5028"/>
    <w:rsid w:val="008E62E0"/>
    <w:rsid w:val="008E6E39"/>
    <w:rsid w:val="008F01C2"/>
    <w:rsid w:val="008F042B"/>
    <w:rsid w:val="008F1691"/>
    <w:rsid w:val="008F22E2"/>
    <w:rsid w:val="008F4BE1"/>
    <w:rsid w:val="008F505E"/>
    <w:rsid w:val="008F5698"/>
    <w:rsid w:val="008F639E"/>
    <w:rsid w:val="00901EF2"/>
    <w:rsid w:val="0090325C"/>
    <w:rsid w:val="00903EB6"/>
    <w:rsid w:val="009042CB"/>
    <w:rsid w:val="00904906"/>
    <w:rsid w:val="0090702F"/>
    <w:rsid w:val="009079D0"/>
    <w:rsid w:val="00913D0A"/>
    <w:rsid w:val="009148A1"/>
    <w:rsid w:val="0091744C"/>
    <w:rsid w:val="0092083C"/>
    <w:rsid w:val="00924433"/>
    <w:rsid w:val="00924843"/>
    <w:rsid w:val="00924972"/>
    <w:rsid w:val="00925A12"/>
    <w:rsid w:val="00926180"/>
    <w:rsid w:val="009309D7"/>
    <w:rsid w:val="00932E1E"/>
    <w:rsid w:val="00933103"/>
    <w:rsid w:val="00934068"/>
    <w:rsid w:val="00935BCC"/>
    <w:rsid w:val="00936348"/>
    <w:rsid w:val="00936EF9"/>
    <w:rsid w:val="00937854"/>
    <w:rsid w:val="009400F4"/>
    <w:rsid w:val="00940D28"/>
    <w:rsid w:val="00944A64"/>
    <w:rsid w:val="00945563"/>
    <w:rsid w:val="009469E0"/>
    <w:rsid w:val="00951A14"/>
    <w:rsid w:val="00951C4D"/>
    <w:rsid w:val="00952E03"/>
    <w:rsid w:val="0095396E"/>
    <w:rsid w:val="009544D7"/>
    <w:rsid w:val="009547E2"/>
    <w:rsid w:val="00956488"/>
    <w:rsid w:val="00956F5F"/>
    <w:rsid w:val="009610DC"/>
    <w:rsid w:val="009669D2"/>
    <w:rsid w:val="00967383"/>
    <w:rsid w:val="0097154F"/>
    <w:rsid w:val="00973148"/>
    <w:rsid w:val="0098457F"/>
    <w:rsid w:val="00984B2A"/>
    <w:rsid w:val="0098506C"/>
    <w:rsid w:val="00985996"/>
    <w:rsid w:val="00986978"/>
    <w:rsid w:val="0099030B"/>
    <w:rsid w:val="00994F74"/>
    <w:rsid w:val="0099563A"/>
    <w:rsid w:val="009A13F4"/>
    <w:rsid w:val="009A42F5"/>
    <w:rsid w:val="009A44BE"/>
    <w:rsid w:val="009A4D1C"/>
    <w:rsid w:val="009A4F26"/>
    <w:rsid w:val="009B029F"/>
    <w:rsid w:val="009B0FA4"/>
    <w:rsid w:val="009B27F8"/>
    <w:rsid w:val="009B4A8B"/>
    <w:rsid w:val="009B58D2"/>
    <w:rsid w:val="009B610A"/>
    <w:rsid w:val="009B74FB"/>
    <w:rsid w:val="009C0660"/>
    <w:rsid w:val="009C26B5"/>
    <w:rsid w:val="009C31A4"/>
    <w:rsid w:val="009C332D"/>
    <w:rsid w:val="009C4845"/>
    <w:rsid w:val="009C6C35"/>
    <w:rsid w:val="009C730D"/>
    <w:rsid w:val="009C7314"/>
    <w:rsid w:val="009D1CEA"/>
    <w:rsid w:val="009D2442"/>
    <w:rsid w:val="009D322A"/>
    <w:rsid w:val="009D4240"/>
    <w:rsid w:val="009D49B9"/>
    <w:rsid w:val="009D5D9F"/>
    <w:rsid w:val="009D7F4D"/>
    <w:rsid w:val="009E0FA2"/>
    <w:rsid w:val="009E2244"/>
    <w:rsid w:val="009E23A0"/>
    <w:rsid w:val="009E2D42"/>
    <w:rsid w:val="009E57DF"/>
    <w:rsid w:val="009F1720"/>
    <w:rsid w:val="009F1E0E"/>
    <w:rsid w:val="009F57FD"/>
    <w:rsid w:val="009F7F9F"/>
    <w:rsid w:val="00A01E02"/>
    <w:rsid w:val="00A02E26"/>
    <w:rsid w:val="00A05BA0"/>
    <w:rsid w:val="00A07E56"/>
    <w:rsid w:val="00A10C74"/>
    <w:rsid w:val="00A159C9"/>
    <w:rsid w:val="00A167FB"/>
    <w:rsid w:val="00A17E8B"/>
    <w:rsid w:val="00A20F7D"/>
    <w:rsid w:val="00A21B70"/>
    <w:rsid w:val="00A21D02"/>
    <w:rsid w:val="00A21DDB"/>
    <w:rsid w:val="00A2295F"/>
    <w:rsid w:val="00A23CF6"/>
    <w:rsid w:val="00A2690C"/>
    <w:rsid w:val="00A2792F"/>
    <w:rsid w:val="00A30970"/>
    <w:rsid w:val="00A315E4"/>
    <w:rsid w:val="00A31603"/>
    <w:rsid w:val="00A31D96"/>
    <w:rsid w:val="00A31FEE"/>
    <w:rsid w:val="00A33722"/>
    <w:rsid w:val="00A33C55"/>
    <w:rsid w:val="00A40487"/>
    <w:rsid w:val="00A406C3"/>
    <w:rsid w:val="00A40E5D"/>
    <w:rsid w:val="00A42875"/>
    <w:rsid w:val="00A44DC1"/>
    <w:rsid w:val="00A4694C"/>
    <w:rsid w:val="00A47168"/>
    <w:rsid w:val="00A47A98"/>
    <w:rsid w:val="00A47EE7"/>
    <w:rsid w:val="00A50B43"/>
    <w:rsid w:val="00A51C87"/>
    <w:rsid w:val="00A52E33"/>
    <w:rsid w:val="00A54197"/>
    <w:rsid w:val="00A57174"/>
    <w:rsid w:val="00A572D8"/>
    <w:rsid w:val="00A60FE5"/>
    <w:rsid w:val="00A610E0"/>
    <w:rsid w:val="00A61821"/>
    <w:rsid w:val="00A61E3A"/>
    <w:rsid w:val="00A631BA"/>
    <w:rsid w:val="00A65C27"/>
    <w:rsid w:val="00A67BC0"/>
    <w:rsid w:val="00A67CA5"/>
    <w:rsid w:val="00A7135A"/>
    <w:rsid w:val="00A72F15"/>
    <w:rsid w:val="00A75CCD"/>
    <w:rsid w:val="00A77810"/>
    <w:rsid w:val="00A77889"/>
    <w:rsid w:val="00A80506"/>
    <w:rsid w:val="00A806AE"/>
    <w:rsid w:val="00A8118F"/>
    <w:rsid w:val="00A83458"/>
    <w:rsid w:val="00A86C41"/>
    <w:rsid w:val="00A90148"/>
    <w:rsid w:val="00A917F8"/>
    <w:rsid w:val="00A93343"/>
    <w:rsid w:val="00A96726"/>
    <w:rsid w:val="00AA0D8C"/>
    <w:rsid w:val="00AA25BC"/>
    <w:rsid w:val="00AA3077"/>
    <w:rsid w:val="00AA3E2A"/>
    <w:rsid w:val="00AA45D8"/>
    <w:rsid w:val="00AA46AF"/>
    <w:rsid w:val="00AA4929"/>
    <w:rsid w:val="00AA5AE7"/>
    <w:rsid w:val="00AA6510"/>
    <w:rsid w:val="00AB29E0"/>
    <w:rsid w:val="00AB4E9E"/>
    <w:rsid w:val="00AB6C99"/>
    <w:rsid w:val="00AC02BF"/>
    <w:rsid w:val="00AC11D5"/>
    <w:rsid w:val="00AC15E5"/>
    <w:rsid w:val="00AC22BB"/>
    <w:rsid w:val="00AC4080"/>
    <w:rsid w:val="00AC5A6D"/>
    <w:rsid w:val="00AC5D73"/>
    <w:rsid w:val="00AC73AD"/>
    <w:rsid w:val="00AC7BED"/>
    <w:rsid w:val="00AD067D"/>
    <w:rsid w:val="00AD0E7B"/>
    <w:rsid w:val="00AD5FFD"/>
    <w:rsid w:val="00AD6076"/>
    <w:rsid w:val="00AD705A"/>
    <w:rsid w:val="00AD78F9"/>
    <w:rsid w:val="00AE008D"/>
    <w:rsid w:val="00AE11DC"/>
    <w:rsid w:val="00AE297E"/>
    <w:rsid w:val="00AE3044"/>
    <w:rsid w:val="00AE30E0"/>
    <w:rsid w:val="00AE346F"/>
    <w:rsid w:val="00AE3A4B"/>
    <w:rsid w:val="00AE3AD5"/>
    <w:rsid w:val="00AF2329"/>
    <w:rsid w:val="00AF3660"/>
    <w:rsid w:val="00AF7A20"/>
    <w:rsid w:val="00B01312"/>
    <w:rsid w:val="00B02AE1"/>
    <w:rsid w:val="00B02D98"/>
    <w:rsid w:val="00B06685"/>
    <w:rsid w:val="00B1289A"/>
    <w:rsid w:val="00B14DE8"/>
    <w:rsid w:val="00B15D2F"/>
    <w:rsid w:val="00B16399"/>
    <w:rsid w:val="00B16A37"/>
    <w:rsid w:val="00B1760F"/>
    <w:rsid w:val="00B2586D"/>
    <w:rsid w:val="00B25AE4"/>
    <w:rsid w:val="00B265C9"/>
    <w:rsid w:val="00B26909"/>
    <w:rsid w:val="00B27664"/>
    <w:rsid w:val="00B31169"/>
    <w:rsid w:val="00B313AD"/>
    <w:rsid w:val="00B31828"/>
    <w:rsid w:val="00B41E25"/>
    <w:rsid w:val="00B428D5"/>
    <w:rsid w:val="00B42BEE"/>
    <w:rsid w:val="00B4394B"/>
    <w:rsid w:val="00B44272"/>
    <w:rsid w:val="00B452B7"/>
    <w:rsid w:val="00B458E3"/>
    <w:rsid w:val="00B465F3"/>
    <w:rsid w:val="00B518FF"/>
    <w:rsid w:val="00B51975"/>
    <w:rsid w:val="00B54F17"/>
    <w:rsid w:val="00B561EE"/>
    <w:rsid w:val="00B574BA"/>
    <w:rsid w:val="00B57D47"/>
    <w:rsid w:val="00B60401"/>
    <w:rsid w:val="00B61584"/>
    <w:rsid w:val="00B616BD"/>
    <w:rsid w:val="00B6210E"/>
    <w:rsid w:val="00B632E3"/>
    <w:rsid w:val="00B6432B"/>
    <w:rsid w:val="00B64DC8"/>
    <w:rsid w:val="00B70688"/>
    <w:rsid w:val="00B71813"/>
    <w:rsid w:val="00B74473"/>
    <w:rsid w:val="00B75FD9"/>
    <w:rsid w:val="00B77091"/>
    <w:rsid w:val="00B80C9B"/>
    <w:rsid w:val="00B817B3"/>
    <w:rsid w:val="00B837C1"/>
    <w:rsid w:val="00B841E0"/>
    <w:rsid w:val="00B85639"/>
    <w:rsid w:val="00B860BA"/>
    <w:rsid w:val="00B865F5"/>
    <w:rsid w:val="00B870A0"/>
    <w:rsid w:val="00B918EB"/>
    <w:rsid w:val="00B91DFE"/>
    <w:rsid w:val="00B92858"/>
    <w:rsid w:val="00B95993"/>
    <w:rsid w:val="00B966E9"/>
    <w:rsid w:val="00B96BC7"/>
    <w:rsid w:val="00B97229"/>
    <w:rsid w:val="00BA08A3"/>
    <w:rsid w:val="00BA0E61"/>
    <w:rsid w:val="00BA26E3"/>
    <w:rsid w:val="00BA3D7D"/>
    <w:rsid w:val="00BA5AB3"/>
    <w:rsid w:val="00BA6C70"/>
    <w:rsid w:val="00BA7EEB"/>
    <w:rsid w:val="00BB1D17"/>
    <w:rsid w:val="00BB227E"/>
    <w:rsid w:val="00BB2B39"/>
    <w:rsid w:val="00BB4F22"/>
    <w:rsid w:val="00BB61B4"/>
    <w:rsid w:val="00BB7E3D"/>
    <w:rsid w:val="00BC3CD1"/>
    <w:rsid w:val="00BC5393"/>
    <w:rsid w:val="00BC5EC6"/>
    <w:rsid w:val="00BC5F0E"/>
    <w:rsid w:val="00BD0C39"/>
    <w:rsid w:val="00BD2211"/>
    <w:rsid w:val="00BD221D"/>
    <w:rsid w:val="00BD2A67"/>
    <w:rsid w:val="00BD3E65"/>
    <w:rsid w:val="00BD40C7"/>
    <w:rsid w:val="00BD5934"/>
    <w:rsid w:val="00BD7785"/>
    <w:rsid w:val="00BE3B2E"/>
    <w:rsid w:val="00BE7DE8"/>
    <w:rsid w:val="00BF196F"/>
    <w:rsid w:val="00BF1CBD"/>
    <w:rsid w:val="00BF52C4"/>
    <w:rsid w:val="00BF62EC"/>
    <w:rsid w:val="00BF68EB"/>
    <w:rsid w:val="00C006BE"/>
    <w:rsid w:val="00C025D0"/>
    <w:rsid w:val="00C052DF"/>
    <w:rsid w:val="00C05B8E"/>
    <w:rsid w:val="00C07549"/>
    <w:rsid w:val="00C07C1E"/>
    <w:rsid w:val="00C1063D"/>
    <w:rsid w:val="00C15E0E"/>
    <w:rsid w:val="00C23FB5"/>
    <w:rsid w:val="00C24A1A"/>
    <w:rsid w:val="00C3203A"/>
    <w:rsid w:val="00C331BB"/>
    <w:rsid w:val="00C41A08"/>
    <w:rsid w:val="00C422B9"/>
    <w:rsid w:val="00C4240A"/>
    <w:rsid w:val="00C4241E"/>
    <w:rsid w:val="00C504EC"/>
    <w:rsid w:val="00C50EFE"/>
    <w:rsid w:val="00C53722"/>
    <w:rsid w:val="00C551FA"/>
    <w:rsid w:val="00C615A3"/>
    <w:rsid w:val="00C6198D"/>
    <w:rsid w:val="00C61BB2"/>
    <w:rsid w:val="00C6314A"/>
    <w:rsid w:val="00C635DA"/>
    <w:rsid w:val="00C639E7"/>
    <w:rsid w:val="00C64222"/>
    <w:rsid w:val="00C6558A"/>
    <w:rsid w:val="00C659BE"/>
    <w:rsid w:val="00C67929"/>
    <w:rsid w:val="00C705CD"/>
    <w:rsid w:val="00C715DD"/>
    <w:rsid w:val="00C719A8"/>
    <w:rsid w:val="00C80300"/>
    <w:rsid w:val="00C82307"/>
    <w:rsid w:val="00C831AC"/>
    <w:rsid w:val="00C8613B"/>
    <w:rsid w:val="00C900DE"/>
    <w:rsid w:val="00C92622"/>
    <w:rsid w:val="00C94333"/>
    <w:rsid w:val="00C97228"/>
    <w:rsid w:val="00C9780D"/>
    <w:rsid w:val="00CA02DA"/>
    <w:rsid w:val="00CA036B"/>
    <w:rsid w:val="00CA1952"/>
    <w:rsid w:val="00CA1A54"/>
    <w:rsid w:val="00CA1CB3"/>
    <w:rsid w:val="00CA36DB"/>
    <w:rsid w:val="00CA6208"/>
    <w:rsid w:val="00CA655A"/>
    <w:rsid w:val="00CA6608"/>
    <w:rsid w:val="00CB24E6"/>
    <w:rsid w:val="00CB6C9D"/>
    <w:rsid w:val="00CC46B2"/>
    <w:rsid w:val="00CC4759"/>
    <w:rsid w:val="00CC5718"/>
    <w:rsid w:val="00CC7677"/>
    <w:rsid w:val="00CD00E3"/>
    <w:rsid w:val="00CD1352"/>
    <w:rsid w:val="00CD1CBE"/>
    <w:rsid w:val="00CD1DFE"/>
    <w:rsid w:val="00CD1E3E"/>
    <w:rsid w:val="00CD2EDC"/>
    <w:rsid w:val="00CD32E2"/>
    <w:rsid w:val="00CD4B0B"/>
    <w:rsid w:val="00CD6698"/>
    <w:rsid w:val="00CE1E5B"/>
    <w:rsid w:val="00CE2F5B"/>
    <w:rsid w:val="00CE31A8"/>
    <w:rsid w:val="00CE7900"/>
    <w:rsid w:val="00CF1D92"/>
    <w:rsid w:val="00CF297E"/>
    <w:rsid w:val="00CF2BF1"/>
    <w:rsid w:val="00CF2D43"/>
    <w:rsid w:val="00CF2D92"/>
    <w:rsid w:val="00CF5D82"/>
    <w:rsid w:val="00CF5D91"/>
    <w:rsid w:val="00D0025C"/>
    <w:rsid w:val="00D004FB"/>
    <w:rsid w:val="00D028EA"/>
    <w:rsid w:val="00D02BBC"/>
    <w:rsid w:val="00D02C36"/>
    <w:rsid w:val="00D06FA0"/>
    <w:rsid w:val="00D12172"/>
    <w:rsid w:val="00D12B8C"/>
    <w:rsid w:val="00D200F6"/>
    <w:rsid w:val="00D21646"/>
    <w:rsid w:val="00D216EA"/>
    <w:rsid w:val="00D2171F"/>
    <w:rsid w:val="00D27770"/>
    <w:rsid w:val="00D30523"/>
    <w:rsid w:val="00D33665"/>
    <w:rsid w:val="00D36A3A"/>
    <w:rsid w:val="00D454F2"/>
    <w:rsid w:val="00D475EA"/>
    <w:rsid w:val="00D47CE9"/>
    <w:rsid w:val="00D52995"/>
    <w:rsid w:val="00D5320E"/>
    <w:rsid w:val="00D540F3"/>
    <w:rsid w:val="00D5515E"/>
    <w:rsid w:val="00D60425"/>
    <w:rsid w:val="00D61818"/>
    <w:rsid w:val="00D62D4F"/>
    <w:rsid w:val="00D70F27"/>
    <w:rsid w:val="00D72ADE"/>
    <w:rsid w:val="00D75233"/>
    <w:rsid w:val="00D7649A"/>
    <w:rsid w:val="00D7728F"/>
    <w:rsid w:val="00D77696"/>
    <w:rsid w:val="00D80F30"/>
    <w:rsid w:val="00D81593"/>
    <w:rsid w:val="00D8196B"/>
    <w:rsid w:val="00D81CC4"/>
    <w:rsid w:val="00D83B71"/>
    <w:rsid w:val="00D8490D"/>
    <w:rsid w:val="00D8633E"/>
    <w:rsid w:val="00D93A6D"/>
    <w:rsid w:val="00D9765E"/>
    <w:rsid w:val="00DA1473"/>
    <w:rsid w:val="00DA4591"/>
    <w:rsid w:val="00DA6430"/>
    <w:rsid w:val="00DA6627"/>
    <w:rsid w:val="00DA681A"/>
    <w:rsid w:val="00DA6B7E"/>
    <w:rsid w:val="00DA7177"/>
    <w:rsid w:val="00DB12EF"/>
    <w:rsid w:val="00DB2962"/>
    <w:rsid w:val="00DB437E"/>
    <w:rsid w:val="00DB52AC"/>
    <w:rsid w:val="00DB5A6F"/>
    <w:rsid w:val="00DB63BE"/>
    <w:rsid w:val="00DB63DB"/>
    <w:rsid w:val="00DB7824"/>
    <w:rsid w:val="00DC308E"/>
    <w:rsid w:val="00DC4811"/>
    <w:rsid w:val="00DC52B0"/>
    <w:rsid w:val="00DC5E0F"/>
    <w:rsid w:val="00DC6C76"/>
    <w:rsid w:val="00DC7F73"/>
    <w:rsid w:val="00DD06AB"/>
    <w:rsid w:val="00DD2A15"/>
    <w:rsid w:val="00DD56DF"/>
    <w:rsid w:val="00DD6BE6"/>
    <w:rsid w:val="00DE1251"/>
    <w:rsid w:val="00DE14A7"/>
    <w:rsid w:val="00DE191A"/>
    <w:rsid w:val="00DE1A0F"/>
    <w:rsid w:val="00DE3123"/>
    <w:rsid w:val="00DE339F"/>
    <w:rsid w:val="00DE5F3D"/>
    <w:rsid w:val="00DE65D3"/>
    <w:rsid w:val="00DF1535"/>
    <w:rsid w:val="00DF53F5"/>
    <w:rsid w:val="00DF61FD"/>
    <w:rsid w:val="00DF6D25"/>
    <w:rsid w:val="00E00FE3"/>
    <w:rsid w:val="00E03C6D"/>
    <w:rsid w:val="00E058EF"/>
    <w:rsid w:val="00E118B4"/>
    <w:rsid w:val="00E11EE3"/>
    <w:rsid w:val="00E135F9"/>
    <w:rsid w:val="00E1380B"/>
    <w:rsid w:val="00E14349"/>
    <w:rsid w:val="00E17853"/>
    <w:rsid w:val="00E2001E"/>
    <w:rsid w:val="00E20C28"/>
    <w:rsid w:val="00E22A77"/>
    <w:rsid w:val="00E22E84"/>
    <w:rsid w:val="00E23963"/>
    <w:rsid w:val="00E24130"/>
    <w:rsid w:val="00E243F3"/>
    <w:rsid w:val="00E24B18"/>
    <w:rsid w:val="00E277D4"/>
    <w:rsid w:val="00E3016C"/>
    <w:rsid w:val="00E33173"/>
    <w:rsid w:val="00E33B0D"/>
    <w:rsid w:val="00E348BC"/>
    <w:rsid w:val="00E34E28"/>
    <w:rsid w:val="00E35B8D"/>
    <w:rsid w:val="00E4307D"/>
    <w:rsid w:val="00E4318F"/>
    <w:rsid w:val="00E4392E"/>
    <w:rsid w:val="00E4430A"/>
    <w:rsid w:val="00E47EEC"/>
    <w:rsid w:val="00E50B9E"/>
    <w:rsid w:val="00E5164F"/>
    <w:rsid w:val="00E540DE"/>
    <w:rsid w:val="00E54395"/>
    <w:rsid w:val="00E54741"/>
    <w:rsid w:val="00E55CD9"/>
    <w:rsid w:val="00E563B9"/>
    <w:rsid w:val="00E568E5"/>
    <w:rsid w:val="00E57AAD"/>
    <w:rsid w:val="00E60FFE"/>
    <w:rsid w:val="00E616E2"/>
    <w:rsid w:val="00E6453F"/>
    <w:rsid w:val="00E659EF"/>
    <w:rsid w:val="00E65EE1"/>
    <w:rsid w:val="00E677A6"/>
    <w:rsid w:val="00E70CBD"/>
    <w:rsid w:val="00E70DBD"/>
    <w:rsid w:val="00E717E8"/>
    <w:rsid w:val="00E7245C"/>
    <w:rsid w:val="00E72BAF"/>
    <w:rsid w:val="00E73D81"/>
    <w:rsid w:val="00E74487"/>
    <w:rsid w:val="00E754F4"/>
    <w:rsid w:val="00E76FF7"/>
    <w:rsid w:val="00E774DF"/>
    <w:rsid w:val="00E8214B"/>
    <w:rsid w:val="00E865D1"/>
    <w:rsid w:val="00E911BA"/>
    <w:rsid w:val="00E95E05"/>
    <w:rsid w:val="00EA057C"/>
    <w:rsid w:val="00EA2D3D"/>
    <w:rsid w:val="00EA5B84"/>
    <w:rsid w:val="00EA7F9A"/>
    <w:rsid w:val="00EB20F9"/>
    <w:rsid w:val="00EB24EB"/>
    <w:rsid w:val="00EB34AF"/>
    <w:rsid w:val="00EB701B"/>
    <w:rsid w:val="00EC4235"/>
    <w:rsid w:val="00ED06CC"/>
    <w:rsid w:val="00ED17FB"/>
    <w:rsid w:val="00ED2C8E"/>
    <w:rsid w:val="00ED379E"/>
    <w:rsid w:val="00ED42E6"/>
    <w:rsid w:val="00ED4EEA"/>
    <w:rsid w:val="00ED6106"/>
    <w:rsid w:val="00ED7680"/>
    <w:rsid w:val="00EE0424"/>
    <w:rsid w:val="00EE0D47"/>
    <w:rsid w:val="00EE2E9B"/>
    <w:rsid w:val="00EE42A1"/>
    <w:rsid w:val="00EE5358"/>
    <w:rsid w:val="00EE6FD6"/>
    <w:rsid w:val="00EF1B6A"/>
    <w:rsid w:val="00EF3C59"/>
    <w:rsid w:val="00EF54D8"/>
    <w:rsid w:val="00EF71E9"/>
    <w:rsid w:val="00EF782C"/>
    <w:rsid w:val="00F006D2"/>
    <w:rsid w:val="00F00BD1"/>
    <w:rsid w:val="00F01FD9"/>
    <w:rsid w:val="00F036DB"/>
    <w:rsid w:val="00F04B07"/>
    <w:rsid w:val="00F05784"/>
    <w:rsid w:val="00F05BA8"/>
    <w:rsid w:val="00F118B5"/>
    <w:rsid w:val="00F12E92"/>
    <w:rsid w:val="00F16D8B"/>
    <w:rsid w:val="00F16F13"/>
    <w:rsid w:val="00F1736F"/>
    <w:rsid w:val="00F20AEA"/>
    <w:rsid w:val="00F219C3"/>
    <w:rsid w:val="00F21C31"/>
    <w:rsid w:val="00F23028"/>
    <w:rsid w:val="00F23E9A"/>
    <w:rsid w:val="00F242D9"/>
    <w:rsid w:val="00F259FE"/>
    <w:rsid w:val="00F330C9"/>
    <w:rsid w:val="00F33FA8"/>
    <w:rsid w:val="00F358D0"/>
    <w:rsid w:val="00F3715D"/>
    <w:rsid w:val="00F43593"/>
    <w:rsid w:val="00F44B62"/>
    <w:rsid w:val="00F46997"/>
    <w:rsid w:val="00F5072C"/>
    <w:rsid w:val="00F51CBF"/>
    <w:rsid w:val="00F526D5"/>
    <w:rsid w:val="00F52AD8"/>
    <w:rsid w:val="00F53BDC"/>
    <w:rsid w:val="00F5411D"/>
    <w:rsid w:val="00F56D2B"/>
    <w:rsid w:val="00F57D2D"/>
    <w:rsid w:val="00F606D8"/>
    <w:rsid w:val="00F607B9"/>
    <w:rsid w:val="00F613C0"/>
    <w:rsid w:val="00F61559"/>
    <w:rsid w:val="00F62A49"/>
    <w:rsid w:val="00F64F0D"/>
    <w:rsid w:val="00F70066"/>
    <w:rsid w:val="00F7026A"/>
    <w:rsid w:val="00F71826"/>
    <w:rsid w:val="00F72B45"/>
    <w:rsid w:val="00F73B00"/>
    <w:rsid w:val="00F75CEB"/>
    <w:rsid w:val="00F764EE"/>
    <w:rsid w:val="00F80498"/>
    <w:rsid w:val="00F80B91"/>
    <w:rsid w:val="00F81FE9"/>
    <w:rsid w:val="00F826D1"/>
    <w:rsid w:val="00F84737"/>
    <w:rsid w:val="00F87B69"/>
    <w:rsid w:val="00F90C95"/>
    <w:rsid w:val="00F9103E"/>
    <w:rsid w:val="00F95923"/>
    <w:rsid w:val="00F96A39"/>
    <w:rsid w:val="00F96DB3"/>
    <w:rsid w:val="00F97463"/>
    <w:rsid w:val="00F977E8"/>
    <w:rsid w:val="00FA29D6"/>
    <w:rsid w:val="00FA38EB"/>
    <w:rsid w:val="00FA4B50"/>
    <w:rsid w:val="00FA4DC6"/>
    <w:rsid w:val="00FA5D99"/>
    <w:rsid w:val="00FB030E"/>
    <w:rsid w:val="00FB0CCD"/>
    <w:rsid w:val="00FB571F"/>
    <w:rsid w:val="00FC0277"/>
    <w:rsid w:val="00FC17CB"/>
    <w:rsid w:val="00FC3FB0"/>
    <w:rsid w:val="00FC42BA"/>
    <w:rsid w:val="00FC6166"/>
    <w:rsid w:val="00FC77BB"/>
    <w:rsid w:val="00FD08C1"/>
    <w:rsid w:val="00FD1C9C"/>
    <w:rsid w:val="00FD2C54"/>
    <w:rsid w:val="00FD60D4"/>
    <w:rsid w:val="00FD7A7A"/>
    <w:rsid w:val="00FE0696"/>
    <w:rsid w:val="00FE10C1"/>
    <w:rsid w:val="00FE190E"/>
    <w:rsid w:val="00FE20A9"/>
    <w:rsid w:val="00FE48A9"/>
    <w:rsid w:val="00FF01C1"/>
    <w:rsid w:val="00FF08B7"/>
    <w:rsid w:val="00FF12B8"/>
    <w:rsid w:val="00FF16EC"/>
    <w:rsid w:val="00FF521D"/>
    <w:rsid w:val="00FF52FA"/>
    <w:rsid w:val="0B561DF7"/>
    <w:rsid w:val="0C03F8FD"/>
    <w:rsid w:val="0C0E2262"/>
    <w:rsid w:val="0D88C78B"/>
    <w:rsid w:val="10851D48"/>
    <w:rsid w:val="10D854E1"/>
    <w:rsid w:val="1CA99A19"/>
    <w:rsid w:val="1CB4F5BC"/>
    <w:rsid w:val="1E0DF031"/>
    <w:rsid w:val="2173C2D1"/>
    <w:rsid w:val="38A04E74"/>
    <w:rsid w:val="3BB602FE"/>
    <w:rsid w:val="43C5954A"/>
    <w:rsid w:val="5183C1CA"/>
    <w:rsid w:val="686F9A34"/>
    <w:rsid w:val="788A987D"/>
    <w:rsid w:val="7A7C79E1"/>
    <w:rsid w:val="7ECB2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aliases w:val="H1"/>
    <w:next w:val="Norma"/>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
    <w:next w:val="Norma"/>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
    <w:next w:val="Norma"/>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
    <w:next w:val="Norma"/>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
    <w:name w:val="Norma"/>
    <w:qFormat/>
    <w:rsid w:val="00120592"/>
    <w:pPr>
      <w:spacing w:before="120" w:after="120" w:line="220" w:lineRule="atLeast"/>
    </w:pPr>
    <w:rPr>
      <w:rFonts w:ascii="Calibri Light" w:hAnsi="Calibri Light"/>
      <w:sz w:val="22"/>
    </w:rPr>
  </w:style>
  <w:style w:type="table" w:customStyle="1" w:styleId="NormalTable">
    <w:name w:val="NormalTable"/>
    <w:uiPriority w:val="99"/>
    <w:semiHidden/>
    <w:unhideWhenUsed/>
    <w:tblPr>
      <w:tblInd w:w="0" w:type="dxa"/>
      <w:tblCellMar>
        <w:top w:w="0" w:type="dxa"/>
        <w:left w:w="108" w:type="dxa"/>
        <w:bottom w:w="0" w:type="dxa"/>
        <w:right w:w="108" w:type="dxa"/>
      </w:tblCellMar>
    </w:tblPr>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NormalTable"/>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
    <w:next w:val="Norma"/>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
    <w:next w:val="Norma"/>
    <w:autoRedefine/>
    <w:uiPriority w:val="39"/>
    <w:unhideWhenUsed/>
    <w:rsid w:val="00835487"/>
    <w:pPr>
      <w:tabs>
        <w:tab w:val="right" w:leader="dot" w:pos="9346"/>
      </w:tabs>
      <w:spacing w:before="20"/>
      <w:ind w:left="360" w:right="360"/>
      <w:contextualSpacing/>
    </w:pPr>
  </w:style>
  <w:style w:type="paragraph" w:styleId="TOC4">
    <w:name w:val="toc 4"/>
    <w:basedOn w:val="Norma"/>
    <w:next w:val="Norma"/>
    <w:autoRedefine/>
    <w:uiPriority w:val="39"/>
    <w:unhideWhenUsed/>
    <w:rsid w:val="0024628D"/>
    <w:pPr>
      <w:tabs>
        <w:tab w:val="right" w:leader="dot" w:pos="9346"/>
      </w:tabs>
      <w:ind w:left="1296"/>
    </w:pPr>
    <w:rPr>
      <w:i/>
      <w:sz w:val="20"/>
    </w:rPr>
  </w:style>
  <w:style w:type="paragraph" w:styleId="TOC5">
    <w:name w:val="toc 5"/>
    <w:basedOn w:val="Norma"/>
    <w:next w:val="Norma"/>
    <w:autoRedefine/>
    <w:uiPriority w:val="39"/>
    <w:unhideWhenUsed/>
    <w:rsid w:val="000C72C1"/>
    <w:pPr>
      <w:ind w:left="880"/>
    </w:pPr>
    <w:rPr>
      <w:rFonts w:asciiTheme="majorHAnsi" w:hAnsiTheme="majorHAnsi"/>
      <w:sz w:val="20"/>
    </w:rPr>
  </w:style>
  <w:style w:type="paragraph" w:styleId="TOC6">
    <w:name w:val="toc 6"/>
    <w:basedOn w:val="Norma"/>
    <w:next w:val="Norma"/>
    <w:autoRedefine/>
    <w:uiPriority w:val="39"/>
    <w:unhideWhenUsed/>
    <w:rsid w:val="000C72C1"/>
    <w:pPr>
      <w:ind w:left="1100"/>
    </w:pPr>
    <w:rPr>
      <w:rFonts w:asciiTheme="majorHAnsi" w:hAnsiTheme="majorHAnsi"/>
      <w:sz w:val="20"/>
    </w:rPr>
  </w:style>
  <w:style w:type="paragraph" w:styleId="TOC7">
    <w:name w:val="toc 7"/>
    <w:basedOn w:val="Norma"/>
    <w:next w:val="Norma"/>
    <w:autoRedefine/>
    <w:uiPriority w:val="39"/>
    <w:unhideWhenUsed/>
    <w:rsid w:val="000C72C1"/>
    <w:pPr>
      <w:ind w:left="1320"/>
    </w:pPr>
    <w:rPr>
      <w:rFonts w:asciiTheme="majorHAnsi" w:hAnsiTheme="majorHAnsi"/>
      <w:sz w:val="20"/>
    </w:rPr>
  </w:style>
  <w:style w:type="paragraph" w:styleId="TOC8">
    <w:name w:val="toc 8"/>
    <w:basedOn w:val="Norma"/>
    <w:next w:val="Norma"/>
    <w:autoRedefine/>
    <w:uiPriority w:val="39"/>
    <w:unhideWhenUsed/>
    <w:rsid w:val="000C72C1"/>
    <w:pPr>
      <w:ind w:left="1540"/>
    </w:pPr>
    <w:rPr>
      <w:rFonts w:asciiTheme="majorHAnsi" w:hAnsiTheme="majorHAnsi"/>
      <w:sz w:val="20"/>
    </w:rPr>
  </w:style>
  <w:style w:type="paragraph" w:styleId="TOC9">
    <w:name w:val="toc 9"/>
    <w:basedOn w:val="Norma"/>
    <w:next w:val="Norma"/>
    <w:autoRedefine/>
    <w:uiPriority w:val="39"/>
    <w:unhideWhenUsed/>
    <w:rsid w:val="000C72C1"/>
    <w:pPr>
      <w:ind w:left="1760"/>
    </w:pPr>
    <w:rPr>
      <w:rFonts w:asciiTheme="majorHAnsi" w:hAnsiTheme="majorHAnsi"/>
      <w:sz w:val="20"/>
    </w:rPr>
  </w:style>
  <w:style w:type="paragraph" w:customStyle="1" w:styleId="TableListHeader">
    <w:name w:val="Table List Header"/>
    <w:next w:val="Norma"/>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
    <w:uiPriority w:val="34"/>
    <w:qFormat/>
    <w:rsid w:val="0008108C"/>
    <w:pPr>
      <w:ind w:left="720"/>
      <w:contextualSpacing/>
    </w:pPr>
  </w:style>
  <w:style w:type="paragraph" w:styleId="Caption">
    <w:name w:val="caption"/>
    <w:aliases w:val="eTRM Caption"/>
    <w:basedOn w:val="Norma"/>
    <w:next w:val="Norma"/>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NormalTable"/>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
    <w:next w:val="Norma"/>
    <w:uiPriority w:val="99"/>
    <w:unhideWhenUsed/>
    <w:rsid w:val="00A80506"/>
  </w:style>
  <w:style w:type="paragraph" w:styleId="Header">
    <w:name w:val="header"/>
    <w:aliases w:val="eTRM Header Text"/>
    <w:basedOn w:val="Norma"/>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NormalTable"/>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
    <w:next w:val="Norma"/>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
    <w:next w:val="Norma"/>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
    <w:autoRedefine/>
    <w:qFormat/>
    <w:rsid w:val="00A2295F"/>
    <w:rPr>
      <w:b/>
      <w:sz w:val="20"/>
    </w:rPr>
  </w:style>
  <w:style w:type="paragraph" w:customStyle="1" w:styleId="eTRMTextBoxText">
    <w:name w:val="eTRM Text Box Text"/>
    <w:basedOn w:val="Norma"/>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etedText">
    <w:name w:val="eTRM Buleted Text"/>
    <w:basedOn w:val="Norma"/>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customStyle="1" w:styleId="FolowedHyperlink">
    <w:name w:val="FolowedHyperlink"/>
    <w:basedOn w:val="DefaultParagraphFont"/>
    <w:uiPriority w:val="99"/>
    <w:semiHidden/>
    <w:unhideWhenUsed/>
    <w:rsid w:val="00195B03"/>
    <w:rPr>
      <w:color w:val="71903D" w:themeColor="followedHyperlink"/>
      <w:u w:val="single"/>
    </w:rPr>
  </w:style>
  <w:style w:type="table" w:styleId="TableContemporary">
    <w:name w:val="Table Contemporary"/>
    <w:basedOn w:val="NormalTable"/>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NormalTable"/>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
    <w:qFormat/>
    <w:rsid w:val="00B1760F"/>
  </w:style>
  <w:style w:type="paragraph" w:customStyle="1" w:styleId="eTRMHeading1">
    <w:name w:val="eTRM Heading 1"/>
    <w:basedOn w:val="Norma"/>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
    <w:next w:val="Norma"/>
    <w:qFormat/>
    <w:rsid w:val="00BE3B2E"/>
    <w:rPr>
      <w:i/>
      <w:color w:val="5F5F5F"/>
    </w:rPr>
  </w:style>
  <w:style w:type="paragraph" w:customStyle="1" w:styleId="eTRMFootnoteText">
    <w:name w:val="eTRM Footnote Text"/>
    <w:basedOn w:val="FootnoteText"/>
    <w:next w:val="Norma"/>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etedText">
    <w:name w:val="eTRM Sub-buleted Text"/>
    <w:basedOn w:val="Norma"/>
    <w:autoRedefine/>
    <w:qFormat/>
    <w:rsid w:val="0008108C"/>
    <w:pPr>
      <w:numPr>
        <w:ilvl w:val="1"/>
        <w:numId w:val="8"/>
      </w:numPr>
      <w:spacing w:before="0" w:after="20"/>
    </w:pPr>
  </w:style>
  <w:style w:type="paragraph" w:styleId="DocumentMap">
    <w:name w:val="Document Map"/>
    <w:basedOn w:val="Norma"/>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customStyle="1" w:styleId="BaloonText">
    <w:name w:val="Baloon Text"/>
    <w:basedOn w:val="Norma"/>
    <w:link w:val="Ba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oonTextChar">
    <w:name w:val="Baloon Text Char"/>
    <w:basedOn w:val="DefaultParagraphFont"/>
    <w:link w:val="Ba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table" w:customStyle="1" w:styleId="TableGrid1">
    <w:name w:val="Table Grid1"/>
    <w:basedOn w:val="NormalTable"/>
    <w:next w:val="TableGrid"/>
    <w:rsid w:val="00CF5D8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
    <w:link w:val="RemindersChar"/>
    <w:rsid w:val="00DE14A7"/>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DE14A7"/>
    <w:rPr>
      <w:rFonts w:ascii="Trebuchet MS" w:eastAsia="Times New Roman" w:hAnsi="Trebuchet MS" w:cs="Times New Roman"/>
      <w:i/>
      <w:color w:val="FF0000"/>
      <w:sz w:val="22"/>
    </w:rPr>
  </w:style>
  <w:style w:type="paragraph" w:styleId="NoSpacing">
    <w:name w:val="No Spacing"/>
    <w:uiPriority w:val="1"/>
    <w:qFormat/>
    <w:rsid w:val="00BA7EEB"/>
    <w:rPr>
      <w:rFonts w:eastAsiaTheme="minorHAnsi"/>
      <w:sz w:val="22"/>
      <w:szCs w:val="22"/>
    </w:rPr>
  </w:style>
  <w:style w:type="paragraph" w:styleId="BalloonText">
    <w:name w:val="Balloon Text"/>
    <w:basedOn w:val="Normal"/>
    <w:link w:val="BalloonTextChar"/>
    <w:uiPriority w:val="99"/>
    <w:semiHidden/>
    <w:unhideWhenUsed/>
    <w:rsid w:val="00421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EE1"/>
    <w:rPr>
      <w:rFonts w:ascii="Segoe UI" w:hAnsi="Segoe UI" w:cs="Segoe UI"/>
      <w:sz w:val="18"/>
      <w:szCs w:val="18"/>
    </w:rPr>
  </w:style>
  <w:style w:type="character" w:styleId="UnresolvedMention">
    <w:name w:val="Unresolved Mention"/>
    <w:basedOn w:val="DefaultParagraphFont"/>
    <w:uiPriority w:val="99"/>
    <w:rsid w:val="00D61818"/>
    <w:rPr>
      <w:color w:val="605E5C"/>
      <w:shd w:val="clear" w:color="auto" w:fill="E1DFDD"/>
    </w:rPr>
  </w:style>
  <w:style w:type="character" w:styleId="Emphasis">
    <w:name w:val="Emphasis"/>
    <w:basedOn w:val="DefaultParagraphFont"/>
    <w:uiPriority w:val="20"/>
    <w:qFormat/>
    <w:rsid w:val="0051573C"/>
    <w:rPr>
      <w:i/>
      <w:iCs/>
    </w:rPr>
  </w:style>
  <w:style w:type="character" w:styleId="FollowedHyperlink">
    <w:name w:val="FollowedHyperlink"/>
    <w:basedOn w:val="DefaultParagraphFont"/>
    <w:uiPriority w:val="99"/>
    <w:semiHidden/>
    <w:unhideWhenUsed/>
    <w:rsid w:val="002F5593"/>
    <w:rPr>
      <w:color w:val="71903D" w:themeColor="followedHyperlink"/>
      <w:u w:val="single"/>
    </w:rPr>
  </w:style>
  <w:style w:type="paragraph" w:customStyle="1" w:styleId="Default">
    <w:name w:val="Default"/>
    <w:rsid w:val="004416F4"/>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336261">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5848008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567736">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3059321">
      <w:bodyDiv w:val="1"/>
      <w:marLeft w:val="0"/>
      <w:marRight w:val="0"/>
      <w:marTop w:val="0"/>
      <w:marBottom w:val="0"/>
      <w:divBdr>
        <w:top w:val="none" w:sz="0" w:space="0" w:color="auto"/>
        <w:left w:val="none" w:sz="0" w:space="0" w:color="auto"/>
        <w:bottom w:val="none" w:sz="0" w:space="0" w:color="auto"/>
        <w:right w:val="none" w:sz="0" w:space="0" w:color="auto"/>
      </w:divBdr>
    </w:div>
    <w:div w:id="1306157944">
      <w:bodyDiv w:val="1"/>
      <w:marLeft w:val="0"/>
      <w:marRight w:val="0"/>
      <w:marTop w:val="0"/>
      <w:marBottom w:val="0"/>
      <w:divBdr>
        <w:top w:val="none" w:sz="0" w:space="0" w:color="auto"/>
        <w:left w:val="none" w:sz="0" w:space="0" w:color="auto"/>
        <w:bottom w:val="none" w:sz="0" w:space="0" w:color="auto"/>
        <w:right w:val="none" w:sz="0" w:space="0" w:color="auto"/>
      </w:divBdr>
    </w:div>
    <w:div w:id="144391816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04153325">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87529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YEU7YCZ7SHNT-444775888-205260</_dlc_DocId>
    <_dlc_DocIdUrl xmlns="7764588b-be80-4b22-977b-586652cb38b8">
      <Url>https://trccompanies.sharepoint.com/sites/LOB/Power/EFF/Projects/PGE-Wrkpprs/_layouts/15/DocIdRedir.aspx?ID=YEU7YCZ7SHNT-444775888-205260</Url>
      <Description>YEU7YCZ7SHNT-444775888-205260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21" ma:contentTypeDescription="Create a new document." ma:contentTypeScope="" ma:versionID="c54c090102c449175212fa35788f27e5">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BB40C5-7477-4EAC-A501-1048FD294B44}">
  <ds:schemaRefs>
    <ds:schemaRef ds:uri="http://schemas.microsoft.com/sharepoint/events"/>
  </ds:schemaRefs>
</ds:datastoreItem>
</file>

<file path=customXml/itemProps2.xml><?xml version="1.0" encoding="utf-8"?>
<ds:datastoreItem xmlns:ds="http://schemas.openxmlformats.org/officeDocument/2006/customXml" ds:itemID="{74AC2DE4-0D05-4D7B-AC02-9B7AADCF1797}">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3.xml><?xml version="1.0" encoding="utf-8"?>
<ds:datastoreItem xmlns:ds="http://schemas.openxmlformats.org/officeDocument/2006/customXml" ds:itemID="{2B0E15B6-2285-4590-82D3-0DEE20E28CD7}">
  <ds:schemaRefs>
    <ds:schemaRef ds:uri="http://schemas.openxmlformats.org/officeDocument/2006/bibliography"/>
  </ds:schemaRefs>
</ds:datastoreItem>
</file>

<file path=customXml/itemProps4.xml><?xml version="1.0" encoding="utf-8"?>
<ds:datastoreItem xmlns:ds="http://schemas.openxmlformats.org/officeDocument/2006/customXml" ds:itemID="{CCA6E185-A108-46A7-BCE2-2D2E9309C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0314DD-D7C8-4B5A-A476-AD89473190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430</TotalTime>
  <Pages>17</Pages>
  <Words>4577</Words>
  <Characters>26095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30611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Cun, Jeff S</cp:lastModifiedBy>
  <cp:revision>83</cp:revision>
  <cp:lastPrinted>2021-11-19T22:46:00Z</cp:lastPrinted>
  <dcterms:created xsi:type="dcterms:W3CDTF">2020-12-30T00:06:00Z</dcterms:created>
  <dcterms:modified xsi:type="dcterms:W3CDTF">2021-12-09T17:04:00Z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_dlc_DocIdItemGuid">
    <vt:lpwstr>b9633d83-22cc-4df6-b1e5-3f49de36726e</vt:lpwstr>
  </property>
</Properties>
</file>