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914D8" w14:paraId="67BD4DD1" w14:textId="77777777" w:rsidTr="00BD221D">
        <w:trPr>
          <w:cantSplit/>
          <w:trHeight w:hRule="exact" w:val="1440"/>
          <w:jc w:val="right"/>
        </w:trPr>
        <w:tc>
          <w:tcPr>
            <w:tcW w:w="9000" w:type="dxa"/>
            <w:shd w:val="clear" w:color="auto" w:fill="8DC63F"/>
            <w:vAlign w:val="center"/>
          </w:tcPr>
          <w:p w14:paraId="3EF67A49" w14:textId="10A90DF8" w:rsidR="00BD221D" w:rsidRPr="005622AF" w:rsidRDefault="003D70D3" w:rsidP="00BD221D">
            <w:pPr>
              <w:pStyle w:val="eTRMHeading1"/>
              <w:jc w:val="center"/>
              <w:rPr>
                <w:sz w:val="28"/>
              </w:rPr>
            </w:pPr>
            <w:r w:rsidRPr="005622AF">
              <w:rPr>
                <w:sz w:val="28"/>
              </w:rPr>
              <w:t>HVAC</w:t>
            </w:r>
          </w:p>
          <w:p w14:paraId="52078BE6" w14:textId="44DA230E" w:rsidR="00BD221D" w:rsidRPr="005622AF" w:rsidRDefault="009F4CFA" w:rsidP="00B561EE">
            <w:pPr>
              <w:pStyle w:val="eTRMHeading2"/>
              <w:rPr>
                <w:color w:val="FFFFFF" w:themeColor="background1"/>
                <w:spacing w:val="60"/>
                <w:sz w:val="32"/>
              </w:rPr>
            </w:pPr>
            <w:r w:rsidRPr="005622AF">
              <w:rPr>
                <w:color w:val="FFFFFF" w:themeColor="background1"/>
                <w:spacing w:val="60"/>
                <w:sz w:val="32"/>
              </w:rPr>
              <w:t xml:space="preserve">Wall </w:t>
            </w:r>
            <w:r w:rsidR="00C07777" w:rsidRPr="005622AF">
              <w:rPr>
                <w:color w:val="FFFFFF" w:themeColor="background1"/>
                <w:spacing w:val="60"/>
                <w:sz w:val="32"/>
              </w:rPr>
              <w:t>FURNACE, RESIDENTIAL</w:t>
            </w:r>
          </w:p>
          <w:p w14:paraId="10BE1877" w14:textId="2877F66C" w:rsidR="005622AF" w:rsidRPr="005622AF" w:rsidRDefault="005622AF" w:rsidP="00B561EE">
            <w:pPr>
              <w:pStyle w:val="eTRMHeading2"/>
              <w:rPr>
                <w:color w:val="FFFFFF" w:themeColor="background1"/>
                <w:spacing w:val="0"/>
                <w:sz w:val="28"/>
              </w:rPr>
            </w:pPr>
            <w:r w:rsidRPr="005622AF">
              <w:rPr>
                <w:color w:val="FFFFFF" w:themeColor="background1"/>
                <w:spacing w:val="0"/>
                <w:sz w:val="28"/>
              </w:rPr>
              <w:t>SWHC0</w:t>
            </w:r>
            <w:r w:rsidR="00D97E67">
              <w:rPr>
                <w:color w:val="FFFFFF" w:themeColor="background1"/>
                <w:spacing w:val="0"/>
                <w:sz w:val="28"/>
              </w:rPr>
              <w:t>0</w:t>
            </w:r>
            <w:r w:rsidRPr="005622AF">
              <w:rPr>
                <w:color w:val="FFFFFF" w:themeColor="background1"/>
                <w:spacing w:val="0"/>
                <w:sz w:val="28"/>
              </w:rPr>
              <w:t>1-0</w:t>
            </w:r>
            <w:r w:rsidR="00DB3ED3">
              <w:rPr>
                <w:color w:val="FFFFFF" w:themeColor="background1"/>
                <w:spacing w:val="0"/>
                <w:sz w:val="28"/>
              </w:rPr>
              <w:t>2</w:t>
            </w:r>
          </w:p>
        </w:tc>
      </w:tr>
    </w:tbl>
    <w:p w14:paraId="645F3ACB" w14:textId="77777777" w:rsidR="00BD221D" w:rsidRPr="002914D8" w:rsidRDefault="00BD221D" w:rsidP="00BD221D"/>
    <w:p w14:paraId="31745A8D" w14:textId="45DC1270" w:rsidR="00D12B8C" w:rsidRPr="002914D8" w:rsidRDefault="007E1F66" w:rsidP="0053748E">
      <w:pPr>
        <w:jc w:val="center"/>
        <w:rPr>
          <w:spacing w:val="80"/>
          <w:sz w:val="28"/>
        </w:rPr>
      </w:pPr>
      <w:r w:rsidRPr="002914D8">
        <w:rPr>
          <w:spacing w:val="80"/>
          <w:sz w:val="28"/>
        </w:rPr>
        <w:t>CONTENTS</w:t>
      </w:r>
    </w:p>
    <w:p w14:paraId="0E2FD5FA" w14:textId="573CF33A" w:rsidR="00D97E67" w:rsidRDefault="001C6C9B">
      <w:pPr>
        <w:pStyle w:val="TOC3"/>
        <w:rPr>
          <w:rFonts w:asciiTheme="minorHAnsi" w:hAnsiTheme="minorHAnsi"/>
          <w:noProof/>
          <w:szCs w:val="22"/>
        </w:rPr>
      </w:pPr>
      <w:r w:rsidRPr="002914D8">
        <w:fldChar w:fldCharType="begin"/>
      </w:r>
      <w:r w:rsidRPr="002914D8">
        <w:instrText xml:space="preserve"> TOC \t "eTRM Heading 3,3" </w:instrText>
      </w:r>
      <w:r w:rsidRPr="002914D8">
        <w:fldChar w:fldCharType="separate"/>
      </w:r>
      <w:r w:rsidR="00D97E67">
        <w:rPr>
          <w:noProof/>
        </w:rPr>
        <w:t>Measure Name</w:t>
      </w:r>
      <w:r w:rsidR="00D97E67">
        <w:rPr>
          <w:noProof/>
        </w:rPr>
        <w:tab/>
      </w:r>
      <w:r w:rsidR="00D97E67">
        <w:rPr>
          <w:noProof/>
        </w:rPr>
        <w:fldChar w:fldCharType="begin"/>
      </w:r>
      <w:r w:rsidR="00D97E67">
        <w:rPr>
          <w:noProof/>
        </w:rPr>
        <w:instrText xml:space="preserve"> PAGEREF _Toc7184818 \h </w:instrText>
      </w:r>
      <w:r w:rsidR="00D97E67">
        <w:rPr>
          <w:noProof/>
        </w:rPr>
      </w:r>
      <w:r w:rsidR="00D97E67">
        <w:rPr>
          <w:noProof/>
        </w:rPr>
        <w:fldChar w:fldCharType="separate"/>
      </w:r>
      <w:r w:rsidR="00BB21AB">
        <w:rPr>
          <w:noProof/>
        </w:rPr>
        <w:t>2</w:t>
      </w:r>
      <w:r w:rsidR="00D97E67">
        <w:rPr>
          <w:noProof/>
        </w:rPr>
        <w:fldChar w:fldCharType="end"/>
      </w:r>
    </w:p>
    <w:p w14:paraId="5C309A21" w14:textId="718F747E" w:rsidR="00D97E67" w:rsidRDefault="00D97E6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_Toc7184819 \h </w:instrText>
      </w:r>
      <w:r>
        <w:rPr>
          <w:noProof/>
        </w:rPr>
      </w:r>
      <w:r>
        <w:rPr>
          <w:noProof/>
        </w:rPr>
        <w:fldChar w:fldCharType="separate"/>
      </w:r>
      <w:r w:rsidR="00BB21AB">
        <w:rPr>
          <w:noProof/>
        </w:rPr>
        <w:t>2</w:t>
      </w:r>
      <w:r>
        <w:rPr>
          <w:noProof/>
        </w:rPr>
        <w:fldChar w:fldCharType="end"/>
      </w:r>
    </w:p>
    <w:p w14:paraId="4F95DAAD" w14:textId="4DAFCDF2" w:rsidR="00D97E67" w:rsidRDefault="00D97E6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_Toc7184820 \h </w:instrText>
      </w:r>
      <w:r>
        <w:rPr>
          <w:noProof/>
        </w:rPr>
      </w:r>
      <w:r>
        <w:rPr>
          <w:noProof/>
        </w:rPr>
        <w:fldChar w:fldCharType="separate"/>
      </w:r>
      <w:r w:rsidR="00BB21AB">
        <w:rPr>
          <w:noProof/>
        </w:rPr>
        <w:t>2</w:t>
      </w:r>
      <w:r>
        <w:rPr>
          <w:noProof/>
        </w:rPr>
        <w:fldChar w:fldCharType="end"/>
      </w:r>
    </w:p>
    <w:p w14:paraId="42F2EDE6" w14:textId="03EF4D6F" w:rsidR="00D97E67" w:rsidRDefault="00D97E6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_Toc7184821 \h </w:instrText>
      </w:r>
      <w:r>
        <w:rPr>
          <w:noProof/>
        </w:rPr>
      </w:r>
      <w:r>
        <w:rPr>
          <w:noProof/>
        </w:rPr>
        <w:fldChar w:fldCharType="separate"/>
      </w:r>
      <w:r w:rsidR="00BB21AB">
        <w:rPr>
          <w:noProof/>
        </w:rPr>
        <w:t>3</w:t>
      </w:r>
      <w:r>
        <w:rPr>
          <w:noProof/>
        </w:rPr>
        <w:fldChar w:fldCharType="end"/>
      </w:r>
    </w:p>
    <w:p w14:paraId="7C9D5C3B" w14:textId="058F9BC0" w:rsidR="00D97E67" w:rsidRDefault="00D97E67">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_Toc7184822 \h </w:instrText>
      </w:r>
      <w:r>
        <w:rPr>
          <w:noProof/>
        </w:rPr>
      </w:r>
      <w:r>
        <w:rPr>
          <w:noProof/>
        </w:rPr>
        <w:fldChar w:fldCharType="separate"/>
      </w:r>
      <w:r w:rsidR="00BB21AB">
        <w:rPr>
          <w:noProof/>
        </w:rPr>
        <w:t>3</w:t>
      </w:r>
      <w:r>
        <w:rPr>
          <w:noProof/>
        </w:rPr>
        <w:fldChar w:fldCharType="end"/>
      </w:r>
    </w:p>
    <w:p w14:paraId="3BE82ECE" w14:textId="2B3A9480" w:rsidR="00D97E67" w:rsidRDefault="00D97E67">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_Toc7184823 \h </w:instrText>
      </w:r>
      <w:r>
        <w:rPr>
          <w:noProof/>
        </w:rPr>
      </w:r>
      <w:r>
        <w:rPr>
          <w:noProof/>
        </w:rPr>
        <w:fldChar w:fldCharType="separate"/>
      </w:r>
      <w:r w:rsidR="00BB21AB">
        <w:rPr>
          <w:noProof/>
        </w:rPr>
        <w:t>4</w:t>
      </w:r>
      <w:r>
        <w:rPr>
          <w:noProof/>
        </w:rPr>
        <w:fldChar w:fldCharType="end"/>
      </w:r>
    </w:p>
    <w:p w14:paraId="555879EA" w14:textId="50661759" w:rsidR="00D97E67" w:rsidRDefault="00D97E6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_Toc7184824 \h </w:instrText>
      </w:r>
      <w:r>
        <w:rPr>
          <w:noProof/>
        </w:rPr>
      </w:r>
      <w:r>
        <w:rPr>
          <w:noProof/>
        </w:rPr>
        <w:fldChar w:fldCharType="separate"/>
      </w:r>
      <w:r w:rsidR="00BB21AB">
        <w:rPr>
          <w:noProof/>
        </w:rPr>
        <w:t>5</w:t>
      </w:r>
      <w:r>
        <w:rPr>
          <w:noProof/>
        </w:rPr>
        <w:fldChar w:fldCharType="end"/>
      </w:r>
    </w:p>
    <w:p w14:paraId="3E49E11F" w14:textId="02778A7B" w:rsidR="00D97E67" w:rsidRDefault="00D97E6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_Toc7184825 \h </w:instrText>
      </w:r>
      <w:r>
        <w:rPr>
          <w:noProof/>
        </w:rPr>
      </w:r>
      <w:r>
        <w:rPr>
          <w:noProof/>
        </w:rPr>
        <w:fldChar w:fldCharType="separate"/>
      </w:r>
      <w:r w:rsidR="00BB21AB">
        <w:rPr>
          <w:noProof/>
        </w:rPr>
        <w:t>5</w:t>
      </w:r>
      <w:r>
        <w:rPr>
          <w:noProof/>
        </w:rPr>
        <w:fldChar w:fldCharType="end"/>
      </w:r>
    </w:p>
    <w:p w14:paraId="334E374E" w14:textId="3C455DE5" w:rsidR="00D97E67" w:rsidRDefault="00D97E6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_Toc7184826 \h </w:instrText>
      </w:r>
      <w:r>
        <w:rPr>
          <w:noProof/>
        </w:rPr>
      </w:r>
      <w:r>
        <w:rPr>
          <w:noProof/>
        </w:rPr>
        <w:fldChar w:fldCharType="separate"/>
      </w:r>
      <w:r w:rsidR="00BB21AB">
        <w:rPr>
          <w:noProof/>
        </w:rPr>
        <w:t>6</w:t>
      </w:r>
      <w:r>
        <w:rPr>
          <w:noProof/>
        </w:rPr>
        <w:fldChar w:fldCharType="end"/>
      </w:r>
    </w:p>
    <w:p w14:paraId="5AAC8B65" w14:textId="670AC491" w:rsidR="00D97E67" w:rsidRDefault="00D97E6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_Toc7184827 \h </w:instrText>
      </w:r>
      <w:r>
        <w:rPr>
          <w:noProof/>
        </w:rPr>
      </w:r>
      <w:r>
        <w:rPr>
          <w:noProof/>
        </w:rPr>
        <w:fldChar w:fldCharType="separate"/>
      </w:r>
      <w:r w:rsidR="00BB21AB">
        <w:rPr>
          <w:noProof/>
        </w:rPr>
        <w:t>6</w:t>
      </w:r>
      <w:r>
        <w:rPr>
          <w:noProof/>
        </w:rPr>
        <w:fldChar w:fldCharType="end"/>
      </w:r>
    </w:p>
    <w:p w14:paraId="286C764A" w14:textId="3298F60B" w:rsidR="00D97E67" w:rsidRDefault="00D97E6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_Toc7184828 \h </w:instrText>
      </w:r>
      <w:r>
        <w:rPr>
          <w:noProof/>
        </w:rPr>
      </w:r>
      <w:r>
        <w:rPr>
          <w:noProof/>
        </w:rPr>
        <w:fldChar w:fldCharType="separate"/>
      </w:r>
      <w:r w:rsidR="00BB21AB">
        <w:rPr>
          <w:noProof/>
        </w:rPr>
        <w:t>6</w:t>
      </w:r>
      <w:r>
        <w:rPr>
          <w:noProof/>
        </w:rPr>
        <w:fldChar w:fldCharType="end"/>
      </w:r>
    </w:p>
    <w:p w14:paraId="6402AB21" w14:textId="46C8DA83" w:rsidR="00D97E67" w:rsidRDefault="00D97E67">
      <w:pPr>
        <w:pStyle w:val="TOC3"/>
        <w:rPr>
          <w:rFonts w:asciiTheme="minorHAnsi" w:hAnsiTheme="minorHAnsi"/>
          <w:noProof/>
          <w:szCs w:val="22"/>
        </w:rPr>
      </w:pPr>
      <w:r>
        <w:rPr>
          <w:noProof/>
        </w:rPr>
        <w:t>Electric Savings (</w:t>
      </w:r>
      <w:r w:rsidRPr="00FC7287">
        <w:rPr>
          <w:noProof/>
        </w:rPr>
        <w:t>kWh</w:t>
      </w:r>
      <w:r>
        <w:rPr>
          <w:noProof/>
        </w:rPr>
        <w:t>)</w:t>
      </w:r>
      <w:r>
        <w:rPr>
          <w:noProof/>
        </w:rPr>
        <w:tab/>
      </w:r>
      <w:r>
        <w:rPr>
          <w:noProof/>
        </w:rPr>
        <w:fldChar w:fldCharType="begin"/>
      </w:r>
      <w:r>
        <w:rPr>
          <w:noProof/>
        </w:rPr>
        <w:instrText xml:space="preserve"> PAGEREF _Toc7184829 \h </w:instrText>
      </w:r>
      <w:r>
        <w:rPr>
          <w:noProof/>
        </w:rPr>
      </w:r>
      <w:r>
        <w:rPr>
          <w:noProof/>
        </w:rPr>
        <w:fldChar w:fldCharType="separate"/>
      </w:r>
      <w:r w:rsidR="00BB21AB">
        <w:rPr>
          <w:noProof/>
        </w:rPr>
        <w:t>6</w:t>
      </w:r>
      <w:r>
        <w:rPr>
          <w:noProof/>
        </w:rPr>
        <w:fldChar w:fldCharType="end"/>
      </w:r>
    </w:p>
    <w:p w14:paraId="556BFE4F" w14:textId="49139AAE" w:rsidR="00D97E67" w:rsidRDefault="00D97E67">
      <w:pPr>
        <w:pStyle w:val="TOC3"/>
        <w:rPr>
          <w:rFonts w:asciiTheme="minorHAnsi" w:hAnsiTheme="minorHAnsi"/>
          <w:noProof/>
          <w:szCs w:val="22"/>
        </w:rPr>
      </w:pPr>
      <w:r>
        <w:rPr>
          <w:noProof/>
        </w:rPr>
        <w:t>Peak Electric Demand Reduction (</w:t>
      </w:r>
      <w:r w:rsidRPr="00FC7287">
        <w:rPr>
          <w:noProof/>
        </w:rPr>
        <w:t>kW</w:t>
      </w:r>
      <w:r>
        <w:rPr>
          <w:noProof/>
        </w:rPr>
        <w:t>)</w:t>
      </w:r>
      <w:r>
        <w:rPr>
          <w:noProof/>
        </w:rPr>
        <w:tab/>
      </w:r>
      <w:r>
        <w:rPr>
          <w:noProof/>
        </w:rPr>
        <w:fldChar w:fldCharType="begin"/>
      </w:r>
      <w:r>
        <w:rPr>
          <w:noProof/>
        </w:rPr>
        <w:instrText xml:space="preserve"> PAGEREF _Toc7184830 \h </w:instrText>
      </w:r>
      <w:r>
        <w:rPr>
          <w:noProof/>
        </w:rPr>
      </w:r>
      <w:r>
        <w:rPr>
          <w:noProof/>
        </w:rPr>
        <w:fldChar w:fldCharType="separate"/>
      </w:r>
      <w:r w:rsidR="00BB21AB">
        <w:rPr>
          <w:noProof/>
        </w:rPr>
        <w:t>6</w:t>
      </w:r>
      <w:r>
        <w:rPr>
          <w:noProof/>
        </w:rPr>
        <w:fldChar w:fldCharType="end"/>
      </w:r>
    </w:p>
    <w:p w14:paraId="2B07F710" w14:textId="7C62FF51" w:rsidR="00D97E67" w:rsidRDefault="00D97E67">
      <w:pPr>
        <w:pStyle w:val="TOC3"/>
        <w:rPr>
          <w:rFonts w:asciiTheme="minorHAnsi" w:hAnsiTheme="minorHAnsi"/>
          <w:noProof/>
          <w:szCs w:val="22"/>
        </w:rPr>
      </w:pPr>
      <w:r>
        <w:rPr>
          <w:noProof/>
        </w:rPr>
        <w:t>Gas Savings (</w:t>
      </w:r>
      <w:r w:rsidRPr="00FC7287">
        <w:rPr>
          <w:noProof/>
        </w:rPr>
        <w:t>Therms</w:t>
      </w:r>
      <w:r>
        <w:rPr>
          <w:noProof/>
        </w:rPr>
        <w:t>)</w:t>
      </w:r>
      <w:r>
        <w:rPr>
          <w:noProof/>
        </w:rPr>
        <w:tab/>
      </w:r>
      <w:r>
        <w:rPr>
          <w:noProof/>
        </w:rPr>
        <w:fldChar w:fldCharType="begin"/>
      </w:r>
      <w:r>
        <w:rPr>
          <w:noProof/>
        </w:rPr>
        <w:instrText xml:space="preserve"> PAGEREF _Toc7184831 \h </w:instrText>
      </w:r>
      <w:r>
        <w:rPr>
          <w:noProof/>
        </w:rPr>
      </w:r>
      <w:r>
        <w:rPr>
          <w:noProof/>
        </w:rPr>
        <w:fldChar w:fldCharType="separate"/>
      </w:r>
      <w:r w:rsidR="00BB21AB">
        <w:rPr>
          <w:noProof/>
        </w:rPr>
        <w:t>6</w:t>
      </w:r>
      <w:r>
        <w:rPr>
          <w:noProof/>
        </w:rPr>
        <w:fldChar w:fldCharType="end"/>
      </w:r>
    </w:p>
    <w:p w14:paraId="6B9DFCE6" w14:textId="2EA9C958" w:rsidR="00D97E67" w:rsidRDefault="00D97E6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_Toc7184832 \h </w:instrText>
      </w:r>
      <w:r>
        <w:rPr>
          <w:noProof/>
        </w:rPr>
      </w:r>
      <w:r>
        <w:rPr>
          <w:noProof/>
        </w:rPr>
        <w:fldChar w:fldCharType="separate"/>
      </w:r>
      <w:r w:rsidR="00BB21AB">
        <w:rPr>
          <w:noProof/>
        </w:rPr>
        <w:t>11</w:t>
      </w:r>
      <w:r>
        <w:rPr>
          <w:noProof/>
        </w:rPr>
        <w:fldChar w:fldCharType="end"/>
      </w:r>
    </w:p>
    <w:p w14:paraId="26FBE676" w14:textId="42778638" w:rsidR="00D97E67" w:rsidRDefault="00D97E6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_Toc7184833 \h </w:instrText>
      </w:r>
      <w:r>
        <w:rPr>
          <w:noProof/>
        </w:rPr>
      </w:r>
      <w:r>
        <w:rPr>
          <w:noProof/>
        </w:rPr>
        <w:fldChar w:fldCharType="separate"/>
      </w:r>
      <w:r w:rsidR="00BB21AB">
        <w:rPr>
          <w:noProof/>
        </w:rPr>
        <w:t>11</w:t>
      </w:r>
      <w:r>
        <w:rPr>
          <w:noProof/>
        </w:rPr>
        <w:fldChar w:fldCharType="end"/>
      </w:r>
    </w:p>
    <w:p w14:paraId="28C50DB7" w14:textId="0104D5E8" w:rsidR="00D97E67" w:rsidRDefault="00D97E6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_Toc7184834 \h </w:instrText>
      </w:r>
      <w:r>
        <w:rPr>
          <w:noProof/>
        </w:rPr>
      </w:r>
      <w:r>
        <w:rPr>
          <w:noProof/>
        </w:rPr>
        <w:fldChar w:fldCharType="separate"/>
      </w:r>
      <w:r w:rsidR="00BB21AB">
        <w:rPr>
          <w:noProof/>
        </w:rPr>
        <w:t>12</w:t>
      </w:r>
      <w:r>
        <w:rPr>
          <w:noProof/>
        </w:rPr>
        <w:fldChar w:fldCharType="end"/>
      </w:r>
    </w:p>
    <w:p w14:paraId="2AABFEF2" w14:textId="4DF674FB" w:rsidR="00D97E67" w:rsidRDefault="00D97E6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_Toc7184835 \h </w:instrText>
      </w:r>
      <w:r>
        <w:rPr>
          <w:noProof/>
        </w:rPr>
      </w:r>
      <w:r>
        <w:rPr>
          <w:noProof/>
        </w:rPr>
        <w:fldChar w:fldCharType="separate"/>
      </w:r>
      <w:r w:rsidR="00BB21AB">
        <w:rPr>
          <w:noProof/>
        </w:rPr>
        <w:t>12</w:t>
      </w:r>
      <w:r>
        <w:rPr>
          <w:noProof/>
        </w:rPr>
        <w:fldChar w:fldCharType="end"/>
      </w:r>
    </w:p>
    <w:p w14:paraId="23605F1C" w14:textId="2FB21CA5" w:rsidR="00D97E67" w:rsidRDefault="00D97E6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_Toc7184836 \h </w:instrText>
      </w:r>
      <w:r>
        <w:rPr>
          <w:noProof/>
        </w:rPr>
      </w:r>
      <w:r>
        <w:rPr>
          <w:noProof/>
        </w:rPr>
        <w:fldChar w:fldCharType="separate"/>
      </w:r>
      <w:r w:rsidR="00BB21AB">
        <w:rPr>
          <w:noProof/>
        </w:rPr>
        <w:t>12</w:t>
      </w:r>
      <w:r>
        <w:rPr>
          <w:noProof/>
        </w:rPr>
        <w:fldChar w:fldCharType="end"/>
      </w:r>
    </w:p>
    <w:p w14:paraId="432D7CCE" w14:textId="60584DA4" w:rsidR="00D97E67" w:rsidRDefault="00D97E6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_Toc7184837 \h </w:instrText>
      </w:r>
      <w:r>
        <w:rPr>
          <w:noProof/>
        </w:rPr>
      </w:r>
      <w:r>
        <w:rPr>
          <w:noProof/>
        </w:rPr>
        <w:fldChar w:fldCharType="separate"/>
      </w:r>
      <w:r w:rsidR="00BB21AB">
        <w:rPr>
          <w:noProof/>
        </w:rPr>
        <w:t>12</w:t>
      </w:r>
      <w:r>
        <w:rPr>
          <w:noProof/>
        </w:rPr>
        <w:fldChar w:fldCharType="end"/>
      </w:r>
    </w:p>
    <w:p w14:paraId="4319B730" w14:textId="51DCA857" w:rsidR="00D97E67" w:rsidRDefault="00D97E6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_Toc7184838 \h </w:instrText>
      </w:r>
      <w:r>
        <w:rPr>
          <w:noProof/>
        </w:rPr>
      </w:r>
      <w:r>
        <w:rPr>
          <w:noProof/>
        </w:rPr>
        <w:fldChar w:fldCharType="separate"/>
      </w:r>
      <w:r w:rsidR="00BB21AB">
        <w:rPr>
          <w:noProof/>
        </w:rPr>
        <w:t>13</w:t>
      </w:r>
      <w:r>
        <w:rPr>
          <w:noProof/>
        </w:rPr>
        <w:fldChar w:fldCharType="end"/>
      </w:r>
    </w:p>
    <w:p w14:paraId="4C9589CC" w14:textId="52E0D62E" w:rsidR="00D97E67" w:rsidRDefault="00D97E67">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_Toc7184839 \h </w:instrText>
      </w:r>
      <w:r>
        <w:rPr>
          <w:noProof/>
        </w:rPr>
      </w:r>
      <w:r>
        <w:rPr>
          <w:noProof/>
        </w:rPr>
        <w:fldChar w:fldCharType="separate"/>
      </w:r>
      <w:r w:rsidR="00BB21AB">
        <w:rPr>
          <w:noProof/>
        </w:rPr>
        <w:t>13</w:t>
      </w:r>
      <w:r>
        <w:rPr>
          <w:noProof/>
        </w:rPr>
        <w:fldChar w:fldCharType="end"/>
      </w:r>
    </w:p>
    <w:p w14:paraId="1FD43D64" w14:textId="18BD6DC5" w:rsidR="00D97E67" w:rsidRDefault="00D97E6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_Toc7184840 \h </w:instrText>
      </w:r>
      <w:r>
        <w:rPr>
          <w:noProof/>
        </w:rPr>
      </w:r>
      <w:r>
        <w:rPr>
          <w:noProof/>
        </w:rPr>
        <w:fldChar w:fldCharType="separate"/>
      </w:r>
      <w:r w:rsidR="00BB21AB">
        <w:rPr>
          <w:noProof/>
        </w:rPr>
        <w:t>13</w:t>
      </w:r>
      <w:r>
        <w:rPr>
          <w:noProof/>
        </w:rPr>
        <w:fldChar w:fldCharType="end"/>
      </w:r>
    </w:p>
    <w:p w14:paraId="2C43D67C" w14:textId="5905CB09" w:rsidR="00D97E67" w:rsidRDefault="00D97E6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_Toc7184841 \h </w:instrText>
      </w:r>
      <w:r>
        <w:rPr>
          <w:noProof/>
        </w:rPr>
      </w:r>
      <w:r>
        <w:rPr>
          <w:noProof/>
        </w:rPr>
        <w:fldChar w:fldCharType="separate"/>
      </w:r>
      <w:r w:rsidR="00BB21AB">
        <w:rPr>
          <w:noProof/>
        </w:rPr>
        <w:t>15</w:t>
      </w:r>
      <w:r>
        <w:rPr>
          <w:noProof/>
        </w:rPr>
        <w:fldChar w:fldCharType="end"/>
      </w:r>
    </w:p>
    <w:p w14:paraId="4C194BAF" w14:textId="2F529521" w:rsidR="001C6C9B" w:rsidRPr="002914D8" w:rsidRDefault="001C6C9B" w:rsidP="002914D8">
      <w:pPr>
        <w:pStyle w:val="TOC3"/>
      </w:pPr>
      <w:r w:rsidRPr="002914D8">
        <w:fldChar w:fldCharType="end"/>
      </w:r>
    </w:p>
    <w:p w14:paraId="7DD78D3A" w14:textId="77777777" w:rsidR="007E1F66" w:rsidRPr="002914D8" w:rsidRDefault="007E1F66" w:rsidP="00462BB6">
      <w:pPr>
        <w:pStyle w:val="eTRMHeading3"/>
        <w:sectPr w:rsidR="007E1F66" w:rsidRPr="002914D8"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2914D8" w:rsidRDefault="00871123" w:rsidP="00462BB6">
      <w:pPr>
        <w:pStyle w:val="eTRMHeading3"/>
        <w:spacing w:before="20" w:after="20"/>
      </w:pPr>
      <w:bookmarkStart w:id="0" w:name="_Toc486490839"/>
      <w:bookmarkStart w:id="1" w:name="_Toc486580912"/>
      <w:bookmarkStart w:id="2" w:name="_Toc7184818"/>
      <w:r w:rsidRPr="002914D8">
        <w:lastRenderedPageBreak/>
        <w:t>Measure Name</w:t>
      </w:r>
      <w:bookmarkEnd w:id="0"/>
      <w:bookmarkEnd w:id="1"/>
      <w:bookmarkEnd w:id="2"/>
    </w:p>
    <w:p w14:paraId="4EAED972" w14:textId="0CA65FEA" w:rsidR="00871123" w:rsidRDefault="003673F2" w:rsidP="00462BB6">
      <w:pPr>
        <w:spacing w:before="20" w:after="20" w:line="280" w:lineRule="exact"/>
      </w:pPr>
      <w:r w:rsidRPr="002914D8">
        <w:t>Wall Furnace</w:t>
      </w:r>
      <w:r>
        <w:t>, Residential</w:t>
      </w:r>
    </w:p>
    <w:p w14:paraId="027BFA82" w14:textId="77777777" w:rsidR="003673F2" w:rsidRPr="002914D8" w:rsidRDefault="003673F2" w:rsidP="00462BB6">
      <w:pPr>
        <w:spacing w:before="20" w:after="20" w:line="280" w:lineRule="exact"/>
      </w:pPr>
    </w:p>
    <w:p w14:paraId="6406A9D4" w14:textId="77777777" w:rsidR="00871123" w:rsidRPr="002914D8" w:rsidRDefault="00871123" w:rsidP="00462BB6">
      <w:pPr>
        <w:pStyle w:val="eTRMHeading3"/>
        <w:spacing w:before="20" w:after="20"/>
      </w:pPr>
      <w:bookmarkStart w:id="3" w:name="_Toc486490840"/>
      <w:bookmarkStart w:id="4" w:name="_Toc486580913"/>
      <w:bookmarkStart w:id="5" w:name="_Toc7184819"/>
      <w:r w:rsidRPr="002914D8">
        <w:t>Statewide Measure ID</w:t>
      </w:r>
      <w:bookmarkEnd w:id="3"/>
      <w:bookmarkEnd w:id="4"/>
      <w:bookmarkEnd w:id="5"/>
    </w:p>
    <w:p w14:paraId="6EAE2100" w14:textId="5709A7B8" w:rsidR="00871123" w:rsidRPr="002914D8" w:rsidRDefault="005622AF" w:rsidP="005622AF">
      <w:r>
        <w:t>SWHC0</w:t>
      </w:r>
      <w:r w:rsidR="00D97E67">
        <w:t>0</w:t>
      </w:r>
      <w:r>
        <w:t>1-0</w:t>
      </w:r>
      <w:r w:rsidR="00CC177A">
        <w:t>2</w:t>
      </w:r>
    </w:p>
    <w:p w14:paraId="2B553EA2" w14:textId="77777777" w:rsidR="00871123" w:rsidRPr="002914D8" w:rsidRDefault="00871123" w:rsidP="005622AF"/>
    <w:p w14:paraId="0F7CA2E6" w14:textId="77777777" w:rsidR="00E70CBD" w:rsidRPr="002914D8" w:rsidRDefault="00E70CBD" w:rsidP="00462BB6">
      <w:pPr>
        <w:pStyle w:val="eTRMHeading3"/>
      </w:pPr>
      <w:bookmarkStart w:id="6" w:name="_Toc486490847"/>
      <w:bookmarkStart w:id="7" w:name="_Toc486580918"/>
      <w:bookmarkStart w:id="8" w:name="_Toc7184820"/>
      <w:r w:rsidRPr="002914D8">
        <w:t>Technology Summary</w:t>
      </w:r>
      <w:bookmarkEnd w:id="6"/>
      <w:bookmarkEnd w:id="7"/>
      <w:bookmarkEnd w:id="8"/>
      <w:r w:rsidRPr="002914D8">
        <w:t xml:space="preserve"> </w:t>
      </w:r>
    </w:p>
    <w:p w14:paraId="70ED4402" w14:textId="05E42614" w:rsidR="00C24B4B" w:rsidRPr="00C24B4B" w:rsidRDefault="00C24B4B" w:rsidP="00C24B4B">
      <w:r w:rsidRPr="00C24B4B">
        <w:t xml:space="preserve">A vented wall furnace is a self-contained vented heater, complete with grills or the equivalent, designed to be incorporated in or permanently attached to a wall and can be categorized as gravity or fan type. This measure pertains to both gravity and fan type wall furnaces that are natural gas fired and top vented. A gravity wall furnace uses </w:t>
      </w:r>
      <w:r w:rsidR="00343AEA">
        <w:t>the</w:t>
      </w:r>
      <w:r w:rsidR="00857985">
        <w:t xml:space="preserve"> buoyant force due to</w:t>
      </w:r>
      <w:r w:rsidR="00343AEA">
        <w:t xml:space="preserve"> density difference of hot air</w:t>
      </w:r>
      <w:r w:rsidRPr="00C24B4B">
        <w:t xml:space="preserve"> to f</w:t>
      </w:r>
      <w:r w:rsidR="00343AEA">
        <w:t xml:space="preserve">low air </w:t>
      </w:r>
      <w:r w:rsidRPr="00C24B4B">
        <w:t xml:space="preserve">through the system. A fan type wall furnace uses a blower, which requires a power source, to force air through the system. Combustion air may be drawn from the heated space, but flue gases are vented up through a short duct. </w:t>
      </w:r>
    </w:p>
    <w:p w14:paraId="59570726" w14:textId="3121C708" w:rsidR="00C24B4B" w:rsidRPr="00C24B4B" w:rsidRDefault="00C24B4B" w:rsidP="00C24B4B">
      <w:r w:rsidRPr="00C24B4B">
        <w:t>The gas heat input capacity ratings of wall furnaces are typically 25,000 Btu/</w:t>
      </w:r>
      <w:proofErr w:type="spellStart"/>
      <w:r w:rsidRPr="00C24B4B">
        <w:t>hr</w:t>
      </w:r>
      <w:proofErr w:type="spellEnd"/>
      <w:r w:rsidRPr="00C24B4B">
        <w:t>, 35,000 Btu/</w:t>
      </w:r>
      <w:proofErr w:type="spellStart"/>
      <w:r w:rsidRPr="00C24B4B">
        <w:t>hr</w:t>
      </w:r>
      <w:proofErr w:type="spellEnd"/>
      <w:r w:rsidRPr="00C24B4B">
        <w:t>, and 50,000 Btu/hr</w:t>
      </w:r>
      <w:r w:rsidR="00BC09E0">
        <w:t>. T</w:t>
      </w:r>
      <w:r w:rsidRPr="00C24B4B">
        <w:t xml:space="preserve">he latter units are dual-wall furnaces </w:t>
      </w:r>
      <w:r w:rsidR="00BC09E0">
        <w:t xml:space="preserve">that are </w:t>
      </w:r>
      <w:r w:rsidRPr="00C24B4B">
        <w:t xml:space="preserve">used to heat two living spaces separated by a wall. </w:t>
      </w:r>
      <w:r w:rsidR="0076232D" w:rsidRPr="0076232D">
        <w:t xml:space="preserve">The design of </w:t>
      </w:r>
      <w:r w:rsidR="0076232D">
        <w:t>a</w:t>
      </w:r>
      <w:r w:rsidR="0076232D" w:rsidRPr="0076232D">
        <w:t xml:space="preserve"> better heat-exchanging surface differentiates higher efficiency units from standard efficiency models.</w:t>
      </w:r>
    </w:p>
    <w:p w14:paraId="032EBEEB" w14:textId="77777777" w:rsidR="00465FF0" w:rsidRDefault="00465FF0" w:rsidP="00465FF0">
      <w:pPr>
        <w:keepNext/>
        <w:spacing w:line="240" w:lineRule="auto"/>
        <w:jc w:val="center"/>
      </w:pPr>
      <w:r>
        <w:rPr>
          <w:noProof/>
        </w:rPr>
        <w:drawing>
          <wp:inline distT="0" distB="0" distL="0" distR="0" wp14:anchorId="5A19FFB9" wp14:editId="32744A94">
            <wp:extent cx="3277235" cy="36061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77235" cy="3606165"/>
                    </a:xfrm>
                    <a:prstGeom prst="rect">
                      <a:avLst/>
                    </a:prstGeom>
                    <a:noFill/>
                    <a:ln>
                      <a:noFill/>
                    </a:ln>
                  </pic:spPr>
                </pic:pic>
              </a:graphicData>
            </a:graphic>
          </wp:inline>
        </w:drawing>
      </w:r>
    </w:p>
    <w:p w14:paraId="335EE23D" w14:textId="13835A1E" w:rsidR="00465FF0" w:rsidRPr="00774D4E" w:rsidRDefault="00465FF0" w:rsidP="001C1D0E">
      <w:pPr>
        <w:pStyle w:val="FigureCaption"/>
        <w:rPr>
          <w:rFonts w:asciiTheme="minorHAnsi" w:hAnsiTheme="minorHAnsi"/>
        </w:rPr>
      </w:pPr>
      <w:r w:rsidRPr="00774D4E">
        <w:t xml:space="preserve">Figure </w:t>
      </w:r>
      <w:r w:rsidR="00404361">
        <w:fldChar w:fldCharType="begin"/>
      </w:r>
      <w:r w:rsidR="00404361">
        <w:instrText xml:space="preserve"> SEQ Figure \* ARABIC </w:instrText>
      </w:r>
      <w:r w:rsidR="00404361">
        <w:fldChar w:fldCharType="separate"/>
      </w:r>
      <w:r w:rsidR="00BB21AB">
        <w:rPr>
          <w:noProof/>
        </w:rPr>
        <w:t>1</w:t>
      </w:r>
      <w:r w:rsidR="00404361">
        <w:rPr>
          <w:noProof/>
        </w:rPr>
        <w:fldChar w:fldCharType="end"/>
      </w:r>
      <w:r w:rsidR="005051A1">
        <w:rPr>
          <w:noProof/>
        </w:rPr>
        <w:t xml:space="preserve"> </w:t>
      </w:r>
      <w:r w:rsidRPr="00774D4E">
        <w:t>Wall Furnace (Source ASHRAE Handbook: HVAC System &amp; Equipment)</w:t>
      </w:r>
    </w:p>
    <w:p w14:paraId="3939AD88" w14:textId="77777777" w:rsidR="007C75AF" w:rsidRPr="002914D8" w:rsidRDefault="007C75AF" w:rsidP="00AB6C99"/>
    <w:p w14:paraId="5AF18021" w14:textId="77777777" w:rsidR="007D230B" w:rsidRPr="002914D8" w:rsidRDefault="007D230B" w:rsidP="00462BB6">
      <w:pPr>
        <w:pStyle w:val="eTRMHeading3"/>
      </w:pPr>
      <w:bookmarkStart w:id="9" w:name="_Toc486490848"/>
      <w:bookmarkStart w:id="10" w:name="_Toc486580919"/>
      <w:bookmarkStart w:id="11" w:name="_Toc7184821"/>
      <w:r w:rsidRPr="002914D8">
        <w:lastRenderedPageBreak/>
        <w:t>Measure Case Description</w:t>
      </w:r>
      <w:bookmarkEnd w:id="9"/>
      <w:bookmarkEnd w:id="10"/>
      <w:bookmarkEnd w:id="11"/>
    </w:p>
    <w:p w14:paraId="027C2465" w14:textId="79C22A17" w:rsidR="00994F74" w:rsidRDefault="00CC177A" w:rsidP="00DE339F">
      <w:r w:rsidRPr="00BC4946">
        <w:t xml:space="preserve">One </w:t>
      </w:r>
      <w:r w:rsidR="00025DB2" w:rsidRPr="00BC4946">
        <w:t>measure case is defined as a gravity wall furnace with an annual fuel utilization efficiency</w:t>
      </w:r>
      <w:r w:rsidR="009F4CFA" w:rsidRPr="00BC4946">
        <w:t xml:space="preserve"> (AFUE) </w:t>
      </w:r>
      <w:r w:rsidR="00025DB2" w:rsidRPr="00BC4946">
        <w:t>of at least</w:t>
      </w:r>
      <w:r w:rsidR="009F4CFA" w:rsidRPr="00BC4946">
        <w:t xml:space="preserve"> 70%</w:t>
      </w:r>
      <w:r w:rsidR="00025DB2" w:rsidRPr="00BC4946">
        <w:t xml:space="preserve">, and a </w:t>
      </w:r>
      <w:r w:rsidR="009F4CFA" w:rsidRPr="00BC4946">
        <w:t xml:space="preserve">qualifying input rate </w:t>
      </w:r>
      <w:r w:rsidR="00025DB2" w:rsidRPr="00BC4946">
        <w:rPr>
          <w:rFonts w:cs="Calibri Light"/>
        </w:rPr>
        <w:t>≥</w:t>
      </w:r>
      <w:r w:rsidR="009F4CFA" w:rsidRPr="00BC4946">
        <w:t xml:space="preserve"> 19,000 Btu/</w:t>
      </w:r>
      <w:proofErr w:type="spellStart"/>
      <w:r w:rsidR="009F4CFA" w:rsidRPr="00BC4946">
        <w:t>h</w:t>
      </w:r>
      <w:r w:rsidR="00025DB2" w:rsidRPr="00BC4946">
        <w:t>r</w:t>
      </w:r>
      <w:proofErr w:type="spellEnd"/>
      <w:r w:rsidR="009F4CFA" w:rsidRPr="00BC4946">
        <w:t xml:space="preserve"> and </w:t>
      </w:r>
      <w:r w:rsidR="00025DB2" w:rsidRPr="00BC4946">
        <w:rPr>
          <w:rFonts w:cs="Calibri Light"/>
        </w:rPr>
        <w:t>≤</w:t>
      </w:r>
      <w:r w:rsidR="00F64DCE">
        <w:rPr>
          <w:rFonts w:cs="Calibri Light"/>
        </w:rPr>
        <w:t xml:space="preserve"> </w:t>
      </w:r>
      <w:r w:rsidR="009F4CFA" w:rsidRPr="00BC4946">
        <w:t>60,000 Btu/h</w:t>
      </w:r>
      <w:r w:rsidR="00025DB2" w:rsidRPr="00BC4946">
        <w:t>r</w:t>
      </w:r>
      <w:r w:rsidR="009F4CFA" w:rsidRPr="00BC4946">
        <w:t>.</w:t>
      </w:r>
      <w:r w:rsidR="00F128C9" w:rsidRPr="00BC4946">
        <w:t xml:space="preserve"> The </w:t>
      </w:r>
      <w:r w:rsidRPr="00BC4946">
        <w:t xml:space="preserve">other </w:t>
      </w:r>
      <w:r w:rsidR="00F128C9" w:rsidRPr="00BC4946">
        <w:t xml:space="preserve">measure case is defined as a fan type wall furnace with an annual fuel utilization efficiency (AFUE) of at least 82%, and a qualifying input rate </w:t>
      </w:r>
      <w:r w:rsidR="00F128C9" w:rsidRPr="00BC4946">
        <w:rPr>
          <w:rFonts w:cs="Calibri Light"/>
        </w:rPr>
        <w:t>≥</w:t>
      </w:r>
      <w:r w:rsidR="00F128C9" w:rsidRPr="00BC4946">
        <w:t xml:space="preserve"> 25,000 Btu/</w:t>
      </w:r>
      <w:proofErr w:type="spellStart"/>
      <w:r w:rsidR="00F128C9" w:rsidRPr="00BC4946">
        <w:t>hr</w:t>
      </w:r>
      <w:proofErr w:type="spellEnd"/>
      <w:r w:rsidR="00F128C9" w:rsidRPr="00BC4946">
        <w:t xml:space="preserve"> and </w:t>
      </w:r>
      <w:r w:rsidR="00F128C9" w:rsidRPr="00BC4946">
        <w:rPr>
          <w:rFonts w:cs="Calibri Light"/>
        </w:rPr>
        <w:t>≤</w:t>
      </w:r>
      <w:r w:rsidR="00F64DCE">
        <w:rPr>
          <w:rFonts w:cs="Calibri Light"/>
        </w:rPr>
        <w:t xml:space="preserve"> </w:t>
      </w:r>
      <w:r w:rsidR="00BC4946" w:rsidRPr="00BC4946">
        <w:t>42</w:t>
      </w:r>
      <w:r w:rsidR="00F128C9" w:rsidRPr="00BC4946">
        <w:t>,000 Btu/hr. The</w:t>
      </w:r>
      <w:r w:rsidR="00025DB2" w:rsidRPr="00BC4946">
        <w:t xml:space="preserve"> measure offerings designated below distinguish by </w:t>
      </w:r>
      <w:r w:rsidR="00165F80">
        <w:t>furnace</w:t>
      </w:r>
      <w:r w:rsidR="00025DB2" w:rsidRPr="00BC4946">
        <w:t xml:space="preserve"> type and input capacity; </w:t>
      </w:r>
      <w:r w:rsidR="00C23C2B" w:rsidRPr="00BC4946">
        <w:t xml:space="preserve">the impacts of </w:t>
      </w:r>
      <w:r w:rsidR="00025DB2" w:rsidRPr="00BC4946">
        <w:t>each offering</w:t>
      </w:r>
      <w:r w:rsidR="00C23C2B" w:rsidRPr="00BC4946">
        <w:t xml:space="preserve"> are derived for each California climate zone</w:t>
      </w:r>
      <w:r w:rsidR="00165F80">
        <w:t xml:space="preserve"> and residence type</w:t>
      </w:r>
      <w:r w:rsidR="00C23C2B" w:rsidRPr="00BC4946">
        <w:t>.</w:t>
      </w:r>
    </w:p>
    <w:p w14:paraId="4A1BFED0" w14:textId="53E6F875" w:rsidR="00025DB2" w:rsidRDefault="00025DB2" w:rsidP="00025DB2">
      <w:pPr>
        <w:pStyle w:val="Caption"/>
      </w:pPr>
      <w:r>
        <w:t>Measure Case Specification</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60"/>
        <w:gridCol w:w="2160"/>
        <w:gridCol w:w="2160"/>
        <w:gridCol w:w="2160"/>
      </w:tblGrid>
      <w:tr w:rsidR="0065492E" w:rsidRPr="00025DB2" w14:paraId="267A67A7" w14:textId="77777777" w:rsidTr="00CC177A">
        <w:tc>
          <w:tcPr>
            <w:tcW w:w="2160" w:type="dxa"/>
            <w:shd w:val="clear" w:color="auto" w:fill="F2F2F2" w:themeFill="background1" w:themeFillShade="F2"/>
            <w:vAlign w:val="bottom"/>
          </w:tcPr>
          <w:p w14:paraId="7A374E74" w14:textId="461435B0" w:rsidR="0065492E" w:rsidRPr="00025DB2" w:rsidRDefault="0065492E" w:rsidP="00025DB2">
            <w:pPr>
              <w:spacing w:before="0" w:after="0" w:line="240" w:lineRule="auto"/>
              <w:jc w:val="center"/>
              <w:rPr>
                <w:rFonts w:eastAsia="Times New Roman" w:cs="Arial"/>
                <w:b/>
                <w:sz w:val="20"/>
                <w:szCs w:val="16"/>
              </w:rPr>
            </w:pPr>
            <w:r>
              <w:rPr>
                <w:rFonts w:eastAsia="Times New Roman" w:cs="Arial"/>
                <w:b/>
                <w:sz w:val="20"/>
                <w:szCs w:val="16"/>
              </w:rPr>
              <w:t>Building</w:t>
            </w:r>
            <w:r w:rsidRPr="00025DB2">
              <w:rPr>
                <w:rFonts w:eastAsia="Times New Roman" w:cs="Arial"/>
                <w:b/>
                <w:sz w:val="20"/>
                <w:szCs w:val="16"/>
              </w:rPr>
              <w:t xml:space="preserve"> Type</w:t>
            </w:r>
          </w:p>
        </w:tc>
        <w:tc>
          <w:tcPr>
            <w:tcW w:w="2160" w:type="dxa"/>
            <w:shd w:val="clear" w:color="auto" w:fill="F2F2F2" w:themeFill="background1" w:themeFillShade="F2"/>
          </w:tcPr>
          <w:p w14:paraId="793DF5B2" w14:textId="5449944B" w:rsidR="0065492E" w:rsidRPr="00025DB2" w:rsidRDefault="00110CE3" w:rsidP="00025DB2">
            <w:pPr>
              <w:spacing w:before="0" w:after="0" w:line="240" w:lineRule="auto"/>
              <w:jc w:val="center"/>
              <w:rPr>
                <w:rFonts w:eastAsia="Times New Roman" w:cs="Arial"/>
                <w:b/>
                <w:sz w:val="20"/>
                <w:szCs w:val="16"/>
              </w:rPr>
            </w:pPr>
            <w:r>
              <w:rPr>
                <w:rFonts w:eastAsia="Times New Roman" w:cs="Arial"/>
                <w:b/>
                <w:sz w:val="20"/>
                <w:szCs w:val="16"/>
              </w:rPr>
              <w:t>Measure Offering ID</w:t>
            </w:r>
          </w:p>
        </w:tc>
        <w:tc>
          <w:tcPr>
            <w:tcW w:w="2160" w:type="dxa"/>
            <w:shd w:val="clear" w:color="auto" w:fill="F2F2F2" w:themeFill="background1" w:themeFillShade="F2"/>
            <w:vAlign w:val="bottom"/>
          </w:tcPr>
          <w:p w14:paraId="36C9B9D8" w14:textId="005FE0C1" w:rsidR="0065492E" w:rsidRPr="00025DB2" w:rsidRDefault="0065492E" w:rsidP="00025DB2">
            <w:pPr>
              <w:spacing w:before="0" w:after="0" w:line="240" w:lineRule="auto"/>
              <w:jc w:val="center"/>
              <w:rPr>
                <w:rFonts w:eastAsia="Times New Roman" w:cs="Arial"/>
                <w:b/>
                <w:sz w:val="20"/>
                <w:szCs w:val="16"/>
              </w:rPr>
            </w:pPr>
            <w:r w:rsidRPr="00025DB2">
              <w:rPr>
                <w:rFonts w:eastAsia="Times New Roman" w:cs="Arial"/>
                <w:b/>
                <w:sz w:val="20"/>
                <w:szCs w:val="16"/>
              </w:rPr>
              <w:t xml:space="preserve">Efficiency </w:t>
            </w:r>
            <w:r>
              <w:rPr>
                <w:rFonts w:eastAsia="Times New Roman" w:cs="Arial"/>
                <w:b/>
                <w:sz w:val="20"/>
                <w:szCs w:val="16"/>
              </w:rPr>
              <w:br/>
            </w:r>
            <w:r w:rsidRPr="00025DB2">
              <w:rPr>
                <w:rFonts w:eastAsia="Times New Roman" w:cs="Arial"/>
                <w:b/>
                <w:sz w:val="20"/>
                <w:szCs w:val="16"/>
              </w:rPr>
              <w:t>(AFUE)</w:t>
            </w:r>
          </w:p>
        </w:tc>
        <w:tc>
          <w:tcPr>
            <w:tcW w:w="2160" w:type="dxa"/>
            <w:shd w:val="clear" w:color="auto" w:fill="F2F2F2" w:themeFill="background1" w:themeFillShade="F2"/>
            <w:vAlign w:val="bottom"/>
          </w:tcPr>
          <w:p w14:paraId="73EB5720" w14:textId="0732682B" w:rsidR="0065492E" w:rsidRPr="00025DB2" w:rsidRDefault="0065492E" w:rsidP="00025DB2">
            <w:pPr>
              <w:spacing w:before="0" w:after="0" w:line="240" w:lineRule="auto"/>
              <w:jc w:val="center"/>
              <w:rPr>
                <w:rFonts w:eastAsia="Times New Roman" w:cs="Arial"/>
                <w:b/>
                <w:sz w:val="20"/>
                <w:szCs w:val="16"/>
              </w:rPr>
            </w:pPr>
            <w:r w:rsidRPr="00025DB2">
              <w:rPr>
                <w:rFonts w:eastAsia="Times New Roman" w:cs="Arial"/>
                <w:b/>
                <w:sz w:val="20"/>
                <w:szCs w:val="16"/>
              </w:rPr>
              <w:t xml:space="preserve">Input </w:t>
            </w:r>
            <w:r w:rsidR="00F44FBB" w:rsidRPr="00025DB2">
              <w:rPr>
                <w:rFonts w:eastAsia="Times New Roman" w:cs="Arial"/>
                <w:b/>
                <w:sz w:val="20"/>
                <w:szCs w:val="16"/>
              </w:rPr>
              <w:t>Capacity</w:t>
            </w:r>
            <w:r w:rsidRPr="00025DB2">
              <w:rPr>
                <w:rFonts w:eastAsia="Times New Roman" w:cs="Arial"/>
                <w:b/>
                <w:sz w:val="20"/>
                <w:szCs w:val="16"/>
              </w:rPr>
              <w:t xml:space="preserve"> </w:t>
            </w:r>
            <w:r>
              <w:rPr>
                <w:rFonts w:eastAsia="Times New Roman" w:cs="Arial"/>
                <w:b/>
                <w:sz w:val="20"/>
                <w:szCs w:val="16"/>
              </w:rPr>
              <w:br/>
            </w:r>
            <w:r w:rsidRPr="00025DB2">
              <w:rPr>
                <w:rFonts w:eastAsia="Times New Roman" w:cs="Arial"/>
                <w:b/>
                <w:sz w:val="20"/>
                <w:szCs w:val="16"/>
              </w:rPr>
              <w:t>(Btu/</w:t>
            </w:r>
            <w:proofErr w:type="spellStart"/>
            <w:r w:rsidRPr="00025DB2">
              <w:rPr>
                <w:rFonts w:eastAsia="Times New Roman" w:cs="Arial"/>
                <w:b/>
                <w:sz w:val="20"/>
                <w:szCs w:val="16"/>
              </w:rPr>
              <w:t>hr</w:t>
            </w:r>
            <w:proofErr w:type="spellEnd"/>
            <w:r w:rsidRPr="00025DB2">
              <w:rPr>
                <w:rFonts w:eastAsia="Times New Roman" w:cs="Arial"/>
                <w:b/>
                <w:sz w:val="20"/>
                <w:szCs w:val="16"/>
              </w:rPr>
              <w:t>)</w:t>
            </w:r>
          </w:p>
        </w:tc>
      </w:tr>
      <w:tr w:rsidR="00110CE3" w:rsidRPr="00025DB2" w14:paraId="376924DB" w14:textId="77777777" w:rsidTr="00CC177A">
        <w:tc>
          <w:tcPr>
            <w:tcW w:w="2160" w:type="dxa"/>
            <w:vMerge w:val="restart"/>
          </w:tcPr>
          <w:p w14:paraId="75E55D9F" w14:textId="77777777" w:rsidR="00110CE3" w:rsidRDefault="00110CE3" w:rsidP="00025DB2">
            <w:pPr>
              <w:spacing w:before="0" w:after="0" w:line="240" w:lineRule="auto"/>
              <w:rPr>
                <w:rFonts w:eastAsia="Times New Roman" w:cs="Arial"/>
                <w:sz w:val="20"/>
                <w:szCs w:val="16"/>
              </w:rPr>
            </w:pPr>
          </w:p>
          <w:p w14:paraId="4D94E128" w14:textId="6081FD75" w:rsidR="00110CE3" w:rsidRPr="00025DB2" w:rsidRDefault="00110CE3" w:rsidP="00025DB2">
            <w:pPr>
              <w:spacing w:before="0" w:after="0" w:line="240" w:lineRule="auto"/>
              <w:rPr>
                <w:rFonts w:eastAsia="Times New Roman" w:cs="Arial"/>
                <w:sz w:val="20"/>
                <w:szCs w:val="16"/>
              </w:rPr>
            </w:pPr>
            <w:r>
              <w:rPr>
                <w:rFonts w:eastAsia="Times New Roman" w:cs="Arial"/>
                <w:sz w:val="20"/>
                <w:szCs w:val="16"/>
              </w:rPr>
              <w:t>Residential</w:t>
            </w:r>
            <w:r w:rsidRPr="00025DB2">
              <w:rPr>
                <w:rFonts w:eastAsia="Times New Roman" w:cs="Arial"/>
                <w:sz w:val="20"/>
                <w:szCs w:val="16"/>
              </w:rPr>
              <w:t xml:space="preserve"> </w:t>
            </w:r>
            <w:r>
              <w:rPr>
                <w:rFonts w:eastAsia="Times New Roman" w:cs="Arial"/>
                <w:sz w:val="20"/>
                <w:szCs w:val="16"/>
              </w:rPr>
              <w:t>(Gravity)</w:t>
            </w:r>
          </w:p>
        </w:tc>
        <w:tc>
          <w:tcPr>
            <w:tcW w:w="2160" w:type="dxa"/>
          </w:tcPr>
          <w:p w14:paraId="3E081847" w14:textId="25CAF310" w:rsidR="00110CE3" w:rsidRPr="00025DB2" w:rsidRDefault="00110CE3" w:rsidP="00945D21">
            <w:pPr>
              <w:spacing w:before="0" w:after="0" w:line="240" w:lineRule="auto"/>
              <w:jc w:val="center"/>
              <w:rPr>
                <w:rFonts w:eastAsia="Times New Roman" w:cs="Arial"/>
                <w:sz w:val="20"/>
                <w:szCs w:val="16"/>
              </w:rPr>
            </w:pPr>
            <w:r>
              <w:rPr>
                <w:rFonts w:eastAsia="Times New Roman" w:cs="Arial"/>
                <w:sz w:val="20"/>
                <w:szCs w:val="16"/>
              </w:rPr>
              <w:t>A</w:t>
            </w:r>
          </w:p>
        </w:tc>
        <w:tc>
          <w:tcPr>
            <w:tcW w:w="2160" w:type="dxa"/>
            <w:vMerge w:val="restart"/>
          </w:tcPr>
          <w:p w14:paraId="12848B89" w14:textId="0896DDCF" w:rsidR="00110CE3" w:rsidRDefault="00110CE3" w:rsidP="001C1D0E">
            <w:pPr>
              <w:spacing w:before="0" w:after="0" w:line="240" w:lineRule="auto"/>
              <w:rPr>
                <w:rFonts w:eastAsia="Times New Roman" w:cs="Arial"/>
                <w:sz w:val="20"/>
                <w:szCs w:val="16"/>
              </w:rPr>
            </w:pPr>
          </w:p>
          <w:p w14:paraId="638E930C" w14:textId="01E9B681" w:rsidR="006961BD" w:rsidRPr="00025DB2" w:rsidRDefault="006961BD" w:rsidP="004D2444">
            <w:pPr>
              <w:spacing w:before="0" w:after="0" w:line="240" w:lineRule="auto"/>
              <w:jc w:val="center"/>
              <w:rPr>
                <w:rFonts w:eastAsia="Times New Roman" w:cs="Arial"/>
                <w:sz w:val="20"/>
                <w:szCs w:val="16"/>
              </w:rPr>
            </w:pPr>
            <w:r w:rsidRPr="00025DB2">
              <w:rPr>
                <w:rFonts w:eastAsia="Times New Roman" w:cs="Arial"/>
                <w:sz w:val="20"/>
                <w:szCs w:val="16"/>
              </w:rPr>
              <w:t>70% AFUE</w:t>
            </w:r>
          </w:p>
        </w:tc>
        <w:tc>
          <w:tcPr>
            <w:tcW w:w="2160" w:type="dxa"/>
          </w:tcPr>
          <w:p w14:paraId="6FAC1331" w14:textId="49655510" w:rsidR="00110CE3" w:rsidRPr="00025DB2" w:rsidRDefault="00082BBD">
            <w:pPr>
              <w:spacing w:before="0" w:after="0" w:line="240" w:lineRule="auto"/>
              <w:jc w:val="center"/>
              <w:rPr>
                <w:rFonts w:eastAsia="Times New Roman" w:cs="Arial"/>
                <w:sz w:val="20"/>
                <w:szCs w:val="16"/>
              </w:rPr>
            </w:pPr>
            <w:r>
              <w:rPr>
                <w:rFonts w:eastAsia="Times New Roman" w:cs="Arial"/>
                <w:sz w:val="20"/>
                <w:szCs w:val="16"/>
              </w:rPr>
              <w:t>25,000</w:t>
            </w:r>
          </w:p>
        </w:tc>
      </w:tr>
      <w:tr w:rsidR="00110CE3" w:rsidRPr="00025DB2" w14:paraId="7721077D" w14:textId="77777777" w:rsidTr="00CC177A">
        <w:tc>
          <w:tcPr>
            <w:tcW w:w="2160" w:type="dxa"/>
            <w:vMerge/>
          </w:tcPr>
          <w:p w14:paraId="460AC41C" w14:textId="77777777" w:rsidR="00110CE3" w:rsidRDefault="00110CE3" w:rsidP="00025DB2">
            <w:pPr>
              <w:spacing w:before="0" w:after="0" w:line="240" w:lineRule="auto"/>
              <w:rPr>
                <w:rFonts w:eastAsia="Times New Roman" w:cs="Arial"/>
                <w:sz w:val="20"/>
                <w:szCs w:val="16"/>
              </w:rPr>
            </w:pPr>
          </w:p>
        </w:tc>
        <w:tc>
          <w:tcPr>
            <w:tcW w:w="2160" w:type="dxa"/>
          </w:tcPr>
          <w:p w14:paraId="26123B84" w14:textId="75DB8347" w:rsidR="00110CE3" w:rsidRPr="00025DB2" w:rsidRDefault="00110CE3" w:rsidP="00945D21">
            <w:pPr>
              <w:spacing w:before="0" w:after="0" w:line="240" w:lineRule="auto"/>
              <w:jc w:val="center"/>
              <w:rPr>
                <w:rFonts w:eastAsia="Times New Roman" w:cs="Arial"/>
                <w:sz w:val="20"/>
                <w:szCs w:val="16"/>
              </w:rPr>
            </w:pPr>
            <w:r>
              <w:rPr>
                <w:rFonts w:eastAsia="Times New Roman" w:cs="Arial"/>
                <w:sz w:val="20"/>
                <w:szCs w:val="16"/>
              </w:rPr>
              <w:t>B</w:t>
            </w:r>
          </w:p>
        </w:tc>
        <w:tc>
          <w:tcPr>
            <w:tcW w:w="2160" w:type="dxa"/>
            <w:vMerge/>
          </w:tcPr>
          <w:p w14:paraId="24820C86" w14:textId="77777777" w:rsidR="00110CE3" w:rsidRPr="00025DB2" w:rsidRDefault="00110CE3" w:rsidP="004D2444">
            <w:pPr>
              <w:spacing w:before="0" w:after="0" w:line="240" w:lineRule="auto"/>
              <w:jc w:val="center"/>
              <w:rPr>
                <w:rFonts w:eastAsia="Times New Roman" w:cs="Arial"/>
                <w:sz w:val="20"/>
                <w:szCs w:val="16"/>
              </w:rPr>
            </w:pPr>
          </w:p>
        </w:tc>
        <w:tc>
          <w:tcPr>
            <w:tcW w:w="2160" w:type="dxa"/>
          </w:tcPr>
          <w:p w14:paraId="2C2734CB" w14:textId="0CF32882" w:rsidR="00110CE3" w:rsidRPr="00025DB2" w:rsidRDefault="003A7255">
            <w:pPr>
              <w:spacing w:before="0" w:after="0" w:line="240" w:lineRule="auto"/>
              <w:jc w:val="center"/>
              <w:rPr>
                <w:rFonts w:eastAsia="Times New Roman" w:cs="Arial"/>
                <w:sz w:val="20"/>
                <w:szCs w:val="16"/>
              </w:rPr>
            </w:pPr>
            <w:r>
              <w:rPr>
                <w:rFonts w:eastAsia="Times New Roman" w:cs="Arial"/>
                <w:sz w:val="20"/>
                <w:szCs w:val="16"/>
              </w:rPr>
              <w:t>35,000</w:t>
            </w:r>
          </w:p>
        </w:tc>
      </w:tr>
      <w:tr w:rsidR="002865F0" w:rsidRPr="00025DB2" w14:paraId="7AE4D003" w14:textId="77777777" w:rsidTr="00CC177A">
        <w:tc>
          <w:tcPr>
            <w:tcW w:w="2160" w:type="dxa"/>
            <w:vMerge/>
          </w:tcPr>
          <w:p w14:paraId="37FB291C" w14:textId="77777777" w:rsidR="002865F0" w:rsidRDefault="002865F0" w:rsidP="002865F0">
            <w:pPr>
              <w:spacing w:before="0" w:after="0" w:line="240" w:lineRule="auto"/>
              <w:rPr>
                <w:rFonts w:eastAsia="Times New Roman" w:cs="Arial"/>
                <w:sz w:val="20"/>
                <w:szCs w:val="16"/>
              </w:rPr>
            </w:pPr>
          </w:p>
        </w:tc>
        <w:tc>
          <w:tcPr>
            <w:tcW w:w="2160" w:type="dxa"/>
          </w:tcPr>
          <w:p w14:paraId="3964D61D" w14:textId="01482C2A" w:rsidR="002865F0" w:rsidRPr="00025DB2" w:rsidRDefault="002865F0" w:rsidP="002865F0">
            <w:pPr>
              <w:spacing w:before="0" w:after="0" w:line="240" w:lineRule="auto"/>
              <w:jc w:val="center"/>
              <w:rPr>
                <w:rFonts w:eastAsia="Times New Roman" w:cs="Arial"/>
                <w:sz w:val="20"/>
                <w:szCs w:val="16"/>
              </w:rPr>
            </w:pPr>
            <w:r>
              <w:rPr>
                <w:rFonts w:eastAsia="Times New Roman" w:cs="Arial"/>
                <w:sz w:val="20"/>
                <w:szCs w:val="16"/>
              </w:rPr>
              <w:t>C</w:t>
            </w:r>
          </w:p>
        </w:tc>
        <w:tc>
          <w:tcPr>
            <w:tcW w:w="2160" w:type="dxa"/>
            <w:vMerge/>
          </w:tcPr>
          <w:p w14:paraId="6C76E030" w14:textId="77777777" w:rsidR="002865F0" w:rsidRPr="00025DB2" w:rsidRDefault="002865F0" w:rsidP="002865F0">
            <w:pPr>
              <w:spacing w:before="0" w:after="0" w:line="240" w:lineRule="auto"/>
              <w:jc w:val="center"/>
              <w:rPr>
                <w:rFonts w:eastAsia="Times New Roman" w:cs="Arial"/>
                <w:sz w:val="20"/>
                <w:szCs w:val="16"/>
              </w:rPr>
            </w:pPr>
          </w:p>
        </w:tc>
        <w:tc>
          <w:tcPr>
            <w:tcW w:w="2160" w:type="dxa"/>
          </w:tcPr>
          <w:p w14:paraId="2783807C" w14:textId="3175FEEA" w:rsidR="002865F0" w:rsidRPr="00025DB2" w:rsidRDefault="003A7255" w:rsidP="002865F0">
            <w:pPr>
              <w:spacing w:before="0" w:after="0" w:line="240" w:lineRule="auto"/>
              <w:jc w:val="center"/>
              <w:rPr>
                <w:rFonts w:eastAsia="Times New Roman" w:cs="Arial"/>
                <w:sz w:val="20"/>
                <w:szCs w:val="16"/>
              </w:rPr>
            </w:pPr>
            <w:r>
              <w:rPr>
                <w:rFonts w:eastAsia="Times New Roman" w:cs="Arial"/>
                <w:sz w:val="20"/>
                <w:szCs w:val="16"/>
              </w:rPr>
              <w:t>50,000</w:t>
            </w:r>
          </w:p>
        </w:tc>
      </w:tr>
      <w:tr w:rsidR="002865F0" w:rsidRPr="00025DB2" w14:paraId="5CCD3B72" w14:textId="77777777" w:rsidTr="00CC177A">
        <w:tc>
          <w:tcPr>
            <w:tcW w:w="2160" w:type="dxa"/>
          </w:tcPr>
          <w:p w14:paraId="78036CEB" w14:textId="0B75552F" w:rsidR="002865F0" w:rsidRPr="00025DB2" w:rsidRDefault="002865F0" w:rsidP="002865F0">
            <w:pPr>
              <w:spacing w:before="0" w:after="0" w:line="240" w:lineRule="auto"/>
              <w:rPr>
                <w:rFonts w:eastAsia="Times New Roman" w:cs="Arial"/>
                <w:sz w:val="20"/>
                <w:szCs w:val="16"/>
              </w:rPr>
            </w:pPr>
            <w:r>
              <w:rPr>
                <w:rFonts w:eastAsia="Times New Roman" w:cs="Arial"/>
                <w:sz w:val="20"/>
                <w:szCs w:val="16"/>
              </w:rPr>
              <w:t>Residential</w:t>
            </w:r>
            <w:r w:rsidRPr="00025DB2">
              <w:rPr>
                <w:rFonts w:eastAsia="Times New Roman" w:cs="Arial"/>
                <w:sz w:val="20"/>
                <w:szCs w:val="16"/>
              </w:rPr>
              <w:t xml:space="preserve"> </w:t>
            </w:r>
            <w:r>
              <w:rPr>
                <w:rFonts w:eastAsia="Times New Roman" w:cs="Arial"/>
                <w:sz w:val="20"/>
                <w:szCs w:val="16"/>
              </w:rPr>
              <w:t>(Fan Type)</w:t>
            </w:r>
          </w:p>
        </w:tc>
        <w:tc>
          <w:tcPr>
            <w:tcW w:w="2160" w:type="dxa"/>
          </w:tcPr>
          <w:p w14:paraId="61D88ABB" w14:textId="48D2F3FD" w:rsidR="002865F0" w:rsidRDefault="002865F0" w:rsidP="002865F0">
            <w:pPr>
              <w:spacing w:before="0" w:after="0" w:line="240" w:lineRule="auto"/>
              <w:jc w:val="center"/>
              <w:rPr>
                <w:rFonts w:eastAsia="Times New Roman" w:cs="Arial"/>
                <w:sz w:val="20"/>
                <w:szCs w:val="16"/>
              </w:rPr>
            </w:pPr>
            <w:r>
              <w:rPr>
                <w:rFonts w:eastAsia="Times New Roman" w:cs="Arial"/>
                <w:sz w:val="20"/>
                <w:szCs w:val="16"/>
              </w:rPr>
              <w:t>D</w:t>
            </w:r>
          </w:p>
        </w:tc>
        <w:tc>
          <w:tcPr>
            <w:tcW w:w="2160" w:type="dxa"/>
          </w:tcPr>
          <w:p w14:paraId="36767AEB" w14:textId="0102C1FC" w:rsidR="002865F0" w:rsidRPr="00025DB2" w:rsidRDefault="002865F0" w:rsidP="002865F0">
            <w:pPr>
              <w:spacing w:before="0" w:after="0" w:line="240" w:lineRule="auto"/>
              <w:jc w:val="center"/>
              <w:rPr>
                <w:rFonts w:eastAsia="Times New Roman" w:cs="Arial"/>
                <w:sz w:val="20"/>
                <w:szCs w:val="16"/>
              </w:rPr>
            </w:pPr>
            <w:r>
              <w:rPr>
                <w:rFonts w:eastAsia="Times New Roman" w:cs="Arial"/>
                <w:sz w:val="20"/>
                <w:szCs w:val="16"/>
              </w:rPr>
              <w:t>82</w:t>
            </w:r>
            <w:r w:rsidRPr="00025DB2">
              <w:rPr>
                <w:rFonts w:eastAsia="Times New Roman" w:cs="Arial"/>
                <w:sz w:val="20"/>
                <w:szCs w:val="16"/>
              </w:rPr>
              <w:t>% AFUE</w:t>
            </w:r>
          </w:p>
        </w:tc>
        <w:tc>
          <w:tcPr>
            <w:tcW w:w="2160" w:type="dxa"/>
          </w:tcPr>
          <w:p w14:paraId="7A565379" w14:textId="59E08BD4" w:rsidR="002865F0" w:rsidRPr="00025DB2" w:rsidRDefault="003A7255" w:rsidP="001C1D0E">
            <w:pPr>
              <w:spacing w:before="0" w:after="0" w:line="240" w:lineRule="auto"/>
              <w:jc w:val="center"/>
              <w:rPr>
                <w:rFonts w:eastAsia="Times New Roman" w:cs="Arial"/>
                <w:sz w:val="20"/>
                <w:szCs w:val="16"/>
              </w:rPr>
            </w:pPr>
            <w:r>
              <w:rPr>
                <w:rFonts w:eastAsia="Times New Roman" w:cs="Arial"/>
                <w:sz w:val="20"/>
                <w:szCs w:val="16"/>
              </w:rPr>
              <w:t>30,000</w:t>
            </w:r>
          </w:p>
        </w:tc>
      </w:tr>
    </w:tbl>
    <w:p w14:paraId="4D133E33" w14:textId="77777777" w:rsidR="00025DB2" w:rsidRPr="002914D8" w:rsidRDefault="00025DB2" w:rsidP="00DE339F"/>
    <w:p w14:paraId="54FD79D6" w14:textId="77777777" w:rsidR="00E70CBD" w:rsidRPr="002914D8" w:rsidRDefault="00E70CBD" w:rsidP="00462BB6">
      <w:pPr>
        <w:pStyle w:val="eTRMHeading3"/>
      </w:pPr>
      <w:bookmarkStart w:id="12" w:name="_Toc486490849"/>
      <w:bookmarkStart w:id="13" w:name="_Toc486580920"/>
      <w:bookmarkStart w:id="14" w:name="_Toc7184822"/>
      <w:r w:rsidRPr="002914D8">
        <w:t>Base Case Description</w:t>
      </w:r>
      <w:bookmarkEnd w:id="12"/>
      <w:bookmarkEnd w:id="13"/>
      <w:bookmarkEnd w:id="14"/>
      <w:r w:rsidRPr="002914D8">
        <w:t xml:space="preserve"> </w:t>
      </w:r>
    </w:p>
    <w:p w14:paraId="6E94FFE4" w14:textId="5A40E614" w:rsidR="009F4CFA" w:rsidRPr="002914D8" w:rsidRDefault="009F4CFA" w:rsidP="00C23C2B">
      <w:r w:rsidRPr="002914D8">
        <w:t xml:space="preserve">The </w:t>
      </w:r>
      <w:r w:rsidR="00E63D87">
        <w:t xml:space="preserve">base case for </w:t>
      </w:r>
      <w:r w:rsidR="00994D94">
        <w:t>g</w:t>
      </w:r>
      <w:r w:rsidR="00E63D87">
        <w:t>ravity wall furnace is</w:t>
      </w:r>
      <w:r w:rsidR="00994D94">
        <w:t xml:space="preserve"> a</w:t>
      </w:r>
      <w:r w:rsidR="00E63D87">
        <w:t xml:space="preserve"> gravity wall furnace</w:t>
      </w:r>
      <w:r w:rsidR="00D55853">
        <w:t>. The</w:t>
      </w:r>
      <w:r w:rsidRPr="002914D8">
        <w:t xml:space="preserve"> efficiencies </w:t>
      </w:r>
      <w:r w:rsidR="00A671DC">
        <w:t xml:space="preserve">for the impact analysis </w:t>
      </w:r>
      <w:r w:rsidRPr="002914D8">
        <w:t xml:space="preserve">were </w:t>
      </w:r>
      <w:r w:rsidR="00A671DC">
        <w:t>derived</w:t>
      </w:r>
      <w:r w:rsidRPr="002914D8">
        <w:t xml:space="preserve"> </w:t>
      </w:r>
      <w:r w:rsidR="00B647D9">
        <w:t>as the average</w:t>
      </w:r>
      <w:r w:rsidRPr="002914D8">
        <w:t xml:space="preserve"> AFUE of </w:t>
      </w:r>
      <w:r w:rsidR="00A671DC">
        <w:t>gravity wall furnaces</w:t>
      </w:r>
      <w:r w:rsidR="00421173">
        <w:t xml:space="preserve"> </w:t>
      </w:r>
      <w:r w:rsidRPr="002914D8">
        <w:t>available in the market</w:t>
      </w:r>
      <w:r w:rsidR="00A671DC">
        <w:t xml:space="preserve"> (from three equipment manufacturers)</w:t>
      </w:r>
      <w:r w:rsidRPr="002914D8">
        <w:t xml:space="preserve"> for each </w:t>
      </w:r>
      <w:r w:rsidR="00A671DC">
        <w:t>capacity category,</w:t>
      </w:r>
      <w:r w:rsidRPr="002914D8">
        <w:t xml:space="preserve"> as shown below.</w:t>
      </w:r>
      <w:r w:rsidR="00994D94">
        <w:t xml:space="preserve"> </w:t>
      </w:r>
      <w:r w:rsidR="008811F3">
        <w:t>The base case for fan type wall furnace is fan type wall furnace. The</w:t>
      </w:r>
      <w:r w:rsidR="008811F3" w:rsidRPr="002914D8">
        <w:t xml:space="preserve"> efficiencies </w:t>
      </w:r>
      <w:r w:rsidR="008811F3">
        <w:t xml:space="preserve">for the impact analysis </w:t>
      </w:r>
      <w:r w:rsidR="008811F3" w:rsidRPr="002914D8">
        <w:t xml:space="preserve">were </w:t>
      </w:r>
      <w:r w:rsidR="008811F3">
        <w:t>derived</w:t>
      </w:r>
      <w:r w:rsidR="008811F3" w:rsidRPr="002914D8">
        <w:t xml:space="preserve"> </w:t>
      </w:r>
      <w:r w:rsidR="008811F3">
        <w:t>as the average</w:t>
      </w:r>
      <w:r w:rsidR="008811F3" w:rsidRPr="002914D8">
        <w:t xml:space="preserve"> AFUE of </w:t>
      </w:r>
      <w:r w:rsidR="008811F3">
        <w:t xml:space="preserve">fan type wall furnaces </w:t>
      </w:r>
      <w:r w:rsidR="008811F3" w:rsidRPr="002914D8">
        <w:t>available in the market</w:t>
      </w:r>
      <w:r w:rsidR="008811F3">
        <w:t xml:space="preserve"> (from three equipment manufacturers)</w:t>
      </w:r>
      <w:r w:rsidR="008811F3" w:rsidRPr="002914D8">
        <w:t xml:space="preserve"> for each </w:t>
      </w:r>
      <w:r w:rsidR="008811F3">
        <w:t>capacity category,</w:t>
      </w:r>
      <w:r w:rsidR="008811F3" w:rsidRPr="002914D8">
        <w:t xml:space="preserve"> as shown below.</w:t>
      </w:r>
      <w:r w:rsidR="00994D94">
        <w:t xml:space="preserve"> </w:t>
      </w:r>
      <w:r w:rsidR="00A671DC">
        <w:t>See Code Requirements for minimum efficiency requirements.</w:t>
      </w:r>
      <w:r w:rsidR="00B63315" w:rsidRPr="00B63315">
        <w:t xml:space="preserve"> </w:t>
      </w:r>
      <w:r w:rsidR="00045B8D">
        <w:t>T</w:t>
      </w:r>
      <w:r w:rsidR="00B63315" w:rsidRPr="002914D8">
        <w:t xml:space="preserve">he </w:t>
      </w:r>
      <w:r w:rsidR="00B63315">
        <w:t>average AFUE is</w:t>
      </w:r>
      <w:r w:rsidR="00B63315" w:rsidRPr="002914D8">
        <w:t xml:space="preserve"> </w:t>
      </w:r>
      <w:r w:rsidR="00045B8D">
        <w:t>not</w:t>
      </w:r>
      <w:r w:rsidR="00B63315" w:rsidRPr="002914D8">
        <w:t xml:space="preserve"> higher than the minimum </w:t>
      </w:r>
      <w:r w:rsidR="00B63315">
        <w:t>efficiency</w:t>
      </w:r>
      <w:r w:rsidR="00B63315" w:rsidRPr="002914D8">
        <w:t xml:space="preserve"> required by Title 20</w:t>
      </w:r>
      <w:r w:rsidR="00D57C00">
        <w:t xml:space="preserve"> for gravity</w:t>
      </w:r>
      <w:r w:rsidR="008811F3">
        <w:t xml:space="preserve"> and slightly higher than the minimum efficiency</w:t>
      </w:r>
      <w:r w:rsidR="008811F3" w:rsidRPr="002914D8">
        <w:t xml:space="preserve"> required by Title 20</w:t>
      </w:r>
      <w:r w:rsidR="008811F3">
        <w:t xml:space="preserve"> for large fan type wall furnaces</w:t>
      </w:r>
      <w:r w:rsidR="008811F3" w:rsidRPr="002914D8">
        <w:t>.</w:t>
      </w:r>
    </w:p>
    <w:p w14:paraId="6529B860" w14:textId="6C4FB9AB" w:rsidR="009F4CFA" w:rsidRPr="002914D8" w:rsidRDefault="00A671DC" w:rsidP="00C23C2B">
      <w:pPr>
        <w:pStyle w:val="Caption"/>
      </w:pPr>
      <w:bookmarkStart w:id="15" w:name="_Ref323821478"/>
      <w:bookmarkStart w:id="16" w:name="_Toc325381939"/>
      <w:r>
        <w:t xml:space="preserve">Gravity Top Vent Wall Furnace </w:t>
      </w:r>
      <w:r w:rsidR="009F4CFA" w:rsidRPr="002914D8">
        <w:t>Baseline AFUE</w:t>
      </w:r>
      <w:bookmarkEnd w:id="15"/>
      <w:bookmarkEnd w:id="16"/>
      <w:r>
        <w:t xml:space="preserve"> Determination</w:t>
      </w:r>
      <w:r w:rsidR="00987208">
        <w:rPr>
          <w:rStyle w:val="FootnoteReference"/>
        </w:rPr>
        <w:footnoteReference w:id="1"/>
      </w:r>
    </w:p>
    <w:tbl>
      <w:tblPr>
        <w:tblW w:w="71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99" w:type="dxa"/>
          <w:right w:w="99" w:type="dxa"/>
        </w:tblCellMar>
        <w:tblLook w:val="0000" w:firstRow="0" w:lastRow="0" w:firstColumn="0" w:lastColumn="0" w:noHBand="0" w:noVBand="0"/>
      </w:tblPr>
      <w:tblGrid>
        <w:gridCol w:w="2110"/>
        <w:gridCol w:w="1049"/>
        <w:gridCol w:w="1049"/>
        <w:gridCol w:w="1496"/>
        <w:gridCol w:w="1401"/>
      </w:tblGrid>
      <w:tr w:rsidR="0061166A" w:rsidRPr="00C23C2B" w14:paraId="36AEEB11" w14:textId="77777777" w:rsidTr="005622AF">
        <w:trPr>
          <w:cantSplit/>
          <w:trHeight w:val="20"/>
          <w:tblHeader/>
        </w:trPr>
        <w:tc>
          <w:tcPr>
            <w:tcW w:w="2110" w:type="dxa"/>
            <w:shd w:val="clear" w:color="auto" w:fill="F2F2F2" w:themeFill="background1" w:themeFillShade="F2"/>
            <w:vAlign w:val="bottom"/>
          </w:tcPr>
          <w:p w14:paraId="0C93201B" w14:textId="2F230257" w:rsidR="0061166A" w:rsidRPr="00A671DC" w:rsidRDefault="0061166A" w:rsidP="0061166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OEM Trade Name</w:t>
            </w:r>
          </w:p>
        </w:tc>
        <w:tc>
          <w:tcPr>
            <w:tcW w:w="1049" w:type="dxa"/>
            <w:shd w:val="clear" w:color="auto" w:fill="F2F2F2" w:themeFill="background1" w:themeFillShade="F2"/>
            <w:vAlign w:val="bottom"/>
          </w:tcPr>
          <w:p w14:paraId="1E1AB5BF" w14:textId="1D667540" w:rsidR="0061166A" w:rsidRPr="00A671DC" w:rsidRDefault="0061166A" w:rsidP="0061166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Input Capacity (Btu/</w:t>
            </w:r>
            <w:proofErr w:type="spellStart"/>
            <w:r w:rsidRPr="00A671DC">
              <w:rPr>
                <w:rFonts w:eastAsia="Gulim" w:cs="Calibri Light"/>
                <w:b/>
                <w:color w:val="000000"/>
                <w:sz w:val="20"/>
                <w:szCs w:val="20"/>
                <w:lang w:eastAsia="ko-KR"/>
              </w:rPr>
              <w:t>hr</w:t>
            </w:r>
            <w:proofErr w:type="spellEnd"/>
            <w:r w:rsidRPr="00A671DC">
              <w:rPr>
                <w:rFonts w:eastAsia="Gulim" w:cs="Calibri Light"/>
                <w:b/>
                <w:color w:val="000000"/>
                <w:sz w:val="20"/>
                <w:szCs w:val="20"/>
                <w:lang w:eastAsia="ko-KR"/>
              </w:rPr>
              <w:t>)</w:t>
            </w:r>
          </w:p>
        </w:tc>
        <w:tc>
          <w:tcPr>
            <w:tcW w:w="1049" w:type="dxa"/>
            <w:shd w:val="clear" w:color="auto" w:fill="F2F2F2" w:themeFill="background1" w:themeFillShade="F2"/>
            <w:vAlign w:val="bottom"/>
          </w:tcPr>
          <w:p w14:paraId="1048B880" w14:textId="100F462D" w:rsidR="0061166A" w:rsidRPr="00A671DC" w:rsidRDefault="0061166A" w:rsidP="0061166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Min</w:t>
            </w:r>
            <w:r w:rsidR="00BC7C7E">
              <w:rPr>
                <w:rFonts w:eastAsia="Gulim" w:cs="Calibri Light"/>
                <w:b/>
                <w:color w:val="000000"/>
                <w:sz w:val="20"/>
                <w:szCs w:val="20"/>
                <w:lang w:eastAsia="ko-KR"/>
              </w:rPr>
              <w:t>.</w:t>
            </w:r>
            <w:r w:rsidRPr="00A671DC">
              <w:rPr>
                <w:rFonts w:eastAsia="Gulim" w:cs="Calibri Light"/>
                <w:b/>
                <w:color w:val="000000"/>
                <w:sz w:val="20"/>
                <w:szCs w:val="20"/>
                <w:lang w:eastAsia="ko-KR"/>
              </w:rPr>
              <w:t xml:space="preserve"> AFUE </w:t>
            </w:r>
            <w:r w:rsidR="00BC7C7E">
              <w:rPr>
                <w:rFonts w:eastAsia="Gulim" w:cs="Calibri Light"/>
                <w:b/>
                <w:color w:val="000000"/>
                <w:sz w:val="20"/>
                <w:szCs w:val="20"/>
                <w:lang w:eastAsia="ko-KR"/>
              </w:rPr>
              <w:t>(Title 20)</w:t>
            </w:r>
          </w:p>
        </w:tc>
        <w:tc>
          <w:tcPr>
            <w:tcW w:w="1496" w:type="dxa"/>
            <w:shd w:val="clear" w:color="auto" w:fill="F2F2F2" w:themeFill="background1" w:themeFillShade="F2"/>
            <w:vAlign w:val="bottom"/>
          </w:tcPr>
          <w:p w14:paraId="24A7D2BF" w14:textId="791F3781" w:rsidR="0061166A" w:rsidRPr="00A671DC" w:rsidRDefault="005173F0" w:rsidP="0061166A">
            <w:pPr>
              <w:spacing w:before="0" w:after="0" w:line="240" w:lineRule="auto"/>
              <w:jc w:val="center"/>
              <w:rPr>
                <w:rFonts w:eastAsia="Gulim" w:cs="Calibri Light"/>
                <w:b/>
                <w:bCs/>
                <w:color w:val="000000"/>
                <w:sz w:val="20"/>
                <w:szCs w:val="20"/>
                <w:lang w:eastAsia="ko-KR"/>
              </w:rPr>
            </w:pPr>
            <w:r>
              <w:rPr>
                <w:rFonts w:eastAsia="Gulim" w:cs="Calibri Light"/>
                <w:b/>
                <w:color w:val="000000"/>
                <w:sz w:val="20"/>
                <w:szCs w:val="20"/>
                <w:lang w:eastAsia="ko-KR"/>
              </w:rPr>
              <w:t xml:space="preserve">Actual </w:t>
            </w:r>
            <w:r w:rsidR="0061166A" w:rsidRPr="00A671DC">
              <w:rPr>
                <w:rFonts w:eastAsia="Gulim" w:cs="Calibri Light"/>
                <w:b/>
                <w:color w:val="000000"/>
                <w:sz w:val="20"/>
                <w:szCs w:val="20"/>
                <w:lang w:eastAsia="ko-KR"/>
              </w:rPr>
              <w:t>AFUE</w:t>
            </w:r>
          </w:p>
        </w:tc>
        <w:tc>
          <w:tcPr>
            <w:tcW w:w="1401" w:type="dxa"/>
            <w:shd w:val="clear" w:color="auto" w:fill="F2F2F2" w:themeFill="background1" w:themeFillShade="F2"/>
            <w:vAlign w:val="bottom"/>
          </w:tcPr>
          <w:p w14:paraId="75B833FA" w14:textId="59EFF37F" w:rsidR="0061166A" w:rsidRPr="00A671DC" w:rsidRDefault="0061166A" w:rsidP="0061166A">
            <w:pPr>
              <w:spacing w:before="0" w:after="0" w:line="240" w:lineRule="auto"/>
              <w:jc w:val="center"/>
              <w:rPr>
                <w:rFonts w:eastAsia="Gulim" w:cs="Calibri Light"/>
                <w:b/>
                <w:bCs/>
                <w:color w:val="000000"/>
                <w:sz w:val="20"/>
                <w:szCs w:val="20"/>
                <w:lang w:eastAsia="ko-KR"/>
              </w:rPr>
            </w:pPr>
            <w:r w:rsidRPr="00A671DC">
              <w:rPr>
                <w:rFonts w:eastAsia="Gulim" w:cs="Calibri Light"/>
                <w:b/>
                <w:bCs/>
                <w:color w:val="000000"/>
                <w:sz w:val="20"/>
                <w:szCs w:val="20"/>
                <w:lang w:eastAsia="ko-KR"/>
              </w:rPr>
              <w:t xml:space="preserve">Average </w:t>
            </w:r>
            <w:r w:rsidR="00BC7C7E">
              <w:rPr>
                <w:rFonts w:eastAsia="Gulim" w:cs="Calibri Light"/>
                <w:b/>
                <w:bCs/>
                <w:color w:val="000000"/>
                <w:sz w:val="20"/>
                <w:szCs w:val="20"/>
                <w:lang w:eastAsia="ko-KR"/>
              </w:rPr>
              <w:t xml:space="preserve">Baseline </w:t>
            </w:r>
            <w:r>
              <w:rPr>
                <w:rFonts w:eastAsia="Gulim" w:cs="Calibri Light"/>
                <w:b/>
                <w:bCs/>
                <w:color w:val="000000"/>
                <w:sz w:val="20"/>
                <w:szCs w:val="20"/>
                <w:lang w:eastAsia="ko-KR"/>
              </w:rPr>
              <w:t>AFUE</w:t>
            </w:r>
            <w:r w:rsidRPr="00A671DC">
              <w:rPr>
                <w:rFonts w:eastAsia="Gulim" w:cs="Calibri Light"/>
                <w:b/>
                <w:bCs/>
                <w:color w:val="000000"/>
                <w:sz w:val="20"/>
                <w:szCs w:val="20"/>
                <w:lang w:eastAsia="ko-KR"/>
              </w:rPr>
              <w:t xml:space="preserve"> </w:t>
            </w:r>
            <w:r w:rsidR="00BC7C7E">
              <w:rPr>
                <w:rFonts w:eastAsia="Gulim" w:cs="Calibri Light"/>
                <w:b/>
                <w:bCs/>
                <w:color w:val="000000"/>
                <w:sz w:val="20"/>
                <w:szCs w:val="20"/>
                <w:lang w:eastAsia="ko-KR"/>
              </w:rPr>
              <w:t>of Capacity Range</w:t>
            </w:r>
            <w:r w:rsidR="00953586">
              <w:rPr>
                <w:rFonts w:eastAsia="Gulim" w:cs="Calibri Light"/>
                <w:b/>
                <w:bCs/>
                <w:color w:val="000000"/>
                <w:sz w:val="20"/>
                <w:szCs w:val="20"/>
                <w:lang w:eastAsia="ko-KR"/>
              </w:rPr>
              <w:t xml:space="preserve"> </w:t>
            </w:r>
            <w:r w:rsidR="00953586" w:rsidRPr="00A671DC">
              <w:rPr>
                <w:rFonts w:eastAsia="Gulim" w:cs="Calibri Light"/>
                <w:b/>
                <w:bCs/>
                <w:color w:val="000000"/>
                <w:sz w:val="20"/>
                <w:szCs w:val="20"/>
                <w:lang w:eastAsia="ko-KR"/>
              </w:rPr>
              <w:t>(%)</w:t>
            </w:r>
          </w:p>
        </w:tc>
      </w:tr>
      <w:tr w:rsidR="005173F0" w:rsidRPr="002914D8" w14:paraId="471C756F" w14:textId="77777777" w:rsidTr="00B63315">
        <w:trPr>
          <w:cantSplit/>
          <w:trHeight w:val="20"/>
        </w:trPr>
        <w:tc>
          <w:tcPr>
            <w:tcW w:w="2110" w:type="dxa"/>
            <w:shd w:val="clear" w:color="auto" w:fill="auto"/>
            <w:vAlign w:val="center"/>
          </w:tcPr>
          <w:p w14:paraId="6F7CBEB8" w14:textId="7A9334FF"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r w:rsidR="00987208">
              <w:rPr>
                <w:rFonts w:eastAsia="Gulim" w:cs="Calibri Light"/>
                <w:i/>
                <w:sz w:val="14"/>
                <w:szCs w:val="20"/>
                <w:lang w:eastAsia="ko-KR"/>
              </w:rPr>
              <w:t xml:space="preserve"> </w:t>
            </w:r>
          </w:p>
        </w:tc>
        <w:tc>
          <w:tcPr>
            <w:tcW w:w="1049" w:type="dxa"/>
            <w:vMerge w:val="restart"/>
            <w:vAlign w:val="center"/>
          </w:tcPr>
          <w:p w14:paraId="01E74C19" w14:textId="7EACD8C2"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25</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049" w:type="dxa"/>
            <w:vMerge w:val="restart"/>
            <w:shd w:val="clear" w:color="auto" w:fill="auto"/>
            <w:vAlign w:val="center"/>
          </w:tcPr>
          <w:p w14:paraId="664FF60C" w14:textId="6C66FF27"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65</w:t>
            </w:r>
            <w:r>
              <w:rPr>
                <w:rFonts w:eastAsia="Gulim" w:cs="Calibri Light"/>
                <w:color w:val="000000"/>
                <w:sz w:val="20"/>
                <w:szCs w:val="20"/>
                <w:lang w:eastAsia="ko-KR"/>
              </w:rPr>
              <w:t>%</w:t>
            </w:r>
          </w:p>
        </w:tc>
        <w:tc>
          <w:tcPr>
            <w:tcW w:w="1496" w:type="dxa"/>
            <w:vAlign w:val="center"/>
          </w:tcPr>
          <w:p w14:paraId="7B9FC89C" w14:textId="14A5F870" w:rsidR="002E2F81" w:rsidRPr="001C1D0E" w:rsidRDefault="002E2F81">
            <w:pPr>
              <w:spacing w:before="0" w:after="0" w:line="240" w:lineRule="auto"/>
              <w:ind w:right="-60"/>
              <w:jc w:val="center"/>
              <w:rPr>
                <w:rFonts w:eastAsia="Gulim" w:cs="Calibri Light"/>
                <w:i/>
                <w:szCs w:val="20"/>
                <w:vertAlign w:val="superscript"/>
                <w:lang w:eastAsia="ko-KR"/>
              </w:rPr>
            </w:pPr>
            <w:r>
              <w:rPr>
                <w:rFonts w:eastAsia="Gulim" w:cs="Calibri Light"/>
                <w:color w:val="000000"/>
                <w:sz w:val="20"/>
                <w:szCs w:val="20"/>
                <w:lang w:eastAsia="ko-KR"/>
              </w:rPr>
              <w:t>n/a</w:t>
            </w:r>
          </w:p>
        </w:tc>
        <w:tc>
          <w:tcPr>
            <w:tcW w:w="1401" w:type="dxa"/>
            <w:vMerge w:val="restart"/>
            <w:shd w:val="clear" w:color="auto" w:fill="auto"/>
            <w:noWrap/>
            <w:vAlign w:val="center"/>
          </w:tcPr>
          <w:p w14:paraId="03E6C4E7" w14:textId="3E38AC24" w:rsidR="005173F0" w:rsidRPr="00BC7C7E" w:rsidRDefault="005173F0" w:rsidP="00635177">
            <w:pPr>
              <w:spacing w:before="0" w:after="0" w:line="240" w:lineRule="auto"/>
              <w:ind w:right="303"/>
              <w:jc w:val="right"/>
              <w:rPr>
                <w:rFonts w:eastAsia="Gulim" w:cs="Calibri Light"/>
                <w:sz w:val="16"/>
                <w:szCs w:val="20"/>
                <w:lang w:eastAsia="ko-KR"/>
              </w:rPr>
            </w:pPr>
            <w:r w:rsidRPr="00BC7C7E">
              <w:rPr>
                <w:rFonts w:eastAsia="Gulim" w:cs="Calibri Light"/>
                <w:bCs/>
                <w:sz w:val="20"/>
                <w:szCs w:val="20"/>
                <w:lang w:eastAsia="ko-KR"/>
              </w:rPr>
              <w:t>65</w:t>
            </w:r>
            <w:r w:rsidR="001C2DAD">
              <w:rPr>
                <w:rFonts w:eastAsia="Gulim" w:cs="Calibri Light"/>
                <w:bCs/>
                <w:sz w:val="20"/>
                <w:szCs w:val="20"/>
                <w:lang w:eastAsia="ko-KR"/>
              </w:rPr>
              <w:t>.0</w:t>
            </w:r>
            <w:r w:rsidRPr="00BC7C7E">
              <w:rPr>
                <w:rFonts w:eastAsia="Gulim" w:cs="Calibri Light"/>
                <w:bCs/>
                <w:sz w:val="20"/>
                <w:szCs w:val="20"/>
                <w:lang w:eastAsia="ko-KR"/>
              </w:rPr>
              <w:t>%</w:t>
            </w:r>
          </w:p>
        </w:tc>
      </w:tr>
      <w:tr w:rsidR="005173F0" w:rsidRPr="002914D8" w14:paraId="16C8B836" w14:textId="77777777" w:rsidTr="00B63315">
        <w:trPr>
          <w:cantSplit/>
          <w:trHeight w:val="20"/>
        </w:trPr>
        <w:tc>
          <w:tcPr>
            <w:tcW w:w="2110" w:type="dxa"/>
            <w:shd w:val="clear" w:color="auto" w:fill="auto"/>
            <w:vAlign w:val="center"/>
          </w:tcPr>
          <w:p w14:paraId="29D200E9" w14:textId="3605CFA3"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ign w:val="center"/>
          </w:tcPr>
          <w:p w14:paraId="568AAEF2" w14:textId="7777777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197C880C" w14:textId="215F0D3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1EB85491" w14:textId="1F30B78C" w:rsidR="005173F0" w:rsidRPr="00BC7C7E" w:rsidRDefault="005173F0" w:rsidP="00B63315">
            <w:pPr>
              <w:spacing w:before="0" w:after="0" w:line="240" w:lineRule="auto"/>
              <w:ind w:right="33"/>
              <w:jc w:val="center"/>
              <w:rPr>
                <w:rFonts w:eastAsia="Gulim" w:cs="Calibri Light"/>
                <w:sz w:val="20"/>
                <w:szCs w:val="20"/>
                <w:lang w:eastAsia="ko-KR"/>
              </w:rPr>
            </w:pPr>
            <w:r w:rsidRPr="00BC7C7E">
              <w:rPr>
                <w:rFonts w:eastAsia="Gulim" w:cs="Calibri Light"/>
                <w:color w:val="000000"/>
                <w:sz w:val="20"/>
                <w:szCs w:val="20"/>
                <w:lang w:eastAsia="ko-KR"/>
              </w:rPr>
              <w:t>6</w:t>
            </w:r>
            <w:r w:rsidR="00FF2CEA">
              <w:rPr>
                <w:rFonts w:eastAsia="Gulim" w:cs="Calibri Light"/>
                <w:color w:val="000000"/>
                <w:sz w:val="20"/>
                <w:szCs w:val="20"/>
                <w:lang w:eastAsia="ko-KR"/>
              </w:rPr>
              <w:t>5</w:t>
            </w:r>
            <w:r w:rsidRPr="00BC7C7E">
              <w:rPr>
                <w:rFonts w:eastAsia="Gulim" w:cs="Calibri Light"/>
                <w:color w:val="000000"/>
                <w:sz w:val="20"/>
                <w:szCs w:val="20"/>
                <w:lang w:eastAsia="ko-KR"/>
              </w:rPr>
              <w:t>.0%</w:t>
            </w:r>
          </w:p>
        </w:tc>
        <w:tc>
          <w:tcPr>
            <w:tcW w:w="1401" w:type="dxa"/>
            <w:vMerge/>
            <w:shd w:val="clear" w:color="auto" w:fill="auto"/>
            <w:noWrap/>
            <w:vAlign w:val="center"/>
          </w:tcPr>
          <w:p w14:paraId="058D3F79" w14:textId="7F1E5785" w:rsidR="005173F0" w:rsidRPr="00BC7C7E" w:rsidRDefault="005173F0">
            <w:pPr>
              <w:spacing w:before="0" w:after="0" w:line="240" w:lineRule="auto"/>
              <w:ind w:right="303"/>
              <w:jc w:val="right"/>
              <w:rPr>
                <w:rFonts w:eastAsia="Gulim" w:cs="Calibri Light"/>
                <w:sz w:val="20"/>
                <w:szCs w:val="20"/>
                <w:lang w:eastAsia="ko-KR"/>
              </w:rPr>
            </w:pPr>
          </w:p>
        </w:tc>
      </w:tr>
      <w:tr w:rsidR="005173F0" w:rsidRPr="002914D8" w14:paraId="0713E574" w14:textId="77777777" w:rsidTr="00B63315">
        <w:trPr>
          <w:cantSplit/>
          <w:trHeight w:val="20"/>
        </w:trPr>
        <w:tc>
          <w:tcPr>
            <w:tcW w:w="2110" w:type="dxa"/>
            <w:shd w:val="clear" w:color="auto" w:fill="auto"/>
            <w:vAlign w:val="center"/>
          </w:tcPr>
          <w:p w14:paraId="2D4FAC63" w14:textId="25F377D8"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C</w:t>
            </w:r>
          </w:p>
        </w:tc>
        <w:tc>
          <w:tcPr>
            <w:tcW w:w="1049" w:type="dxa"/>
            <w:vMerge/>
            <w:vAlign w:val="center"/>
          </w:tcPr>
          <w:p w14:paraId="7073A495" w14:textId="7777777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4FB3FA9F" w14:textId="2166666A"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76D40F3D" w14:textId="2AFE40DD" w:rsidR="005173F0" w:rsidRPr="00BC7C7E" w:rsidRDefault="002E2F81" w:rsidP="00B63315">
            <w:pPr>
              <w:spacing w:before="0" w:after="0" w:line="240" w:lineRule="auto"/>
              <w:ind w:right="33"/>
              <w:jc w:val="center"/>
              <w:rPr>
                <w:rFonts w:eastAsia="Gulim" w:cs="Calibri Light"/>
                <w:bCs/>
                <w:sz w:val="20"/>
                <w:szCs w:val="20"/>
                <w:lang w:eastAsia="ko-KR"/>
              </w:rPr>
            </w:pPr>
            <w:r>
              <w:rPr>
                <w:rFonts w:eastAsia="Gulim" w:cs="Calibri Light"/>
                <w:color w:val="000000"/>
                <w:sz w:val="20"/>
                <w:szCs w:val="20"/>
                <w:lang w:eastAsia="ko-KR"/>
              </w:rPr>
              <w:t>n/a</w:t>
            </w:r>
          </w:p>
        </w:tc>
        <w:tc>
          <w:tcPr>
            <w:tcW w:w="1401" w:type="dxa"/>
            <w:vMerge/>
            <w:shd w:val="clear" w:color="auto" w:fill="auto"/>
            <w:noWrap/>
            <w:vAlign w:val="center"/>
          </w:tcPr>
          <w:p w14:paraId="6464B8D6" w14:textId="42091540" w:rsidR="005173F0" w:rsidRPr="00BC7C7E" w:rsidRDefault="005173F0">
            <w:pPr>
              <w:spacing w:before="0" w:after="0" w:line="240" w:lineRule="auto"/>
              <w:ind w:right="303"/>
              <w:jc w:val="right"/>
              <w:rPr>
                <w:rFonts w:eastAsia="Gulim" w:cs="Calibri Light"/>
                <w:bCs/>
                <w:sz w:val="20"/>
                <w:szCs w:val="20"/>
                <w:lang w:eastAsia="ko-KR"/>
              </w:rPr>
            </w:pPr>
          </w:p>
        </w:tc>
      </w:tr>
      <w:tr w:rsidR="005173F0" w:rsidRPr="002914D8" w14:paraId="1D769EAD" w14:textId="77777777" w:rsidTr="00B63315">
        <w:trPr>
          <w:cantSplit/>
          <w:trHeight w:val="20"/>
        </w:trPr>
        <w:tc>
          <w:tcPr>
            <w:tcW w:w="2110" w:type="dxa"/>
            <w:shd w:val="clear" w:color="auto" w:fill="auto"/>
            <w:vAlign w:val="center"/>
          </w:tcPr>
          <w:p w14:paraId="28EC5BA2" w14:textId="01802A6A"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p>
        </w:tc>
        <w:tc>
          <w:tcPr>
            <w:tcW w:w="1049" w:type="dxa"/>
            <w:vAlign w:val="center"/>
          </w:tcPr>
          <w:p w14:paraId="37E8A902" w14:textId="480499BD"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32</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049" w:type="dxa"/>
            <w:vMerge w:val="restart"/>
            <w:shd w:val="clear" w:color="auto" w:fill="auto"/>
            <w:vAlign w:val="center"/>
          </w:tcPr>
          <w:p w14:paraId="4D591FFB" w14:textId="46576B7C"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66</w:t>
            </w:r>
            <w:r>
              <w:rPr>
                <w:rFonts w:eastAsia="Gulim" w:cs="Calibri Light"/>
                <w:color w:val="000000"/>
                <w:sz w:val="20"/>
                <w:szCs w:val="20"/>
                <w:lang w:eastAsia="ko-KR"/>
              </w:rPr>
              <w:t>%</w:t>
            </w:r>
          </w:p>
        </w:tc>
        <w:tc>
          <w:tcPr>
            <w:tcW w:w="1496" w:type="dxa"/>
            <w:vAlign w:val="center"/>
          </w:tcPr>
          <w:p w14:paraId="45B217BF" w14:textId="036F6112"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w:t>
            </w:r>
            <w:r w:rsidR="00FF2CEA">
              <w:rPr>
                <w:rFonts w:eastAsia="Gulim" w:cs="Calibri Light"/>
                <w:color w:val="000000"/>
                <w:sz w:val="20"/>
                <w:szCs w:val="20"/>
                <w:lang w:eastAsia="ko-KR"/>
              </w:rPr>
              <w:t>6</w:t>
            </w:r>
            <w:r w:rsidRPr="00BC7C7E">
              <w:rPr>
                <w:rFonts w:eastAsia="Gulim" w:cs="Calibri Light"/>
                <w:color w:val="000000"/>
                <w:sz w:val="20"/>
                <w:szCs w:val="20"/>
                <w:lang w:eastAsia="ko-KR"/>
              </w:rPr>
              <w:t>.</w:t>
            </w:r>
            <w:r w:rsidR="00FF2CEA">
              <w:rPr>
                <w:rFonts w:eastAsia="Gulim" w:cs="Calibri Light"/>
                <w:color w:val="000000"/>
                <w:sz w:val="20"/>
                <w:szCs w:val="20"/>
                <w:lang w:eastAsia="ko-KR"/>
              </w:rPr>
              <w:t>0</w:t>
            </w:r>
            <w:r w:rsidRPr="00BC7C7E">
              <w:rPr>
                <w:rFonts w:eastAsia="Gulim" w:cs="Calibri Light"/>
                <w:color w:val="000000"/>
                <w:sz w:val="20"/>
                <w:szCs w:val="20"/>
                <w:lang w:eastAsia="ko-KR"/>
              </w:rPr>
              <w:t>%</w:t>
            </w:r>
          </w:p>
        </w:tc>
        <w:tc>
          <w:tcPr>
            <w:tcW w:w="1401" w:type="dxa"/>
            <w:vMerge w:val="restart"/>
            <w:shd w:val="clear" w:color="auto" w:fill="auto"/>
            <w:noWrap/>
            <w:vAlign w:val="center"/>
          </w:tcPr>
          <w:p w14:paraId="2239C63C" w14:textId="62EB9A06" w:rsidR="005173F0" w:rsidRPr="00BC7C7E" w:rsidRDefault="005173F0" w:rsidP="00635177">
            <w:pPr>
              <w:spacing w:before="0" w:after="0" w:line="240" w:lineRule="auto"/>
              <w:ind w:right="303"/>
              <w:jc w:val="right"/>
              <w:rPr>
                <w:rFonts w:eastAsia="Gulim" w:cs="Calibri Light"/>
                <w:bCs/>
                <w:sz w:val="20"/>
                <w:szCs w:val="20"/>
                <w:lang w:eastAsia="ko-KR"/>
              </w:rPr>
            </w:pPr>
            <w:r w:rsidRPr="00BC7C7E">
              <w:rPr>
                <w:rFonts w:eastAsia="Gulim" w:cs="Calibri Light"/>
                <w:bCs/>
                <w:sz w:val="20"/>
                <w:szCs w:val="20"/>
                <w:lang w:eastAsia="ko-KR"/>
              </w:rPr>
              <w:t>66</w:t>
            </w:r>
            <w:r w:rsidR="001C2DAD">
              <w:rPr>
                <w:rFonts w:eastAsia="Gulim" w:cs="Calibri Light"/>
                <w:bCs/>
                <w:sz w:val="20"/>
                <w:szCs w:val="20"/>
                <w:lang w:eastAsia="ko-KR"/>
              </w:rPr>
              <w:t>.0</w:t>
            </w:r>
            <w:r w:rsidRPr="00BC7C7E">
              <w:rPr>
                <w:rFonts w:eastAsia="Gulim" w:cs="Calibri Light"/>
                <w:bCs/>
                <w:sz w:val="20"/>
                <w:szCs w:val="20"/>
                <w:lang w:eastAsia="ko-KR"/>
              </w:rPr>
              <w:t>%</w:t>
            </w:r>
          </w:p>
        </w:tc>
      </w:tr>
      <w:tr w:rsidR="005173F0" w:rsidRPr="002914D8" w14:paraId="433F460D" w14:textId="77777777" w:rsidTr="00B63315">
        <w:trPr>
          <w:cantSplit/>
          <w:trHeight w:val="20"/>
        </w:trPr>
        <w:tc>
          <w:tcPr>
            <w:tcW w:w="2110" w:type="dxa"/>
            <w:shd w:val="clear" w:color="auto" w:fill="auto"/>
            <w:vAlign w:val="center"/>
          </w:tcPr>
          <w:p w14:paraId="6AB21322" w14:textId="558F2DA2"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restart"/>
            <w:vAlign w:val="center"/>
          </w:tcPr>
          <w:p w14:paraId="24CB222B" w14:textId="738ACCE3" w:rsidR="005173F0" w:rsidRPr="00A671DC" w:rsidRDefault="005173F0" w:rsidP="00B63315">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35,000</w:t>
            </w:r>
          </w:p>
        </w:tc>
        <w:tc>
          <w:tcPr>
            <w:tcW w:w="1049" w:type="dxa"/>
            <w:vMerge/>
            <w:shd w:val="clear" w:color="auto" w:fill="auto"/>
            <w:vAlign w:val="center"/>
          </w:tcPr>
          <w:p w14:paraId="1C8974D9" w14:textId="73A890E2"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7BEEBDA1" w14:textId="7B2BDC22"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w:t>
            </w:r>
            <w:r w:rsidR="00DD5124">
              <w:rPr>
                <w:rFonts w:eastAsia="Gulim" w:cs="Calibri Light"/>
                <w:color w:val="000000"/>
                <w:sz w:val="20"/>
                <w:szCs w:val="20"/>
                <w:lang w:eastAsia="ko-KR"/>
              </w:rPr>
              <w:t>6</w:t>
            </w:r>
            <w:r w:rsidRPr="00BC7C7E">
              <w:rPr>
                <w:rFonts w:eastAsia="Gulim" w:cs="Calibri Light"/>
                <w:color w:val="000000"/>
                <w:sz w:val="20"/>
                <w:szCs w:val="20"/>
                <w:lang w:eastAsia="ko-KR"/>
              </w:rPr>
              <w:t>.</w:t>
            </w:r>
            <w:r w:rsidR="00FF2CEA">
              <w:rPr>
                <w:rFonts w:eastAsia="Gulim" w:cs="Calibri Light"/>
                <w:color w:val="000000"/>
                <w:sz w:val="20"/>
                <w:szCs w:val="20"/>
                <w:lang w:eastAsia="ko-KR"/>
              </w:rPr>
              <w:t>0</w:t>
            </w:r>
            <w:r w:rsidRPr="00BC7C7E">
              <w:rPr>
                <w:rFonts w:eastAsia="Gulim" w:cs="Calibri Light"/>
                <w:color w:val="000000"/>
                <w:sz w:val="20"/>
                <w:szCs w:val="20"/>
                <w:lang w:eastAsia="ko-KR"/>
              </w:rPr>
              <w:t>%</w:t>
            </w:r>
          </w:p>
        </w:tc>
        <w:tc>
          <w:tcPr>
            <w:tcW w:w="1401" w:type="dxa"/>
            <w:vMerge/>
            <w:shd w:val="clear" w:color="auto" w:fill="auto"/>
            <w:noWrap/>
            <w:vAlign w:val="center"/>
          </w:tcPr>
          <w:p w14:paraId="2276D111" w14:textId="7C870065" w:rsidR="005173F0" w:rsidRPr="00BC7C7E" w:rsidRDefault="005173F0">
            <w:pPr>
              <w:spacing w:before="0" w:after="0" w:line="240" w:lineRule="auto"/>
              <w:ind w:right="303"/>
              <w:jc w:val="right"/>
              <w:rPr>
                <w:rFonts w:eastAsia="Gulim" w:cs="Calibri Light"/>
                <w:bCs/>
                <w:sz w:val="20"/>
                <w:szCs w:val="20"/>
                <w:lang w:eastAsia="ko-KR"/>
              </w:rPr>
            </w:pPr>
          </w:p>
        </w:tc>
      </w:tr>
      <w:tr w:rsidR="005173F0" w:rsidRPr="002914D8" w14:paraId="1292FE69" w14:textId="77777777" w:rsidTr="00B63315">
        <w:trPr>
          <w:cantSplit/>
          <w:trHeight w:val="20"/>
        </w:trPr>
        <w:tc>
          <w:tcPr>
            <w:tcW w:w="2110" w:type="dxa"/>
            <w:shd w:val="clear" w:color="auto" w:fill="auto"/>
            <w:vAlign w:val="center"/>
          </w:tcPr>
          <w:p w14:paraId="6D6F487F" w14:textId="6FD4D3C3"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C</w:t>
            </w:r>
          </w:p>
        </w:tc>
        <w:tc>
          <w:tcPr>
            <w:tcW w:w="1049" w:type="dxa"/>
            <w:vMerge/>
            <w:vAlign w:val="center"/>
          </w:tcPr>
          <w:p w14:paraId="04315BB4" w14:textId="7777777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54839461" w14:textId="1FEA8D09"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0D623CD9" w14:textId="59C28B12"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66.0%</w:t>
            </w:r>
          </w:p>
        </w:tc>
        <w:tc>
          <w:tcPr>
            <w:tcW w:w="1401" w:type="dxa"/>
            <w:vMerge/>
            <w:shd w:val="clear" w:color="auto" w:fill="auto"/>
            <w:noWrap/>
            <w:vAlign w:val="center"/>
          </w:tcPr>
          <w:p w14:paraId="709B582F" w14:textId="206FFF3F" w:rsidR="005173F0" w:rsidRPr="00BC7C7E" w:rsidRDefault="005173F0">
            <w:pPr>
              <w:spacing w:before="0" w:after="0" w:line="240" w:lineRule="auto"/>
              <w:ind w:right="303"/>
              <w:jc w:val="right"/>
              <w:rPr>
                <w:rFonts w:eastAsia="Gulim" w:cs="Calibri Light"/>
                <w:bCs/>
                <w:sz w:val="20"/>
                <w:szCs w:val="20"/>
                <w:lang w:eastAsia="ko-KR"/>
              </w:rPr>
            </w:pPr>
          </w:p>
        </w:tc>
      </w:tr>
      <w:tr w:rsidR="005173F0" w:rsidRPr="002914D8" w14:paraId="33153CC6" w14:textId="77777777" w:rsidTr="00B63315">
        <w:trPr>
          <w:cantSplit/>
          <w:trHeight w:val="20"/>
        </w:trPr>
        <w:tc>
          <w:tcPr>
            <w:tcW w:w="2110" w:type="dxa"/>
            <w:shd w:val="clear" w:color="auto" w:fill="auto"/>
            <w:vAlign w:val="center"/>
          </w:tcPr>
          <w:p w14:paraId="17CF2F15" w14:textId="26BD1F41"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p>
        </w:tc>
        <w:tc>
          <w:tcPr>
            <w:tcW w:w="1049" w:type="dxa"/>
            <w:vMerge w:val="restart"/>
            <w:vAlign w:val="center"/>
          </w:tcPr>
          <w:p w14:paraId="7C1A84CD" w14:textId="2EE30984"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50</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049" w:type="dxa"/>
            <w:vMerge w:val="restart"/>
            <w:shd w:val="clear" w:color="auto" w:fill="auto"/>
            <w:vAlign w:val="center"/>
          </w:tcPr>
          <w:p w14:paraId="347F5CC5" w14:textId="22C358AD"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67</w:t>
            </w:r>
            <w:r>
              <w:rPr>
                <w:rFonts w:eastAsia="Gulim" w:cs="Calibri Light"/>
                <w:color w:val="000000"/>
                <w:sz w:val="20"/>
                <w:szCs w:val="20"/>
                <w:lang w:eastAsia="ko-KR"/>
              </w:rPr>
              <w:t>%</w:t>
            </w:r>
          </w:p>
        </w:tc>
        <w:tc>
          <w:tcPr>
            <w:tcW w:w="1496" w:type="dxa"/>
            <w:vAlign w:val="center"/>
          </w:tcPr>
          <w:p w14:paraId="7C93C442" w14:textId="78A32119" w:rsidR="005173F0" w:rsidRPr="00BC7C7E" w:rsidRDefault="002E2F81" w:rsidP="00B63315">
            <w:pPr>
              <w:spacing w:before="0" w:after="0" w:line="240" w:lineRule="auto"/>
              <w:ind w:right="33"/>
              <w:jc w:val="center"/>
              <w:rPr>
                <w:rFonts w:eastAsia="Gulim" w:cs="Calibri Light"/>
                <w:bCs/>
                <w:sz w:val="20"/>
                <w:szCs w:val="20"/>
                <w:lang w:eastAsia="ko-KR"/>
              </w:rPr>
            </w:pPr>
            <w:r>
              <w:rPr>
                <w:rFonts w:eastAsia="Gulim" w:cs="Calibri Light"/>
                <w:color w:val="000000"/>
                <w:sz w:val="20"/>
                <w:szCs w:val="20"/>
                <w:lang w:eastAsia="ko-KR"/>
              </w:rPr>
              <w:t>n/a</w:t>
            </w:r>
          </w:p>
        </w:tc>
        <w:tc>
          <w:tcPr>
            <w:tcW w:w="1401" w:type="dxa"/>
            <w:vMerge w:val="restart"/>
            <w:shd w:val="clear" w:color="auto" w:fill="auto"/>
            <w:noWrap/>
            <w:vAlign w:val="center"/>
          </w:tcPr>
          <w:p w14:paraId="248C3D37" w14:textId="2539B9F7" w:rsidR="005173F0" w:rsidRPr="00BC7C7E" w:rsidRDefault="005173F0" w:rsidP="00635177">
            <w:pPr>
              <w:spacing w:before="0" w:after="0" w:line="240" w:lineRule="auto"/>
              <w:ind w:right="303"/>
              <w:jc w:val="right"/>
              <w:rPr>
                <w:rFonts w:eastAsia="Gulim" w:cs="Calibri Light"/>
                <w:bCs/>
                <w:sz w:val="20"/>
                <w:szCs w:val="20"/>
                <w:lang w:eastAsia="ko-KR"/>
              </w:rPr>
            </w:pPr>
            <w:r w:rsidRPr="00BC7C7E">
              <w:rPr>
                <w:rFonts w:eastAsia="Gulim" w:cs="Calibri Light"/>
                <w:bCs/>
                <w:sz w:val="20"/>
                <w:szCs w:val="20"/>
                <w:lang w:eastAsia="ko-KR"/>
              </w:rPr>
              <w:t>6</w:t>
            </w:r>
            <w:r w:rsidR="00BF2D92">
              <w:rPr>
                <w:rFonts w:eastAsia="Gulim" w:cs="Calibri Light"/>
                <w:bCs/>
                <w:sz w:val="20"/>
                <w:szCs w:val="20"/>
                <w:lang w:eastAsia="ko-KR"/>
              </w:rPr>
              <w:t>7</w:t>
            </w:r>
            <w:r w:rsidR="00600E6B">
              <w:rPr>
                <w:rFonts w:eastAsia="Gulim" w:cs="Calibri Light"/>
                <w:bCs/>
                <w:sz w:val="20"/>
                <w:szCs w:val="20"/>
                <w:lang w:eastAsia="ko-KR"/>
              </w:rPr>
              <w:t>.0</w:t>
            </w:r>
            <w:r w:rsidRPr="00BC7C7E">
              <w:rPr>
                <w:rFonts w:eastAsia="Gulim" w:cs="Calibri Light"/>
                <w:bCs/>
                <w:sz w:val="20"/>
                <w:szCs w:val="20"/>
                <w:lang w:eastAsia="ko-KR"/>
              </w:rPr>
              <w:t>%</w:t>
            </w:r>
          </w:p>
        </w:tc>
      </w:tr>
      <w:tr w:rsidR="005173F0" w:rsidRPr="002914D8" w14:paraId="4AAB97AA" w14:textId="77777777" w:rsidTr="00B63315">
        <w:trPr>
          <w:cantSplit/>
          <w:trHeight w:val="20"/>
        </w:trPr>
        <w:tc>
          <w:tcPr>
            <w:tcW w:w="2110" w:type="dxa"/>
            <w:shd w:val="clear" w:color="auto" w:fill="auto"/>
            <w:vAlign w:val="center"/>
          </w:tcPr>
          <w:p w14:paraId="50C950F2" w14:textId="77A1CB5F"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ign w:val="center"/>
          </w:tcPr>
          <w:p w14:paraId="751A578F" w14:textId="77777777" w:rsidR="005173F0" w:rsidRPr="00A671DC" w:rsidRDefault="005173F0" w:rsidP="0061166A">
            <w:pPr>
              <w:spacing w:before="0" w:after="0" w:line="240" w:lineRule="auto"/>
              <w:rPr>
                <w:rFonts w:eastAsia="Gulim" w:cs="Calibri Light"/>
                <w:color w:val="000000"/>
                <w:sz w:val="20"/>
                <w:szCs w:val="20"/>
                <w:lang w:eastAsia="ko-KR"/>
              </w:rPr>
            </w:pPr>
          </w:p>
        </w:tc>
        <w:tc>
          <w:tcPr>
            <w:tcW w:w="1049" w:type="dxa"/>
            <w:vMerge/>
            <w:shd w:val="clear" w:color="auto" w:fill="auto"/>
            <w:vAlign w:val="center"/>
          </w:tcPr>
          <w:p w14:paraId="7C4A8B6A" w14:textId="20659BE5" w:rsidR="005173F0" w:rsidRPr="00A671DC" w:rsidRDefault="005173F0" w:rsidP="0061166A">
            <w:pPr>
              <w:spacing w:before="0" w:after="0" w:line="240" w:lineRule="auto"/>
              <w:rPr>
                <w:rFonts w:eastAsia="Gulim" w:cs="Calibri Light"/>
                <w:color w:val="000000"/>
                <w:sz w:val="20"/>
                <w:szCs w:val="20"/>
                <w:lang w:eastAsia="ko-KR"/>
              </w:rPr>
            </w:pPr>
          </w:p>
        </w:tc>
        <w:tc>
          <w:tcPr>
            <w:tcW w:w="1496" w:type="dxa"/>
            <w:vAlign w:val="center"/>
          </w:tcPr>
          <w:p w14:paraId="7951ECC5" w14:textId="329FF234" w:rsidR="005173F0" w:rsidRPr="00BC7C7E" w:rsidRDefault="002E2F81" w:rsidP="00B63315">
            <w:pPr>
              <w:spacing w:before="0" w:after="0" w:line="240" w:lineRule="auto"/>
              <w:ind w:right="33"/>
              <w:jc w:val="center"/>
              <w:rPr>
                <w:rFonts w:eastAsia="Gulim" w:cs="Calibri Light"/>
                <w:bCs/>
                <w:sz w:val="20"/>
                <w:szCs w:val="20"/>
                <w:lang w:eastAsia="ko-KR"/>
              </w:rPr>
            </w:pPr>
            <w:r>
              <w:rPr>
                <w:rFonts w:eastAsia="Gulim" w:cs="Calibri Light"/>
                <w:color w:val="000000"/>
                <w:sz w:val="20"/>
                <w:szCs w:val="20"/>
                <w:lang w:eastAsia="ko-KR"/>
              </w:rPr>
              <w:t>n/a</w:t>
            </w:r>
          </w:p>
        </w:tc>
        <w:tc>
          <w:tcPr>
            <w:tcW w:w="1401" w:type="dxa"/>
            <w:vMerge/>
            <w:shd w:val="clear" w:color="auto" w:fill="auto"/>
            <w:noWrap/>
            <w:vAlign w:val="center"/>
          </w:tcPr>
          <w:p w14:paraId="0EF43BEC" w14:textId="4C144DC2" w:rsidR="005173F0" w:rsidRPr="00BC7C7E" w:rsidRDefault="005173F0" w:rsidP="00BC7C7E">
            <w:pPr>
              <w:spacing w:before="0" w:after="0" w:line="240" w:lineRule="auto"/>
              <w:ind w:right="303"/>
              <w:jc w:val="right"/>
              <w:rPr>
                <w:rFonts w:eastAsia="Gulim" w:cs="Calibri Light"/>
                <w:bCs/>
                <w:sz w:val="20"/>
                <w:szCs w:val="20"/>
                <w:lang w:eastAsia="ko-KR"/>
              </w:rPr>
            </w:pPr>
          </w:p>
        </w:tc>
      </w:tr>
      <w:tr w:rsidR="005173F0" w:rsidRPr="002914D8" w14:paraId="008DDFCC" w14:textId="77777777" w:rsidTr="00B63315">
        <w:trPr>
          <w:cantSplit/>
          <w:trHeight w:val="20"/>
        </w:trPr>
        <w:tc>
          <w:tcPr>
            <w:tcW w:w="2110" w:type="dxa"/>
            <w:shd w:val="clear" w:color="auto" w:fill="auto"/>
            <w:vAlign w:val="center"/>
          </w:tcPr>
          <w:p w14:paraId="33E620D0" w14:textId="529AA74C"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C</w:t>
            </w:r>
          </w:p>
        </w:tc>
        <w:tc>
          <w:tcPr>
            <w:tcW w:w="1049" w:type="dxa"/>
            <w:vMerge/>
            <w:vAlign w:val="center"/>
          </w:tcPr>
          <w:p w14:paraId="6127FF99" w14:textId="77777777" w:rsidR="005173F0" w:rsidRPr="00A671DC" w:rsidRDefault="005173F0" w:rsidP="0061166A">
            <w:pPr>
              <w:spacing w:before="0" w:after="0" w:line="240" w:lineRule="auto"/>
              <w:rPr>
                <w:rFonts w:eastAsia="Gulim" w:cs="Calibri Light"/>
                <w:color w:val="000000"/>
                <w:sz w:val="20"/>
                <w:szCs w:val="20"/>
                <w:lang w:eastAsia="ko-KR"/>
              </w:rPr>
            </w:pPr>
          </w:p>
        </w:tc>
        <w:tc>
          <w:tcPr>
            <w:tcW w:w="1049" w:type="dxa"/>
            <w:vMerge/>
            <w:shd w:val="clear" w:color="auto" w:fill="auto"/>
            <w:vAlign w:val="center"/>
          </w:tcPr>
          <w:p w14:paraId="6F2B5DDD" w14:textId="0E9E1212" w:rsidR="005173F0" w:rsidRPr="00A671DC" w:rsidRDefault="005173F0" w:rsidP="0061166A">
            <w:pPr>
              <w:spacing w:before="0" w:after="0" w:line="240" w:lineRule="auto"/>
              <w:rPr>
                <w:rFonts w:eastAsia="Gulim" w:cs="Calibri Light"/>
                <w:color w:val="000000"/>
                <w:sz w:val="20"/>
                <w:szCs w:val="20"/>
                <w:lang w:eastAsia="ko-KR"/>
              </w:rPr>
            </w:pPr>
          </w:p>
        </w:tc>
        <w:tc>
          <w:tcPr>
            <w:tcW w:w="1496" w:type="dxa"/>
            <w:vAlign w:val="center"/>
          </w:tcPr>
          <w:p w14:paraId="1B3F0500" w14:textId="3D1B7495"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w:t>
            </w:r>
            <w:r w:rsidR="00DD5124">
              <w:rPr>
                <w:rFonts w:eastAsia="Gulim" w:cs="Calibri Light"/>
                <w:color w:val="000000"/>
                <w:sz w:val="20"/>
                <w:szCs w:val="20"/>
                <w:lang w:eastAsia="ko-KR"/>
              </w:rPr>
              <w:t>7</w:t>
            </w:r>
            <w:r w:rsidRPr="00BC7C7E">
              <w:rPr>
                <w:rFonts w:eastAsia="Gulim" w:cs="Calibri Light"/>
                <w:color w:val="000000"/>
                <w:sz w:val="20"/>
                <w:szCs w:val="20"/>
                <w:lang w:eastAsia="ko-KR"/>
              </w:rPr>
              <w:t>.0%</w:t>
            </w:r>
          </w:p>
        </w:tc>
        <w:tc>
          <w:tcPr>
            <w:tcW w:w="1401" w:type="dxa"/>
            <w:vMerge/>
            <w:shd w:val="clear" w:color="auto" w:fill="auto"/>
            <w:noWrap/>
            <w:vAlign w:val="center"/>
          </w:tcPr>
          <w:p w14:paraId="7E6EED2D" w14:textId="4EFCBEBB" w:rsidR="005173F0" w:rsidRPr="00BC7C7E" w:rsidRDefault="005173F0" w:rsidP="00BC7C7E">
            <w:pPr>
              <w:spacing w:before="0" w:after="0" w:line="240" w:lineRule="auto"/>
              <w:ind w:right="303"/>
              <w:jc w:val="right"/>
              <w:rPr>
                <w:rFonts w:eastAsia="Gulim" w:cs="Calibri Light"/>
                <w:bCs/>
                <w:sz w:val="20"/>
                <w:szCs w:val="20"/>
                <w:lang w:eastAsia="ko-KR"/>
              </w:rPr>
            </w:pPr>
          </w:p>
        </w:tc>
      </w:tr>
    </w:tbl>
    <w:p w14:paraId="6C9B0127" w14:textId="5E4B1AC1" w:rsidR="00A07E3E" w:rsidRPr="00A07E3E" w:rsidRDefault="00A07E3E" w:rsidP="00A07E3E">
      <w:pPr>
        <w:pStyle w:val="eTRMTextBoxTitle"/>
      </w:pPr>
      <w:r w:rsidRPr="00A07E3E">
        <w:lastRenderedPageBreak/>
        <w:t>Fan Type Wall Furnace Baseline AFUE Determination</w:t>
      </w:r>
    </w:p>
    <w:tbl>
      <w:tblPr>
        <w:tblW w:w="71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99" w:type="dxa"/>
          <w:right w:w="99" w:type="dxa"/>
        </w:tblCellMar>
        <w:tblLook w:val="0000" w:firstRow="0" w:lastRow="0" w:firstColumn="0" w:lastColumn="0" w:noHBand="0" w:noVBand="0"/>
      </w:tblPr>
      <w:tblGrid>
        <w:gridCol w:w="2110"/>
        <w:gridCol w:w="1049"/>
        <w:gridCol w:w="1049"/>
        <w:gridCol w:w="1496"/>
        <w:gridCol w:w="1401"/>
      </w:tblGrid>
      <w:tr w:rsidR="00A07E3E" w:rsidRPr="00C23C2B" w14:paraId="68D441FB" w14:textId="77777777" w:rsidTr="00CC177A">
        <w:trPr>
          <w:cantSplit/>
          <w:trHeight w:val="20"/>
          <w:tblHeader/>
        </w:trPr>
        <w:tc>
          <w:tcPr>
            <w:tcW w:w="2110" w:type="dxa"/>
            <w:shd w:val="clear" w:color="auto" w:fill="F2F2F2" w:themeFill="background1" w:themeFillShade="F2"/>
            <w:vAlign w:val="bottom"/>
          </w:tcPr>
          <w:p w14:paraId="1188348D" w14:textId="77777777" w:rsidR="00A07E3E" w:rsidRPr="00A671DC" w:rsidRDefault="00A07E3E" w:rsidP="00CC177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OEM Trade Name</w:t>
            </w:r>
          </w:p>
        </w:tc>
        <w:tc>
          <w:tcPr>
            <w:tcW w:w="1049" w:type="dxa"/>
            <w:shd w:val="clear" w:color="auto" w:fill="F2F2F2" w:themeFill="background1" w:themeFillShade="F2"/>
            <w:vAlign w:val="bottom"/>
          </w:tcPr>
          <w:p w14:paraId="3154B09B" w14:textId="77777777" w:rsidR="00A07E3E" w:rsidRPr="00A671DC" w:rsidRDefault="00A07E3E" w:rsidP="00CC177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Input Capacity (Btu/</w:t>
            </w:r>
            <w:proofErr w:type="spellStart"/>
            <w:r w:rsidRPr="00A671DC">
              <w:rPr>
                <w:rFonts w:eastAsia="Gulim" w:cs="Calibri Light"/>
                <w:b/>
                <w:color w:val="000000"/>
                <w:sz w:val="20"/>
                <w:szCs w:val="20"/>
                <w:lang w:eastAsia="ko-KR"/>
              </w:rPr>
              <w:t>hr</w:t>
            </w:r>
            <w:proofErr w:type="spellEnd"/>
            <w:r w:rsidRPr="00A671DC">
              <w:rPr>
                <w:rFonts w:eastAsia="Gulim" w:cs="Calibri Light"/>
                <w:b/>
                <w:color w:val="000000"/>
                <w:sz w:val="20"/>
                <w:szCs w:val="20"/>
                <w:lang w:eastAsia="ko-KR"/>
              </w:rPr>
              <w:t>)</w:t>
            </w:r>
          </w:p>
        </w:tc>
        <w:tc>
          <w:tcPr>
            <w:tcW w:w="1049" w:type="dxa"/>
            <w:shd w:val="clear" w:color="auto" w:fill="F2F2F2" w:themeFill="background1" w:themeFillShade="F2"/>
            <w:vAlign w:val="bottom"/>
          </w:tcPr>
          <w:p w14:paraId="19080AAB" w14:textId="77777777" w:rsidR="00A07E3E" w:rsidRPr="00A671DC" w:rsidRDefault="00A07E3E" w:rsidP="00CC177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Min</w:t>
            </w:r>
            <w:r>
              <w:rPr>
                <w:rFonts w:eastAsia="Gulim" w:cs="Calibri Light"/>
                <w:b/>
                <w:color w:val="000000"/>
                <w:sz w:val="20"/>
                <w:szCs w:val="20"/>
                <w:lang w:eastAsia="ko-KR"/>
              </w:rPr>
              <w:t>.</w:t>
            </w:r>
            <w:r w:rsidRPr="00A671DC">
              <w:rPr>
                <w:rFonts w:eastAsia="Gulim" w:cs="Calibri Light"/>
                <w:b/>
                <w:color w:val="000000"/>
                <w:sz w:val="20"/>
                <w:szCs w:val="20"/>
                <w:lang w:eastAsia="ko-KR"/>
              </w:rPr>
              <w:t xml:space="preserve"> AFUE </w:t>
            </w:r>
            <w:r>
              <w:rPr>
                <w:rFonts w:eastAsia="Gulim" w:cs="Calibri Light"/>
                <w:b/>
                <w:color w:val="000000"/>
                <w:sz w:val="20"/>
                <w:szCs w:val="20"/>
                <w:lang w:eastAsia="ko-KR"/>
              </w:rPr>
              <w:t>(Title 20)</w:t>
            </w:r>
          </w:p>
        </w:tc>
        <w:tc>
          <w:tcPr>
            <w:tcW w:w="1496" w:type="dxa"/>
            <w:shd w:val="clear" w:color="auto" w:fill="F2F2F2" w:themeFill="background1" w:themeFillShade="F2"/>
            <w:vAlign w:val="bottom"/>
          </w:tcPr>
          <w:p w14:paraId="648E0C39" w14:textId="77777777" w:rsidR="00A07E3E" w:rsidRPr="00A671DC" w:rsidRDefault="00A07E3E" w:rsidP="00CC177A">
            <w:pPr>
              <w:spacing w:before="0" w:after="0" w:line="240" w:lineRule="auto"/>
              <w:jc w:val="center"/>
              <w:rPr>
                <w:rFonts w:eastAsia="Gulim" w:cs="Calibri Light"/>
                <w:b/>
                <w:bCs/>
                <w:color w:val="000000"/>
                <w:sz w:val="20"/>
                <w:szCs w:val="20"/>
                <w:lang w:eastAsia="ko-KR"/>
              </w:rPr>
            </w:pPr>
            <w:r>
              <w:rPr>
                <w:rFonts w:eastAsia="Gulim" w:cs="Calibri Light"/>
                <w:b/>
                <w:color w:val="000000"/>
                <w:sz w:val="20"/>
                <w:szCs w:val="20"/>
                <w:lang w:eastAsia="ko-KR"/>
              </w:rPr>
              <w:t xml:space="preserve">Actual </w:t>
            </w:r>
            <w:r w:rsidRPr="00A671DC">
              <w:rPr>
                <w:rFonts w:eastAsia="Gulim" w:cs="Calibri Light"/>
                <w:b/>
                <w:color w:val="000000"/>
                <w:sz w:val="20"/>
                <w:szCs w:val="20"/>
                <w:lang w:eastAsia="ko-KR"/>
              </w:rPr>
              <w:t>AFUE</w:t>
            </w:r>
          </w:p>
        </w:tc>
        <w:tc>
          <w:tcPr>
            <w:tcW w:w="1401" w:type="dxa"/>
            <w:shd w:val="clear" w:color="auto" w:fill="F2F2F2" w:themeFill="background1" w:themeFillShade="F2"/>
            <w:vAlign w:val="bottom"/>
          </w:tcPr>
          <w:p w14:paraId="3877D933" w14:textId="77777777" w:rsidR="00A07E3E" w:rsidRPr="00A671DC" w:rsidRDefault="00A07E3E" w:rsidP="00CC177A">
            <w:pPr>
              <w:spacing w:before="0" w:after="0" w:line="240" w:lineRule="auto"/>
              <w:jc w:val="center"/>
              <w:rPr>
                <w:rFonts w:eastAsia="Gulim" w:cs="Calibri Light"/>
                <w:b/>
                <w:bCs/>
                <w:color w:val="000000"/>
                <w:sz w:val="20"/>
                <w:szCs w:val="20"/>
                <w:lang w:eastAsia="ko-KR"/>
              </w:rPr>
            </w:pPr>
            <w:r w:rsidRPr="00A671DC">
              <w:rPr>
                <w:rFonts w:eastAsia="Gulim" w:cs="Calibri Light"/>
                <w:b/>
                <w:bCs/>
                <w:color w:val="000000"/>
                <w:sz w:val="20"/>
                <w:szCs w:val="20"/>
                <w:lang w:eastAsia="ko-KR"/>
              </w:rPr>
              <w:t xml:space="preserve">Average </w:t>
            </w:r>
            <w:r>
              <w:rPr>
                <w:rFonts w:eastAsia="Gulim" w:cs="Calibri Light"/>
                <w:b/>
                <w:bCs/>
                <w:color w:val="000000"/>
                <w:sz w:val="20"/>
                <w:szCs w:val="20"/>
                <w:lang w:eastAsia="ko-KR"/>
              </w:rPr>
              <w:t>Baseline AFUE</w:t>
            </w:r>
            <w:r w:rsidRPr="00A671DC">
              <w:rPr>
                <w:rFonts w:eastAsia="Gulim" w:cs="Calibri Light"/>
                <w:b/>
                <w:bCs/>
                <w:color w:val="000000"/>
                <w:sz w:val="20"/>
                <w:szCs w:val="20"/>
                <w:lang w:eastAsia="ko-KR"/>
              </w:rPr>
              <w:t xml:space="preserve"> </w:t>
            </w:r>
            <w:r>
              <w:rPr>
                <w:rFonts w:eastAsia="Gulim" w:cs="Calibri Light"/>
                <w:b/>
                <w:bCs/>
                <w:color w:val="000000"/>
                <w:sz w:val="20"/>
                <w:szCs w:val="20"/>
                <w:lang w:eastAsia="ko-KR"/>
              </w:rPr>
              <w:t xml:space="preserve">of Capacity Range </w:t>
            </w:r>
            <w:r w:rsidRPr="00A671DC">
              <w:rPr>
                <w:rFonts w:eastAsia="Gulim" w:cs="Calibri Light"/>
                <w:b/>
                <w:bCs/>
                <w:color w:val="000000"/>
                <w:sz w:val="20"/>
                <w:szCs w:val="20"/>
                <w:lang w:eastAsia="ko-KR"/>
              </w:rPr>
              <w:t>(%)</w:t>
            </w:r>
          </w:p>
        </w:tc>
      </w:tr>
      <w:tr w:rsidR="00F44FBB" w:rsidRPr="002914D8" w14:paraId="19536898" w14:textId="77777777" w:rsidTr="00CC177A">
        <w:trPr>
          <w:cantSplit/>
          <w:trHeight w:val="314"/>
        </w:trPr>
        <w:tc>
          <w:tcPr>
            <w:tcW w:w="2110" w:type="dxa"/>
            <w:shd w:val="clear" w:color="auto" w:fill="auto"/>
            <w:vAlign w:val="center"/>
          </w:tcPr>
          <w:p w14:paraId="31F42CD3" w14:textId="77777777" w:rsidR="00F44FBB" w:rsidRPr="00A671DC" w:rsidRDefault="00F44FB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 xml:space="preserve">Manufacturer </w:t>
            </w:r>
            <w:r>
              <w:rPr>
                <w:rFonts w:eastAsia="Gulim" w:cs="Calibri Light"/>
                <w:color w:val="000000"/>
                <w:sz w:val="20"/>
                <w:szCs w:val="20"/>
                <w:lang w:eastAsia="ko-KR"/>
              </w:rPr>
              <w:t>A</w:t>
            </w:r>
          </w:p>
        </w:tc>
        <w:tc>
          <w:tcPr>
            <w:tcW w:w="1049" w:type="dxa"/>
            <w:vAlign w:val="center"/>
          </w:tcPr>
          <w:p w14:paraId="7F68710B" w14:textId="77777777" w:rsidR="00F44FBB" w:rsidRPr="00A671DC" w:rsidRDefault="00F44FBB" w:rsidP="00CC177A">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35,000</w:t>
            </w:r>
          </w:p>
        </w:tc>
        <w:tc>
          <w:tcPr>
            <w:tcW w:w="1049" w:type="dxa"/>
            <w:vMerge w:val="restart"/>
            <w:shd w:val="clear" w:color="auto" w:fill="auto"/>
            <w:vAlign w:val="center"/>
          </w:tcPr>
          <w:p w14:paraId="64C59D64" w14:textId="27BAA1C3" w:rsidR="00F44FBB" w:rsidRPr="00A671DC" w:rsidRDefault="00F44FBB" w:rsidP="00CC177A">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7</w:t>
            </w:r>
            <w:r w:rsidRPr="00A671DC">
              <w:rPr>
                <w:rFonts w:eastAsia="Gulim" w:cs="Calibri Light"/>
                <w:color w:val="000000"/>
                <w:sz w:val="20"/>
                <w:szCs w:val="20"/>
                <w:lang w:eastAsia="ko-KR"/>
              </w:rPr>
              <w:t>5</w:t>
            </w:r>
            <w:r>
              <w:rPr>
                <w:rFonts w:eastAsia="Gulim" w:cs="Calibri Light"/>
                <w:color w:val="000000"/>
                <w:sz w:val="20"/>
                <w:szCs w:val="20"/>
                <w:lang w:eastAsia="ko-KR"/>
              </w:rPr>
              <w:t>%</w:t>
            </w:r>
          </w:p>
        </w:tc>
        <w:tc>
          <w:tcPr>
            <w:tcW w:w="1496" w:type="dxa"/>
            <w:vAlign w:val="center"/>
          </w:tcPr>
          <w:p w14:paraId="0C3402D6" w14:textId="77777777" w:rsidR="00F44FBB" w:rsidRPr="00BC7C7E" w:rsidRDefault="00F44FBB" w:rsidP="00CC177A">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7</w:t>
            </w:r>
            <w:r>
              <w:rPr>
                <w:rFonts w:eastAsia="Gulim" w:cs="Calibri Light"/>
                <w:color w:val="000000"/>
                <w:sz w:val="20"/>
                <w:szCs w:val="20"/>
                <w:lang w:eastAsia="ko-KR"/>
              </w:rPr>
              <w:t>5</w:t>
            </w:r>
            <w:r w:rsidRPr="00BC7C7E">
              <w:rPr>
                <w:rFonts w:eastAsia="Gulim" w:cs="Calibri Light"/>
                <w:color w:val="000000"/>
                <w:sz w:val="20"/>
                <w:szCs w:val="20"/>
                <w:lang w:eastAsia="ko-KR"/>
              </w:rPr>
              <w:t>.0%</w:t>
            </w:r>
          </w:p>
        </w:tc>
        <w:tc>
          <w:tcPr>
            <w:tcW w:w="1401" w:type="dxa"/>
            <w:shd w:val="clear" w:color="auto" w:fill="auto"/>
            <w:noWrap/>
            <w:vAlign w:val="center"/>
          </w:tcPr>
          <w:p w14:paraId="425D88BC" w14:textId="77777777" w:rsidR="00F44FBB" w:rsidRPr="00BC7C7E" w:rsidRDefault="00F44FBB" w:rsidP="00CC177A">
            <w:pPr>
              <w:spacing w:before="0" w:after="0" w:line="240" w:lineRule="auto"/>
              <w:ind w:right="303"/>
              <w:jc w:val="right"/>
              <w:rPr>
                <w:rFonts w:eastAsia="Gulim" w:cs="Calibri Light"/>
                <w:bCs/>
                <w:sz w:val="20"/>
                <w:szCs w:val="20"/>
                <w:lang w:eastAsia="ko-KR"/>
              </w:rPr>
            </w:pPr>
            <w:r>
              <w:rPr>
                <w:rFonts w:eastAsia="Gulim" w:cs="Calibri Light"/>
                <w:bCs/>
                <w:sz w:val="20"/>
                <w:szCs w:val="20"/>
                <w:lang w:eastAsia="ko-KR"/>
              </w:rPr>
              <w:t>75.0%</w:t>
            </w:r>
          </w:p>
        </w:tc>
      </w:tr>
      <w:tr w:rsidR="00F44FBB" w:rsidRPr="002914D8" w14:paraId="76A78E1A" w14:textId="77777777" w:rsidTr="00CC177A">
        <w:trPr>
          <w:cantSplit/>
          <w:trHeight w:val="20"/>
        </w:trPr>
        <w:tc>
          <w:tcPr>
            <w:tcW w:w="2110" w:type="dxa"/>
            <w:shd w:val="clear" w:color="auto" w:fill="auto"/>
            <w:vAlign w:val="center"/>
          </w:tcPr>
          <w:p w14:paraId="2FE04FF5" w14:textId="77777777" w:rsidR="00F44FBB" w:rsidRPr="00A671DC" w:rsidRDefault="00F44FB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r>
              <w:rPr>
                <w:rFonts w:eastAsia="Gulim" w:cs="Calibri Light"/>
                <w:i/>
                <w:sz w:val="14"/>
                <w:szCs w:val="20"/>
                <w:lang w:eastAsia="ko-KR"/>
              </w:rPr>
              <w:t xml:space="preserve"> </w:t>
            </w:r>
          </w:p>
        </w:tc>
        <w:tc>
          <w:tcPr>
            <w:tcW w:w="1049" w:type="dxa"/>
            <w:vMerge w:val="restart"/>
            <w:vAlign w:val="center"/>
          </w:tcPr>
          <w:p w14:paraId="4B684172" w14:textId="77777777" w:rsidR="00F44FBB" w:rsidRPr="00A671DC" w:rsidRDefault="00F44FBB" w:rsidP="00CC177A">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40,</w:t>
            </w:r>
            <w:r w:rsidRPr="00A671DC">
              <w:rPr>
                <w:rFonts w:eastAsia="Gulim" w:cs="Calibri Light"/>
                <w:color w:val="000000"/>
                <w:sz w:val="20"/>
                <w:szCs w:val="20"/>
                <w:lang w:eastAsia="ko-KR"/>
              </w:rPr>
              <w:t>000</w:t>
            </w:r>
          </w:p>
        </w:tc>
        <w:tc>
          <w:tcPr>
            <w:tcW w:w="1049" w:type="dxa"/>
            <w:vMerge/>
            <w:shd w:val="clear" w:color="auto" w:fill="auto"/>
            <w:vAlign w:val="center"/>
          </w:tcPr>
          <w:p w14:paraId="79A38B47" w14:textId="28878BD1" w:rsidR="00F44FBB" w:rsidRPr="00A671DC" w:rsidRDefault="00F44FBB" w:rsidP="00CC177A">
            <w:pPr>
              <w:spacing w:before="0" w:after="0" w:line="240" w:lineRule="auto"/>
              <w:jc w:val="center"/>
              <w:rPr>
                <w:rFonts w:eastAsia="Gulim" w:cs="Calibri Light"/>
                <w:color w:val="000000"/>
                <w:sz w:val="20"/>
                <w:szCs w:val="20"/>
                <w:lang w:eastAsia="ko-KR"/>
              </w:rPr>
            </w:pPr>
          </w:p>
        </w:tc>
        <w:tc>
          <w:tcPr>
            <w:tcW w:w="1496" w:type="dxa"/>
            <w:vAlign w:val="center"/>
          </w:tcPr>
          <w:p w14:paraId="12230CF8" w14:textId="77777777" w:rsidR="00F44FBB" w:rsidRPr="00EF42BA" w:rsidRDefault="00F44FBB" w:rsidP="00EF42BA">
            <w:pPr>
              <w:spacing w:before="0" w:after="0" w:line="240" w:lineRule="auto"/>
              <w:ind w:right="33"/>
              <w:jc w:val="center"/>
              <w:rPr>
                <w:rFonts w:eastAsia="Gulim" w:cs="Calibri Light"/>
                <w:color w:val="000000"/>
                <w:sz w:val="20"/>
                <w:szCs w:val="20"/>
                <w:lang w:eastAsia="ko-KR"/>
              </w:rPr>
            </w:pPr>
            <w:r w:rsidRPr="00BC7C7E">
              <w:rPr>
                <w:rFonts w:eastAsia="Gulim" w:cs="Calibri Light"/>
                <w:color w:val="000000"/>
                <w:sz w:val="20"/>
                <w:szCs w:val="20"/>
                <w:lang w:eastAsia="ko-KR"/>
              </w:rPr>
              <w:t>7</w:t>
            </w:r>
            <w:r>
              <w:rPr>
                <w:rFonts w:eastAsia="Gulim" w:cs="Calibri Light"/>
                <w:color w:val="000000"/>
                <w:sz w:val="20"/>
                <w:szCs w:val="20"/>
                <w:lang w:eastAsia="ko-KR"/>
              </w:rPr>
              <w:t>6</w:t>
            </w:r>
            <w:r w:rsidRPr="00BC7C7E">
              <w:rPr>
                <w:rFonts w:eastAsia="Gulim" w:cs="Calibri Light"/>
                <w:color w:val="000000"/>
                <w:sz w:val="20"/>
                <w:szCs w:val="20"/>
                <w:lang w:eastAsia="ko-KR"/>
              </w:rPr>
              <w:t>.</w:t>
            </w:r>
            <w:r>
              <w:rPr>
                <w:rFonts w:eastAsia="Gulim" w:cs="Calibri Light"/>
                <w:color w:val="000000"/>
                <w:sz w:val="20"/>
                <w:szCs w:val="20"/>
                <w:lang w:eastAsia="ko-KR"/>
              </w:rPr>
              <w:t>5</w:t>
            </w:r>
            <w:r w:rsidRPr="00BC7C7E">
              <w:rPr>
                <w:rFonts w:eastAsia="Gulim" w:cs="Calibri Light"/>
                <w:color w:val="000000"/>
                <w:sz w:val="20"/>
                <w:szCs w:val="20"/>
                <w:lang w:eastAsia="ko-KR"/>
              </w:rPr>
              <w:t>%</w:t>
            </w:r>
          </w:p>
        </w:tc>
        <w:tc>
          <w:tcPr>
            <w:tcW w:w="1401" w:type="dxa"/>
            <w:vMerge w:val="restart"/>
            <w:shd w:val="clear" w:color="auto" w:fill="auto"/>
            <w:noWrap/>
            <w:vAlign w:val="center"/>
          </w:tcPr>
          <w:p w14:paraId="65B54867" w14:textId="77777777" w:rsidR="00F44FBB" w:rsidRPr="00BC7C7E" w:rsidRDefault="00F44FBB" w:rsidP="00CC177A">
            <w:pPr>
              <w:spacing w:before="0" w:after="0" w:line="240" w:lineRule="auto"/>
              <w:ind w:right="303"/>
              <w:jc w:val="right"/>
              <w:rPr>
                <w:rFonts w:eastAsia="Gulim" w:cs="Calibri Light"/>
                <w:sz w:val="16"/>
                <w:szCs w:val="20"/>
                <w:lang w:eastAsia="ko-KR"/>
              </w:rPr>
            </w:pPr>
            <w:r>
              <w:rPr>
                <w:rFonts w:eastAsia="Gulim" w:cs="Calibri Light"/>
                <w:bCs/>
                <w:sz w:val="20"/>
                <w:szCs w:val="20"/>
                <w:lang w:eastAsia="ko-KR"/>
              </w:rPr>
              <w:t>7</w:t>
            </w:r>
            <w:r w:rsidRPr="00BC7C7E">
              <w:rPr>
                <w:rFonts w:eastAsia="Gulim" w:cs="Calibri Light"/>
                <w:bCs/>
                <w:sz w:val="20"/>
                <w:szCs w:val="20"/>
                <w:lang w:eastAsia="ko-KR"/>
              </w:rPr>
              <w:t>5.</w:t>
            </w:r>
            <w:r>
              <w:rPr>
                <w:rFonts w:eastAsia="Gulim" w:cs="Calibri Light"/>
                <w:bCs/>
                <w:sz w:val="20"/>
                <w:szCs w:val="20"/>
                <w:lang w:eastAsia="ko-KR"/>
              </w:rPr>
              <w:t>6</w:t>
            </w:r>
            <w:r w:rsidRPr="00BC7C7E">
              <w:rPr>
                <w:rFonts w:eastAsia="Gulim" w:cs="Calibri Light"/>
                <w:bCs/>
                <w:sz w:val="20"/>
                <w:szCs w:val="20"/>
                <w:lang w:eastAsia="ko-KR"/>
              </w:rPr>
              <w:t>%</w:t>
            </w:r>
          </w:p>
        </w:tc>
      </w:tr>
      <w:tr w:rsidR="00F44FBB" w:rsidRPr="002914D8" w14:paraId="5E528A86" w14:textId="77777777" w:rsidTr="00CC177A">
        <w:trPr>
          <w:cantSplit/>
          <w:trHeight w:val="20"/>
        </w:trPr>
        <w:tc>
          <w:tcPr>
            <w:tcW w:w="2110" w:type="dxa"/>
            <w:shd w:val="clear" w:color="auto" w:fill="auto"/>
            <w:vAlign w:val="center"/>
          </w:tcPr>
          <w:p w14:paraId="150370DC" w14:textId="77777777" w:rsidR="00F44FBB" w:rsidRPr="00A671DC" w:rsidRDefault="00F44FB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ign w:val="center"/>
          </w:tcPr>
          <w:p w14:paraId="400D73AD" w14:textId="77777777" w:rsidR="00F44FBB" w:rsidRDefault="00F44FBB" w:rsidP="00CC177A">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5F1B7FD3" w14:textId="77777777" w:rsidR="00F44FBB" w:rsidRDefault="00F44FBB" w:rsidP="00CC177A">
            <w:pPr>
              <w:spacing w:before="0" w:after="0" w:line="240" w:lineRule="auto"/>
              <w:jc w:val="center"/>
              <w:rPr>
                <w:rFonts w:eastAsia="Gulim" w:cs="Calibri Light"/>
                <w:color w:val="000000"/>
                <w:sz w:val="20"/>
                <w:szCs w:val="20"/>
                <w:lang w:eastAsia="ko-KR"/>
              </w:rPr>
            </w:pPr>
          </w:p>
        </w:tc>
        <w:tc>
          <w:tcPr>
            <w:tcW w:w="1496" w:type="dxa"/>
            <w:vAlign w:val="center"/>
          </w:tcPr>
          <w:p w14:paraId="3D03A289" w14:textId="77777777" w:rsidR="00F44FBB" w:rsidRPr="00BC7C7E" w:rsidRDefault="00F44FBB" w:rsidP="00EF42BA">
            <w:pPr>
              <w:spacing w:before="0" w:after="0" w:line="240" w:lineRule="auto"/>
              <w:ind w:right="33"/>
              <w:jc w:val="center"/>
              <w:rPr>
                <w:rFonts w:eastAsia="Gulim" w:cs="Calibri Light"/>
                <w:color w:val="000000"/>
                <w:sz w:val="20"/>
                <w:szCs w:val="20"/>
                <w:lang w:eastAsia="ko-KR"/>
              </w:rPr>
            </w:pPr>
            <w:r>
              <w:rPr>
                <w:rFonts w:eastAsia="Gulim" w:cs="Calibri Light"/>
                <w:color w:val="000000"/>
                <w:sz w:val="20"/>
                <w:szCs w:val="20"/>
                <w:lang w:eastAsia="ko-KR"/>
              </w:rPr>
              <w:t>75.4%</w:t>
            </w:r>
          </w:p>
        </w:tc>
        <w:tc>
          <w:tcPr>
            <w:tcW w:w="1401" w:type="dxa"/>
            <w:vMerge/>
            <w:shd w:val="clear" w:color="auto" w:fill="auto"/>
            <w:noWrap/>
            <w:vAlign w:val="center"/>
          </w:tcPr>
          <w:p w14:paraId="4F7F364A" w14:textId="77777777" w:rsidR="00F44FBB" w:rsidRDefault="00F44FBB" w:rsidP="00CC177A">
            <w:pPr>
              <w:spacing w:before="0" w:after="0" w:line="240" w:lineRule="auto"/>
              <w:ind w:right="303"/>
              <w:jc w:val="right"/>
              <w:rPr>
                <w:rFonts w:eastAsia="Gulim" w:cs="Calibri Light"/>
                <w:bCs/>
                <w:sz w:val="20"/>
                <w:szCs w:val="20"/>
                <w:lang w:eastAsia="ko-KR"/>
              </w:rPr>
            </w:pPr>
          </w:p>
        </w:tc>
      </w:tr>
      <w:tr w:rsidR="00F44FBB" w:rsidRPr="002914D8" w14:paraId="1B6C3FD1" w14:textId="77777777" w:rsidTr="00CC177A">
        <w:trPr>
          <w:cantSplit/>
          <w:trHeight w:val="20"/>
        </w:trPr>
        <w:tc>
          <w:tcPr>
            <w:tcW w:w="2110" w:type="dxa"/>
            <w:shd w:val="clear" w:color="auto" w:fill="auto"/>
            <w:vAlign w:val="center"/>
          </w:tcPr>
          <w:p w14:paraId="1F992820" w14:textId="77777777" w:rsidR="00F44FBB" w:rsidRPr="00A671DC" w:rsidRDefault="00F44FB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 xml:space="preserve">Manufacturer </w:t>
            </w:r>
            <w:r>
              <w:rPr>
                <w:rFonts w:eastAsia="Gulim" w:cs="Calibri Light"/>
                <w:color w:val="000000"/>
                <w:sz w:val="20"/>
                <w:szCs w:val="20"/>
                <w:lang w:eastAsia="ko-KR"/>
              </w:rPr>
              <w:t>C</w:t>
            </w:r>
          </w:p>
        </w:tc>
        <w:tc>
          <w:tcPr>
            <w:tcW w:w="1049" w:type="dxa"/>
            <w:vMerge/>
            <w:vAlign w:val="center"/>
          </w:tcPr>
          <w:p w14:paraId="51A50740" w14:textId="77777777" w:rsidR="00F44FBB" w:rsidRPr="00A671DC" w:rsidRDefault="00F44FBB" w:rsidP="00CC177A">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431401DC" w14:textId="77777777" w:rsidR="00F44FBB" w:rsidRPr="00A671DC" w:rsidRDefault="00F44FBB" w:rsidP="00CC177A">
            <w:pPr>
              <w:spacing w:before="0" w:after="0" w:line="240" w:lineRule="auto"/>
              <w:jc w:val="center"/>
              <w:rPr>
                <w:rFonts w:eastAsia="Gulim" w:cs="Calibri Light"/>
                <w:color w:val="000000"/>
                <w:sz w:val="20"/>
                <w:szCs w:val="20"/>
                <w:lang w:eastAsia="ko-KR"/>
              </w:rPr>
            </w:pPr>
          </w:p>
        </w:tc>
        <w:tc>
          <w:tcPr>
            <w:tcW w:w="1496" w:type="dxa"/>
            <w:vAlign w:val="center"/>
          </w:tcPr>
          <w:p w14:paraId="71982611" w14:textId="77777777" w:rsidR="00F44FBB" w:rsidRPr="00EF42BA" w:rsidRDefault="00F44FBB" w:rsidP="00CC177A">
            <w:pPr>
              <w:spacing w:before="0" w:after="0" w:line="240" w:lineRule="auto"/>
              <w:ind w:right="33"/>
              <w:jc w:val="center"/>
              <w:rPr>
                <w:rFonts w:eastAsia="Gulim" w:cs="Calibri Light"/>
                <w:color w:val="000000"/>
                <w:sz w:val="20"/>
                <w:szCs w:val="20"/>
                <w:lang w:eastAsia="ko-KR"/>
              </w:rPr>
            </w:pPr>
            <w:r>
              <w:rPr>
                <w:rFonts w:eastAsia="Gulim" w:cs="Calibri Light"/>
                <w:color w:val="000000"/>
                <w:sz w:val="20"/>
                <w:szCs w:val="20"/>
                <w:lang w:eastAsia="ko-KR"/>
              </w:rPr>
              <w:t>75.0</w:t>
            </w:r>
            <w:r w:rsidRPr="00BC7C7E">
              <w:rPr>
                <w:rFonts w:eastAsia="Gulim" w:cs="Calibri Light"/>
                <w:color w:val="000000"/>
                <w:sz w:val="20"/>
                <w:szCs w:val="20"/>
                <w:lang w:eastAsia="ko-KR"/>
              </w:rPr>
              <w:t>%</w:t>
            </w:r>
          </w:p>
        </w:tc>
        <w:tc>
          <w:tcPr>
            <w:tcW w:w="1401" w:type="dxa"/>
            <w:vMerge/>
            <w:shd w:val="clear" w:color="auto" w:fill="auto"/>
            <w:noWrap/>
            <w:vAlign w:val="center"/>
          </w:tcPr>
          <w:p w14:paraId="74F94F83" w14:textId="77777777" w:rsidR="00F44FBB" w:rsidRPr="00BC7C7E" w:rsidRDefault="00F44FBB" w:rsidP="00CC177A">
            <w:pPr>
              <w:spacing w:before="0" w:after="0" w:line="240" w:lineRule="auto"/>
              <w:ind w:right="303"/>
              <w:jc w:val="right"/>
              <w:rPr>
                <w:rFonts w:eastAsia="Gulim" w:cs="Calibri Light"/>
                <w:sz w:val="20"/>
                <w:szCs w:val="20"/>
                <w:lang w:eastAsia="ko-KR"/>
              </w:rPr>
            </w:pPr>
          </w:p>
        </w:tc>
      </w:tr>
      <w:tr w:rsidR="006E309B" w:rsidRPr="002914D8" w14:paraId="47BDC19E" w14:textId="77777777" w:rsidTr="00CC177A">
        <w:trPr>
          <w:cantSplit/>
          <w:trHeight w:val="20"/>
        </w:trPr>
        <w:tc>
          <w:tcPr>
            <w:tcW w:w="2110" w:type="dxa"/>
            <w:shd w:val="clear" w:color="auto" w:fill="auto"/>
            <w:vAlign w:val="center"/>
          </w:tcPr>
          <w:p w14:paraId="22D8E5B5" w14:textId="77777777" w:rsidR="006E309B" w:rsidRPr="00A671DC" w:rsidRDefault="006E309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 xml:space="preserve">Manufacturer </w:t>
            </w:r>
            <w:r>
              <w:rPr>
                <w:rFonts w:eastAsia="Gulim" w:cs="Calibri Light"/>
                <w:color w:val="000000"/>
                <w:sz w:val="20"/>
                <w:szCs w:val="20"/>
                <w:lang w:eastAsia="ko-KR"/>
              </w:rPr>
              <w:t>A</w:t>
            </w:r>
          </w:p>
        </w:tc>
        <w:tc>
          <w:tcPr>
            <w:tcW w:w="1049" w:type="dxa"/>
            <w:vMerge w:val="restart"/>
            <w:vAlign w:val="center"/>
          </w:tcPr>
          <w:p w14:paraId="75F10DBE" w14:textId="77777777" w:rsidR="006E309B" w:rsidRPr="00A671DC" w:rsidRDefault="006E309B" w:rsidP="00CC177A">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50,000</w:t>
            </w:r>
          </w:p>
        </w:tc>
        <w:tc>
          <w:tcPr>
            <w:tcW w:w="1049" w:type="dxa"/>
            <w:vMerge w:val="restart"/>
            <w:shd w:val="clear" w:color="auto" w:fill="auto"/>
            <w:vAlign w:val="center"/>
          </w:tcPr>
          <w:p w14:paraId="39501348" w14:textId="55F64953" w:rsidR="006E309B" w:rsidRPr="00A671DC" w:rsidRDefault="006E309B" w:rsidP="00CC177A">
            <w:pPr>
              <w:spacing w:before="0" w:after="0" w:line="240" w:lineRule="auto"/>
              <w:jc w:val="center"/>
              <w:rPr>
                <w:rFonts w:eastAsia="Gulim" w:cs="Calibri Light"/>
                <w:color w:val="000000"/>
                <w:sz w:val="20"/>
                <w:szCs w:val="20"/>
                <w:lang w:eastAsia="ko-KR"/>
              </w:rPr>
            </w:pPr>
          </w:p>
          <w:p w14:paraId="3F966DAC" w14:textId="77777777" w:rsidR="006E309B" w:rsidRPr="00A671DC" w:rsidRDefault="006E309B" w:rsidP="00CC177A">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76%</w:t>
            </w:r>
          </w:p>
          <w:p w14:paraId="3BA92CAF" w14:textId="29A7A576"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496" w:type="dxa"/>
            <w:vAlign w:val="center"/>
          </w:tcPr>
          <w:p w14:paraId="6423F663" w14:textId="77777777" w:rsidR="006E309B" w:rsidRPr="00EF42BA" w:rsidRDefault="006E309B" w:rsidP="00CC177A">
            <w:pPr>
              <w:spacing w:before="0" w:after="0" w:line="240" w:lineRule="auto"/>
              <w:ind w:right="33"/>
              <w:jc w:val="center"/>
              <w:rPr>
                <w:rFonts w:eastAsia="Gulim" w:cs="Calibri Light"/>
                <w:color w:val="000000"/>
                <w:sz w:val="20"/>
                <w:szCs w:val="20"/>
                <w:lang w:eastAsia="ko-KR"/>
              </w:rPr>
            </w:pPr>
            <w:r>
              <w:rPr>
                <w:rFonts w:eastAsia="Gulim" w:cs="Calibri Light"/>
                <w:color w:val="000000"/>
                <w:sz w:val="20"/>
                <w:szCs w:val="20"/>
                <w:lang w:eastAsia="ko-KR"/>
              </w:rPr>
              <w:t>76.0</w:t>
            </w:r>
            <w:r w:rsidRPr="00BC7C7E">
              <w:rPr>
                <w:rFonts w:eastAsia="Gulim" w:cs="Calibri Light"/>
                <w:color w:val="000000"/>
                <w:sz w:val="20"/>
                <w:szCs w:val="20"/>
                <w:lang w:eastAsia="ko-KR"/>
              </w:rPr>
              <w:t>%</w:t>
            </w:r>
          </w:p>
        </w:tc>
        <w:tc>
          <w:tcPr>
            <w:tcW w:w="1401" w:type="dxa"/>
            <w:vMerge w:val="restart"/>
            <w:shd w:val="clear" w:color="auto" w:fill="auto"/>
            <w:noWrap/>
            <w:vAlign w:val="center"/>
          </w:tcPr>
          <w:p w14:paraId="52B01260" w14:textId="4271EB3F" w:rsidR="006E309B" w:rsidRPr="00BC7C7E" w:rsidRDefault="006E309B" w:rsidP="006E309B">
            <w:pPr>
              <w:spacing w:before="0" w:after="0" w:line="240" w:lineRule="auto"/>
              <w:ind w:right="303"/>
              <w:jc w:val="right"/>
              <w:rPr>
                <w:rFonts w:eastAsia="Gulim" w:cs="Calibri Light"/>
                <w:bCs/>
                <w:sz w:val="20"/>
                <w:szCs w:val="20"/>
                <w:lang w:eastAsia="ko-KR"/>
              </w:rPr>
            </w:pPr>
            <w:r>
              <w:rPr>
                <w:rFonts w:eastAsia="Gulim" w:cs="Calibri Light"/>
                <w:bCs/>
                <w:sz w:val="20"/>
                <w:szCs w:val="20"/>
                <w:lang w:eastAsia="ko-KR"/>
              </w:rPr>
              <w:t>76.1%</w:t>
            </w:r>
          </w:p>
        </w:tc>
      </w:tr>
      <w:tr w:rsidR="006E309B" w:rsidRPr="002914D8" w14:paraId="3E62F57C" w14:textId="77777777" w:rsidTr="00CC177A">
        <w:trPr>
          <w:cantSplit/>
          <w:trHeight w:val="20"/>
        </w:trPr>
        <w:tc>
          <w:tcPr>
            <w:tcW w:w="2110" w:type="dxa"/>
            <w:shd w:val="clear" w:color="auto" w:fill="auto"/>
            <w:vAlign w:val="center"/>
          </w:tcPr>
          <w:p w14:paraId="55B9B4F2" w14:textId="77777777" w:rsidR="006E309B" w:rsidRPr="00A671DC" w:rsidRDefault="006E309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 xml:space="preserve">Manufacturer </w:t>
            </w:r>
            <w:r>
              <w:rPr>
                <w:rFonts w:eastAsia="Gulim" w:cs="Calibri Light"/>
                <w:color w:val="000000"/>
                <w:sz w:val="20"/>
                <w:szCs w:val="20"/>
                <w:lang w:eastAsia="ko-KR"/>
              </w:rPr>
              <w:t>B</w:t>
            </w:r>
          </w:p>
        </w:tc>
        <w:tc>
          <w:tcPr>
            <w:tcW w:w="1049" w:type="dxa"/>
            <w:vMerge/>
            <w:vAlign w:val="center"/>
          </w:tcPr>
          <w:p w14:paraId="505F8CFE" w14:textId="77777777"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7CB0C762" w14:textId="0BE6BD9C"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496" w:type="dxa"/>
            <w:vAlign w:val="center"/>
          </w:tcPr>
          <w:p w14:paraId="24DDF603" w14:textId="77777777" w:rsidR="006E309B" w:rsidRPr="00BC7C7E" w:rsidRDefault="006E309B" w:rsidP="00CC177A">
            <w:pPr>
              <w:spacing w:before="0" w:after="0" w:line="240" w:lineRule="auto"/>
              <w:ind w:right="33"/>
              <w:jc w:val="center"/>
              <w:rPr>
                <w:rFonts w:eastAsia="Gulim" w:cs="Calibri Light"/>
                <w:bCs/>
                <w:sz w:val="20"/>
                <w:szCs w:val="20"/>
                <w:lang w:eastAsia="ko-KR"/>
              </w:rPr>
            </w:pPr>
            <w:r>
              <w:rPr>
                <w:rFonts w:eastAsia="Gulim" w:cs="Calibri Light"/>
                <w:color w:val="000000"/>
                <w:sz w:val="20"/>
                <w:szCs w:val="20"/>
                <w:lang w:eastAsia="ko-KR"/>
              </w:rPr>
              <w:t>7</w:t>
            </w:r>
            <w:r w:rsidRPr="00BC7C7E">
              <w:rPr>
                <w:rFonts w:eastAsia="Gulim" w:cs="Calibri Light"/>
                <w:color w:val="000000"/>
                <w:sz w:val="20"/>
                <w:szCs w:val="20"/>
                <w:lang w:eastAsia="ko-KR"/>
              </w:rPr>
              <w:t>6.0%</w:t>
            </w:r>
          </w:p>
        </w:tc>
        <w:tc>
          <w:tcPr>
            <w:tcW w:w="1401" w:type="dxa"/>
            <w:vMerge/>
            <w:shd w:val="clear" w:color="auto" w:fill="auto"/>
            <w:noWrap/>
            <w:vAlign w:val="center"/>
          </w:tcPr>
          <w:p w14:paraId="72338ADB" w14:textId="7F283A4D" w:rsidR="006E309B" w:rsidRPr="00BC7C7E" w:rsidRDefault="006E309B" w:rsidP="00CC177A">
            <w:pPr>
              <w:spacing w:before="0" w:after="0" w:line="240" w:lineRule="auto"/>
              <w:ind w:right="303"/>
              <w:jc w:val="right"/>
              <w:rPr>
                <w:rFonts w:eastAsia="Gulim" w:cs="Calibri Light"/>
                <w:bCs/>
                <w:sz w:val="20"/>
                <w:szCs w:val="20"/>
                <w:lang w:eastAsia="ko-KR"/>
              </w:rPr>
            </w:pPr>
          </w:p>
        </w:tc>
      </w:tr>
      <w:tr w:rsidR="006E309B" w:rsidRPr="002914D8" w14:paraId="466319F3" w14:textId="77777777" w:rsidTr="00CC177A">
        <w:trPr>
          <w:cantSplit/>
          <w:trHeight w:val="20"/>
        </w:trPr>
        <w:tc>
          <w:tcPr>
            <w:tcW w:w="2110" w:type="dxa"/>
            <w:shd w:val="clear" w:color="auto" w:fill="auto"/>
            <w:vAlign w:val="center"/>
          </w:tcPr>
          <w:p w14:paraId="75706EAF" w14:textId="77777777" w:rsidR="006E309B" w:rsidRPr="00A671DC" w:rsidRDefault="006E309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p>
        </w:tc>
        <w:tc>
          <w:tcPr>
            <w:tcW w:w="1049" w:type="dxa"/>
            <w:vMerge w:val="restart"/>
            <w:vAlign w:val="center"/>
          </w:tcPr>
          <w:p w14:paraId="75532B34" w14:textId="77777777" w:rsidR="006E309B" w:rsidRPr="00A671DC" w:rsidRDefault="006E309B" w:rsidP="00CC177A">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5</w:t>
            </w:r>
            <w:r>
              <w:rPr>
                <w:rFonts w:eastAsia="Gulim" w:cs="Calibri Light"/>
                <w:color w:val="000000"/>
                <w:sz w:val="20"/>
                <w:szCs w:val="20"/>
                <w:lang w:eastAsia="ko-KR"/>
              </w:rPr>
              <w:t>5,</w:t>
            </w:r>
            <w:r w:rsidRPr="00A671DC">
              <w:rPr>
                <w:rFonts w:eastAsia="Gulim" w:cs="Calibri Light"/>
                <w:color w:val="000000"/>
                <w:sz w:val="20"/>
                <w:szCs w:val="20"/>
                <w:lang w:eastAsia="ko-KR"/>
              </w:rPr>
              <w:t>000</w:t>
            </w:r>
          </w:p>
        </w:tc>
        <w:tc>
          <w:tcPr>
            <w:tcW w:w="1049" w:type="dxa"/>
            <w:vMerge/>
            <w:shd w:val="clear" w:color="auto" w:fill="auto"/>
            <w:vAlign w:val="center"/>
          </w:tcPr>
          <w:p w14:paraId="12AD5F02" w14:textId="2BE27273"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496" w:type="dxa"/>
            <w:vAlign w:val="center"/>
          </w:tcPr>
          <w:p w14:paraId="20227F9C" w14:textId="77777777" w:rsidR="006E309B" w:rsidRPr="00BC7C7E" w:rsidRDefault="006E309B" w:rsidP="00CC177A">
            <w:pPr>
              <w:spacing w:before="0" w:after="0" w:line="240" w:lineRule="auto"/>
              <w:ind w:right="33"/>
              <w:jc w:val="center"/>
              <w:rPr>
                <w:rFonts w:eastAsia="Gulim" w:cs="Calibri Light"/>
                <w:bCs/>
                <w:sz w:val="20"/>
                <w:szCs w:val="20"/>
                <w:lang w:eastAsia="ko-KR"/>
              </w:rPr>
            </w:pPr>
            <w:r>
              <w:rPr>
                <w:rFonts w:eastAsia="Gulim" w:cs="Calibri Light"/>
                <w:color w:val="000000"/>
                <w:sz w:val="20"/>
                <w:szCs w:val="20"/>
                <w:lang w:eastAsia="ko-KR"/>
              </w:rPr>
              <w:t>76.0</w:t>
            </w:r>
            <w:r w:rsidRPr="00BC7C7E">
              <w:rPr>
                <w:rFonts w:eastAsia="Gulim" w:cs="Calibri Light"/>
                <w:color w:val="000000"/>
                <w:sz w:val="20"/>
                <w:szCs w:val="20"/>
                <w:lang w:eastAsia="ko-KR"/>
              </w:rPr>
              <w:t>%</w:t>
            </w:r>
          </w:p>
        </w:tc>
        <w:tc>
          <w:tcPr>
            <w:tcW w:w="1401" w:type="dxa"/>
            <w:vMerge/>
            <w:shd w:val="clear" w:color="auto" w:fill="auto"/>
            <w:noWrap/>
            <w:vAlign w:val="center"/>
          </w:tcPr>
          <w:p w14:paraId="668639C5" w14:textId="6B14006C" w:rsidR="006E309B" w:rsidRPr="00BC7C7E" w:rsidRDefault="006E309B" w:rsidP="00CC177A">
            <w:pPr>
              <w:spacing w:before="0" w:after="0" w:line="240" w:lineRule="auto"/>
              <w:ind w:right="303"/>
              <w:jc w:val="right"/>
              <w:rPr>
                <w:rFonts w:eastAsia="Gulim" w:cs="Calibri Light"/>
                <w:bCs/>
                <w:sz w:val="20"/>
                <w:szCs w:val="20"/>
                <w:lang w:eastAsia="ko-KR"/>
              </w:rPr>
            </w:pPr>
          </w:p>
        </w:tc>
      </w:tr>
      <w:tr w:rsidR="006E309B" w:rsidRPr="002914D8" w14:paraId="1A1C11D6" w14:textId="77777777" w:rsidTr="00CC177A">
        <w:trPr>
          <w:cantSplit/>
          <w:trHeight w:val="20"/>
        </w:trPr>
        <w:tc>
          <w:tcPr>
            <w:tcW w:w="2110" w:type="dxa"/>
            <w:shd w:val="clear" w:color="auto" w:fill="auto"/>
            <w:vAlign w:val="center"/>
          </w:tcPr>
          <w:p w14:paraId="62E761E2" w14:textId="77777777" w:rsidR="006E309B" w:rsidRPr="00A671DC" w:rsidRDefault="006E309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ign w:val="center"/>
          </w:tcPr>
          <w:p w14:paraId="61A2F670" w14:textId="77777777" w:rsidR="006E309B" w:rsidRPr="00A671DC" w:rsidRDefault="006E309B" w:rsidP="00CC177A">
            <w:pPr>
              <w:spacing w:before="0" w:after="0" w:line="240" w:lineRule="auto"/>
              <w:rPr>
                <w:rFonts w:eastAsia="Gulim" w:cs="Calibri Light"/>
                <w:color w:val="000000"/>
                <w:sz w:val="20"/>
                <w:szCs w:val="20"/>
                <w:lang w:eastAsia="ko-KR"/>
              </w:rPr>
            </w:pPr>
          </w:p>
        </w:tc>
        <w:tc>
          <w:tcPr>
            <w:tcW w:w="1049" w:type="dxa"/>
            <w:vMerge/>
            <w:shd w:val="clear" w:color="auto" w:fill="auto"/>
            <w:vAlign w:val="center"/>
          </w:tcPr>
          <w:p w14:paraId="43D510A3" w14:textId="433AFA3A"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496" w:type="dxa"/>
            <w:vAlign w:val="center"/>
          </w:tcPr>
          <w:p w14:paraId="5FEC10E8" w14:textId="77777777" w:rsidR="006E309B" w:rsidRPr="00BC7C7E" w:rsidRDefault="006E309B" w:rsidP="00CC177A">
            <w:pPr>
              <w:spacing w:before="0" w:after="0" w:line="240" w:lineRule="auto"/>
              <w:ind w:right="33"/>
              <w:jc w:val="center"/>
              <w:rPr>
                <w:rFonts w:eastAsia="Gulim" w:cs="Calibri Light"/>
                <w:bCs/>
                <w:sz w:val="20"/>
                <w:szCs w:val="20"/>
                <w:lang w:eastAsia="ko-KR"/>
              </w:rPr>
            </w:pPr>
            <w:r>
              <w:rPr>
                <w:rFonts w:eastAsia="Gulim" w:cs="Calibri Light"/>
                <w:color w:val="000000"/>
                <w:sz w:val="20"/>
                <w:szCs w:val="20"/>
                <w:lang w:eastAsia="ko-KR"/>
              </w:rPr>
              <w:t>76.5</w:t>
            </w:r>
            <w:r w:rsidRPr="00BC7C7E">
              <w:rPr>
                <w:rFonts w:eastAsia="Gulim" w:cs="Calibri Light"/>
                <w:color w:val="000000"/>
                <w:sz w:val="20"/>
                <w:szCs w:val="20"/>
                <w:lang w:eastAsia="ko-KR"/>
              </w:rPr>
              <w:t>%</w:t>
            </w:r>
          </w:p>
        </w:tc>
        <w:tc>
          <w:tcPr>
            <w:tcW w:w="1401" w:type="dxa"/>
            <w:vMerge/>
            <w:shd w:val="clear" w:color="auto" w:fill="auto"/>
            <w:noWrap/>
            <w:vAlign w:val="center"/>
          </w:tcPr>
          <w:p w14:paraId="7E51905C" w14:textId="5D246BD2" w:rsidR="006E309B" w:rsidRPr="00BC7C7E" w:rsidRDefault="006E309B" w:rsidP="00CC177A">
            <w:pPr>
              <w:spacing w:before="0" w:after="0" w:line="240" w:lineRule="auto"/>
              <w:ind w:right="303"/>
              <w:jc w:val="right"/>
              <w:rPr>
                <w:rFonts w:eastAsia="Gulim" w:cs="Calibri Light"/>
                <w:bCs/>
                <w:sz w:val="20"/>
                <w:szCs w:val="20"/>
                <w:lang w:eastAsia="ko-KR"/>
              </w:rPr>
            </w:pPr>
          </w:p>
        </w:tc>
      </w:tr>
      <w:tr w:rsidR="006E309B" w:rsidRPr="002914D8" w14:paraId="257BD2B8" w14:textId="77777777" w:rsidTr="00CC177A">
        <w:trPr>
          <w:cantSplit/>
          <w:trHeight w:val="20"/>
        </w:trPr>
        <w:tc>
          <w:tcPr>
            <w:tcW w:w="2110" w:type="dxa"/>
            <w:shd w:val="clear" w:color="auto" w:fill="auto"/>
            <w:vAlign w:val="center"/>
          </w:tcPr>
          <w:p w14:paraId="41E4EE52" w14:textId="77777777" w:rsidR="006E309B" w:rsidRPr="00A671DC" w:rsidRDefault="006E309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C</w:t>
            </w:r>
          </w:p>
        </w:tc>
        <w:tc>
          <w:tcPr>
            <w:tcW w:w="1049" w:type="dxa"/>
            <w:vMerge/>
            <w:vAlign w:val="center"/>
          </w:tcPr>
          <w:p w14:paraId="0697A6BF" w14:textId="77777777" w:rsidR="006E309B" w:rsidRPr="00A671DC" w:rsidRDefault="006E309B" w:rsidP="00CC177A">
            <w:pPr>
              <w:spacing w:before="0" w:after="0" w:line="240" w:lineRule="auto"/>
              <w:rPr>
                <w:rFonts w:eastAsia="Gulim" w:cs="Calibri Light"/>
                <w:color w:val="000000"/>
                <w:sz w:val="20"/>
                <w:szCs w:val="20"/>
                <w:lang w:eastAsia="ko-KR"/>
              </w:rPr>
            </w:pPr>
          </w:p>
        </w:tc>
        <w:tc>
          <w:tcPr>
            <w:tcW w:w="1049" w:type="dxa"/>
            <w:vMerge/>
            <w:shd w:val="clear" w:color="auto" w:fill="auto"/>
            <w:vAlign w:val="center"/>
          </w:tcPr>
          <w:p w14:paraId="02E49088" w14:textId="4592DFBC"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496" w:type="dxa"/>
            <w:vAlign w:val="center"/>
          </w:tcPr>
          <w:p w14:paraId="15896C27" w14:textId="77777777" w:rsidR="006E309B" w:rsidRPr="00BC7C7E" w:rsidRDefault="006E309B" w:rsidP="00CC177A">
            <w:pPr>
              <w:spacing w:before="0" w:after="0" w:line="240" w:lineRule="auto"/>
              <w:ind w:right="33"/>
              <w:jc w:val="center"/>
              <w:rPr>
                <w:rFonts w:eastAsia="Gulim" w:cs="Calibri Light"/>
                <w:bCs/>
                <w:sz w:val="20"/>
                <w:szCs w:val="20"/>
                <w:lang w:eastAsia="ko-KR"/>
              </w:rPr>
            </w:pPr>
            <w:r>
              <w:rPr>
                <w:rFonts w:eastAsia="Gulim" w:cs="Calibri Light"/>
                <w:color w:val="000000"/>
                <w:sz w:val="20"/>
                <w:szCs w:val="20"/>
                <w:lang w:eastAsia="ko-KR"/>
              </w:rPr>
              <w:t>76.0</w:t>
            </w:r>
            <w:r w:rsidRPr="00BC7C7E">
              <w:rPr>
                <w:rFonts w:eastAsia="Gulim" w:cs="Calibri Light"/>
                <w:color w:val="000000"/>
                <w:sz w:val="20"/>
                <w:szCs w:val="20"/>
                <w:lang w:eastAsia="ko-KR"/>
              </w:rPr>
              <w:t>%</w:t>
            </w:r>
          </w:p>
        </w:tc>
        <w:tc>
          <w:tcPr>
            <w:tcW w:w="1401" w:type="dxa"/>
            <w:vMerge/>
            <w:shd w:val="clear" w:color="auto" w:fill="auto"/>
            <w:noWrap/>
            <w:vAlign w:val="center"/>
          </w:tcPr>
          <w:p w14:paraId="5406D73B" w14:textId="5788D1D1" w:rsidR="006E309B" w:rsidRPr="00BC7C7E" w:rsidRDefault="006E309B" w:rsidP="00CC177A">
            <w:pPr>
              <w:spacing w:before="0" w:after="0" w:line="240" w:lineRule="auto"/>
              <w:ind w:right="303"/>
              <w:jc w:val="right"/>
              <w:rPr>
                <w:rFonts w:eastAsia="Gulim" w:cs="Calibri Light"/>
                <w:bCs/>
                <w:sz w:val="20"/>
                <w:szCs w:val="20"/>
                <w:lang w:eastAsia="ko-KR"/>
              </w:rPr>
            </w:pPr>
          </w:p>
        </w:tc>
      </w:tr>
      <w:tr w:rsidR="006E309B" w:rsidRPr="002914D8" w14:paraId="08C63C4D" w14:textId="77777777" w:rsidTr="00CC177A">
        <w:trPr>
          <w:cantSplit/>
          <w:trHeight w:val="20"/>
        </w:trPr>
        <w:tc>
          <w:tcPr>
            <w:tcW w:w="2110" w:type="dxa"/>
            <w:shd w:val="clear" w:color="auto" w:fill="auto"/>
            <w:vAlign w:val="center"/>
          </w:tcPr>
          <w:p w14:paraId="1A4F9FFB" w14:textId="77777777" w:rsidR="006E309B" w:rsidRPr="00A671DC" w:rsidRDefault="006E309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p>
        </w:tc>
        <w:tc>
          <w:tcPr>
            <w:tcW w:w="1049" w:type="dxa"/>
            <w:vAlign w:val="center"/>
          </w:tcPr>
          <w:p w14:paraId="7BB9306E" w14:textId="77777777" w:rsidR="006E309B" w:rsidRPr="00A671DC" w:rsidRDefault="006E309B" w:rsidP="00CC177A">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60,000</w:t>
            </w:r>
          </w:p>
        </w:tc>
        <w:tc>
          <w:tcPr>
            <w:tcW w:w="1049" w:type="dxa"/>
            <w:vMerge/>
            <w:shd w:val="clear" w:color="auto" w:fill="auto"/>
            <w:vAlign w:val="center"/>
          </w:tcPr>
          <w:p w14:paraId="0A83DA69" w14:textId="77F87CEF"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496" w:type="dxa"/>
            <w:vAlign w:val="center"/>
          </w:tcPr>
          <w:p w14:paraId="7F5E97BA" w14:textId="77777777" w:rsidR="006E309B" w:rsidRPr="00BC7C7E" w:rsidRDefault="006E309B" w:rsidP="00CC177A">
            <w:pPr>
              <w:spacing w:before="0" w:after="0" w:line="240" w:lineRule="auto"/>
              <w:ind w:right="33"/>
              <w:jc w:val="center"/>
              <w:rPr>
                <w:rFonts w:eastAsia="Gulim" w:cs="Calibri Light"/>
                <w:color w:val="000000"/>
                <w:sz w:val="20"/>
                <w:szCs w:val="20"/>
                <w:lang w:eastAsia="ko-KR"/>
              </w:rPr>
            </w:pPr>
            <w:r>
              <w:rPr>
                <w:rFonts w:eastAsia="Gulim" w:cs="Calibri Light"/>
                <w:color w:val="000000"/>
                <w:sz w:val="20"/>
                <w:szCs w:val="20"/>
                <w:lang w:eastAsia="ko-KR"/>
              </w:rPr>
              <w:t>76.1%</w:t>
            </w:r>
          </w:p>
        </w:tc>
        <w:tc>
          <w:tcPr>
            <w:tcW w:w="1401" w:type="dxa"/>
            <w:vMerge/>
            <w:shd w:val="clear" w:color="auto" w:fill="auto"/>
            <w:noWrap/>
            <w:vAlign w:val="center"/>
          </w:tcPr>
          <w:p w14:paraId="6AEFB381" w14:textId="5371F1C0" w:rsidR="006E309B" w:rsidRPr="00BC7C7E" w:rsidRDefault="006E309B" w:rsidP="00CC177A">
            <w:pPr>
              <w:spacing w:before="0" w:after="0" w:line="240" w:lineRule="auto"/>
              <w:ind w:right="303"/>
              <w:jc w:val="right"/>
              <w:rPr>
                <w:rFonts w:eastAsia="Gulim" w:cs="Calibri Light"/>
                <w:bCs/>
                <w:sz w:val="20"/>
                <w:szCs w:val="20"/>
                <w:lang w:eastAsia="ko-KR"/>
              </w:rPr>
            </w:pPr>
          </w:p>
        </w:tc>
      </w:tr>
      <w:tr w:rsidR="006E309B" w:rsidRPr="002914D8" w14:paraId="00DCD754" w14:textId="77777777" w:rsidTr="00CC177A">
        <w:trPr>
          <w:cantSplit/>
          <w:trHeight w:val="20"/>
        </w:trPr>
        <w:tc>
          <w:tcPr>
            <w:tcW w:w="2110" w:type="dxa"/>
            <w:shd w:val="clear" w:color="auto" w:fill="auto"/>
            <w:vAlign w:val="center"/>
          </w:tcPr>
          <w:p w14:paraId="380400C2" w14:textId="77777777" w:rsidR="006E309B" w:rsidRPr="00A671DC" w:rsidRDefault="006E309B" w:rsidP="00CC177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p>
        </w:tc>
        <w:tc>
          <w:tcPr>
            <w:tcW w:w="1049" w:type="dxa"/>
            <w:vAlign w:val="center"/>
          </w:tcPr>
          <w:p w14:paraId="0C9DE174" w14:textId="77777777" w:rsidR="006E309B" w:rsidRPr="00A671DC" w:rsidRDefault="006E309B" w:rsidP="00CC177A">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65,000</w:t>
            </w:r>
          </w:p>
        </w:tc>
        <w:tc>
          <w:tcPr>
            <w:tcW w:w="1049" w:type="dxa"/>
            <w:vMerge/>
            <w:shd w:val="clear" w:color="auto" w:fill="auto"/>
            <w:vAlign w:val="center"/>
          </w:tcPr>
          <w:p w14:paraId="1FDEE3DA" w14:textId="39FDB903" w:rsidR="006E309B" w:rsidRPr="00A671DC" w:rsidRDefault="006E309B" w:rsidP="00CC177A">
            <w:pPr>
              <w:spacing w:before="0" w:after="0" w:line="240" w:lineRule="auto"/>
              <w:jc w:val="center"/>
              <w:rPr>
                <w:rFonts w:eastAsia="Gulim" w:cs="Calibri Light"/>
                <w:color w:val="000000"/>
                <w:sz w:val="20"/>
                <w:szCs w:val="20"/>
                <w:lang w:eastAsia="ko-KR"/>
              </w:rPr>
            </w:pPr>
          </w:p>
        </w:tc>
        <w:tc>
          <w:tcPr>
            <w:tcW w:w="1496" w:type="dxa"/>
            <w:vAlign w:val="center"/>
          </w:tcPr>
          <w:p w14:paraId="44D7EB53" w14:textId="77777777" w:rsidR="006E309B" w:rsidRPr="00BC7C7E" w:rsidRDefault="006E309B" w:rsidP="00CC177A">
            <w:pPr>
              <w:spacing w:before="0" w:after="0" w:line="240" w:lineRule="auto"/>
              <w:ind w:right="33"/>
              <w:jc w:val="center"/>
              <w:rPr>
                <w:rFonts w:eastAsia="Gulim" w:cs="Calibri Light"/>
                <w:color w:val="000000"/>
                <w:sz w:val="20"/>
                <w:szCs w:val="20"/>
                <w:lang w:eastAsia="ko-KR"/>
              </w:rPr>
            </w:pPr>
            <w:r>
              <w:rPr>
                <w:rFonts w:eastAsia="Gulim" w:cs="Calibri Light"/>
                <w:color w:val="000000"/>
                <w:sz w:val="20"/>
                <w:szCs w:val="20"/>
                <w:lang w:eastAsia="ko-KR"/>
              </w:rPr>
              <w:t>76.0%</w:t>
            </w:r>
          </w:p>
        </w:tc>
        <w:tc>
          <w:tcPr>
            <w:tcW w:w="1401" w:type="dxa"/>
            <w:vMerge/>
            <w:shd w:val="clear" w:color="auto" w:fill="auto"/>
            <w:noWrap/>
            <w:vAlign w:val="center"/>
          </w:tcPr>
          <w:p w14:paraId="2A6BB3C8" w14:textId="781EFD6F" w:rsidR="006E309B" w:rsidRPr="00BC7C7E" w:rsidRDefault="006E309B" w:rsidP="00CC177A">
            <w:pPr>
              <w:spacing w:before="0" w:after="0" w:line="240" w:lineRule="auto"/>
              <w:ind w:right="303"/>
              <w:jc w:val="right"/>
              <w:rPr>
                <w:rFonts w:eastAsia="Gulim" w:cs="Calibri Light"/>
                <w:bCs/>
                <w:sz w:val="20"/>
                <w:szCs w:val="20"/>
                <w:lang w:eastAsia="ko-KR"/>
              </w:rPr>
            </w:pPr>
          </w:p>
        </w:tc>
      </w:tr>
    </w:tbl>
    <w:p w14:paraId="087B1F79" w14:textId="77777777" w:rsidR="008811F3" w:rsidRDefault="008811F3" w:rsidP="00987208">
      <w:pPr>
        <w:rPr>
          <w:lang w:eastAsia="ko-KR"/>
        </w:rPr>
      </w:pPr>
    </w:p>
    <w:p w14:paraId="2E358531" w14:textId="1F407FFF" w:rsidR="00F44FBB" w:rsidRDefault="00F44FBB" w:rsidP="00987208">
      <w:pPr>
        <w:rPr>
          <w:lang w:eastAsia="ko-KR"/>
        </w:rPr>
      </w:pPr>
      <w:r>
        <w:rPr>
          <w:lang w:eastAsia="ko-KR"/>
        </w:rPr>
        <w:t>The base case efficiencies and assumptions used in calculations are presented below</w:t>
      </w:r>
      <w:r w:rsidR="007E2735">
        <w:rPr>
          <w:lang w:eastAsia="ko-KR"/>
        </w:rPr>
        <w:t>.</w:t>
      </w:r>
    </w:p>
    <w:p w14:paraId="7982DAE7" w14:textId="77777777" w:rsidR="00F44FBB" w:rsidRDefault="00F44FBB" w:rsidP="00F44FBB">
      <w:pPr>
        <w:pStyle w:val="Caption"/>
      </w:pPr>
      <w:r>
        <w:t>Base Case Specification</w:t>
      </w:r>
    </w:p>
    <w:tbl>
      <w:tblPr>
        <w:tblStyle w:val="TableGrid"/>
        <w:tblpPr w:leftFromText="180" w:rightFromText="180" w:vertAnchor="text" w:tblpY="1"/>
        <w:tblOverlap w:val="neve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60"/>
        <w:gridCol w:w="2160"/>
        <w:gridCol w:w="2160"/>
        <w:gridCol w:w="2160"/>
      </w:tblGrid>
      <w:tr w:rsidR="00F44FBB" w:rsidRPr="00025DB2" w14:paraId="2C8B9E31" w14:textId="77777777" w:rsidTr="00A7339C">
        <w:tc>
          <w:tcPr>
            <w:tcW w:w="2160" w:type="dxa"/>
            <w:shd w:val="clear" w:color="auto" w:fill="F2F2F2" w:themeFill="background1" w:themeFillShade="F2"/>
            <w:vAlign w:val="bottom"/>
          </w:tcPr>
          <w:p w14:paraId="2C14C7F4" w14:textId="09DACFA4" w:rsidR="00F44FBB" w:rsidRPr="00025DB2" w:rsidRDefault="00F44FBB" w:rsidP="00A7339C">
            <w:pPr>
              <w:spacing w:before="0" w:after="0" w:line="240" w:lineRule="auto"/>
              <w:jc w:val="center"/>
              <w:rPr>
                <w:rFonts w:eastAsia="Times New Roman" w:cs="Arial"/>
                <w:b/>
                <w:sz w:val="20"/>
                <w:szCs w:val="16"/>
              </w:rPr>
            </w:pPr>
            <w:r>
              <w:rPr>
                <w:rFonts w:eastAsia="Times New Roman" w:cs="Arial"/>
                <w:b/>
                <w:sz w:val="20"/>
                <w:szCs w:val="16"/>
              </w:rPr>
              <w:t>Building</w:t>
            </w:r>
            <w:r w:rsidRPr="00025DB2">
              <w:rPr>
                <w:rFonts w:eastAsia="Times New Roman" w:cs="Arial"/>
                <w:b/>
                <w:sz w:val="20"/>
                <w:szCs w:val="16"/>
              </w:rPr>
              <w:t xml:space="preserve"> Type</w:t>
            </w:r>
          </w:p>
        </w:tc>
        <w:tc>
          <w:tcPr>
            <w:tcW w:w="2160" w:type="dxa"/>
            <w:shd w:val="clear" w:color="auto" w:fill="F2F2F2" w:themeFill="background1" w:themeFillShade="F2"/>
          </w:tcPr>
          <w:p w14:paraId="3447B52E" w14:textId="77777777" w:rsidR="00F44FBB" w:rsidRPr="00025DB2" w:rsidRDefault="00F44FBB" w:rsidP="00A7339C">
            <w:pPr>
              <w:spacing w:before="0" w:after="0" w:line="240" w:lineRule="auto"/>
              <w:jc w:val="center"/>
              <w:rPr>
                <w:rFonts w:eastAsia="Times New Roman" w:cs="Arial"/>
                <w:b/>
                <w:sz w:val="20"/>
                <w:szCs w:val="16"/>
              </w:rPr>
            </w:pPr>
            <w:r>
              <w:rPr>
                <w:rFonts w:eastAsia="Times New Roman" w:cs="Arial"/>
                <w:b/>
                <w:sz w:val="20"/>
                <w:szCs w:val="16"/>
              </w:rPr>
              <w:t>Measure Offering ID</w:t>
            </w:r>
          </w:p>
        </w:tc>
        <w:tc>
          <w:tcPr>
            <w:tcW w:w="2160" w:type="dxa"/>
            <w:shd w:val="clear" w:color="auto" w:fill="F2F2F2" w:themeFill="background1" w:themeFillShade="F2"/>
            <w:vAlign w:val="bottom"/>
          </w:tcPr>
          <w:p w14:paraId="3DFE81E0" w14:textId="77777777" w:rsidR="00F44FBB" w:rsidRPr="00025DB2" w:rsidRDefault="00F44FBB" w:rsidP="00A7339C">
            <w:pPr>
              <w:spacing w:before="0" w:after="0" w:line="240" w:lineRule="auto"/>
              <w:jc w:val="center"/>
              <w:rPr>
                <w:rFonts w:eastAsia="Times New Roman" w:cs="Arial"/>
                <w:b/>
                <w:sz w:val="20"/>
                <w:szCs w:val="16"/>
              </w:rPr>
            </w:pPr>
            <w:r w:rsidRPr="00025DB2">
              <w:rPr>
                <w:rFonts w:eastAsia="Times New Roman" w:cs="Arial"/>
                <w:b/>
                <w:sz w:val="20"/>
                <w:szCs w:val="16"/>
              </w:rPr>
              <w:t xml:space="preserve">Efficiency </w:t>
            </w:r>
            <w:r>
              <w:rPr>
                <w:rFonts w:eastAsia="Times New Roman" w:cs="Arial"/>
                <w:b/>
                <w:sz w:val="20"/>
                <w:szCs w:val="16"/>
              </w:rPr>
              <w:br/>
            </w:r>
            <w:r w:rsidRPr="00025DB2">
              <w:rPr>
                <w:rFonts w:eastAsia="Times New Roman" w:cs="Arial"/>
                <w:b/>
                <w:sz w:val="20"/>
                <w:szCs w:val="16"/>
              </w:rPr>
              <w:t>(AFUE)</w:t>
            </w:r>
          </w:p>
        </w:tc>
        <w:tc>
          <w:tcPr>
            <w:tcW w:w="2160" w:type="dxa"/>
            <w:shd w:val="clear" w:color="auto" w:fill="F2F2F2" w:themeFill="background1" w:themeFillShade="F2"/>
            <w:vAlign w:val="bottom"/>
          </w:tcPr>
          <w:p w14:paraId="67C931E2" w14:textId="7AEF86E5" w:rsidR="00F44FBB" w:rsidRPr="00025DB2" w:rsidRDefault="00F44FBB" w:rsidP="00A7339C">
            <w:pPr>
              <w:spacing w:before="0" w:after="0" w:line="240" w:lineRule="auto"/>
              <w:jc w:val="center"/>
              <w:rPr>
                <w:rFonts w:eastAsia="Times New Roman" w:cs="Arial"/>
                <w:b/>
                <w:sz w:val="20"/>
                <w:szCs w:val="16"/>
              </w:rPr>
            </w:pPr>
            <w:r w:rsidRPr="00025DB2">
              <w:rPr>
                <w:rFonts w:eastAsia="Times New Roman" w:cs="Arial"/>
                <w:b/>
                <w:sz w:val="20"/>
                <w:szCs w:val="16"/>
              </w:rPr>
              <w:t xml:space="preserve">Input Capacity </w:t>
            </w:r>
            <w:r>
              <w:rPr>
                <w:rFonts w:eastAsia="Times New Roman" w:cs="Arial"/>
                <w:b/>
                <w:sz w:val="20"/>
                <w:szCs w:val="16"/>
              </w:rPr>
              <w:br/>
            </w:r>
            <w:r w:rsidRPr="00025DB2">
              <w:rPr>
                <w:rFonts w:eastAsia="Times New Roman" w:cs="Arial"/>
                <w:b/>
                <w:sz w:val="20"/>
                <w:szCs w:val="16"/>
              </w:rPr>
              <w:t>(Btu/</w:t>
            </w:r>
            <w:proofErr w:type="spellStart"/>
            <w:r w:rsidRPr="00025DB2">
              <w:rPr>
                <w:rFonts w:eastAsia="Times New Roman" w:cs="Arial"/>
                <w:b/>
                <w:sz w:val="20"/>
                <w:szCs w:val="16"/>
              </w:rPr>
              <w:t>hr</w:t>
            </w:r>
            <w:proofErr w:type="spellEnd"/>
            <w:r w:rsidRPr="00025DB2">
              <w:rPr>
                <w:rFonts w:eastAsia="Times New Roman" w:cs="Arial"/>
                <w:b/>
                <w:sz w:val="20"/>
                <w:szCs w:val="16"/>
              </w:rPr>
              <w:t>)</w:t>
            </w:r>
          </w:p>
        </w:tc>
      </w:tr>
      <w:tr w:rsidR="00F44FBB" w:rsidRPr="00025DB2" w14:paraId="4370A423" w14:textId="77777777" w:rsidTr="00A7339C">
        <w:tc>
          <w:tcPr>
            <w:tcW w:w="2160" w:type="dxa"/>
            <w:vMerge w:val="restart"/>
          </w:tcPr>
          <w:p w14:paraId="034097A5" w14:textId="77777777" w:rsidR="00F44FBB" w:rsidRDefault="00F44FBB" w:rsidP="00A7339C">
            <w:pPr>
              <w:spacing w:before="0" w:after="0" w:line="240" w:lineRule="auto"/>
              <w:rPr>
                <w:rFonts w:eastAsia="Times New Roman" w:cs="Arial"/>
                <w:sz w:val="20"/>
                <w:szCs w:val="16"/>
              </w:rPr>
            </w:pPr>
          </w:p>
          <w:p w14:paraId="60064040" w14:textId="77777777" w:rsidR="00F44FBB" w:rsidRDefault="00F44FBB" w:rsidP="00A7339C">
            <w:pPr>
              <w:spacing w:before="0" w:after="0" w:line="240" w:lineRule="auto"/>
              <w:rPr>
                <w:rFonts w:eastAsia="Times New Roman" w:cs="Arial"/>
                <w:sz w:val="20"/>
                <w:szCs w:val="16"/>
              </w:rPr>
            </w:pPr>
            <w:r>
              <w:rPr>
                <w:rFonts w:eastAsia="Times New Roman" w:cs="Arial"/>
                <w:sz w:val="20"/>
                <w:szCs w:val="16"/>
              </w:rPr>
              <w:t>Residential</w:t>
            </w:r>
            <w:r w:rsidRPr="00025DB2">
              <w:rPr>
                <w:rFonts w:eastAsia="Times New Roman" w:cs="Arial"/>
                <w:sz w:val="20"/>
                <w:szCs w:val="16"/>
              </w:rPr>
              <w:t xml:space="preserve"> </w:t>
            </w:r>
            <w:r>
              <w:rPr>
                <w:rFonts w:eastAsia="Times New Roman" w:cs="Arial"/>
                <w:sz w:val="20"/>
                <w:szCs w:val="16"/>
              </w:rPr>
              <w:t>(Gravity)</w:t>
            </w:r>
          </w:p>
        </w:tc>
        <w:tc>
          <w:tcPr>
            <w:tcW w:w="2160" w:type="dxa"/>
          </w:tcPr>
          <w:p w14:paraId="6ADBB0A4" w14:textId="77777777" w:rsidR="00F44FBB" w:rsidRDefault="00F44FBB" w:rsidP="00A7339C">
            <w:pPr>
              <w:spacing w:before="0" w:after="0" w:line="240" w:lineRule="auto"/>
              <w:jc w:val="center"/>
              <w:rPr>
                <w:rFonts w:eastAsia="Times New Roman" w:cs="Arial"/>
                <w:sz w:val="20"/>
                <w:szCs w:val="16"/>
              </w:rPr>
            </w:pPr>
            <w:r>
              <w:rPr>
                <w:rFonts w:eastAsia="Times New Roman" w:cs="Arial"/>
                <w:sz w:val="20"/>
                <w:szCs w:val="16"/>
              </w:rPr>
              <w:t>A</w:t>
            </w:r>
          </w:p>
        </w:tc>
        <w:tc>
          <w:tcPr>
            <w:tcW w:w="2160" w:type="dxa"/>
          </w:tcPr>
          <w:p w14:paraId="091468CF" w14:textId="77777777" w:rsidR="00F44FBB" w:rsidRPr="00025DB2" w:rsidRDefault="00F44FBB" w:rsidP="00A7339C">
            <w:pPr>
              <w:spacing w:before="0" w:after="0" w:line="240" w:lineRule="auto"/>
              <w:jc w:val="center"/>
              <w:rPr>
                <w:rFonts w:eastAsia="Times New Roman" w:cs="Arial"/>
                <w:sz w:val="20"/>
                <w:szCs w:val="16"/>
              </w:rPr>
            </w:pPr>
            <w:r>
              <w:rPr>
                <w:rFonts w:eastAsia="Times New Roman" w:cs="Arial"/>
                <w:sz w:val="20"/>
                <w:szCs w:val="16"/>
              </w:rPr>
              <w:t>65% AFUE</w:t>
            </w:r>
          </w:p>
        </w:tc>
        <w:tc>
          <w:tcPr>
            <w:tcW w:w="2160" w:type="dxa"/>
          </w:tcPr>
          <w:p w14:paraId="6F058FF5" w14:textId="77777777" w:rsidR="00F44FBB" w:rsidRDefault="00F44FBB" w:rsidP="00A7339C">
            <w:pPr>
              <w:spacing w:before="0" w:after="0" w:line="240" w:lineRule="auto"/>
              <w:jc w:val="center"/>
              <w:rPr>
                <w:rFonts w:eastAsia="Times New Roman" w:cs="Arial"/>
                <w:sz w:val="20"/>
                <w:szCs w:val="16"/>
              </w:rPr>
            </w:pPr>
            <w:r>
              <w:rPr>
                <w:rFonts w:eastAsia="Times New Roman" w:cs="Arial"/>
                <w:sz w:val="20"/>
                <w:szCs w:val="16"/>
              </w:rPr>
              <w:t>25,000</w:t>
            </w:r>
          </w:p>
        </w:tc>
      </w:tr>
      <w:tr w:rsidR="00F44FBB" w:rsidRPr="00025DB2" w14:paraId="5394F763" w14:textId="77777777" w:rsidTr="00A7339C">
        <w:tc>
          <w:tcPr>
            <w:tcW w:w="2160" w:type="dxa"/>
            <w:vMerge/>
          </w:tcPr>
          <w:p w14:paraId="5355AF8D" w14:textId="77777777" w:rsidR="00F44FBB" w:rsidRDefault="00F44FBB" w:rsidP="00A7339C">
            <w:pPr>
              <w:spacing w:before="0" w:after="0" w:line="240" w:lineRule="auto"/>
              <w:rPr>
                <w:rFonts w:eastAsia="Times New Roman" w:cs="Arial"/>
                <w:sz w:val="20"/>
                <w:szCs w:val="16"/>
              </w:rPr>
            </w:pPr>
          </w:p>
        </w:tc>
        <w:tc>
          <w:tcPr>
            <w:tcW w:w="2160" w:type="dxa"/>
          </w:tcPr>
          <w:p w14:paraId="193C9016" w14:textId="77777777" w:rsidR="00F44FBB" w:rsidRDefault="00F44FBB" w:rsidP="00A7339C">
            <w:pPr>
              <w:spacing w:before="0" w:after="0" w:line="240" w:lineRule="auto"/>
              <w:jc w:val="center"/>
              <w:rPr>
                <w:rFonts w:eastAsia="Times New Roman" w:cs="Arial"/>
                <w:sz w:val="20"/>
                <w:szCs w:val="16"/>
              </w:rPr>
            </w:pPr>
            <w:r>
              <w:rPr>
                <w:rFonts w:eastAsia="Times New Roman" w:cs="Arial"/>
                <w:sz w:val="20"/>
                <w:szCs w:val="16"/>
              </w:rPr>
              <w:t>B</w:t>
            </w:r>
          </w:p>
        </w:tc>
        <w:tc>
          <w:tcPr>
            <w:tcW w:w="2160" w:type="dxa"/>
          </w:tcPr>
          <w:p w14:paraId="437069FE" w14:textId="77777777" w:rsidR="00F44FBB" w:rsidRPr="00025DB2" w:rsidRDefault="00F44FBB" w:rsidP="00A7339C">
            <w:pPr>
              <w:spacing w:before="0" w:after="0" w:line="240" w:lineRule="auto"/>
              <w:jc w:val="center"/>
              <w:rPr>
                <w:rFonts w:eastAsia="Times New Roman" w:cs="Arial"/>
                <w:sz w:val="20"/>
                <w:szCs w:val="16"/>
              </w:rPr>
            </w:pPr>
            <w:r>
              <w:rPr>
                <w:rFonts w:eastAsia="Times New Roman" w:cs="Arial"/>
                <w:sz w:val="20"/>
                <w:szCs w:val="16"/>
              </w:rPr>
              <w:t>66% AFUE</w:t>
            </w:r>
          </w:p>
        </w:tc>
        <w:tc>
          <w:tcPr>
            <w:tcW w:w="2160" w:type="dxa"/>
          </w:tcPr>
          <w:p w14:paraId="4A9F127C" w14:textId="77777777" w:rsidR="00F44FBB" w:rsidRDefault="00F44FBB" w:rsidP="00A7339C">
            <w:pPr>
              <w:spacing w:before="0" w:after="0" w:line="240" w:lineRule="auto"/>
              <w:jc w:val="center"/>
              <w:rPr>
                <w:rFonts w:eastAsia="Times New Roman" w:cs="Arial"/>
                <w:sz w:val="20"/>
                <w:szCs w:val="16"/>
              </w:rPr>
            </w:pPr>
            <w:r>
              <w:rPr>
                <w:rFonts w:eastAsia="Times New Roman" w:cs="Arial"/>
                <w:sz w:val="20"/>
                <w:szCs w:val="16"/>
              </w:rPr>
              <w:t>35,000</w:t>
            </w:r>
          </w:p>
        </w:tc>
      </w:tr>
      <w:tr w:rsidR="00F44FBB" w:rsidRPr="00025DB2" w14:paraId="4A59D907" w14:textId="77777777" w:rsidTr="00A7339C">
        <w:tc>
          <w:tcPr>
            <w:tcW w:w="2160" w:type="dxa"/>
            <w:vMerge/>
          </w:tcPr>
          <w:p w14:paraId="14E370BA" w14:textId="77777777" w:rsidR="00F44FBB" w:rsidRDefault="00F44FBB" w:rsidP="00A7339C">
            <w:pPr>
              <w:spacing w:before="0" w:after="0" w:line="240" w:lineRule="auto"/>
              <w:rPr>
                <w:rFonts w:eastAsia="Times New Roman" w:cs="Arial"/>
                <w:sz w:val="20"/>
                <w:szCs w:val="16"/>
              </w:rPr>
            </w:pPr>
          </w:p>
        </w:tc>
        <w:tc>
          <w:tcPr>
            <w:tcW w:w="2160" w:type="dxa"/>
          </w:tcPr>
          <w:p w14:paraId="7468484A" w14:textId="77777777" w:rsidR="00F44FBB" w:rsidRDefault="00F44FBB" w:rsidP="00A7339C">
            <w:pPr>
              <w:spacing w:before="0" w:after="0" w:line="240" w:lineRule="auto"/>
              <w:jc w:val="center"/>
              <w:rPr>
                <w:rFonts w:eastAsia="Times New Roman" w:cs="Arial"/>
                <w:sz w:val="20"/>
                <w:szCs w:val="16"/>
              </w:rPr>
            </w:pPr>
            <w:r>
              <w:rPr>
                <w:rFonts w:eastAsia="Times New Roman" w:cs="Arial"/>
                <w:sz w:val="20"/>
                <w:szCs w:val="16"/>
              </w:rPr>
              <w:t>C</w:t>
            </w:r>
          </w:p>
        </w:tc>
        <w:tc>
          <w:tcPr>
            <w:tcW w:w="2160" w:type="dxa"/>
          </w:tcPr>
          <w:p w14:paraId="5FAA2BFA" w14:textId="77777777" w:rsidR="00F44FBB" w:rsidRPr="00025DB2" w:rsidRDefault="00F44FBB" w:rsidP="00A7339C">
            <w:pPr>
              <w:spacing w:before="0" w:after="0" w:line="240" w:lineRule="auto"/>
              <w:jc w:val="center"/>
              <w:rPr>
                <w:rFonts w:eastAsia="Times New Roman" w:cs="Arial"/>
                <w:sz w:val="20"/>
                <w:szCs w:val="16"/>
              </w:rPr>
            </w:pPr>
            <w:r>
              <w:rPr>
                <w:rFonts w:eastAsia="Times New Roman" w:cs="Arial"/>
                <w:sz w:val="20"/>
                <w:szCs w:val="16"/>
              </w:rPr>
              <w:t>67% AFUE</w:t>
            </w:r>
          </w:p>
        </w:tc>
        <w:tc>
          <w:tcPr>
            <w:tcW w:w="2160" w:type="dxa"/>
          </w:tcPr>
          <w:p w14:paraId="1E6601A5" w14:textId="77777777" w:rsidR="00F44FBB" w:rsidRDefault="00F44FBB" w:rsidP="00A7339C">
            <w:pPr>
              <w:spacing w:before="0" w:after="0" w:line="240" w:lineRule="auto"/>
              <w:jc w:val="center"/>
              <w:rPr>
                <w:rFonts w:eastAsia="Times New Roman" w:cs="Arial"/>
                <w:sz w:val="20"/>
                <w:szCs w:val="16"/>
              </w:rPr>
            </w:pPr>
            <w:r>
              <w:rPr>
                <w:rFonts w:eastAsia="Times New Roman" w:cs="Arial"/>
                <w:sz w:val="20"/>
                <w:szCs w:val="16"/>
              </w:rPr>
              <w:t>50,000</w:t>
            </w:r>
          </w:p>
        </w:tc>
      </w:tr>
      <w:tr w:rsidR="00F44FBB" w:rsidRPr="00025DB2" w14:paraId="08C1E4D3" w14:textId="77777777" w:rsidTr="00A7339C">
        <w:tc>
          <w:tcPr>
            <w:tcW w:w="2160" w:type="dxa"/>
          </w:tcPr>
          <w:p w14:paraId="73E7C352" w14:textId="77777777" w:rsidR="00F44FBB" w:rsidRPr="00025DB2" w:rsidRDefault="00F44FBB" w:rsidP="00A7339C">
            <w:pPr>
              <w:spacing w:before="0" w:after="0" w:line="240" w:lineRule="auto"/>
              <w:rPr>
                <w:rFonts w:eastAsia="Times New Roman" w:cs="Arial"/>
                <w:sz w:val="20"/>
                <w:szCs w:val="16"/>
              </w:rPr>
            </w:pPr>
            <w:r>
              <w:rPr>
                <w:rFonts w:eastAsia="Times New Roman" w:cs="Arial"/>
                <w:sz w:val="20"/>
                <w:szCs w:val="16"/>
              </w:rPr>
              <w:t>Residential</w:t>
            </w:r>
            <w:r w:rsidRPr="00025DB2">
              <w:rPr>
                <w:rFonts w:eastAsia="Times New Roman" w:cs="Arial"/>
                <w:sz w:val="20"/>
                <w:szCs w:val="16"/>
              </w:rPr>
              <w:t xml:space="preserve"> </w:t>
            </w:r>
            <w:r>
              <w:rPr>
                <w:rFonts w:eastAsia="Times New Roman" w:cs="Arial"/>
                <w:sz w:val="20"/>
                <w:szCs w:val="16"/>
              </w:rPr>
              <w:t>(Fan Type)</w:t>
            </w:r>
          </w:p>
        </w:tc>
        <w:tc>
          <w:tcPr>
            <w:tcW w:w="2160" w:type="dxa"/>
          </w:tcPr>
          <w:p w14:paraId="1D3D2291" w14:textId="77777777" w:rsidR="00F44FBB" w:rsidRDefault="00F44FBB" w:rsidP="00A7339C">
            <w:pPr>
              <w:spacing w:before="0" w:after="0" w:line="240" w:lineRule="auto"/>
              <w:jc w:val="center"/>
              <w:rPr>
                <w:rFonts w:eastAsia="Times New Roman" w:cs="Arial"/>
                <w:sz w:val="20"/>
                <w:szCs w:val="16"/>
              </w:rPr>
            </w:pPr>
            <w:r>
              <w:rPr>
                <w:rFonts w:eastAsia="Times New Roman" w:cs="Arial"/>
                <w:sz w:val="20"/>
                <w:szCs w:val="16"/>
              </w:rPr>
              <w:t>D</w:t>
            </w:r>
          </w:p>
        </w:tc>
        <w:tc>
          <w:tcPr>
            <w:tcW w:w="2160" w:type="dxa"/>
          </w:tcPr>
          <w:p w14:paraId="4D63DF3B" w14:textId="77777777" w:rsidR="00F44FBB" w:rsidRPr="00025DB2" w:rsidRDefault="00F44FBB" w:rsidP="00A7339C">
            <w:pPr>
              <w:spacing w:before="0" w:after="0" w:line="240" w:lineRule="auto"/>
              <w:jc w:val="center"/>
              <w:rPr>
                <w:rFonts w:eastAsia="Times New Roman" w:cs="Arial"/>
                <w:sz w:val="20"/>
                <w:szCs w:val="16"/>
              </w:rPr>
            </w:pPr>
            <w:r>
              <w:rPr>
                <w:rFonts w:eastAsia="Times New Roman" w:cs="Arial"/>
                <w:sz w:val="20"/>
                <w:szCs w:val="16"/>
              </w:rPr>
              <w:t>75</w:t>
            </w:r>
            <w:r w:rsidRPr="00025DB2">
              <w:rPr>
                <w:rFonts w:eastAsia="Times New Roman" w:cs="Arial"/>
                <w:sz w:val="20"/>
                <w:szCs w:val="16"/>
              </w:rPr>
              <w:t>% AFUE</w:t>
            </w:r>
          </w:p>
        </w:tc>
        <w:tc>
          <w:tcPr>
            <w:tcW w:w="2160" w:type="dxa"/>
          </w:tcPr>
          <w:p w14:paraId="0B77AA03" w14:textId="77777777" w:rsidR="00F44FBB" w:rsidRPr="00025DB2" w:rsidRDefault="00F44FBB" w:rsidP="00A7339C">
            <w:pPr>
              <w:spacing w:before="0" w:after="0" w:line="240" w:lineRule="auto"/>
              <w:jc w:val="center"/>
              <w:rPr>
                <w:rFonts w:eastAsia="Times New Roman" w:cs="Arial"/>
                <w:sz w:val="20"/>
                <w:szCs w:val="16"/>
              </w:rPr>
            </w:pPr>
            <w:r>
              <w:rPr>
                <w:rFonts w:eastAsia="Times New Roman" w:cs="Arial"/>
                <w:sz w:val="20"/>
                <w:szCs w:val="16"/>
              </w:rPr>
              <w:t>30,000</w:t>
            </w:r>
          </w:p>
        </w:tc>
      </w:tr>
    </w:tbl>
    <w:p w14:paraId="29815064" w14:textId="5E1CF84F" w:rsidR="00F44FBB" w:rsidRDefault="00F44FBB" w:rsidP="00987208">
      <w:pPr>
        <w:rPr>
          <w:lang w:eastAsia="ko-KR"/>
        </w:rPr>
      </w:pPr>
    </w:p>
    <w:p w14:paraId="186EE1DE" w14:textId="77777777" w:rsidR="00F44FBB" w:rsidRDefault="00F44FBB" w:rsidP="00987208">
      <w:pPr>
        <w:rPr>
          <w:lang w:eastAsia="ko-KR"/>
        </w:rPr>
      </w:pPr>
    </w:p>
    <w:p w14:paraId="426B5F07" w14:textId="77777777" w:rsidR="007E2735" w:rsidRDefault="007E2735" w:rsidP="004F705B">
      <w:pPr>
        <w:pStyle w:val="eTRMHeading3"/>
      </w:pPr>
      <w:bookmarkStart w:id="17" w:name="_Toc486490850"/>
      <w:bookmarkStart w:id="18" w:name="_Toc486580921"/>
      <w:bookmarkStart w:id="19" w:name="_Toc7184823"/>
    </w:p>
    <w:p w14:paraId="4D4F142B" w14:textId="77777777" w:rsidR="007E2735" w:rsidRDefault="007E2735" w:rsidP="004F705B">
      <w:pPr>
        <w:pStyle w:val="eTRMHeading3"/>
      </w:pPr>
    </w:p>
    <w:p w14:paraId="4ED2B6E7" w14:textId="77777777" w:rsidR="007E2735" w:rsidRDefault="007E2735" w:rsidP="007E2735"/>
    <w:p w14:paraId="7D9DA4A6" w14:textId="6DC58D82" w:rsidR="007D230B" w:rsidRPr="002914D8" w:rsidRDefault="007D230B" w:rsidP="004F705B">
      <w:pPr>
        <w:pStyle w:val="eTRMHeading3"/>
      </w:pPr>
      <w:r w:rsidRPr="002914D8">
        <w:t>Code Requirements</w:t>
      </w:r>
      <w:bookmarkEnd w:id="17"/>
      <w:bookmarkEnd w:id="18"/>
      <w:bookmarkEnd w:id="19"/>
    </w:p>
    <w:p w14:paraId="1785CBE1" w14:textId="16EC194B" w:rsidR="00BE2BF6" w:rsidRDefault="00933919" w:rsidP="00465FF0">
      <w:r w:rsidRPr="00042677">
        <w:t>The efficiency requireme</w:t>
      </w:r>
      <w:r w:rsidR="00FD712F" w:rsidRPr="00042677">
        <w:t>n</w:t>
      </w:r>
      <w:r w:rsidRPr="00042677">
        <w:t xml:space="preserve">ts for gas wall furnaces are </w:t>
      </w:r>
      <w:r w:rsidR="007322AC" w:rsidRPr="00042677">
        <w:t xml:space="preserve">governed by the </w:t>
      </w:r>
      <w:r w:rsidRPr="00042677">
        <w:t xml:space="preserve">California Appliance Efficiency </w:t>
      </w:r>
      <w:r w:rsidR="007322AC" w:rsidRPr="00042677">
        <w:t>Regulations (Title 20)</w:t>
      </w:r>
      <w:r w:rsidR="00042677" w:rsidRPr="00042677">
        <w:t>;</w:t>
      </w:r>
      <w:r w:rsidR="00F62B47" w:rsidRPr="00042677">
        <w:rPr>
          <w:rStyle w:val="FootnoteReference"/>
        </w:rPr>
        <w:footnoteReference w:id="2"/>
      </w:r>
      <w:r w:rsidR="007322AC" w:rsidRPr="00042677">
        <w:t xml:space="preserve"> </w:t>
      </w:r>
      <w:r w:rsidR="00201644" w:rsidRPr="00042677">
        <w:t xml:space="preserve">Section </w:t>
      </w:r>
      <w:r w:rsidR="00042677" w:rsidRPr="00042677">
        <w:t>1605.1</w:t>
      </w:r>
      <w:r w:rsidR="00201644" w:rsidRPr="00042677">
        <w:t xml:space="preserve"> </w:t>
      </w:r>
      <w:r w:rsidR="00FD712F" w:rsidRPr="00042677">
        <w:t xml:space="preserve">(Table E-2) </w:t>
      </w:r>
      <w:r w:rsidR="007322AC" w:rsidRPr="00042677">
        <w:t>specifies the minimum efficiencies of wall furnaces</w:t>
      </w:r>
      <w:r w:rsidR="00711849">
        <w:t>.</w:t>
      </w:r>
    </w:p>
    <w:p w14:paraId="7E96141F" w14:textId="17183A6B" w:rsidR="00FD2C54" w:rsidRPr="002914D8" w:rsidRDefault="00FD2C54" w:rsidP="0051686B">
      <w:pPr>
        <w:pStyle w:val="Caption"/>
        <w:keepNext w:val="0"/>
        <w:keepLines w:val="0"/>
      </w:pPr>
      <w:r w:rsidRPr="002914D8">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2914D8" w14:paraId="4623D54B" w14:textId="689B6080" w:rsidTr="0051686B">
        <w:trPr>
          <w:cantSplit/>
          <w:trHeight w:val="20"/>
          <w:tblHeader/>
        </w:trPr>
        <w:tc>
          <w:tcPr>
            <w:tcW w:w="4765" w:type="dxa"/>
            <w:shd w:val="clear" w:color="auto" w:fill="F2F2F2" w:themeFill="background1" w:themeFillShade="F2"/>
            <w:vAlign w:val="bottom"/>
          </w:tcPr>
          <w:p w14:paraId="5E8EE0C5" w14:textId="77777777" w:rsidR="00FC77BB" w:rsidRPr="002914D8" w:rsidRDefault="00FC77BB" w:rsidP="0051686B">
            <w:pPr>
              <w:spacing w:before="20" w:after="20"/>
              <w:rPr>
                <w:b/>
                <w:sz w:val="20"/>
                <w:szCs w:val="20"/>
              </w:rPr>
            </w:pPr>
            <w:r w:rsidRPr="002914D8">
              <w:rPr>
                <w:b/>
                <w:sz w:val="20"/>
              </w:rPr>
              <w:t>Code</w:t>
            </w:r>
          </w:p>
        </w:tc>
        <w:tc>
          <w:tcPr>
            <w:tcW w:w="2340" w:type="dxa"/>
            <w:shd w:val="clear" w:color="auto" w:fill="F2F2F2" w:themeFill="background1" w:themeFillShade="F2"/>
            <w:vAlign w:val="bottom"/>
          </w:tcPr>
          <w:p w14:paraId="2A51DAFB" w14:textId="77777777" w:rsidR="00FC77BB" w:rsidRPr="002914D8" w:rsidRDefault="00FC77BB" w:rsidP="0051686B">
            <w:pPr>
              <w:spacing w:before="20" w:after="20"/>
              <w:jc w:val="center"/>
              <w:rPr>
                <w:b/>
                <w:sz w:val="20"/>
                <w:szCs w:val="20"/>
              </w:rPr>
            </w:pPr>
            <w:r w:rsidRPr="002914D8">
              <w:rPr>
                <w:b/>
                <w:sz w:val="20"/>
              </w:rPr>
              <w:t>Applicable Code Reference</w:t>
            </w:r>
          </w:p>
        </w:tc>
        <w:tc>
          <w:tcPr>
            <w:tcW w:w="2430" w:type="dxa"/>
            <w:shd w:val="clear" w:color="auto" w:fill="F2F2F2" w:themeFill="background1" w:themeFillShade="F2"/>
            <w:vAlign w:val="bottom"/>
          </w:tcPr>
          <w:p w14:paraId="214A9ADD" w14:textId="77777777" w:rsidR="00FC77BB" w:rsidRPr="002914D8" w:rsidRDefault="00FC77BB" w:rsidP="0051686B">
            <w:pPr>
              <w:spacing w:before="20" w:after="20"/>
              <w:jc w:val="center"/>
              <w:rPr>
                <w:b/>
                <w:sz w:val="20"/>
                <w:szCs w:val="20"/>
              </w:rPr>
            </w:pPr>
            <w:r w:rsidRPr="002914D8">
              <w:rPr>
                <w:b/>
                <w:sz w:val="20"/>
              </w:rPr>
              <w:t>Effective Date</w:t>
            </w:r>
          </w:p>
        </w:tc>
      </w:tr>
      <w:tr w:rsidR="00B41968" w:rsidRPr="002914D8" w14:paraId="782F7264" w14:textId="345CFA23" w:rsidTr="00FC77BB">
        <w:trPr>
          <w:cantSplit/>
          <w:trHeight w:val="20"/>
        </w:trPr>
        <w:tc>
          <w:tcPr>
            <w:tcW w:w="4765" w:type="dxa"/>
            <w:shd w:val="clear" w:color="auto" w:fill="auto"/>
          </w:tcPr>
          <w:p w14:paraId="67BA833F" w14:textId="20B02535" w:rsidR="00B41968" w:rsidRPr="002914D8" w:rsidRDefault="00B41968" w:rsidP="00B41968">
            <w:pPr>
              <w:spacing w:before="20" w:after="20"/>
              <w:rPr>
                <w:sz w:val="20"/>
                <w:szCs w:val="20"/>
              </w:rPr>
            </w:pPr>
            <w:r w:rsidRPr="002914D8">
              <w:rPr>
                <w:sz w:val="20"/>
              </w:rPr>
              <w:t xml:space="preserve">CA Appliance Efficiency Regulations – Title 20 </w:t>
            </w:r>
            <w:r>
              <w:rPr>
                <w:sz w:val="20"/>
              </w:rPr>
              <w:t>(2019)</w:t>
            </w:r>
          </w:p>
        </w:tc>
        <w:tc>
          <w:tcPr>
            <w:tcW w:w="2340" w:type="dxa"/>
            <w:shd w:val="clear" w:color="auto" w:fill="auto"/>
          </w:tcPr>
          <w:p w14:paraId="794A0264" w14:textId="527BFA28" w:rsidR="00B41968" w:rsidRPr="00042677" w:rsidRDefault="00B41968" w:rsidP="00B41968">
            <w:pPr>
              <w:spacing w:before="20" w:after="20"/>
              <w:rPr>
                <w:sz w:val="20"/>
                <w:szCs w:val="20"/>
              </w:rPr>
            </w:pPr>
            <w:r w:rsidRPr="00042677">
              <w:rPr>
                <w:sz w:val="20"/>
                <w:szCs w:val="20"/>
              </w:rPr>
              <w:t>Section 1605.1, Table E-2</w:t>
            </w:r>
          </w:p>
        </w:tc>
        <w:tc>
          <w:tcPr>
            <w:tcW w:w="2430" w:type="dxa"/>
            <w:shd w:val="clear" w:color="auto" w:fill="auto"/>
          </w:tcPr>
          <w:p w14:paraId="274AB5DC" w14:textId="2ED0FE0A" w:rsidR="00B41968" w:rsidRPr="00042677" w:rsidRDefault="00B41968" w:rsidP="00B41968">
            <w:pPr>
              <w:spacing w:before="20" w:after="20"/>
              <w:jc w:val="center"/>
              <w:rPr>
                <w:sz w:val="20"/>
                <w:szCs w:val="20"/>
              </w:rPr>
            </w:pPr>
            <w:r>
              <w:rPr>
                <w:sz w:val="20"/>
                <w:szCs w:val="20"/>
              </w:rPr>
              <w:t>January,</w:t>
            </w:r>
            <w:r w:rsidRPr="00042677">
              <w:rPr>
                <w:sz w:val="20"/>
                <w:szCs w:val="20"/>
              </w:rPr>
              <w:t xml:space="preserve"> 201</w:t>
            </w:r>
            <w:r>
              <w:rPr>
                <w:sz w:val="20"/>
                <w:szCs w:val="20"/>
              </w:rPr>
              <w:t>9</w:t>
            </w:r>
          </w:p>
        </w:tc>
      </w:tr>
      <w:tr w:rsidR="00B41968" w:rsidRPr="002914D8" w14:paraId="1238F946" w14:textId="64CC1E4E" w:rsidTr="00FC77BB">
        <w:trPr>
          <w:cantSplit/>
          <w:trHeight w:val="20"/>
        </w:trPr>
        <w:tc>
          <w:tcPr>
            <w:tcW w:w="4765" w:type="dxa"/>
            <w:shd w:val="clear" w:color="auto" w:fill="auto"/>
          </w:tcPr>
          <w:p w14:paraId="4F444C61" w14:textId="2E044440" w:rsidR="00B41968" w:rsidRPr="002914D8" w:rsidRDefault="00B41968" w:rsidP="00B41968">
            <w:pPr>
              <w:spacing w:before="20" w:after="20"/>
              <w:rPr>
                <w:sz w:val="20"/>
                <w:szCs w:val="20"/>
              </w:rPr>
            </w:pPr>
            <w:r w:rsidRPr="002914D8">
              <w:rPr>
                <w:sz w:val="20"/>
              </w:rPr>
              <w:t xml:space="preserve">CA Building Energy Efficiency Standards – Title 24 </w:t>
            </w:r>
          </w:p>
        </w:tc>
        <w:tc>
          <w:tcPr>
            <w:tcW w:w="2340" w:type="dxa"/>
            <w:shd w:val="clear" w:color="auto" w:fill="auto"/>
          </w:tcPr>
          <w:p w14:paraId="0A330E5E" w14:textId="48404F69" w:rsidR="00B41968" w:rsidRPr="00804CF9" w:rsidRDefault="00B41968" w:rsidP="00B41968">
            <w:pPr>
              <w:spacing w:before="20" w:after="20"/>
              <w:rPr>
                <w:sz w:val="20"/>
                <w:szCs w:val="20"/>
              </w:rPr>
            </w:pPr>
            <w:r>
              <w:rPr>
                <w:sz w:val="20"/>
                <w:szCs w:val="20"/>
              </w:rPr>
              <w:t>Section 4.2, Table 4-2</w:t>
            </w:r>
          </w:p>
        </w:tc>
        <w:tc>
          <w:tcPr>
            <w:tcW w:w="2430" w:type="dxa"/>
            <w:shd w:val="clear" w:color="auto" w:fill="auto"/>
          </w:tcPr>
          <w:p w14:paraId="63BAD98E" w14:textId="57F9C36D" w:rsidR="00B41968" w:rsidRPr="002914D8" w:rsidRDefault="00B41968" w:rsidP="00B41968">
            <w:pPr>
              <w:spacing w:before="20" w:after="20"/>
              <w:jc w:val="center"/>
              <w:rPr>
                <w:sz w:val="20"/>
                <w:szCs w:val="20"/>
              </w:rPr>
            </w:pPr>
            <w:r>
              <w:rPr>
                <w:sz w:val="20"/>
                <w:szCs w:val="20"/>
              </w:rPr>
              <w:t>January, 2019</w:t>
            </w:r>
          </w:p>
        </w:tc>
      </w:tr>
      <w:tr w:rsidR="00B41968" w:rsidRPr="002914D8" w14:paraId="23FB50B6" w14:textId="5078B94B" w:rsidTr="00FC77BB">
        <w:trPr>
          <w:cantSplit/>
          <w:trHeight w:val="20"/>
        </w:trPr>
        <w:tc>
          <w:tcPr>
            <w:tcW w:w="4765" w:type="dxa"/>
            <w:shd w:val="clear" w:color="auto" w:fill="auto"/>
          </w:tcPr>
          <w:p w14:paraId="2EBFC05B" w14:textId="3F977ECA" w:rsidR="00B41968" w:rsidRPr="002914D8" w:rsidRDefault="00B41968" w:rsidP="00B41968">
            <w:pPr>
              <w:spacing w:before="20" w:after="20"/>
              <w:rPr>
                <w:sz w:val="20"/>
                <w:szCs w:val="20"/>
              </w:rPr>
            </w:pPr>
            <w:r w:rsidRPr="002914D8">
              <w:rPr>
                <w:sz w:val="20"/>
              </w:rPr>
              <w:t>Federal Standards</w:t>
            </w:r>
          </w:p>
        </w:tc>
        <w:tc>
          <w:tcPr>
            <w:tcW w:w="2340" w:type="dxa"/>
            <w:shd w:val="clear" w:color="auto" w:fill="auto"/>
          </w:tcPr>
          <w:p w14:paraId="0D43394E" w14:textId="288B0ACB" w:rsidR="00B41968" w:rsidRPr="00804CF9" w:rsidRDefault="00B41968" w:rsidP="00B41968">
            <w:pPr>
              <w:spacing w:before="20" w:after="20"/>
              <w:rPr>
                <w:sz w:val="20"/>
                <w:szCs w:val="20"/>
              </w:rPr>
            </w:pPr>
            <w:r w:rsidRPr="00804CF9">
              <w:rPr>
                <w:sz w:val="20"/>
                <w:szCs w:val="20"/>
              </w:rPr>
              <w:t>None.</w:t>
            </w:r>
          </w:p>
        </w:tc>
        <w:tc>
          <w:tcPr>
            <w:tcW w:w="2430" w:type="dxa"/>
            <w:shd w:val="clear" w:color="auto" w:fill="auto"/>
          </w:tcPr>
          <w:p w14:paraId="66FA1B6F" w14:textId="56BA81C5" w:rsidR="00B41968" w:rsidRPr="002914D8" w:rsidRDefault="00B41968" w:rsidP="00B41968">
            <w:pPr>
              <w:spacing w:before="20" w:after="20"/>
              <w:jc w:val="center"/>
              <w:rPr>
                <w:sz w:val="20"/>
                <w:szCs w:val="20"/>
              </w:rPr>
            </w:pPr>
            <w:r>
              <w:rPr>
                <w:sz w:val="20"/>
                <w:szCs w:val="20"/>
              </w:rPr>
              <w:t>n/a</w:t>
            </w:r>
          </w:p>
        </w:tc>
      </w:tr>
    </w:tbl>
    <w:p w14:paraId="36ACF03E" w14:textId="77777777" w:rsidR="008811F3" w:rsidRDefault="008811F3" w:rsidP="0051686B">
      <w:pPr>
        <w:pStyle w:val="Caption"/>
        <w:keepNext w:val="0"/>
        <w:keepLines w:val="0"/>
      </w:pPr>
    </w:p>
    <w:p w14:paraId="7E7C1505" w14:textId="161820BF" w:rsidR="00042677" w:rsidRPr="00042677" w:rsidRDefault="00042677" w:rsidP="0051686B">
      <w:pPr>
        <w:pStyle w:val="Caption"/>
        <w:keepNext w:val="0"/>
        <w:keepLines w:val="0"/>
      </w:pPr>
      <w:r>
        <w:lastRenderedPageBreak/>
        <w:t>Minimum Efficiency Requirements of Gas Wall Furnaces</w:t>
      </w:r>
      <w:r w:rsidR="009E4F66">
        <w:t xml:space="preserve"> (Title 20, Table E-2)</w:t>
      </w:r>
    </w:p>
    <w:tbl>
      <w:tblPr>
        <w:tblW w:w="54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32"/>
        <w:gridCol w:w="2584"/>
        <w:gridCol w:w="1451"/>
      </w:tblGrid>
      <w:tr w:rsidR="00042677" w:rsidRPr="002914D8" w14:paraId="4D67402E" w14:textId="77777777" w:rsidTr="00EB3AF4">
        <w:trPr>
          <w:cantSplit/>
          <w:trHeight w:val="20"/>
          <w:tblHeader/>
        </w:trPr>
        <w:tc>
          <w:tcPr>
            <w:tcW w:w="1432" w:type="dxa"/>
            <w:shd w:val="clear" w:color="auto" w:fill="F2F2F2" w:themeFill="background1" w:themeFillShade="F2"/>
            <w:vAlign w:val="bottom"/>
          </w:tcPr>
          <w:p w14:paraId="10E64BAB" w14:textId="30E7BBB5" w:rsidR="00042677" w:rsidRPr="002914D8" w:rsidRDefault="00042677" w:rsidP="0051686B">
            <w:pPr>
              <w:spacing w:before="20" w:after="20"/>
              <w:rPr>
                <w:b/>
                <w:sz w:val="20"/>
                <w:szCs w:val="20"/>
              </w:rPr>
            </w:pPr>
            <w:r>
              <w:rPr>
                <w:b/>
                <w:sz w:val="20"/>
                <w:szCs w:val="20"/>
              </w:rPr>
              <w:t>Design Type</w:t>
            </w:r>
          </w:p>
        </w:tc>
        <w:tc>
          <w:tcPr>
            <w:tcW w:w="2584" w:type="dxa"/>
            <w:shd w:val="clear" w:color="auto" w:fill="F2F2F2" w:themeFill="background1" w:themeFillShade="F2"/>
            <w:vAlign w:val="bottom"/>
          </w:tcPr>
          <w:p w14:paraId="6DF188EE" w14:textId="539F3A3E" w:rsidR="00042677" w:rsidRPr="002914D8" w:rsidRDefault="00042677" w:rsidP="0051686B">
            <w:pPr>
              <w:spacing w:before="20" w:after="20"/>
              <w:jc w:val="center"/>
              <w:rPr>
                <w:b/>
                <w:sz w:val="20"/>
                <w:szCs w:val="20"/>
              </w:rPr>
            </w:pPr>
            <w:r>
              <w:rPr>
                <w:b/>
                <w:sz w:val="20"/>
                <w:szCs w:val="20"/>
              </w:rPr>
              <w:t>Capacity (Btu/</w:t>
            </w:r>
            <w:proofErr w:type="spellStart"/>
            <w:r>
              <w:rPr>
                <w:b/>
                <w:sz w:val="20"/>
                <w:szCs w:val="20"/>
              </w:rPr>
              <w:t>hr</w:t>
            </w:r>
            <w:proofErr w:type="spellEnd"/>
            <w:r>
              <w:rPr>
                <w:b/>
                <w:sz w:val="20"/>
                <w:szCs w:val="20"/>
              </w:rPr>
              <w:t>)</w:t>
            </w:r>
          </w:p>
        </w:tc>
        <w:tc>
          <w:tcPr>
            <w:tcW w:w="1451" w:type="dxa"/>
            <w:shd w:val="clear" w:color="auto" w:fill="F2F2F2" w:themeFill="background1" w:themeFillShade="F2"/>
            <w:vAlign w:val="bottom"/>
          </w:tcPr>
          <w:p w14:paraId="661EF9EF" w14:textId="282865AB" w:rsidR="00042677" w:rsidRPr="002914D8" w:rsidRDefault="00042677" w:rsidP="0051686B">
            <w:pPr>
              <w:spacing w:before="20" w:after="20"/>
              <w:jc w:val="center"/>
              <w:rPr>
                <w:b/>
                <w:sz w:val="20"/>
                <w:szCs w:val="20"/>
              </w:rPr>
            </w:pPr>
            <w:r>
              <w:rPr>
                <w:b/>
                <w:sz w:val="20"/>
                <w:szCs w:val="20"/>
              </w:rPr>
              <w:t>Minimum AFUE (%)</w:t>
            </w:r>
          </w:p>
        </w:tc>
      </w:tr>
      <w:tr w:rsidR="00EB3AF4" w:rsidRPr="002914D8" w14:paraId="4071E4EA" w14:textId="77777777" w:rsidTr="00EB3AF4">
        <w:trPr>
          <w:cantSplit/>
          <w:trHeight w:val="323"/>
        </w:trPr>
        <w:tc>
          <w:tcPr>
            <w:tcW w:w="1432" w:type="dxa"/>
            <w:vMerge w:val="restart"/>
            <w:shd w:val="clear" w:color="auto" w:fill="auto"/>
          </w:tcPr>
          <w:p w14:paraId="740FC6A6" w14:textId="1EF1DA20" w:rsidR="00EB3AF4" w:rsidRDefault="00EB3AF4" w:rsidP="0051686B">
            <w:pPr>
              <w:spacing w:before="20" w:after="20"/>
              <w:rPr>
                <w:sz w:val="20"/>
                <w:szCs w:val="20"/>
              </w:rPr>
            </w:pPr>
            <w:r>
              <w:rPr>
                <w:sz w:val="20"/>
                <w:szCs w:val="20"/>
              </w:rPr>
              <w:t>Gravity</w:t>
            </w:r>
          </w:p>
        </w:tc>
        <w:tc>
          <w:tcPr>
            <w:tcW w:w="2584" w:type="dxa"/>
            <w:shd w:val="clear" w:color="auto" w:fill="auto"/>
          </w:tcPr>
          <w:p w14:paraId="1C44C0A6" w14:textId="775E50DB" w:rsidR="00EB3AF4" w:rsidRPr="00EB3AF4" w:rsidRDefault="00EB3AF4" w:rsidP="00EB3AF4">
            <w:pPr>
              <w:spacing w:before="20" w:after="20"/>
              <w:jc w:val="center"/>
              <w:rPr>
                <w:sz w:val="20"/>
                <w:szCs w:val="20"/>
                <w:highlight w:val="yellow"/>
              </w:rPr>
            </w:pPr>
            <w:r w:rsidRPr="00042677">
              <w:rPr>
                <w:rFonts w:cs="Calibri Light"/>
                <w:sz w:val="20"/>
                <w:szCs w:val="20"/>
              </w:rPr>
              <w:t>≤</w:t>
            </w:r>
            <w:r>
              <w:rPr>
                <w:rFonts w:cs="Calibri Light"/>
                <w:sz w:val="20"/>
                <w:szCs w:val="20"/>
              </w:rPr>
              <w:t xml:space="preserve"> </w:t>
            </w:r>
            <w:r w:rsidR="00D46F7F">
              <w:rPr>
                <w:rFonts w:cs="Calibri Light"/>
                <w:sz w:val="20"/>
                <w:szCs w:val="20"/>
              </w:rPr>
              <w:t>27</w:t>
            </w:r>
            <w:r>
              <w:rPr>
                <w:rFonts w:cs="Calibri Light"/>
                <w:sz w:val="20"/>
                <w:szCs w:val="20"/>
              </w:rPr>
              <w:t>,000</w:t>
            </w:r>
          </w:p>
        </w:tc>
        <w:tc>
          <w:tcPr>
            <w:tcW w:w="1451" w:type="dxa"/>
            <w:shd w:val="clear" w:color="auto" w:fill="auto"/>
            <w:vAlign w:val="center"/>
          </w:tcPr>
          <w:p w14:paraId="149F5AFA" w14:textId="6D398C97" w:rsidR="00EB3AF4" w:rsidRDefault="00EB3AF4" w:rsidP="00953586">
            <w:pPr>
              <w:spacing w:before="20" w:after="20"/>
              <w:jc w:val="center"/>
              <w:rPr>
                <w:sz w:val="20"/>
                <w:szCs w:val="20"/>
              </w:rPr>
            </w:pPr>
            <w:r>
              <w:rPr>
                <w:sz w:val="20"/>
                <w:szCs w:val="20"/>
              </w:rPr>
              <w:t>65%</w:t>
            </w:r>
          </w:p>
        </w:tc>
      </w:tr>
      <w:tr w:rsidR="00042677" w:rsidRPr="002914D8" w14:paraId="5F15B483" w14:textId="77777777" w:rsidTr="00EB3AF4">
        <w:trPr>
          <w:cantSplit/>
          <w:trHeight w:val="20"/>
        </w:trPr>
        <w:tc>
          <w:tcPr>
            <w:tcW w:w="1432" w:type="dxa"/>
            <w:vMerge/>
            <w:shd w:val="clear" w:color="auto" w:fill="auto"/>
          </w:tcPr>
          <w:p w14:paraId="78A8F538" w14:textId="77777777" w:rsidR="00042677" w:rsidRPr="002914D8" w:rsidRDefault="00042677" w:rsidP="0051686B">
            <w:pPr>
              <w:spacing w:before="20" w:after="20"/>
              <w:rPr>
                <w:sz w:val="20"/>
                <w:szCs w:val="20"/>
              </w:rPr>
            </w:pPr>
          </w:p>
        </w:tc>
        <w:tc>
          <w:tcPr>
            <w:tcW w:w="2584" w:type="dxa"/>
            <w:shd w:val="clear" w:color="auto" w:fill="auto"/>
          </w:tcPr>
          <w:p w14:paraId="04D46D31" w14:textId="7850C67C" w:rsidR="00042677" w:rsidRDefault="00042677" w:rsidP="00EB3AF4">
            <w:pPr>
              <w:spacing w:before="20" w:after="20"/>
              <w:jc w:val="center"/>
              <w:rPr>
                <w:sz w:val="20"/>
                <w:szCs w:val="20"/>
              </w:rPr>
            </w:pPr>
            <w:r>
              <w:rPr>
                <w:sz w:val="20"/>
                <w:szCs w:val="20"/>
              </w:rPr>
              <w:t xml:space="preserve">&gt; </w:t>
            </w:r>
            <w:r w:rsidR="00256006">
              <w:rPr>
                <w:sz w:val="20"/>
                <w:szCs w:val="20"/>
              </w:rPr>
              <w:t>27</w:t>
            </w:r>
            <w:r w:rsidRPr="00042677">
              <w:rPr>
                <w:sz w:val="20"/>
                <w:szCs w:val="20"/>
              </w:rPr>
              <w:t xml:space="preserve">,000 and </w:t>
            </w:r>
            <w:r w:rsidRPr="00042677">
              <w:rPr>
                <w:rFonts w:cs="Calibri Light"/>
                <w:sz w:val="20"/>
                <w:szCs w:val="20"/>
              </w:rPr>
              <w:t>≤</w:t>
            </w:r>
            <w:r>
              <w:rPr>
                <w:rFonts w:cs="Calibri Light"/>
                <w:sz w:val="20"/>
                <w:szCs w:val="20"/>
              </w:rPr>
              <w:t xml:space="preserve"> 46,000</w:t>
            </w:r>
          </w:p>
        </w:tc>
        <w:tc>
          <w:tcPr>
            <w:tcW w:w="1451" w:type="dxa"/>
            <w:shd w:val="clear" w:color="auto" w:fill="auto"/>
          </w:tcPr>
          <w:p w14:paraId="646DB06A" w14:textId="09D6F70B" w:rsidR="00042677" w:rsidRPr="002914D8" w:rsidRDefault="0061166A" w:rsidP="0051686B">
            <w:pPr>
              <w:spacing w:before="20" w:after="20"/>
              <w:jc w:val="center"/>
              <w:rPr>
                <w:sz w:val="20"/>
                <w:szCs w:val="20"/>
              </w:rPr>
            </w:pPr>
            <w:r>
              <w:rPr>
                <w:sz w:val="20"/>
                <w:szCs w:val="20"/>
              </w:rPr>
              <w:t>66%</w:t>
            </w:r>
          </w:p>
        </w:tc>
      </w:tr>
      <w:tr w:rsidR="00042677" w:rsidRPr="002914D8" w14:paraId="68F6E8D2" w14:textId="77777777" w:rsidTr="00EB3AF4">
        <w:trPr>
          <w:cantSplit/>
          <w:trHeight w:val="70"/>
        </w:trPr>
        <w:tc>
          <w:tcPr>
            <w:tcW w:w="1432" w:type="dxa"/>
            <w:vMerge/>
            <w:shd w:val="clear" w:color="auto" w:fill="auto"/>
          </w:tcPr>
          <w:p w14:paraId="11821D11" w14:textId="77777777" w:rsidR="00042677" w:rsidRPr="002914D8" w:rsidRDefault="00042677" w:rsidP="0051686B">
            <w:pPr>
              <w:spacing w:before="20" w:after="20"/>
              <w:rPr>
                <w:sz w:val="20"/>
                <w:szCs w:val="20"/>
              </w:rPr>
            </w:pPr>
          </w:p>
        </w:tc>
        <w:tc>
          <w:tcPr>
            <w:tcW w:w="2584" w:type="dxa"/>
            <w:shd w:val="clear" w:color="auto" w:fill="auto"/>
          </w:tcPr>
          <w:p w14:paraId="47A1C607" w14:textId="0A6336C2" w:rsidR="00042677" w:rsidRDefault="00042677" w:rsidP="00EB3AF4">
            <w:pPr>
              <w:spacing w:before="20" w:after="20"/>
              <w:jc w:val="center"/>
              <w:rPr>
                <w:sz w:val="20"/>
                <w:szCs w:val="20"/>
              </w:rPr>
            </w:pPr>
            <w:r>
              <w:rPr>
                <w:sz w:val="20"/>
                <w:szCs w:val="20"/>
              </w:rPr>
              <w:t>&gt; 46,000</w:t>
            </w:r>
          </w:p>
        </w:tc>
        <w:tc>
          <w:tcPr>
            <w:tcW w:w="1451" w:type="dxa"/>
            <w:shd w:val="clear" w:color="auto" w:fill="auto"/>
          </w:tcPr>
          <w:p w14:paraId="2436E4DE" w14:textId="4FE04335" w:rsidR="00042677" w:rsidRPr="002914D8" w:rsidRDefault="00042677" w:rsidP="0051686B">
            <w:pPr>
              <w:spacing w:before="20" w:after="20"/>
              <w:jc w:val="center"/>
              <w:rPr>
                <w:sz w:val="20"/>
                <w:szCs w:val="20"/>
              </w:rPr>
            </w:pPr>
            <w:r>
              <w:rPr>
                <w:sz w:val="20"/>
                <w:szCs w:val="20"/>
              </w:rPr>
              <w:t>6</w:t>
            </w:r>
            <w:r w:rsidR="0061166A">
              <w:rPr>
                <w:sz w:val="20"/>
                <w:szCs w:val="20"/>
              </w:rPr>
              <w:t>7</w:t>
            </w:r>
            <w:r>
              <w:rPr>
                <w:sz w:val="20"/>
                <w:szCs w:val="20"/>
              </w:rPr>
              <w:t>%</w:t>
            </w:r>
          </w:p>
        </w:tc>
      </w:tr>
      <w:tr w:rsidR="00E871D9" w:rsidRPr="002914D8" w14:paraId="0D3AEFE0" w14:textId="77777777" w:rsidTr="00EB3AF4">
        <w:trPr>
          <w:cantSplit/>
          <w:trHeight w:val="20"/>
        </w:trPr>
        <w:tc>
          <w:tcPr>
            <w:tcW w:w="1432" w:type="dxa"/>
            <w:vMerge w:val="restart"/>
            <w:shd w:val="clear" w:color="auto" w:fill="auto"/>
          </w:tcPr>
          <w:p w14:paraId="31EE69F3" w14:textId="2F25FA40" w:rsidR="00E871D9" w:rsidRPr="002914D8" w:rsidRDefault="00E871D9" w:rsidP="0051686B">
            <w:pPr>
              <w:spacing w:before="20" w:after="20"/>
              <w:rPr>
                <w:sz w:val="20"/>
                <w:szCs w:val="20"/>
              </w:rPr>
            </w:pPr>
            <w:r>
              <w:rPr>
                <w:sz w:val="20"/>
                <w:szCs w:val="20"/>
              </w:rPr>
              <w:t>Fan</w:t>
            </w:r>
          </w:p>
        </w:tc>
        <w:tc>
          <w:tcPr>
            <w:tcW w:w="2584" w:type="dxa"/>
            <w:shd w:val="clear" w:color="auto" w:fill="auto"/>
          </w:tcPr>
          <w:p w14:paraId="22635184" w14:textId="1AEFD73F" w:rsidR="00E871D9" w:rsidRPr="00BC4946" w:rsidRDefault="00E871D9" w:rsidP="00EB3AF4">
            <w:pPr>
              <w:spacing w:before="20" w:after="20"/>
              <w:jc w:val="center"/>
              <w:rPr>
                <w:sz w:val="20"/>
                <w:szCs w:val="20"/>
              </w:rPr>
            </w:pPr>
            <w:r w:rsidRPr="00BC4946">
              <w:rPr>
                <w:rFonts w:cs="Calibri Light"/>
                <w:sz w:val="20"/>
                <w:szCs w:val="20"/>
              </w:rPr>
              <w:t>≤ 42,000</w:t>
            </w:r>
          </w:p>
        </w:tc>
        <w:tc>
          <w:tcPr>
            <w:tcW w:w="1451" w:type="dxa"/>
            <w:shd w:val="clear" w:color="auto" w:fill="auto"/>
          </w:tcPr>
          <w:p w14:paraId="573AFE4F" w14:textId="6246DFBF" w:rsidR="00E871D9" w:rsidRPr="00BC4946" w:rsidRDefault="00E871D9" w:rsidP="0051686B">
            <w:pPr>
              <w:spacing w:before="20" w:after="20"/>
              <w:jc w:val="center"/>
              <w:rPr>
                <w:sz w:val="20"/>
                <w:szCs w:val="20"/>
              </w:rPr>
            </w:pPr>
            <w:r w:rsidRPr="00BC4946">
              <w:rPr>
                <w:sz w:val="20"/>
                <w:szCs w:val="20"/>
              </w:rPr>
              <w:t>75%</w:t>
            </w:r>
          </w:p>
        </w:tc>
      </w:tr>
      <w:tr w:rsidR="00E871D9" w:rsidRPr="002914D8" w14:paraId="5029B322" w14:textId="77777777" w:rsidTr="00EB3AF4">
        <w:trPr>
          <w:cantSplit/>
          <w:trHeight w:val="20"/>
        </w:trPr>
        <w:tc>
          <w:tcPr>
            <w:tcW w:w="1432" w:type="dxa"/>
            <w:vMerge/>
            <w:shd w:val="clear" w:color="auto" w:fill="auto"/>
          </w:tcPr>
          <w:p w14:paraId="0012AC95" w14:textId="77777777" w:rsidR="00E871D9" w:rsidRDefault="00E871D9" w:rsidP="0051686B">
            <w:pPr>
              <w:spacing w:before="20" w:after="20"/>
              <w:rPr>
                <w:sz w:val="20"/>
                <w:szCs w:val="20"/>
              </w:rPr>
            </w:pPr>
          </w:p>
        </w:tc>
        <w:tc>
          <w:tcPr>
            <w:tcW w:w="2584" w:type="dxa"/>
            <w:shd w:val="clear" w:color="auto" w:fill="auto"/>
          </w:tcPr>
          <w:p w14:paraId="677389D2" w14:textId="6A9B8648" w:rsidR="00E871D9" w:rsidRPr="00042677" w:rsidRDefault="004B5F95" w:rsidP="00EB3AF4">
            <w:pPr>
              <w:spacing w:before="20" w:after="20"/>
              <w:jc w:val="center"/>
              <w:rPr>
                <w:rFonts w:cs="Calibri Light"/>
                <w:sz w:val="20"/>
                <w:szCs w:val="20"/>
              </w:rPr>
            </w:pPr>
            <w:r>
              <w:rPr>
                <w:rFonts w:cs="Calibri Light"/>
                <w:sz w:val="20"/>
                <w:szCs w:val="20"/>
              </w:rPr>
              <w:t>&gt; 42,000</w:t>
            </w:r>
          </w:p>
        </w:tc>
        <w:tc>
          <w:tcPr>
            <w:tcW w:w="1451" w:type="dxa"/>
            <w:shd w:val="clear" w:color="auto" w:fill="auto"/>
          </w:tcPr>
          <w:p w14:paraId="567B383F" w14:textId="32A39CFB" w:rsidR="00E871D9" w:rsidRDefault="00854A9A" w:rsidP="0051686B">
            <w:pPr>
              <w:spacing w:before="20" w:after="20"/>
              <w:jc w:val="center"/>
              <w:rPr>
                <w:sz w:val="20"/>
                <w:szCs w:val="20"/>
              </w:rPr>
            </w:pPr>
            <w:r>
              <w:rPr>
                <w:sz w:val="20"/>
                <w:szCs w:val="20"/>
              </w:rPr>
              <w:t>76%</w:t>
            </w:r>
          </w:p>
        </w:tc>
      </w:tr>
    </w:tbl>
    <w:p w14:paraId="5C3AC41C" w14:textId="77777777" w:rsidR="00FD712F" w:rsidRPr="002914D8" w:rsidRDefault="00FD712F" w:rsidP="0011498C"/>
    <w:p w14:paraId="1EE16D20" w14:textId="77777777" w:rsidR="007D230B" w:rsidRPr="002914D8" w:rsidRDefault="007D230B" w:rsidP="00462BB6">
      <w:pPr>
        <w:pStyle w:val="eTRMHeading3"/>
      </w:pPr>
      <w:bookmarkStart w:id="20" w:name="_Toc486490851"/>
      <w:bookmarkStart w:id="21" w:name="_Toc486580922"/>
      <w:bookmarkStart w:id="22" w:name="_Toc7184824"/>
      <w:r w:rsidRPr="002914D8">
        <w:t>Normalizing Unit</w:t>
      </w:r>
      <w:bookmarkEnd w:id="20"/>
      <w:bookmarkEnd w:id="21"/>
      <w:bookmarkEnd w:id="22"/>
    </w:p>
    <w:p w14:paraId="0115BB45" w14:textId="7F639398" w:rsidR="009C31A4" w:rsidRDefault="0044445D" w:rsidP="00486585">
      <w:r>
        <w:t>Each.</w:t>
      </w:r>
    </w:p>
    <w:p w14:paraId="2A221FBD" w14:textId="77777777" w:rsidR="0044445D" w:rsidRPr="002914D8" w:rsidRDefault="0044445D" w:rsidP="00486585"/>
    <w:p w14:paraId="2F4904E6" w14:textId="77777777" w:rsidR="007D230B" w:rsidRPr="002914D8" w:rsidRDefault="007D230B" w:rsidP="00462BB6">
      <w:pPr>
        <w:pStyle w:val="eTRMHeading3"/>
      </w:pPr>
      <w:bookmarkStart w:id="23" w:name="_Toc486490852"/>
      <w:bookmarkStart w:id="24" w:name="_Toc486580923"/>
      <w:bookmarkStart w:id="25" w:name="_Toc7184825"/>
      <w:bookmarkStart w:id="26" w:name="_Hlk515365299"/>
      <w:bookmarkStart w:id="27" w:name="_Hlk515878271"/>
      <w:r w:rsidRPr="002914D8">
        <w:t>Program Requirements</w:t>
      </w:r>
      <w:bookmarkEnd w:id="23"/>
      <w:bookmarkEnd w:id="24"/>
      <w:bookmarkEnd w:id="25"/>
      <w:r w:rsidRPr="002914D8">
        <w:t xml:space="preserve"> </w:t>
      </w:r>
    </w:p>
    <w:p w14:paraId="2676E372" w14:textId="77777777" w:rsidR="005622AF" w:rsidRDefault="005622AF" w:rsidP="005622AF">
      <w:pPr>
        <w:pStyle w:val="eTRMHeading5"/>
        <w:keepNext/>
        <w:keepLines/>
      </w:pPr>
      <w:bookmarkStart w:id="28" w:name="_Hlk516047641"/>
      <w:bookmarkEnd w:id="26"/>
      <w:r>
        <w:t>Measure Implementation Eligibility</w:t>
      </w:r>
    </w:p>
    <w:p w14:paraId="3A00504D" w14:textId="77777777" w:rsidR="005622AF" w:rsidRDefault="005622AF" w:rsidP="005622AF">
      <w:bookmarkStart w:id="29" w:name="_Hlk527543844"/>
      <w:bookmarkStart w:id="30"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9"/>
    </w:p>
    <w:bookmarkEnd w:id="30"/>
    <w:p w14:paraId="3915632E" w14:textId="77777777" w:rsidR="005622AF" w:rsidRPr="00CC4643" w:rsidRDefault="005622AF" w:rsidP="005622AF">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4D68E683" w:rsidR="001B426F" w:rsidRPr="002914D8" w:rsidRDefault="001B426F" w:rsidP="001B426F">
      <w:pPr>
        <w:pStyle w:val="Caption"/>
      </w:pPr>
      <w:r w:rsidRPr="002914D8">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2914D8" w14:paraId="40946250" w14:textId="77777777" w:rsidTr="00804CF9">
        <w:trPr>
          <w:cantSplit/>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2914D8" w:rsidRDefault="001B426F" w:rsidP="00804CF9">
            <w:pPr>
              <w:spacing w:before="0" w:after="0" w:line="240" w:lineRule="auto"/>
              <w:rPr>
                <w:b/>
                <w:bCs/>
                <w:sz w:val="20"/>
              </w:rPr>
            </w:pPr>
            <w:r w:rsidRPr="002914D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2914D8" w:rsidRDefault="001B426F" w:rsidP="00804CF9">
            <w:pPr>
              <w:spacing w:before="0" w:after="0" w:line="240" w:lineRule="auto"/>
              <w:rPr>
                <w:b/>
                <w:bCs/>
                <w:sz w:val="20"/>
              </w:rPr>
            </w:pPr>
            <w:r w:rsidRPr="002914D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2914D8" w:rsidRDefault="001B426F" w:rsidP="00804CF9">
            <w:pPr>
              <w:spacing w:before="0" w:after="0" w:line="240" w:lineRule="auto"/>
              <w:rPr>
                <w:b/>
                <w:bCs/>
                <w:sz w:val="20"/>
              </w:rPr>
            </w:pPr>
            <w:r w:rsidRPr="002914D8">
              <w:rPr>
                <w:b/>
                <w:bCs/>
                <w:sz w:val="20"/>
              </w:rPr>
              <w:t>Sector</w:t>
            </w:r>
          </w:p>
        </w:tc>
      </w:tr>
      <w:tr w:rsidR="001B426F" w:rsidRPr="002914D8" w14:paraId="54F21FF2" w14:textId="77777777" w:rsidTr="00804CF9">
        <w:trPr>
          <w:cantSplit/>
          <w:trHeight w:val="20"/>
        </w:trPr>
        <w:tc>
          <w:tcPr>
            <w:tcW w:w="3024" w:type="dxa"/>
            <w:noWrap/>
            <w:tcMar>
              <w:top w:w="0" w:type="dxa"/>
              <w:left w:w="108" w:type="dxa"/>
              <w:bottom w:w="0" w:type="dxa"/>
              <w:right w:w="108" w:type="dxa"/>
            </w:tcMar>
            <w:vAlign w:val="bottom"/>
          </w:tcPr>
          <w:p w14:paraId="178C5C26" w14:textId="574F353B" w:rsidR="001B426F" w:rsidRPr="002914D8" w:rsidRDefault="00804CF9" w:rsidP="00804CF9">
            <w:pPr>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7EB7E369" w14:textId="70DEC615" w:rsidR="001B426F" w:rsidRPr="002914D8" w:rsidRDefault="00804CF9" w:rsidP="00804CF9">
            <w:pPr>
              <w:spacing w:before="0" w:after="0" w:line="240" w:lineRule="auto"/>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6F9C2987" w14:textId="4E7ED7A4" w:rsidR="001B426F" w:rsidRPr="002914D8" w:rsidRDefault="00804CF9" w:rsidP="00804CF9">
            <w:pPr>
              <w:spacing w:before="0" w:after="0" w:line="240" w:lineRule="auto"/>
              <w:rPr>
                <w:color w:val="000000"/>
                <w:sz w:val="20"/>
              </w:rPr>
            </w:pPr>
            <w:r>
              <w:rPr>
                <w:color w:val="000000"/>
                <w:sz w:val="20"/>
              </w:rPr>
              <w:t>Res</w:t>
            </w:r>
          </w:p>
        </w:tc>
      </w:tr>
      <w:tr w:rsidR="00804CF9" w:rsidRPr="002914D8" w14:paraId="5D22EDDB" w14:textId="77777777" w:rsidTr="00804CF9">
        <w:trPr>
          <w:cantSplit/>
          <w:trHeight w:val="20"/>
        </w:trPr>
        <w:tc>
          <w:tcPr>
            <w:tcW w:w="3024" w:type="dxa"/>
            <w:noWrap/>
            <w:tcMar>
              <w:top w:w="0" w:type="dxa"/>
              <w:left w:w="108" w:type="dxa"/>
              <w:bottom w:w="0" w:type="dxa"/>
              <w:right w:w="108" w:type="dxa"/>
            </w:tcMar>
            <w:vAlign w:val="bottom"/>
          </w:tcPr>
          <w:p w14:paraId="67C06326" w14:textId="3BAE0C02" w:rsidR="00804CF9" w:rsidRPr="002914D8" w:rsidRDefault="00804CF9" w:rsidP="00804CF9">
            <w:pPr>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5AA899A5" w14:textId="7184F555" w:rsidR="00804CF9" w:rsidRPr="002914D8" w:rsidRDefault="00804CF9" w:rsidP="00804CF9">
            <w:pPr>
              <w:spacing w:before="0" w:after="0" w:line="240" w:lineRule="auto"/>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111B3DEA" w14:textId="20E1FD29" w:rsidR="00804CF9" w:rsidRPr="002914D8" w:rsidRDefault="00804CF9" w:rsidP="00804CF9">
            <w:pPr>
              <w:spacing w:before="0" w:after="0" w:line="240" w:lineRule="auto"/>
              <w:rPr>
                <w:color w:val="000000"/>
                <w:sz w:val="20"/>
              </w:rPr>
            </w:pPr>
            <w:r>
              <w:rPr>
                <w:color w:val="000000"/>
                <w:sz w:val="20"/>
              </w:rPr>
              <w:t>Res</w:t>
            </w:r>
          </w:p>
        </w:tc>
      </w:tr>
      <w:tr w:rsidR="00A13C15" w:rsidRPr="002914D8" w14:paraId="6C275D39" w14:textId="77777777" w:rsidTr="00804CF9">
        <w:trPr>
          <w:cantSplit/>
          <w:trHeight w:val="20"/>
        </w:trPr>
        <w:tc>
          <w:tcPr>
            <w:tcW w:w="3024" w:type="dxa"/>
            <w:noWrap/>
            <w:tcMar>
              <w:top w:w="0" w:type="dxa"/>
              <w:left w:w="108" w:type="dxa"/>
              <w:bottom w:w="0" w:type="dxa"/>
              <w:right w:w="108" w:type="dxa"/>
            </w:tcMar>
            <w:vAlign w:val="bottom"/>
          </w:tcPr>
          <w:p w14:paraId="17982019" w14:textId="2F04CA86" w:rsidR="00A13C15" w:rsidRDefault="00A13C15" w:rsidP="00A13C15">
            <w:pPr>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42140C57" w14:textId="65DA4D08" w:rsidR="00A13C15" w:rsidRDefault="00A13C15" w:rsidP="00A13C15">
            <w:pPr>
              <w:spacing w:before="0" w:after="0" w:line="240" w:lineRule="auto"/>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162A345C" w14:textId="02CA2602" w:rsidR="00A13C15" w:rsidRDefault="00A13C15" w:rsidP="00A13C15">
            <w:pPr>
              <w:spacing w:before="0" w:after="0" w:line="240" w:lineRule="auto"/>
              <w:rPr>
                <w:color w:val="000000"/>
                <w:sz w:val="20"/>
              </w:rPr>
            </w:pPr>
            <w:r>
              <w:rPr>
                <w:color w:val="000000"/>
                <w:sz w:val="20"/>
              </w:rPr>
              <w:t>Res</w:t>
            </w:r>
          </w:p>
        </w:tc>
      </w:tr>
    </w:tbl>
    <w:p w14:paraId="16859EB1" w14:textId="77777777" w:rsidR="00933919" w:rsidRPr="002914D8" w:rsidRDefault="00933919" w:rsidP="005F4D33"/>
    <w:bookmarkEnd w:id="27"/>
    <w:bookmarkEnd w:id="28"/>
    <w:p w14:paraId="50711562" w14:textId="5D0894B2" w:rsidR="00AA46AF" w:rsidRPr="002914D8" w:rsidRDefault="00196649" w:rsidP="00154391">
      <w:pPr>
        <w:pStyle w:val="eTRMHeading5"/>
      </w:pPr>
      <w:r w:rsidRPr="002914D8">
        <w:t>Eligible Products</w:t>
      </w:r>
    </w:p>
    <w:p w14:paraId="454F21D0" w14:textId="15BD0C9A" w:rsidR="002942B0" w:rsidRPr="002914D8" w:rsidRDefault="00A6453C" w:rsidP="002942B0">
      <w:r>
        <w:t>Eligible products must meet the specifications in the Measure Case Description.</w:t>
      </w:r>
    </w:p>
    <w:p w14:paraId="1D62512A" w14:textId="77777777" w:rsidR="002942B0" w:rsidRPr="002914D8" w:rsidRDefault="002942B0" w:rsidP="002942B0"/>
    <w:p w14:paraId="7CE938DA" w14:textId="2434378C" w:rsidR="007B6A74" w:rsidRPr="002914D8" w:rsidRDefault="007B6A74" w:rsidP="00401C43">
      <w:pPr>
        <w:pStyle w:val="eTRMHeading5"/>
      </w:pPr>
      <w:r w:rsidRPr="002914D8">
        <w:t>Eligible Building Types</w:t>
      </w:r>
      <w:r w:rsidR="00E57AAD" w:rsidRPr="002914D8">
        <w:t xml:space="preserve"> and Vintages</w:t>
      </w:r>
    </w:p>
    <w:p w14:paraId="6A9E2734" w14:textId="533DC39B" w:rsidR="009F4CFA" w:rsidRPr="002914D8" w:rsidRDefault="00D848D6" w:rsidP="005F4D33">
      <w:r>
        <w:t>Th</w:t>
      </w:r>
      <w:r w:rsidR="00007654">
        <w:t>is measure is applicable for existing single family and multi-family residences of any vintage.</w:t>
      </w:r>
    </w:p>
    <w:p w14:paraId="7AA25502" w14:textId="77777777" w:rsidR="00571D95" w:rsidRPr="002914D8" w:rsidRDefault="00571D95" w:rsidP="00571D95"/>
    <w:p w14:paraId="1A3705F3" w14:textId="4BC0985D" w:rsidR="007B6A74" w:rsidRPr="002914D8" w:rsidRDefault="00196649" w:rsidP="00154391">
      <w:pPr>
        <w:pStyle w:val="eTRMHeading5"/>
      </w:pPr>
      <w:r w:rsidRPr="002914D8">
        <w:t>Eligible Climate Zones</w:t>
      </w:r>
    </w:p>
    <w:p w14:paraId="4A9FD22A" w14:textId="6792EEAB" w:rsidR="004B6780" w:rsidRPr="002914D8" w:rsidRDefault="004B6780" w:rsidP="004B6780">
      <w:r w:rsidRPr="002914D8">
        <w:t xml:space="preserve">This measure is applicable </w:t>
      </w:r>
      <w:r w:rsidR="00273571" w:rsidRPr="002914D8">
        <w:t>in</w:t>
      </w:r>
      <w:r w:rsidRPr="002914D8">
        <w:t xml:space="preserve"> </w:t>
      </w:r>
      <w:r w:rsidR="00A6453C">
        <w:t>all</w:t>
      </w:r>
      <w:r w:rsidRPr="002914D8">
        <w:t xml:space="preserve"> California climate zones.</w:t>
      </w:r>
    </w:p>
    <w:p w14:paraId="47630D60" w14:textId="77777777" w:rsidR="007D230B" w:rsidRPr="002914D8" w:rsidRDefault="007D230B" w:rsidP="00462BB6">
      <w:pPr>
        <w:pStyle w:val="eTRMHeading3"/>
      </w:pPr>
      <w:bookmarkStart w:id="31" w:name="_Toc486490853"/>
      <w:bookmarkStart w:id="32" w:name="_Toc486580924"/>
      <w:bookmarkStart w:id="33" w:name="_Toc7184826"/>
      <w:r w:rsidRPr="002914D8">
        <w:lastRenderedPageBreak/>
        <w:t>Program Exclusions</w:t>
      </w:r>
      <w:bookmarkEnd w:id="31"/>
      <w:bookmarkEnd w:id="32"/>
      <w:bookmarkEnd w:id="33"/>
      <w:r w:rsidRPr="002914D8">
        <w:t xml:space="preserve"> </w:t>
      </w:r>
    </w:p>
    <w:p w14:paraId="76A9A64F" w14:textId="1111B693" w:rsidR="007B6A74" w:rsidRDefault="002D0E55" w:rsidP="004B06E3">
      <w:r>
        <w:t xml:space="preserve">Wall Furnaces that are direct-vent systems that mount on an outside wall are not </w:t>
      </w:r>
      <w:r w:rsidR="00065F9F">
        <w:t>eligible</w:t>
      </w:r>
      <w:r>
        <w:t>.</w:t>
      </w:r>
    </w:p>
    <w:p w14:paraId="6F95E52A" w14:textId="0D59FDEF" w:rsidR="005703EC" w:rsidRDefault="005703EC" w:rsidP="004B06E3">
      <w:r>
        <w:t xml:space="preserve">Gravity </w:t>
      </w:r>
      <w:r w:rsidR="009A6B3B">
        <w:t>W</w:t>
      </w:r>
      <w:r>
        <w:t xml:space="preserve">all </w:t>
      </w:r>
      <w:r w:rsidR="009A6B3B">
        <w:t>furnaces</w:t>
      </w:r>
      <w:r>
        <w:t xml:space="preserve"> </w:t>
      </w:r>
      <w:r w:rsidR="009A6B3B" w:rsidRPr="00BC4946">
        <w:rPr>
          <w:rFonts w:cs="Calibri Light"/>
        </w:rPr>
        <w:t>≤</w:t>
      </w:r>
      <w:r w:rsidR="009A6B3B">
        <w:rPr>
          <w:rFonts w:cs="Calibri Light"/>
        </w:rPr>
        <w:t xml:space="preserve"> </w:t>
      </w:r>
      <w:r w:rsidRPr="00BC4946">
        <w:t>19,000 Btu/</w:t>
      </w:r>
      <w:proofErr w:type="spellStart"/>
      <w:r w:rsidRPr="00BC4946">
        <w:t>hr</w:t>
      </w:r>
      <w:proofErr w:type="spellEnd"/>
      <w:r w:rsidRPr="00BC4946">
        <w:t xml:space="preserve"> and </w:t>
      </w:r>
      <w:r w:rsidR="009A6B3B" w:rsidRPr="00BC4946">
        <w:rPr>
          <w:rFonts w:cs="Calibri Light"/>
        </w:rPr>
        <w:t>≥</w:t>
      </w:r>
      <w:r>
        <w:rPr>
          <w:rFonts w:cs="Calibri Light"/>
        </w:rPr>
        <w:t xml:space="preserve"> </w:t>
      </w:r>
      <w:r w:rsidRPr="00BC4946">
        <w:t>60,000 Btu/</w:t>
      </w:r>
      <w:proofErr w:type="spellStart"/>
      <w:r w:rsidRPr="00BC4946">
        <w:t>hr</w:t>
      </w:r>
      <w:proofErr w:type="spellEnd"/>
      <w:r w:rsidR="009A6B3B">
        <w:t xml:space="preserve"> are not eligible</w:t>
      </w:r>
    </w:p>
    <w:p w14:paraId="2EDE37A9" w14:textId="03E4EA12" w:rsidR="005703EC" w:rsidRDefault="005703EC" w:rsidP="004B06E3">
      <w:r>
        <w:t>Fan Type Wall Furnaces</w:t>
      </w:r>
      <w:r w:rsidR="00F1795A">
        <w:t xml:space="preserve"> </w:t>
      </w:r>
      <w:r w:rsidR="009A6B3B" w:rsidRPr="00BC4946">
        <w:rPr>
          <w:rFonts w:cs="Calibri Light"/>
        </w:rPr>
        <w:t>≤</w:t>
      </w:r>
      <w:r w:rsidR="00F1795A" w:rsidRPr="00BC4946">
        <w:t xml:space="preserve"> 19,000 Btu/</w:t>
      </w:r>
      <w:proofErr w:type="spellStart"/>
      <w:r w:rsidR="00F1795A" w:rsidRPr="00BC4946">
        <w:t>hr</w:t>
      </w:r>
      <w:proofErr w:type="spellEnd"/>
      <w:r w:rsidR="00F1795A" w:rsidRPr="00BC4946">
        <w:t xml:space="preserve"> and </w:t>
      </w:r>
      <w:r w:rsidR="009A6B3B" w:rsidRPr="00BC4946">
        <w:rPr>
          <w:rFonts w:cs="Calibri Light"/>
        </w:rPr>
        <w:t>≥</w:t>
      </w:r>
      <w:r w:rsidR="00F1795A">
        <w:rPr>
          <w:rFonts w:cs="Calibri Light"/>
        </w:rPr>
        <w:t xml:space="preserve"> </w:t>
      </w:r>
      <w:r w:rsidR="009A6B3B">
        <w:t>42</w:t>
      </w:r>
      <w:r w:rsidR="00F1795A" w:rsidRPr="00BC4946">
        <w:t>,000 Btu/</w:t>
      </w:r>
      <w:proofErr w:type="spellStart"/>
      <w:r w:rsidR="00F1795A" w:rsidRPr="00BC4946">
        <w:t>hr</w:t>
      </w:r>
      <w:proofErr w:type="spellEnd"/>
      <w:r w:rsidR="009A6B3B">
        <w:t xml:space="preserve"> are not eligible</w:t>
      </w:r>
    </w:p>
    <w:p w14:paraId="6AA7452D" w14:textId="77777777" w:rsidR="00A6453C" w:rsidRPr="002914D8" w:rsidRDefault="00A6453C" w:rsidP="004B06E3"/>
    <w:p w14:paraId="655E299F" w14:textId="77777777" w:rsidR="007D230B" w:rsidRPr="002914D8" w:rsidRDefault="007D230B" w:rsidP="00462BB6">
      <w:pPr>
        <w:pStyle w:val="eTRMHeading3"/>
      </w:pPr>
      <w:bookmarkStart w:id="34" w:name="_Toc486490854"/>
      <w:bookmarkStart w:id="35" w:name="_Toc486580925"/>
      <w:bookmarkStart w:id="36" w:name="_Toc7184827"/>
      <w:r w:rsidRPr="002914D8">
        <w:t>Data Collection Requirements</w:t>
      </w:r>
      <w:bookmarkEnd w:id="34"/>
      <w:bookmarkEnd w:id="35"/>
      <w:bookmarkEnd w:id="36"/>
      <w:r w:rsidRPr="002914D8">
        <w:t xml:space="preserve"> </w:t>
      </w:r>
    </w:p>
    <w:p w14:paraId="32C36F49" w14:textId="3DA2F789" w:rsidR="00465FF0" w:rsidRDefault="00D63505" w:rsidP="00465FF0">
      <w:r>
        <w:t xml:space="preserve">The purchase </w:t>
      </w:r>
      <w:r w:rsidR="00964FB8">
        <w:t>invoice</w:t>
      </w:r>
      <w:r>
        <w:t xml:space="preserve"> must be provided as a proof that the wall furnace has been purchased to replace a previously existing unit. Additionally, the customer must agree to a post measure inst</w:t>
      </w:r>
      <w:r w:rsidR="00964FB8">
        <w:t>allation inspection.</w:t>
      </w:r>
    </w:p>
    <w:p w14:paraId="72724F24" w14:textId="77777777" w:rsidR="00640DAD" w:rsidRPr="002914D8" w:rsidRDefault="00640DAD" w:rsidP="00465FF0"/>
    <w:p w14:paraId="4891FCAB" w14:textId="77777777" w:rsidR="007D230B" w:rsidRPr="002914D8" w:rsidRDefault="007D230B" w:rsidP="00462BB6">
      <w:pPr>
        <w:pStyle w:val="eTRMHeading3"/>
      </w:pPr>
      <w:bookmarkStart w:id="37" w:name="_Toc486490855"/>
      <w:bookmarkStart w:id="38" w:name="_Toc486580926"/>
      <w:bookmarkStart w:id="39" w:name="_Toc7184828"/>
      <w:r w:rsidRPr="002914D8">
        <w:t>Use Category</w:t>
      </w:r>
      <w:bookmarkEnd w:id="37"/>
      <w:bookmarkEnd w:id="38"/>
      <w:bookmarkEnd w:id="39"/>
    </w:p>
    <w:p w14:paraId="13382FF9" w14:textId="4E0C7A23" w:rsidR="004142EF" w:rsidRPr="002914D8" w:rsidRDefault="00273571" w:rsidP="004B06E3">
      <w:r w:rsidRPr="002914D8">
        <w:t>HVAC</w:t>
      </w:r>
    </w:p>
    <w:p w14:paraId="4FB6641C" w14:textId="77777777" w:rsidR="00273571" w:rsidRPr="002914D8" w:rsidRDefault="00273571" w:rsidP="004B06E3"/>
    <w:p w14:paraId="4B62D367" w14:textId="370A839E" w:rsidR="007D230B" w:rsidRPr="002914D8" w:rsidRDefault="007D230B" w:rsidP="00462BB6">
      <w:pPr>
        <w:pStyle w:val="eTRMHeading3"/>
      </w:pPr>
      <w:bookmarkStart w:id="40" w:name="_Toc486490857"/>
      <w:bookmarkStart w:id="41" w:name="_Toc486580928"/>
      <w:bookmarkStart w:id="42" w:name="_Toc7184829"/>
      <w:r w:rsidRPr="002914D8">
        <w:t>Electric Savings</w:t>
      </w:r>
      <w:r w:rsidR="00245AFF" w:rsidRPr="002914D8">
        <w:t xml:space="preserve"> (</w:t>
      </w:r>
      <w:r w:rsidR="00E14349" w:rsidRPr="002914D8">
        <w:rPr>
          <w:caps w:val="0"/>
        </w:rPr>
        <w:t>k</w:t>
      </w:r>
      <w:r w:rsidR="00245AFF" w:rsidRPr="002914D8">
        <w:rPr>
          <w:caps w:val="0"/>
        </w:rPr>
        <w:t>Wh</w:t>
      </w:r>
      <w:r w:rsidR="00245AFF" w:rsidRPr="002914D8">
        <w:t>)</w:t>
      </w:r>
      <w:bookmarkEnd w:id="40"/>
      <w:bookmarkEnd w:id="41"/>
      <w:bookmarkEnd w:id="42"/>
    </w:p>
    <w:p w14:paraId="5369DE1B" w14:textId="20F6DC5C" w:rsidR="007044B3" w:rsidRDefault="00BC4C2A" w:rsidP="004B06E3">
      <w:r>
        <w:t xml:space="preserve">There are no energy savings applicable to gravity wall furnaces. For fan type wall furnaces, electricity consumption is assumed to be the same between the base and measure cases, as </w:t>
      </w:r>
      <w:r w:rsidR="001A2396">
        <w:t>the base case for fan type wall furnace offering is also a fan type wall furnace.</w:t>
      </w:r>
    </w:p>
    <w:p w14:paraId="3F343712" w14:textId="77777777" w:rsidR="005F4D33" w:rsidRPr="002914D8" w:rsidRDefault="005F4D33" w:rsidP="004B06E3"/>
    <w:p w14:paraId="46B7702E" w14:textId="22490A47" w:rsidR="00BB4F22" w:rsidRPr="002914D8" w:rsidRDefault="00BB4F22" w:rsidP="00BB4F22">
      <w:pPr>
        <w:pStyle w:val="eTRMHeading3"/>
      </w:pPr>
      <w:bookmarkStart w:id="43" w:name="_Toc486490856"/>
      <w:bookmarkStart w:id="44" w:name="_Toc486580927"/>
      <w:bookmarkStart w:id="45" w:name="_Toc7184830"/>
      <w:r w:rsidRPr="002914D8">
        <w:t>Peak Electric Demand Reduction (</w:t>
      </w:r>
      <w:r w:rsidR="00870971" w:rsidRPr="002914D8">
        <w:rPr>
          <w:caps w:val="0"/>
        </w:rPr>
        <w:t>kW</w:t>
      </w:r>
      <w:r w:rsidRPr="002914D8">
        <w:t>)</w:t>
      </w:r>
      <w:bookmarkEnd w:id="43"/>
      <w:bookmarkEnd w:id="44"/>
      <w:bookmarkEnd w:id="45"/>
    </w:p>
    <w:p w14:paraId="023D951C" w14:textId="633BD1FE" w:rsidR="005F4D33" w:rsidRDefault="00BC4C2A" w:rsidP="005F4D33">
      <w:r>
        <w:t>See electric savings section.</w:t>
      </w:r>
    </w:p>
    <w:p w14:paraId="6544115B" w14:textId="77777777" w:rsidR="00BB4F22" w:rsidRPr="002914D8" w:rsidRDefault="00BB4F22" w:rsidP="00BB4F22"/>
    <w:p w14:paraId="02E97124" w14:textId="77777777" w:rsidR="00177EB6" w:rsidRPr="002914D8" w:rsidRDefault="00177EB6" w:rsidP="00177EB6">
      <w:pPr>
        <w:pStyle w:val="eTRMHeading3"/>
      </w:pPr>
      <w:bookmarkStart w:id="46" w:name="_Toc486490858"/>
      <w:bookmarkStart w:id="47" w:name="_Toc486580929"/>
      <w:bookmarkStart w:id="48" w:name="_Toc7184831"/>
      <w:r w:rsidRPr="002914D8">
        <w:t>Gas Savings (</w:t>
      </w:r>
      <w:proofErr w:type="spellStart"/>
      <w:r w:rsidRPr="0051686B">
        <w:rPr>
          <w:caps w:val="0"/>
        </w:rPr>
        <w:t>Therms</w:t>
      </w:r>
      <w:proofErr w:type="spellEnd"/>
      <w:r w:rsidRPr="002914D8">
        <w:t>)</w:t>
      </w:r>
      <w:bookmarkEnd w:id="46"/>
      <w:bookmarkEnd w:id="47"/>
      <w:bookmarkEnd w:id="48"/>
    </w:p>
    <w:p w14:paraId="75A10828" w14:textId="3CCCA16C" w:rsidR="00C23903" w:rsidRDefault="003E536E" w:rsidP="007C664D">
      <w:r>
        <w:t xml:space="preserve">The gas unit energy saving (UES) of a wall furnace </w:t>
      </w:r>
      <w:r w:rsidR="00667EDA">
        <w:t xml:space="preserve">were </w:t>
      </w:r>
      <w:r w:rsidR="00C807EB">
        <w:t xml:space="preserve">derived from computer building energy use </w:t>
      </w:r>
      <w:r w:rsidR="00651A89" w:rsidRPr="002914D8">
        <w:t>simulation</w:t>
      </w:r>
      <w:r w:rsidR="00651A89">
        <w:t xml:space="preserve"> models</w:t>
      </w:r>
      <w:r w:rsidR="00651A89" w:rsidRPr="002914D8">
        <w:t xml:space="preserve"> of single and multifamily residential using </w:t>
      </w:r>
      <w:proofErr w:type="spellStart"/>
      <w:r w:rsidR="00651A89" w:rsidRPr="002914D8">
        <w:t>eQuest</w:t>
      </w:r>
      <w:proofErr w:type="spellEnd"/>
      <w:r w:rsidR="00651A89" w:rsidRPr="002914D8">
        <w:t xml:space="preserve"> software </w:t>
      </w:r>
      <w:r w:rsidR="00651A89" w:rsidRPr="006F02B7">
        <w:t xml:space="preserve">Version </w:t>
      </w:r>
      <w:r w:rsidR="00651A89" w:rsidRPr="004F12DF">
        <w:t>3.65</w:t>
      </w:r>
      <w:r w:rsidR="00651A89" w:rsidRPr="002914D8">
        <w:t xml:space="preserve">.  The energy models generated for </w:t>
      </w:r>
      <w:r w:rsidR="00651A89">
        <w:t>the Database of Energy Efficient Resources (</w:t>
      </w:r>
      <w:r w:rsidR="00651A89" w:rsidRPr="002914D8">
        <w:t>DEER</w:t>
      </w:r>
      <w:r w:rsidR="00651A89">
        <w:t>)</w:t>
      </w:r>
      <w:r w:rsidR="00651A89" w:rsidRPr="002914D8">
        <w:t xml:space="preserve"> single</w:t>
      </w:r>
      <w:r w:rsidR="00651A89">
        <w:t xml:space="preserve"> </w:t>
      </w:r>
      <w:r w:rsidR="00651A89" w:rsidRPr="002914D8">
        <w:t>family and multifamily homes were utilized in</w:t>
      </w:r>
      <w:r w:rsidR="00C541B3">
        <w:t xml:space="preserve"> </w:t>
      </w:r>
      <w:proofErr w:type="spellStart"/>
      <w:r w:rsidR="00C541B3">
        <w:t>eQuest</w:t>
      </w:r>
      <w:proofErr w:type="spellEnd"/>
      <w:r w:rsidR="00C541B3">
        <w:t xml:space="preserve"> simulations</w:t>
      </w:r>
      <w:r w:rsidR="002279F0">
        <w:rPr>
          <w:rStyle w:val="FootnoteReference"/>
        </w:rPr>
        <w:footnoteReference w:id="3"/>
      </w:r>
      <w:r w:rsidR="00C541B3">
        <w:t>.</w:t>
      </w:r>
    </w:p>
    <w:p w14:paraId="2D2736A2" w14:textId="77777777" w:rsidR="002123D9" w:rsidRDefault="002123D9" w:rsidP="002123D9">
      <w:pPr>
        <w:pStyle w:val="eTRMHeading4"/>
      </w:pPr>
      <w:r>
        <w:t>Model Calibration</w:t>
      </w:r>
    </w:p>
    <w:p w14:paraId="5467A12B" w14:textId="77777777" w:rsidR="002123D9" w:rsidRDefault="002123D9" w:rsidP="002123D9">
      <w:r>
        <w:t>To</w:t>
      </w:r>
      <w:r w:rsidRPr="002914D8">
        <w:t xml:space="preserve"> calibrate the energy model and </w:t>
      </w:r>
      <w:r>
        <w:t>conduct</w:t>
      </w:r>
      <w:r w:rsidRPr="002914D8">
        <w:t xml:space="preserve"> the </w:t>
      </w:r>
      <w:r>
        <w:t xml:space="preserve">energy use </w:t>
      </w:r>
      <w:r w:rsidRPr="002914D8">
        <w:t>simulation</w:t>
      </w:r>
      <w:r>
        <w:t>s</w:t>
      </w:r>
      <w:r w:rsidRPr="002914D8">
        <w:t xml:space="preserve">, the correlation between gas consumption and </w:t>
      </w:r>
      <w:r>
        <w:t>heating degree days</w:t>
      </w:r>
      <w:r w:rsidRPr="002914D8">
        <w:t xml:space="preserve"> (HDD) was established using the gas usage history of</w:t>
      </w:r>
      <w:r>
        <w:t xml:space="preserve"> residential customers with a</w:t>
      </w:r>
      <w:r w:rsidRPr="002914D8">
        <w:t xml:space="preserve"> wall furnace</w:t>
      </w:r>
      <w:r>
        <w:t xml:space="preserve"> in the Southern California Gas Company (SCG) service area from 2008 through 2010</w:t>
      </w:r>
      <w:r w:rsidRPr="002914D8">
        <w:t>.</w:t>
      </w:r>
    </w:p>
    <w:p w14:paraId="269ED0EE" w14:textId="3813C49C" w:rsidR="002123D9" w:rsidRDefault="002123D9" w:rsidP="002123D9">
      <w:r w:rsidRPr="007C664D">
        <w:rPr>
          <w:b/>
        </w:rPr>
        <w:lastRenderedPageBreak/>
        <w:t>Sample homes in SCG territory</w:t>
      </w:r>
      <w:r>
        <w:rPr>
          <w:b/>
        </w:rPr>
        <w:t>.</w:t>
      </w:r>
      <w:r>
        <w:t xml:space="preserve"> </w:t>
      </w:r>
      <w:r w:rsidRPr="002914D8">
        <w:t>A sample of 889 homes in SCG territory</w:t>
      </w:r>
      <w:r w:rsidRPr="002914D8">
        <w:rPr>
          <w:rStyle w:val="FootnoteReference"/>
        </w:rPr>
        <w:footnoteReference w:id="4"/>
      </w:r>
      <w:r w:rsidRPr="002914D8">
        <w:t xml:space="preserve"> identified to be equipped with </w:t>
      </w:r>
      <w:r>
        <w:t xml:space="preserve">a </w:t>
      </w:r>
      <w:r w:rsidRPr="002914D8">
        <w:t xml:space="preserve">wall furnace for space heating was </w:t>
      </w:r>
      <w:r>
        <w:t>analyzed</w:t>
      </w:r>
      <w:r w:rsidRPr="002914D8">
        <w:t xml:space="preserve"> to calibrate the energy </w:t>
      </w:r>
      <w:r>
        <w:t xml:space="preserve">simulation </w:t>
      </w:r>
      <w:r w:rsidRPr="002914D8">
        <w:t>models</w:t>
      </w:r>
      <w:bookmarkStart w:id="49" w:name="_Ref323907424"/>
      <w:r>
        <w:t>.</w:t>
      </w:r>
      <w:bookmarkEnd w:id="49"/>
      <w:r w:rsidRPr="002914D8">
        <w:t xml:space="preserve"> The gas consumption history of these customers</w:t>
      </w:r>
      <w:r w:rsidR="00801C8F">
        <w:t xml:space="preserve"> w</w:t>
      </w:r>
      <w:r w:rsidRPr="002914D8">
        <w:t>as analyzed</w:t>
      </w:r>
      <w:r>
        <w:t xml:space="preserve"> (see below)</w:t>
      </w:r>
      <w:r w:rsidRPr="002914D8">
        <w:t xml:space="preserve"> with respect to HDD data of each climate zone. The numerical data needed to calibrate the energy model was obtained through the review of individual consumption history and an extensive filtering and analysis of the data.   </w:t>
      </w:r>
    </w:p>
    <w:p w14:paraId="35C1F9ED" w14:textId="77777777" w:rsidR="002123D9" w:rsidRPr="002914D8" w:rsidRDefault="002123D9" w:rsidP="002123D9">
      <w:r w:rsidRPr="002914D8">
        <w:t xml:space="preserve">Because the size of </w:t>
      </w:r>
      <w:r>
        <w:t xml:space="preserve">each home in the </w:t>
      </w:r>
      <w:r w:rsidRPr="002914D8">
        <w:t xml:space="preserve">sample </w:t>
      </w:r>
      <w:r>
        <w:t>was</w:t>
      </w:r>
      <w:r w:rsidRPr="002914D8">
        <w:t xml:space="preserve"> not available </w:t>
      </w:r>
      <w:r>
        <w:t>in</w:t>
      </w:r>
      <w:r w:rsidRPr="002914D8">
        <w:t xml:space="preserve"> </w:t>
      </w:r>
      <w:r>
        <w:t xml:space="preserve">the </w:t>
      </w:r>
      <w:r w:rsidRPr="002914D8">
        <w:t xml:space="preserve">SCG customer database, some homes were </w:t>
      </w:r>
      <w:r>
        <w:t xml:space="preserve">specifically </w:t>
      </w:r>
      <w:r w:rsidRPr="002914D8">
        <w:t>selected to manually identify the size of the living space using the data available on the Internet.</w:t>
      </w:r>
      <w:r>
        <w:t xml:space="preserve"> The estimated average living area of single family and multifamily homes in the sample was </w:t>
      </w:r>
      <w:r w:rsidRPr="002914D8">
        <w:t>1</w:t>
      </w:r>
      <w:r>
        <w:t>,</w:t>
      </w:r>
      <w:r w:rsidRPr="002914D8">
        <w:t xml:space="preserve">391 </w:t>
      </w:r>
      <w:r>
        <w:t>ft</w:t>
      </w:r>
      <w:r w:rsidRPr="006C0A74">
        <w:rPr>
          <w:vertAlign w:val="superscript"/>
        </w:rPr>
        <w:t>2</w:t>
      </w:r>
      <w:r>
        <w:t xml:space="preserve"> and </w:t>
      </w:r>
      <w:r w:rsidRPr="002914D8">
        <w:t xml:space="preserve">950 </w:t>
      </w:r>
      <w:r>
        <w:t>ft</w:t>
      </w:r>
      <w:r w:rsidRPr="006C0A74">
        <w:rPr>
          <w:vertAlign w:val="superscript"/>
        </w:rPr>
        <w:t>2</w:t>
      </w:r>
      <w:r>
        <w:t>, respectively.</w:t>
      </w:r>
    </w:p>
    <w:p w14:paraId="6D9DCD2A" w14:textId="77777777" w:rsidR="002123D9" w:rsidRDefault="002123D9" w:rsidP="002123D9">
      <w:r w:rsidRPr="002914D8">
        <w:t xml:space="preserve">The distribution of customers </w:t>
      </w:r>
      <w:r>
        <w:t xml:space="preserve">in the sample compared to the </w:t>
      </w:r>
      <w:r w:rsidRPr="002914D8">
        <w:t>actual population distribution</w:t>
      </w:r>
      <w:r>
        <w:t xml:space="preserve"> based upon </w:t>
      </w:r>
      <w:r w:rsidRPr="002914D8">
        <w:t>U</w:t>
      </w:r>
      <w:r>
        <w:t>.</w:t>
      </w:r>
      <w:r w:rsidRPr="002914D8">
        <w:t>S</w:t>
      </w:r>
      <w:r>
        <w:t>.</w:t>
      </w:r>
      <w:r w:rsidRPr="002914D8">
        <w:t xml:space="preserve"> Census </w:t>
      </w:r>
      <w:r>
        <w:t xml:space="preserve">is provided below. The </w:t>
      </w:r>
      <w:r w:rsidRPr="002914D8">
        <w:t>SCG population distribution per climate zone was applied to calculate the weighted average of the gas impact of the measure.</w:t>
      </w:r>
    </w:p>
    <w:p w14:paraId="59D4BCD1" w14:textId="77777777" w:rsidR="002123D9" w:rsidRDefault="002123D9" w:rsidP="002123D9">
      <w:pPr>
        <w:pStyle w:val="Caption"/>
      </w:pPr>
      <w:r>
        <w:t>Comparison of Customer Sample with Population, by Climate Zone</w:t>
      </w:r>
    </w:p>
    <w:tbl>
      <w:tblPr>
        <w:tblW w:w="4320" w:type="dxa"/>
        <w:tblInd w:w="-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440"/>
        <w:gridCol w:w="1440"/>
        <w:gridCol w:w="1440"/>
      </w:tblGrid>
      <w:tr w:rsidR="002123D9" w:rsidRPr="003E5123" w14:paraId="4B0AAD99" w14:textId="77777777" w:rsidTr="0051686B">
        <w:trPr>
          <w:cantSplit/>
          <w:trHeight w:val="20"/>
          <w:tblHeader/>
        </w:trPr>
        <w:tc>
          <w:tcPr>
            <w:tcW w:w="1440" w:type="dxa"/>
            <w:shd w:val="clear" w:color="auto" w:fill="F2F2F2" w:themeFill="background1" w:themeFillShade="F2"/>
            <w:noWrap/>
            <w:vAlign w:val="bottom"/>
            <w:hideMark/>
          </w:tcPr>
          <w:p w14:paraId="515C81CE" w14:textId="77777777" w:rsidR="002123D9" w:rsidRPr="003E5123" w:rsidRDefault="002123D9" w:rsidP="0051686B">
            <w:pPr>
              <w:spacing w:before="0" w:after="0" w:line="240" w:lineRule="auto"/>
              <w:jc w:val="center"/>
              <w:rPr>
                <w:rFonts w:eastAsia="Times New Roman" w:cs="Calibri Light"/>
                <w:b/>
                <w:color w:val="000000"/>
                <w:sz w:val="20"/>
                <w:szCs w:val="16"/>
              </w:rPr>
            </w:pPr>
            <w:r w:rsidRPr="003E5123">
              <w:rPr>
                <w:rFonts w:eastAsia="Gulim" w:cs="Arial"/>
                <w:b/>
                <w:color w:val="000000"/>
                <w:sz w:val="20"/>
                <w:szCs w:val="16"/>
                <w:lang w:eastAsia="ko-KR"/>
              </w:rPr>
              <w:t>SCG Climate Zone</w:t>
            </w:r>
          </w:p>
        </w:tc>
        <w:tc>
          <w:tcPr>
            <w:tcW w:w="1440" w:type="dxa"/>
            <w:shd w:val="clear" w:color="auto" w:fill="F2F2F2" w:themeFill="background1" w:themeFillShade="F2"/>
            <w:noWrap/>
            <w:vAlign w:val="bottom"/>
            <w:hideMark/>
          </w:tcPr>
          <w:p w14:paraId="64EC9A8B" w14:textId="77777777" w:rsidR="002123D9" w:rsidRPr="003E5123" w:rsidRDefault="002123D9" w:rsidP="0051686B">
            <w:pPr>
              <w:spacing w:before="0" w:after="0" w:line="240" w:lineRule="auto"/>
              <w:jc w:val="center"/>
              <w:rPr>
                <w:rFonts w:eastAsia="Times New Roman" w:cs="Calibri Light"/>
                <w:b/>
                <w:color w:val="000000"/>
                <w:sz w:val="20"/>
                <w:szCs w:val="16"/>
              </w:rPr>
            </w:pPr>
            <w:r w:rsidRPr="003E5123">
              <w:rPr>
                <w:rFonts w:eastAsia="Gulim" w:cs="Arial"/>
                <w:b/>
                <w:color w:val="000000"/>
                <w:sz w:val="20"/>
                <w:szCs w:val="16"/>
                <w:lang w:eastAsia="ko-KR"/>
              </w:rPr>
              <w:t>% of SCG Sample in CZ</w:t>
            </w:r>
          </w:p>
        </w:tc>
        <w:tc>
          <w:tcPr>
            <w:tcW w:w="1440" w:type="dxa"/>
            <w:shd w:val="clear" w:color="auto" w:fill="F2F2F2" w:themeFill="background1" w:themeFillShade="F2"/>
            <w:noWrap/>
            <w:vAlign w:val="bottom"/>
            <w:hideMark/>
          </w:tcPr>
          <w:p w14:paraId="63F1B71D" w14:textId="77777777" w:rsidR="002123D9" w:rsidRPr="003E5123" w:rsidRDefault="002123D9" w:rsidP="0051686B">
            <w:pPr>
              <w:spacing w:before="0" w:after="0" w:line="240" w:lineRule="auto"/>
              <w:jc w:val="center"/>
              <w:rPr>
                <w:rFonts w:eastAsia="Times New Roman" w:cs="Calibri Light"/>
                <w:b/>
                <w:color w:val="000000"/>
                <w:sz w:val="20"/>
                <w:szCs w:val="16"/>
              </w:rPr>
            </w:pPr>
            <w:r w:rsidRPr="003E5123">
              <w:rPr>
                <w:rFonts w:eastAsia="Gulim" w:cs="Arial"/>
                <w:b/>
                <w:color w:val="000000"/>
                <w:sz w:val="20"/>
                <w:szCs w:val="16"/>
                <w:lang w:eastAsia="ko-KR"/>
              </w:rPr>
              <w:t>% of SCG Population in CZ</w:t>
            </w:r>
          </w:p>
        </w:tc>
      </w:tr>
      <w:tr w:rsidR="002123D9" w:rsidRPr="003E5123" w14:paraId="1FB0002F" w14:textId="77777777" w:rsidTr="0051686B">
        <w:trPr>
          <w:cantSplit/>
          <w:trHeight w:val="20"/>
        </w:trPr>
        <w:tc>
          <w:tcPr>
            <w:tcW w:w="1440" w:type="dxa"/>
            <w:shd w:val="clear" w:color="auto" w:fill="auto"/>
            <w:noWrap/>
            <w:vAlign w:val="center"/>
            <w:hideMark/>
          </w:tcPr>
          <w:p w14:paraId="73B2AD28"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4</w:t>
            </w:r>
          </w:p>
        </w:tc>
        <w:tc>
          <w:tcPr>
            <w:tcW w:w="1440" w:type="dxa"/>
            <w:shd w:val="clear" w:color="auto" w:fill="auto"/>
            <w:noWrap/>
            <w:vAlign w:val="center"/>
            <w:hideMark/>
          </w:tcPr>
          <w:p w14:paraId="28A9CAEC"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0.3%</w:t>
            </w:r>
          </w:p>
        </w:tc>
        <w:tc>
          <w:tcPr>
            <w:tcW w:w="1440" w:type="dxa"/>
            <w:shd w:val="clear" w:color="auto" w:fill="auto"/>
            <w:noWrap/>
            <w:vAlign w:val="center"/>
            <w:hideMark/>
          </w:tcPr>
          <w:p w14:paraId="14DA8F1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1.0%</w:t>
            </w:r>
          </w:p>
        </w:tc>
      </w:tr>
      <w:tr w:rsidR="002123D9" w:rsidRPr="003E5123" w14:paraId="51817F31" w14:textId="77777777" w:rsidTr="0051686B">
        <w:trPr>
          <w:cantSplit/>
          <w:trHeight w:val="20"/>
        </w:trPr>
        <w:tc>
          <w:tcPr>
            <w:tcW w:w="1440" w:type="dxa"/>
            <w:shd w:val="clear" w:color="auto" w:fill="auto"/>
            <w:noWrap/>
            <w:vAlign w:val="center"/>
            <w:hideMark/>
          </w:tcPr>
          <w:p w14:paraId="3E03BF9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5</w:t>
            </w:r>
          </w:p>
        </w:tc>
        <w:tc>
          <w:tcPr>
            <w:tcW w:w="1440" w:type="dxa"/>
            <w:shd w:val="clear" w:color="auto" w:fill="auto"/>
            <w:noWrap/>
            <w:vAlign w:val="center"/>
            <w:hideMark/>
          </w:tcPr>
          <w:p w14:paraId="30DA371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2.8%</w:t>
            </w:r>
          </w:p>
        </w:tc>
        <w:tc>
          <w:tcPr>
            <w:tcW w:w="1440" w:type="dxa"/>
            <w:shd w:val="clear" w:color="auto" w:fill="auto"/>
            <w:noWrap/>
            <w:vAlign w:val="center"/>
            <w:hideMark/>
          </w:tcPr>
          <w:p w14:paraId="3E800D0D"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2.4%</w:t>
            </w:r>
          </w:p>
        </w:tc>
      </w:tr>
      <w:tr w:rsidR="002123D9" w:rsidRPr="003E5123" w14:paraId="0E67C6E6" w14:textId="77777777" w:rsidTr="0051686B">
        <w:trPr>
          <w:cantSplit/>
          <w:trHeight w:val="20"/>
        </w:trPr>
        <w:tc>
          <w:tcPr>
            <w:tcW w:w="1440" w:type="dxa"/>
            <w:shd w:val="clear" w:color="auto" w:fill="auto"/>
            <w:noWrap/>
            <w:vAlign w:val="center"/>
            <w:hideMark/>
          </w:tcPr>
          <w:p w14:paraId="6FF961F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6</w:t>
            </w:r>
          </w:p>
        </w:tc>
        <w:tc>
          <w:tcPr>
            <w:tcW w:w="1440" w:type="dxa"/>
            <w:shd w:val="clear" w:color="auto" w:fill="auto"/>
            <w:noWrap/>
            <w:vAlign w:val="center"/>
            <w:hideMark/>
          </w:tcPr>
          <w:p w14:paraId="4D30923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12.9%</w:t>
            </w:r>
          </w:p>
        </w:tc>
        <w:tc>
          <w:tcPr>
            <w:tcW w:w="1440" w:type="dxa"/>
            <w:shd w:val="clear" w:color="auto" w:fill="auto"/>
            <w:noWrap/>
            <w:vAlign w:val="center"/>
            <w:hideMark/>
          </w:tcPr>
          <w:p w14:paraId="5B66B62D"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15.2%</w:t>
            </w:r>
          </w:p>
        </w:tc>
      </w:tr>
      <w:tr w:rsidR="002123D9" w:rsidRPr="003E5123" w14:paraId="4168F72C" w14:textId="77777777" w:rsidTr="0051686B">
        <w:trPr>
          <w:cantSplit/>
          <w:trHeight w:val="20"/>
        </w:trPr>
        <w:tc>
          <w:tcPr>
            <w:tcW w:w="1440" w:type="dxa"/>
            <w:shd w:val="clear" w:color="auto" w:fill="auto"/>
            <w:noWrap/>
            <w:vAlign w:val="center"/>
            <w:hideMark/>
          </w:tcPr>
          <w:p w14:paraId="3E462445"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8</w:t>
            </w:r>
          </w:p>
        </w:tc>
        <w:tc>
          <w:tcPr>
            <w:tcW w:w="1440" w:type="dxa"/>
            <w:shd w:val="clear" w:color="auto" w:fill="auto"/>
            <w:noWrap/>
            <w:vAlign w:val="center"/>
            <w:hideMark/>
          </w:tcPr>
          <w:p w14:paraId="23EA462E"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40.9%</w:t>
            </w:r>
          </w:p>
        </w:tc>
        <w:tc>
          <w:tcPr>
            <w:tcW w:w="1440" w:type="dxa"/>
            <w:shd w:val="clear" w:color="auto" w:fill="auto"/>
            <w:noWrap/>
            <w:vAlign w:val="center"/>
            <w:hideMark/>
          </w:tcPr>
          <w:p w14:paraId="6D9327C1"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22.1%</w:t>
            </w:r>
          </w:p>
        </w:tc>
      </w:tr>
      <w:tr w:rsidR="002123D9" w:rsidRPr="003E5123" w14:paraId="653765BF" w14:textId="77777777" w:rsidTr="0051686B">
        <w:trPr>
          <w:cantSplit/>
          <w:trHeight w:val="20"/>
        </w:trPr>
        <w:tc>
          <w:tcPr>
            <w:tcW w:w="1440" w:type="dxa"/>
            <w:shd w:val="clear" w:color="auto" w:fill="auto"/>
            <w:noWrap/>
            <w:vAlign w:val="center"/>
            <w:hideMark/>
          </w:tcPr>
          <w:p w14:paraId="72DF27BA"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9</w:t>
            </w:r>
          </w:p>
        </w:tc>
        <w:tc>
          <w:tcPr>
            <w:tcW w:w="1440" w:type="dxa"/>
            <w:shd w:val="clear" w:color="auto" w:fill="auto"/>
            <w:noWrap/>
            <w:vAlign w:val="center"/>
            <w:hideMark/>
          </w:tcPr>
          <w:p w14:paraId="7603F51E"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30.8%</w:t>
            </w:r>
          </w:p>
        </w:tc>
        <w:tc>
          <w:tcPr>
            <w:tcW w:w="1440" w:type="dxa"/>
            <w:shd w:val="clear" w:color="auto" w:fill="auto"/>
            <w:noWrap/>
            <w:vAlign w:val="center"/>
            <w:hideMark/>
          </w:tcPr>
          <w:p w14:paraId="10DF6521"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27.8%</w:t>
            </w:r>
          </w:p>
        </w:tc>
      </w:tr>
      <w:tr w:rsidR="002123D9" w:rsidRPr="003E5123" w14:paraId="00D76621" w14:textId="77777777" w:rsidTr="0051686B">
        <w:trPr>
          <w:cantSplit/>
          <w:trHeight w:val="20"/>
        </w:trPr>
        <w:tc>
          <w:tcPr>
            <w:tcW w:w="1440" w:type="dxa"/>
            <w:shd w:val="clear" w:color="auto" w:fill="auto"/>
            <w:noWrap/>
            <w:vAlign w:val="center"/>
            <w:hideMark/>
          </w:tcPr>
          <w:p w14:paraId="19474A8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10</w:t>
            </w:r>
          </w:p>
        </w:tc>
        <w:tc>
          <w:tcPr>
            <w:tcW w:w="1440" w:type="dxa"/>
            <w:shd w:val="clear" w:color="auto" w:fill="auto"/>
            <w:noWrap/>
            <w:vAlign w:val="center"/>
            <w:hideMark/>
          </w:tcPr>
          <w:p w14:paraId="5F02AD00"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6.2%</w:t>
            </w:r>
          </w:p>
        </w:tc>
        <w:tc>
          <w:tcPr>
            <w:tcW w:w="1440" w:type="dxa"/>
            <w:shd w:val="clear" w:color="auto" w:fill="auto"/>
            <w:noWrap/>
            <w:vAlign w:val="center"/>
            <w:hideMark/>
          </w:tcPr>
          <w:p w14:paraId="04B3CD4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12.5%</w:t>
            </w:r>
          </w:p>
        </w:tc>
      </w:tr>
      <w:tr w:rsidR="002123D9" w:rsidRPr="003E5123" w14:paraId="2AEA783C" w14:textId="77777777" w:rsidTr="0051686B">
        <w:trPr>
          <w:cantSplit/>
          <w:trHeight w:val="20"/>
        </w:trPr>
        <w:tc>
          <w:tcPr>
            <w:tcW w:w="1440" w:type="dxa"/>
            <w:shd w:val="clear" w:color="auto" w:fill="auto"/>
            <w:noWrap/>
            <w:vAlign w:val="center"/>
            <w:hideMark/>
          </w:tcPr>
          <w:p w14:paraId="6275B61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12</w:t>
            </w:r>
          </w:p>
        </w:tc>
        <w:tc>
          <w:tcPr>
            <w:tcW w:w="1440" w:type="dxa"/>
            <w:shd w:val="clear" w:color="auto" w:fill="auto"/>
            <w:noWrap/>
            <w:vAlign w:val="center"/>
            <w:hideMark/>
          </w:tcPr>
          <w:p w14:paraId="58D74960"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0.5%</w:t>
            </w:r>
          </w:p>
        </w:tc>
        <w:tc>
          <w:tcPr>
            <w:tcW w:w="1440" w:type="dxa"/>
            <w:shd w:val="clear" w:color="auto" w:fill="auto"/>
            <w:noWrap/>
            <w:vAlign w:val="center"/>
            <w:hideMark/>
          </w:tcPr>
          <w:p w14:paraId="5626D5F2"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0.0%</w:t>
            </w:r>
          </w:p>
        </w:tc>
      </w:tr>
      <w:tr w:rsidR="002123D9" w:rsidRPr="003E5123" w14:paraId="12BC4DD2" w14:textId="77777777" w:rsidTr="0051686B">
        <w:trPr>
          <w:cantSplit/>
          <w:trHeight w:val="20"/>
        </w:trPr>
        <w:tc>
          <w:tcPr>
            <w:tcW w:w="1440" w:type="dxa"/>
            <w:shd w:val="clear" w:color="auto" w:fill="auto"/>
            <w:noWrap/>
            <w:vAlign w:val="center"/>
            <w:hideMark/>
          </w:tcPr>
          <w:p w14:paraId="00136F0A"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13</w:t>
            </w:r>
          </w:p>
        </w:tc>
        <w:tc>
          <w:tcPr>
            <w:tcW w:w="1440" w:type="dxa"/>
            <w:shd w:val="clear" w:color="auto" w:fill="auto"/>
            <w:noWrap/>
            <w:vAlign w:val="center"/>
            <w:hideMark/>
          </w:tcPr>
          <w:p w14:paraId="049792ED"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4.4%</w:t>
            </w:r>
          </w:p>
        </w:tc>
        <w:tc>
          <w:tcPr>
            <w:tcW w:w="1440" w:type="dxa"/>
            <w:shd w:val="clear" w:color="auto" w:fill="auto"/>
            <w:noWrap/>
            <w:vAlign w:val="center"/>
            <w:hideMark/>
          </w:tcPr>
          <w:p w14:paraId="45EC3BB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4.6%</w:t>
            </w:r>
          </w:p>
        </w:tc>
      </w:tr>
      <w:tr w:rsidR="002123D9" w:rsidRPr="003E5123" w14:paraId="462C7A57" w14:textId="77777777" w:rsidTr="0051686B">
        <w:trPr>
          <w:cantSplit/>
          <w:trHeight w:val="20"/>
        </w:trPr>
        <w:tc>
          <w:tcPr>
            <w:tcW w:w="1440" w:type="dxa"/>
            <w:shd w:val="clear" w:color="auto" w:fill="auto"/>
            <w:noWrap/>
            <w:vAlign w:val="center"/>
            <w:hideMark/>
          </w:tcPr>
          <w:p w14:paraId="5D022D3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14</w:t>
            </w:r>
          </w:p>
        </w:tc>
        <w:tc>
          <w:tcPr>
            <w:tcW w:w="1440" w:type="dxa"/>
            <w:shd w:val="clear" w:color="auto" w:fill="auto"/>
            <w:noWrap/>
            <w:vAlign w:val="center"/>
            <w:hideMark/>
          </w:tcPr>
          <w:p w14:paraId="378E1643"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0.3%</w:t>
            </w:r>
          </w:p>
        </w:tc>
        <w:tc>
          <w:tcPr>
            <w:tcW w:w="1440" w:type="dxa"/>
            <w:shd w:val="clear" w:color="auto" w:fill="auto"/>
            <w:noWrap/>
            <w:vAlign w:val="center"/>
            <w:hideMark/>
          </w:tcPr>
          <w:p w14:paraId="60F8DC68"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4.2%</w:t>
            </w:r>
          </w:p>
        </w:tc>
      </w:tr>
      <w:tr w:rsidR="002123D9" w:rsidRPr="003E5123" w14:paraId="0C6101CC" w14:textId="77777777" w:rsidTr="0051686B">
        <w:trPr>
          <w:cantSplit/>
          <w:trHeight w:val="20"/>
        </w:trPr>
        <w:tc>
          <w:tcPr>
            <w:tcW w:w="1440" w:type="dxa"/>
            <w:shd w:val="clear" w:color="auto" w:fill="auto"/>
            <w:noWrap/>
            <w:vAlign w:val="center"/>
            <w:hideMark/>
          </w:tcPr>
          <w:p w14:paraId="335E3F6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15</w:t>
            </w:r>
          </w:p>
        </w:tc>
        <w:tc>
          <w:tcPr>
            <w:tcW w:w="1440" w:type="dxa"/>
            <w:shd w:val="clear" w:color="auto" w:fill="auto"/>
            <w:noWrap/>
            <w:vAlign w:val="center"/>
            <w:hideMark/>
          </w:tcPr>
          <w:p w14:paraId="41B376E3"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0.5%</w:t>
            </w:r>
          </w:p>
        </w:tc>
        <w:tc>
          <w:tcPr>
            <w:tcW w:w="1440" w:type="dxa"/>
            <w:shd w:val="clear" w:color="auto" w:fill="auto"/>
            <w:noWrap/>
            <w:vAlign w:val="center"/>
            <w:hideMark/>
          </w:tcPr>
          <w:p w14:paraId="1CE4B0D8"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2.2%</w:t>
            </w:r>
          </w:p>
        </w:tc>
      </w:tr>
      <w:tr w:rsidR="002123D9" w:rsidRPr="003E5123" w14:paraId="1D4DA012" w14:textId="77777777" w:rsidTr="0051686B">
        <w:trPr>
          <w:cantSplit/>
          <w:trHeight w:val="20"/>
        </w:trPr>
        <w:tc>
          <w:tcPr>
            <w:tcW w:w="1440" w:type="dxa"/>
            <w:shd w:val="clear" w:color="auto" w:fill="auto"/>
            <w:noWrap/>
            <w:vAlign w:val="center"/>
            <w:hideMark/>
          </w:tcPr>
          <w:p w14:paraId="008EB2D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16</w:t>
            </w:r>
          </w:p>
        </w:tc>
        <w:tc>
          <w:tcPr>
            <w:tcW w:w="1440" w:type="dxa"/>
            <w:shd w:val="clear" w:color="auto" w:fill="auto"/>
            <w:noWrap/>
            <w:vAlign w:val="center"/>
            <w:hideMark/>
          </w:tcPr>
          <w:p w14:paraId="7D6FEA1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0.5%</w:t>
            </w:r>
          </w:p>
        </w:tc>
        <w:tc>
          <w:tcPr>
            <w:tcW w:w="1440" w:type="dxa"/>
            <w:shd w:val="clear" w:color="auto" w:fill="auto"/>
            <w:noWrap/>
            <w:vAlign w:val="center"/>
            <w:hideMark/>
          </w:tcPr>
          <w:p w14:paraId="4974B4EC"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7.4%</w:t>
            </w:r>
          </w:p>
        </w:tc>
      </w:tr>
    </w:tbl>
    <w:p w14:paraId="0B8DC440" w14:textId="77777777" w:rsidR="00BA5B6E" w:rsidRDefault="00BA5B6E" w:rsidP="002123D9">
      <w:pPr>
        <w:rPr>
          <w:b/>
        </w:rPr>
      </w:pPr>
    </w:p>
    <w:p w14:paraId="6DCD0BBB" w14:textId="08A70C41" w:rsidR="002123D9" w:rsidRDefault="002123D9" w:rsidP="002123D9">
      <w:r w:rsidRPr="007C664D">
        <w:rPr>
          <w:b/>
        </w:rPr>
        <w:t>Sizing of the furnace</w:t>
      </w:r>
      <w:r>
        <w:t xml:space="preserve">. </w:t>
      </w:r>
      <w:r w:rsidRPr="002914D8">
        <w:t xml:space="preserve">To determine the burner input </w:t>
      </w:r>
      <w:r>
        <w:t>capacity</w:t>
      </w:r>
      <w:r w:rsidRPr="002914D8">
        <w:t xml:space="preserve"> of the wall furnace (</w:t>
      </w:r>
      <w:proofErr w:type="spellStart"/>
      <w:r>
        <w:t>k</w:t>
      </w:r>
      <w:r w:rsidRPr="002914D8">
        <w:t>Btu</w:t>
      </w:r>
      <w:proofErr w:type="spellEnd"/>
      <w:r w:rsidRPr="002914D8">
        <w:t>/</w:t>
      </w:r>
      <w:proofErr w:type="spellStart"/>
      <w:r w:rsidRPr="002914D8">
        <w:t>hr</w:t>
      </w:r>
      <w:proofErr w:type="spellEnd"/>
      <w:r w:rsidRPr="002914D8">
        <w:t>)</w:t>
      </w:r>
      <w:r>
        <w:t xml:space="preserve"> required</w:t>
      </w:r>
      <w:r w:rsidRPr="002914D8">
        <w:t xml:space="preserve"> for the </w:t>
      </w:r>
      <w:r>
        <w:t xml:space="preserve">area of the </w:t>
      </w:r>
      <w:r w:rsidRPr="002914D8">
        <w:t xml:space="preserve">living space, the </w:t>
      </w:r>
      <w:r>
        <w:t xml:space="preserve">furnace </w:t>
      </w:r>
      <w:r w:rsidRPr="002914D8">
        <w:t xml:space="preserve">selection </w:t>
      </w:r>
      <w:r>
        <w:t>methodology</w:t>
      </w:r>
      <w:r w:rsidRPr="002914D8">
        <w:t xml:space="preserve"> </w:t>
      </w:r>
      <w:r>
        <w:t>promoted</w:t>
      </w:r>
      <w:r w:rsidRPr="002914D8">
        <w:t xml:space="preserve"> by wall furnace</w:t>
      </w:r>
      <w:r>
        <w:t xml:space="preserve"> manufacturers</w:t>
      </w:r>
      <w:r w:rsidRPr="002914D8">
        <w:t xml:space="preserve"> </w:t>
      </w:r>
      <w:r>
        <w:t>was adopted for this measure analysis.</w:t>
      </w:r>
      <w:r w:rsidRPr="002914D8">
        <w:rPr>
          <w:rStyle w:val="FootnoteReference"/>
        </w:rPr>
        <w:footnoteReference w:id="5"/>
      </w:r>
      <w:r w:rsidRPr="002914D8">
        <w:t xml:space="preserve">  </w:t>
      </w:r>
    </w:p>
    <w:p w14:paraId="6E6DD01A" w14:textId="77777777" w:rsidR="00D76097" w:rsidRPr="00EF663A" w:rsidRDefault="00D76097" w:rsidP="00D76097">
      <w:pPr>
        <w:ind w:left="1440"/>
        <w:rPr>
          <w:rFonts w:ascii="Cambria Math" w:hAnsi="Cambria Math"/>
          <w:i/>
          <w:sz w:val="18"/>
        </w:rPr>
      </w:pPr>
      <m:oMathPara>
        <m:oMathParaPr>
          <m:jc m:val="left"/>
        </m:oMathParaPr>
        <m:oMath>
          <m:r>
            <w:rPr>
              <w:rFonts w:ascii="Cambria Math" w:hAnsi="Cambria Math"/>
              <w:sz w:val="18"/>
            </w:rPr>
            <m:t>Capacity=</m:t>
          </m:r>
          <m:f>
            <m:fPr>
              <m:ctrlPr>
                <w:rPr>
                  <w:rFonts w:ascii="Cambria Math" w:hAnsi="Cambria Math"/>
                  <w:i/>
                  <w:sz w:val="18"/>
                </w:rPr>
              </m:ctrlPr>
            </m:fPr>
            <m:num>
              <m:r>
                <w:rPr>
                  <w:rFonts w:ascii="Cambria Math" w:hAnsi="Cambria Math"/>
                  <w:sz w:val="18"/>
                </w:rPr>
                <m:t>Area ×Height×(</m:t>
              </m:r>
              <m:sSub>
                <m:sSubPr>
                  <m:ctrlPr>
                    <w:rPr>
                      <w:rFonts w:ascii="Cambria Math" w:hAnsi="Cambria Math"/>
                      <w:i/>
                      <w:sz w:val="18"/>
                    </w:rPr>
                  </m:ctrlPr>
                </m:sSubPr>
                <m:e>
                  <m:r>
                    <w:rPr>
                      <w:rFonts w:ascii="Cambria Math" w:hAnsi="Cambria Math"/>
                      <w:sz w:val="18"/>
                    </w:rPr>
                    <m:t>T</m:t>
                  </m:r>
                </m:e>
                <m:sub>
                  <m:r>
                    <w:rPr>
                      <w:rFonts w:ascii="Cambria Math" w:hAnsi="Cambria Math"/>
                      <w:sz w:val="18"/>
                    </w:rPr>
                    <m:t>i</m:t>
                  </m:r>
                </m:sub>
              </m:sSub>
              <m:r>
                <w:rPr>
                  <w:rFonts w:ascii="Cambria Math" w:hAnsi="Cambria Math"/>
                  <w:sz w:val="18"/>
                </w:rPr>
                <m:t>-</m:t>
              </m:r>
              <m:sSub>
                <m:sSubPr>
                  <m:ctrlPr>
                    <w:rPr>
                      <w:rFonts w:ascii="Cambria Math" w:hAnsi="Cambria Math"/>
                      <w:i/>
                      <w:sz w:val="18"/>
                    </w:rPr>
                  </m:ctrlPr>
                </m:sSubPr>
                <m:e>
                  <m:r>
                    <w:rPr>
                      <w:rFonts w:ascii="Cambria Math" w:hAnsi="Cambria Math"/>
                      <w:sz w:val="18"/>
                    </w:rPr>
                    <m:t>T</m:t>
                  </m:r>
                </m:e>
                <m:sub>
                  <m:r>
                    <w:rPr>
                      <w:rFonts w:ascii="Cambria Math" w:hAnsi="Cambria Math"/>
                      <w:sz w:val="18"/>
                    </w:rPr>
                    <m:t>o</m:t>
                  </m:r>
                </m:sub>
              </m:sSub>
              <m:r>
                <w:rPr>
                  <w:rFonts w:ascii="Cambria Math" w:hAnsi="Cambria Math"/>
                  <w:sz w:val="18"/>
                </w:rPr>
                <m:t>)</m:t>
              </m:r>
            </m:num>
            <m:den>
              <m:r>
                <w:rPr>
                  <w:rFonts w:ascii="Cambria Math" w:hAnsi="Cambria Math"/>
                  <w:sz w:val="18"/>
                </w:rPr>
                <m:t xml:space="preserve">10 </m:t>
              </m:r>
            </m:den>
          </m:f>
        </m:oMath>
      </m:oMathPara>
    </w:p>
    <w:p w14:paraId="05D55548" w14:textId="77777777" w:rsidR="00D76097" w:rsidRDefault="00D76097" w:rsidP="00D76097">
      <w:pPr>
        <w:ind w:left="1440"/>
        <w:rPr>
          <w:rFonts w:ascii="Cambria Math" w:hAnsi="Cambria Math"/>
          <w:i/>
          <w:sz w:val="18"/>
        </w:rPr>
      </w:pPr>
      <w:r w:rsidRPr="00B63315">
        <w:rPr>
          <w:rFonts w:ascii="Cambria Math" w:hAnsi="Cambria Math"/>
          <w:i/>
          <w:sz w:val="18"/>
        </w:rPr>
        <w:t>C</w:t>
      </w:r>
      <w:r>
        <w:rPr>
          <w:rFonts w:ascii="Cambria Math" w:hAnsi="Cambria Math"/>
          <w:i/>
          <w:sz w:val="18"/>
        </w:rPr>
        <w:t>apacity = Input capacity of the wall furnace (</w:t>
      </w:r>
      <w:proofErr w:type="spellStart"/>
      <w:r>
        <w:rPr>
          <w:rFonts w:ascii="Cambria Math" w:hAnsi="Cambria Math"/>
          <w:i/>
          <w:sz w:val="18"/>
        </w:rPr>
        <w:t>kBtu</w:t>
      </w:r>
      <w:proofErr w:type="spellEnd"/>
      <w:r>
        <w:rPr>
          <w:rFonts w:ascii="Cambria Math" w:hAnsi="Cambria Math"/>
          <w:i/>
          <w:sz w:val="18"/>
        </w:rPr>
        <w:t>/</w:t>
      </w:r>
      <w:proofErr w:type="spellStart"/>
      <w:r>
        <w:rPr>
          <w:rFonts w:ascii="Cambria Math" w:hAnsi="Cambria Math"/>
          <w:i/>
          <w:sz w:val="18"/>
        </w:rPr>
        <w:t>hr</w:t>
      </w:r>
      <w:proofErr w:type="spellEnd"/>
      <w:r>
        <w:rPr>
          <w:rFonts w:ascii="Cambria Math" w:hAnsi="Cambria Math"/>
          <w:i/>
          <w:sz w:val="18"/>
        </w:rPr>
        <w:t>)</w:t>
      </w:r>
    </w:p>
    <w:p w14:paraId="64356AEB" w14:textId="77777777" w:rsidR="00D76097" w:rsidRDefault="00D76097" w:rsidP="00D76097">
      <w:pPr>
        <w:ind w:left="1440"/>
        <w:rPr>
          <w:rFonts w:ascii="Cambria Math" w:hAnsi="Cambria Math"/>
          <w:i/>
          <w:sz w:val="18"/>
        </w:rPr>
      </w:pPr>
      <w:r>
        <w:rPr>
          <w:rFonts w:ascii="Cambria Math" w:hAnsi="Cambria Math"/>
          <w:i/>
          <w:sz w:val="18"/>
        </w:rPr>
        <w:t>Area = Area of the living space (ft</w:t>
      </w:r>
      <w:r w:rsidRPr="00953586">
        <w:rPr>
          <w:rFonts w:ascii="Cambria Math" w:hAnsi="Cambria Math"/>
          <w:i/>
          <w:sz w:val="18"/>
          <w:vertAlign w:val="superscript"/>
        </w:rPr>
        <w:t>2</w:t>
      </w:r>
      <w:r>
        <w:rPr>
          <w:rFonts w:ascii="Cambria Math" w:hAnsi="Cambria Math"/>
          <w:i/>
          <w:sz w:val="18"/>
        </w:rPr>
        <w:t>)</w:t>
      </w:r>
    </w:p>
    <w:p w14:paraId="7053A950" w14:textId="77777777" w:rsidR="00D76097" w:rsidRDefault="00D76097" w:rsidP="00D76097">
      <w:pPr>
        <w:ind w:left="1440"/>
        <w:rPr>
          <w:rFonts w:ascii="Cambria Math" w:hAnsi="Cambria Math"/>
          <w:i/>
          <w:sz w:val="18"/>
        </w:rPr>
      </w:pPr>
      <w:r>
        <w:rPr>
          <w:rFonts w:ascii="Cambria Math" w:hAnsi="Cambria Math"/>
          <w:i/>
          <w:sz w:val="18"/>
        </w:rPr>
        <w:t>Height = Ceiling height (ft)</w:t>
      </w:r>
    </w:p>
    <w:p w14:paraId="54934A23" w14:textId="77777777" w:rsidR="00D76097" w:rsidRPr="00B63315" w:rsidRDefault="00D76097" w:rsidP="00D76097">
      <w:pPr>
        <w:ind w:left="1440"/>
        <w:rPr>
          <w:rFonts w:ascii="Cambria Math" w:hAnsi="Cambria Math"/>
          <w:i/>
          <w:sz w:val="18"/>
        </w:rPr>
      </w:pPr>
      <w:proofErr w:type="spellStart"/>
      <w:r w:rsidRPr="00B63315">
        <w:rPr>
          <w:rFonts w:ascii="Cambria Math" w:hAnsi="Cambria Math"/>
          <w:i/>
          <w:sz w:val="18"/>
        </w:rPr>
        <w:t>T</w:t>
      </w:r>
      <w:r w:rsidRPr="00B63315">
        <w:rPr>
          <w:rFonts w:ascii="Cambria Math" w:hAnsi="Cambria Math"/>
          <w:i/>
          <w:sz w:val="18"/>
          <w:vertAlign w:val="subscript"/>
        </w:rPr>
        <w:t>i</w:t>
      </w:r>
      <w:proofErr w:type="spellEnd"/>
      <w:r w:rsidRPr="00B63315">
        <w:rPr>
          <w:rFonts w:ascii="Cambria Math" w:hAnsi="Cambria Math"/>
          <w:i/>
          <w:sz w:val="18"/>
        </w:rPr>
        <w:t xml:space="preserve"> = Set temperature</w:t>
      </w:r>
    </w:p>
    <w:p w14:paraId="31900618" w14:textId="77777777" w:rsidR="00D76097" w:rsidRPr="00B63315" w:rsidRDefault="00D76097" w:rsidP="00D76097">
      <w:pPr>
        <w:ind w:left="1440"/>
        <w:rPr>
          <w:rFonts w:ascii="Cambria Math" w:hAnsi="Cambria Math"/>
          <w:i/>
          <w:sz w:val="18"/>
        </w:rPr>
      </w:pPr>
      <w:r w:rsidRPr="00B63315">
        <w:rPr>
          <w:rFonts w:ascii="Cambria Math" w:hAnsi="Cambria Math"/>
          <w:i/>
          <w:sz w:val="18"/>
        </w:rPr>
        <w:t>T</w:t>
      </w:r>
      <w:r w:rsidRPr="00B63315">
        <w:rPr>
          <w:rFonts w:ascii="Cambria Math" w:hAnsi="Cambria Math"/>
          <w:i/>
          <w:sz w:val="18"/>
          <w:vertAlign w:val="subscript"/>
        </w:rPr>
        <w:t>o</w:t>
      </w:r>
      <w:r w:rsidRPr="00B63315">
        <w:rPr>
          <w:rFonts w:ascii="Cambria Math" w:hAnsi="Cambria Math"/>
          <w:i/>
          <w:sz w:val="18"/>
        </w:rPr>
        <w:t xml:space="preserve"> = Average outside temperature during winter season</w:t>
      </w:r>
    </w:p>
    <w:p w14:paraId="670D92BD" w14:textId="77777777" w:rsidR="002123D9" w:rsidRDefault="002123D9" w:rsidP="002123D9"/>
    <w:p w14:paraId="0EC33EBF" w14:textId="301947F9" w:rsidR="002123D9" w:rsidRDefault="00953586" w:rsidP="002123D9">
      <w:r>
        <w:t>The assumptions for t</w:t>
      </w:r>
      <w:r w:rsidR="002123D9">
        <w:t xml:space="preserve">his </w:t>
      </w:r>
      <w:r w:rsidR="00B950B5">
        <w:t xml:space="preserve">sizing </w:t>
      </w:r>
      <w:r w:rsidR="002123D9">
        <w:t xml:space="preserve">calculation </w:t>
      </w:r>
      <w:r>
        <w:t>are specified below</w:t>
      </w:r>
      <w:r w:rsidR="0024021C">
        <w:t>.</w:t>
      </w:r>
      <w:r w:rsidR="002123D9" w:rsidRPr="002914D8">
        <w:t xml:space="preserve"> </w:t>
      </w:r>
    </w:p>
    <w:p w14:paraId="77DB4F75" w14:textId="2DA29C89" w:rsidR="00953586" w:rsidRDefault="00953586" w:rsidP="00953586">
      <w:pPr>
        <w:pStyle w:val="Caption"/>
      </w:pPr>
      <w:r>
        <w:t>Input Assumptions</w:t>
      </w:r>
    </w:p>
    <w:tbl>
      <w:tblPr>
        <w:tblW w:w="953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99" w:type="dxa"/>
          <w:right w:w="99" w:type="dxa"/>
        </w:tblCellMar>
        <w:tblLook w:val="0000" w:firstRow="0" w:lastRow="0" w:firstColumn="0" w:lastColumn="0" w:noHBand="0" w:noVBand="0"/>
      </w:tblPr>
      <w:tblGrid>
        <w:gridCol w:w="4135"/>
        <w:gridCol w:w="1170"/>
        <w:gridCol w:w="4230"/>
      </w:tblGrid>
      <w:tr w:rsidR="00953586" w:rsidRPr="004E6B71" w14:paraId="5FFE0F07" w14:textId="6E8C5534" w:rsidTr="00D7420F">
        <w:trPr>
          <w:trHeight w:val="270"/>
        </w:trPr>
        <w:tc>
          <w:tcPr>
            <w:tcW w:w="4135" w:type="dxa"/>
            <w:shd w:val="clear" w:color="auto" w:fill="F2F2F2" w:themeFill="background1" w:themeFillShade="F2"/>
            <w:noWrap/>
            <w:vAlign w:val="bottom"/>
          </w:tcPr>
          <w:p w14:paraId="59F31D39" w14:textId="4FA853A3" w:rsidR="00953586" w:rsidRPr="004E6B71" w:rsidRDefault="00953586" w:rsidP="00CC177A">
            <w:pPr>
              <w:spacing w:before="0" w:after="0" w:line="240" w:lineRule="auto"/>
              <w:jc w:val="center"/>
              <w:rPr>
                <w:rFonts w:eastAsia="Gulim" w:cs="Calibri Light"/>
                <w:b/>
                <w:sz w:val="20"/>
                <w:szCs w:val="20"/>
                <w:lang w:eastAsia="ko-KR"/>
              </w:rPr>
            </w:pPr>
            <w:r w:rsidRPr="004E6B71">
              <w:rPr>
                <w:rFonts w:eastAsia="Gulim" w:cs="Calibri Light"/>
                <w:b/>
                <w:sz w:val="20"/>
                <w:szCs w:val="20"/>
                <w:lang w:eastAsia="ko-KR"/>
              </w:rPr>
              <w:t>Input</w:t>
            </w:r>
          </w:p>
        </w:tc>
        <w:tc>
          <w:tcPr>
            <w:tcW w:w="1170" w:type="dxa"/>
            <w:shd w:val="clear" w:color="auto" w:fill="F2F2F2" w:themeFill="background1" w:themeFillShade="F2"/>
            <w:noWrap/>
            <w:vAlign w:val="bottom"/>
          </w:tcPr>
          <w:p w14:paraId="5EB4FA95" w14:textId="124A4DD9" w:rsidR="00953586" w:rsidRPr="004E6B71" w:rsidRDefault="00953586" w:rsidP="00CC177A">
            <w:pPr>
              <w:spacing w:before="0" w:after="0" w:line="240" w:lineRule="auto"/>
              <w:jc w:val="center"/>
              <w:rPr>
                <w:rFonts w:eastAsia="Gulim" w:cs="Calibri Light"/>
                <w:b/>
                <w:sz w:val="20"/>
                <w:szCs w:val="20"/>
                <w:lang w:eastAsia="ko-KR"/>
              </w:rPr>
            </w:pPr>
            <w:r w:rsidRPr="004E6B71">
              <w:rPr>
                <w:rFonts w:eastAsia="Gulim" w:cs="Calibri Light"/>
                <w:b/>
                <w:sz w:val="20"/>
                <w:szCs w:val="20"/>
                <w:lang w:eastAsia="ko-KR"/>
              </w:rPr>
              <w:t>Value</w:t>
            </w:r>
          </w:p>
        </w:tc>
        <w:tc>
          <w:tcPr>
            <w:tcW w:w="4230" w:type="dxa"/>
            <w:shd w:val="clear" w:color="auto" w:fill="F2F2F2" w:themeFill="background1" w:themeFillShade="F2"/>
          </w:tcPr>
          <w:p w14:paraId="18AD965E" w14:textId="7068F9FA" w:rsidR="00953586" w:rsidRPr="004E6B71" w:rsidRDefault="00953586" w:rsidP="00CC177A">
            <w:pPr>
              <w:spacing w:before="0" w:after="0" w:line="240" w:lineRule="auto"/>
              <w:jc w:val="center"/>
              <w:rPr>
                <w:rFonts w:eastAsia="Gulim" w:cs="Calibri Light"/>
                <w:b/>
                <w:sz w:val="20"/>
                <w:szCs w:val="20"/>
                <w:lang w:eastAsia="ko-KR"/>
              </w:rPr>
            </w:pPr>
            <w:r w:rsidRPr="004E6B71">
              <w:rPr>
                <w:rFonts w:eastAsia="Gulim" w:cs="Calibri Light"/>
                <w:b/>
                <w:sz w:val="20"/>
                <w:szCs w:val="20"/>
                <w:lang w:eastAsia="ko-KR"/>
              </w:rPr>
              <w:t>Source</w:t>
            </w:r>
          </w:p>
        </w:tc>
      </w:tr>
      <w:tr w:rsidR="00953586" w:rsidRPr="004E6B71" w14:paraId="566FF433" w14:textId="566E5782" w:rsidTr="00D7420F">
        <w:trPr>
          <w:trHeight w:val="255"/>
        </w:trPr>
        <w:tc>
          <w:tcPr>
            <w:tcW w:w="4135" w:type="dxa"/>
            <w:shd w:val="clear" w:color="auto" w:fill="auto"/>
            <w:noWrap/>
            <w:vAlign w:val="bottom"/>
          </w:tcPr>
          <w:p w14:paraId="309364C6" w14:textId="7E5560A7" w:rsidR="00953586" w:rsidRPr="004E6B71" w:rsidRDefault="00953586" w:rsidP="00953586">
            <w:pPr>
              <w:spacing w:before="0" w:after="0" w:line="240" w:lineRule="auto"/>
              <w:rPr>
                <w:rFonts w:eastAsia="Gulim" w:cs="Calibri Light"/>
                <w:sz w:val="20"/>
                <w:szCs w:val="20"/>
                <w:lang w:eastAsia="ko-KR"/>
              </w:rPr>
            </w:pPr>
            <w:r w:rsidRPr="004E6B71">
              <w:rPr>
                <w:rFonts w:eastAsia="Gulim" w:cs="Calibri Light"/>
                <w:sz w:val="20"/>
                <w:szCs w:val="20"/>
                <w:lang w:eastAsia="ko-KR"/>
              </w:rPr>
              <w:t>Set</w:t>
            </w:r>
            <w:r w:rsidR="00D03321">
              <w:rPr>
                <w:rFonts w:eastAsia="Gulim" w:cs="Calibri Light"/>
                <w:sz w:val="20"/>
                <w:szCs w:val="20"/>
                <w:lang w:eastAsia="ko-KR"/>
              </w:rPr>
              <w:t>point</w:t>
            </w:r>
            <w:r w:rsidRPr="004E6B71">
              <w:rPr>
                <w:rFonts w:eastAsia="Gulim" w:cs="Calibri Light"/>
                <w:sz w:val="20"/>
                <w:szCs w:val="20"/>
                <w:lang w:eastAsia="ko-KR"/>
              </w:rPr>
              <w:t xml:space="preserve"> temperature (</w:t>
            </w:r>
            <w:r w:rsidRPr="004E6B71">
              <w:rPr>
                <w:rFonts w:cs="Calibri Light"/>
                <w:sz w:val="20"/>
                <w:szCs w:val="20"/>
              </w:rPr>
              <w:t>°F)</w:t>
            </w:r>
          </w:p>
        </w:tc>
        <w:tc>
          <w:tcPr>
            <w:tcW w:w="1170" w:type="dxa"/>
            <w:shd w:val="clear" w:color="auto" w:fill="auto"/>
            <w:noWrap/>
            <w:vAlign w:val="bottom"/>
          </w:tcPr>
          <w:p w14:paraId="218DC29E" w14:textId="394B36A6" w:rsidR="00953586" w:rsidRPr="004E6B71" w:rsidRDefault="00953586" w:rsidP="00953586">
            <w:pPr>
              <w:spacing w:before="0" w:after="0" w:line="240" w:lineRule="auto"/>
              <w:jc w:val="center"/>
              <w:rPr>
                <w:rFonts w:eastAsia="Gulim" w:cs="Calibri Light"/>
                <w:sz w:val="20"/>
                <w:szCs w:val="20"/>
                <w:lang w:eastAsia="ko-KR"/>
              </w:rPr>
            </w:pPr>
            <w:r w:rsidRPr="004E6B71">
              <w:rPr>
                <w:rFonts w:cs="Calibri Light"/>
                <w:sz w:val="20"/>
                <w:szCs w:val="20"/>
              </w:rPr>
              <w:t>70 °F.</w:t>
            </w:r>
          </w:p>
        </w:tc>
        <w:tc>
          <w:tcPr>
            <w:tcW w:w="4230" w:type="dxa"/>
          </w:tcPr>
          <w:p w14:paraId="621FFB61" w14:textId="0ED73F63" w:rsidR="00953586" w:rsidRPr="00787575" w:rsidRDefault="00D03321" w:rsidP="00953586">
            <w:pPr>
              <w:spacing w:before="0" w:after="0" w:line="240" w:lineRule="auto"/>
              <w:rPr>
                <w:rFonts w:eastAsia="Gulim" w:cs="Calibri Light"/>
                <w:sz w:val="18"/>
                <w:szCs w:val="20"/>
                <w:lang w:eastAsia="ko-KR"/>
              </w:rPr>
            </w:pPr>
            <w:proofErr w:type="spellStart"/>
            <w:r>
              <w:rPr>
                <w:rFonts w:eastAsia="Gulim" w:cs="Calibri Light"/>
                <w:sz w:val="18"/>
                <w:szCs w:val="20"/>
                <w:lang w:eastAsia="ko-KR"/>
              </w:rPr>
              <w:t>eQuest</w:t>
            </w:r>
            <w:proofErr w:type="spellEnd"/>
            <w:r w:rsidR="00757B18">
              <w:rPr>
                <w:rFonts w:eastAsia="Gulim" w:cs="Calibri Light"/>
                <w:sz w:val="18"/>
                <w:szCs w:val="20"/>
                <w:lang w:eastAsia="ko-KR"/>
              </w:rPr>
              <w:t xml:space="preserve"> default setpoint for space heating.</w:t>
            </w:r>
          </w:p>
        </w:tc>
      </w:tr>
      <w:tr w:rsidR="00787575" w:rsidRPr="004E6B71" w14:paraId="2ABD6683" w14:textId="7FFB9A51" w:rsidTr="00D7420F">
        <w:trPr>
          <w:trHeight w:val="255"/>
        </w:trPr>
        <w:tc>
          <w:tcPr>
            <w:tcW w:w="4135" w:type="dxa"/>
            <w:shd w:val="clear" w:color="auto" w:fill="auto"/>
            <w:noWrap/>
            <w:vAlign w:val="bottom"/>
          </w:tcPr>
          <w:p w14:paraId="1FF82956" w14:textId="4861BA1D" w:rsidR="00787575" w:rsidRPr="004E6B71" w:rsidRDefault="00787575" w:rsidP="00787575">
            <w:pPr>
              <w:spacing w:before="0" w:after="0" w:line="240" w:lineRule="auto"/>
              <w:rPr>
                <w:rFonts w:eastAsia="Gulim" w:cs="Calibri Light"/>
                <w:sz w:val="20"/>
                <w:szCs w:val="20"/>
                <w:lang w:eastAsia="ko-KR"/>
              </w:rPr>
            </w:pPr>
            <w:r w:rsidRPr="004E6B71">
              <w:rPr>
                <w:rFonts w:eastAsia="Gulim" w:cs="Calibri Light"/>
                <w:sz w:val="20"/>
                <w:szCs w:val="20"/>
                <w:lang w:eastAsia="ko-KR"/>
              </w:rPr>
              <w:t>Average outside temperature during winter (</w:t>
            </w:r>
            <w:r w:rsidRPr="004E6B71">
              <w:rPr>
                <w:rFonts w:cs="Calibri Light"/>
                <w:sz w:val="20"/>
                <w:szCs w:val="20"/>
              </w:rPr>
              <w:t>°F)</w:t>
            </w:r>
          </w:p>
        </w:tc>
        <w:tc>
          <w:tcPr>
            <w:tcW w:w="1170" w:type="dxa"/>
            <w:shd w:val="clear" w:color="auto" w:fill="auto"/>
            <w:noWrap/>
            <w:vAlign w:val="bottom"/>
          </w:tcPr>
          <w:p w14:paraId="0E5695CC" w14:textId="16EC2F29" w:rsidR="00787575" w:rsidRPr="004E6B71" w:rsidRDefault="00787575" w:rsidP="00787575">
            <w:pPr>
              <w:spacing w:before="0" w:after="0" w:line="240" w:lineRule="auto"/>
              <w:jc w:val="center"/>
              <w:rPr>
                <w:rFonts w:eastAsia="Gulim" w:cs="Calibri Light"/>
                <w:sz w:val="20"/>
                <w:szCs w:val="20"/>
                <w:lang w:eastAsia="ko-KR"/>
              </w:rPr>
            </w:pPr>
            <w:r w:rsidRPr="004E6B71">
              <w:rPr>
                <w:rFonts w:cs="Calibri Light"/>
                <w:sz w:val="20"/>
                <w:szCs w:val="20"/>
              </w:rPr>
              <w:t>30 °F</w:t>
            </w:r>
          </w:p>
        </w:tc>
        <w:tc>
          <w:tcPr>
            <w:tcW w:w="4230" w:type="dxa"/>
          </w:tcPr>
          <w:p w14:paraId="725C0CB5" w14:textId="4AAD300D" w:rsidR="00787575" w:rsidRPr="00787575" w:rsidRDefault="006E4E79" w:rsidP="00787575">
            <w:pPr>
              <w:spacing w:before="0" w:after="0" w:line="240" w:lineRule="auto"/>
              <w:rPr>
                <w:rFonts w:eastAsia="Gulim" w:cs="Calibri Light"/>
                <w:sz w:val="18"/>
                <w:szCs w:val="20"/>
                <w:lang w:eastAsia="ko-KR"/>
              </w:rPr>
            </w:pPr>
            <w:r>
              <w:rPr>
                <w:rFonts w:eastAsia="Gulim" w:cs="Calibri Light"/>
                <w:sz w:val="18"/>
                <w:szCs w:val="20"/>
                <w:lang w:eastAsia="ko-KR"/>
              </w:rPr>
              <w:t>William. (</w:t>
            </w:r>
            <w:proofErr w:type="spellStart"/>
            <w:r>
              <w:rPr>
                <w:rFonts w:eastAsia="Gulim" w:cs="Calibri Light"/>
                <w:sz w:val="18"/>
                <w:szCs w:val="20"/>
                <w:lang w:eastAsia="ko-KR"/>
              </w:rPr>
              <w:t>n.d</w:t>
            </w:r>
            <w:proofErr w:type="spellEnd"/>
            <w:r>
              <w:rPr>
                <w:rFonts w:eastAsia="Gulim" w:cs="Calibri Light"/>
                <w:sz w:val="18"/>
                <w:szCs w:val="20"/>
                <w:lang w:eastAsia="ko-KR"/>
              </w:rPr>
              <w:t>) “</w:t>
            </w:r>
            <w:r w:rsidR="00A7659D">
              <w:rPr>
                <w:rFonts w:eastAsia="Gulim" w:cs="Calibri Light"/>
                <w:sz w:val="18"/>
                <w:szCs w:val="20"/>
                <w:lang w:eastAsia="ko-KR"/>
              </w:rPr>
              <w:t>S</w:t>
            </w:r>
            <w:r>
              <w:rPr>
                <w:rFonts w:eastAsia="Gulim" w:cs="Calibri Light"/>
                <w:sz w:val="18"/>
                <w:szCs w:val="20"/>
                <w:lang w:eastAsia="ko-KR"/>
              </w:rPr>
              <w:t xml:space="preserve">electing the right </w:t>
            </w:r>
            <w:r w:rsidR="00B140EE">
              <w:rPr>
                <w:rFonts w:eastAsia="Gulim" w:cs="Calibri Light"/>
                <w:sz w:val="18"/>
                <w:szCs w:val="20"/>
                <w:lang w:eastAsia="ko-KR"/>
              </w:rPr>
              <w:t>Furnace.”</w:t>
            </w:r>
          </w:p>
        </w:tc>
      </w:tr>
      <w:tr w:rsidR="00787575" w:rsidRPr="004E6B71" w14:paraId="365B1C54" w14:textId="5060828D" w:rsidTr="00D7420F">
        <w:trPr>
          <w:trHeight w:val="255"/>
        </w:trPr>
        <w:tc>
          <w:tcPr>
            <w:tcW w:w="4135" w:type="dxa"/>
            <w:shd w:val="clear" w:color="auto" w:fill="auto"/>
            <w:noWrap/>
            <w:vAlign w:val="bottom"/>
          </w:tcPr>
          <w:p w14:paraId="3F127A4B" w14:textId="10292E65" w:rsidR="00787575" w:rsidRPr="004E6B71" w:rsidRDefault="00787575" w:rsidP="00787575">
            <w:pPr>
              <w:spacing w:before="0" w:after="0" w:line="240" w:lineRule="auto"/>
              <w:rPr>
                <w:rFonts w:eastAsia="Gulim" w:cs="Calibri Light"/>
                <w:sz w:val="20"/>
                <w:szCs w:val="20"/>
                <w:lang w:eastAsia="ko-KR"/>
              </w:rPr>
            </w:pPr>
            <w:r w:rsidRPr="004E6B71">
              <w:rPr>
                <w:rFonts w:eastAsia="Gulim" w:cs="Calibri Light"/>
                <w:sz w:val="20"/>
                <w:szCs w:val="20"/>
                <w:lang w:eastAsia="ko-KR"/>
              </w:rPr>
              <w:t>Ceiling height (ft)</w:t>
            </w:r>
          </w:p>
        </w:tc>
        <w:tc>
          <w:tcPr>
            <w:tcW w:w="1170" w:type="dxa"/>
            <w:shd w:val="clear" w:color="auto" w:fill="auto"/>
            <w:noWrap/>
            <w:vAlign w:val="bottom"/>
          </w:tcPr>
          <w:p w14:paraId="42EA6CC2" w14:textId="2064A73B" w:rsidR="00787575" w:rsidRPr="004E6B71" w:rsidRDefault="00787575" w:rsidP="00787575">
            <w:pPr>
              <w:spacing w:before="0" w:after="0" w:line="240" w:lineRule="auto"/>
              <w:jc w:val="center"/>
              <w:rPr>
                <w:rFonts w:eastAsia="Gulim" w:cs="Calibri Light"/>
                <w:sz w:val="20"/>
                <w:szCs w:val="20"/>
                <w:lang w:eastAsia="ko-KR"/>
              </w:rPr>
            </w:pPr>
            <w:r w:rsidRPr="004E6B71">
              <w:rPr>
                <w:rFonts w:eastAsia="Gulim" w:cs="Calibri Light"/>
                <w:sz w:val="20"/>
                <w:szCs w:val="20"/>
                <w:lang w:eastAsia="ko-KR"/>
              </w:rPr>
              <w:t>8.5</w:t>
            </w:r>
          </w:p>
        </w:tc>
        <w:tc>
          <w:tcPr>
            <w:tcW w:w="4230" w:type="dxa"/>
          </w:tcPr>
          <w:p w14:paraId="217D2C5F" w14:textId="2C8F5E40" w:rsidR="00787575" w:rsidRPr="004E6B71" w:rsidRDefault="00787575" w:rsidP="00787575">
            <w:pPr>
              <w:spacing w:before="0" w:after="0" w:line="240" w:lineRule="auto"/>
              <w:rPr>
                <w:rFonts w:eastAsia="Gulim" w:cs="Calibri Light"/>
                <w:sz w:val="18"/>
                <w:szCs w:val="20"/>
                <w:lang w:eastAsia="ko-KR"/>
              </w:rPr>
            </w:pPr>
            <w:r w:rsidRPr="004E6B71">
              <w:rPr>
                <w:rFonts w:eastAsia="Gulim" w:cs="Calibri Light"/>
                <w:sz w:val="18"/>
                <w:szCs w:val="20"/>
                <w:lang w:eastAsia="ko-KR"/>
              </w:rPr>
              <w:t>Professional judgement.</w:t>
            </w:r>
          </w:p>
        </w:tc>
      </w:tr>
    </w:tbl>
    <w:p w14:paraId="525C030B" w14:textId="063A57D4" w:rsidR="00953586" w:rsidRDefault="00953586" w:rsidP="00953586"/>
    <w:p w14:paraId="07480A6E" w14:textId="71C4CA17" w:rsidR="00953586" w:rsidRPr="00953586" w:rsidRDefault="00953586" w:rsidP="00953586">
      <w:r>
        <w:t>The resultant approximate</w:t>
      </w:r>
      <w:r w:rsidRPr="002914D8">
        <w:t xml:space="preserve"> input </w:t>
      </w:r>
      <w:r>
        <w:t xml:space="preserve">capacity </w:t>
      </w:r>
      <w:r w:rsidRPr="002914D8">
        <w:t xml:space="preserve">rates for the living area </w:t>
      </w:r>
      <w:r>
        <w:t>are specified below.</w:t>
      </w:r>
    </w:p>
    <w:p w14:paraId="734ACFF1" w14:textId="77777777" w:rsidR="002123D9" w:rsidRPr="002914D8" w:rsidRDefault="002123D9" w:rsidP="002123D9">
      <w:pPr>
        <w:pStyle w:val="Caption"/>
      </w:pPr>
      <w:bookmarkStart w:id="50" w:name="_Toc325381940"/>
      <w:r w:rsidRPr="002914D8">
        <w:t>Examples of Area Served and Wall Furnace Size</w:t>
      </w:r>
      <w:bookmarkEnd w:id="50"/>
    </w:p>
    <w:tbl>
      <w:tblPr>
        <w:tblW w:w="28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99" w:type="dxa"/>
          <w:right w:w="99" w:type="dxa"/>
        </w:tblCellMar>
        <w:tblLook w:val="0000" w:firstRow="0" w:lastRow="0" w:firstColumn="0" w:lastColumn="0" w:noHBand="0" w:noVBand="0"/>
      </w:tblPr>
      <w:tblGrid>
        <w:gridCol w:w="1349"/>
        <w:gridCol w:w="1527"/>
      </w:tblGrid>
      <w:tr w:rsidR="002123D9" w:rsidRPr="00C23903" w14:paraId="21C0B7A9" w14:textId="77777777" w:rsidTr="0051686B">
        <w:trPr>
          <w:trHeight w:val="270"/>
        </w:trPr>
        <w:tc>
          <w:tcPr>
            <w:tcW w:w="1349" w:type="dxa"/>
            <w:shd w:val="clear" w:color="auto" w:fill="F2F2F2" w:themeFill="background1" w:themeFillShade="F2"/>
            <w:noWrap/>
            <w:vAlign w:val="bottom"/>
          </w:tcPr>
          <w:p w14:paraId="18185759" w14:textId="77777777" w:rsidR="002123D9" w:rsidRPr="00C23903" w:rsidRDefault="002123D9" w:rsidP="0051686B">
            <w:pPr>
              <w:spacing w:before="0" w:after="0" w:line="240" w:lineRule="auto"/>
              <w:jc w:val="center"/>
              <w:rPr>
                <w:rFonts w:eastAsia="Gulim" w:cs="Arial"/>
                <w:b/>
                <w:sz w:val="20"/>
                <w:lang w:eastAsia="ko-KR"/>
              </w:rPr>
            </w:pPr>
            <w:r>
              <w:rPr>
                <w:rFonts w:eastAsia="Gulim" w:cs="Arial"/>
                <w:b/>
                <w:sz w:val="20"/>
                <w:lang w:eastAsia="ko-KR"/>
              </w:rPr>
              <w:t>Living Area (ft</w:t>
            </w:r>
            <w:r w:rsidRPr="00D21C03">
              <w:rPr>
                <w:rFonts w:eastAsia="Gulim" w:cs="Arial"/>
                <w:b/>
                <w:sz w:val="20"/>
                <w:vertAlign w:val="superscript"/>
                <w:lang w:eastAsia="ko-KR"/>
              </w:rPr>
              <w:t>2</w:t>
            </w:r>
            <w:r>
              <w:rPr>
                <w:rFonts w:eastAsia="Gulim" w:cs="Arial"/>
                <w:b/>
                <w:sz w:val="20"/>
                <w:lang w:eastAsia="ko-KR"/>
              </w:rPr>
              <w:t>)</w:t>
            </w:r>
          </w:p>
        </w:tc>
        <w:tc>
          <w:tcPr>
            <w:tcW w:w="1527" w:type="dxa"/>
            <w:shd w:val="clear" w:color="auto" w:fill="F2F2F2" w:themeFill="background1" w:themeFillShade="F2"/>
            <w:noWrap/>
            <w:vAlign w:val="bottom"/>
          </w:tcPr>
          <w:p w14:paraId="78DBC27A" w14:textId="6C6C9771" w:rsidR="002123D9" w:rsidRPr="00C23903" w:rsidRDefault="002123D9" w:rsidP="0051686B">
            <w:pPr>
              <w:spacing w:before="0" w:after="0" w:line="240" w:lineRule="auto"/>
              <w:jc w:val="center"/>
              <w:rPr>
                <w:rFonts w:eastAsia="Gulim" w:cs="Arial"/>
                <w:b/>
                <w:sz w:val="20"/>
                <w:lang w:eastAsia="ko-KR"/>
              </w:rPr>
            </w:pPr>
            <w:r>
              <w:rPr>
                <w:rFonts w:eastAsia="Gulim" w:cs="Arial"/>
                <w:b/>
                <w:sz w:val="20"/>
                <w:lang w:eastAsia="ko-KR"/>
              </w:rPr>
              <w:t>Input Capacity (</w:t>
            </w:r>
            <w:proofErr w:type="spellStart"/>
            <w:r w:rsidRPr="00C23903">
              <w:rPr>
                <w:rFonts w:eastAsia="Gulim" w:cs="Arial"/>
                <w:b/>
                <w:sz w:val="20"/>
                <w:lang w:eastAsia="ko-KR"/>
              </w:rPr>
              <w:t>kBtu</w:t>
            </w:r>
            <w:proofErr w:type="spellEnd"/>
            <w:r w:rsidRPr="00C23903">
              <w:rPr>
                <w:rFonts w:eastAsia="Gulim" w:cs="Arial"/>
                <w:b/>
                <w:sz w:val="20"/>
                <w:lang w:eastAsia="ko-KR"/>
              </w:rPr>
              <w:t>/</w:t>
            </w:r>
            <w:proofErr w:type="spellStart"/>
            <w:r w:rsidR="0051686B">
              <w:rPr>
                <w:rFonts w:eastAsia="Gulim" w:cs="Arial"/>
                <w:b/>
                <w:sz w:val="20"/>
                <w:lang w:eastAsia="ko-KR"/>
              </w:rPr>
              <w:t>h</w:t>
            </w:r>
            <w:r w:rsidRPr="00C23903">
              <w:rPr>
                <w:rFonts w:eastAsia="Gulim" w:cs="Arial"/>
                <w:b/>
                <w:sz w:val="20"/>
                <w:lang w:eastAsia="ko-KR"/>
              </w:rPr>
              <w:t>r</w:t>
            </w:r>
            <w:proofErr w:type="spellEnd"/>
            <w:r>
              <w:rPr>
                <w:rFonts w:eastAsia="Gulim" w:cs="Arial"/>
                <w:b/>
                <w:sz w:val="20"/>
                <w:lang w:eastAsia="ko-KR"/>
              </w:rPr>
              <w:t>)</w:t>
            </w:r>
          </w:p>
        </w:tc>
      </w:tr>
      <w:tr w:rsidR="002123D9" w:rsidRPr="002914D8" w14:paraId="31AF1EC0" w14:textId="77777777" w:rsidTr="0051686B">
        <w:trPr>
          <w:trHeight w:val="255"/>
        </w:trPr>
        <w:tc>
          <w:tcPr>
            <w:tcW w:w="1349" w:type="dxa"/>
            <w:shd w:val="clear" w:color="auto" w:fill="auto"/>
            <w:noWrap/>
            <w:vAlign w:val="bottom"/>
          </w:tcPr>
          <w:p w14:paraId="79529340"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500 </w:t>
            </w:r>
          </w:p>
        </w:tc>
        <w:tc>
          <w:tcPr>
            <w:tcW w:w="1527" w:type="dxa"/>
            <w:shd w:val="clear" w:color="auto" w:fill="auto"/>
            <w:noWrap/>
            <w:vAlign w:val="bottom"/>
          </w:tcPr>
          <w:p w14:paraId="6FE7FBAD"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17.0</w:t>
            </w:r>
          </w:p>
        </w:tc>
      </w:tr>
      <w:tr w:rsidR="002123D9" w:rsidRPr="002914D8" w14:paraId="3C3BA10B" w14:textId="77777777" w:rsidTr="0051686B">
        <w:trPr>
          <w:trHeight w:val="255"/>
        </w:trPr>
        <w:tc>
          <w:tcPr>
            <w:tcW w:w="1349" w:type="dxa"/>
            <w:shd w:val="clear" w:color="auto" w:fill="auto"/>
            <w:noWrap/>
            <w:vAlign w:val="bottom"/>
          </w:tcPr>
          <w:p w14:paraId="263B6BD1"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750 </w:t>
            </w:r>
          </w:p>
        </w:tc>
        <w:tc>
          <w:tcPr>
            <w:tcW w:w="1527" w:type="dxa"/>
            <w:shd w:val="clear" w:color="auto" w:fill="auto"/>
            <w:noWrap/>
            <w:vAlign w:val="bottom"/>
          </w:tcPr>
          <w:p w14:paraId="50A3F004"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25.5</w:t>
            </w:r>
          </w:p>
        </w:tc>
      </w:tr>
      <w:tr w:rsidR="002123D9" w:rsidRPr="002914D8" w14:paraId="52C99DFB" w14:textId="77777777" w:rsidTr="0051686B">
        <w:trPr>
          <w:trHeight w:val="255"/>
        </w:trPr>
        <w:tc>
          <w:tcPr>
            <w:tcW w:w="1349" w:type="dxa"/>
            <w:shd w:val="clear" w:color="auto" w:fill="auto"/>
            <w:noWrap/>
            <w:vAlign w:val="bottom"/>
          </w:tcPr>
          <w:p w14:paraId="569E09CC"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1,000 </w:t>
            </w:r>
          </w:p>
        </w:tc>
        <w:tc>
          <w:tcPr>
            <w:tcW w:w="1527" w:type="dxa"/>
            <w:shd w:val="clear" w:color="auto" w:fill="auto"/>
            <w:noWrap/>
            <w:vAlign w:val="bottom"/>
          </w:tcPr>
          <w:p w14:paraId="07EAB90B"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34.0</w:t>
            </w:r>
          </w:p>
        </w:tc>
      </w:tr>
      <w:tr w:rsidR="002123D9" w:rsidRPr="002914D8" w14:paraId="2FDB65F0" w14:textId="77777777" w:rsidTr="0051686B">
        <w:trPr>
          <w:trHeight w:val="255"/>
        </w:trPr>
        <w:tc>
          <w:tcPr>
            <w:tcW w:w="1349" w:type="dxa"/>
            <w:shd w:val="clear" w:color="auto" w:fill="auto"/>
            <w:noWrap/>
            <w:vAlign w:val="bottom"/>
          </w:tcPr>
          <w:p w14:paraId="1BBE8EDC"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1,500 </w:t>
            </w:r>
          </w:p>
        </w:tc>
        <w:tc>
          <w:tcPr>
            <w:tcW w:w="1527" w:type="dxa"/>
            <w:shd w:val="clear" w:color="auto" w:fill="auto"/>
            <w:noWrap/>
            <w:vAlign w:val="bottom"/>
          </w:tcPr>
          <w:p w14:paraId="787B5E3E"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51.0</w:t>
            </w:r>
          </w:p>
        </w:tc>
      </w:tr>
      <w:tr w:rsidR="002123D9" w:rsidRPr="002914D8" w14:paraId="6A2F0BEC" w14:textId="77777777" w:rsidTr="0051686B">
        <w:trPr>
          <w:trHeight w:val="255"/>
        </w:trPr>
        <w:tc>
          <w:tcPr>
            <w:tcW w:w="1349" w:type="dxa"/>
            <w:shd w:val="clear" w:color="auto" w:fill="auto"/>
            <w:noWrap/>
            <w:vAlign w:val="bottom"/>
          </w:tcPr>
          <w:p w14:paraId="0EE273F1"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2,000 </w:t>
            </w:r>
          </w:p>
        </w:tc>
        <w:tc>
          <w:tcPr>
            <w:tcW w:w="1527" w:type="dxa"/>
            <w:shd w:val="clear" w:color="auto" w:fill="auto"/>
            <w:noWrap/>
            <w:vAlign w:val="bottom"/>
          </w:tcPr>
          <w:p w14:paraId="2086B088"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68.0</w:t>
            </w:r>
          </w:p>
        </w:tc>
      </w:tr>
    </w:tbl>
    <w:p w14:paraId="3B48BFD6" w14:textId="77777777" w:rsidR="00BA5B6E" w:rsidRDefault="00BA5B6E" w:rsidP="002123D9"/>
    <w:p w14:paraId="77D31E0A" w14:textId="58AE8C49" w:rsidR="002123D9" w:rsidRPr="002914D8" w:rsidRDefault="002123D9" w:rsidP="002123D9">
      <w:r>
        <w:t xml:space="preserve">The </w:t>
      </w:r>
      <w:r w:rsidRPr="002914D8">
        <w:t xml:space="preserve">correlation between </w:t>
      </w:r>
      <w:r>
        <w:t xml:space="preserve">monthly </w:t>
      </w:r>
      <w:r w:rsidRPr="002914D8">
        <w:t>gas consumption and</w:t>
      </w:r>
      <w:r w:rsidR="001A3BFA">
        <w:t xml:space="preserve"> heating degree days</w:t>
      </w:r>
      <w:r w:rsidR="001A3BFA">
        <w:rPr>
          <w:rStyle w:val="FootnoteReference"/>
        </w:rPr>
        <w:footnoteReference w:id="6"/>
      </w:r>
      <w:r w:rsidRPr="002914D8">
        <w:t xml:space="preserve"> </w:t>
      </w:r>
      <w:r w:rsidR="001A3BFA">
        <w:t>(</w:t>
      </w:r>
      <w:r w:rsidRPr="002914D8">
        <w:t>HDD</w:t>
      </w:r>
      <w:r w:rsidR="001A3BFA">
        <w:t>)</w:t>
      </w:r>
      <w:r w:rsidRPr="002914D8">
        <w:t xml:space="preserve"> data</w:t>
      </w:r>
      <w:r w:rsidRPr="002914D8">
        <w:rPr>
          <w:rStyle w:val="FootnoteReference"/>
        </w:rPr>
        <w:footnoteReference w:id="7"/>
      </w:r>
      <w:r>
        <w:t xml:space="preserve"> of</w:t>
      </w:r>
      <w:r w:rsidRPr="002914D8">
        <w:t xml:space="preserve"> each home </w:t>
      </w:r>
      <w:r>
        <w:t>between</w:t>
      </w:r>
      <w:r w:rsidRPr="002914D8">
        <w:t xml:space="preserve"> 2008</w:t>
      </w:r>
      <w:r>
        <w:t xml:space="preserve"> through </w:t>
      </w:r>
      <w:r w:rsidRPr="002914D8">
        <w:t xml:space="preserve">2010 </w:t>
      </w:r>
      <w:r>
        <w:t>was</w:t>
      </w:r>
      <w:r w:rsidRPr="002914D8">
        <w:t xml:space="preserve"> </w:t>
      </w:r>
      <w:r>
        <w:t>estimated</w:t>
      </w:r>
      <w:r w:rsidRPr="002914D8">
        <w:t xml:space="preserve"> </w:t>
      </w:r>
      <w:r>
        <w:t>for</w:t>
      </w:r>
      <w:r w:rsidRPr="002914D8">
        <w:t xml:space="preserve"> each of </w:t>
      </w:r>
      <w:r>
        <w:t xml:space="preserve">the </w:t>
      </w:r>
      <w:r w:rsidRPr="002914D8">
        <w:t xml:space="preserve">16 </w:t>
      </w:r>
      <w:r>
        <w:t xml:space="preserve">California </w:t>
      </w:r>
      <w:r w:rsidRPr="002914D8">
        <w:t xml:space="preserve">climate zones. </w:t>
      </w:r>
      <w:r>
        <w:t>Specifically, f</w:t>
      </w:r>
      <w:r w:rsidRPr="002914D8">
        <w:t>or each home</w:t>
      </w:r>
      <w:r>
        <w:t xml:space="preserve"> in the sample</w:t>
      </w:r>
      <w:r w:rsidRPr="002914D8">
        <w:t xml:space="preserve"> the correlation between gas consumption and HDD data was </w:t>
      </w:r>
      <w:r>
        <w:t>estimated</w:t>
      </w:r>
      <w:r w:rsidRPr="002914D8">
        <w:t xml:space="preserve"> </w:t>
      </w:r>
      <w:r>
        <w:t>with a l</w:t>
      </w:r>
      <w:r w:rsidRPr="002914D8">
        <w:t>inear trend line slope equation</w:t>
      </w:r>
      <w:r>
        <w:t>:</w:t>
      </w:r>
      <w:r w:rsidRPr="002914D8">
        <w:rPr>
          <w:rStyle w:val="FootnoteReference"/>
        </w:rPr>
        <w:footnoteReference w:id="8"/>
      </w:r>
    </w:p>
    <w:p w14:paraId="1704E227" w14:textId="77777777" w:rsidR="009A3093" w:rsidRPr="00765DF2" w:rsidRDefault="009A3093" w:rsidP="009A3093">
      <w:pPr>
        <w:ind w:left="720"/>
      </w:pPr>
      <m:oMathPara>
        <m:oMath>
          <m:r>
            <w:rPr>
              <w:rFonts w:ascii="Cambria Math"/>
            </w:rPr>
            <m:t>m=</m:t>
          </m:r>
          <m:f>
            <m:fPr>
              <m:ctrlPr>
                <w:rPr>
                  <w:rFonts w:ascii="Cambria Math" w:hAnsi="Cambria Math"/>
                  <w:i/>
                </w:rPr>
              </m:ctrlPr>
            </m:fPr>
            <m:num>
              <m:r>
                <w:rPr>
                  <w:rFonts w:ascii="Cambria Math"/>
                </w:rPr>
                <m:t>Σ</m:t>
              </m:r>
              <m:d>
                <m:dPr>
                  <m:ctrlPr>
                    <w:rPr>
                      <w:rFonts w:ascii="Cambria Math" w:hAnsi="Cambria Math"/>
                      <w:i/>
                    </w:rPr>
                  </m:ctrlPr>
                </m:dPr>
                <m:e>
                  <m:r>
                    <w:rPr>
                      <w:rFonts w:ascii="Cambria Math"/>
                    </w:rPr>
                    <m:t>x</m:t>
                  </m:r>
                  <m:r>
                    <w:rPr>
                      <w:rFonts w:ascii="Cambria Math"/>
                    </w:rPr>
                    <m:t>-</m:t>
                  </m:r>
                  <m:acc>
                    <m:accPr>
                      <m:chr m:val="̄"/>
                      <m:ctrlPr>
                        <w:rPr>
                          <w:rFonts w:ascii="Cambria Math" w:hAnsi="Cambria Math"/>
                          <w:i/>
                        </w:rPr>
                      </m:ctrlPr>
                    </m:accPr>
                    <m:e>
                      <m:r>
                        <w:rPr>
                          <w:rFonts w:ascii="Cambria Math"/>
                        </w:rPr>
                        <m:t>x</m:t>
                      </m:r>
                    </m:e>
                  </m:acc>
                </m:e>
              </m:d>
              <m:d>
                <m:dPr>
                  <m:ctrlPr>
                    <w:rPr>
                      <w:rFonts w:ascii="Cambria Math" w:hAnsi="Cambria Math"/>
                      <w:i/>
                    </w:rPr>
                  </m:ctrlPr>
                </m:dPr>
                <m:e>
                  <m:r>
                    <w:rPr>
                      <w:rFonts w:ascii="Cambria Math"/>
                    </w:rPr>
                    <m:t>y</m:t>
                  </m:r>
                  <m:r>
                    <w:rPr>
                      <w:rFonts w:ascii="Cambria Math"/>
                    </w:rPr>
                    <m:t>-</m:t>
                  </m:r>
                  <m:acc>
                    <m:accPr>
                      <m:chr m:val="̄"/>
                      <m:ctrlPr>
                        <w:rPr>
                          <w:rFonts w:ascii="Cambria Math" w:hAnsi="Cambria Math"/>
                          <w:i/>
                        </w:rPr>
                      </m:ctrlPr>
                    </m:accPr>
                    <m:e>
                      <m:r>
                        <w:rPr>
                          <w:rFonts w:ascii="Cambria Math"/>
                        </w:rPr>
                        <m:t>y</m:t>
                      </m:r>
                    </m:e>
                  </m:acc>
                </m:e>
              </m:d>
            </m:num>
            <m:den>
              <m:r>
                <w:rPr>
                  <w:rFonts w:ascii="Cambria Math"/>
                </w:rPr>
                <m:t>Σ</m:t>
              </m:r>
              <m:sSup>
                <m:sSupPr>
                  <m:ctrlPr>
                    <w:rPr>
                      <w:rFonts w:ascii="Cambria Math" w:hAnsi="Cambria Math"/>
                      <w:i/>
                    </w:rPr>
                  </m:ctrlPr>
                </m:sSupPr>
                <m:e>
                  <m:d>
                    <m:dPr>
                      <m:ctrlPr>
                        <w:rPr>
                          <w:rFonts w:ascii="Cambria Math" w:hAnsi="Cambria Math"/>
                          <w:i/>
                        </w:rPr>
                      </m:ctrlPr>
                    </m:dPr>
                    <m:e>
                      <m:r>
                        <w:rPr>
                          <w:rFonts w:ascii="Cambria Math"/>
                        </w:rPr>
                        <m:t>x</m:t>
                      </m:r>
                      <m:r>
                        <w:rPr>
                          <w:rFonts w:ascii="Cambria Math"/>
                        </w:rPr>
                        <m:t>-</m:t>
                      </m:r>
                      <m:acc>
                        <m:accPr>
                          <m:chr m:val="̄"/>
                          <m:ctrlPr>
                            <w:rPr>
                              <w:rFonts w:ascii="Cambria Math" w:hAnsi="Cambria Math"/>
                              <w:i/>
                            </w:rPr>
                          </m:ctrlPr>
                        </m:accPr>
                        <m:e>
                          <m:r>
                            <w:rPr>
                              <w:rFonts w:ascii="Cambria Math"/>
                            </w:rPr>
                            <m:t>x</m:t>
                          </m:r>
                        </m:e>
                      </m:acc>
                    </m:e>
                  </m:d>
                </m:e>
                <m:sup>
                  <m:r>
                    <w:rPr>
                      <w:rFonts w:ascii="Cambria Math"/>
                    </w:rPr>
                    <m:t>2</m:t>
                  </m:r>
                </m:sup>
              </m:sSup>
            </m:den>
          </m:f>
        </m:oMath>
      </m:oMathPara>
    </w:p>
    <w:p w14:paraId="3164C20B" w14:textId="77777777" w:rsidR="009A3093" w:rsidRPr="00765DF2" w:rsidRDefault="009A3093" w:rsidP="009A3093">
      <w:pPr>
        <w:ind w:left="1440"/>
        <w:rPr>
          <w:rFonts w:ascii="Cambria Math" w:hAnsi="Cambria Math"/>
          <w:i/>
          <w:sz w:val="18"/>
          <w:szCs w:val="18"/>
        </w:rPr>
      </w:pPr>
      <m:oMathPara>
        <m:oMathParaPr>
          <m:jc m:val="left"/>
        </m:oMathParaPr>
        <m:oMath>
          <m:r>
            <w:rPr>
              <w:rFonts w:ascii="Cambria Math" w:hAnsi="Cambria Math"/>
              <w:sz w:val="18"/>
              <w:szCs w:val="18"/>
            </w:rPr>
            <m:t>x= Monthly HDD, HDD/month</m:t>
          </m:r>
        </m:oMath>
      </m:oMathPara>
    </w:p>
    <w:p w14:paraId="0174EB9A" w14:textId="77777777" w:rsidR="009A3093" w:rsidRPr="00765DF2" w:rsidRDefault="00404361" w:rsidP="009A3093">
      <w:pPr>
        <w:ind w:left="1440"/>
        <w:rPr>
          <w:rFonts w:ascii="Cambria Math" w:hAnsi="Cambria Math"/>
          <w:i/>
          <w:sz w:val="18"/>
          <w:szCs w:val="18"/>
        </w:rPr>
      </w:pPr>
      <m:oMath>
        <m:acc>
          <m:accPr>
            <m:chr m:val="̄"/>
            <m:ctrlPr>
              <w:rPr>
                <w:rFonts w:ascii="Cambria Math" w:hAnsi="Cambria Math"/>
                <w:i/>
                <w:sz w:val="18"/>
                <w:szCs w:val="18"/>
              </w:rPr>
            </m:ctrlPr>
          </m:accPr>
          <m:e>
            <m:r>
              <w:rPr>
                <w:rFonts w:ascii="Cambria Math"/>
                <w:sz w:val="18"/>
                <w:szCs w:val="18"/>
              </w:rPr>
              <m:t>x</m:t>
            </m:r>
          </m:e>
        </m:acc>
        <m:r>
          <w:rPr>
            <w:rFonts w:ascii="Cambria Math" w:hAnsi="Cambria Math"/>
            <w:sz w:val="18"/>
            <w:szCs w:val="18"/>
          </w:rPr>
          <m:t xml:space="preserve">= 3 </m:t>
        </m:r>
        <m:r>
          <w:rPr>
            <w:rFonts w:ascii="Cambria Math" w:hAnsi="Cambria Math"/>
            <w:sz w:val="18"/>
            <w:szCs w:val="18"/>
          </w:rPr>
          <m:t>year</m:t>
        </m:r>
        <m:r>
          <w:rPr>
            <w:rFonts w:ascii="Cambria Math" w:hAnsi="Cambria Math"/>
            <w:sz w:val="18"/>
            <w:szCs w:val="18"/>
          </w:rPr>
          <m:t xml:space="preserve"> </m:t>
        </m:r>
        <m:r>
          <w:rPr>
            <w:rFonts w:ascii="Cambria Math" w:hAnsi="Cambria Math"/>
            <w:sz w:val="18"/>
            <w:szCs w:val="18"/>
          </w:rPr>
          <m:t>average</m:t>
        </m:r>
        <m:r>
          <w:rPr>
            <w:rFonts w:ascii="Cambria Math" w:hAnsi="Cambria Math"/>
            <w:sz w:val="18"/>
            <w:szCs w:val="18"/>
          </w:rPr>
          <m:t xml:space="preserve"> </m:t>
        </m:r>
        <m:r>
          <w:rPr>
            <w:rFonts w:ascii="Cambria Math" w:hAnsi="Cambria Math"/>
            <w:sz w:val="18"/>
            <w:szCs w:val="18"/>
          </w:rPr>
          <m:t>Mont</m:t>
        </m:r>
        <m:r>
          <w:rPr>
            <w:rFonts w:ascii="Cambria Math" w:hAnsi="Cambria Math"/>
            <w:sz w:val="18"/>
            <w:szCs w:val="18"/>
          </w:rPr>
          <m:t>h</m:t>
        </m:r>
        <m:r>
          <w:rPr>
            <w:rFonts w:ascii="Cambria Math" w:hAnsi="Cambria Math"/>
            <w:sz w:val="18"/>
            <w:szCs w:val="18"/>
          </w:rPr>
          <m:t>ly</m:t>
        </m:r>
        <m:r>
          <w:rPr>
            <w:rFonts w:ascii="Cambria Math" w:hAnsi="Cambria Math"/>
            <w:sz w:val="18"/>
            <w:szCs w:val="18"/>
          </w:rPr>
          <m:t xml:space="preserve"> </m:t>
        </m:r>
        <m:r>
          <w:rPr>
            <w:rFonts w:ascii="Cambria Math" w:hAnsi="Cambria Math"/>
            <w:sz w:val="18"/>
            <w:szCs w:val="18"/>
          </w:rPr>
          <m:t>HDD</m:t>
        </m:r>
        <m:r>
          <w:rPr>
            <w:rFonts w:ascii="Cambria Math" w:hAnsi="Cambria Math"/>
            <w:sz w:val="18"/>
            <w:szCs w:val="18"/>
          </w:rPr>
          <m:t xml:space="preserve">, </m:t>
        </m:r>
        <m:r>
          <w:rPr>
            <w:rFonts w:ascii="Cambria Math" w:hAnsi="Cambria Math"/>
            <w:sz w:val="18"/>
            <w:szCs w:val="18"/>
          </w:rPr>
          <m:t>HDD</m:t>
        </m:r>
        <m:r>
          <w:rPr>
            <w:rFonts w:ascii="Cambria Math" w:hAnsi="Cambria Math"/>
            <w:sz w:val="18"/>
            <w:szCs w:val="18"/>
          </w:rPr>
          <m:t>/</m:t>
        </m:r>
        <m:r>
          <w:rPr>
            <w:rFonts w:ascii="Cambria Math" w:hAnsi="Cambria Math"/>
            <w:sz w:val="18"/>
            <w:szCs w:val="18"/>
          </w:rPr>
          <m:t>mo</m:t>
        </m:r>
        <m:r>
          <w:rPr>
            <w:rFonts w:ascii="Cambria Math" w:hAnsi="Cambria Math"/>
            <w:sz w:val="18"/>
            <w:szCs w:val="18"/>
          </w:rPr>
          <m:t>n</m:t>
        </m:r>
        <m:r>
          <w:rPr>
            <w:rFonts w:ascii="Cambria Math" w:hAnsi="Cambria Math"/>
            <w:sz w:val="18"/>
            <w:szCs w:val="18"/>
          </w:rPr>
          <m:t>t</m:t>
        </m:r>
        <m:r>
          <w:rPr>
            <w:rFonts w:ascii="Cambria Math" w:hAnsi="Cambria Math"/>
            <w:sz w:val="18"/>
            <w:szCs w:val="18"/>
          </w:rPr>
          <m:t>h</m:t>
        </m:r>
      </m:oMath>
      <w:r w:rsidR="009A3093" w:rsidRPr="00765DF2">
        <w:rPr>
          <w:rFonts w:ascii="Cambria Math" w:hAnsi="Cambria Math"/>
          <w:i/>
          <w:sz w:val="18"/>
          <w:szCs w:val="18"/>
        </w:rPr>
        <w:t xml:space="preserve"> </w:t>
      </w:r>
    </w:p>
    <w:p w14:paraId="7D7F30FC" w14:textId="77777777" w:rsidR="009A3093" w:rsidRPr="00765DF2" w:rsidRDefault="009A3093" w:rsidP="009A3093">
      <w:pPr>
        <w:ind w:left="1440"/>
        <w:rPr>
          <w:rFonts w:ascii="Cambria Math" w:hAnsi="Cambria Math"/>
          <w:i/>
          <w:sz w:val="18"/>
          <w:szCs w:val="18"/>
        </w:rPr>
      </w:pPr>
      <m:oMathPara>
        <m:oMathParaPr>
          <m:jc m:val="left"/>
        </m:oMathParaPr>
        <m:oMath>
          <m:r>
            <w:rPr>
              <w:rFonts w:ascii="Cambria Math" w:hAnsi="Cambria Math"/>
              <w:sz w:val="18"/>
              <w:szCs w:val="18"/>
            </w:rPr>
            <m:t>y= Monthly gas consumption, Therms/month</m:t>
          </m:r>
        </m:oMath>
      </m:oMathPara>
    </w:p>
    <w:p w14:paraId="13871CAD" w14:textId="77777777" w:rsidR="009A3093" w:rsidRDefault="00404361" w:rsidP="009A3093">
      <w:pPr>
        <w:ind w:left="1440"/>
        <w:rPr>
          <w:rFonts w:ascii="Cambria Math" w:hAnsi="Cambria Math"/>
          <w:i/>
          <w:sz w:val="18"/>
          <w:szCs w:val="18"/>
        </w:rPr>
      </w:pPr>
      <m:oMath>
        <m:acc>
          <m:accPr>
            <m:chr m:val="̄"/>
            <m:ctrlPr>
              <w:rPr>
                <w:rFonts w:ascii="Cambria Math" w:hAnsi="Cambria Math"/>
                <w:i/>
                <w:sz w:val="18"/>
                <w:szCs w:val="18"/>
              </w:rPr>
            </m:ctrlPr>
          </m:accPr>
          <m:e>
            <m:r>
              <w:rPr>
                <w:rFonts w:ascii="Cambria Math"/>
                <w:sz w:val="18"/>
                <w:szCs w:val="18"/>
              </w:rPr>
              <m:t>y</m:t>
            </m:r>
          </m:e>
        </m:acc>
        <m:r>
          <w:rPr>
            <w:rFonts w:ascii="Cambria Math" w:hAnsi="Cambria Math"/>
            <w:sz w:val="18"/>
            <w:szCs w:val="18"/>
          </w:rPr>
          <m:t xml:space="preserve">= 3 </m:t>
        </m:r>
        <m:r>
          <w:rPr>
            <w:rFonts w:ascii="Cambria Math" w:hAnsi="Cambria Math"/>
            <w:sz w:val="18"/>
            <w:szCs w:val="18"/>
          </w:rPr>
          <m:t>year</m:t>
        </m:r>
        <m:r>
          <w:rPr>
            <w:rFonts w:ascii="Cambria Math" w:hAnsi="Cambria Math"/>
            <w:sz w:val="18"/>
            <w:szCs w:val="18"/>
          </w:rPr>
          <m:t xml:space="preserve"> </m:t>
        </m:r>
        <m:r>
          <w:rPr>
            <w:rFonts w:ascii="Cambria Math" w:hAnsi="Cambria Math"/>
            <w:sz w:val="18"/>
            <w:szCs w:val="18"/>
          </w:rPr>
          <m:t>average</m:t>
        </m:r>
        <m:r>
          <w:rPr>
            <w:rFonts w:ascii="Cambria Math" w:hAnsi="Cambria Math"/>
            <w:sz w:val="18"/>
            <w:szCs w:val="18"/>
          </w:rPr>
          <m:t xml:space="preserve"> </m:t>
        </m:r>
        <m:r>
          <w:rPr>
            <w:rFonts w:ascii="Cambria Math" w:hAnsi="Cambria Math"/>
            <w:sz w:val="18"/>
            <w:szCs w:val="18"/>
          </w:rPr>
          <m:t>Mont</m:t>
        </m:r>
        <m:r>
          <w:rPr>
            <w:rFonts w:ascii="Cambria Math" w:hAnsi="Cambria Math"/>
            <w:sz w:val="18"/>
            <w:szCs w:val="18"/>
          </w:rPr>
          <m:t>h</m:t>
        </m:r>
        <m:r>
          <w:rPr>
            <w:rFonts w:ascii="Cambria Math" w:hAnsi="Cambria Math"/>
            <w:sz w:val="18"/>
            <w:szCs w:val="18"/>
          </w:rPr>
          <m:t>ly</m:t>
        </m:r>
        <m:r>
          <w:rPr>
            <w:rFonts w:ascii="Cambria Math" w:hAnsi="Cambria Math"/>
            <w:sz w:val="18"/>
            <w:szCs w:val="18"/>
          </w:rPr>
          <m:t xml:space="preserve"> </m:t>
        </m:r>
        <m:r>
          <w:rPr>
            <w:rFonts w:ascii="Cambria Math" w:hAnsi="Cambria Math"/>
            <w:sz w:val="18"/>
            <w:szCs w:val="18"/>
          </w:rPr>
          <m:t>gas</m:t>
        </m:r>
        <m:r>
          <w:rPr>
            <w:rFonts w:ascii="Cambria Math" w:hAnsi="Cambria Math"/>
            <w:sz w:val="18"/>
            <w:szCs w:val="18"/>
          </w:rPr>
          <m:t xml:space="preserve"> </m:t>
        </m:r>
        <m:r>
          <w:rPr>
            <w:rFonts w:ascii="Cambria Math" w:hAnsi="Cambria Math"/>
            <w:sz w:val="18"/>
            <w:szCs w:val="18"/>
          </w:rPr>
          <m:t>consumption</m:t>
        </m:r>
        <m:r>
          <w:rPr>
            <w:rFonts w:ascii="Cambria Math" w:hAnsi="Cambria Math"/>
            <w:sz w:val="18"/>
            <w:szCs w:val="18"/>
          </w:rPr>
          <m:t xml:space="preserve">, </m:t>
        </m:r>
        <m:r>
          <w:rPr>
            <w:rFonts w:ascii="Cambria Math" w:hAnsi="Cambria Math"/>
            <w:sz w:val="18"/>
            <w:szCs w:val="18"/>
          </w:rPr>
          <m:t>T</m:t>
        </m:r>
        <m:r>
          <w:rPr>
            <w:rFonts w:ascii="Cambria Math" w:hAnsi="Cambria Math"/>
            <w:sz w:val="18"/>
            <w:szCs w:val="18"/>
          </w:rPr>
          <m:t>h</m:t>
        </m:r>
        <m:r>
          <w:rPr>
            <w:rFonts w:ascii="Cambria Math" w:hAnsi="Cambria Math"/>
            <w:sz w:val="18"/>
            <w:szCs w:val="18"/>
          </w:rPr>
          <m:t>erms</m:t>
        </m:r>
        <m:r>
          <w:rPr>
            <w:rFonts w:ascii="Cambria Math" w:hAnsi="Cambria Math"/>
            <w:sz w:val="18"/>
            <w:szCs w:val="18"/>
          </w:rPr>
          <m:t>/</m:t>
        </m:r>
        <m:r>
          <w:rPr>
            <w:rFonts w:ascii="Cambria Math" w:hAnsi="Cambria Math"/>
            <w:sz w:val="18"/>
            <w:szCs w:val="18"/>
          </w:rPr>
          <m:t>mont</m:t>
        </m:r>
        <m:r>
          <w:rPr>
            <w:rFonts w:ascii="Cambria Math" w:hAnsi="Cambria Math"/>
            <w:sz w:val="18"/>
            <w:szCs w:val="18"/>
          </w:rPr>
          <m:t>h</m:t>
        </m:r>
      </m:oMath>
      <w:r w:rsidR="009A3093" w:rsidRPr="00765DF2">
        <w:rPr>
          <w:rFonts w:ascii="Cambria Math" w:hAnsi="Cambria Math"/>
          <w:i/>
          <w:sz w:val="18"/>
          <w:szCs w:val="18"/>
        </w:rPr>
        <w:t xml:space="preserve"> </w:t>
      </w:r>
    </w:p>
    <w:p w14:paraId="64D9B9EF" w14:textId="77777777" w:rsidR="00BA5B6E" w:rsidRDefault="00BA5B6E" w:rsidP="002123D9"/>
    <w:p w14:paraId="39EDDB2A" w14:textId="70F43D1F" w:rsidR="002123D9" w:rsidRDefault="002123D9" w:rsidP="002123D9">
      <w:r>
        <w:t>The</w:t>
      </w:r>
      <w:r w:rsidRPr="002914D8">
        <w:t xml:space="preserve"> y-intercept</w:t>
      </w:r>
      <w:r>
        <w:t xml:space="preserve"> </w:t>
      </w:r>
      <w:r w:rsidRPr="002914D8">
        <w:rPr>
          <w:position w:val="-10"/>
        </w:rPr>
        <w:object w:dxaOrig="1240" w:dyaOrig="320" w14:anchorId="23C3E4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2.75pt" o:ole="">
            <v:imagedata r:id="rId18" o:title=""/>
          </v:shape>
          <o:OLEObject Type="Embed" ProgID="Equation.3" ShapeID="_x0000_i1025" DrawAspect="Content" ObjectID="_1688258661" r:id="rId19"/>
        </w:object>
      </w:r>
      <w:r>
        <w:t xml:space="preserve"> of the regression </w:t>
      </w:r>
      <w:r w:rsidRPr="002914D8">
        <w:t xml:space="preserve">was </w:t>
      </w:r>
      <w:r>
        <w:t>included</w:t>
      </w:r>
      <w:r w:rsidRPr="002914D8">
        <w:t xml:space="preserve"> to account for non-space heating gas consumption. This represents the </w:t>
      </w:r>
      <w:r>
        <w:t xml:space="preserve">gas </w:t>
      </w:r>
      <w:r w:rsidRPr="002914D8">
        <w:t xml:space="preserve">consumption </w:t>
      </w:r>
      <w:r>
        <w:t>required for</w:t>
      </w:r>
      <w:r w:rsidRPr="002914D8">
        <w:t xml:space="preserve"> </w:t>
      </w:r>
      <w:r>
        <w:t xml:space="preserve">other gas-fired </w:t>
      </w:r>
      <w:r w:rsidRPr="002914D8">
        <w:t>appliances</w:t>
      </w:r>
      <w:r>
        <w:t>,</w:t>
      </w:r>
      <w:r w:rsidRPr="002914D8">
        <w:t xml:space="preserve"> such as water </w:t>
      </w:r>
      <w:r w:rsidRPr="002914D8">
        <w:lastRenderedPageBreak/>
        <w:t>heater, cooking stove, oven, and clothes dryer.</w:t>
      </w:r>
      <w:r>
        <w:t xml:space="preserve"> The </w:t>
      </w:r>
      <w:r w:rsidRPr="002914D8">
        <w:t xml:space="preserve">R-squared value for each regression </w:t>
      </w:r>
      <w:r>
        <w:t>was</w:t>
      </w:r>
      <w:r w:rsidRPr="002914D8">
        <w:t xml:space="preserve"> also calculated to </w:t>
      </w:r>
      <w:r>
        <w:t>identify and exclude</w:t>
      </w:r>
      <w:r w:rsidRPr="002914D8">
        <w:t xml:space="preserve"> the outliers. </w:t>
      </w:r>
    </w:p>
    <w:p w14:paraId="13EDCB7E" w14:textId="2F7F809E" w:rsidR="00933919" w:rsidRPr="002914D8" w:rsidRDefault="00933919" w:rsidP="007C664D">
      <w:pPr>
        <w:pStyle w:val="eTRMHeading4"/>
      </w:pPr>
      <w:r w:rsidRPr="002914D8">
        <w:t xml:space="preserve">Baseline </w:t>
      </w:r>
      <w:r w:rsidR="00183A50">
        <w:t>Efficiency and Gas Usage</w:t>
      </w:r>
    </w:p>
    <w:p w14:paraId="24A4652F" w14:textId="1A9F26F2" w:rsidR="00933919" w:rsidRPr="002914D8" w:rsidRDefault="00780558" w:rsidP="007C664D">
      <w:r>
        <w:t xml:space="preserve">The </w:t>
      </w:r>
      <w:r w:rsidR="00933919" w:rsidRPr="002914D8">
        <w:t xml:space="preserve">baseline </w:t>
      </w:r>
      <w:r w:rsidR="00B63315">
        <w:t xml:space="preserve">AFUE </w:t>
      </w:r>
      <w:r w:rsidR="00933919" w:rsidRPr="002914D8">
        <w:t xml:space="preserve">efficiencies were calculated </w:t>
      </w:r>
      <w:r w:rsidR="00B63315">
        <w:t>as the average</w:t>
      </w:r>
      <w:r w:rsidR="00933919" w:rsidRPr="002914D8">
        <w:t xml:space="preserve"> AFUE of</w:t>
      </w:r>
      <w:r w:rsidR="0031250F">
        <w:t xml:space="preserve"> </w:t>
      </w:r>
      <w:r w:rsidR="00933919" w:rsidRPr="002914D8">
        <w:t>wall furnace</w:t>
      </w:r>
      <w:r w:rsidR="00B63315">
        <w:t xml:space="preserve"> models</w:t>
      </w:r>
      <w:r w:rsidR="00933919" w:rsidRPr="002914D8">
        <w:t xml:space="preserve"> available in the market</w:t>
      </w:r>
      <w:r w:rsidR="00183A50">
        <w:t>.</w:t>
      </w:r>
      <w:r w:rsidR="002123D9">
        <w:rPr>
          <w:rStyle w:val="FootnoteReference"/>
        </w:rPr>
        <w:footnoteReference w:id="9"/>
      </w:r>
      <w:r w:rsidR="00183A50">
        <w:t xml:space="preserve"> (See Base Case Description.)</w:t>
      </w:r>
      <w:r w:rsidR="00183A50" w:rsidRPr="002914D8">
        <w:t xml:space="preserve"> </w:t>
      </w:r>
      <w:r w:rsidR="00B63315">
        <w:t xml:space="preserve">The resultant average baseline AFUE by input capacity range is specified below. </w:t>
      </w:r>
    </w:p>
    <w:p w14:paraId="51CA8FB2" w14:textId="3297D1F7" w:rsidR="00933919" w:rsidRPr="002914D8" w:rsidRDefault="00933919" w:rsidP="00B63315">
      <w:pPr>
        <w:pStyle w:val="Caption"/>
      </w:pPr>
      <w:bookmarkStart w:id="51" w:name="_Toc325381943"/>
      <w:r w:rsidRPr="002914D8">
        <w:t>Baseline Efficiencies</w:t>
      </w:r>
      <w:bookmarkEnd w:id="51"/>
      <w:r w:rsidR="00DE6846">
        <w:t xml:space="preserve"> for Gravity Wall Furnace</w:t>
      </w:r>
    </w:p>
    <w:tbl>
      <w:tblPr>
        <w:tblW w:w="2880" w:type="dxa"/>
        <w:tblInd w:w="-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440"/>
        <w:gridCol w:w="1440"/>
      </w:tblGrid>
      <w:tr w:rsidR="00307A60" w:rsidRPr="003E5123" w14:paraId="1C19A3B0" w14:textId="77777777" w:rsidTr="00307A60">
        <w:trPr>
          <w:cantSplit/>
          <w:trHeight w:val="20"/>
          <w:tblHeader/>
        </w:trPr>
        <w:tc>
          <w:tcPr>
            <w:tcW w:w="1440" w:type="dxa"/>
            <w:shd w:val="clear" w:color="auto" w:fill="F2F2F2" w:themeFill="background1" w:themeFillShade="F2"/>
            <w:noWrap/>
            <w:vAlign w:val="bottom"/>
            <w:hideMark/>
          </w:tcPr>
          <w:p w14:paraId="705FB5ED" w14:textId="10D3839F" w:rsidR="00307A60" w:rsidRPr="003E5123" w:rsidRDefault="00307A60" w:rsidP="00307A60">
            <w:pPr>
              <w:spacing w:before="0" w:after="0" w:line="240" w:lineRule="auto"/>
              <w:jc w:val="center"/>
              <w:rPr>
                <w:rFonts w:eastAsia="Times New Roman" w:cs="Calibri Light"/>
                <w:b/>
                <w:color w:val="000000"/>
                <w:sz w:val="20"/>
                <w:szCs w:val="16"/>
              </w:rPr>
            </w:pPr>
            <w:r w:rsidRPr="00A671DC">
              <w:rPr>
                <w:rFonts w:eastAsia="Gulim" w:cs="Calibri Light"/>
                <w:b/>
                <w:color w:val="000000"/>
                <w:sz w:val="20"/>
                <w:szCs w:val="20"/>
                <w:lang w:eastAsia="ko-KR"/>
              </w:rPr>
              <w:t>Input Capacity (Btu/</w:t>
            </w:r>
            <w:proofErr w:type="spellStart"/>
            <w:r w:rsidRPr="00A671DC">
              <w:rPr>
                <w:rFonts w:eastAsia="Gulim" w:cs="Calibri Light"/>
                <w:b/>
                <w:color w:val="000000"/>
                <w:sz w:val="20"/>
                <w:szCs w:val="20"/>
                <w:lang w:eastAsia="ko-KR"/>
              </w:rPr>
              <w:t>hr</w:t>
            </w:r>
            <w:proofErr w:type="spellEnd"/>
            <w:r w:rsidRPr="00A671DC">
              <w:rPr>
                <w:rFonts w:eastAsia="Gulim" w:cs="Calibri Light"/>
                <w:b/>
                <w:color w:val="000000"/>
                <w:sz w:val="20"/>
                <w:szCs w:val="20"/>
                <w:lang w:eastAsia="ko-KR"/>
              </w:rPr>
              <w:t>)</w:t>
            </w:r>
          </w:p>
        </w:tc>
        <w:tc>
          <w:tcPr>
            <w:tcW w:w="1440" w:type="dxa"/>
            <w:shd w:val="clear" w:color="auto" w:fill="F2F2F2" w:themeFill="background1" w:themeFillShade="F2"/>
            <w:noWrap/>
            <w:vAlign w:val="bottom"/>
            <w:hideMark/>
          </w:tcPr>
          <w:p w14:paraId="22D3380A" w14:textId="015B573D" w:rsidR="00307A60" w:rsidRPr="003E5123" w:rsidRDefault="00307A60" w:rsidP="00307A60">
            <w:pPr>
              <w:spacing w:before="0" w:after="0" w:line="240" w:lineRule="auto"/>
              <w:jc w:val="center"/>
              <w:rPr>
                <w:rFonts w:eastAsia="Times New Roman" w:cs="Calibri Light"/>
                <w:b/>
                <w:color w:val="000000"/>
                <w:sz w:val="20"/>
                <w:szCs w:val="16"/>
              </w:rPr>
            </w:pPr>
            <w:r>
              <w:rPr>
                <w:rFonts w:eastAsia="Gulim" w:cs="Calibri Light"/>
                <w:b/>
                <w:bCs/>
                <w:color w:val="000000"/>
                <w:sz w:val="20"/>
                <w:szCs w:val="20"/>
                <w:lang w:eastAsia="ko-KR"/>
              </w:rPr>
              <w:t xml:space="preserve">Baseline </w:t>
            </w:r>
            <w:r>
              <w:rPr>
                <w:rFonts w:eastAsia="Gulim" w:cs="Calibri Light"/>
                <w:b/>
                <w:bCs/>
                <w:color w:val="000000"/>
                <w:sz w:val="20"/>
                <w:szCs w:val="20"/>
                <w:lang w:eastAsia="ko-KR"/>
              </w:rPr>
              <w:br/>
              <w:t>AFUE</w:t>
            </w:r>
            <w:r w:rsidRPr="00A671DC">
              <w:rPr>
                <w:rFonts w:eastAsia="Gulim" w:cs="Calibri Light"/>
                <w:b/>
                <w:bCs/>
                <w:color w:val="000000"/>
                <w:sz w:val="20"/>
                <w:szCs w:val="20"/>
                <w:lang w:eastAsia="ko-KR"/>
              </w:rPr>
              <w:t xml:space="preserve"> (%)</w:t>
            </w:r>
            <w:r>
              <w:rPr>
                <w:rFonts w:eastAsia="Gulim" w:cs="Calibri Light"/>
                <w:b/>
                <w:bCs/>
                <w:color w:val="000000"/>
                <w:sz w:val="20"/>
                <w:szCs w:val="20"/>
                <w:lang w:eastAsia="ko-KR"/>
              </w:rPr>
              <w:t xml:space="preserve"> </w:t>
            </w:r>
          </w:p>
        </w:tc>
      </w:tr>
      <w:tr w:rsidR="00307A60" w:rsidRPr="003E5123" w14:paraId="093595A8" w14:textId="77777777" w:rsidTr="00307A60">
        <w:trPr>
          <w:cantSplit/>
          <w:trHeight w:val="20"/>
        </w:trPr>
        <w:tc>
          <w:tcPr>
            <w:tcW w:w="1440" w:type="dxa"/>
            <w:shd w:val="clear" w:color="auto" w:fill="auto"/>
            <w:noWrap/>
            <w:vAlign w:val="center"/>
            <w:hideMark/>
          </w:tcPr>
          <w:p w14:paraId="1EA9586D" w14:textId="1692242E" w:rsidR="00307A60" w:rsidRPr="003E5123" w:rsidRDefault="00307A60" w:rsidP="00307A60">
            <w:pPr>
              <w:spacing w:before="0" w:after="0" w:line="240" w:lineRule="auto"/>
              <w:jc w:val="center"/>
              <w:rPr>
                <w:rFonts w:eastAsia="Times New Roman" w:cs="Calibri Light"/>
                <w:color w:val="000000"/>
                <w:sz w:val="20"/>
                <w:szCs w:val="16"/>
              </w:rPr>
            </w:pPr>
            <w:r w:rsidRPr="00A671DC">
              <w:rPr>
                <w:rFonts w:eastAsia="Gulim" w:cs="Calibri Light"/>
                <w:color w:val="000000"/>
                <w:sz w:val="20"/>
                <w:szCs w:val="20"/>
                <w:lang w:eastAsia="ko-KR"/>
              </w:rPr>
              <w:t>25</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440" w:type="dxa"/>
            <w:shd w:val="clear" w:color="auto" w:fill="auto"/>
            <w:noWrap/>
            <w:vAlign w:val="center"/>
            <w:hideMark/>
          </w:tcPr>
          <w:p w14:paraId="61B21DFE" w14:textId="52D0F226" w:rsidR="00307A60" w:rsidRPr="003E5123" w:rsidRDefault="00307A60" w:rsidP="00307A60">
            <w:pPr>
              <w:spacing w:before="0" w:after="0" w:line="240" w:lineRule="auto"/>
              <w:jc w:val="center"/>
              <w:rPr>
                <w:rFonts w:eastAsia="Times New Roman" w:cs="Calibri Light"/>
                <w:color w:val="000000"/>
                <w:sz w:val="20"/>
                <w:szCs w:val="16"/>
              </w:rPr>
            </w:pPr>
            <w:r w:rsidRPr="00BC7C7E">
              <w:rPr>
                <w:rFonts w:eastAsia="Gulim" w:cs="Calibri Light"/>
                <w:bCs/>
                <w:sz w:val="20"/>
                <w:szCs w:val="20"/>
                <w:lang w:eastAsia="ko-KR"/>
              </w:rPr>
              <w:t>65.0%</w:t>
            </w:r>
          </w:p>
        </w:tc>
      </w:tr>
      <w:tr w:rsidR="00307A60" w:rsidRPr="003E5123" w14:paraId="737A90A4" w14:textId="77777777" w:rsidTr="00183A50">
        <w:trPr>
          <w:cantSplit/>
          <w:trHeight w:val="20"/>
        </w:trPr>
        <w:tc>
          <w:tcPr>
            <w:tcW w:w="1440" w:type="dxa"/>
            <w:shd w:val="clear" w:color="auto" w:fill="auto"/>
            <w:noWrap/>
            <w:vAlign w:val="center"/>
          </w:tcPr>
          <w:p w14:paraId="67BB1596" w14:textId="31089F01" w:rsidR="00307A60" w:rsidRPr="003E5123" w:rsidRDefault="00183A50"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35,000</w:t>
            </w:r>
          </w:p>
        </w:tc>
        <w:tc>
          <w:tcPr>
            <w:tcW w:w="1440" w:type="dxa"/>
            <w:shd w:val="clear" w:color="auto" w:fill="auto"/>
            <w:noWrap/>
            <w:vAlign w:val="center"/>
          </w:tcPr>
          <w:p w14:paraId="0F38073E" w14:textId="2FFF1E8F" w:rsidR="00307A60" w:rsidRPr="003E5123" w:rsidRDefault="00183A50"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66.</w:t>
            </w:r>
            <w:r w:rsidR="003C479D">
              <w:rPr>
                <w:rFonts w:eastAsia="Times New Roman" w:cs="Calibri Light"/>
                <w:color w:val="000000"/>
                <w:sz w:val="20"/>
                <w:szCs w:val="16"/>
              </w:rPr>
              <w:t>0</w:t>
            </w:r>
            <w:r>
              <w:rPr>
                <w:rFonts w:eastAsia="Times New Roman" w:cs="Calibri Light"/>
                <w:color w:val="000000"/>
                <w:sz w:val="20"/>
                <w:szCs w:val="16"/>
              </w:rPr>
              <w:t>%</w:t>
            </w:r>
          </w:p>
        </w:tc>
      </w:tr>
      <w:tr w:rsidR="00307A60" w:rsidRPr="003E5123" w14:paraId="0E01DD49" w14:textId="77777777" w:rsidTr="00183A50">
        <w:trPr>
          <w:cantSplit/>
          <w:trHeight w:val="20"/>
        </w:trPr>
        <w:tc>
          <w:tcPr>
            <w:tcW w:w="1440" w:type="dxa"/>
            <w:shd w:val="clear" w:color="auto" w:fill="auto"/>
            <w:noWrap/>
            <w:vAlign w:val="center"/>
          </w:tcPr>
          <w:p w14:paraId="400BC97B" w14:textId="0211AE59" w:rsidR="00307A60" w:rsidRPr="003E5123" w:rsidRDefault="00183A50"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50,000</w:t>
            </w:r>
          </w:p>
        </w:tc>
        <w:tc>
          <w:tcPr>
            <w:tcW w:w="1440" w:type="dxa"/>
            <w:shd w:val="clear" w:color="auto" w:fill="auto"/>
            <w:noWrap/>
            <w:vAlign w:val="center"/>
          </w:tcPr>
          <w:p w14:paraId="1F3D4EB9" w14:textId="69441AFB" w:rsidR="00307A60" w:rsidRPr="003E5123" w:rsidRDefault="00600E6B"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67.0</w:t>
            </w:r>
            <w:r w:rsidR="00183A50">
              <w:rPr>
                <w:rFonts w:eastAsia="Times New Roman" w:cs="Calibri Light"/>
                <w:color w:val="000000"/>
                <w:sz w:val="20"/>
                <w:szCs w:val="16"/>
              </w:rPr>
              <w:t>%</w:t>
            </w:r>
          </w:p>
        </w:tc>
      </w:tr>
    </w:tbl>
    <w:p w14:paraId="27E56A27" w14:textId="65FBEE7F" w:rsidR="001D1D2D" w:rsidRPr="002914D8" w:rsidRDefault="001D1D2D" w:rsidP="001D1D2D">
      <w:pPr>
        <w:pStyle w:val="Caption"/>
      </w:pPr>
      <w:r w:rsidRPr="002914D8">
        <w:t>Baseline Efficiencies</w:t>
      </w:r>
      <w:r>
        <w:t xml:space="preserve"> for Fan Type Wall Furnace</w:t>
      </w:r>
    </w:p>
    <w:tbl>
      <w:tblPr>
        <w:tblW w:w="2880" w:type="dxa"/>
        <w:tblInd w:w="-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440"/>
        <w:gridCol w:w="1440"/>
      </w:tblGrid>
      <w:tr w:rsidR="001D1D2D" w:rsidRPr="003E5123" w14:paraId="3F16EF2D" w14:textId="77777777" w:rsidTr="00CC177A">
        <w:trPr>
          <w:cantSplit/>
          <w:trHeight w:val="20"/>
          <w:tblHeader/>
        </w:trPr>
        <w:tc>
          <w:tcPr>
            <w:tcW w:w="1440" w:type="dxa"/>
            <w:shd w:val="clear" w:color="auto" w:fill="F2F2F2" w:themeFill="background1" w:themeFillShade="F2"/>
            <w:noWrap/>
            <w:vAlign w:val="bottom"/>
            <w:hideMark/>
          </w:tcPr>
          <w:p w14:paraId="2726113E" w14:textId="77777777" w:rsidR="001D1D2D" w:rsidRPr="003E5123" w:rsidRDefault="001D1D2D" w:rsidP="00CC177A">
            <w:pPr>
              <w:spacing w:before="0" w:after="0" w:line="240" w:lineRule="auto"/>
              <w:jc w:val="center"/>
              <w:rPr>
                <w:rFonts w:eastAsia="Times New Roman" w:cs="Calibri Light"/>
                <w:b/>
                <w:color w:val="000000"/>
                <w:sz w:val="20"/>
                <w:szCs w:val="16"/>
              </w:rPr>
            </w:pPr>
            <w:r w:rsidRPr="00A671DC">
              <w:rPr>
                <w:rFonts w:eastAsia="Gulim" w:cs="Calibri Light"/>
                <w:b/>
                <w:color w:val="000000"/>
                <w:sz w:val="20"/>
                <w:szCs w:val="20"/>
                <w:lang w:eastAsia="ko-KR"/>
              </w:rPr>
              <w:t>Input Capacity (Btu/</w:t>
            </w:r>
            <w:proofErr w:type="spellStart"/>
            <w:r w:rsidRPr="00A671DC">
              <w:rPr>
                <w:rFonts w:eastAsia="Gulim" w:cs="Calibri Light"/>
                <w:b/>
                <w:color w:val="000000"/>
                <w:sz w:val="20"/>
                <w:szCs w:val="20"/>
                <w:lang w:eastAsia="ko-KR"/>
              </w:rPr>
              <w:t>hr</w:t>
            </w:r>
            <w:proofErr w:type="spellEnd"/>
            <w:r w:rsidRPr="00A671DC">
              <w:rPr>
                <w:rFonts w:eastAsia="Gulim" w:cs="Calibri Light"/>
                <w:b/>
                <w:color w:val="000000"/>
                <w:sz w:val="20"/>
                <w:szCs w:val="20"/>
                <w:lang w:eastAsia="ko-KR"/>
              </w:rPr>
              <w:t>)</w:t>
            </w:r>
          </w:p>
        </w:tc>
        <w:tc>
          <w:tcPr>
            <w:tcW w:w="1440" w:type="dxa"/>
            <w:shd w:val="clear" w:color="auto" w:fill="F2F2F2" w:themeFill="background1" w:themeFillShade="F2"/>
            <w:noWrap/>
            <w:vAlign w:val="bottom"/>
            <w:hideMark/>
          </w:tcPr>
          <w:p w14:paraId="7A703E67" w14:textId="77777777" w:rsidR="001D1D2D" w:rsidRPr="003E5123" w:rsidRDefault="001D1D2D" w:rsidP="00CC177A">
            <w:pPr>
              <w:spacing w:before="0" w:after="0" w:line="240" w:lineRule="auto"/>
              <w:jc w:val="center"/>
              <w:rPr>
                <w:rFonts w:eastAsia="Times New Roman" w:cs="Calibri Light"/>
                <w:b/>
                <w:color w:val="000000"/>
                <w:sz w:val="20"/>
                <w:szCs w:val="16"/>
              </w:rPr>
            </w:pPr>
            <w:r>
              <w:rPr>
                <w:rFonts w:eastAsia="Gulim" w:cs="Calibri Light"/>
                <w:b/>
                <w:bCs/>
                <w:color w:val="000000"/>
                <w:sz w:val="20"/>
                <w:szCs w:val="20"/>
                <w:lang w:eastAsia="ko-KR"/>
              </w:rPr>
              <w:t xml:space="preserve">Baseline </w:t>
            </w:r>
            <w:r>
              <w:rPr>
                <w:rFonts w:eastAsia="Gulim" w:cs="Calibri Light"/>
                <w:b/>
                <w:bCs/>
                <w:color w:val="000000"/>
                <w:sz w:val="20"/>
                <w:szCs w:val="20"/>
                <w:lang w:eastAsia="ko-KR"/>
              </w:rPr>
              <w:br/>
              <w:t>AFUE</w:t>
            </w:r>
            <w:r w:rsidRPr="00A671DC">
              <w:rPr>
                <w:rFonts w:eastAsia="Gulim" w:cs="Calibri Light"/>
                <w:b/>
                <w:bCs/>
                <w:color w:val="000000"/>
                <w:sz w:val="20"/>
                <w:szCs w:val="20"/>
                <w:lang w:eastAsia="ko-KR"/>
              </w:rPr>
              <w:t xml:space="preserve"> (%)</w:t>
            </w:r>
            <w:r>
              <w:rPr>
                <w:rFonts w:eastAsia="Gulim" w:cs="Calibri Light"/>
                <w:b/>
                <w:bCs/>
                <w:color w:val="000000"/>
                <w:sz w:val="20"/>
                <w:szCs w:val="20"/>
                <w:lang w:eastAsia="ko-KR"/>
              </w:rPr>
              <w:t xml:space="preserve"> </w:t>
            </w:r>
          </w:p>
        </w:tc>
      </w:tr>
      <w:tr w:rsidR="001D1D2D" w:rsidRPr="003E5123" w14:paraId="3A34B829" w14:textId="77777777" w:rsidTr="00CC177A">
        <w:trPr>
          <w:cantSplit/>
          <w:trHeight w:val="20"/>
        </w:trPr>
        <w:tc>
          <w:tcPr>
            <w:tcW w:w="1440" w:type="dxa"/>
            <w:shd w:val="clear" w:color="auto" w:fill="auto"/>
            <w:noWrap/>
            <w:vAlign w:val="center"/>
            <w:hideMark/>
          </w:tcPr>
          <w:p w14:paraId="6DE271A1" w14:textId="0AB601A9" w:rsidR="001D1D2D" w:rsidRPr="003E5123" w:rsidRDefault="00310DED" w:rsidP="00CC177A">
            <w:pPr>
              <w:spacing w:before="0" w:after="0" w:line="240" w:lineRule="auto"/>
              <w:jc w:val="center"/>
              <w:rPr>
                <w:rFonts w:eastAsia="Times New Roman" w:cs="Calibri Light"/>
                <w:color w:val="000000"/>
                <w:sz w:val="20"/>
                <w:szCs w:val="16"/>
              </w:rPr>
            </w:pPr>
            <w:r>
              <w:rPr>
                <w:rFonts w:eastAsia="Gulim" w:cs="Calibri Light"/>
                <w:color w:val="000000"/>
                <w:sz w:val="20"/>
                <w:szCs w:val="20"/>
                <w:lang w:eastAsia="ko-KR"/>
              </w:rPr>
              <w:t>35,00</w:t>
            </w:r>
            <w:r w:rsidR="00EF42BA">
              <w:rPr>
                <w:rFonts w:eastAsia="Gulim" w:cs="Calibri Light"/>
                <w:color w:val="000000"/>
                <w:sz w:val="20"/>
                <w:szCs w:val="20"/>
                <w:lang w:eastAsia="ko-KR"/>
              </w:rPr>
              <w:t>0</w:t>
            </w:r>
          </w:p>
        </w:tc>
        <w:tc>
          <w:tcPr>
            <w:tcW w:w="1440" w:type="dxa"/>
            <w:shd w:val="clear" w:color="auto" w:fill="auto"/>
            <w:noWrap/>
            <w:vAlign w:val="center"/>
            <w:hideMark/>
          </w:tcPr>
          <w:p w14:paraId="232E16FD" w14:textId="36F1806A" w:rsidR="001D1D2D" w:rsidRPr="003E5123" w:rsidRDefault="00310DED" w:rsidP="00CC177A">
            <w:pPr>
              <w:spacing w:before="0" w:after="0" w:line="240" w:lineRule="auto"/>
              <w:jc w:val="center"/>
              <w:rPr>
                <w:rFonts w:eastAsia="Times New Roman" w:cs="Calibri Light"/>
                <w:color w:val="000000"/>
                <w:sz w:val="20"/>
                <w:szCs w:val="16"/>
              </w:rPr>
            </w:pPr>
            <w:r>
              <w:rPr>
                <w:rFonts w:eastAsia="Gulim" w:cs="Calibri Light"/>
                <w:bCs/>
                <w:sz w:val="20"/>
                <w:szCs w:val="20"/>
                <w:lang w:eastAsia="ko-KR"/>
              </w:rPr>
              <w:t>7</w:t>
            </w:r>
            <w:r w:rsidR="001D1D2D" w:rsidRPr="00BC7C7E">
              <w:rPr>
                <w:rFonts w:eastAsia="Gulim" w:cs="Calibri Light"/>
                <w:bCs/>
                <w:sz w:val="20"/>
                <w:szCs w:val="20"/>
                <w:lang w:eastAsia="ko-KR"/>
              </w:rPr>
              <w:t>5.0%</w:t>
            </w:r>
          </w:p>
        </w:tc>
      </w:tr>
      <w:tr w:rsidR="001D1D2D" w:rsidRPr="003E5123" w14:paraId="3BAAEA66" w14:textId="77777777" w:rsidTr="00CC177A">
        <w:trPr>
          <w:cantSplit/>
          <w:trHeight w:val="20"/>
        </w:trPr>
        <w:tc>
          <w:tcPr>
            <w:tcW w:w="1440" w:type="dxa"/>
            <w:shd w:val="clear" w:color="auto" w:fill="auto"/>
            <w:noWrap/>
            <w:vAlign w:val="center"/>
          </w:tcPr>
          <w:p w14:paraId="1389C4FB" w14:textId="680DE996" w:rsidR="001D1D2D" w:rsidRPr="003E5123" w:rsidRDefault="006F37F3" w:rsidP="00CC177A">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40</w:t>
            </w:r>
            <w:r w:rsidR="001D1D2D">
              <w:rPr>
                <w:rFonts w:eastAsia="Times New Roman" w:cs="Calibri Light"/>
                <w:color w:val="000000"/>
                <w:sz w:val="20"/>
                <w:szCs w:val="16"/>
              </w:rPr>
              <w:t>,000</w:t>
            </w:r>
          </w:p>
        </w:tc>
        <w:tc>
          <w:tcPr>
            <w:tcW w:w="1440" w:type="dxa"/>
            <w:shd w:val="clear" w:color="auto" w:fill="auto"/>
            <w:noWrap/>
            <w:vAlign w:val="center"/>
          </w:tcPr>
          <w:p w14:paraId="27567A9F" w14:textId="299A728A" w:rsidR="001D1D2D" w:rsidRPr="003E5123" w:rsidRDefault="00310DED" w:rsidP="00CC177A">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75</w:t>
            </w:r>
            <w:r w:rsidR="001D1D2D">
              <w:rPr>
                <w:rFonts w:eastAsia="Times New Roman" w:cs="Calibri Light"/>
                <w:color w:val="000000"/>
                <w:sz w:val="20"/>
                <w:szCs w:val="16"/>
              </w:rPr>
              <w:t>.</w:t>
            </w:r>
            <w:r>
              <w:rPr>
                <w:rFonts w:eastAsia="Times New Roman" w:cs="Calibri Light"/>
                <w:color w:val="000000"/>
                <w:sz w:val="20"/>
                <w:szCs w:val="16"/>
              </w:rPr>
              <w:t>6</w:t>
            </w:r>
            <w:r w:rsidR="001D1D2D">
              <w:rPr>
                <w:rFonts w:eastAsia="Times New Roman" w:cs="Calibri Light"/>
                <w:color w:val="000000"/>
                <w:sz w:val="20"/>
                <w:szCs w:val="16"/>
              </w:rPr>
              <w:t>%</w:t>
            </w:r>
          </w:p>
        </w:tc>
      </w:tr>
      <w:tr w:rsidR="001D1D2D" w:rsidRPr="003E5123" w14:paraId="56C5E039" w14:textId="77777777" w:rsidTr="00CC177A">
        <w:trPr>
          <w:cantSplit/>
          <w:trHeight w:val="20"/>
        </w:trPr>
        <w:tc>
          <w:tcPr>
            <w:tcW w:w="1440" w:type="dxa"/>
            <w:shd w:val="clear" w:color="auto" w:fill="auto"/>
            <w:noWrap/>
            <w:vAlign w:val="center"/>
          </w:tcPr>
          <w:p w14:paraId="26EF0D38" w14:textId="19581A1F" w:rsidR="001D1D2D" w:rsidRPr="003E5123" w:rsidRDefault="001D1D2D" w:rsidP="00CC177A">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5</w:t>
            </w:r>
            <w:r w:rsidR="006F37F3">
              <w:rPr>
                <w:rFonts w:eastAsia="Times New Roman" w:cs="Calibri Light"/>
                <w:color w:val="000000"/>
                <w:sz w:val="20"/>
                <w:szCs w:val="16"/>
              </w:rPr>
              <w:t>5</w:t>
            </w:r>
            <w:r>
              <w:rPr>
                <w:rFonts w:eastAsia="Times New Roman" w:cs="Calibri Light"/>
                <w:color w:val="000000"/>
                <w:sz w:val="20"/>
                <w:szCs w:val="16"/>
              </w:rPr>
              <w:t>,000</w:t>
            </w:r>
          </w:p>
        </w:tc>
        <w:tc>
          <w:tcPr>
            <w:tcW w:w="1440" w:type="dxa"/>
            <w:shd w:val="clear" w:color="auto" w:fill="auto"/>
            <w:noWrap/>
            <w:vAlign w:val="center"/>
          </w:tcPr>
          <w:p w14:paraId="3BDADFBB" w14:textId="3CBEE393" w:rsidR="001D1D2D" w:rsidRPr="003E5123" w:rsidRDefault="00310DED" w:rsidP="00CC177A">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76.2</w:t>
            </w:r>
            <w:r w:rsidR="001D1D2D">
              <w:rPr>
                <w:rFonts w:eastAsia="Times New Roman" w:cs="Calibri Light"/>
                <w:color w:val="000000"/>
                <w:sz w:val="20"/>
                <w:szCs w:val="16"/>
              </w:rPr>
              <w:t>%</w:t>
            </w:r>
          </w:p>
        </w:tc>
      </w:tr>
    </w:tbl>
    <w:p w14:paraId="458486BC" w14:textId="0831B09E" w:rsidR="00B63315" w:rsidRDefault="00B63315" w:rsidP="007C664D"/>
    <w:p w14:paraId="2D1BBCB7" w14:textId="55E8497C" w:rsidR="00933919" w:rsidRPr="002914D8" w:rsidRDefault="00933919" w:rsidP="007C664D">
      <w:r w:rsidRPr="002914D8">
        <w:t xml:space="preserve">The analysis </w:t>
      </w:r>
      <w:r w:rsidR="00183A50">
        <w:t xml:space="preserve">results </w:t>
      </w:r>
      <w:r w:rsidRPr="002914D8">
        <w:t xml:space="preserve">of gas usage history from selected homes with </w:t>
      </w:r>
      <w:r w:rsidR="00183A50">
        <w:t xml:space="preserve">a </w:t>
      </w:r>
      <w:r w:rsidRPr="002914D8">
        <w:t xml:space="preserve">wall </w:t>
      </w:r>
      <w:r w:rsidR="00183A50">
        <w:t>furnace are presented below.</w:t>
      </w:r>
      <w:r w:rsidR="001209A8">
        <w:rPr>
          <w:rStyle w:val="FootnoteReference"/>
        </w:rPr>
        <w:footnoteReference w:id="10"/>
      </w:r>
      <w:r w:rsidR="00183A50">
        <w:t xml:space="preserve"> </w:t>
      </w:r>
      <w:r w:rsidR="00780558">
        <w:t xml:space="preserve">The </w:t>
      </w:r>
      <w:r w:rsidR="005622AF">
        <w:t>s</w:t>
      </w:r>
      <w:r w:rsidR="005622AF" w:rsidRPr="002914D8">
        <w:t>ingle-family</w:t>
      </w:r>
      <w:r w:rsidRPr="002914D8">
        <w:t xml:space="preserve"> results </w:t>
      </w:r>
      <w:r w:rsidR="0007034C">
        <w:t>were drawn from the</w:t>
      </w:r>
      <w:r w:rsidRPr="002914D8">
        <w:t xml:space="preserve"> </w:t>
      </w:r>
      <w:proofErr w:type="spellStart"/>
      <w:r w:rsidRPr="002914D8">
        <w:t>eQuest</w:t>
      </w:r>
      <w:proofErr w:type="spellEnd"/>
      <w:r w:rsidRPr="002914D8">
        <w:t xml:space="preserve"> </w:t>
      </w:r>
      <w:r w:rsidR="0007034C">
        <w:t xml:space="preserve">energy simulation models </w:t>
      </w:r>
      <w:r w:rsidRPr="002914D8">
        <w:t>using the data from the regression analysis of the customer consumption data.</w:t>
      </w:r>
    </w:p>
    <w:p w14:paraId="1C23721A" w14:textId="5A0FFB28" w:rsidR="00933919" w:rsidRDefault="00933919" w:rsidP="007C664D">
      <w:r w:rsidRPr="002914D8">
        <w:t xml:space="preserve">Multifamily results </w:t>
      </w:r>
      <w:r w:rsidR="00780558">
        <w:t>were drawn</w:t>
      </w:r>
      <w:r w:rsidRPr="002914D8">
        <w:t xml:space="preserve"> directly from the regression analysis of the customer data, and not from </w:t>
      </w:r>
      <w:proofErr w:type="spellStart"/>
      <w:r w:rsidRPr="002914D8">
        <w:t>eQuest</w:t>
      </w:r>
      <w:proofErr w:type="spellEnd"/>
      <w:r w:rsidR="0007034C">
        <w:t xml:space="preserve"> simulation models </w:t>
      </w:r>
      <w:r w:rsidRPr="002914D8">
        <w:t xml:space="preserve">because the </w:t>
      </w:r>
      <w:r w:rsidR="00183A50">
        <w:t>multifamily</w:t>
      </w:r>
      <w:r w:rsidRPr="002914D8">
        <w:t xml:space="preserve"> building model designed for DEER resulted in incorrect values as shown in the analysis file due to several bugs imbedded in the building model.</w:t>
      </w:r>
    </w:p>
    <w:p w14:paraId="16DD1D13" w14:textId="15EE726D" w:rsidR="00933919" w:rsidRPr="002914D8" w:rsidRDefault="00933919" w:rsidP="00183A50">
      <w:pPr>
        <w:pStyle w:val="Caption"/>
      </w:pPr>
      <w:bookmarkStart w:id="52" w:name="_Toc325381944"/>
      <w:r w:rsidRPr="002914D8">
        <w:t xml:space="preserve">Baseline </w:t>
      </w:r>
      <w:r w:rsidRPr="002914D8">
        <w:rPr>
          <w:caps/>
        </w:rPr>
        <w:t>g</w:t>
      </w:r>
      <w:r w:rsidRPr="002914D8">
        <w:t xml:space="preserve">as </w:t>
      </w:r>
      <w:r w:rsidRPr="002914D8">
        <w:rPr>
          <w:caps/>
        </w:rPr>
        <w:t>c</w:t>
      </w:r>
      <w:r w:rsidRPr="002914D8">
        <w:t xml:space="preserve">onsumption for </w:t>
      </w:r>
      <w:r w:rsidRPr="002914D8">
        <w:rPr>
          <w:caps/>
        </w:rPr>
        <w:t>s</w:t>
      </w:r>
      <w:r w:rsidRPr="002914D8">
        <w:t xml:space="preserve">pace </w:t>
      </w:r>
      <w:r w:rsidRPr="002914D8">
        <w:rPr>
          <w:caps/>
        </w:rPr>
        <w:t>h</w:t>
      </w:r>
      <w:r w:rsidRPr="002914D8">
        <w:t>eating</w:t>
      </w:r>
      <w:bookmarkEnd w:id="52"/>
      <w:r w:rsidR="00183A50">
        <w:t xml:space="preserve"> </w:t>
      </w:r>
    </w:p>
    <w:tbl>
      <w:tblPr>
        <w:tblW w:w="772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99" w:type="dxa"/>
          <w:right w:w="99" w:type="dxa"/>
        </w:tblCellMar>
        <w:tblLook w:val="0000" w:firstRow="0" w:lastRow="0" w:firstColumn="0" w:lastColumn="0" w:noHBand="0" w:noVBand="0"/>
      </w:tblPr>
      <w:tblGrid>
        <w:gridCol w:w="1098"/>
        <w:gridCol w:w="1008"/>
        <w:gridCol w:w="1008"/>
        <w:gridCol w:w="1152"/>
        <w:gridCol w:w="1728"/>
        <w:gridCol w:w="1728"/>
      </w:tblGrid>
      <w:tr w:rsidR="00933919" w:rsidRPr="00183A50" w14:paraId="0456FD15" w14:textId="77777777" w:rsidTr="00780558">
        <w:trPr>
          <w:cantSplit/>
          <w:trHeight w:val="20"/>
          <w:tblHeader/>
        </w:trPr>
        <w:tc>
          <w:tcPr>
            <w:tcW w:w="1098" w:type="dxa"/>
            <w:shd w:val="clear" w:color="auto" w:fill="F2F2F2" w:themeFill="background1" w:themeFillShade="F2"/>
            <w:vAlign w:val="bottom"/>
          </w:tcPr>
          <w:p w14:paraId="3BB11C46" w14:textId="77777777" w:rsidR="00933919" w:rsidRPr="00183A50" w:rsidRDefault="00933919" w:rsidP="00183A50">
            <w:pPr>
              <w:keepNext/>
              <w:keepLines/>
              <w:spacing w:before="0" w:after="0" w:line="240" w:lineRule="auto"/>
              <w:jc w:val="center"/>
              <w:rPr>
                <w:rFonts w:eastAsia="Gulim" w:cs="Calibri Light"/>
                <w:b/>
                <w:sz w:val="20"/>
                <w:szCs w:val="20"/>
                <w:lang w:eastAsia="ko-KR"/>
              </w:rPr>
            </w:pPr>
            <w:r w:rsidRPr="00183A50">
              <w:rPr>
                <w:rFonts w:eastAsia="Gulim" w:cs="Calibri Light"/>
                <w:b/>
                <w:sz w:val="20"/>
                <w:szCs w:val="20"/>
                <w:lang w:eastAsia="ko-KR"/>
              </w:rPr>
              <w:t>Climate Zone</w:t>
            </w:r>
          </w:p>
        </w:tc>
        <w:tc>
          <w:tcPr>
            <w:tcW w:w="1008" w:type="dxa"/>
            <w:shd w:val="clear" w:color="auto" w:fill="F2F2F2" w:themeFill="background1" w:themeFillShade="F2"/>
            <w:vAlign w:val="bottom"/>
          </w:tcPr>
          <w:p w14:paraId="14967004" w14:textId="77777777" w:rsidR="00933919" w:rsidRPr="00183A50" w:rsidRDefault="00933919" w:rsidP="00183A50">
            <w:pPr>
              <w:keepNext/>
              <w:keepLines/>
              <w:spacing w:before="0" w:after="0" w:line="240" w:lineRule="auto"/>
              <w:jc w:val="center"/>
              <w:rPr>
                <w:rFonts w:eastAsia="Gulim" w:cs="Calibri Light"/>
                <w:b/>
                <w:sz w:val="20"/>
                <w:szCs w:val="20"/>
                <w:lang w:eastAsia="ko-KR"/>
              </w:rPr>
            </w:pPr>
            <w:r w:rsidRPr="00183A50">
              <w:rPr>
                <w:rFonts w:eastAsia="Gulim" w:cs="Calibri Light"/>
                <w:b/>
                <w:sz w:val="20"/>
                <w:szCs w:val="20"/>
                <w:lang w:eastAsia="ko-KR"/>
              </w:rPr>
              <w:t>97.5% DD</w:t>
            </w:r>
          </w:p>
        </w:tc>
        <w:tc>
          <w:tcPr>
            <w:tcW w:w="1008" w:type="dxa"/>
            <w:shd w:val="clear" w:color="auto" w:fill="F2F2F2" w:themeFill="background1" w:themeFillShade="F2"/>
            <w:vAlign w:val="bottom"/>
          </w:tcPr>
          <w:p w14:paraId="6A5400F9" w14:textId="77777777" w:rsidR="00933919" w:rsidRPr="00183A50" w:rsidRDefault="00933919" w:rsidP="00183A50">
            <w:pPr>
              <w:keepNext/>
              <w:keepLines/>
              <w:spacing w:before="0" w:after="0" w:line="240" w:lineRule="auto"/>
              <w:jc w:val="center"/>
              <w:rPr>
                <w:rFonts w:eastAsia="Gulim" w:cs="Calibri Light"/>
                <w:b/>
                <w:sz w:val="20"/>
                <w:szCs w:val="20"/>
                <w:lang w:eastAsia="ko-KR"/>
              </w:rPr>
            </w:pPr>
            <w:r w:rsidRPr="00183A50">
              <w:rPr>
                <w:rFonts w:eastAsia="Gulim" w:cs="Calibri Light"/>
                <w:b/>
                <w:sz w:val="20"/>
                <w:szCs w:val="20"/>
                <w:lang w:eastAsia="ko-KR"/>
              </w:rPr>
              <w:t>HDD</w:t>
            </w:r>
          </w:p>
        </w:tc>
        <w:tc>
          <w:tcPr>
            <w:tcW w:w="1152" w:type="dxa"/>
            <w:shd w:val="clear" w:color="auto" w:fill="F2F2F2" w:themeFill="background1" w:themeFillShade="F2"/>
            <w:vAlign w:val="bottom"/>
          </w:tcPr>
          <w:p w14:paraId="33B64126" w14:textId="086D9A8E" w:rsidR="00933919" w:rsidRPr="00183A50" w:rsidRDefault="000139EF" w:rsidP="00183A50">
            <w:pPr>
              <w:keepNext/>
              <w:keepLines/>
              <w:spacing w:before="0" w:after="0" w:line="240" w:lineRule="auto"/>
              <w:jc w:val="center"/>
              <w:rPr>
                <w:rFonts w:eastAsia="Gulim" w:cs="Calibri Light"/>
                <w:b/>
                <w:sz w:val="20"/>
                <w:szCs w:val="20"/>
                <w:lang w:eastAsia="ko-KR"/>
              </w:rPr>
            </w:pPr>
            <w:r>
              <w:rPr>
                <w:rFonts w:eastAsia="Gulim" w:cs="Calibri Light"/>
                <w:b/>
                <w:sz w:val="20"/>
                <w:szCs w:val="20"/>
                <w:lang w:eastAsia="ko-KR"/>
              </w:rPr>
              <w:t xml:space="preserve">% </w:t>
            </w:r>
            <w:r w:rsidR="005622AF">
              <w:rPr>
                <w:rFonts w:eastAsia="Gulim" w:cs="Calibri Light"/>
                <w:b/>
                <w:sz w:val="20"/>
                <w:szCs w:val="20"/>
                <w:lang w:eastAsia="ko-KR"/>
              </w:rPr>
              <w:t>o</w:t>
            </w:r>
            <w:r>
              <w:rPr>
                <w:rFonts w:eastAsia="Gulim" w:cs="Calibri Light"/>
                <w:b/>
                <w:sz w:val="20"/>
                <w:szCs w:val="20"/>
                <w:lang w:eastAsia="ko-KR"/>
              </w:rPr>
              <w:t xml:space="preserve">f </w:t>
            </w:r>
            <w:r w:rsidR="00933919" w:rsidRPr="00183A50">
              <w:rPr>
                <w:rFonts w:eastAsia="Gulim" w:cs="Calibri Light"/>
                <w:b/>
                <w:sz w:val="20"/>
                <w:szCs w:val="20"/>
                <w:lang w:eastAsia="ko-KR"/>
              </w:rPr>
              <w:t xml:space="preserve">SCG Population </w:t>
            </w:r>
          </w:p>
        </w:tc>
        <w:tc>
          <w:tcPr>
            <w:tcW w:w="1728" w:type="dxa"/>
            <w:shd w:val="clear" w:color="auto" w:fill="F2F2F2" w:themeFill="background1" w:themeFillShade="F2"/>
            <w:vAlign w:val="bottom"/>
          </w:tcPr>
          <w:p w14:paraId="71EE2FD6" w14:textId="5ACB463F" w:rsidR="00933919" w:rsidRPr="00183A50" w:rsidRDefault="00183A50" w:rsidP="00183A50">
            <w:pPr>
              <w:keepNext/>
              <w:keepLines/>
              <w:spacing w:before="0" w:after="0" w:line="240" w:lineRule="auto"/>
              <w:jc w:val="center"/>
              <w:rPr>
                <w:rFonts w:eastAsia="Gulim" w:cs="Calibri Light"/>
                <w:b/>
                <w:sz w:val="20"/>
                <w:szCs w:val="20"/>
                <w:lang w:eastAsia="ko-KR"/>
              </w:rPr>
            </w:pPr>
            <w:r>
              <w:rPr>
                <w:rFonts w:eastAsia="Gulim" w:cs="Calibri Light"/>
                <w:b/>
                <w:sz w:val="20"/>
                <w:szCs w:val="20"/>
                <w:lang w:eastAsia="ko-KR"/>
              </w:rPr>
              <w:t>Single Family - Annual Gas Usage for Heating (</w:t>
            </w:r>
            <w:proofErr w:type="spellStart"/>
            <w:r w:rsidR="00933919" w:rsidRPr="00183A50">
              <w:rPr>
                <w:rFonts w:eastAsia="Gulim" w:cs="Calibri Light"/>
                <w:b/>
                <w:sz w:val="20"/>
                <w:szCs w:val="20"/>
                <w:lang w:eastAsia="ko-KR"/>
              </w:rPr>
              <w:t>Therms</w:t>
            </w:r>
            <w:proofErr w:type="spellEnd"/>
            <w:r w:rsidR="00933919" w:rsidRPr="00183A50">
              <w:rPr>
                <w:rFonts w:eastAsia="Gulim" w:cs="Calibri Light"/>
                <w:b/>
                <w:sz w:val="20"/>
                <w:szCs w:val="20"/>
                <w:lang w:eastAsia="ko-KR"/>
              </w:rPr>
              <w:t>/</w:t>
            </w:r>
            <w:r>
              <w:rPr>
                <w:rFonts w:eastAsia="Gulim" w:cs="Calibri Light"/>
                <w:b/>
                <w:sz w:val="20"/>
                <w:szCs w:val="20"/>
                <w:lang w:eastAsia="ko-KR"/>
              </w:rPr>
              <w:t>home)</w:t>
            </w:r>
          </w:p>
        </w:tc>
        <w:tc>
          <w:tcPr>
            <w:tcW w:w="1728" w:type="dxa"/>
            <w:shd w:val="clear" w:color="auto" w:fill="F2F2F2" w:themeFill="background1" w:themeFillShade="F2"/>
            <w:vAlign w:val="bottom"/>
          </w:tcPr>
          <w:p w14:paraId="59AE0732" w14:textId="6FCEE6EA" w:rsidR="00933919" w:rsidRPr="00183A50" w:rsidRDefault="00183A50" w:rsidP="00183A50">
            <w:pPr>
              <w:keepNext/>
              <w:keepLines/>
              <w:spacing w:before="0" w:after="0" w:line="240" w:lineRule="auto"/>
              <w:jc w:val="center"/>
              <w:rPr>
                <w:rFonts w:eastAsia="Gulim" w:cs="Calibri Light"/>
                <w:b/>
                <w:sz w:val="20"/>
                <w:szCs w:val="20"/>
                <w:lang w:eastAsia="ko-KR"/>
              </w:rPr>
            </w:pPr>
            <w:r>
              <w:rPr>
                <w:rFonts w:eastAsia="Gulim" w:cs="Calibri Light"/>
                <w:b/>
                <w:sz w:val="20"/>
                <w:szCs w:val="20"/>
                <w:lang w:eastAsia="ko-KR"/>
              </w:rPr>
              <w:t xml:space="preserve">Multifamily - Annual Gas Usage for </w:t>
            </w:r>
            <w:r w:rsidR="00933919" w:rsidRPr="00183A50">
              <w:rPr>
                <w:rFonts w:eastAsia="Gulim" w:cs="Calibri Light"/>
                <w:b/>
                <w:sz w:val="20"/>
                <w:szCs w:val="20"/>
                <w:lang w:eastAsia="ko-KR"/>
              </w:rPr>
              <w:t xml:space="preserve">Heating </w:t>
            </w:r>
            <w:r>
              <w:rPr>
                <w:rFonts w:eastAsia="Gulim" w:cs="Calibri Light"/>
                <w:b/>
                <w:sz w:val="20"/>
                <w:szCs w:val="20"/>
                <w:lang w:eastAsia="ko-KR"/>
              </w:rPr>
              <w:t>(</w:t>
            </w:r>
            <w:proofErr w:type="spellStart"/>
            <w:r w:rsidR="00933919" w:rsidRPr="00183A50">
              <w:rPr>
                <w:rFonts w:eastAsia="Gulim" w:cs="Calibri Light"/>
                <w:b/>
                <w:sz w:val="20"/>
                <w:szCs w:val="20"/>
                <w:lang w:eastAsia="ko-KR"/>
              </w:rPr>
              <w:t>Therms</w:t>
            </w:r>
            <w:proofErr w:type="spellEnd"/>
            <w:r w:rsidR="00933919" w:rsidRPr="00183A50">
              <w:rPr>
                <w:rFonts w:eastAsia="Gulim" w:cs="Calibri Light"/>
                <w:b/>
                <w:sz w:val="20"/>
                <w:szCs w:val="20"/>
                <w:lang w:eastAsia="ko-KR"/>
              </w:rPr>
              <w:t>/</w:t>
            </w:r>
            <w:r>
              <w:rPr>
                <w:rFonts w:eastAsia="Gulim" w:cs="Calibri Light"/>
                <w:b/>
                <w:sz w:val="20"/>
                <w:szCs w:val="20"/>
                <w:lang w:eastAsia="ko-KR"/>
              </w:rPr>
              <w:t>h</w:t>
            </w:r>
            <w:r w:rsidR="00933919" w:rsidRPr="00183A50">
              <w:rPr>
                <w:rFonts w:eastAsia="Gulim" w:cs="Calibri Light"/>
                <w:b/>
                <w:sz w:val="20"/>
                <w:szCs w:val="20"/>
                <w:lang w:eastAsia="ko-KR"/>
              </w:rPr>
              <w:t>ome</w:t>
            </w:r>
            <w:r>
              <w:rPr>
                <w:rFonts w:eastAsia="Gulim" w:cs="Calibri Light"/>
                <w:b/>
                <w:sz w:val="20"/>
                <w:szCs w:val="20"/>
                <w:lang w:eastAsia="ko-KR"/>
              </w:rPr>
              <w:t>)</w:t>
            </w:r>
          </w:p>
        </w:tc>
      </w:tr>
      <w:tr w:rsidR="00933919" w:rsidRPr="002914D8" w14:paraId="2633969F" w14:textId="77777777" w:rsidTr="00183A50">
        <w:trPr>
          <w:cantSplit/>
          <w:trHeight w:val="20"/>
        </w:trPr>
        <w:tc>
          <w:tcPr>
            <w:tcW w:w="1098" w:type="dxa"/>
            <w:shd w:val="clear" w:color="auto" w:fill="auto"/>
            <w:noWrap/>
            <w:vAlign w:val="center"/>
          </w:tcPr>
          <w:p w14:paraId="1837C208" w14:textId="77777777" w:rsidR="00933919" w:rsidRPr="00183A50" w:rsidRDefault="00933919" w:rsidP="00183A50">
            <w:pPr>
              <w:keepNext/>
              <w:keepLines/>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CZ01</w:t>
            </w:r>
          </w:p>
        </w:tc>
        <w:tc>
          <w:tcPr>
            <w:tcW w:w="1008" w:type="dxa"/>
            <w:shd w:val="clear" w:color="auto" w:fill="auto"/>
            <w:noWrap/>
            <w:vAlign w:val="center"/>
          </w:tcPr>
          <w:p w14:paraId="2E1B779C" w14:textId="3CE80571" w:rsidR="00933919" w:rsidRPr="00183A50" w:rsidRDefault="00933919" w:rsidP="00183A50">
            <w:pPr>
              <w:keepNext/>
              <w:keepLines/>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37</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6EC8792E" w14:textId="77777777" w:rsidR="00933919" w:rsidRPr="00183A50" w:rsidRDefault="00933919" w:rsidP="00183A50">
            <w:pPr>
              <w:keepNext/>
              <w:keepLines/>
              <w:spacing w:before="0" w:after="0" w:line="240" w:lineRule="auto"/>
              <w:jc w:val="right"/>
              <w:rPr>
                <w:rFonts w:cs="Calibri Light"/>
                <w:sz w:val="20"/>
                <w:szCs w:val="20"/>
              </w:rPr>
            </w:pPr>
            <w:r w:rsidRPr="00183A50">
              <w:rPr>
                <w:rFonts w:cs="Calibri Light"/>
                <w:sz w:val="20"/>
                <w:szCs w:val="20"/>
              </w:rPr>
              <w:t>5,132</w:t>
            </w:r>
          </w:p>
        </w:tc>
        <w:tc>
          <w:tcPr>
            <w:tcW w:w="1152" w:type="dxa"/>
            <w:shd w:val="clear" w:color="auto" w:fill="auto"/>
            <w:noWrap/>
            <w:vAlign w:val="center"/>
          </w:tcPr>
          <w:p w14:paraId="1BDDCDED" w14:textId="77777777" w:rsidR="00933919" w:rsidRPr="00183A50" w:rsidRDefault="00933919" w:rsidP="00183A50">
            <w:pPr>
              <w:keepNext/>
              <w:keepLines/>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2731CC73"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552.6</w:t>
            </w:r>
          </w:p>
        </w:tc>
        <w:tc>
          <w:tcPr>
            <w:tcW w:w="1728" w:type="dxa"/>
            <w:vAlign w:val="center"/>
          </w:tcPr>
          <w:p w14:paraId="3C7D18F7"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415.6</w:t>
            </w:r>
          </w:p>
        </w:tc>
      </w:tr>
      <w:tr w:rsidR="00933919" w:rsidRPr="002914D8" w14:paraId="2D2EF54F" w14:textId="77777777" w:rsidTr="00183A50">
        <w:trPr>
          <w:cantSplit/>
          <w:trHeight w:val="20"/>
        </w:trPr>
        <w:tc>
          <w:tcPr>
            <w:tcW w:w="1098" w:type="dxa"/>
            <w:shd w:val="clear" w:color="auto" w:fill="auto"/>
            <w:noWrap/>
            <w:vAlign w:val="center"/>
          </w:tcPr>
          <w:p w14:paraId="242611E7" w14:textId="77777777" w:rsidR="00933919" w:rsidRPr="00183A50" w:rsidRDefault="00933919" w:rsidP="00183A50">
            <w:pPr>
              <w:keepNext/>
              <w:keepLines/>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CZ02</w:t>
            </w:r>
          </w:p>
        </w:tc>
        <w:tc>
          <w:tcPr>
            <w:tcW w:w="1008" w:type="dxa"/>
            <w:shd w:val="clear" w:color="auto" w:fill="auto"/>
            <w:noWrap/>
            <w:vAlign w:val="center"/>
          </w:tcPr>
          <w:p w14:paraId="638990F9" w14:textId="2C258403" w:rsidR="00933919" w:rsidRPr="00183A50" w:rsidRDefault="00933919" w:rsidP="00183A50">
            <w:pPr>
              <w:keepNext/>
              <w:keepLines/>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31</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2F8B9A4B" w14:textId="77777777" w:rsidR="00933919" w:rsidRPr="00183A50" w:rsidRDefault="00933919" w:rsidP="00183A50">
            <w:pPr>
              <w:keepNext/>
              <w:keepLines/>
              <w:spacing w:before="0" w:after="0" w:line="240" w:lineRule="auto"/>
              <w:jc w:val="right"/>
              <w:rPr>
                <w:rFonts w:cs="Calibri Light"/>
                <w:sz w:val="20"/>
                <w:szCs w:val="20"/>
              </w:rPr>
            </w:pPr>
            <w:r w:rsidRPr="00183A50">
              <w:rPr>
                <w:rFonts w:cs="Calibri Light"/>
                <w:sz w:val="20"/>
                <w:szCs w:val="20"/>
              </w:rPr>
              <w:t>3,006</w:t>
            </w:r>
          </w:p>
        </w:tc>
        <w:tc>
          <w:tcPr>
            <w:tcW w:w="1152" w:type="dxa"/>
            <w:shd w:val="clear" w:color="auto" w:fill="auto"/>
            <w:noWrap/>
            <w:vAlign w:val="center"/>
          </w:tcPr>
          <w:p w14:paraId="19AAF010" w14:textId="77777777" w:rsidR="00933919" w:rsidRPr="00183A50" w:rsidRDefault="00933919" w:rsidP="00183A50">
            <w:pPr>
              <w:keepNext/>
              <w:keepLines/>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4DC84DDC"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346.7</w:t>
            </w:r>
          </w:p>
        </w:tc>
        <w:tc>
          <w:tcPr>
            <w:tcW w:w="1728" w:type="dxa"/>
            <w:vAlign w:val="center"/>
          </w:tcPr>
          <w:p w14:paraId="185FC5AB"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243.4</w:t>
            </w:r>
          </w:p>
        </w:tc>
      </w:tr>
      <w:tr w:rsidR="00933919" w:rsidRPr="002914D8" w14:paraId="377BC6CF" w14:textId="77777777" w:rsidTr="00183A50">
        <w:trPr>
          <w:cantSplit/>
          <w:trHeight w:val="20"/>
        </w:trPr>
        <w:tc>
          <w:tcPr>
            <w:tcW w:w="1098" w:type="dxa"/>
            <w:shd w:val="clear" w:color="auto" w:fill="auto"/>
            <w:noWrap/>
            <w:vAlign w:val="center"/>
          </w:tcPr>
          <w:p w14:paraId="7D859669" w14:textId="77777777" w:rsidR="00933919" w:rsidRPr="00183A50" w:rsidRDefault="00933919" w:rsidP="00183A50">
            <w:pPr>
              <w:keepNext/>
              <w:keepLines/>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CZ03</w:t>
            </w:r>
          </w:p>
        </w:tc>
        <w:tc>
          <w:tcPr>
            <w:tcW w:w="1008" w:type="dxa"/>
            <w:shd w:val="clear" w:color="auto" w:fill="auto"/>
            <w:noWrap/>
            <w:vAlign w:val="center"/>
          </w:tcPr>
          <w:p w14:paraId="08E83BA0" w14:textId="36463744" w:rsidR="00933919" w:rsidRPr="00183A50" w:rsidRDefault="00933919" w:rsidP="00183A50">
            <w:pPr>
              <w:keepNext/>
              <w:keepLines/>
              <w:spacing w:before="0" w:after="0" w:line="240" w:lineRule="auto"/>
              <w:jc w:val="center"/>
              <w:rPr>
                <w:rFonts w:eastAsia="Gulim" w:cs="Calibri Light"/>
                <w:caps/>
                <w:sz w:val="20"/>
                <w:szCs w:val="20"/>
                <w:lang w:eastAsia="ko-KR"/>
              </w:rPr>
            </w:pPr>
            <w:r w:rsidRPr="00183A50">
              <w:rPr>
                <w:rFonts w:eastAsia="Gulim" w:cs="Calibri Light"/>
                <w:sz w:val="20"/>
                <w:szCs w:val="20"/>
                <w:lang w:eastAsia="ko-KR"/>
              </w:rPr>
              <w:t>38</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04417CE" w14:textId="77777777" w:rsidR="00933919" w:rsidRPr="00183A50" w:rsidRDefault="00933919" w:rsidP="00183A50">
            <w:pPr>
              <w:keepNext/>
              <w:keepLines/>
              <w:spacing w:before="0" w:after="0" w:line="240" w:lineRule="auto"/>
              <w:jc w:val="right"/>
              <w:rPr>
                <w:rFonts w:cs="Calibri Light"/>
                <w:sz w:val="20"/>
                <w:szCs w:val="20"/>
              </w:rPr>
            </w:pPr>
            <w:r w:rsidRPr="00183A50">
              <w:rPr>
                <w:rFonts w:cs="Calibri Light"/>
                <w:sz w:val="20"/>
                <w:szCs w:val="20"/>
              </w:rPr>
              <w:t>3,008</w:t>
            </w:r>
          </w:p>
        </w:tc>
        <w:tc>
          <w:tcPr>
            <w:tcW w:w="1152" w:type="dxa"/>
            <w:shd w:val="clear" w:color="auto" w:fill="auto"/>
            <w:noWrap/>
            <w:vAlign w:val="center"/>
          </w:tcPr>
          <w:p w14:paraId="5F5219E4" w14:textId="77777777" w:rsidR="00933919" w:rsidRPr="00183A50" w:rsidRDefault="00933919" w:rsidP="00183A50">
            <w:pPr>
              <w:keepNext/>
              <w:keepLines/>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6BB83AC8"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292.8</w:t>
            </w:r>
          </w:p>
        </w:tc>
        <w:tc>
          <w:tcPr>
            <w:tcW w:w="1728" w:type="dxa"/>
            <w:vAlign w:val="center"/>
          </w:tcPr>
          <w:p w14:paraId="15B40DA2"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243.5</w:t>
            </w:r>
          </w:p>
        </w:tc>
      </w:tr>
      <w:tr w:rsidR="00933919" w:rsidRPr="002914D8" w14:paraId="6D586F4D" w14:textId="77777777" w:rsidTr="00183A50">
        <w:trPr>
          <w:cantSplit/>
          <w:trHeight w:val="20"/>
        </w:trPr>
        <w:tc>
          <w:tcPr>
            <w:tcW w:w="1098" w:type="dxa"/>
            <w:shd w:val="clear" w:color="auto" w:fill="auto"/>
            <w:noWrap/>
            <w:vAlign w:val="center"/>
          </w:tcPr>
          <w:p w14:paraId="2286CD91"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CZ04</w:t>
            </w:r>
          </w:p>
        </w:tc>
        <w:tc>
          <w:tcPr>
            <w:tcW w:w="1008" w:type="dxa"/>
            <w:shd w:val="clear" w:color="auto" w:fill="auto"/>
            <w:noWrap/>
            <w:vAlign w:val="center"/>
          </w:tcPr>
          <w:p w14:paraId="2888E967" w14:textId="3EC2ECD1"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34</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276ED0F6"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2,582</w:t>
            </w:r>
          </w:p>
        </w:tc>
        <w:tc>
          <w:tcPr>
            <w:tcW w:w="1152" w:type="dxa"/>
            <w:shd w:val="clear" w:color="auto" w:fill="auto"/>
            <w:noWrap/>
            <w:vAlign w:val="center"/>
          </w:tcPr>
          <w:p w14:paraId="61533E37"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1.0%</w:t>
            </w:r>
          </w:p>
        </w:tc>
        <w:tc>
          <w:tcPr>
            <w:tcW w:w="1728" w:type="dxa"/>
            <w:shd w:val="clear" w:color="auto" w:fill="auto"/>
            <w:noWrap/>
            <w:vAlign w:val="center"/>
          </w:tcPr>
          <w:p w14:paraId="51869D72"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277.5</w:t>
            </w:r>
          </w:p>
        </w:tc>
        <w:tc>
          <w:tcPr>
            <w:tcW w:w="1728" w:type="dxa"/>
            <w:vAlign w:val="center"/>
          </w:tcPr>
          <w:p w14:paraId="3452F39C"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209.0</w:t>
            </w:r>
          </w:p>
        </w:tc>
      </w:tr>
      <w:tr w:rsidR="00933919" w:rsidRPr="002914D8" w14:paraId="6DD0301C" w14:textId="77777777" w:rsidTr="00183A50">
        <w:trPr>
          <w:cantSplit/>
          <w:trHeight w:val="20"/>
        </w:trPr>
        <w:tc>
          <w:tcPr>
            <w:tcW w:w="1098" w:type="dxa"/>
            <w:shd w:val="clear" w:color="auto" w:fill="auto"/>
            <w:noWrap/>
            <w:vAlign w:val="center"/>
          </w:tcPr>
          <w:p w14:paraId="74B2CFAF"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CZ05</w:t>
            </w:r>
          </w:p>
        </w:tc>
        <w:tc>
          <w:tcPr>
            <w:tcW w:w="1008" w:type="dxa"/>
            <w:shd w:val="clear" w:color="auto" w:fill="auto"/>
            <w:noWrap/>
            <w:vAlign w:val="center"/>
          </w:tcPr>
          <w:p w14:paraId="0AD67060" w14:textId="5703E1D8"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35</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FA1D9D5"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3,123</w:t>
            </w:r>
          </w:p>
        </w:tc>
        <w:tc>
          <w:tcPr>
            <w:tcW w:w="1152" w:type="dxa"/>
            <w:shd w:val="clear" w:color="auto" w:fill="auto"/>
            <w:noWrap/>
            <w:vAlign w:val="center"/>
          </w:tcPr>
          <w:p w14:paraId="5F2E9ABE"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2.4%</w:t>
            </w:r>
          </w:p>
        </w:tc>
        <w:tc>
          <w:tcPr>
            <w:tcW w:w="1728" w:type="dxa"/>
            <w:shd w:val="clear" w:color="auto" w:fill="auto"/>
            <w:noWrap/>
            <w:vAlign w:val="center"/>
          </w:tcPr>
          <w:p w14:paraId="19F3471D"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330.8</w:t>
            </w:r>
          </w:p>
        </w:tc>
        <w:tc>
          <w:tcPr>
            <w:tcW w:w="1728" w:type="dxa"/>
            <w:vAlign w:val="center"/>
          </w:tcPr>
          <w:p w14:paraId="24FBE014"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252.8</w:t>
            </w:r>
          </w:p>
        </w:tc>
      </w:tr>
      <w:tr w:rsidR="00933919" w:rsidRPr="002914D8" w14:paraId="4DDE128D" w14:textId="77777777" w:rsidTr="00183A50">
        <w:trPr>
          <w:cantSplit/>
          <w:trHeight w:val="20"/>
        </w:trPr>
        <w:tc>
          <w:tcPr>
            <w:tcW w:w="1098" w:type="dxa"/>
            <w:shd w:val="clear" w:color="auto" w:fill="auto"/>
            <w:noWrap/>
            <w:vAlign w:val="center"/>
          </w:tcPr>
          <w:p w14:paraId="66D2A1FF"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CZ06</w:t>
            </w:r>
          </w:p>
        </w:tc>
        <w:tc>
          <w:tcPr>
            <w:tcW w:w="1008" w:type="dxa"/>
            <w:shd w:val="clear" w:color="auto" w:fill="auto"/>
            <w:noWrap/>
            <w:vAlign w:val="center"/>
          </w:tcPr>
          <w:p w14:paraId="399DAF58" w14:textId="4AFC0617"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43</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715C9889"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1,675</w:t>
            </w:r>
          </w:p>
        </w:tc>
        <w:tc>
          <w:tcPr>
            <w:tcW w:w="1152" w:type="dxa"/>
            <w:shd w:val="clear" w:color="auto" w:fill="auto"/>
            <w:noWrap/>
            <w:vAlign w:val="center"/>
          </w:tcPr>
          <w:p w14:paraId="0854AA3F"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15.2%</w:t>
            </w:r>
          </w:p>
        </w:tc>
        <w:tc>
          <w:tcPr>
            <w:tcW w:w="1728" w:type="dxa"/>
            <w:shd w:val="clear" w:color="auto" w:fill="auto"/>
            <w:noWrap/>
            <w:vAlign w:val="center"/>
          </w:tcPr>
          <w:p w14:paraId="3313EAB6"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153.4</w:t>
            </w:r>
          </w:p>
        </w:tc>
        <w:tc>
          <w:tcPr>
            <w:tcW w:w="1728" w:type="dxa"/>
            <w:vAlign w:val="center"/>
          </w:tcPr>
          <w:p w14:paraId="1E2007F5"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135.6</w:t>
            </w:r>
          </w:p>
        </w:tc>
      </w:tr>
      <w:tr w:rsidR="00933919" w:rsidRPr="002914D8" w14:paraId="7028671F" w14:textId="77777777" w:rsidTr="00183A50">
        <w:trPr>
          <w:cantSplit/>
          <w:trHeight w:val="20"/>
        </w:trPr>
        <w:tc>
          <w:tcPr>
            <w:tcW w:w="1098" w:type="dxa"/>
            <w:shd w:val="clear" w:color="auto" w:fill="auto"/>
            <w:noWrap/>
            <w:vAlign w:val="center"/>
          </w:tcPr>
          <w:p w14:paraId="5B7A8F2D"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CZ07</w:t>
            </w:r>
          </w:p>
        </w:tc>
        <w:tc>
          <w:tcPr>
            <w:tcW w:w="1008" w:type="dxa"/>
            <w:shd w:val="clear" w:color="auto" w:fill="auto"/>
            <w:noWrap/>
            <w:vAlign w:val="center"/>
          </w:tcPr>
          <w:p w14:paraId="07D39707" w14:textId="41828C67"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42</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B55ADAD"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1,376</w:t>
            </w:r>
          </w:p>
        </w:tc>
        <w:tc>
          <w:tcPr>
            <w:tcW w:w="1152" w:type="dxa"/>
            <w:shd w:val="clear" w:color="auto" w:fill="auto"/>
            <w:noWrap/>
            <w:vAlign w:val="center"/>
          </w:tcPr>
          <w:p w14:paraId="00F4A04A"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0.5%</w:t>
            </w:r>
          </w:p>
        </w:tc>
        <w:tc>
          <w:tcPr>
            <w:tcW w:w="1728" w:type="dxa"/>
            <w:shd w:val="clear" w:color="auto" w:fill="auto"/>
            <w:noWrap/>
            <w:vAlign w:val="center"/>
          </w:tcPr>
          <w:p w14:paraId="43B5F393"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73.1</w:t>
            </w:r>
          </w:p>
        </w:tc>
        <w:tc>
          <w:tcPr>
            <w:tcW w:w="1728" w:type="dxa"/>
            <w:vAlign w:val="center"/>
          </w:tcPr>
          <w:p w14:paraId="364E2D30"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111.4</w:t>
            </w:r>
          </w:p>
        </w:tc>
      </w:tr>
      <w:tr w:rsidR="00933919" w:rsidRPr="002914D8" w14:paraId="2B05FB4F" w14:textId="77777777" w:rsidTr="00183A50">
        <w:trPr>
          <w:cantSplit/>
          <w:trHeight w:val="20"/>
        </w:trPr>
        <w:tc>
          <w:tcPr>
            <w:tcW w:w="1098" w:type="dxa"/>
            <w:shd w:val="clear" w:color="auto" w:fill="auto"/>
            <w:noWrap/>
            <w:vAlign w:val="center"/>
          </w:tcPr>
          <w:p w14:paraId="5909048D"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lastRenderedPageBreak/>
              <w:t>CZ08</w:t>
            </w:r>
          </w:p>
        </w:tc>
        <w:tc>
          <w:tcPr>
            <w:tcW w:w="1008" w:type="dxa"/>
            <w:shd w:val="clear" w:color="auto" w:fill="auto"/>
            <w:noWrap/>
            <w:vAlign w:val="center"/>
          </w:tcPr>
          <w:p w14:paraId="4A006B77" w14:textId="48512269"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39</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0D2790B2"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1,340</w:t>
            </w:r>
          </w:p>
        </w:tc>
        <w:tc>
          <w:tcPr>
            <w:tcW w:w="1152" w:type="dxa"/>
            <w:shd w:val="clear" w:color="auto" w:fill="auto"/>
            <w:noWrap/>
            <w:vAlign w:val="center"/>
          </w:tcPr>
          <w:p w14:paraId="41E6B5AF"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22.1%</w:t>
            </w:r>
          </w:p>
        </w:tc>
        <w:tc>
          <w:tcPr>
            <w:tcW w:w="1728" w:type="dxa"/>
            <w:shd w:val="clear" w:color="auto" w:fill="auto"/>
            <w:noWrap/>
            <w:vAlign w:val="center"/>
          </w:tcPr>
          <w:p w14:paraId="4AD4DD2E"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114.1</w:t>
            </w:r>
          </w:p>
        </w:tc>
        <w:tc>
          <w:tcPr>
            <w:tcW w:w="1728" w:type="dxa"/>
            <w:vAlign w:val="center"/>
          </w:tcPr>
          <w:p w14:paraId="6336090C"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108.5</w:t>
            </w:r>
          </w:p>
        </w:tc>
      </w:tr>
      <w:tr w:rsidR="00933919" w:rsidRPr="002914D8" w14:paraId="03AE4FEE" w14:textId="77777777" w:rsidTr="00183A50">
        <w:trPr>
          <w:cantSplit/>
          <w:trHeight w:val="20"/>
        </w:trPr>
        <w:tc>
          <w:tcPr>
            <w:tcW w:w="1098" w:type="dxa"/>
            <w:shd w:val="clear" w:color="auto" w:fill="auto"/>
            <w:noWrap/>
            <w:vAlign w:val="center"/>
          </w:tcPr>
          <w:p w14:paraId="1F86D965" w14:textId="77777777" w:rsidR="00933919" w:rsidRPr="00183A50" w:rsidRDefault="00933919" w:rsidP="00183A50">
            <w:pPr>
              <w:spacing w:before="0" w:after="0" w:line="240" w:lineRule="auto"/>
              <w:ind w:firstLineChars="100" w:firstLine="200"/>
              <w:rPr>
                <w:rFonts w:eastAsia="Gulim" w:cs="Calibri Light"/>
                <w:caps/>
                <w:sz w:val="20"/>
                <w:szCs w:val="20"/>
                <w:lang w:eastAsia="ko-KR"/>
              </w:rPr>
            </w:pPr>
            <w:r w:rsidRPr="00183A50">
              <w:rPr>
                <w:rFonts w:eastAsia="Gulim" w:cs="Calibri Light"/>
                <w:sz w:val="20"/>
                <w:szCs w:val="20"/>
                <w:lang w:eastAsia="ko-KR"/>
              </w:rPr>
              <w:t>CZ09</w:t>
            </w:r>
          </w:p>
        </w:tc>
        <w:tc>
          <w:tcPr>
            <w:tcW w:w="1008" w:type="dxa"/>
            <w:shd w:val="clear" w:color="auto" w:fill="auto"/>
            <w:noWrap/>
            <w:vAlign w:val="center"/>
          </w:tcPr>
          <w:p w14:paraId="134ECD6A" w14:textId="6BA1EB8F" w:rsidR="00933919" w:rsidRPr="00183A50" w:rsidRDefault="00933919" w:rsidP="00183A50">
            <w:pPr>
              <w:spacing w:before="0" w:after="0" w:line="240" w:lineRule="auto"/>
              <w:jc w:val="center"/>
              <w:rPr>
                <w:rFonts w:eastAsia="Gulim" w:cs="Calibri Light"/>
                <w:caps/>
                <w:sz w:val="20"/>
                <w:szCs w:val="20"/>
                <w:lang w:eastAsia="ko-KR"/>
              </w:rPr>
            </w:pPr>
            <w:r w:rsidRPr="00183A50">
              <w:rPr>
                <w:rFonts w:eastAsia="Gulim" w:cs="Calibri Light"/>
                <w:sz w:val="20"/>
                <w:szCs w:val="20"/>
                <w:lang w:eastAsia="ko-KR"/>
              </w:rPr>
              <w:t>40</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12B0731"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1,669</w:t>
            </w:r>
          </w:p>
        </w:tc>
        <w:tc>
          <w:tcPr>
            <w:tcW w:w="1152" w:type="dxa"/>
            <w:shd w:val="clear" w:color="auto" w:fill="auto"/>
            <w:noWrap/>
            <w:vAlign w:val="center"/>
          </w:tcPr>
          <w:p w14:paraId="7ABFB8AA" w14:textId="77777777" w:rsidR="00933919" w:rsidRPr="00183A50" w:rsidRDefault="00933919" w:rsidP="00183A50">
            <w:pPr>
              <w:spacing w:before="0" w:after="0" w:line="240" w:lineRule="auto"/>
              <w:jc w:val="right"/>
              <w:rPr>
                <w:rFonts w:eastAsia="Gulim" w:cs="Calibri Light"/>
                <w:caps/>
                <w:sz w:val="20"/>
                <w:szCs w:val="20"/>
                <w:lang w:eastAsia="ko-KR"/>
              </w:rPr>
            </w:pPr>
            <w:r w:rsidRPr="00183A50">
              <w:rPr>
                <w:rFonts w:eastAsia="Gulim" w:cs="Calibri Light"/>
                <w:sz w:val="20"/>
                <w:szCs w:val="20"/>
                <w:lang w:eastAsia="ko-KR"/>
              </w:rPr>
              <w:t>27.8%</w:t>
            </w:r>
          </w:p>
        </w:tc>
        <w:tc>
          <w:tcPr>
            <w:tcW w:w="1728" w:type="dxa"/>
            <w:shd w:val="clear" w:color="auto" w:fill="auto"/>
            <w:noWrap/>
            <w:vAlign w:val="center"/>
          </w:tcPr>
          <w:p w14:paraId="281C581B"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159.5</w:t>
            </w:r>
          </w:p>
        </w:tc>
        <w:tc>
          <w:tcPr>
            <w:tcW w:w="1728" w:type="dxa"/>
            <w:vAlign w:val="center"/>
          </w:tcPr>
          <w:p w14:paraId="626CD182"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135.1</w:t>
            </w:r>
          </w:p>
        </w:tc>
      </w:tr>
      <w:tr w:rsidR="00933919" w:rsidRPr="002914D8" w14:paraId="6D75AE71" w14:textId="77777777" w:rsidTr="00183A50">
        <w:trPr>
          <w:cantSplit/>
          <w:trHeight w:val="20"/>
        </w:trPr>
        <w:tc>
          <w:tcPr>
            <w:tcW w:w="1098" w:type="dxa"/>
            <w:shd w:val="clear" w:color="auto" w:fill="auto"/>
            <w:noWrap/>
            <w:vAlign w:val="center"/>
          </w:tcPr>
          <w:p w14:paraId="513D1FEC"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CZ10</w:t>
            </w:r>
          </w:p>
        </w:tc>
        <w:tc>
          <w:tcPr>
            <w:tcW w:w="1008" w:type="dxa"/>
            <w:shd w:val="clear" w:color="auto" w:fill="auto"/>
            <w:noWrap/>
            <w:vAlign w:val="center"/>
          </w:tcPr>
          <w:p w14:paraId="30FE7EFF" w14:textId="3DD6CFD9"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35</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2E5AC372"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1,784</w:t>
            </w:r>
          </w:p>
        </w:tc>
        <w:tc>
          <w:tcPr>
            <w:tcW w:w="1152" w:type="dxa"/>
            <w:shd w:val="clear" w:color="auto" w:fill="auto"/>
            <w:noWrap/>
            <w:vAlign w:val="center"/>
          </w:tcPr>
          <w:p w14:paraId="6B08B8D7"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12.5%</w:t>
            </w:r>
          </w:p>
        </w:tc>
        <w:tc>
          <w:tcPr>
            <w:tcW w:w="1728" w:type="dxa"/>
            <w:shd w:val="clear" w:color="auto" w:fill="auto"/>
            <w:noWrap/>
            <w:vAlign w:val="center"/>
          </w:tcPr>
          <w:p w14:paraId="48A7F46F"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185.6</w:t>
            </w:r>
          </w:p>
        </w:tc>
        <w:tc>
          <w:tcPr>
            <w:tcW w:w="1728" w:type="dxa"/>
            <w:vAlign w:val="center"/>
          </w:tcPr>
          <w:p w14:paraId="6E59288D"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144.5</w:t>
            </w:r>
          </w:p>
        </w:tc>
      </w:tr>
      <w:tr w:rsidR="00933919" w:rsidRPr="002914D8" w14:paraId="3309BB7D" w14:textId="77777777" w:rsidTr="00183A50">
        <w:trPr>
          <w:cantSplit/>
          <w:trHeight w:val="20"/>
        </w:trPr>
        <w:tc>
          <w:tcPr>
            <w:tcW w:w="1098" w:type="dxa"/>
            <w:shd w:val="clear" w:color="auto" w:fill="auto"/>
            <w:noWrap/>
            <w:vAlign w:val="center"/>
          </w:tcPr>
          <w:p w14:paraId="56B223C1"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CZ11</w:t>
            </w:r>
          </w:p>
        </w:tc>
        <w:tc>
          <w:tcPr>
            <w:tcW w:w="1008" w:type="dxa"/>
            <w:shd w:val="clear" w:color="auto" w:fill="auto"/>
            <w:noWrap/>
            <w:vAlign w:val="center"/>
          </w:tcPr>
          <w:p w14:paraId="0B1282F3" w14:textId="74F09E42"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32</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603663F7"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2,736</w:t>
            </w:r>
          </w:p>
        </w:tc>
        <w:tc>
          <w:tcPr>
            <w:tcW w:w="1152" w:type="dxa"/>
            <w:shd w:val="clear" w:color="auto" w:fill="auto"/>
            <w:noWrap/>
            <w:vAlign w:val="center"/>
          </w:tcPr>
          <w:p w14:paraId="21A5E3B5"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741D5C96"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334.3</w:t>
            </w:r>
          </w:p>
        </w:tc>
        <w:tc>
          <w:tcPr>
            <w:tcW w:w="1728" w:type="dxa"/>
            <w:vAlign w:val="center"/>
          </w:tcPr>
          <w:p w14:paraId="2575CB6C"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221.5</w:t>
            </w:r>
          </w:p>
        </w:tc>
      </w:tr>
      <w:tr w:rsidR="00933919" w:rsidRPr="002914D8" w14:paraId="60B1F8E2" w14:textId="77777777" w:rsidTr="00183A50">
        <w:trPr>
          <w:cantSplit/>
          <w:trHeight w:val="20"/>
        </w:trPr>
        <w:tc>
          <w:tcPr>
            <w:tcW w:w="1098" w:type="dxa"/>
            <w:shd w:val="clear" w:color="auto" w:fill="auto"/>
            <w:noWrap/>
            <w:vAlign w:val="center"/>
          </w:tcPr>
          <w:p w14:paraId="176A684E"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CZ12</w:t>
            </w:r>
          </w:p>
        </w:tc>
        <w:tc>
          <w:tcPr>
            <w:tcW w:w="1008" w:type="dxa"/>
            <w:shd w:val="clear" w:color="auto" w:fill="auto"/>
            <w:noWrap/>
            <w:vAlign w:val="center"/>
          </w:tcPr>
          <w:p w14:paraId="68302D29" w14:textId="4DF42F6E"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33</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1B4159E9"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2,675</w:t>
            </w:r>
          </w:p>
        </w:tc>
        <w:tc>
          <w:tcPr>
            <w:tcW w:w="1152" w:type="dxa"/>
            <w:shd w:val="clear" w:color="auto" w:fill="auto"/>
            <w:noWrap/>
            <w:vAlign w:val="center"/>
          </w:tcPr>
          <w:p w14:paraId="3522F538"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19263A51"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321.2</w:t>
            </w:r>
          </w:p>
        </w:tc>
        <w:tc>
          <w:tcPr>
            <w:tcW w:w="1728" w:type="dxa"/>
            <w:vAlign w:val="center"/>
          </w:tcPr>
          <w:p w14:paraId="6A97E826"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216.6</w:t>
            </w:r>
          </w:p>
        </w:tc>
      </w:tr>
      <w:tr w:rsidR="00933919" w:rsidRPr="002914D8" w14:paraId="21C52BBA" w14:textId="77777777" w:rsidTr="00183A50">
        <w:trPr>
          <w:cantSplit/>
          <w:trHeight w:val="20"/>
        </w:trPr>
        <w:tc>
          <w:tcPr>
            <w:tcW w:w="1098" w:type="dxa"/>
            <w:shd w:val="clear" w:color="auto" w:fill="auto"/>
            <w:noWrap/>
            <w:vAlign w:val="center"/>
          </w:tcPr>
          <w:p w14:paraId="26A5D257"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CZ13</w:t>
            </w:r>
          </w:p>
        </w:tc>
        <w:tc>
          <w:tcPr>
            <w:tcW w:w="1008" w:type="dxa"/>
            <w:shd w:val="clear" w:color="auto" w:fill="auto"/>
            <w:noWrap/>
            <w:vAlign w:val="center"/>
          </w:tcPr>
          <w:p w14:paraId="42831E16" w14:textId="2BCC66B4"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34</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3B25FA99"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2,520</w:t>
            </w:r>
          </w:p>
        </w:tc>
        <w:tc>
          <w:tcPr>
            <w:tcW w:w="1152" w:type="dxa"/>
            <w:shd w:val="clear" w:color="auto" w:fill="auto"/>
            <w:noWrap/>
            <w:vAlign w:val="center"/>
          </w:tcPr>
          <w:p w14:paraId="3B0B99CC"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4.6%</w:t>
            </w:r>
          </w:p>
        </w:tc>
        <w:tc>
          <w:tcPr>
            <w:tcW w:w="1728" w:type="dxa"/>
            <w:shd w:val="clear" w:color="auto" w:fill="auto"/>
            <w:noWrap/>
            <w:vAlign w:val="center"/>
          </w:tcPr>
          <w:p w14:paraId="4717F542"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291.6</w:t>
            </w:r>
          </w:p>
        </w:tc>
        <w:tc>
          <w:tcPr>
            <w:tcW w:w="1728" w:type="dxa"/>
            <w:vAlign w:val="center"/>
          </w:tcPr>
          <w:p w14:paraId="7D28D01F"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204.1</w:t>
            </w:r>
          </w:p>
        </w:tc>
      </w:tr>
      <w:tr w:rsidR="00933919" w:rsidRPr="002914D8" w14:paraId="7EC90D19" w14:textId="77777777" w:rsidTr="00183A50">
        <w:trPr>
          <w:cantSplit/>
          <w:trHeight w:val="20"/>
        </w:trPr>
        <w:tc>
          <w:tcPr>
            <w:tcW w:w="1098" w:type="dxa"/>
            <w:shd w:val="clear" w:color="auto" w:fill="auto"/>
            <w:noWrap/>
            <w:vAlign w:val="center"/>
          </w:tcPr>
          <w:p w14:paraId="242B38CB"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CZ14</w:t>
            </w:r>
          </w:p>
        </w:tc>
        <w:tc>
          <w:tcPr>
            <w:tcW w:w="1008" w:type="dxa"/>
            <w:shd w:val="clear" w:color="auto" w:fill="auto"/>
            <w:noWrap/>
            <w:vAlign w:val="center"/>
          </w:tcPr>
          <w:p w14:paraId="292E7C65" w14:textId="5B8CD5C4"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26</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7766EE74"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2,997</w:t>
            </w:r>
          </w:p>
        </w:tc>
        <w:tc>
          <w:tcPr>
            <w:tcW w:w="1152" w:type="dxa"/>
            <w:shd w:val="clear" w:color="auto" w:fill="auto"/>
            <w:noWrap/>
            <w:vAlign w:val="center"/>
          </w:tcPr>
          <w:p w14:paraId="42D6C815"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4.2%</w:t>
            </w:r>
          </w:p>
        </w:tc>
        <w:tc>
          <w:tcPr>
            <w:tcW w:w="1728" w:type="dxa"/>
            <w:shd w:val="clear" w:color="auto" w:fill="auto"/>
            <w:noWrap/>
            <w:vAlign w:val="center"/>
          </w:tcPr>
          <w:p w14:paraId="44C6B5DB"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426.8</w:t>
            </w:r>
          </w:p>
        </w:tc>
        <w:tc>
          <w:tcPr>
            <w:tcW w:w="1728" w:type="dxa"/>
            <w:vAlign w:val="center"/>
          </w:tcPr>
          <w:p w14:paraId="163B5F70"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242.7</w:t>
            </w:r>
          </w:p>
        </w:tc>
      </w:tr>
      <w:tr w:rsidR="00933919" w:rsidRPr="002914D8" w14:paraId="1412E3CD" w14:textId="77777777" w:rsidTr="00183A50">
        <w:trPr>
          <w:cantSplit/>
          <w:trHeight w:val="20"/>
        </w:trPr>
        <w:tc>
          <w:tcPr>
            <w:tcW w:w="1098" w:type="dxa"/>
            <w:shd w:val="clear" w:color="auto" w:fill="auto"/>
            <w:noWrap/>
            <w:vAlign w:val="center"/>
          </w:tcPr>
          <w:p w14:paraId="020867E1"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CZ15</w:t>
            </w:r>
          </w:p>
        </w:tc>
        <w:tc>
          <w:tcPr>
            <w:tcW w:w="1008" w:type="dxa"/>
            <w:shd w:val="clear" w:color="auto" w:fill="auto"/>
            <w:noWrap/>
            <w:vAlign w:val="center"/>
          </w:tcPr>
          <w:p w14:paraId="1785D684" w14:textId="44F199E4"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37</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04834D24"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897</w:t>
            </w:r>
          </w:p>
        </w:tc>
        <w:tc>
          <w:tcPr>
            <w:tcW w:w="1152" w:type="dxa"/>
            <w:shd w:val="clear" w:color="auto" w:fill="auto"/>
            <w:noWrap/>
            <w:vAlign w:val="center"/>
          </w:tcPr>
          <w:p w14:paraId="3C3317A0"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2.2%</w:t>
            </w:r>
          </w:p>
        </w:tc>
        <w:tc>
          <w:tcPr>
            <w:tcW w:w="1728" w:type="dxa"/>
            <w:shd w:val="clear" w:color="auto" w:fill="auto"/>
            <w:noWrap/>
            <w:vAlign w:val="center"/>
          </w:tcPr>
          <w:p w14:paraId="0F1E1BC9"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102.6</w:t>
            </w:r>
          </w:p>
        </w:tc>
        <w:tc>
          <w:tcPr>
            <w:tcW w:w="1728" w:type="dxa"/>
            <w:vAlign w:val="center"/>
          </w:tcPr>
          <w:p w14:paraId="111CAC83"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72.6</w:t>
            </w:r>
          </w:p>
        </w:tc>
      </w:tr>
      <w:tr w:rsidR="00933919" w:rsidRPr="002914D8" w14:paraId="636711FB" w14:textId="77777777" w:rsidTr="00183A50">
        <w:trPr>
          <w:cantSplit/>
          <w:trHeight w:val="20"/>
        </w:trPr>
        <w:tc>
          <w:tcPr>
            <w:tcW w:w="1098" w:type="dxa"/>
            <w:shd w:val="clear" w:color="auto" w:fill="auto"/>
            <w:noWrap/>
            <w:vAlign w:val="center"/>
          </w:tcPr>
          <w:p w14:paraId="33B9EA84" w14:textId="77777777" w:rsidR="00933919" w:rsidRPr="00183A50" w:rsidRDefault="00933919" w:rsidP="00183A50">
            <w:pPr>
              <w:spacing w:before="0" w:after="0" w:line="240" w:lineRule="auto"/>
              <w:ind w:firstLineChars="100" w:firstLine="200"/>
              <w:rPr>
                <w:rFonts w:eastAsia="Gulim" w:cs="Calibri Light"/>
                <w:caps/>
                <w:sz w:val="20"/>
                <w:szCs w:val="20"/>
                <w:lang w:eastAsia="ko-KR"/>
              </w:rPr>
            </w:pPr>
            <w:r w:rsidRPr="00183A50">
              <w:rPr>
                <w:rFonts w:eastAsia="Gulim" w:cs="Calibri Light"/>
                <w:sz w:val="20"/>
                <w:szCs w:val="20"/>
                <w:lang w:eastAsia="ko-KR"/>
              </w:rPr>
              <w:t>CZ16</w:t>
            </w:r>
          </w:p>
        </w:tc>
        <w:tc>
          <w:tcPr>
            <w:tcW w:w="1008" w:type="dxa"/>
            <w:shd w:val="clear" w:color="auto" w:fill="auto"/>
            <w:noWrap/>
            <w:vAlign w:val="center"/>
          </w:tcPr>
          <w:p w14:paraId="7E66A8E2" w14:textId="03A9A9EE" w:rsidR="00933919" w:rsidRPr="00183A50" w:rsidRDefault="00933919" w:rsidP="00183A50">
            <w:pPr>
              <w:spacing w:before="0" w:after="0" w:line="240" w:lineRule="auto"/>
              <w:jc w:val="center"/>
              <w:rPr>
                <w:rFonts w:eastAsia="Gulim" w:cs="Calibri Light"/>
                <w:caps/>
                <w:sz w:val="20"/>
                <w:szCs w:val="20"/>
                <w:lang w:eastAsia="ko-KR"/>
              </w:rPr>
            </w:pPr>
            <w:r w:rsidRPr="00183A50">
              <w:rPr>
                <w:rFonts w:eastAsia="Gulim" w:cs="Calibri Light"/>
                <w:sz w:val="20"/>
                <w:szCs w:val="20"/>
                <w:lang w:eastAsia="ko-KR"/>
              </w:rPr>
              <w:t>20</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4369EBA0"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5,511</w:t>
            </w:r>
          </w:p>
        </w:tc>
        <w:tc>
          <w:tcPr>
            <w:tcW w:w="1152" w:type="dxa"/>
            <w:shd w:val="clear" w:color="auto" w:fill="auto"/>
            <w:noWrap/>
            <w:vAlign w:val="center"/>
          </w:tcPr>
          <w:p w14:paraId="518126FA" w14:textId="77777777" w:rsidR="00933919" w:rsidRPr="00183A50" w:rsidRDefault="00933919" w:rsidP="00183A50">
            <w:pPr>
              <w:spacing w:before="0" w:after="0" w:line="240" w:lineRule="auto"/>
              <w:jc w:val="right"/>
              <w:rPr>
                <w:rFonts w:eastAsia="Gulim" w:cs="Calibri Light"/>
                <w:caps/>
                <w:sz w:val="20"/>
                <w:szCs w:val="20"/>
                <w:lang w:eastAsia="ko-KR"/>
              </w:rPr>
            </w:pPr>
            <w:r w:rsidRPr="00183A50">
              <w:rPr>
                <w:rFonts w:eastAsia="Gulim" w:cs="Calibri Light"/>
                <w:sz w:val="20"/>
                <w:szCs w:val="20"/>
                <w:lang w:eastAsia="ko-KR"/>
              </w:rPr>
              <w:t>7.4%</w:t>
            </w:r>
          </w:p>
        </w:tc>
        <w:tc>
          <w:tcPr>
            <w:tcW w:w="1728" w:type="dxa"/>
            <w:shd w:val="clear" w:color="auto" w:fill="auto"/>
            <w:noWrap/>
            <w:vAlign w:val="center"/>
          </w:tcPr>
          <w:p w14:paraId="62C11418"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604.3</w:t>
            </w:r>
          </w:p>
        </w:tc>
        <w:tc>
          <w:tcPr>
            <w:tcW w:w="1728" w:type="dxa"/>
            <w:vAlign w:val="center"/>
          </w:tcPr>
          <w:p w14:paraId="242CBD4E"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446.2</w:t>
            </w:r>
          </w:p>
        </w:tc>
      </w:tr>
      <w:tr w:rsidR="00933919" w:rsidRPr="00183A50" w14:paraId="4192062A" w14:textId="77777777" w:rsidTr="00183A50">
        <w:trPr>
          <w:cantSplit/>
          <w:trHeight w:val="20"/>
        </w:trPr>
        <w:tc>
          <w:tcPr>
            <w:tcW w:w="1098" w:type="dxa"/>
            <w:shd w:val="clear" w:color="auto" w:fill="F2F2F2" w:themeFill="background1" w:themeFillShade="F2"/>
            <w:noWrap/>
            <w:vAlign w:val="center"/>
          </w:tcPr>
          <w:p w14:paraId="0429B051" w14:textId="77777777" w:rsidR="00933919" w:rsidRPr="00183A50" w:rsidRDefault="00933919" w:rsidP="00183A50">
            <w:pPr>
              <w:spacing w:before="0" w:after="0" w:line="240" w:lineRule="auto"/>
              <w:rPr>
                <w:rFonts w:eastAsia="Gulim" w:cs="Calibri Light"/>
                <w:b/>
                <w:bCs/>
                <w:sz w:val="20"/>
                <w:szCs w:val="20"/>
                <w:lang w:eastAsia="ko-KR"/>
              </w:rPr>
            </w:pPr>
            <w:r w:rsidRPr="00183A50">
              <w:rPr>
                <w:rFonts w:eastAsia="Gulim" w:cs="Calibri Light"/>
                <w:b/>
                <w:bCs/>
                <w:sz w:val="20"/>
                <w:szCs w:val="20"/>
                <w:lang w:eastAsia="ko-KR"/>
              </w:rPr>
              <w:t>Weighted Average</w:t>
            </w:r>
          </w:p>
        </w:tc>
        <w:tc>
          <w:tcPr>
            <w:tcW w:w="1008" w:type="dxa"/>
            <w:shd w:val="clear" w:color="auto" w:fill="F2F2F2" w:themeFill="background1" w:themeFillShade="F2"/>
            <w:noWrap/>
            <w:vAlign w:val="center"/>
          </w:tcPr>
          <w:p w14:paraId="4E5DB6A4" w14:textId="1EE8CABB" w:rsidR="00933919" w:rsidRPr="00183A50" w:rsidRDefault="00933919" w:rsidP="00183A50">
            <w:pPr>
              <w:spacing w:before="0" w:after="0" w:line="240" w:lineRule="auto"/>
              <w:jc w:val="center"/>
              <w:rPr>
                <w:rFonts w:eastAsia="Gulim" w:cs="Calibri Light"/>
                <w:b/>
                <w:bCs/>
                <w:sz w:val="20"/>
                <w:szCs w:val="20"/>
                <w:lang w:eastAsia="ko-KR"/>
              </w:rPr>
            </w:pPr>
            <w:r w:rsidRPr="00183A50">
              <w:rPr>
                <w:rFonts w:eastAsia="Gulim" w:cs="Calibri Light"/>
                <w:b/>
                <w:bCs/>
                <w:sz w:val="20"/>
                <w:szCs w:val="20"/>
                <w:lang w:eastAsia="ko-KR"/>
              </w:rPr>
              <w:t>35</w:t>
            </w:r>
            <w:r w:rsidR="00183A50" w:rsidRPr="00183A50">
              <w:rPr>
                <w:rFonts w:eastAsia="Gulim" w:cs="Calibri Light"/>
                <w:b/>
                <w:bCs/>
                <w:sz w:val="20"/>
                <w:szCs w:val="20"/>
                <w:lang w:eastAsia="ko-KR"/>
              </w:rPr>
              <w:t xml:space="preserve"> </w:t>
            </w:r>
            <w:r w:rsidRPr="00183A50">
              <w:rPr>
                <w:rFonts w:eastAsia="Gulim" w:cs="Calibri Light"/>
                <w:b/>
                <w:bCs/>
                <w:sz w:val="20"/>
                <w:szCs w:val="20"/>
                <w:lang w:eastAsia="ko-KR"/>
              </w:rPr>
              <w:t>°F</w:t>
            </w:r>
          </w:p>
        </w:tc>
        <w:tc>
          <w:tcPr>
            <w:tcW w:w="1008" w:type="dxa"/>
            <w:shd w:val="clear" w:color="auto" w:fill="F2F2F2" w:themeFill="background1" w:themeFillShade="F2"/>
            <w:noWrap/>
            <w:vAlign w:val="center"/>
          </w:tcPr>
          <w:p w14:paraId="7C3499A6" w14:textId="77777777" w:rsidR="00933919" w:rsidRPr="00183A50" w:rsidRDefault="00933919" w:rsidP="00183A50">
            <w:pPr>
              <w:spacing w:before="0" w:after="0" w:line="240" w:lineRule="auto"/>
              <w:jc w:val="right"/>
              <w:rPr>
                <w:rFonts w:eastAsia="Gulim" w:cs="Calibri Light"/>
                <w:b/>
                <w:bCs/>
                <w:sz w:val="20"/>
                <w:szCs w:val="20"/>
                <w:lang w:eastAsia="ko-KR"/>
              </w:rPr>
            </w:pPr>
            <w:r w:rsidRPr="00183A50">
              <w:rPr>
                <w:rFonts w:eastAsia="Gulim" w:cs="Calibri Light"/>
                <w:b/>
                <w:bCs/>
                <w:sz w:val="20"/>
                <w:szCs w:val="20"/>
                <w:lang w:eastAsia="ko-KR"/>
              </w:rPr>
              <w:t>2,394</w:t>
            </w:r>
          </w:p>
        </w:tc>
        <w:tc>
          <w:tcPr>
            <w:tcW w:w="1152" w:type="dxa"/>
            <w:shd w:val="clear" w:color="auto" w:fill="F2F2F2" w:themeFill="background1" w:themeFillShade="F2"/>
            <w:noWrap/>
            <w:vAlign w:val="center"/>
          </w:tcPr>
          <w:p w14:paraId="08F780FA" w14:textId="4136B734" w:rsidR="00933919" w:rsidRPr="00183A50" w:rsidRDefault="00933919" w:rsidP="00183A50">
            <w:pPr>
              <w:spacing w:before="0" w:after="0" w:line="240" w:lineRule="auto"/>
              <w:jc w:val="right"/>
              <w:rPr>
                <w:rFonts w:eastAsia="Gulim" w:cs="Calibri Light"/>
                <w:b/>
                <w:bCs/>
                <w:sz w:val="20"/>
                <w:szCs w:val="20"/>
                <w:lang w:eastAsia="ko-KR"/>
              </w:rPr>
            </w:pPr>
          </w:p>
        </w:tc>
        <w:tc>
          <w:tcPr>
            <w:tcW w:w="1728" w:type="dxa"/>
            <w:shd w:val="clear" w:color="auto" w:fill="F2F2F2" w:themeFill="background1" w:themeFillShade="F2"/>
            <w:noWrap/>
            <w:vAlign w:val="center"/>
          </w:tcPr>
          <w:p w14:paraId="1A1B9A1D" w14:textId="77777777" w:rsidR="00933919" w:rsidRPr="00183A50" w:rsidRDefault="00933919" w:rsidP="00183A50">
            <w:pPr>
              <w:spacing w:before="0" w:after="0" w:line="240" w:lineRule="auto"/>
              <w:ind w:right="445"/>
              <w:jc w:val="right"/>
              <w:rPr>
                <w:rFonts w:cs="Calibri Light"/>
                <w:b/>
                <w:sz w:val="20"/>
                <w:szCs w:val="20"/>
              </w:rPr>
            </w:pPr>
            <w:r w:rsidRPr="00183A50">
              <w:rPr>
                <w:rFonts w:cs="Calibri Light"/>
                <w:b/>
                <w:sz w:val="20"/>
                <w:szCs w:val="20"/>
              </w:rPr>
              <w:t>205.7</w:t>
            </w:r>
          </w:p>
        </w:tc>
        <w:tc>
          <w:tcPr>
            <w:tcW w:w="1728" w:type="dxa"/>
            <w:shd w:val="clear" w:color="auto" w:fill="F2F2F2" w:themeFill="background1" w:themeFillShade="F2"/>
            <w:vAlign w:val="center"/>
          </w:tcPr>
          <w:p w14:paraId="2FF41338" w14:textId="77777777" w:rsidR="00933919" w:rsidRPr="00183A50" w:rsidRDefault="00933919" w:rsidP="00183A50">
            <w:pPr>
              <w:spacing w:before="0" w:after="0" w:line="240" w:lineRule="auto"/>
              <w:ind w:right="445"/>
              <w:jc w:val="right"/>
              <w:rPr>
                <w:rFonts w:cs="Calibri Light"/>
                <w:b/>
                <w:sz w:val="20"/>
                <w:szCs w:val="20"/>
              </w:rPr>
            </w:pPr>
            <w:r w:rsidRPr="00183A50">
              <w:rPr>
                <w:rFonts w:cs="Calibri Light"/>
                <w:b/>
                <w:sz w:val="20"/>
                <w:szCs w:val="20"/>
              </w:rPr>
              <w:t>163.3</w:t>
            </w:r>
          </w:p>
        </w:tc>
      </w:tr>
    </w:tbl>
    <w:p w14:paraId="0A39330C" w14:textId="77777777" w:rsidR="00933919" w:rsidRPr="002914D8" w:rsidRDefault="00933919" w:rsidP="00B63315"/>
    <w:p w14:paraId="4F67F992" w14:textId="2AB7F614" w:rsidR="00933919" w:rsidRPr="002914D8" w:rsidRDefault="00933919" w:rsidP="007C664D">
      <w:pPr>
        <w:pStyle w:val="eTRMHeading4"/>
      </w:pPr>
      <w:r w:rsidRPr="002914D8">
        <w:t xml:space="preserve">Measure </w:t>
      </w:r>
      <w:r w:rsidR="000139EF">
        <w:t>Case E</w:t>
      </w:r>
      <w:r w:rsidRPr="002914D8">
        <w:t>fficienc</w:t>
      </w:r>
      <w:r w:rsidR="00780558">
        <w:t xml:space="preserve">y </w:t>
      </w:r>
    </w:p>
    <w:p w14:paraId="62DE484E" w14:textId="5A9A9BEA" w:rsidR="00933919" w:rsidRPr="002914D8" w:rsidRDefault="00933919" w:rsidP="007C664D">
      <w:r w:rsidRPr="002914D8">
        <w:t xml:space="preserve">The higher </w:t>
      </w:r>
      <w:r w:rsidR="008F6989">
        <w:t xml:space="preserve">measure case </w:t>
      </w:r>
      <w:r w:rsidRPr="002914D8">
        <w:t xml:space="preserve">efficiency </w:t>
      </w:r>
      <w:r w:rsidR="00EA09AF">
        <w:t>rating</w:t>
      </w:r>
      <w:r w:rsidRPr="002914D8">
        <w:t xml:space="preserve"> of wall furnace is </w:t>
      </w:r>
      <w:r w:rsidR="00EA09AF">
        <w:t>assumed to be</w:t>
      </w:r>
      <w:r w:rsidRPr="002914D8">
        <w:t xml:space="preserve"> 70% AFUE for </w:t>
      </w:r>
      <w:r w:rsidR="00243D9F">
        <w:t xml:space="preserve">a gravity </w:t>
      </w:r>
      <w:r w:rsidR="00243D9F" w:rsidRPr="002914D8">
        <w:t>wall furnace unit of all sizes</w:t>
      </w:r>
      <w:r w:rsidR="00517D3A">
        <w:t xml:space="preserve"> and </w:t>
      </w:r>
      <w:r w:rsidR="00672874">
        <w:t>82% AFUE for fan type wall furnaces unit of all sizes</w:t>
      </w:r>
      <w:r w:rsidRPr="002914D8">
        <w:t>.</w:t>
      </w:r>
      <w:r w:rsidR="00EA09AF">
        <w:t xml:space="preserve"> </w:t>
      </w:r>
      <w:r w:rsidR="000F7935">
        <w:t>The percentage of efficiency improvement represents the percent increase of AFUE of the measure case compared to the baseline. The gas usage was calculated in the same way as the baseline, using the higher AFUE of the measure case units.</w:t>
      </w:r>
    </w:p>
    <w:p w14:paraId="0488B241" w14:textId="2174130F" w:rsidR="00933919" w:rsidRPr="002914D8" w:rsidRDefault="00933919" w:rsidP="00251952">
      <w:pPr>
        <w:pStyle w:val="Caption"/>
        <w:rPr>
          <w:lang w:eastAsia="ko-KR"/>
        </w:rPr>
      </w:pPr>
      <w:bookmarkStart w:id="53" w:name="_Toc325381945"/>
      <w:r w:rsidRPr="002914D8">
        <w:rPr>
          <w:rFonts w:hint="eastAsia"/>
          <w:lang w:eastAsia="ko-KR"/>
        </w:rPr>
        <w:t>Efficiency Comparison</w:t>
      </w:r>
      <w:bookmarkEnd w:id="53"/>
      <w:r w:rsidR="00573A86">
        <w:rPr>
          <w:lang w:eastAsia="ko-KR"/>
        </w:rPr>
        <w:t xml:space="preserve"> for Gravity Wall Furnace</w:t>
      </w:r>
    </w:p>
    <w:tbl>
      <w:tblPr>
        <w:tblW w:w="685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99" w:type="dxa"/>
          <w:right w:w="99" w:type="dxa"/>
        </w:tblCellMar>
        <w:tblLook w:val="0000" w:firstRow="0" w:lastRow="0" w:firstColumn="0" w:lastColumn="0" w:noHBand="0" w:noVBand="0"/>
      </w:tblPr>
      <w:tblGrid>
        <w:gridCol w:w="2448"/>
        <w:gridCol w:w="1530"/>
        <w:gridCol w:w="1440"/>
        <w:gridCol w:w="1440"/>
      </w:tblGrid>
      <w:tr w:rsidR="00780558" w:rsidRPr="00780558" w14:paraId="2EA79BAA" w14:textId="77777777" w:rsidTr="00EA09AF">
        <w:trPr>
          <w:cantSplit/>
          <w:trHeight w:val="20"/>
        </w:trPr>
        <w:tc>
          <w:tcPr>
            <w:tcW w:w="2448" w:type="dxa"/>
            <w:vMerge w:val="restart"/>
            <w:shd w:val="clear" w:color="auto" w:fill="F2F2F2" w:themeFill="background1" w:themeFillShade="F2"/>
            <w:noWrap/>
            <w:vAlign w:val="center"/>
          </w:tcPr>
          <w:p w14:paraId="748E6699" w14:textId="77777777" w:rsidR="00780558" w:rsidRPr="00780558" w:rsidRDefault="00780558" w:rsidP="00251952">
            <w:pPr>
              <w:keepNext/>
              <w:keepLines/>
              <w:spacing w:before="0" w:after="0" w:line="240" w:lineRule="auto"/>
              <w:jc w:val="center"/>
              <w:rPr>
                <w:rFonts w:eastAsia="Gulim" w:cs="Arial"/>
                <w:b/>
                <w:bCs/>
                <w:sz w:val="20"/>
                <w:lang w:eastAsia="ko-KR"/>
              </w:rPr>
            </w:pPr>
          </w:p>
        </w:tc>
        <w:tc>
          <w:tcPr>
            <w:tcW w:w="4410" w:type="dxa"/>
            <w:gridSpan w:val="3"/>
            <w:shd w:val="clear" w:color="auto" w:fill="F2F2F2" w:themeFill="background1" w:themeFillShade="F2"/>
            <w:vAlign w:val="center"/>
          </w:tcPr>
          <w:p w14:paraId="7E7020CF" w14:textId="1A46B90C"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Furnace Capacity (Btu/</w:t>
            </w:r>
            <w:proofErr w:type="spellStart"/>
            <w:r w:rsidRPr="00780558">
              <w:rPr>
                <w:rFonts w:eastAsia="Gulim" w:cs="Arial"/>
                <w:b/>
                <w:bCs/>
                <w:sz w:val="20"/>
                <w:lang w:eastAsia="ko-KR"/>
              </w:rPr>
              <w:t>h</w:t>
            </w:r>
            <w:r w:rsidR="0051686B">
              <w:rPr>
                <w:rFonts w:eastAsia="Gulim" w:cs="Arial"/>
                <w:b/>
                <w:bCs/>
                <w:sz w:val="20"/>
                <w:lang w:eastAsia="ko-KR"/>
              </w:rPr>
              <w:t>r</w:t>
            </w:r>
            <w:proofErr w:type="spellEnd"/>
            <w:r w:rsidRPr="00780558">
              <w:rPr>
                <w:rFonts w:eastAsia="Gulim" w:cs="Arial"/>
                <w:b/>
                <w:bCs/>
                <w:sz w:val="20"/>
                <w:lang w:eastAsia="ko-KR"/>
              </w:rPr>
              <w:t>):</w:t>
            </w:r>
          </w:p>
        </w:tc>
      </w:tr>
      <w:tr w:rsidR="00780558" w:rsidRPr="00780558" w14:paraId="42BE3792" w14:textId="77777777" w:rsidTr="00EA09AF">
        <w:trPr>
          <w:cantSplit/>
          <w:trHeight w:val="20"/>
        </w:trPr>
        <w:tc>
          <w:tcPr>
            <w:tcW w:w="2448" w:type="dxa"/>
            <w:vMerge/>
            <w:shd w:val="clear" w:color="auto" w:fill="F2F2F2" w:themeFill="background1" w:themeFillShade="F2"/>
            <w:noWrap/>
            <w:vAlign w:val="center"/>
          </w:tcPr>
          <w:p w14:paraId="0B2B19E5" w14:textId="27AC8FD5" w:rsidR="00780558" w:rsidRPr="00780558" w:rsidRDefault="00780558" w:rsidP="00251952">
            <w:pPr>
              <w:keepNext/>
              <w:keepLines/>
              <w:spacing w:before="0" w:after="0" w:line="240" w:lineRule="auto"/>
              <w:jc w:val="center"/>
              <w:rPr>
                <w:rFonts w:eastAsia="Gulim" w:cs="Arial"/>
                <w:b/>
                <w:bCs/>
                <w:sz w:val="20"/>
                <w:lang w:eastAsia="ko-KR"/>
              </w:rPr>
            </w:pPr>
          </w:p>
        </w:tc>
        <w:tc>
          <w:tcPr>
            <w:tcW w:w="1530" w:type="dxa"/>
            <w:shd w:val="clear" w:color="auto" w:fill="F2F2F2" w:themeFill="background1" w:themeFillShade="F2"/>
            <w:vAlign w:val="center"/>
          </w:tcPr>
          <w:p w14:paraId="0F8D151A" w14:textId="77777777"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25,000</w:t>
            </w:r>
          </w:p>
        </w:tc>
        <w:tc>
          <w:tcPr>
            <w:tcW w:w="1440" w:type="dxa"/>
            <w:shd w:val="clear" w:color="auto" w:fill="F2F2F2" w:themeFill="background1" w:themeFillShade="F2"/>
            <w:vAlign w:val="center"/>
          </w:tcPr>
          <w:p w14:paraId="326F2EAF" w14:textId="77777777"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35,000</w:t>
            </w:r>
          </w:p>
        </w:tc>
        <w:tc>
          <w:tcPr>
            <w:tcW w:w="1440" w:type="dxa"/>
            <w:shd w:val="clear" w:color="auto" w:fill="F2F2F2" w:themeFill="background1" w:themeFillShade="F2"/>
            <w:vAlign w:val="center"/>
          </w:tcPr>
          <w:p w14:paraId="6E5EB7CD" w14:textId="77777777"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50,000</w:t>
            </w:r>
          </w:p>
        </w:tc>
      </w:tr>
      <w:tr w:rsidR="00933919" w:rsidRPr="00780558" w14:paraId="1D64268B" w14:textId="77777777" w:rsidTr="005622AF">
        <w:trPr>
          <w:cantSplit/>
          <w:trHeight w:val="20"/>
        </w:trPr>
        <w:tc>
          <w:tcPr>
            <w:tcW w:w="2448" w:type="dxa"/>
            <w:shd w:val="clear" w:color="auto" w:fill="auto"/>
            <w:noWrap/>
            <w:vAlign w:val="center"/>
          </w:tcPr>
          <w:p w14:paraId="1666BEDF" w14:textId="21BE1624" w:rsidR="00933919" w:rsidRPr="00780558" w:rsidRDefault="00933919" w:rsidP="00251952">
            <w:pPr>
              <w:keepNext/>
              <w:keepLines/>
              <w:spacing w:before="0" w:after="0" w:line="240" w:lineRule="auto"/>
              <w:rPr>
                <w:rFonts w:eastAsia="Gulim" w:cs="Arial"/>
                <w:b/>
                <w:bCs/>
                <w:sz w:val="20"/>
                <w:lang w:eastAsia="ko-KR"/>
              </w:rPr>
            </w:pPr>
            <w:r w:rsidRPr="00780558">
              <w:rPr>
                <w:rFonts w:eastAsia="Gulim" w:cs="Arial"/>
                <w:b/>
                <w:bCs/>
                <w:sz w:val="20"/>
                <w:lang w:eastAsia="ko-KR"/>
              </w:rPr>
              <w:t>Baseline AFUE</w:t>
            </w:r>
          </w:p>
        </w:tc>
        <w:tc>
          <w:tcPr>
            <w:tcW w:w="1530" w:type="dxa"/>
            <w:shd w:val="clear" w:color="auto" w:fill="auto"/>
            <w:noWrap/>
            <w:vAlign w:val="center"/>
          </w:tcPr>
          <w:p w14:paraId="7EB53AE3"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65.0%</w:t>
            </w:r>
          </w:p>
        </w:tc>
        <w:tc>
          <w:tcPr>
            <w:tcW w:w="1440" w:type="dxa"/>
            <w:shd w:val="clear" w:color="auto" w:fill="auto"/>
            <w:noWrap/>
            <w:vAlign w:val="center"/>
          </w:tcPr>
          <w:p w14:paraId="09A11A6B" w14:textId="74CBF083"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66.</w:t>
            </w:r>
            <w:r w:rsidR="005A738F">
              <w:rPr>
                <w:rFonts w:eastAsia="Gulim" w:cs="Arial"/>
                <w:sz w:val="20"/>
                <w:lang w:eastAsia="ko-KR"/>
              </w:rPr>
              <w:t>0</w:t>
            </w:r>
            <w:r w:rsidRPr="00780558">
              <w:rPr>
                <w:rFonts w:eastAsia="Gulim" w:cs="Arial"/>
                <w:sz w:val="20"/>
                <w:lang w:eastAsia="ko-KR"/>
              </w:rPr>
              <w:t>%</w:t>
            </w:r>
          </w:p>
        </w:tc>
        <w:tc>
          <w:tcPr>
            <w:tcW w:w="1440" w:type="dxa"/>
            <w:shd w:val="clear" w:color="auto" w:fill="auto"/>
            <w:noWrap/>
            <w:vAlign w:val="center"/>
          </w:tcPr>
          <w:p w14:paraId="047F2968" w14:textId="21F34DCE"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6</w:t>
            </w:r>
            <w:r w:rsidR="00F0217F">
              <w:rPr>
                <w:rFonts w:eastAsia="Gulim" w:cs="Arial"/>
                <w:sz w:val="20"/>
                <w:lang w:eastAsia="ko-KR"/>
              </w:rPr>
              <w:t>7</w:t>
            </w:r>
            <w:r w:rsidRPr="00780558">
              <w:rPr>
                <w:rFonts w:eastAsia="Gulim" w:cs="Arial"/>
                <w:sz w:val="20"/>
                <w:lang w:eastAsia="ko-KR"/>
              </w:rPr>
              <w:t>.</w:t>
            </w:r>
            <w:r w:rsidR="00F0217F">
              <w:rPr>
                <w:rFonts w:eastAsia="Gulim" w:cs="Arial"/>
                <w:sz w:val="20"/>
                <w:lang w:eastAsia="ko-KR"/>
              </w:rPr>
              <w:t>0</w:t>
            </w:r>
            <w:r w:rsidRPr="00780558">
              <w:rPr>
                <w:rFonts w:eastAsia="Gulim" w:cs="Arial"/>
                <w:sz w:val="20"/>
                <w:lang w:eastAsia="ko-KR"/>
              </w:rPr>
              <w:t>%</w:t>
            </w:r>
          </w:p>
        </w:tc>
      </w:tr>
      <w:tr w:rsidR="00933919" w:rsidRPr="00780558" w14:paraId="36CA54BE" w14:textId="77777777" w:rsidTr="005622AF">
        <w:trPr>
          <w:cantSplit/>
          <w:trHeight w:val="20"/>
        </w:trPr>
        <w:tc>
          <w:tcPr>
            <w:tcW w:w="2448" w:type="dxa"/>
            <w:shd w:val="clear" w:color="auto" w:fill="auto"/>
            <w:noWrap/>
            <w:vAlign w:val="center"/>
          </w:tcPr>
          <w:p w14:paraId="262758F9" w14:textId="14642924" w:rsidR="00933919" w:rsidRPr="00780558" w:rsidRDefault="00933919" w:rsidP="00251952">
            <w:pPr>
              <w:keepNext/>
              <w:keepLines/>
              <w:spacing w:before="0" w:after="0" w:line="240" w:lineRule="auto"/>
              <w:rPr>
                <w:rFonts w:eastAsia="Gulim" w:cs="Arial"/>
                <w:b/>
                <w:bCs/>
                <w:sz w:val="20"/>
                <w:lang w:eastAsia="ko-KR"/>
              </w:rPr>
            </w:pPr>
            <w:r w:rsidRPr="00780558">
              <w:rPr>
                <w:rFonts w:eastAsia="Gulim" w:cs="Arial"/>
                <w:b/>
                <w:bCs/>
                <w:sz w:val="20"/>
                <w:lang w:eastAsia="ko-KR"/>
              </w:rPr>
              <w:t>Measure AFUE</w:t>
            </w:r>
          </w:p>
        </w:tc>
        <w:tc>
          <w:tcPr>
            <w:tcW w:w="1530" w:type="dxa"/>
            <w:shd w:val="clear" w:color="auto" w:fill="auto"/>
            <w:noWrap/>
            <w:vAlign w:val="center"/>
          </w:tcPr>
          <w:p w14:paraId="4E8CFDF5"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70.0%</w:t>
            </w:r>
          </w:p>
        </w:tc>
        <w:tc>
          <w:tcPr>
            <w:tcW w:w="1440" w:type="dxa"/>
            <w:shd w:val="clear" w:color="auto" w:fill="auto"/>
            <w:noWrap/>
            <w:vAlign w:val="center"/>
          </w:tcPr>
          <w:p w14:paraId="11F76E02"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70.0%</w:t>
            </w:r>
          </w:p>
        </w:tc>
        <w:tc>
          <w:tcPr>
            <w:tcW w:w="1440" w:type="dxa"/>
            <w:shd w:val="clear" w:color="auto" w:fill="auto"/>
            <w:noWrap/>
            <w:vAlign w:val="center"/>
          </w:tcPr>
          <w:p w14:paraId="5C43F993"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70.0%</w:t>
            </w:r>
          </w:p>
        </w:tc>
      </w:tr>
      <w:tr w:rsidR="00933919" w:rsidRPr="00780558" w14:paraId="622A1A46" w14:textId="77777777" w:rsidTr="005622AF">
        <w:trPr>
          <w:cantSplit/>
          <w:trHeight w:val="20"/>
        </w:trPr>
        <w:tc>
          <w:tcPr>
            <w:tcW w:w="2448" w:type="dxa"/>
            <w:shd w:val="clear" w:color="auto" w:fill="auto"/>
            <w:noWrap/>
            <w:vAlign w:val="center"/>
          </w:tcPr>
          <w:p w14:paraId="0B21DCC9" w14:textId="676D5634" w:rsidR="00933919" w:rsidRPr="00780558" w:rsidRDefault="00EA09AF" w:rsidP="00251952">
            <w:pPr>
              <w:keepNext/>
              <w:keepLines/>
              <w:spacing w:before="0" w:after="0" w:line="240" w:lineRule="auto"/>
              <w:rPr>
                <w:rFonts w:eastAsia="Gulim" w:cs="Arial"/>
                <w:b/>
                <w:bCs/>
                <w:sz w:val="20"/>
                <w:lang w:eastAsia="ko-KR"/>
              </w:rPr>
            </w:pPr>
            <w:r>
              <w:rPr>
                <w:rFonts w:eastAsia="Gulim" w:cs="Arial"/>
                <w:b/>
                <w:bCs/>
                <w:sz w:val="20"/>
                <w:lang w:eastAsia="ko-KR"/>
              </w:rPr>
              <w:t>% Efficiency Improvement</w:t>
            </w:r>
          </w:p>
        </w:tc>
        <w:tc>
          <w:tcPr>
            <w:tcW w:w="1530" w:type="dxa"/>
            <w:shd w:val="clear" w:color="auto" w:fill="auto"/>
            <w:noWrap/>
            <w:vAlign w:val="center"/>
          </w:tcPr>
          <w:p w14:paraId="2D1FC3BE"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7.1%</w:t>
            </w:r>
          </w:p>
        </w:tc>
        <w:tc>
          <w:tcPr>
            <w:tcW w:w="1440" w:type="dxa"/>
            <w:shd w:val="clear" w:color="auto" w:fill="auto"/>
            <w:noWrap/>
            <w:vAlign w:val="center"/>
          </w:tcPr>
          <w:p w14:paraId="36A516C2" w14:textId="0DFC8CBD"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5.</w:t>
            </w:r>
            <w:r w:rsidR="00CB1F59">
              <w:rPr>
                <w:rFonts w:eastAsia="Gulim" w:cs="Arial"/>
                <w:sz w:val="20"/>
                <w:lang w:eastAsia="ko-KR"/>
              </w:rPr>
              <w:t>7</w:t>
            </w:r>
            <w:r w:rsidRPr="00780558">
              <w:rPr>
                <w:rFonts w:eastAsia="Gulim" w:cs="Arial"/>
                <w:sz w:val="20"/>
                <w:lang w:eastAsia="ko-KR"/>
              </w:rPr>
              <w:t>%</w:t>
            </w:r>
          </w:p>
        </w:tc>
        <w:tc>
          <w:tcPr>
            <w:tcW w:w="1440" w:type="dxa"/>
            <w:shd w:val="clear" w:color="auto" w:fill="auto"/>
            <w:noWrap/>
            <w:vAlign w:val="center"/>
          </w:tcPr>
          <w:p w14:paraId="7666D5EF" w14:textId="2CAFEB4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4.</w:t>
            </w:r>
            <w:r w:rsidR="00D73896">
              <w:rPr>
                <w:rFonts w:eastAsia="Gulim" w:cs="Arial"/>
                <w:sz w:val="20"/>
                <w:lang w:eastAsia="ko-KR"/>
              </w:rPr>
              <w:t>3</w:t>
            </w:r>
            <w:r w:rsidRPr="00780558">
              <w:rPr>
                <w:rFonts w:eastAsia="Gulim" w:cs="Arial"/>
                <w:sz w:val="20"/>
                <w:lang w:eastAsia="ko-KR"/>
              </w:rPr>
              <w:t>%</w:t>
            </w:r>
          </w:p>
        </w:tc>
      </w:tr>
    </w:tbl>
    <w:p w14:paraId="3A382CA5" w14:textId="00DDEDC8" w:rsidR="00EF1C45" w:rsidRDefault="00EF1C45" w:rsidP="00EF1C45">
      <w:pPr>
        <w:pStyle w:val="Caption"/>
      </w:pPr>
      <w:r w:rsidRPr="003E6018">
        <w:rPr>
          <w:rFonts w:hint="eastAsia"/>
        </w:rPr>
        <w:t>Efficiency Comparison</w:t>
      </w:r>
      <w:r>
        <w:t xml:space="preserve"> Fan Type Wall Furnace</w:t>
      </w:r>
    </w:p>
    <w:tbl>
      <w:tblPr>
        <w:tblW w:w="539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99" w:type="dxa"/>
          <w:right w:w="99" w:type="dxa"/>
        </w:tblCellMar>
        <w:tblLook w:val="0000" w:firstRow="0" w:lastRow="0" w:firstColumn="0" w:lastColumn="0" w:noHBand="0" w:noVBand="0"/>
      </w:tblPr>
      <w:tblGrid>
        <w:gridCol w:w="2448"/>
        <w:gridCol w:w="2947"/>
      </w:tblGrid>
      <w:tr w:rsidR="009A3093" w:rsidRPr="00780558" w14:paraId="4CAF3A53" w14:textId="77777777" w:rsidTr="009A3093">
        <w:trPr>
          <w:cantSplit/>
          <w:trHeight w:val="20"/>
        </w:trPr>
        <w:tc>
          <w:tcPr>
            <w:tcW w:w="2448" w:type="dxa"/>
            <w:vMerge w:val="restart"/>
            <w:shd w:val="clear" w:color="auto" w:fill="F2F2F2" w:themeFill="background1" w:themeFillShade="F2"/>
            <w:noWrap/>
            <w:vAlign w:val="center"/>
          </w:tcPr>
          <w:p w14:paraId="25449E34" w14:textId="77777777" w:rsidR="009A3093" w:rsidRPr="00780558" w:rsidRDefault="009A3093" w:rsidP="00CC177A">
            <w:pPr>
              <w:keepNext/>
              <w:keepLines/>
              <w:spacing w:before="0" w:after="0" w:line="240" w:lineRule="auto"/>
              <w:jc w:val="center"/>
              <w:rPr>
                <w:rFonts w:eastAsia="Gulim" w:cs="Arial"/>
                <w:b/>
                <w:bCs/>
                <w:sz w:val="20"/>
                <w:lang w:eastAsia="ko-KR"/>
              </w:rPr>
            </w:pPr>
          </w:p>
        </w:tc>
        <w:tc>
          <w:tcPr>
            <w:tcW w:w="2947" w:type="dxa"/>
            <w:shd w:val="clear" w:color="auto" w:fill="F2F2F2" w:themeFill="background1" w:themeFillShade="F2"/>
            <w:vAlign w:val="center"/>
          </w:tcPr>
          <w:p w14:paraId="5475F7C6" w14:textId="77777777" w:rsidR="009A3093" w:rsidRPr="00780558" w:rsidRDefault="009A3093">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Furnace Capacity (Btu/</w:t>
            </w:r>
            <w:proofErr w:type="spellStart"/>
            <w:r w:rsidRPr="00780558">
              <w:rPr>
                <w:rFonts w:eastAsia="Gulim" w:cs="Arial"/>
                <w:b/>
                <w:bCs/>
                <w:sz w:val="20"/>
                <w:lang w:eastAsia="ko-KR"/>
              </w:rPr>
              <w:t>h</w:t>
            </w:r>
            <w:r>
              <w:rPr>
                <w:rFonts w:eastAsia="Gulim" w:cs="Arial"/>
                <w:b/>
                <w:bCs/>
                <w:sz w:val="20"/>
                <w:lang w:eastAsia="ko-KR"/>
              </w:rPr>
              <w:t>r</w:t>
            </w:r>
            <w:proofErr w:type="spellEnd"/>
            <w:r w:rsidRPr="00780558">
              <w:rPr>
                <w:rFonts w:eastAsia="Gulim" w:cs="Arial"/>
                <w:b/>
                <w:bCs/>
                <w:sz w:val="20"/>
                <w:lang w:eastAsia="ko-KR"/>
              </w:rPr>
              <w:t>):</w:t>
            </w:r>
          </w:p>
        </w:tc>
      </w:tr>
      <w:tr w:rsidR="009A3093" w:rsidRPr="00780558" w14:paraId="42EF7616" w14:textId="77777777" w:rsidTr="009A3093">
        <w:trPr>
          <w:cantSplit/>
          <w:trHeight w:val="20"/>
        </w:trPr>
        <w:tc>
          <w:tcPr>
            <w:tcW w:w="2448" w:type="dxa"/>
            <w:vMerge/>
            <w:shd w:val="clear" w:color="auto" w:fill="F2F2F2" w:themeFill="background1" w:themeFillShade="F2"/>
            <w:noWrap/>
            <w:vAlign w:val="center"/>
          </w:tcPr>
          <w:p w14:paraId="795D625B" w14:textId="77777777" w:rsidR="009A3093" w:rsidRPr="00780558" w:rsidRDefault="009A3093" w:rsidP="00CC177A">
            <w:pPr>
              <w:keepNext/>
              <w:keepLines/>
              <w:spacing w:before="0" w:after="0" w:line="240" w:lineRule="auto"/>
              <w:jc w:val="center"/>
              <w:rPr>
                <w:rFonts w:eastAsia="Gulim" w:cs="Arial"/>
                <w:b/>
                <w:bCs/>
                <w:sz w:val="20"/>
                <w:lang w:eastAsia="ko-KR"/>
              </w:rPr>
            </w:pPr>
          </w:p>
        </w:tc>
        <w:tc>
          <w:tcPr>
            <w:tcW w:w="2947" w:type="dxa"/>
            <w:shd w:val="clear" w:color="auto" w:fill="F2F2F2" w:themeFill="background1" w:themeFillShade="F2"/>
            <w:vAlign w:val="center"/>
          </w:tcPr>
          <w:p w14:paraId="0E9345F5" w14:textId="317491C0" w:rsidR="009A3093" w:rsidRPr="00780558" w:rsidRDefault="009A3093">
            <w:pPr>
              <w:keepNext/>
              <w:keepLines/>
              <w:spacing w:before="0" w:after="0" w:line="240" w:lineRule="auto"/>
              <w:jc w:val="center"/>
              <w:rPr>
                <w:rFonts w:eastAsia="Gulim" w:cs="Arial"/>
                <w:b/>
                <w:bCs/>
                <w:sz w:val="20"/>
                <w:lang w:eastAsia="ko-KR"/>
              </w:rPr>
            </w:pPr>
            <w:r>
              <w:rPr>
                <w:rFonts w:eastAsia="Gulim" w:cs="Arial"/>
                <w:b/>
                <w:bCs/>
                <w:sz w:val="20"/>
                <w:lang w:eastAsia="ko-KR"/>
              </w:rPr>
              <w:t>30</w:t>
            </w:r>
            <w:r w:rsidRPr="00780558">
              <w:rPr>
                <w:rFonts w:eastAsia="Gulim" w:cs="Arial"/>
                <w:b/>
                <w:bCs/>
                <w:sz w:val="20"/>
                <w:lang w:eastAsia="ko-KR"/>
              </w:rPr>
              <w:t>,000</w:t>
            </w:r>
          </w:p>
        </w:tc>
      </w:tr>
      <w:tr w:rsidR="009A3093" w:rsidRPr="00780558" w14:paraId="5A3D2E7A" w14:textId="77777777" w:rsidTr="009A3093">
        <w:trPr>
          <w:cantSplit/>
          <w:trHeight w:val="20"/>
        </w:trPr>
        <w:tc>
          <w:tcPr>
            <w:tcW w:w="2448" w:type="dxa"/>
            <w:shd w:val="clear" w:color="auto" w:fill="auto"/>
            <w:noWrap/>
            <w:vAlign w:val="center"/>
          </w:tcPr>
          <w:p w14:paraId="7791F8AA" w14:textId="77777777" w:rsidR="009A3093" w:rsidRPr="00780558" w:rsidRDefault="009A3093" w:rsidP="009A3093">
            <w:pPr>
              <w:keepNext/>
              <w:keepLines/>
              <w:spacing w:before="0" w:after="0" w:line="240" w:lineRule="auto"/>
              <w:rPr>
                <w:rFonts w:eastAsia="Gulim" w:cs="Arial"/>
                <w:b/>
                <w:bCs/>
                <w:sz w:val="20"/>
                <w:lang w:eastAsia="ko-KR"/>
              </w:rPr>
            </w:pPr>
            <w:r w:rsidRPr="00780558">
              <w:rPr>
                <w:rFonts w:eastAsia="Gulim" w:cs="Arial"/>
                <w:b/>
                <w:bCs/>
                <w:sz w:val="20"/>
                <w:lang w:eastAsia="ko-KR"/>
              </w:rPr>
              <w:t>Baseline AFUE</w:t>
            </w:r>
          </w:p>
        </w:tc>
        <w:tc>
          <w:tcPr>
            <w:tcW w:w="2947" w:type="dxa"/>
            <w:shd w:val="clear" w:color="auto" w:fill="auto"/>
            <w:noWrap/>
            <w:vAlign w:val="center"/>
          </w:tcPr>
          <w:p w14:paraId="35FD8752" w14:textId="785714A5" w:rsidR="009A3093" w:rsidRPr="00780558" w:rsidRDefault="00DE0F63" w:rsidP="001C1D0E">
            <w:pPr>
              <w:keepNext/>
              <w:keepLines/>
              <w:spacing w:before="0" w:after="0" w:line="240" w:lineRule="auto"/>
              <w:ind w:right="353"/>
              <w:jc w:val="center"/>
              <w:rPr>
                <w:rFonts w:eastAsia="Gulim" w:cs="Arial"/>
                <w:sz w:val="20"/>
                <w:lang w:eastAsia="ko-KR"/>
              </w:rPr>
            </w:pPr>
            <w:r>
              <w:rPr>
                <w:rFonts w:eastAsia="Gulim" w:cs="Arial"/>
                <w:sz w:val="20"/>
                <w:lang w:eastAsia="ko-KR"/>
              </w:rPr>
              <w:t xml:space="preserve">        </w:t>
            </w:r>
            <w:r w:rsidR="009A3093">
              <w:rPr>
                <w:rFonts w:eastAsia="Gulim" w:cs="Arial"/>
                <w:sz w:val="20"/>
                <w:lang w:eastAsia="ko-KR"/>
              </w:rPr>
              <w:t>7</w:t>
            </w:r>
            <w:r w:rsidR="009A3093" w:rsidRPr="00780558">
              <w:rPr>
                <w:rFonts w:eastAsia="Gulim" w:cs="Arial"/>
                <w:sz w:val="20"/>
                <w:lang w:eastAsia="ko-KR"/>
              </w:rPr>
              <w:t>5.0%</w:t>
            </w:r>
          </w:p>
        </w:tc>
      </w:tr>
      <w:tr w:rsidR="009A3093" w:rsidRPr="00780558" w14:paraId="59E74C6A" w14:textId="77777777" w:rsidTr="009A3093">
        <w:trPr>
          <w:cantSplit/>
          <w:trHeight w:val="20"/>
        </w:trPr>
        <w:tc>
          <w:tcPr>
            <w:tcW w:w="2448" w:type="dxa"/>
            <w:shd w:val="clear" w:color="auto" w:fill="auto"/>
            <w:noWrap/>
            <w:vAlign w:val="center"/>
          </w:tcPr>
          <w:p w14:paraId="782CE86A" w14:textId="77777777" w:rsidR="009A3093" w:rsidRPr="00780558" w:rsidRDefault="009A3093" w:rsidP="009A3093">
            <w:pPr>
              <w:keepNext/>
              <w:keepLines/>
              <w:spacing w:before="0" w:after="0" w:line="240" w:lineRule="auto"/>
              <w:rPr>
                <w:rFonts w:eastAsia="Gulim" w:cs="Arial"/>
                <w:b/>
                <w:bCs/>
                <w:sz w:val="20"/>
                <w:lang w:eastAsia="ko-KR"/>
              </w:rPr>
            </w:pPr>
            <w:r w:rsidRPr="00780558">
              <w:rPr>
                <w:rFonts w:eastAsia="Gulim" w:cs="Arial"/>
                <w:b/>
                <w:bCs/>
                <w:sz w:val="20"/>
                <w:lang w:eastAsia="ko-KR"/>
              </w:rPr>
              <w:t>Measure AFUE</w:t>
            </w:r>
          </w:p>
        </w:tc>
        <w:tc>
          <w:tcPr>
            <w:tcW w:w="2947" w:type="dxa"/>
            <w:shd w:val="clear" w:color="auto" w:fill="auto"/>
            <w:noWrap/>
            <w:vAlign w:val="center"/>
          </w:tcPr>
          <w:p w14:paraId="6DDD3280" w14:textId="5F344748" w:rsidR="009A3093" w:rsidRPr="00780558" w:rsidRDefault="00DE0F63" w:rsidP="001C1D0E">
            <w:pPr>
              <w:keepNext/>
              <w:keepLines/>
              <w:spacing w:before="0" w:after="0" w:line="240" w:lineRule="auto"/>
              <w:ind w:right="353"/>
              <w:jc w:val="center"/>
              <w:rPr>
                <w:rFonts w:eastAsia="Gulim" w:cs="Arial"/>
                <w:sz w:val="20"/>
                <w:lang w:eastAsia="ko-KR"/>
              </w:rPr>
            </w:pPr>
            <w:r>
              <w:rPr>
                <w:rFonts w:eastAsia="Gulim" w:cs="Arial"/>
                <w:sz w:val="20"/>
                <w:lang w:eastAsia="ko-KR"/>
              </w:rPr>
              <w:t xml:space="preserve">        </w:t>
            </w:r>
            <w:r w:rsidR="009A3093">
              <w:rPr>
                <w:rFonts w:eastAsia="Gulim" w:cs="Arial"/>
                <w:sz w:val="20"/>
                <w:lang w:eastAsia="ko-KR"/>
              </w:rPr>
              <w:t>82</w:t>
            </w:r>
            <w:r w:rsidR="009A3093" w:rsidRPr="00780558">
              <w:rPr>
                <w:rFonts w:eastAsia="Gulim" w:cs="Arial"/>
                <w:sz w:val="20"/>
                <w:lang w:eastAsia="ko-KR"/>
              </w:rPr>
              <w:t>.0%</w:t>
            </w:r>
          </w:p>
        </w:tc>
      </w:tr>
      <w:tr w:rsidR="009A3093" w:rsidRPr="00780558" w14:paraId="32BD9FC1" w14:textId="77777777" w:rsidTr="009A3093">
        <w:trPr>
          <w:cantSplit/>
          <w:trHeight w:val="20"/>
        </w:trPr>
        <w:tc>
          <w:tcPr>
            <w:tcW w:w="2448" w:type="dxa"/>
            <w:shd w:val="clear" w:color="auto" w:fill="auto"/>
            <w:noWrap/>
            <w:vAlign w:val="center"/>
          </w:tcPr>
          <w:p w14:paraId="196B5859" w14:textId="77777777" w:rsidR="009A3093" w:rsidRPr="00780558" w:rsidRDefault="009A3093" w:rsidP="009A3093">
            <w:pPr>
              <w:keepNext/>
              <w:keepLines/>
              <w:spacing w:before="0" w:after="0" w:line="240" w:lineRule="auto"/>
              <w:rPr>
                <w:rFonts w:eastAsia="Gulim" w:cs="Arial"/>
                <w:b/>
                <w:bCs/>
                <w:sz w:val="20"/>
                <w:lang w:eastAsia="ko-KR"/>
              </w:rPr>
            </w:pPr>
            <w:r>
              <w:rPr>
                <w:rFonts w:eastAsia="Gulim" w:cs="Arial"/>
                <w:b/>
                <w:bCs/>
                <w:sz w:val="20"/>
                <w:lang w:eastAsia="ko-KR"/>
              </w:rPr>
              <w:t>% Efficiency Improvement</w:t>
            </w:r>
          </w:p>
        </w:tc>
        <w:tc>
          <w:tcPr>
            <w:tcW w:w="2947" w:type="dxa"/>
            <w:shd w:val="clear" w:color="auto" w:fill="auto"/>
            <w:noWrap/>
            <w:vAlign w:val="center"/>
          </w:tcPr>
          <w:p w14:paraId="46292001" w14:textId="0778CFB1" w:rsidR="009A3093" w:rsidRPr="00780558" w:rsidRDefault="00DE0F63" w:rsidP="001C1D0E">
            <w:pPr>
              <w:keepNext/>
              <w:keepLines/>
              <w:spacing w:before="0" w:after="0" w:line="240" w:lineRule="auto"/>
              <w:ind w:right="353"/>
              <w:jc w:val="center"/>
              <w:rPr>
                <w:rFonts w:eastAsia="Gulim" w:cs="Arial"/>
                <w:sz w:val="20"/>
                <w:lang w:eastAsia="ko-KR"/>
              </w:rPr>
            </w:pPr>
            <w:r>
              <w:rPr>
                <w:rFonts w:eastAsia="Gulim" w:cs="Arial"/>
                <w:sz w:val="20"/>
                <w:lang w:eastAsia="ko-KR"/>
              </w:rPr>
              <w:t xml:space="preserve">         </w:t>
            </w:r>
            <w:r w:rsidR="009A3093">
              <w:rPr>
                <w:rFonts w:eastAsia="Gulim" w:cs="Arial"/>
                <w:sz w:val="20"/>
                <w:lang w:eastAsia="ko-KR"/>
              </w:rPr>
              <w:t>8.5</w:t>
            </w:r>
            <w:r w:rsidR="009A3093" w:rsidRPr="00780558">
              <w:rPr>
                <w:rFonts w:eastAsia="Gulim" w:cs="Arial"/>
                <w:sz w:val="20"/>
                <w:lang w:eastAsia="ko-KR"/>
              </w:rPr>
              <w:t>%</w:t>
            </w:r>
          </w:p>
        </w:tc>
      </w:tr>
    </w:tbl>
    <w:p w14:paraId="043ED15D" w14:textId="77777777" w:rsidR="00933919" w:rsidRPr="002914D8" w:rsidRDefault="00933919" w:rsidP="00B63315"/>
    <w:p w14:paraId="78F29FC5" w14:textId="4A502899" w:rsidR="00933919" w:rsidRPr="002914D8" w:rsidRDefault="000139EF" w:rsidP="007C664D">
      <w:pPr>
        <w:pStyle w:val="eTRMHeading4"/>
      </w:pPr>
      <w:bookmarkStart w:id="54" w:name="_Toc294857787"/>
      <w:bookmarkStart w:id="55" w:name="_Toc378863351"/>
      <w:bookmarkEnd w:id="54"/>
      <w:r>
        <w:t xml:space="preserve">Unit </w:t>
      </w:r>
      <w:r w:rsidR="00933919" w:rsidRPr="002914D8">
        <w:t>Energy Savings</w:t>
      </w:r>
      <w:bookmarkEnd w:id="55"/>
      <w:r>
        <w:t xml:space="preserve"> Calculation</w:t>
      </w:r>
    </w:p>
    <w:p w14:paraId="52A92906" w14:textId="70497166" w:rsidR="00E524AA" w:rsidRDefault="000139EF" w:rsidP="005622AF">
      <w:r>
        <w:t xml:space="preserve">The unit energy savings </w:t>
      </w:r>
      <w:r w:rsidR="00780558">
        <w:t xml:space="preserve">(UES) </w:t>
      </w:r>
      <w:r w:rsidR="00E524AA">
        <w:t>of a</w:t>
      </w:r>
      <w:r w:rsidR="00E524AA" w:rsidRPr="002914D8">
        <w:t xml:space="preserve"> </w:t>
      </w:r>
      <w:r w:rsidR="00E524AA">
        <w:t>like-for-like</w:t>
      </w:r>
      <w:r w:rsidR="00E524AA" w:rsidRPr="002914D8">
        <w:t xml:space="preserve"> replacement </w:t>
      </w:r>
      <w:r w:rsidR="00FA1B41" w:rsidRPr="002914D8">
        <w:t>of wall</w:t>
      </w:r>
      <w:r w:rsidR="00E524AA" w:rsidRPr="002914D8">
        <w:t xml:space="preserve"> furnace</w:t>
      </w:r>
      <w:r w:rsidR="00E524AA">
        <w:t xml:space="preserve"> </w:t>
      </w:r>
      <w:r>
        <w:t>were derived from the d</w:t>
      </w:r>
      <w:r w:rsidR="00933919" w:rsidRPr="002914D8">
        <w:t xml:space="preserve">ata analysis and the </w:t>
      </w:r>
      <w:r>
        <w:t xml:space="preserve">energy use simulation </w:t>
      </w:r>
      <w:r w:rsidR="00933919" w:rsidRPr="002914D8">
        <w:t>models</w:t>
      </w:r>
      <w:r w:rsidR="00E524AA">
        <w:t>.</w:t>
      </w:r>
      <w:r w:rsidR="00E524AA">
        <w:rPr>
          <w:rStyle w:val="FootnoteReference"/>
        </w:rPr>
        <w:footnoteReference w:id="11"/>
      </w:r>
      <w:r w:rsidR="00933919" w:rsidRPr="002914D8">
        <w:t xml:space="preserve"> </w:t>
      </w:r>
    </w:p>
    <w:p w14:paraId="17FB0FF9" w14:textId="3EE4F2F5" w:rsidR="00933919" w:rsidRDefault="00E524AA" w:rsidP="007C664D">
      <w:r>
        <w:lastRenderedPageBreak/>
        <w:t xml:space="preserve">The UES </w:t>
      </w:r>
      <w:r w:rsidR="0007034C">
        <w:t>of wall furnace</w:t>
      </w:r>
      <w:r>
        <w:t xml:space="preserve"> installations </w:t>
      </w:r>
      <w:r w:rsidR="00637F5D">
        <w:t xml:space="preserve">in the SCG territory was computed </w:t>
      </w:r>
      <w:r>
        <w:t>as the weighted average UES</w:t>
      </w:r>
      <w:r w:rsidR="00637F5D">
        <w:t xml:space="preserve"> for each capacity category,</w:t>
      </w:r>
      <w:r>
        <w:t xml:space="preserve"> weighted by the percent of the </w:t>
      </w:r>
      <w:r w:rsidRPr="002914D8">
        <w:t xml:space="preserve">SCG </w:t>
      </w:r>
      <w:r>
        <w:t xml:space="preserve">residential </w:t>
      </w:r>
      <w:r w:rsidRPr="002914D8">
        <w:t xml:space="preserve">population </w:t>
      </w:r>
      <w:r w:rsidR="00D87333">
        <w:t>in</w:t>
      </w:r>
      <w:r w:rsidRPr="002914D8">
        <w:t xml:space="preserve"> climate zone</w:t>
      </w:r>
      <w:r>
        <w:t>.</w:t>
      </w:r>
    </w:p>
    <w:p w14:paraId="4DDCD51F" w14:textId="4F2BBAD7" w:rsidR="007D230B" w:rsidRPr="002914D8" w:rsidRDefault="00245AFF" w:rsidP="00462BB6">
      <w:pPr>
        <w:pStyle w:val="eTRMHeading3"/>
      </w:pPr>
      <w:bookmarkStart w:id="56" w:name="_Toc7184832"/>
      <w:bookmarkStart w:id="57" w:name="_Toc486490859"/>
      <w:bookmarkStart w:id="58" w:name="_Toc486580930"/>
      <w:r w:rsidRPr="002914D8">
        <w:t>Life Cycle</w:t>
      </w:r>
      <w:bookmarkEnd w:id="56"/>
      <w:r w:rsidR="007D230B" w:rsidRPr="002914D8">
        <w:t xml:space="preserve"> </w:t>
      </w:r>
      <w:bookmarkEnd w:id="57"/>
      <w:bookmarkEnd w:id="58"/>
    </w:p>
    <w:p w14:paraId="6459579D" w14:textId="47E9C357" w:rsidR="00177EB6" w:rsidRDefault="007F669E" w:rsidP="004142EF">
      <w:r w:rsidRPr="002914D8">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5467D132" w14:textId="4B09B88D" w:rsidR="007C664D" w:rsidRPr="002914D8" w:rsidRDefault="007C664D" w:rsidP="00337205">
      <w:r w:rsidRPr="007F407A">
        <w:t xml:space="preserve">Due to the nature of </w:t>
      </w:r>
      <w:r w:rsidR="007F407A" w:rsidRPr="007F407A">
        <w:t xml:space="preserve">the </w:t>
      </w:r>
      <w:r w:rsidRPr="007F407A">
        <w:t>relatively austere design of wall furnaces, the estimated lifetime is expected to exceed 20 years.  Since EUL of gravity wall furnaces are not available from</w:t>
      </w:r>
      <w:r w:rsidR="007F407A" w:rsidRPr="007F407A">
        <w:t xml:space="preserve"> the Database of Energy Efficient Resources (</w:t>
      </w:r>
      <w:r w:rsidRPr="007F407A">
        <w:t>DEER</w:t>
      </w:r>
      <w:r w:rsidR="007F407A" w:rsidRPr="007F407A">
        <w:t>)</w:t>
      </w:r>
      <w:r w:rsidRPr="007F407A">
        <w:t xml:space="preserve">, </w:t>
      </w:r>
      <w:r w:rsidR="007F407A" w:rsidRPr="007F407A">
        <w:t>the estimated life of a</w:t>
      </w:r>
      <w:r w:rsidRPr="007F407A">
        <w:t xml:space="preserve"> </w:t>
      </w:r>
      <w:r w:rsidR="007F407A" w:rsidRPr="007F407A">
        <w:t xml:space="preserve">high efficiency </w:t>
      </w:r>
      <w:r w:rsidRPr="007F407A">
        <w:t xml:space="preserve">gas furnace is </w:t>
      </w:r>
      <w:r w:rsidR="007F407A" w:rsidRPr="007F407A">
        <w:t>adopted for this measure</w:t>
      </w:r>
      <w:r w:rsidRPr="007F407A">
        <w:t>.</w:t>
      </w:r>
      <w:r w:rsidR="00831CAA">
        <w:t xml:space="preserve"> The high efficiency furnace EUL was updated in 2008 and assumed the maximum EUL, as stipulated in the </w:t>
      </w:r>
      <w:r w:rsidR="00831CAA" w:rsidRPr="00831CAA">
        <w:rPr>
          <w:i/>
        </w:rPr>
        <w:t>Energy Efficiency Policy Manual</w:t>
      </w:r>
      <w:r w:rsidR="00337205">
        <w:rPr>
          <w:i/>
        </w:rPr>
        <w:t xml:space="preserve">, </w:t>
      </w:r>
      <w:r w:rsidR="00337205" w:rsidRPr="00337205">
        <w:t>which</w:t>
      </w:r>
      <w:r w:rsidR="00337205">
        <w:rPr>
          <w:i/>
        </w:rPr>
        <w:t xml:space="preserve"> states, </w:t>
      </w:r>
      <w:r w:rsidR="00337205" w:rsidRPr="00337205">
        <w:rPr>
          <w:i/>
        </w:rPr>
        <w:t>“[</w:t>
      </w:r>
      <w:proofErr w:type="spellStart"/>
      <w:r w:rsidR="00337205" w:rsidRPr="00337205">
        <w:rPr>
          <w:i/>
        </w:rPr>
        <w:t>i</w:t>
      </w:r>
      <w:proofErr w:type="spellEnd"/>
      <w:r w:rsidR="00337205" w:rsidRPr="00337205">
        <w:rPr>
          <w:i/>
        </w:rPr>
        <w:t>]n order to minimize uncertainty, EULs will be limited to a maximum of 20 years, even if particular devices may be expected to survive longer.”</w:t>
      </w:r>
    </w:p>
    <w:p w14:paraId="2A76D131" w14:textId="4A9F205C" w:rsidR="008E2EA7" w:rsidRDefault="007F669E" w:rsidP="009A3093">
      <w:r w:rsidRPr="002914D8">
        <w:t xml:space="preserve">The EUL and RUL specified for </w:t>
      </w:r>
      <w:r w:rsidR="002F78E9" w:rsidRPr="002914D8">
        <w:t>this measure</w:t>
      </w:r>
      <w:r w:rsidRPr="002914D8">
        <w:t xml:space="preserve"> are presented </w:t>
      </w:r>
      <w:r w:rsidR="002F78E9" w:rsidRPr="002914D8">
        <w:t xml:space="preserve">below. </w:t>
      </w:r>
      <w:r w:rsidR="00862AC7" w:rsidRPr="002914D8">
        <w:t xml:space="preserve">Note that RUL is only applicable for add-on </w:t>
      </w:r>
      <w:r w:rsidR="007F407A">
        <w:t>equipment</w:t>
      </w:r>
      <w:r w:rsidR="00862AC7" w:rsidRPr="002914D8">
        <w:t xml:space="preserve"> and </w:t>
      </w:r>
      <w:r w:rsidR="007F407A">
        <w:t>accelerated</w:t>
      </w:r>
      <w:r w:rsidR="00862AC7" w:rsidRPr="002914D8">
        <w:t xml:space="preserve"> replacement measures</w:t>
      </w:r>
      <w:r w:rsidR="007F407A">
        <w:t xml:space="preserve"> and is</w:t>
      </w:r>
      <w:r w:rsidR="00862AC7" w:rsidRPr="002914D8">
        <w:t xml:space="preserve"> not applicable for </w:t>
      </w:r>
      <w:r w:rsidR="007C664D">
        <w:t>this measure</w:t>
      </w:r>
      <w:r w:rsidR="00862AC7" w:rsidRPr="002914D8">
        <w:t>.</w:t>
      </w:r>
    </w:p>
    <w:p w14:paraId="7D542FEF" w14:textId="65BD4E6E" w:rsidR="00FD2C54" w:rsidRPr="002914D8" w:rsidRDefault="00FD2C54" w:rsidP="00D7420F">
      <w:pPr>
        <w:pStyle w:val="Caption"/>
        <w:keepNext w:val="0"/>
        <w:keepLines w:val="0"/>
      </w:pPr>
      <w:r w:rsidRPr="002914D8">
        <w:t>Effective Useful Life</w:t>
      </w:r>
      <w:r w:rsidR="00BB4F22" w:rsidRPr="002914D8">
        <w:t xml:space="preserve"> and Remaining Useful Life</w:t>
      </w:r>
    </w:p>
    <w:tbl>
      <w:tblPr>
        <w:tblW w:w="90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170"/>
        <w:gridCol w:w="5670"/>
      </w:tblGrid>
      <w:tr w:rsidR="007C664D" w:rsidRPr="002914D8" w14:paraId="1FE81044" w14:textId="0C091959" w:rsidTr="00D7420F">
        <w:trPr>
          <w:cantSplit/>
          <w:trHeight w:val="20"/>
          <w:tblHeader/>
        </w:trPr>
        <w:tc>
          <w:tcPr>
            <w:tcW w:w="2245" w:type="dxa"/>
            <w:shd w:val="clear" w:color="auto" w:fill="F2F2F2" w:themeFill="background1" w:themeFillShade="F2"/>
            <w:vAlign w:val="bottom"/>
          </w:tcPr>
          <w:p w14:paraId="1666F440" w14:textId="31AB2C31" w:rsidR="007C664D" w:rsidRPr="002914D8" w:rsidRDefault="007C664D" w:rsidP="00D7420F">
            <w:pPr>
              <w:spacing w:before="20" w:after="20"/>
              <w:jc w:val="center"/>
              <w:rPr>
                <w:rFonts w:cstheme="minorHAnsi"/>
                <w:b/>
                <w:sz w:val="20"/>
                <w:szCs w:val="20"/>
              </w:rPr>
            </w:pPr>
            <w:r w:rsidRPr="002914D8">
              <w:rPr>
                <w:rFonts w:cstheme="minorHAnsi"/>
                <w:b/>
                <w:sz w:val="20"/>
                <w:szCs w:val="20"/>
              </w:rPr>
              <w:t>Parameter</w:t>
            </w:r>
          </w:p>
        </w:tc>
        <w:tc>
          <w:tcPr>
            <w:tcW w:w="1170" w:type="dxa"/>
            <w:shd w:val="clear" w:color="auto" w:fill="F2F2F2" w:themeFill="background1" w:themeFillShade="F2"/>
          </w:tcPr>
          <w:p w14:paraId="18E57BF8" w14:textId="7074E315" w:rsidR="007C664D" w:rsidRPr="002914D8" w:rsidRDefault="007C664D" w:rsidP="00D7420F">
            <w:pPr>
              <w:spacing w:before="20" w:after="20"/>
              <w:jc w:val="center"/>
              <w:rPr>
                <w:rFonts w:cstheme="minorHAnsi"/>
                <w:b/>
                <w:sz w:val="20"/>
                <w:szCs w:val="20"/>
              </w:rPr>
            </w:pPr>
            <w:r w:rsidRPr="002914D8">
              <w:rPr>
                <w:rFonts w:cstheme="minorHAnsi"/>
                <w:b/>
                <w:sz w:val="20"/>
                <w:szCs w:val="20"/>
              </w:rPr>
              <w:t>Value</w:t>
            </w:r>
          </w:p>
        </w:tc>
        <w:tc>
          <w:tcPr>
            <w:tcW w:w="5670" w:type="dxa"/>
            <w:shd w:val="clear" w:color="auto" w:fill="F2F2F2" w:themeFill="background1" w:themeFillShade="F2"/>
          </w:tcPr>
          <w:p w14:paraId="541E1750" w14:textId="139E5C00" w:rsidR="007C664D" w:rsidRPr="002914D8" w:rsidRDefault="007C664D" w:rsidP="00D7420F">
            <w:pPr>
              <w:spacing w:before="20" w:after="20"/>
              <w:jc w:val="center"/>
              <w:rPr>
                <w:rFonts w:cstheme="minorHAnsi"/>
                <w:b/>
                <w:sz w:val="20"/>
                <w:szCs w:val="20"/>
              </w:rPr>
            </w:pPr>
            <w:r w:rsidRPr="002914D8">
              <w:rPr>
                <w:rFonts w:cstheme="minorHAnsi"/>
                <w:b/>
                <w:sz w:val="20"/>
                <w:szCs w:val="20"/>
              </w:rPr>
              <w:t>Source</w:t>
            </w:r>
          </w:p>
        </w:tc>
      </w:tr>
      <w:tr w:rsidR="007C664D" w:rsidRPr="002914D8" w14:paraId="7B636A73" w14:textId="217149CE" w:rsidTr="00337205">
        <w:trPr>
          <w:cantSplit/>
          <w:trHeight w:val="20"/>
        </w:trPr>
        <w:tc>
          <w:tcPr>
            <w:tcW w:w="2245" w:type="dxa"/>
          </w:tcPr>
          <w:p w14:paraId="64E6D65F" w14:textId="63968C12" w:rsidR="007C664D" w:rsidRPr="002914D8" w:rsidRDefault="007C664D" w:rsidP="00D7420F">
            <w:pPr>
              <w:spacing w:before="20" w:after="20"/>
              <w:rPr>
                <w:sz w:val="20"/>
                <w:szCs w:val="20"/>
              </w:rPr>
            </w:pPr>
            <w:r w:rsidRPr="002914D8">
              <w:rPr>
                <w:rFonts w:cstheme="minorHAnsi"/>
                <w:sz w:val="20"/>
                <w:szCs w:val="20"/>
              </w:rPr>
              <w:t>EUL (</w:t>
            </w:r>
            <w:proofErr w:type="spellStart"/>
            <w:r w:rsidRPr="002914D8">
              <w:rPr>
                <w:rFonts w:cstheme="minorHAnsi"/>
                <w:sz w:val="20"/>
                <w:szCs w:val="20"/>
              </w:rPr>
              <w:t>yrs</w:t>
            </w:r>
            <w:proofErr w:type="spellEnd"/>
            <w:r w:rsidRPr="002914D8">
              <w:rPr>
                <w:rFonts w:cstheme="minorHAnsi"/>
                <w:sz w:val="20"/>
                <w:szCs w:val="20"/>
              </w:rPr>
              <w:t>)</w:t>
            </w:r>
          </w:p>
        </w:tc>
        <w:tc>
          <w:tcPr>
            <w:tcW w:w="1170" w:type="dxa"/>
          </w:tcPr>
          <w:p w14:paraId="636160CC" w14:textId="7FC1DE76" w:rsidR="007C664D" w:rsidRPr="005622AF" w:rsidRDefault="007C664D" w:rsidP="00D7420F">
            <w:pPr>
              <w:spacing w:before="20" w:after="20"/>
              <w:jc w:val="center"/>
              <w:rPr>
                <w:sz w:val="20"/>
                <w:szCs w:val="20"/>
              </w:rPr>
            </w:pPr>
            <w:r w:rsidRPr="005622AF">
              <w:rPr>
                <w:sz w:val="20"/>
                <w:szCs w:val="20"/>
              </w:rPr>
              <w:t>20.0</w:t>
            </w:r>
          </w:p>
        </w:tc>
        <w:tc>
          <w:tcPr>
            <w:tcW w:w="5670" w:type="dxa"/>
          </w:tcPr>
          <w:p w14:paraId="6561715F" w14:textId="3A476ECC" w:rsidR="00337205" w:rsidRPr="00337205" w:rsidRDefault="00337205" w:rsidP="00D7420F">
            <w:pPr>
              <w:spacing w:before="20" w:after="20"/>
              <w:rPr>
                <w:sz w:val="18"/>
                <w:szCs w:val="18"/>
                <w:highlight w:val="yellow"/>
              </w:rPr>
            </w:pPr>
            <w:r w:rsidRPr="00337205">
              <w:rPr>
                <w:sz w:val="18"/>
                <w:szCs w:val="18"/>
              </w:rPr>
              <w:t>California Public Utilities Commission (CPUC). 2014. “DEER2014-EUL-table-update_2014-02-05.xlsx.”</w:t>
            </w:r>
          </w:p>
          <w:p w14:paraId="24FDF7DA" w14:textId="77777777" w:rsidR="00337205" w:rsidRPr="00337205" w:rsidRDefault="00337205" w:rsidP="00D7420F">
            <w:pPr>
              <w:spacing w:before="20" w:after="20"/>
              <w:rPr>
                <w:sz w:val="18"/>
                <w:szCs w:val="18"/>
              </w:rPr>
            </w:pPr>
          </w:p>
          <w:p w14:paraId="31619FE3" w14:textId="74D831DE" w:rsidR="00337205" w:rsidRPr="00337205" w:rsidRDefault="00337205" w:rsidP="00D7420F">
            <w:pPr>
              <w:spacing w:before="20" w:after="20"/>
              <w:rPr>
                <w:sz w:val="18"/>
                <w:szCs w:val="18"/>
              </w:rPr>
            </w:pPr>
            <w:r w:rsidRPr="00337205">
              <w:rPr>
                <w:sz w:val="18"/>
                <w:szCs w:val="18"/>
              </w:rPr>
              <w:t>California Public Utilities Commission (CPUC), Energy Division. 2008. “EUL_Summary_10-1-08.xls.”</w:t>
            </w:r>
          </w:p>
          <w:p w14:paraId="40A4297B" w14:textId="4EF9D8AE" w:rsidR="00337205" w:rsidRPr="00337205" w:rsidRDefault="00337205" w:rsidP="00D7420F">
            <w:pPr>
              <w:spacing w:before="20" w:after="20"/>
              <w:rPr>
                <w:sz w:val="18"/>
                <w:szCs w:val="18"/>
                <w:highlight w:val="yellow"/>
              </w:rPr>
            </w:pPr>
          </w:p>
          <w:p w14:paraId="12293357" w14:textId="15CBCA14" w:rsidR="007C664D" w:rsidRPr="00337205" w:rsidRDefault="00337205" w:rsidP="00D7420F">
            <w:pPr>
              <w:spacing w:before="20" w:after="20"/>
              <w:rPr>
                <w:sz w:val="18"/>
                <w:szCs w:val="18"/>
                <w:highlight w:val="yellow"/>
              </w:rPr>
            </w:pPr>
            <w:r w:rsidRPr="00337205">
              <w:rPr>
                <w:sz w:val="18"/>
                <w:szCs w:val="18"/>
              </w:rPr>
              <w:t xml:space="preserve">California Public Utilities Commission (CPUC), Energy Division.  2003. </w:t>
            </w:r>
            <w:r w:rsidRPr="00337205">
              <w:rPr>
                <w:rStyle w:val="Emphasis"/>
                <w:sz w:val="18"/>
                <w:szCs w:val="18"/>
              </w:rPr>
              <w:t>Energy Efficiency Policy Manual v 2.0.</w:t>
            </w:r>
            <w:r>
              <w:rPr>
                <w:rStyle w:val="Emphasis"/>
                <w:sz w:val="18"/>
                <w:szCs w:val="18"/>
              </w:rPr>
              <w:t xml:space="preserve"> </w:t>
            </w:r>
            <w:r w:rsidRPr="00337205">
              <w:rPr>
                <w:rStyle w:val="Emphasis"/>
                <w:i w:val="0"/>
                <w:sz w:val="18"/>
                <w:szCs w:val="18"/>
              </w:rPr>
              <w:t>Page 16.</w:t>
            </w:r>
          </w:p>
        </w:tc>
      </w:tr>
      <w:tr w:rsidR="007C664D" w:rsidRPr="002914D8" w14:paraId="71871DE1" w14:textId="51A3395E" w:rsidTr="00337205">
        <w:trPr>
          <w:cantSplit/>
          <w:trHeight w:val="20"/>
        </w:trPr>
        <w:tc>
          <w:tcPr>
            <w:tcW w:w="2245" w:type="dxa"/>
          </w:tcPr>
          <w:p w14:paraId="4BA48D82" w14:textId="5EFD77B9" w:rsidR="007C664D" w:rsidRPr="002914D8" w:rsidRDefault="007C664D" w:rsidP="00D7420F">
            <w:pPr>
              <w:spacing w:before="20" w:after="20"/>
              <w:rPr>
                <w:sz w:val="20"/>
                <w:szCs w:val="20"/>
              </w:rPr>
            </w:pPr>
            <w:r w:rsidRPr="002914D8">
              <w:rPr>
                <w:rFonts w:cstheme="minorHAnsi"/>
                <w:sz w:val="20"/>
                <w:szCs w:val="20"/>
              </w:rPr>
              <w:t>RUL (</w:t>
            </w:r>
            <w:proofErr w:type="spellStart"/>
            <w:r w:rsidRPr="002914D8">
              <w:rPr>
                <w:rFonts w:cstheme="minorHAnsi"/>
                <w:sz w:val="20"/>
                <w:szCs w:val="20"/>
              </w:rPr>
              <w:t>yrs</w:t>
            </w:r>
            <w:proofErr w:type="spellEnd"/>
            <w:r w:rsidRPr="002914D8">
              <w:rPr>
                <w:rFonts w:cstheme="minorHAnsi"/>
                <w:sz w:val="20"/>
                <w:szCs w:val="20"/>
              </w:rPr>
              <w:t>)</w:t>
            </w:r>
          </w:p>
        </w:tc>
        <w:tc>
          <w:tcPr>
            <w:tcW w:w="1170" w:type="dxa"/>
          </w:tcPr>
          <w:p w14:paraId="012CC38D" w14:textId="57ABF586" w:rsidR="007C664D" w:rsidRPr="005622AF" w:rsidRDefault="007F407A" w:rsidP="00D7420F">
            <w:pPr>
              <w:spacing w:before="20" w:after="20"/>
              <w:jc w:val="center"/>
              <w:rPr>
                <w:sz w:val="20"/>
                <w:szCs w:val="20"/>
              </w:rPr>
            </w:pPr>
            <w:r>
              <w:rPr>
                <w:sz w:val="20"/>
                <w:szCs w:val="20"/>
              </w:rPr>
              <w:t>n/a</w:t>
            </w:r>
          </w:p>
        </w:tc>
        <w:tc>
          <w:tcPr>
            <w:tcW w:w="5670" w:type="dxa"/>
          </w:tcPr>
          <w:p w14:paraId="7DDC9DCA" w14:textId="7AF6E7F3" w:rsidR="007C664D" w:rsidRPr="007F407A" w:rsidRDefault="007F407A" w:rsidP="00D7420F">
            <w:pPr>
              <w:spacing w:before="20" w:after="20"/>
              <w:jc w:val="center"/>
              <w:rPr>
                <w:sz w:val="20"/>
                <w:szCs w:val="20"/>
              </w:rPr>
            </w:pPr>
            <w:r w:rsidRPr="007F407A">
              <w:rPr>
                <w:sz w:val="20"/>
                <w:szCs w:val="20"/>
              </w:rPr>
              <w:t>-</w:t>
            </w:r>
          </w:p>
        </w:tc>
      </w:tr>
    </w:tbl>
    <w:p w14:paraId="21BBC22B" w14:textId="77777777" w:rsidR="007D230B" w:rsidRPr="002914D8" w:rsidRDefault="007D230B" w:rsidP="004142EF"/>
    <w:p w14:paraId="3B14B593" w14:textId="77777777" w:rsidR="007D230B" w:rsidRPr="002914D8" w:rsidRDefault="007D230B" w:rsidP="00462BB6">
      <w:pPr>
        <w:pStyle w:val="eTRMHeading3"/>
      </w:pPr>
      <w:bookmarkStart w:id="59" w:name="_Toc486490860"/>
      <w:bookmarkStart w:id="60" w:name="_Toc486580931"/>
      <w:bookmarkStart w:id="61" w:name="_Toc7184833"/>
      <w:r w:rsidRPr="002914D8">
        <w:t>Base Case Material Cost ($/unit)</w:t>
      </w:r>
      <w:bookmarkEnd w:id="59"/>
      <w:bookmarkEnd w:id="60"/>
      <w:bookmarkEnd w:id="61"/>
    </w:p>
    <w:p w14:paraId="7A3DD124" w14:textId="668CDED0" w:rsidR="007C664D" w:rsidRDefault="007866A1" w:rsidP="007C664D">
      <w:r>
        <w:t>The base case material c</w:t>
      </w:r>
      <w:r w:rsidR="00300E8E">
        <w:t>ost</w:t>
      </w:r>
      <w:r>
        <w:t xml:space="preserve"> was calculated as the average of the gravity </w:t>
      </w:r>
      <w:r w:rsidR="00EE1B14">
        <w:t xml:space="preserve">and fan type </w:t>
      </w:r>
      <w:r>
        <w:t>wall furnace</w:t>
      </w:r>
      <w:r w:rsidR="00EE1B14">
        <w:t>s</w:t>
      </w:r>
      <w:r>
        <w:t xml:space="preserve"> </w:t>
      </w:r>
      <w:r w:rsidR="00925595">
        <w:t xml:space="preserve">of each input capacity size category. The MSRPs were </w:t>
      </w:r>
      <w:r w:rsidR="007C664D" w:rsidRPr="002914D8">
        <w:t xml:space="preserve">obtained from </w:t>
      </w:r>
      <w:r w:rsidR="00EE1B14">
        <w:t xml:space="preserve">online </w:t>
      </w:r>
      <w:r w:rsidR="001F2B98">
        <w:t>retailer</w:t>
      </w:r>
      <w:r w:rsidR="00EE1B14">
        <w:t>s and suppliers of wall furnaces</w:t>
      </w:r>
      <w:r w:rsidR="001F2B98">
        <w:t xml:space="preserve"> </w:t>
      </w:r>
      <w:r w:rsidR="001F2B98" w:rsidRPr="001F2B98">
        <w:t xml:space="preserve">(Home Depot, </w:t>
      </w:r>
      <w:r w:rsidR="001F2B98">
        <w:t>Grainger</w:t>
      </w:r>
      <w:r w:rsidR="001F2B98" w:rsidRPr="001F2B98">
        <w:t>, etc.)</w:t>
      </w:r>
      <w:r w:rsidR="001F2B98">
        <w:t xml:space="preserve"> in October 2020</w:t>
      </w:r>
      <w:r w:rsidRPr="00A9698C">
        <w:t>.</w:t>
      </w:r>
      <w:bookmarkStart w:id="62" w:name="_Ref51744943"/>
      <w:bookmarkStart w:id="63" w:name="_Hlk51744694"/>
      <w:r w:rsidR="00934D1B">
        <w:rPr>
          <w:rStyle w:val="FootnoteReference"/>
        </w:rPr>
        <w:footnoteReference w:id="12"/>
      </w:r>
      <w:bookmarkEnd w:id="62"/>
      <w:r w:rsidR="00B11033">
        <w:t>.</w:t>
      </w:r>
      <w:bookmarkEnd w:id="63"/>
    </w:p>
    <w:p w14:paraId="5735CF08" w14:textId="77777777" w:rsidR="00ED19A8" w:rsidRPr="00ED19A8" w:rsidRDefault="00ED19A8" w:rsidP="004F24DC">
      <w:pPr>
        <w:pStyle w:val="Caption"/>
      </w:pPr>
      <w:r w:rsidRPr="00ED19A8">
        <w:lastRenderedPageBreak/>
        <w:t>Base Case Cost Inputs</w:t>
      </w:r>
    </w:p>
    <w:tbl>
      <w:tblPr>
        <w:tblW w:w="952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765"/>
        <w:gridCol w:w="1350"/>
        <w:gridCol w:w="3407"/>
      </w:tblGrid>
      <w:tr w:rsidR="00ED19A8" w:rsidRPr="00ED19A8" w14:paraId="473785D1" w14:textId="77777777" w:rsidTr="00ED19A8">
        <w:trPr>
          <w:cantSplit/>
          <w:trHeight w:val="20"/>
        </w:trPr>
        <w:tc>
          <w:tcPr>
            <w:tcW w:w="4765" w:type="dxa"/>
            <w:shd w:val="clear" w:color="auto" w:fill="F2F2F2" w:themeFill="background1" w:themeFillShade="F2"/>
            <w:vAlign w:val="bottom"/>
          </w:tcPr>
          <w:p w14:paraId="46544CDC" w14:textId="77777777" w:rsidR="00ED19A8" w:rsidRPr="00ED19A8" w:rsidRDefault="00ED19A8" w:rsidP="00ED19A8">
            <w:pPr>
              <w:keepNext/>
              <w:keepLines/>
              <w:spacing w:before="20" w:after="20"/>
              <w:jc w:val="center"/>
              <w:rPr>
                <w:rFonts w:cstheme="minorHAnsi"/>
                <w:b/>
                <w:sz w:val="20"/>
                <w:szCs w:val="20"/>
              </w:rPr>
            </w:pPr>
            <w:r w:rsidRPr="00ED19A8">
              <w:rPr>
                <w:rFonts w:cstheme="minorHAnsi"/>
                <w:b/>
                <w:sz w:val="20"/>
                <w:szCs w:val="20"/>
              </w:rPr>
              <w:t>Parameter</w:t>
            </w:r>
          </w:p>
        </w:tc>
        <w:tc>
          <w:tcPr>
            <w:tcW w:w="1350" w:type="dxa"/>
            <w:shd w:val="clear" w:color="auto" w:fill="F2F2F2" w:themeFill="background1" w:themeFillShade="F2"/>
          </w:tcPr>
          <w:p w14:paraId="2B155D6E" w14:textId="77777777" w:rsidR="00ED19A8" w:rsidRPr="00ED19A8" w:rsidRDefault="00ED19A8" w:rsidP="00ED19A8">
            <w:pPr>
              <w:keepNext/>
              <w:keepLines/>
              <w:spacing w:before="20" w:after="20"/>
              <w:jc w:val="center"/>
              <w:rPr>
                <w:rFonts w:cstheme="minorHAnsi"/>
                <w:b/>
                <w:sz w:val="20"/>
                <w:szCs w:val="20"/>
              </w:rPr>
            </w:pPr>
            <w:r w:rsidRPr="00ED19A8">
              <w:rPr>
                <w:rFonts w:cstheme="minorHAnsi"/>
                <w:b/>
                <w:sz w:val="20"/>
                <w:szCs w:val="20"/>
              </w:rPr>
              <w:t>Value</w:t>
            </w:r>
          </w:p>
        </w:tc>
        <w:tc>
          <w:tcPr>
            <w:tcW w:w="3407" w:type="dxa"/>
            <w:shd w:val="clear" w:color="auto" w:fill="F2F2F2" w:themeFill="background1" w:themeFillShade="F2"/>
          </w:tcPr>
          <w:p w14:paraId="6DADFFB4" w14:textId="77777777" w:rsidR="00ED19A8" w:rsidRPr="00ED19A8" w:rsidRDefault="00ED19A8" w:rsidP="00ED19A8">
            <w:pPr>
              <w:keepNext/>
              <w:keepLines/>
              <w:spacing w:before="20" w:after="20"/>
              <w:jc w:val="center"/>
              <w:rPr>
                <w:rFonts w:cstheme="minorHAnsi"/>
                <w:b/>
                <w:sz w:val="20"/>
                <w:szCs w:val="20"/>
              </w:rPr>
            </w:pPr>
            <w:r w:rsidRPr="00ED19A8">
              <w:rPr>
                <w:rFonts w:cstheme="minorHAnsi"/>
                <w:b/>
                <w:sz w:val="20"/>
                <w:szCs w:val="20"/>
              </w:rPr>
              <w:t>Source</w:t>
            </w:r>
          </w:p>
        </w:tc>
      </w:tr>
      <w:tr w:rsidR="00ED19A8" w:rsidRPr="00ED19A8" w14:paraId="6808DED1" w14:textId="77777777" w:rsidTr="00ED19A8">
        <w:trPr>
          <w:cantSplit/>
          <w:trHeight w:val="20"/>
        </w:trPr>
        <w:tc>
          <w:tcPr>
            <w:tcW w:w="4765" w:type="dxa"/>
          </w:tcPr>
          <w:p w14:paraId="38156C48" w14:textId="5E0251B9" w:rsidR="00ED19A8" w:rsidRPr="00ED19A8" w:rsidRDefault="00ED19A8" w:rsidP="00ED19A8">
            <w:pPr>
              <w:keepNext/>
              <w:keepLines/>
              <w:spacing w:before="20" w:after="20"/>
              <w:rPr>
                <w:sz w:val="20"/>
                <w:szCs w:val="20"/>
              </w:rPr>
            </w:pPr>
            <w:r>
              <w:rPr>
                <w:sz w:val="20"/>
                <w:szCs w:val="20"/>
              </w:rPr>
              <w:t xml:space="preserve">25,000 </w:t>
            </w:r>
            <w:proofErr w:type="spellStart"/>
            <w:r>
              <w:rPr>
                <w:sz w:val="20"/>
                <w:szCs w:val="20"/>
              </w:rPr>
              <w:t>Btuh</w:t>
            </w:r>
            <w:proofErr w:type="spellEnd"/>
            <w:r>
              <w:rPr>
                <w:sz w:val="20"/>
                <w:szCs w:val="20"/>
              </w:rPr>
              <w:t xml:space="preserve"> Gravity Wall Furnace, rating 65% AFUE</w:t>
            </w:r>
          </w:p>
        </w:tc>
        <w:tc>
          <w:tcPr>
            <w:tcW w:w="1350" w:type="dxa"/>
            <w:vAlign w:val="center"/>
          </w:tcPr>
          <w:p w14:paraId="28E7D954" w14:textId="29B29274" w:rsidR="00ED19A8" w:rsidRPr="00ED19A8" w:rsidRDefault="00ED19A8" w:rsidP="00ED19A8">
            <w:pPr>
              <w:keepNext/>
              <w:keepLines/>
              <w:spacing w:before="20" w:after="20"/>
              <w:jc w:val="center"/>
              <w:rPr>
                <w:sz w:val="20"/>
                <w:szCs w:val="20"/>
              </w:rPr>
            </w:pPr>
            <w:r w:rsidRPr="00ED19A8">
              <w:rPr>
                <w:sz w:val="20"/>
                <w:szCs w:val="20"/>
              </w:rPr>
              <w:t>$</w:t>
            </w:r>
            <w:r>
              <w:rPr>
                <w:sz w:val="20"/>
                <w:szCs w:val="20"/>
              </w:rPr>
              <w:t>600</w:t>
            </w:r>
          </w:p>
        </w:tc>
        <w:tc>
          <w:tcPr>
            <w:tcW w:w="3407" w:type="dxa"/>
            <w:shd w:val="clear" w:color="auto" w:fill="auto"/>
          </w:tcPr>
          <w:p w14:paraId="618936D1" w14:textId="0DAA8FA9" w:rsidR="00ED19A8" w:rsidRPr="00ED19A8" w:rsidRDefault="00376BF6" w:rsidP="00ED19A8">
            <w:pPr>
              <w:keepNext/>
              <w:keepLines/>
              <w:spacing w:before="20" w:after="20"/>
              <w:rPr>
                <w:sz w:val="20"/>
                <w:szCs w:val="20"/>
              </w:rPr>
            </w:pPr>
            <w:r>
              <w:rPr>
                <w:sz w:val="20"/>
                <w:szCs w:val="20"/>
              </w:rPr>
              <w:t>Home Depot</w:t>
            </w:r>
            <w:r w:rsidR="00ED19A8">
              <w:rPr>
                <w:sz w:val="20"/>
                <w:szCs w:val="20"/>
              </w:rPr>
              <w:t xml:space="preserve"> website</w:t>
            </w:r>
            <w:r w:rsidR="00ED19A8" w:rsidRPr="00ED19A8">
              <w:rPr>
                <w:sz w:val="20"/>
                <w:szCs w:val="20"/>
              </w:rPr>
              <w:t xml:space="preserve"> </w:t>
            </w:r>
          </w:p>
        </w:tc>
      </w:tr>
      <w:tr w:rsidR="00ED19A8" w:rsidRPr="00ED19A8" w14:paraId="415D2B84" w14:textId="77777777" w:rsidTr="00ED19A8">
        <w:trPr>
          <w:cantSplit/>
          <w:trHeight w:val="20"/>
        </w:trPr>
        <w:tc>
          <w:tcPr>
            <w:tcW w:w="4765" w:type="dxa"/>
          </w:tcPr>
          <w:p w14:paraId="364B8179" w14:textId="58BDC41C" w:rsidR="00ED19A8" w:rsidRDefault="00ED19A8" w:rsidP="00ED19A8">
            <w:pPr>
              <w:keepNext/>
              <w:keepLines/>
              <w:spacing w:before="20" w:after="20"/>
              <w:rPr>
                <w:sz w:val="20"/>
                <w:szCs w:val="20"/>
              </w:rPr>
            </w:pPr>
            <w:r>
              <w:rPr>
                <w:sz w:val="20"/>
                <w:szCs w:val="20"/>
              </w:rPr>
              <w:t xml:space="preserve">35,000 </w:t>
            </w:r>
            <w:proofErr w:type="spellStart"/>
            <w:r>
              <w:rPr>
                <w:sz w:val="20"/>
                <w:szCs w:val="20"/>
              </w:rPr>
              <w:t>Btuh</w:t>
            </w:r>
            <w:proofErr w:type="spellEnd"/>
            <w:r>
              <w:rPr>
                <w:sz w:val="20"/>
                <w:szCs w:val="20"/>
              </w:rPr>
              <w:t xml:space="preserve"> Gravity Wall Furnace, rating 66% AFUE</w:t>
            </w:r>
          </w:p>
        </w:tc>
        <w:tc>
          <w:tcPr>
            <w:tcW w:w="1350" w:type="dxa"/>
            <w:vAlign w:val="center"/>
          </w:tcPr>
          <w:p w14:paraId="09B2D9D9" w14:textId="7DB6225C" w:rsidR="00ED19A8" w:rsidRPr="00ED19A8" w:rsidRDefault="00ED19A8" w:rsidP="00ED19A8">
            <w:pPr>
              <w:keepNext/>
              <w:keepLines/>
              <w:spacing w:before="20" w:after="20"/>
              <w:jc w:val="center"/>
              <w:rPr>
                <w:sz w:val="20"/>
                <w:szCs w:val="20"/>
              </w:rPr>
            </w:pPr>
            <w:r w:rsidRPr="00ED19A8">
              <w:rPr>
                <w:sz w:val="20"/>
                <w:szCs w:val="20"/>
              </w:rPr>
              <w:t>$</w:t>
            </w:r>
            <w:r>
              <w:rPr>
                <w:sz w:val="20"/>
                <w:szCs w:val="20"/>
              </w:rPr>
              <w:t>700</w:t>
            </w:r>
          </w:p>
        </w:tc>
        <w:tc>
          <w:tcPr>
            <w:tcW w:w="3407" w:type="dxa"/>
            <w:shd w:val="clear" w:color="auto" w:fill="auto"/>
          </w:tcPr>
          <w:p w14:paraId="2D5C19F9" w14:textId="3F6BF5A2" w:rsidR="00ED19A8" w:rsidRDefault="00ED19A8" w:rsidP="00ED19A8">
            <w:pPr>
              <w:keepNext/>
              <w:keepLines/>
              <w:spacing w:before="20" w:after="20"/>
              <w:rPr>
                <w:sz w:val="20"/>
                <w:szCs w:val="20"/>
              </w:rPr>
            </w:pPr>
            <w:r w:rsidRPr="00ED19A8">
              <w:rPr>
                <w:sz w:val="20"/>
                <w:szCs w:val="20"/>
              </w:rPr>
              <w:t xml:space="preserve">AC </w:t>
            </w:r>
            <w:proofErr w:type="spellStart"/>
            <w:r w:rsidRPr="00ED19A8">
              <w:rPr>
                <w:sz w:val="20"/>
                <w:szCs w:val="20"/>
              </w:rPr>
              <w:t>WholeSalers</w:t>
            </w:r>
            <w:proofErr w:type="spellEnd"/>
            <w:r>
              <w:rPr>
                <w:sz w:val="20"/>
                <w:szCs w:val="20"/>
              </w:rPr>
              <w:t xml:space="preserve"> website</w:t>
            </w:r>
          </w:p>
        </w:tc>
      </w:tr>
      <w:tr w:rsidR="00ED19A8" w:rsidRPr="00ED19A8" w14:paraId="59BB4A66" w14:textId="77777777" w:rsidTr="00ED19A8">
        <w:trPr>
          <w:cantSplit/>
          <w:trHeight w:val="20"/>
        </w:trPr>
        <w:tc>
          <w:tcPr>
            <w:tcW w:w="4765" w:type="dxa"/>
          </w:tcPr>
          <w:p w14:paraId="3758F189" w14:textId="0534EBE0" w:rsidR="00ED19A8" w:rsidRPr="00ED19A8" w:rsidRDefault="00ED19A8" w:rsidP="00ED19A8">
            <w:pPr>
              <w:keepNext/>
              <w:keepLines/>
              <w:spacing w:before="20" w:after="20"/>
              <w:rPr>
                <w:sz w:val="20"/>
                <w:szCs w:val="20"/>
              </w:rPr>
            </w:pPr>
            <w:r>
              <w:rPr>
                <w:sz w:val="20"/>
                <w:szCs w:val="20"/>
              </w:rPr>
              <w:t xml:space="preserve">50,000 </w:t>
            </w:r>
            <w:proofErr w:type="spellStart"/>
            <w:r>
              <w:rPr>
                <w:sz w:val="20"/>
                <w:szCs w:val="20"/>
              </w:rPr>
              <w:t>Btuh</w:t>
            </w:r>
            <w:proofErr w:type="spellEnd"/>
            <w:r>
              <w:rPr>
                <w:sz w:val="20"/>
                <w:szCs w:val="20"/>
              </w:rPr>
              <w:t xml:space="preserve"> Gravity Wall Furnace, rating 67% AFUE</w:t>
            </w:r>
            <w:r w:rsidRPr="00ED19A8">
              <w:rPr>
                <w:sz w:val="20"/>
                <w:szCs w:val="20"/>
              </w:rPr>
              <w:t xml:space="preserve"> </w:t>
            </w:r>
          </w:p>
        </w:tc>
        <w:tc>
          <w:tcPr>
            <w:tcW w:w="1350" w:type="dxa"/>
            <w:vAlign w:val="center"/>
          </w:tcPr>
          <w:p w14:paraId="6A36E70A" w14:textId="7AEF8FDF" w:rsidR="00ED19A8" w:rsidRPr="00ED19A8" w:rsidRDefault="00ED19A8" w:rsidP="00ED19A8">
            <w:pPr>
              <w:keepNext/>
              <w:keepLines/>
              <w:spacing w:before="20" w:after="20"/>
              <w:jc w:val="center"/>
              <w:rPr>
                <w:sz w:val="20"/>
                <w:szCs w:val="20"/>
              </w:rPr>
            </w:pPr>
            <w:r w:rsidRPr="00ED19A8">
              <w:rPr>
                <w:sz w:val="20"/>
                <w:szCs w:val="20"/>
              </w:rPr>
              <w:t>$</w:t>
            </w:r>
            <w:r>
              <w:rPr>
                <w:sz w:val="20"/>
                <w:szCs w:val="20"/>
              </w:rPr>
              <w:t>979</w:t>
            </w:r>
          </w:p>
        </w:tc>
        <w:tc>
          <w:tcPr>
            <w:tcW w:w="3407" w:type="dxa"/>
            <w:shd w:val="clear" w:color="auto" w:fill="auto"/>
          </w:tcPr>
          <w:p w14:paraId="574A5568" w14:textId="578C54B8" w:rsidR="00ED19A8" w:rsidRPr="00ED19A8" w:rsidRDefault="00ED19A8" w:rsidP="00ED19A8">
            <w:pPr>
              <w:keepNext/>
              <w:keepLines/>
              <w:spacing w:before="20" w:after="20"/>
              <w:rPr>
                <w:sz w:val="20"/>
                <w:szCs w:val="20"/>
              </w:rPr>
            </w:pPr>
            <w:r w:rsidRPr="00ED19A8">
              <w:rPr>
                <w:sz w:val="20"/>
                <w:szCs w:val="20"/>
              </w:rPr>
              <w:t xml:space="preserve">Grainger/ </w:t>
            </w:r>
            <w:proofErr w:type="spellStart"/>
            <w:r w:rsidRPr="00ED19A8">
              <w:rPr>
                <w:sz w:val="20"/>
                <w:szCs w:val="20"/>
              </w:rPr>
              <w:t>GasHeaterStore</w:t>
            </w:r>
            <w:proofErr w:type="spellEnd"/>
          </w:p>
        </w:tc>
      </w:tr>
      <w:tr w:rsidR="005B1905" w:rsidRPr="00ED19A8" w14:paraId="034C73DB" w14:textId="77777777" w:rsidTr="00400F4C">
        <w:trPr>
          <w:cantSplit/>
          <w:trHeight w:val="20"/>
        </w:trPr>
        <w:tc>
          <w:tcPr>
            <w:tcW w:w="4765" w:type="dxa"/>
          </w:tcPr>
          <w:p w14:paraId="14F6BBBB" w14:textId="3950B8BE" w:rsidR="005B1905" w:rsidRDefault="005B1905" w:rsidP="00400F4C">
            <w:pPr>
              <w:keepNext/>
              <w:keepLines/>
              <w:spacing w:before="20" w:after="20"/>
              <w:rPr>
                <w:sz w:val="20"/>
                <w:szCs w:val="20"/>
              </w:rPr>
            </w:pPr>
            <w:r>
              <w:rPr>
                <w:sz w:val="20"/>
                <w:szCs w:val="20"/>
              </w:rPr>
              <w:t xml:space="preserve">30,000 </w:t>
            </w:r>
            <w:proofErr w:type="spellStart"/>
            <w:r>
              <w:rPr>
                <w:sz w:val="20"/>
                <w:szCs w:val="20"/>
              </w:rPr>
              <w:t>Btuh</w:t>
            </w:r>
            <w:proofErr w:type="spellEnd"/>
            <w:r>
              <w:rPr>
                <w:sz w:val="20"/>
                <w:szCs w:val="20"/>
              </w:rPr>
              <w:t xml:space="preserve"> Fan type Wall Furnace, rating 75% AFUE</w:t>
            </w:r>
          </w:p>
        </w:tc>
        <w:tc>
          <w:tcPr>
            <w:tcW w:w="1350" w:type="dxa"/>
            <w:vAlign w:val="center"/>
          </w:tcPr>
          <w:p w14:paraId="588CB0F3" w14:textId="4B08EAEE" w:rsidR="005B1905" w:rsidRPr="00ED19A8" w:rsidRDefault="005B1905" w:rsidP="00400F4C">
            <w:pPr>
              <w:keepNext/>
              <w:keepLines/>
              <w:spacing w:before="20" w:after="20"/>
              <w:jc w:val="center"/>
              <w:rPr>
                <w:sz w:val="20"/>
                <w:szCs w:val="20"/>
              </w:rPr>
            </w:pPr>
            <w:r w:rsidRPr="00ED19A8">
              <w:rPr>
                <w:sz w:val="20"/>
                <w:szCs w:val="20"/>
              </w:rPr>
              <w:t>$</w:t>
            </w:r>
            <w:r>
              <w:rPr>
                <w:sz w:val="20"/>
                <w:szCs w:val="20"/>
              </w:rPr>
              <w:t>1,115</w:t>
            </w:r>
          </w:p>
        </w:tc>
        <w:tc>
          <w:tcPr>
            <w:tcW w:w="3407" w:type="dxa"/>
            <w:shd w:val="clear" w:color="auto" w:fill="auto"/>
          </w:tcPr>
          <w:p w14:paraId="286D4713" w14:textId="152BC3D2" w:rsidR="005B1905" w:rsidRPr="001C1D0E" w:rsidRDefault="005B1905" w:rsidP="005B1905">
            <w:pPr>
              <w:keepNext/>
              <w:keepLines/>
              <w:spacing w:before="20" w:after="20"/>
              <w:rPr>
                <w:rFonts w:ascii="Calibri" w:hAnsi="Calibri" w:cs="Calibri"/>
                <w:color w:val="000000"/>
                <w:szCs w:val="22"/>
              </w:rPr>
            </w:pPr>
            <w:r w:rsidRPr="001C1D0E">
              <w:rPr>
                <w:sz w:val="20"/>
                <w:szCs w:val="20"/>
              </w:rPr>
              <w:t>E Comfort</w:t>
            </w:r>
            <w:r>
              <w:rPr>
                <w:rFonts w:ascii="Calibri" w:hAnsi="Calibri" w:cs="Calibri"/>
                <w:color w:val="000000"/>
                <w:szCs w:val="22"/>
              </w:rPr>
              <w:t xml:space="preserve"> </w:t>
            </w:r>
          </w:p>
        </w:tc>
      </w:tr>
    </w:tbl>
    <w:p w14:paraId="7A171602" w14:textId="77777777" w:rsidR="00ED19A8" w:rsidRPr="002914D8" w:rsidRDefault="00ED19A8" w:rsidP="007C664D"/>
    <w:p w14:paraId="44E8DBEB" w14:textId="77777777" w:rsidR="007D230B" w:rsidRPr="002914D8" w:rsidRDefault="007D230B" w:rsidP="00462BB6">
      <w:pPr>
        <w:pStyle w:val="eTRMHeading3"/>
      </w:pPr>
      <w:bookmarkStart w:id="64" w:name="_Toc486490861"/>
      <w:bookmarkStart w:id="65" w:name="_Toc486580932"/>
      <w:bookmarkStart w:id="66" w:name="_Toc7184834"/>
      <w:r w:rsidRPr="002914D8">
        <w:t>Measure Case Material Cost ($/unit)</w:t>
      </w:r>
      <w:bookmarkEnd w:id="64"/>
      <w:bookmarkEnd w:id="65"/>
      <w:bookmarkEnd w:id="66"/>
    </w:p>
    <w:p w14:paraId="3449A3CF" w14:textId="472EFA48" w:rsidR="007D230B" w:rsidRDefault="00925595" w:rsidP="00DB6148">
      <w:pPr>
        <w:spacing w:line="240" w:lineRule="auto"/>
      </w:pPr>
      <w:r>
        <w:t xml:space="preserve">The measure case </w:t>
      </w:r>
      <w:r w:rsidR="00487A23">
        <w:t>cost</w:t>
      </w:r>
      <w:r>
        <w:t xml:space="preserve"> </w:t>
      </w:r>
      <w:r w:rsidR="001F2B98">
        <w:t xml:space="preserve">for the </w:t>
      </w:r>
      <w:r>
        <w:t xml:space="preserve">gravity </w:t>
      </w:r>
      <w:r w:rsidR="001F2B98">
        <w:t xml:space="preserve">and fan type </w:t>
      </w:r>
      <w:r>
        <w:t>wall furnace model</w:t>
      </w:r>
      <w:r w:rsidR="00B0673A">
        <w:t>s</w:t>
      </w:r>
      <w:r w:rsidR="001F2B98">
        <w:t xml:space="preserve"> shown in the table were obtained from online retailers </w:t>
      </w:r>
      <w:r w:rsidR="00683D09">
        <w:t>o</w:t>
      </w:r>
      <w:r w:rsidR="00CF4BF2">
        <w:t>f</w:t>
      </w:r>
      <w:r w:rsidR="00683D09">
        <w:t xml:space="preserve"> wall furnaces</w:t>
      </w:r>
      <w:r>
        <w:t xml:space="preserve"> </w:t>
      </w:r>
      <w:r w:rsidR="00DB6148">
        <w:fldChar w:fldCharType="begin"/>
      </w:r>
      <w:r w:rsidR="00DB6148">
        <w:instrText xml:space="preserve"> NOTEREF _Ref51744943 \h  \* MERGEFORMAT </w:instrText>
      </w:r>
      <w:r w:rsidR="00DB6148">
        <w:fldChar w:fldCharType="separate"/>
      </w:r>
      <w:r w:rsidR="00BB21AB" w:rsidRPr="00BB21AB">
        <w:rPr>
          <w:vertAlign w:val="superscript"/>
        </w:rPr>
        <w:t>12</w:t>
      </w:r>
      <w:r w:rsidR="00DB6148">
        <w:fldChar w:fldCharType="end"/>
      </w:r>
      <w:r w:rsidR="00B56C89">
        <w:t>.</w:t>
      </w:r>
    </w:p>
    <w:p w14:paraId="3D999F43" w14:textId="77777777" w:rsidR="00ED19A8" w:rsidRPr="008555E7" w:rsidRDefault="00ED19A8" w:rsidP="00ED19A8">
      <w:pPr>
        <w:pStyle w:val="Caption"/>
      </w:pPr>
      <w:r w:rsidRPr="008555E7">
        <w:t xml:space="preserve">Measure </w:t>
      </w:r>
      <w:r>
        <w:t xml:space="preserve">Case Material </w:t>
      </w:r>
      <w:r w:rsidRPr="008555E7">
        <w:t>Cost</w:t>
      </w:r>
      <w:r>
        <w:t xml:space="preserve"> Inputs</w:t>
      </w:r>
    </w:p>
    <w:tbl>
      <w:tblPr>
        <w:tblW w:w="952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855"/>
        <w:gridCol w:w="1260"/>
        <w:gridCol w:w="3407"/>
      </w:tblGrid>
      <w:tr w:rsidR="00ED19A8" w:rsidRPr="00500C4E" w14:paraId="0FDBD956" w14:textId="77777777" w:rsidTr="00ED19A8">
        <w:trPr>
          <w:cantSplit/>
          <w:trHeight w:val="20"/>
        </w:trPr>
        <w:tc>
          <w:tcPr>
            <w:tcW w:w="4855" w:type="dxa"/>
            <w:shd w:val="clear" w:color="auto" w:fill="F2F2F2" w:themeFill="background1" w:themeFillShade="F2"/>
            <w:vAlign w:val="bottom"/>
          </w:tcPr>
          <w:p w14:paraId="497FB20C" w14:textId="77777777" w:rsidR="00ED19A8" w:rsidRPr="00694410" w:rsidRDefault="00ED19A8" w:rsidP="00ED19A8">
            <w:pPr>
              <w:keepNext/>
              <w:keepLines/>
              <w:spacing w:before="20" w:after="20"/>
              <w:jc w:val="center"/>
              <w:rPr>
                <w:rFonts w:cstheme="minorHAnsi"/>
                <w:b/>
                <w:sz w:val="20"/>
                <w:szCs w:val="20"/>
              </w:rPr>
            </w:pPr>
            <w:r>
              <w:rPr>
                <w:rFonts w:cstheme="minorHAnsi"/>
                <w:b/>
                <w:sz w:val="20"/>
                <w:szCs w:val="20"/>
              </w:rPr>
              <w:t>Parameter</w:t>
            </w:r>
          </w:p>
        </w:tc>
        <w:tc>
          <w:tcPr>
            <w:tcW w:w="1260" w:type="dxa"/>
            <w:shd w:val="clear" w:color="auto" w:fill="F2F2F2" w:themeFill="background1" w:themeFillShade="F2"/>
          </w:tcPr>
          <w:p w14:paraId="42DE45A2" w14:textId="77777777" w:rsidR="00ED19A8" w:rsidRPr="00694410" w:rsidRDefault="00ED19A8" w:rsidP="00ED19A8">
            <w:pPr>
              <w:keepNext/>
              <w:keepLines/>
              <w:spacing w:before="20" w:after="20"/>
              <w:jc w:val="center"/>
              <w:rPr>
                <w:rFonts w:cstheme="minorHAnsi"/>
                <w:b/>
                <w:sz w:val="20"/>
                <w:szCs w:val="20"/>
              </w:rPr>
            </w:pPr>
            <w:r>
              <w:rPr>
                <w:rFonts w:cstheme="minorHAnsi"/>
                <w:b/>
                <w:sz w:val="20"/>
                <w:szCs w:val="20"/>
              </w:rPr>
              <w:t>Value</w:t>
            </w:r>
          </w:p>
        </w:tc>
        <w:tc>
          <w:tcPr>
            <w:tcW w:w="3407" w:type="dxa"/>
            <w:shd w:val="clear" w:color="auto" w:fill="F2F2F2" w:themeFill="background1" w:themeFillShade="F2"/>
          </w:tcPr>
          <w:p w14:paraId="6422386F" w14:textId="77777777" w:rsidR="00ED19A8" w:rsidRPr="00694410" w:rsidRDefault="00ED19A8" w:rsidP="00ED19A8">
            <w:pPr>
              <w:keepNext/>
              <w:keepLines/>
              <w:spacing w:before="20" w:after="20"/>
              <w:jc w:val="center"/>
              <w:rPr>
                <w:rFonts w:cstheme="minorHAnsi"/>
                <w:b/>
                <w:sz w:val="20"/>
                <w:szCs w:val="20"/>
              </w:rPr>
            </w:pPr>
            <w:r>
              <w:rPr>
                <w:rFonts w:cstheme="minorHAnsi"/>
                <w:b/>
                <w:sz w:val="20"/>
                <w:szCs w:val="20"/>
              </w:rPr>
              <w:t>Source</w:t>
            </w:r>
          </w:p>
        </w:tc>
      </w:tr>
      <w:tr w:rsidR="005B1905" w:rsidRPr="00500C4E" w14:paraId="58C385E8" w14:textId="77777777" w:rsidTr="001C1D0E">
        <w:trPr>
          <w:cantSplit/>
          <w:trHeight w:val="20"/>
        </w:trPr>
        <w:tc>
          <w:tcPr>
            <w:tcW w:w="4855" w:type="dxa"/>
          </w:tcPr>
          <w:p w14:paraId="002D7803" w14:textId="0182B00F" w:rsidR="005B1905" w:rsidRPr="00A160BF" w:rsidRDefault="005B1905" w:rsidP="005B1905">
            <w:pPr>
              <w:keepNext/>
              <w:keepLines/>
              <w:spacing w:before="20" w:after="20"/>
              <w:rPr>
                <w:sz w:val="20"/>
                <w:szCs w:val="20"/>
              </w:rPr>
            </w:pPr>
            <w:r>
              <w:rPr>
                <w:sz w:val="20"/>
                <w:szCs w:val="20"/>
              </w:rPr>
              <w:t xml:space="preserve">25,000 </w:t>
            </w:r>
            <w:proofErr w:type="spellStart"/>
            <w:r>
              <w:rPr>
                <w:sz w:val="20"/>
                <w:szCs w:val="20"/>
              </w:rPr>
              <w:t>Btuh</w:t>
            </w:r>
            <w:proofErr w:type="spellEnd"/>
            <w:r>
              <w:rPr>
                <w:sz w:val="20"/>
                <w:szCs w:val="20"/>
              </w:rPr>
              <w:t xml:space="preserve"> Gravity Wall Furnace, </w:t>
            </w:r>
            <w:r>
              <w:rPr>
                <w:rFonts w:cs="Calibri Light"/>
                <w:sz w:val="20"/>
                <w:szCs w:val="20"/>
              </w:rPr>
              <w:t>≥</w:t>
            </w:r>
            <w:r>
              <w:rPr>
                <w:sz w:val="20"/>
                <w:szCs w:val="20"/>
              </w:rPr>
              <w:t xml:space="preserve"> 70% AFUE</w:t>
            </w:r>
          </w:p>
        </w:tc>
        <w:tc>
          <w:tcPr>
            <w:tcW w:w="1260" w:type="dxa"/>
            <w:vAlign w:val="center"/>
          </w:tcPr>
          <w:p w14:paraId="6B61AE4E" w14:textId="63F8782D" w:rsidR="005B1905" w:rsidRPr="00A160BF" w:rsidRDefault="005B1905" w:rsidP="005B1905">
            <w:pPr>
              <w:keepNext/>
              <w:keepLines/>
              <w:spacing w:before="20" w:after="20"/>
              <w:jc w:val="center"/>
              <w:rPr>
                <w:color w:val="FF0000"/>
                <w:sz w:val="20"/>
                <w:szCs w:val="20"/>
              </w:rPr>
            </w:pPr>
            <w:r w:rsidRPr="00ED19A8">
              <w:rPr>
                <w:sz w:val="20"/>
                <w:szCs w:val="20"/>
              </w:rPr>
              <w:t>$</w:t>
            </w:r>
            <w:r>
              <w:rPr>
                <w:sz w:val="20"/>
                <w:szCs w:val="20"/>
              </w:rPr>
              <w:t>631.83</w:t>
            </w:r>
          </w:p>
        </w:tc>
        <w:tc>
          <w:tcPr>
            <w:tcW w:w="3407" w:type="dxa"/>
          </w:tcPr>
          <w:p w14:paraId="1D68CE6A" w14:textId="622F5518" w:rsidR="005B1905" w:rsidRPr="00A160BF" w:rsidRDefault="005B1905" w:rsidP="005B1905">
            <w:pPr>
              <w:keepNext/>
              <w:keepLines/>
              <w:spacing w:before="20" w:after="20"/>
              <w:rPr>
                <w:color w:val="FF0000"/>
                <w:sz w:val="20"/>
                <w:szCs w:val="20"/>
              </w:rPr>
            </w:pPr>
            <w:proofErr w:type="spellStart"/>
            <w:r>
              <w:rPr>
                <w:sz w:val="20"/>
                <w:szCs w:val="20"/>
              </w:rPr>
              <w:t>HomeDepot</w:t>
            </w:r>
            <w:proofErr w:type="spellEnd"/>
            <w:r>
              <w:rPr>
                <w:sz w:val="20"/>
                <w:szCs w:val="20"/>
              </w:rPr>
              <w:t xml:space="preserve"> website</w:t>
            </w:r>
            <w:r w:rsidRPr="00ED19A8">
              <w:rPr>
                <w:sz w:val="20"/>
                <w:szCs w:val="20"/>
              </w:rPr>
              <w:t xml:space="preserve"> </w:t>
            </w:r>
          </w:p>
        </w:tc>
      </w:tr>
      <w:tr w:rsidR="005B1905" w:rsidRPr="00500C4E" w14:paraId="4B34F11B" w14:textId="77777777" w:rsidTr="001C1D0E">
        <w:trPr>
          <w:cantSplit/>
          <w:trHeight w:val="20"/>
        </w:trPr>
        <w:tc>
          <w:tcPr>
            <w:tcW w:w="4855" w:type="dxa"/>
          </w:tcPr>
          <w:p w14:paraId="5FF50778" w14:textId="3026F615" w:rsidR="005B1905" w:rsidRPr="00A160BF" w:rsidRDefault="005B1905" w:rsidP="005B1905">
            <w:pPr>
              <w:keepNext/>
              <w:keepLines/>
              <w:spacing w:before="20" w:after="20"/>
              <w:rPr>
                <w:rFonts w:cs="Calibri"/>
                <w:color w:val="191919" w:themeColor="text1"/>
                <w:sz w:val="20"/>
                <w:szCs w:val="20"/>
              </w:rPr>
            </w:pPr>
            <w:r>
              <w:rPr>
                <w:sz w:val="20"/>
                <w:szCs w:val="20"/>
              </w:rPr>
              <w:t xml:space="preserve">35,000 </w:t>
            </w:r>
            <w:proofErr w:type="spellStart"/>
            <w:r>
              <w:rPr>
                <w:sz w:val="20"/>
                <w:szCs w:val="20"/>
              </w:rPr>
              <w:t>Btuh</w:t>
            </w:r>
            <w:proofErr w:type="spellEnd"/>
            <w:r>
              <w:rPr>
                <w:sz w:val="20"/>
                <w:szCs w:val="20"/>
              </w:rPr>
              <w:t xml:space="preserve"> Gravity Wall Furnace, </w:t>
            </w:r>
            <w:r>
              <w:rPr>
                <w:rFonts w:cs="Calibri Light"/>
                <w:sz w:val="20"/>
                <w:szCs w:val="20"/>
              </w:rPr>
              <w:t>≥</w:t>
            </w:r>
            <w:r>
              <w:rPr>
                <w:sz w:val="20"/>
                <w:szCs w:val="20"/>
              </w:rPr>
              <w:t xml:space="preserve"> 70% AFUE</w:t>
            </w:r>
          </w:p>
        </w:tc>
        <w:tc>
          <w:tcPr>
            <w:tcW w:w="1260" w:type="dxa"/>
            <w:vAlign w:val="center"/>
          </w:tcPr>
          <w:p w14:paraId="562C7FE7" w14:textId="6D623021" w:rsidR="005B1905" w:rsidRPr="00A160BF" w:rsidRDefault="005B1905" w:rsidP="005B1905">
            <w:pPr>
              <w:keepNext/>
              <w:keepLines/>
              <w:spacing w:before="20" w:after="20"/>
              <w:jc w:val="center"/>
              <w:rPr>
                <w:rFonts w:cs="Calibri"/>
                <w:color w:val="191919" w:themeColor="text1"/>
                <w:sz w:val="20"/>
                <w:szCs w:val="20"/>
              </w:rPr>
            </w:pPr>
            <w:r w:rsidRPr="00ED19A8">
              <w:rPr>
                <w:sz w:val="20"/>
                <w:szCs w:val="20"/>
              </w:rPr>
              <w:t>$</w:t>
            </w:r>
            <w:r>
              <w:rPr>
                <w:sz w:val="20"/>
                <w:szCs w:val="20"/>
              </w:rPr>
              <w:t>751.50</w:t>
            </w:r>
          </w:p>
        </w:tc>
        <w:tc>
          <w:tcPr>
            <w:tcW w:w="3407" w:type="dxa"/>
          </w:tcPr>
          <w:p w14:paraId="04339DAF" w14:textId="3D950022" w:rsidR="005B1905" w:rsidRPr="00A160BF" w:rsidRDefault="005B1905" w:rsidP="005B1905">
            <w:pPr>
              <w:keepNext/>
              <w:keepLines/>
              <w:spacing w:before="20" w:after="20"/>
              <w:rPr>
                <w:sz w:val="20"/>
                <w:szCs w:val="20"/>
              </w:rPr>
            </w:pPr>
            <w:proofErr w:type="spellStart"/>
            <w:r>
              <w:rPr>
                <w:sz w:val="20"/>
                <w:szCs w:val="20"/>
              </w:rPr>
              <w:t>HomeDepot</w:t>
            </w:r>
            <w:proofErr w:type="spellEnd"/>
            <w:r>
              <w:rPr>
                <w:sz w:val="20"/>
                <w:szCs w:val="20"/>
              </w:rPr>
              <w:t xml:space="preserve"> website</w:t>
            </w:r>
          </w:p>
        </w:tc>
      </w:tr>
      <w:tr w:rsidR="005B1905" w:rsidRPr="00500C4E" w14:paraId="2038E3F6" w14:textId="77777777" w:rsidTr="001C1D0E">
        <w:trPr>
          <w:cantSplit/>
          <w:trHeight w:val="20"/>
        </w:trPr>
        <w:tc>
          <w:tcPr>
            <w:tcW w:w="4855" w:type="dxa"/>
          </w:tcPr>
          <w:p w14:paraId="49126AEE" w14:textId="39586A5D" w:rsidR="005B1905" w:rsidRPr="00A160BF" w:rsidRDefault="005B1905" w:rsidP="005B1905">
            <w:pPr>
              <w:keepNext/>
              <w:keepLines/>
              <w:spacing w:before="20" w:after="20"/>
              <w:rPr>
                <w:rFonts w:cs="Calibri"/>
                <w:color w:val="191919" w:themeColor="text1"/>
                <w:sz w:val="20"/>
                <w:szCs w:val="20"/>
              </w:rPr>
            </w:pPr>
            <w:r>
              <w:rPr>
                <w:sz w:val="20"/>
                <w:szCs w:val="20"/>
              </w:rPr>
              <w:t xml:space="preserve">50,000 </w:t>
            </w:r>
            <w:proofErr w:type="spellStart"/>
            <w:r>
              <w:rPr>
                <w:sz w:val="20"/>
                <w:szCs w:val="20"/>
              </w:rPr>
              <w:t>Btuh</w:t>
            </w:r>
            <w:proofErr w:type="spellEnd"/>
            <w:r>
              <w:rPr>
                <w:sz w:val="20"/>
                <w:szCs w:val="20"/>
              </w:rPr>
              <w:t xml:space="preserve"> Gravity Wall Furnace, </w:t>
            </w:r>
            <w:r>
              <w:rPr>
                <w:rFonts w:cs="Calibri Light"/>
                <w:sz w:val="20"/>
                <w:szCs w:val="20"/>
              </w:rPr>
              <w:t>≥</w:t>
            </w:r>
            <w:r>
              <w:rPr>
                <w:sz w:val="20"/>
                <w:szCs w:val="20"/>
              </w:rPr>
              <w:t xml:space="preserve"> 70% AFUE</w:t>
            </w:r>
            <w:r w:rsidRPr="00ED19A8">
              <w:rPr>
                <w:sz w:val="20"/>
                <w:szCs w:val="20"/>
              </w:rPr>
              <w:t xml:space="preserve"> </w:t>
            </w:r>
          </w:p>
        </w:tc>
        <w:tc>
          <w:tcPr>
            <w:tcW w:w="1260" w:type="dxa"/>
            <w:vAlign w:val="center"/>
          </w:tcPr>
          <w:p w14:paraId="629D094C" w14:textId="75CDA689" w:rsidR="005B1905" w:rsidRPr="00A160BF" w:rsidRDefault="005B1905" w:rsidP="005B1905">
            <w:pPr>
              <w:keepNext/>
              <w:keepLines/>
              <w:spacing w:before="20" w:after="20"/>
              <w:jc w:val="center"/>
              <w:rPr>
                <w:rFonts w:cs="Calibri"/>
                <w:color w:val="191919" w:themeColor="text1"/>
                <w:sz w:val="20"/>
                <w:szCs w:val="20"/>
              </w:rPr>
            </w:pPr>
            <w:r w:rsidRPr="00ED19A8">
              <w:rPr>
                <w:sz w:val="20"/>
                <w:szCs w:val="20"/>
              </w:rPr>
              <w:t>$</w:t>
            </w:r>
            <w:r>
              <w:rPr>
                <w:sz w:val="20"/>
                <w:szCs w:val="20"/>
              </w:rPr>
              <w:t>1,105</w:t>
            </w:r>
          </w:p>
        </w:tc>
        <w:tc>
          <w:tcPr>
            <w:tcW w:w="3407" w:type="dxa"/>
          </w:tcPr>
          <w:p w14:paraId="3D7A8479" w14:textId="0B6E171C" w:rsidR="005B1905" w:rsidRPr="00A160BF" w:rsidRDefault="005B1905" w:rsidP="005B1905">
            <w:pPr>
              <w:keepNext/>
              <w:keepLines/>
              <w:spacing w:before="20" w:after="20"/>
              <w:rPr>
                <w:sz w:val="20"/>
                <w:szCs w:val="20"/>
              </w:rPr>
            </w:pPr>
            <w:r w:rsidRPr="005B1905">
              <w:rPr>
                <w:sz w:val="20"/>
                <w:szCs w:val="20"/>
              </w:rPr>
              <w:t>E Comfort</w:t>
            </w:r>
          </w:p>
        </w:tc>
      </w:tr>
      <w:tr w:rsidR="005B1905" w:rsidRPr="00500C4E" w14:paraId="7D425C50" w14:textId="77777777" w:rsidTr="00B26D9E">
        <w:trPr>
          <w:cantSplit/>
          <w:trHeight w:val="20"/>
        </w:trPr>
        <w:tc>
          <w:tcPr>
            <w:tcW w:w="4855" w:type="dxa"/>
          </w:tcPr>
          <w:p w14:paraId="114FE2B9" w14:textId="2A213C10" w:rsidR="005B1905" w:rsidRDefault="005B1905" w:rsidP="005B1905">
            <w:pPr>
              <w:keepNext/>
              <w:keepLines/>
              <w:spacing w:before="20" w:after="20"/>
              <w:rPr>
                <w:sz w:val="20"/>
                <w:szCs w:val="20"/>
              </w:rPr>
            </w:pPr>
            <w:r>
              <w:rPr>
                <w:sz w:val="20"/>
                <w:szCs w:val="20"/>
              </w:rPr>
              <w:t xml:space="preserve">30,000 </w:t>
            </w:r>
            <w:proofErr w:type="spellStart"/>
            <w:r>
              <w:rPr>
                <w:sz w:val="20"/>
                <w:szCs w:val="20"/>
              </w:rPr>
              <w:t>Btuh</w:t>
            </w:r>
            <w:proofErr w:type="spellEnd"/>
            <w:r>
              <w:rPr>
                <w:sz w:val="20"/>
                <w:szCs w:val="20"/>
              </w:rPr>
              <w:t xml:space="preserve"> Fan type Wall Furnace, </w:t>
            </w:r>
            <w:r>
              <w:rPr>
                <w:rFonts w:cs="Calibri Light"/>
                <w:sz w:val="20"/>
                <w:szCs w:val="20"/>
              </w:rPr>
              <w:t>≥</w:t>
            </w:r>
            <w:r>
              <w:rPr>
                <w:sz w:val="20"/>
                <w:szCs w:val="20"/>
              </w:rPr>
              <w:t xml:space="preserve"> 82% AFUE</w:t>
            </w:r>
          </w:p>
        </w:tc>
        <w:tc>
          <w:tcPr>
            <w:tcW w:w="1260" w:type="dxa"/>
            <w:vAlign w:val="center"/>
          </w:tcPr>
          <w:p w14:paraId="40B9966B" w14:textId="71066747" w:rsidR="005B1905" w:rsidRPr="00ED19A8" w:rsidRDefault="005B1905" w:rsidP="005B1905">
            <w:pPr>
              <w:keepNext/>
              <w:keepLines/>
              <w:spacing w:before="20" w:after="20"/>
              <w:jc w:val="center"/>
              <w:rPr>
                <w:sz w:val="20"/>
                <w:szCs w:val="20"/>
              </w:rPr>
            </w:pPr>
            <w:r w:rsidRPr="00ED19A8">
              <w:rPr>
                <w:sz w:val="20"/>
                <w:szCs w:val="20"/>
              </w:rPr>
              <w:t>$</w:t>
            </w:r>
            <w:r>
              <w:rPr>
                <w:sz w:val="20"/>
                <w:szCs w:val="20"/>
              </w:rPr>
              <w:t>1,388</w:t>
            </w:r>
          </w:p>
        </w:tc>
        <w:tc>
          <w:tcPr>
            <w:tcW w:w="3407" w:type="dxa"/>
          </w:tcPr>
          <w:p w14:paraId="2ACC5E17" w14:textId="6620FAA3" w:rsidR="005B1905" w:rsidRPr="00ED19A8" w:rsidRDefault="005B1905" w:rsidP="005B1905">
            <w:pPr>
              <w:keepNext/>
              <w:keepLines/>
              <w:spacing w:before="20" w:after="20"/>
              <w:rPr>
                <w:sz w:val="20"/>
                <w:szCs w:val="20"/>
              </w:rPr>
            </w:pPr>
            <w:r w:rsidRPr="005B1905">
              <w:rPr>
                <w:sz w:val="20"/>
                <w:szCs w:val="20"/>
              </w:rPr>
              <w:t>Grainger</w:t>
            </w:r>
          </w:p>
        </w:tc>
      </w:tr>
    </w:tbl>
    <w:p w14:paraId="329DE715" w14:textId="77777777" w:rsidR="00ED19A8" w:rsidRPr="002914D8" w:rsidRDefault="00ED19A8" w:rsidP="004142EF"/>
    <w:p w14:paraId="02691007" w14:textId="3C007D4F" w:rsidR="007D230B" w:rsidRPr="002914D8" w:rsidRDefault="002E5874" w:rsidP="00462BB6">
      <w:pPr>
        <w:pStyle w:val="eTRMHeading3"/>
      </w:pPr>
      <w:bookmarkStart w:id="67" w:name="_Toc486490862"/>
      <w:bookmarkStart w:id="68" w:name="_Toc486580933"/>
      <w:bookmarkStart w:id="69" w:name="_Toc7184835"/>
      <w:r w:rsidRPr="002914D8">
        <w:t xml:space="preserve">Base Case </w:t>
      </w:r>
      <w:r w:rsidR="007D230B" w:rsidRPr="002914D8">
        <w:t>Labor Cost ($/unit)</w:t>
      </w:r>
      <w:bookmarkEnd w:id="67"/>
      <w:bookmarkEnd w:id="68"/>
      <w:bookmarkEnd w:id="69"/>
    </w:p>
    <w:p w14:paraId="06D45B49" w14:textId="5FF5BC8B" w:rsidR="007C664D" w:rsidRPr="002914D8" w:rsidRDefault="007C664D" w:rsidP="007C664D">
      <w:r w:rsidRPr="002914D8">
        <w:t xml:space="preserve">The installation cost </w:t>
      </w:r>
      <w:r w:rsidR="00683D09">
        <w:t>was obtained from the web</w:t>
      </w:r>
      <w:r w:rsidRPr="002914D8">
        <w:t>.</w:t>
      </w:r>
    </w:p>
    <w:p w14:paraId="76115E4E" w14:textId="77777777" w:rsidR="00ED19A8" w:rsidRDefault="00ED19A8" w:rsidP="00ED19A8">
      <w:pPr>
        <w:pStyle w:val="Caption"/>
      </w:pPr>
      <w:r>
        <w:t>Base Case Installation Labor Cost Inputs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95"/>
        <w:gridCol w:w="900"/>
        <w:gridCol w:w="4127"/>
        <w:gridCol w:w="13"/>
      </w:tblGrid>
      <w:tr w:rsidR="00ED19A8" w:rsidRPr="00500C4E" w14:paraId="62DCC9CC" w14:textId="77777777" w:rsidTr="004F24DC">
        <w:trPr>
          <w:cantSplit/>
          <w:trHeight w:val="20"/>
        </w:trPr>
        <w:tc>
          <w:tcPr>
            <w:tcW w:w="4495" w:type="dxa"/>
            <w:shd w:val="clear" w:color="auto" w:fill="F2F2F2" w:themeFill="background1" w:themeFillShade="F2"/>
            <w:vAlign w:val="bottom"/>
          </w:tcPr>
          <w:p w14:paraId="135BCC0D" w14:textId="77777777" w:rsidR="00ED19A8" w:rsidRPr="00694410" w:rsidRDefault="00ED19A8" w:rsidP="00ED19A8">
            <w:pPr>
              <w:keepNext/>
              <w:keepLines/>
              <w:spacing w:before="20" w:after="20"/>
              <w:jc w:val="center"/>
              <w:rPr>
                <w:rFonts w:cstheme="minorHAnsi"/>
                <w:b/>
                <w:sz w:val="20"/>
                <w:szCs w:val="20"/>
              </w:rPr>
            </w:pPr>
            <w:r>
              <w:rPr>
                <w:rFonts w:cstheme="minorHAnsi"/>
                <w:b/>
                <w:sz w:val="20"/>
                <w:szCs w:val="20"/>
              </w:rPr>
              <w:t>Parameter</w:t>
            </w:r>
          </w:p>
        </w:tc>
        <w:tc>
          <w:tcPr>
            <w:tcW w:w="900" w:type="dxa"/>
            <w:shd w:val="clear" w:color="auto" w:fill="F2F2F2" w:themeFill="background1" w:themeFillShade="F2"/>
          </w:tcPr>
          <w:p w14:paraId="43AFCFFC" w14:textId="77777777" w:rsidR="00ED19A8" w:rsidRPr="00694410" w:rsidRDefault="00ED19A8" w:rsidP="00ED19A8">
            <w:pPr>
              <w:keepNext/>
              <w:keepLines/>
              <w:spacing w:before="20" w:after="20"/>
              <w:jc w:val="center"/>
              <w:rPr>
                <w:rFonts w:cstheme="minorHAnsi"/>
                <w:b/>
                <w:sz w:val="20"/>
                <w:szCs w:val="20"/>
              </w:rPr>
            </w:pPr>
            <w:r>
              <w:rPr>
                <w:rFonts w:cstheme="minorHAnsi"/>
                <w:b/>
                <w:sz w:val="20"/>
                <w:szCs w:val="20"/>
              </w:rPr>
              <w:t>Value</w:t>
            </w:r>
          </w:p>
        </w:tc>
        <w:tc>
          <w:tcPr>
            <w:tcW w:w="4140" w:type="dxa"/>
            <w:gridSpan w:val="2"/>
            <w:shd w:val="clear" w:color="auto" w:fill="F2F2F2" w:themeFill="background1" w:themeFillShade="F2"/>
          </w:tcPr>
          <w:p w14:paraId="4ACAD867" w14:textId="77777777" w:rsidR="00ED19A8" w:rsidRPr="00694410" w:rsidRDefault="00ED19A8" w:rsidP="00ED19A8">
            <w:pPr>
              <w:keepNext/>
              <w:keepLines/>
              <w:spacing w:before="20" w:after="20"/>
              <w:jc w:val="center"/>
              <w:rPr>
                <w:rFonts w:cstheme="minorHAnsi"/>
                <w:b/>
                <w:sz w:val="20"/>
                <w:szCs w:val="20"/>
              </w:rPr>
            </w:pPr>
            <w:r>
              <w:rPr>
                <w:rFonts w:cstheme="minorHAnsi"/>
                <w:b/>
                <w:sz w:val="20"/>
                <w:szCs w:val="20"/>
              </w:rPr>
              <w:t>Source</w:t>
            </w:r>
          </w:p>
        </w:tc>
      </w:tr>
      <w:tr w:rsidR="005B1905" w:rsidRPr="00A05362" w14:paraId="152F8BA6" w14:textId="77777777" w:rsidTr="004F24DC">
        <w:tblPrEx>
          <w:tblCellMar>
            <w:left w:w="115" w:type="dxa"/>
            <w:right w:w="115" w:type="dxa"/>
          </w:tblCellMar>
        </w:tblPrEx>
        <w:trPr>
          <w:gridAfter w:val="1"/>
          <w:wAfter w:w="13" w:type="dxa"/>
          <w:cantSplit/>
          <w:trHeight w:val="368"/>
        </w:trPr>
        <w:tc>
          <w:tcPr>
            <w:tcW w:w="4495" w:type="dxa"/>
          </w:tcPr>
          <w:p w14:paraId="4B3683E8" w14:textId="7C999B67" w:rsidR="005B1905" w:rsidRPr="00A05362" w:rsidRDefault="005B1905" w:rsidP="005B1905">
            <w:pPr>
              <w:keepNext/>
              <w:keepLines/>
              <w:spacing w:before="20" w:after="20"/>
              <w:rPr>
                <w:sz w:val="20"/>
                <w:szCs w:val="20"/>
              </w:rPr>
            </w:pPr>
            <w:r>
              <w:rPr>
                <w:sz w:val="20"/>
                <w:szCs w:val="20"/>
              </w:rPr>
              <w:t xml:space="preserve">25,000 </w:t>
            </w:r>
            <w:proofErr w:type="spellStart"/>
            <w:r>
              <w:rPr>
                <w:sz w:val="20"/>
                <w:szCs w:val="20"/>
              </w:rPr>
              <w:t>Btuh</w:t>
            </w:r>
            <w:proofErr w:type="spellEnd"/>
            <w:r>
              <w:rPr>
                <w:sz w:val="20"/>
                <w:szCs w:val="20"/>
              </w:rPr>
              <w:t xml:space="preserve"> Gravity Wall Furnace, rating 65% AFUE</w:t>
            </w:r>
          </w:p>
        </w:tc>
        <w:tc>
          <w:tcPr>
            <w:tcW w:w="900" w:type="dxa"/>
            <w:vAlign w:val="center"/>
          </w:tcPr>
          <w:p w14:paraId="056F2B3C" w14:textId="506FEA90" w:rsidR="005B1905" w:rsidRPr="00A05362" w:rsidRDefault="005B1905" w:rsidP="005B1905">
            <w:pPr>
              <w:keepNext/>
              <w:keepLines/>
              <w:spacing w:before="20" w:after="20"/>
              <w:jc w:val="center"/>
              <w:rPr>
                <w:sz w:val="20"/>
                <w:szCs w:val="20"/>
              </w:rPr>
            </w:pPr>
            <w:r w:rsidRPr="00A05362">
              <w:rPr>
                <w:sz w:val="20"/>
                <w:szCs w:val="20"/>
              </w:rPr>
              <w:t>$</w:t>
            </w:r>
            <w:r w:rsidR="00EE1B14">
              <w:rPr>
                <w:sz w:val="20"/>
                <w:szCs w:val="20"/>
              </w:rPr>
              <w:t>120</w:t>
            </w:r>
          </w:p>
        </w:tc>
        <w:tc>
          <w:tcPr>
            <w:tcW w:w="4127" w:type="dxa"/>
            <w:shd w:val="clear" w:color="auto" w:fill="auto"/>
          </w:tcPr>
          <w:p w14:paraId="14DA4902" w14:textId="5F68D621" w:rsidR="005B1905" w:rsidRPr="00A05362" w:rsidRDefault="00EE1B14" w:rsidP="005B1905">
            <w:pPr>
              <w:keepNext/>
              <w:keepLines/>
              <w:spacing w:before="20" w:after="20"/>
              <w:rPr>
                <w:sz w:val="18"/>
                <w:szCs w:val="18"/>
              </w:rPr>
            </w:pPr>
            <w:r w:rsidRPr="00EE1B14">
              <w:rPr>
                <w:sz w:val="18"/>
                <w:szCs w:val="18"/>
              </w:rPr>
              <w:t>Google search:</w:t>
            </w:r>
            <w:r>
              <w:rPr>
                <w:sz w:val="18"/>
                <w:szCs w:val="18"/>
              </w:rPr>
              <w:t xml:space="preserve"> Estimated 2 hours to install at $60 /</w:t>
            </w:r>
            <w:proofErr w:type="spellStart"/>
            <w:r>
              <w:rPr>
                <w:sz w:val="18"/>
                <w:szCs w:val="18"/>
              </w:rPr>
              <w:t>hr</w:t>
            </w:r>
            <w:proofErr w:type="spellEnd"/>
          </w:p>
        </w:tc>
      </w:tr>
      <w:tr w:rsidR="005B1905" w:rsidRPr="00A05362" w14:paraId="65405408" w14:textId="77777777" w:rsidTr="004F24DC">
        <w:tblPrEx>
          <w:tblCellMar>
            <w:left w:w="115" w:type="dxa"/>
            <w:right w:w="115" w:type="dxa"/>
          </w:tblCellMar>
        </w:tblPrEx>
        <w:trPr>
          <w:gridAfter w:val="1"/>
          <w:wAfter w:w="13" w:type="dxa"/>
          <w:cantSplit/>
          <w:trHeight w:val="350"/>
        </w:trPr>
        <w:tc>
          <w:tcPr>
            <w:tcW w:w="4495" w:type="dxa"/>
          </w:tcPr>
          <w:p w14:paraId="5C0D2270" w14:textId="0E8C650C" w:rsidR="005B1905" w:rsidRPr="00DC4F4D" w:rsidRDefault="005B1905" w:rsidP="005B1905">
            <w:pPr>
              <w:keepNext/>
              <w:keepLines/>
              <w:spacing w:before="20" w:after="20"/>
              <w:rPr>
                <w:sz w:val="20"/>
                <w:szCs w:val="20"/>
              </w:rPr>
            </w:pPr>
            <w:r>
              <w:rPr>
                <w:sz w:val="20"/>
                <w:szCs w:val="20"/>
              </w:rPr>
              <w:t xml:space="preserve">35,000 </w:t>
            </w:r>
            <w:proofErr w:type="spellStart"/>
            <w:r>
              <w:rPr>
                <w:sz w:val="20"/>
                <w:szCs w:val="20"/>
              </w:rPr>
              <w:t>Btuh</w:t>
            </w:r>
            <w:proofErr w:type="spellEnd"/>
            <w:r>
              <w:rPr>
                <w:sz w:val="20"/>
                <w:szCs w:val="20"/>
              </w:rPr>
              <w:t xml:space="preserve"> Gravity Wall Furnace, rating 66% AFUE</w:t>
            </w:r>
          </w:p>
        </w:tc>
        <w:tc>
          <w:tcPr>
            <w:tcW w:w="900" w:type="dxa"/>
            <w:vAlign w:val="center"/>
          </w:tcPr>
          <w:p w14:paraId="7EEF194C" w14:textId="0297CE5C" w:rsidR="005B1905" w:rsidRPr="00A05362" w:rsidRDefault="005B1905" w:rsidP="005B1905">
            <w:pPr>
              <w:keepNext/>
              <w:keepLines/>
              <w:spacing w:before="20" w:after="20"/>
              <w:jc w:val="center"/>
              <w:rPr>
                <w:sz w:val="20"/>
                <w:szCs w:val="20"/>
              </w:rPr>
            </w:pPr>
            <w:r>
              <w:rPr>
                <w:sz w:val="20"/>
                <w:szCs w:val="20"/>
              </w:rPr>
              <w:t>$</w:t>
            </w:r>
            <w:r w:rsidR="00EE1B14">
              <w:rPr>
                <w:sz w:val="20"/>
                <w:szCs w:val="20"/>
              </w:rPr>
              <w:t>120</w:t>
            </w:r>
          </w:p>
        </w:tc>
        <w:tc>
          <w:tcPr>
            <w:tcW w:w="4127" w:type="dxa"/>
            <w:shd w:val="clear" w:color="auto" w:fill="auto"/>
          </w:tcPr>
          <w:p w14:paraId="35AA670E" w14:textId="53EB93CB" w:rsidR="005B1905" w:rsidRPr="00A05362" w:rsidRDefault="00EE1B14" w:rsidP="005B1905">
            <w:pPr>
              <w:keepNext/>
              <w:keepLines/>
              <w:spacing w:before="20" w:after="20"/>
              <w:rPr>
                <w:sz w:val="18"/>
                <w:szCs w:val="18"/>
              </w:rPr>
            </w:pPr>
            <w:r w:rsidRPr="00EE1B14">
              <w:rPr>
                <w:sz w:val="18"/>
                <w:szCs w:val="18"/>
              </w:rPr>
              <w:t>Google search:</w:t>
            </w:r>
            <w:r>
              <w:rPr>
                <w:sz w:val="18"/>
                <w:szCs w:val="18"/>
              </w:rPr>
              <w:t xml:space="preserve"> Estimated 2 hours to install at $60 /</w:t>
            </w:r>
            <w:proofErr w:type="spellStart"/>
            <w:r>
              <w:rPr>
                <w:sz w:val="18"/>
                <w:szCs w:val="18"/>
              </w:rPr>
              <w:t>hr</w:t>
            </w:r>
            <w:proofErr w:type="spellEnd"/>
          </w:p>
        </w:tc>
      </w:tr>
      <w:tr w:rsidR="005B1905" w:rsidRPr="00A05362" w14:paraId="4CF06825" w14:textId="77777777" w:rsidTr="004F24DC">
        <w:tblPrEx>
          <w:tblCellMar>
            <w:left w:w="115" w:type="dxa"/>
            <w:right w:w="115" w:type="dxa"/>
          </w:tblCellMar>
        </w:tblPrEx>
        <w:trPr>
          <w:gridAfter w:val="1"/>
          <w:wAfter w:w="13" w:type="dxa"/>
          <w:cantSplit/>
          <w:trHeight w:val="350"/>
        </w:trPr>
        <w:tc>
          <w:tcPr>
            <w:tcW w:w="4495" w:type="dxa"/>
          </w:tcPr>
          <w:p w14:paraId="224AA8FF" w14:textId="3B0D291E" w:rsidR="005B1905" w:rsidRPr="00DC4F4D" w:rsidRDefault="005B1905" w:rsidP="005B1905">
            <w:pPr>
              <w:keepNext/>
              <w:keepLines/>
              <w:spacing w:before="20" w:after="20"/>
              <w:rPr>
                <w:sz w:val="20"/>
                <w:szCs w:val="20"/>
              </w:rPr>
            </w:pPr>
            <w:r>
              <w:rPr>
                <w:sz w:val="20"/>
                <w:szCs w:val="20"/>
              </w:rPr>
              <w:t xml:space="preserve">50,000 </w:t>
            </w:r>
            <w:proofErr w:type="spellStart"/>
            <w:r>
              <w:rPr>
                <w:sz w:val="20"/>
                <w:szCs w:val="20"/>
              </w:rPr>
              <w:t>Btuh</w:t>
            </w:r>
            <w:proofErr w:type="spellEnd"/>
            <w:r>
              <w:rPr>
                <w:sz w:val="20"/>
                <w:szCs w:val="20"/>
              </w:rPr>
              <w:t xml:space="preserve"> Gravity Wall Furnace, rating 67% AFUE</w:t>
            </w:r>
            <w:r w:rsidRPr="00ED19A8">
              <w:rPr>
                <w:sz w:val="20"/>
                <w:szCs w:val="20"/>
              </w:rPr>
              <w:t xml:space="preserve"> </w:t>
            </w:r>
          </w:p>
        </w:tc>
        <w:tc>
          <w:tcPr>
            <w:tcW w:w="900" w:type="dxa"/>
            <w:vAlign w:val="center"/>
          </w:tcPr>
          <w:p w14:paraId="2542109C" w14:textId="7EFC0F4A" w:rsidR="005B1905" w:rsidRDefault="00EE1B14" w:rsidP="005B1905">
            <w:pPr>
              <w:keepNext/>
              <w:keepLines/>
              <w:spacing w:before="20" w:after="20"/>
              <w:jc w:val="center"/>
              <w:rPr>
                <w:sz w:val="20"/>
                <w:szCs w:val="20"/>
              </w:rPr>
            </w:pPr>
            <w:r>
              <w:rPr>
                <w:sz w:val="20"/>
                <w:szCs w:val="20"/>
              </w:rPr>
              <w:t>$180</w:t>
            </w:r>
          </w:p>
        </w:tc>
        <w:tc>
          <w:tcPr>
            <w:tcW w:w="4127" w:type="dxa"/>
            <w:shd w:val="clear" w:color="auto" w:fill="auto"/>
          </w:tcPr>
          <w:p w14:paraId="7283FF92" w14:textId="5E2404DA" w:rsidR="005B1905" w:rsidRDefault="00EE1B14" w:rsidP="005B1905">
            <w:pPr>
              <w:keepNext/>
              <w:keepLines/>
              <w:spacing w:before="20" w:after="20"/>
              <w:rPr>
                <w:sz w:val="20"/>
                <w:szCs w:val="20"/>
              </w:rPr>
            </w:pPr>
            <w:r w:rsidRPr="00EE1B14">
              <w:rPr>
                <w:sz w:val="18"/>
                <w:szCs w:val="18"/>
              </w:rPr>
              <w:t>Google search:</w:t>
            </w:r>
            <w:r>
              <w:rPr>
                <w:sz w:val="18"/>
                <w:szCs w:val="18"/>
              </w:rPr>
              <w:t xml:space="preserve"> Estimated 3 hours to install at $60 /</w:t>
            </w:r>
            <w:proofErr w:type="spellStart"/>
            <w:r>
              <w:rPr>
                <w:sz w:val="18"/>
                <w:szCs w:val="18"/>
              </w:rPr>
              <w:t>hr</w:t>
            </w:r>
            <w:proofErr w:type="spellEnd"/>
          </w:p>
        </w:tc>
      </w:tr>
      <w:tr w:rsidR="005B1905" w:rsidRPr="00A05362" w14:paraId="7B86BA32" w14:textId="77777777" w:rsidTr="004F24DC">
        <w:tblPrEx>
          <w:tblCellMar>
            <w:left w:w="115" w:type="dxa"/>
            <w:right w:w="115" w:type="dxa"/>
          </w:tblCellMar>
        </w:tblPrEx>
        <w:trPr>
          <w:gridAfter w:val="1"/>
          <w:wAfter w:w="13" w:type="dxa"/>
          <w:cantSplit/>
          <w:trHeight w:val="350"/>
        </w:trPr>
        <w:tc>
          <w:tcPr>
            <w:tcW w:w="4495" w:type="dxa"/>
          </w:tcPr>
          <w:p w14:paraId="7709BBF0" w14:textId="02EF40BD" w:rsidR="005B1905" w:rsidRPr="00DC4F4D" w:rsidRDefault="005B1905" w:rsidP="005B1905">
            <w:pPr>
              <w:keepNext/>
              <w:keepLines/>
              <w:spacing w:before="20" w:after="20"/>
              <w:rPr>
                <w:sz w:val="20"/>
                <w:szCs w:val="20"/>
              </w:rPr>
            </w:pPr>
            <w:r>
              <w:rPr>
                <w:sz w:val="20"/>
                <w:szCs w:val="20"/>
              </w:rPr>
              <w:t xml:space="preserve">30,000 </w:t>
            </w:r>
            <w:proofErr w:type="spellStart"/>
            <w:r>
              <w:rPr>
                <w:sz w:val="20"/>
                <w:szCs w:val="20"/>
              </w:rPr>
              <w:t>Btuh</w:t>
            </w:r>
            <w:proofErr w:type="spellEnd"/>
            <w:r>
              <w:rPr>
                <w:sz w:val="20"/>
                <w:szCs w:val="20"/>
              </w:rPr>
              <w:t xml:space="preserve"> Fan type Wall Furnace, rating 75% AFUE</w:t>
            </w:r>
          </w:p>
        </w:tc>
        <w:tc>
          <w:tcPr>
            <w:tcW w:w="900" w:type="dxa"/>
            <w:vAlign w:val="center"/>
          </w:tcPr>
          <w:p w14:paraId="4B7BE87D" w14:textId="29B0CBB6" w:rsidR="005B1905" w:rsidRDefault="00EE1B14" w:rsidP="005B1905">
            <w:pPr>
              <w:keepNext/>
              <w:keepLines/>
              <w:spacing w:before="20" w:after="20"/>
              <w:jc w:val="center"/>
              <w:rPr>
                <w:sz w:val="20"/>
                <w:szCs w:val="20"/>
              </w:rPr>
            </w:pPr>
            <w:r>
              <w:rPr>
                <w:sz w:val="20"/>
                <w:szCs w:val="20"/>
              </w:rPr>
              <w:t>$240</w:t>
            </w:r>
          </w:p>
        </w:tc>
        <w:tc>
          <w:tcPr>
            <w:tcW w:w="4127" w:type="dxa"/>
            <w:shd w:val="clear" w:color="auto" w:fill="auto"/>
          </w:tcPr>
          <w:p w14:paraId="6B92D874" w14:textId="3ABB927E" w:rsidR="005B1905" w:rsidRDefault="00EE1B14" w:rsidP="005B1905">
            <w:pPr>
              <w:keepNext/>
              <w:keepLines/>
              <w:spacing w:before="20" w:after="20"/>
              <w:rPr>
                <w:sz w:val="20"/>
                <w:szCs w:val="20"/>
              </w:rPr>
            </w:pPr>
            <w:r w:rsidRPr="00EE1B14">
              <w:rPr>
                <w:sz w:val="18"/>
                <w:szCs w:val="18"/>
              </w:rPr>
              <w:t>Google search</w:t>
            </w:r>
            <w:r>
              <w:rPr>
                <w:sz w:val="18"/>
                <w:szCs w:val="18"/>
              </w:rPr>
              <w:t>: Estimated 4 hours to install at $60 /</w:t>
            </w:r>
            <w:proofErr w:type="spellStart"/>
            <w:r>
              <w:rPr>
                <w:sz w:val="18"/>
                <w:szCs w:val="18"/>
              </w:rPr>
              <w:t>hr</w:t>
            </w:r>
            <w:proofErr w:type="spellEnd"/>
          </w:p>
        </w:tc>
      </w:tr>
    </w:tbl>
    <w:p w14:paraId="3F863BF2" w14:textId="77777777" w:rsidR="00ED19A8" w:rsidRPr="002914D8" w:rsidRDefault="00ED19A8" w:rsidP="002E5874"/>
    <w:p w14:paraId="5E89BC5E" w14:textId="22B628A3" w:rsidR="002E5874" w:rsidRPr="002914D8" w:rsidRDefault="002E5874" w:rsidP="002E5874">
      <w:pPr>
        <w:pStyle w:val="eTRMHeading3"/>
      </w:pPr>
      <w:bookmarkStart w:id="70" w:name="_Toc7184836"/>
      <w:r w:rsidRPr="002914D8">
        <w:t>Measure Case Labor Cost ($/unit)</w:t>
      </w:r>
      <w:bookmarkEnd w:id="70"/>
    </w:p>
    <w:p w14:paraId="065CF64E" w14:textId="53EBA67A" w:rsidR="000F2E4B" w:rsidRPr="002914D8" w:rsidRDefault="000F2E4B" w:rsidP="007C664D">
      <w:r w:rsidRPr="002914D8">
        <w:t xml:space="preserve">The installation cost is assumed to be same as base </w:t>
      </w:r>
      <w:r w:rsidR="00022FFF">
        <w:t xml:space="preserve">installation </w:t>
      </w:r>
      <w:r w:rsidRPr="002914D8">
        <w:t>case cost.</w:t>
      </w:r>
    </w:p>
    <w:p w14:paraId="30DF2B5A" w14:textId="77777777" w:rsidR="00ED19A8" w:rsidRPr="002914D8" w:rsidRDefault="00ED19A8" w:rsidP="004142EF"/>
    <w:p w14:paraId="050D9183" w14:textId="7ABF5C13" w:rsidR="007D230B" w:rsidRPr="002914D8" w:rsidRDefault="004B06E3" w:rsidP="00462BB6">
      <w:pPr>
        <w:pStyle w:val="eTRMHeading3"/>
      </w:pPr>
      <w:bookmarkStart w:id="71" w:name="_Toc486490863"/>
      <w:bookmarkStart w:id="72" w:name="_Toc486580934"/>
      <w:bookmarkStart w:id="73" w:name="_Toc7184837"/>
      <w:r w:rsidRPr="002914D8">
        <w:t>Net-to-Gross</w:t>
      </w:r>
      <w:bookmarkEnd w:id="71"/>
      <w:bookmarkEnd w:id="72"/>
      <w:r w:rsidR="008D4652" w:rsidRPr="002914D8">
        <w:t xml:space="preserve"> (NTG)</w:t>
      </w:r>
      <w:bookmarkEnd w:id="73"/>
    </w:p>
    <w:p w14:paraId="74940D3A" w14:textId="1F787C8A" w:rsidR="007D230B" w:rsidRPr="002914D8" w:rsidRDefault="00AA3E2A" w:rsidP="004142EF">
      <w:r w:rsidRPr="002914D8">
        <w:t xml:space="preserve">The net-to-gross (NTG) ratio represents the portion of gross impacts that are determined to be directly attributed to a specific program intervention. The relevant NTG values for </w:t>
      </w:r>
      <w:r w:rsidR="002F78E9" w:rsidRPr="002914D8">
        <w:t>this measure</w:t>
      </w:r>
      <w:r w:rsidRPr="002914D8">
        <w:t xml:space="preserve"> are specified in </w:t>
      </w:r>
      <w:r w:rsidR="002F78E9" w:rsidRPr="002914D8">
        <w:t>below.</w:t>
      </w:r>
      <w:r w:rsidRPr="002914D8">
        <w:t xml:space="preserve"> </w:t>
      </w:r>
    </w:p>
    <w:p w14:paraId="0D1CEED6" w14:textId="7936579E" w:rsidR="00DE1A0F" w:rsidRPr="002914D8" w:rsidRDefault="00DE1A0F" w:rsidP="00EA057C">
      <w:pPr>
        <w:pStyle w:val="Caption"/>
      </w:pPr>
      <w:r w:rsidRPr="002914D8">
        <w:lastRenderedPageBreak/>
        <w:t>Net-to-Gross Ratios</w:t>
      </w:r>
    </w:p>
    <w:tbl>
      <w:tblPr>
        <w:tblW w:w="1014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990"/>
        <w:gridCol w:w="1064"/>
        <w:gridCol w:w="5937"/>
      </w:tblGrid>
      <w:tr w:rsidR="009A0C35" w:rsidRPr="002914D8" w14:paraId="0D2B92AF" w14:textId="662FBAEE" w:rsidTr="00EF42BA">
        <w:trPr>
          <w:cantSplit/>
          <w:trHeight w:val="22"/>
        </w:trPr>
        <w:tc>
          <w:tcPr>
            <w:tcW w:w="2155" w:type="dxa"/>
            <w:shd w:val="clear" w:color="000000" w:fill="F2F2F2" w:themeFill="background1" w:themeFillShade="F2"/>
            <w:vAlign w:val="bottom"/>
          </w:tcPr>
          <w:p w14:paraId="2A033AD8" w14:textId="3B553F77" w:rsidR="009A0C35" w:rsidRPr="002914D8" w:rsidRDefault="009A0C35" w:rsidP="006D6644">
            <w:pPr>
              <w:keepNext/>
              <w:keepLines/>
              <w:spacing w:before="0" w:after="0" w:line="200" w:lineRule="atLeast"/>
              <w:jc w:val="center"/>
              <w:rPr>
                <w:rFonts w:cs="Arial"/>
                <w:b/>
                <w:color w:val="000000"/>
                <w:sz w:val="20"/>
                <w:szCs w:val="20"/>
              </w:rPr>
            </w:pPr>
            <w:r w:rsidRPr="002914D8">
              <w:rPr>
                <w:rFonts w:cs="Arial"/>
                <w:b/>
                <w:color w:val="000000"/>
                <w:sz w:val="20"/>
                <w:szCs w:val="20"/>
              </w:rPr>
              <w:t>Parameter</w:t>
            </w:r>
          </w:p>
        </w:tc>
        <w:tc>
          <w:tcPr>
            <w:tcW w:w="990" w:type="dxa"/>
            <w:shd w:val="clear" w:color="000000" w:fill="F2F2F2" w:themeFill="background1" w:themeFillShade="F2"/>
          </w:tcPr>
          <w:p w14:paraId="5537CFFD" w14:textId="01FC03AB" w:rsidR="009A0C35" w:rsidRPr="002914D8" w:rsidRDefault="009A0C35" w:rsidP="006D6644">
            <w:pPr>
              <w:keepNext/>
              <w:keepLines/>
              <w:spacing w:before="0" w:after="0" w:line="200" w:lineRule="atLeast"/>
              <w:jc w:val="center"/>
              <w:rPr>
                <w:rFonts w:cs="Arial"/>
                <w:b/>
                <w:color w:val="000000"/>
                <w:sz w:val="20"/>
                <w:szCs w:val="20"/>
              </w:rPr>
            </w:pPr>
            <w:r>
              <w:rPr>
                <w:rFonts w:cs="Arial"/>
                <w:b/>
                <w:color w:val="000000"/>
                <w:sz w:val="20"/>
                <w:szCs w:val="20"/>
              </w:rPr>
              <w:t>Type</w:t>
            </w:r>
          </w:p>
        </w:tc>
        <w:tc>
          <w:tcPr>
            <w:tcW w:w="1064" w:type="dxa"/>
            <w:shd w:val="clear" w:color="000000" w:fill="F2F2F2" w:themeFill="background1" w:themeFillShade="F2"/>
            <w:vAlign w:val="bottom"/>
          </w:tcPr>
          <w:p w14:paraId="547E5263" w14:textId="6D5AF361" w:rsidR="009A0C35" w:rsidRPr="002914D8" w:rsidRDefault="009A0C35" w:rsidP="006D6644">
            <w:pPr>
              <w:keepNext/>
              <w:keepLines/>
              <w:spacing w:before="0" w:after="0" w:line="200" w:lineRule="atLeast"/>
              <w:jc w:val="center"/>
              <w:rPr>
                <w:rFonts w:cs="Arial"/>
                <w:b/>
                <w:color w:val="000000"/>
                <w:sz w:val="20"/>
                <w:szCs w:val="20"/>
              </w:rPr>
            </w:pPr>
            <w:r w:rsidRPr="002914D8">
              <w:rPr>
                <w:rFonts w:cs="Arial"/>
                <w:b/>
                <w:color w:val="000000"/>
                <w:sz w:val="20"/>
                <w:szCs w:val="20"/>
              </w:rPr>
              <w:t>Value</w:t>
            </w:r>
          </w:p>
        </w:tc>
        <w:tc>
          <w:tcPr>
            <w:tcW w:w="5937" w:type="dxa"/>
            <w:shd w:val="clear" w:color="000000" w:fill="F2F2F2" w:themeFill="background1" w:themeFillShade="F2"/>
          </w:tcPr>
          <w:p w14:paraId="50233CF6" w14:textId="0C7F65AC" w:rsidR="009A0C35" w:rsidRPr="002914D8" w:rsidRDefault="009A0C35" w:rsidP="006D6644">
            <w:pPr>
              <w:keepNext/>
              <w:keepLines/>
              <w:spacing w:before="0" w:after="0" w:line="200" w:lineRule="atLeast"/>
              <w:jc w:val="center"/>
              <w:rPr>
                <w:rFonts w:cs="Arial"/>
                <w:b/>
                <w:color w:val="000000"/>
                <w:sz w:val="20"/>
                <w:szCs w:val="20"/>
              </w:rPr>
            </w:pPr>
            <w:r w:rsidRPr="002914D8">
              <w:rPr>
                <w:rFonts w:cs="Arial"/>
                <w:b/>
                <w:color w:val="000000"/>
                <w:sz w:val="20"/>
                <w:szCs w:val="20"/>
              </w:rPr>
              <w:t>Source</w:t>
            </w:r>
          </w:p>
        </w:tc>
      </w:tr>
      <w:tr w:rsidR="00BE3734" w:rsidRPr="002914D8" w14:paraId="682BF062" w14:textId="72E696E9" w:rsidTr="004F24DC">
        <w:trPr>
          <w:cantSplit/>
          <w:trHeight w:val="413"/>
        </w:trPr>
        <w:tc>
          <w:tcPr>
            <w:tcW w:w="2155" w:type="dxa"/>
            <w:vAlign w:val="center"/>
          </w:tcPr>
          <w:p w14:paraId="5BA6FA92" w14:textId="7297C7CF" w:rsidR="00BE3734" w:rsidRPr="002914D8" w:rsidRDefault="00BE3734" w:rsidP="00F02D32">
            <w:pPr>
              <w:keepNext/>
              <w:keepLines/>
              <w:spacing w:before="0" w:after="0" w:line="200" w:lineRule="atLeast"/>
              <w:rPr>
                <w:rFonts w:cstheme="minorHAnsi"/>
                <w:sz w:val="20"/>
                <w:szCs w:val="20"/>
              </w:rPr>
            </w:pPr>
            <w:r w:rsidRPr="002914D8">
              <w:rPr>
                <w:rFonts w:cs="Arial"/>
                <w:color w:val="000000"/>
                <w:sz w:val="20"/>
                <w:szCs w:val="20"/>
              </w:rPr>
              <w:t xml:space="preserve">NTG </w:t>
            </w:r>
            <w:r>
              <w:rPr>
                <w:rFonts w:cs="Arial"/>
                <w:color w:val="000000"/>
                <w:sz w:val="20"/>
                <w:szCs w:val="20"/>
              </w:rPr>
              <w:t>–</w:t>
            </w:r>
            <w:r w:rsidRPr="002914D8">
              <w:rPr>
                <w:rFonts w:cs="Arial"/>
                <w:color w:val="000000"/>
                <w:sz w:val="20"/>
                <w:szCs w:val="20"/>
              </w:rPr>
              <w:t xml:space="preserve"> </w:t>
            </w:r>
            <w:r>
              <w:rPr>
                <w:rFonts w:cs="Arial"/>
                <w:color w:val="000000"/>
                <w:sz w:val="20"/>
                <w:szCs w:val="20"/>
              </w:rPr>
              <w:t xml:space="preserve">Residential </w:t>
            </w:r>
          </w:p>
        </w:tc>
        <w:tc>
          <w:tcPr>
            <w:tcW w:w="990" w:type="dxa"/>
            <w:shd w:val="clear" w:color="auto" w:fill="auto"/>
            <w:vAlign w:val="center"/>
          </w:tcPr>
          <w:p w14:paraId="71242F8C" w14:textId="0BC4D1BB" w:rsidR="00BE3734" w:rsidRPr="005622AF" w:rsidRDefault="00BE3734">
            <w:pPr>
              <w:keepNext/>
              <w:keepLines/>
              <w:spacing w:before="0" w:after="0" w:line="200" w:lineRule="atLeast"/>
              <w:jc w:val="center"/>
              <w:rPr>
                <w:sz w:val="20"/>
                <w:szCs w:val="20"/>
              </w:rPr>
            </w:pPr>
            <w:r>
              <w:rPr>
                <w:sz w:val="20"/>
                <w:szCs w:val="20"/>
              </w:rPr>
              <w:t>Gravity</w:t>
            </w:r>
          </w:p>
        </w:tc>
        <w:tc>
          <w:tcPr>
            <w:tcW w:w="1064" w:type="dxa"/>
            <w:shd w:val="clear" w:color="auto" w:fill="auto"/>
            <w:noWrap/>
            <w:vAlign w:val="center"/>
          </w:tcPr>
          <w:p w14:paraId="62F18FF1" w14:textId="61EA35F0" w:rsidR="00BE3734" w:rsidRPr="005622AF" w:rsidRDefault="00BE3734" w:rsidP="00F02D32">
            <w:pPr>
              <w:keepNext/>
              <w:keepLines/>
              <w:spacing w:before="0" w:after="0" w:line="200" w:lineRule="atLeast"/>
              <w:jc w:val="center"/>
              <w:rPr>
                <w:sz w:val="20"/>
                <w:szCs w:val="20"/>
              </w:rPr>
            </w:pPr>
            <w:r w:rsidRPr="005622AF">
              <w:rPr>
                <w:sz w:val="20"/>
                <w:szCs w:val="20"/>
              </w:rPr>
              <w:t>0.55</w:t>
            </w:r>
          </w:p>
        </w:tc>
        <w:tc>
          <w:tcPr>
            <w:tcW w:w="5937" w:type="dxa"/>
            <w:vMerge w:val="restart"/>
          </w:tcPr>
          <w:p w14:paraId="64B1B38F" w14:textId="77777777" w:rsidR="004F24DC" w:rsidRDefault="004F24DC" w:rsidP="00F02D32">
            <w:pPr>
              <w:keepNext/>
              <w:keepLines/>
              <w:spacing w:before="0" w:after="0" w:line="200" w:lineRule="atLeast"/>
              <w:rPr>
                <w:sz w:val="18"/>
              </w:rPr>
            </w:pPr>
          </w:p>
          <w:p w14:paraId="133857EB" w14:textId="1081F571" w:rsidR="00BE3734" w:rsidRPr="002123D9" w:rsidRDefault="00BE3734" w:rsidP="00F02D32">
            <w:pPr>
              <w:keepNext/>
              <w:keepLines/>
              <w:spacing w:before="0" w:after="0" w:line="200" w:lineRule="atLeast"/>
              <w:rPr>
                <w:sz w:val="20"/>
                <w:szCs w:val="20"/>
              </w:rPr>
            </w:pPr>
            <w:proofErr w:type="spellStart"/>
            <w:r w:rsidRPr="002123D9">
              <w:rPr>
                <w:sz w:val="18"/>
              </w:rPr>
              <w:t>Itron</w:t>
            </w:r>
            <w:proofErr w:type="spellEnd"/>
            <w:r w:rsidRPr="002123D9">
              <w:rPr>
                <w:sz w:val="18"/>
              </w:rPr>
              <w:t xml:space="preserve">, Inc. 2011. </w:t>
            </w:r>
            <w:r w:rsidRPr="002123D9">
              <w:rPr>
                <w:i/>
                <w:sz w:val="18"/>
              </w:rPr>
              <w:t>DEER Database 2011 Update Documentation.</w:t>
            </w:r>
            <w:r w:rsidRPr="002123D9">
              <w:rPr>
                <w:sz w:val="18"/>
              </w:rPr>
              <w:t xml:space="preserve"> Prepared for the California Public Utilities Commission. Page 15-4 Table 15-3.</w:t>
            </w:r>
          </w:p>
        </w:tc>
      </w:tr>
      <w:tr w:rsidR="00BE3734" w:rsidRPr="002914D8" w14:paraId="30589CCF" w14:textId="77777777" w:rsidTr="004F24DC">
        <w:trPr>
          <w:cantSplit/>
          <w:trHeight w:val="449"/>
        </w:trPr>
        <w:tc>
          <w:tcPr>
            <w:tcW w:w="2155" w:type="dxa"/>
            <w:vAlign w:val="center"/>
          </w:tcPr>
          <w:p w14:paraId="21CEB661" w14:textId="47F02E2A" w:rsidR="00BE3734" w:rsidRPr="002914D8" w:rsidRDefault="00BE3734" w:rsidP="00F02D32">
            <w:pPr>
              <w:keepNext/>
              <w:keepLines/>
              <w:spacing w:before="0" w:after="0" w:line="200" w:lineRule="atLeast"/>
              <w:rPr>
                <w:rFonts w:cs="Arial"/>
                <w:color w:val="000000"/>
                <w:sz w:val="20"/>
                <w:szCs w:val="20"/>
              </w:rPr>
            </w:pPr>
            <w:r w:rsidRPr="002914D8">
              <w:rPr>
                <w:rFonts w:cs="Arial"/>
                <w:color w:val="000000"/>
                <w:sz w:val="20"/>
                <w:szCs w:val="20"/>
              </w:rPr>
              <w:t xml:space="preserve">NTG </w:t>
            </w:r>
            <w:r>
              <w:rPr>
                <w:rFonts w:cs="Arial"/>
                <w:color w:val="000000"/>
                <w:sz w:val="20"/>
                <w:szCs w:val="20"/>
              </w:rPr>
              <w:t>–</w:t>
            </w:r>
            <w:r w:rsidRPr="002914D8">
              <w:rPr>
                <w:rFonts w:cs="Arial"/>
                <w:color w:val="000000"/>
                <w:sz w:val="20"/>
                <w:szCs w:val="20"/>
              </w:rPr>
              <w:t xml:space="preserve"> </w:t>
            </w:r>
            <w:r>
              <w:rPr>
                <w:rFonts w:cs="Arial"/>
                <w:color w:val="000000"/>
                <w:sz w:val="20"/>
                <w:szCs w:val="20"/>
              </w:rPr>
              <w:t>All-Default&lt;=2yrs</w:t>
            </w:r>
          </w:p>
        </w:tc>
        <w:tc>
          <w:tcPr>
            <w:tcW w:w="990" w:type="dxa"/>
            <w:shd w:val="clear" w:color="auto" w:fill="auto"/>
            <w:vAlign w:val="center"/>
          </w:tcPr>
          <w:p w14:paraId="0E22C2B3" w14:textId="1A8B9E70" w:rsidR="00BE3734" w:rsidRPr="005622AF" w:rsidRDefault="00BE3734" w:rsidP="00F02D32">
            <w:pPr>
              <w:keepNext/>
              <w:keepLines/>
              <w:spacing w:before="0" w:after="0" w:line="200" w:lineRule="atLeast"/>
              <w:jc w:val="center"/>
              <w:rPr>
                <w:sz w:val="20"/>
                <w:szCs w:val="20"/>
              </w:rPr>
            </w:pPr>
            <w:r>
              <w:rPr>
                <w:sz w:val="20"/>
                <w:szCs w:val="20"/>
              </w:rPr>
              <w:t>Fan</w:t>
            </w:r>
          </w:p>
        </w:tc>
        <w:tc>
          <w:tcPr>
            <w:tcW w:w="1064" w:type="dxa"/>
            <w:shd w:val="clear" w:color="auto" w:fill="auto"/>
            <w:noWrap/>
            <w:vAlign w:val="center"/>
          </w:tcPr>
          <w:p w14:paraId="12377804" w14:textId="2F39C26D" w:rsidR="00BE3734" w:rsidRPr="005622AF" w:rsidRDefault="00BE3734" w:rsidP="00F02D32">
            <w:pPr>
              <w:keepNext/>
              <w:keepLines/>
              <w:spacing w:before="0" w:after="0" w:line="200" w:lineRule="atLeast"/>
              <w:jc w:val="center"/>
              <w:rPr>
                <w:sz w:val="20"/>
                <w:szCs w:val="20"/>
              </w:rPr>
            </w:pPr>
            <w:r>
              <w:rPr>
                <w:sz w:val="20"/>
                <w:szCs w:val="20"/>
              </w:rPr>
              <w:t>0.70</w:t>
            </w:r>
          </w:p>
        </w:tc>
        <w:tc>
          <w:tcPr>
            <w:tcW w:w="5937" w:type="dxa"/>
            <w:vMerge/>
          </w:tcPr>
          <w:p w14:paraId="7503DD95" w14:textId="384DD752" w:rsidR="00BE3734" w:rsidRPr="002123D9" w:rsidRDefault="00BE3734" w:rsidP="00F02D32">
            <w:pPr>
              <w:keepNext/>
              <w:keepLines/>
              <w:spacing w:before="0" w:after="0" w:line="200" w:lineRule="atLeast"/>
              <w:rPr>
                <w:sz w:val="18"/>
              </w:rPr>
            </w:pPr>
          </w:p>
        </w:tc>
      </w:tr>
    </w:tbl>
    <w:p w14:paraId="6ECC6493" w14:textId="77777777" w:rsidR="007D230B" w:rsidRPr="002914D8" w:rsidRDefault="007D230B" w:rsidP="004142EF"/>
    <w:p w14:paraId="323B5B02" w14:textId="4C4B13DC" w:rsidR="007D230B" w:rsidRPr="002914D8" w:rsidRDefault="00D02C36" w:rsidP="00462BB6">
      <w:pPr>
        <w:pStyle w:val="eTRMHeading3"/>
      </w:pPr>
      <w:bookmarkStart w:id="74" w:name="_Toc486490864"/>
      <w:bookmarkStart w:id="75" w:name="_Toc486580935"/>
      <w:bookmarkStart w:id="76" w:name="_Toc7184838"/>
      <w:r w:rsidRPr="002914D8">
        <w:t>Gross Savings Installation Adjustment (</w:t>
      </w:r>
      <w:r w:rsidR="007D230B" w:rsidRPr="002914D8">
        <w:t>GSIA</w:t>
      </w:r>
      <w:bookmarkEnd w:id="74"/>
      <w:bookmarkEnd w:id="75"/>
      <w:r w:rsidRPr="002914D8">
        <w:t>)</w:t>
      </w:r>
      <w:bookmarkEnd w:id="76"/>
    </w:p>
    <w:p w14:paraId="4A9402D4" w14:textId="1B5CEFF5" w:rsidR="0082241E" w:rsidRPr="002914D8" w:rsidRDefault="00AA3E2A" w:rsidP="0082241E">
      <w:r w:rsidRPr="002914D8">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82241E" w:rsidRPr="002914D8">
        <w:t>This GSIA rate is the current “default” rate specified for measures for which an alternative GSIA has not been estimated and approved.</w:t>
      </w:r>
    </w:p>
    <w:p w14:paraId="022915CE" w14:textId="4D8D7AD0" w:rsidR="00DE1A0F" w:rsidRPr="002914D8" w:rsidRDefault="002F78E9" w:rsidP="00EA057C">
      <w:pPr>
        <w:pStyle w:val="Caption"/>
      </w:pPr>
      <w:r w:rsidRPr="002914D8">
        <w:t>Gross Savings Installation Adjustment Rates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1710"/>
        <w:gridCol w:w="6210"/>
      </w:tblGrid>
      <w:tr w:rsidR="00AA3E2A" w:rsidRPr="002914D8" w14:paraId="60BDA2BB" w14:textId="744FC0FC" w:rsidTr="002914D8">
        <w:trPr>
          <w:cantSplit/>
          <w:trHeight w:val="206"/>
        </w:trPr>
        <w:tc>
          <w:tcPr>
            <w:tcW w:w="767" w:type="pct"/>
            <w:shd w:val="clear" w:color="000000" w:fill="F2F2F2" w:themeFill="background1" w:themeFillShade="F2"/>
            <w:vAlign w:val="bottom"/>
          </w:tcPr>
          <w:p w14:paraId="7D363CC0" w14:textId="709302B7" w:rsidR="00AA3E2A" w:rsidRPr="002914D8" w:rsidRDefault="00177EB6" w:rsidP="00BA3D7D">
            <w:pPr>
              <w:spacing w:before="0" w:after="0" w:line="200" w:lineRule="atLeast"/>
              <w:jc w:val="center"/>
              <w:rPr>
                <w:rFonts w:cs="Arial"/>
                <w:b/>
                <w:color w:val="000000"/>
                <w:sz w:val="20"/>
                <w:szCs w:val="20"/>
              </w:rPr>
            </w:pPr>
            <w:r w:rsidRPr="002914D8">
              <w:rPr>
                <w:rFonts w:cs="Arial"/>
                <w:b/>
                <w:color w:val="000000"/>
                <w:sz w:val="20"/>
                <w:szCs w:val="20"/>
              </w:rPr>
              <w:t>Parameter</w:t>
            </w:r>
          </w:p>
        </w:tc>
        <w:tc>
          <w:tcPr>
            <w:tcW w:w="914" w:type="pct"/>
            <w:shd w:val="clear" w:color="000000" w:fill="F2F2F2" w:themeFill="background1" w:themeFillShade="F2"/>
            <w:vAlign w:val="center"/>
          </w:tcPr>
          <w:p w14:paraId="2A1AC9D4" w14:textId="350EDC90" w:rsidR="00AA3E2A" w:rsidRPr="002914D8" w:rsidRDefault="0082241E" w:rsidP="006D6644">
            <w:pPr>
              <w:spacing w:before="0" w:after="0" w:line="200" w:lineRule="atLeast"/>
              <w:jc w:val="center"/>
              <w:rPr>
                <w:rFonts w:cs="Arial"/>
                <w:b/>
                <w:color w:val="000000"/>
                <w:sz w:val="20"/>
                <w:szCs w:val="20"/>
              </w:rPr>
            </w:pPr>
            <w:r w:rsidRPr="002914D8">
              <w:rPr>
                <w:rFonts w:cs="Arial"/>
                <w:b/>
                <w:sz w:val="20"/>
                <w:szCs w:val="20"/>
              </w:rPr>
              <w:t>Value</w:t>
            </w:r>
          </w:p>
        </w:tc>
        <w:tc>
          <w:tcPr>
            <w:tcW w:w="3319" w:type="pct"/>
            <w:shd w:val="clear" w:color="000000" w:fill="F2F2F2" w:themeFill="background1" w:themeFillShade="F2"/>
          </w:tcPr>
          <w:p w14:paraId="32AB7FEE" w14:textId="77936D4E" w:rsidR="00AA3E2A" w:rsidRPr="002914D8" w:rsidRDefault="00AA3E2A" w:rsidP="006D6644">
            <w:pPr>
              <w:spacing w:before="0" w:after="0" w:line="200" w:lineRule="atLeast"/>
              <w:jc w:val="center"/>
              <w:rPr>
                <w:rFonts w:cs="Arial"/>
                <w:b/>
                <w:sz w:val="20"/>
                <w:szCs w:val="20"/>
              </w:rPr>
            </w:pPr>
            <w:r w:rsidRPr="002914D8">
              <w:rPr>
                <w:rFonts w:cs="Arial"/>
                <w:b/>
                <w:sz w:val="20"/>
                <w:szCs w:val="20"/>
              </w:rPr>
              <w:t>Source</w:t>
            </w:r>
          </w:p>
        </w:tc>
      </w:tr>
      <w:tr w:rsidR="0082241E" w:rsidRPr="005622AF" w14:paraId="2209CD52" w14:textId="78579504" w:rsidTr="00164EEC">
        <w:trPr>
          <w:cantSplit/>
          <w:trHeight w:val="20"/>
        </w:trPr>
        <w:tc>
          <w:tcPr>
            <w:tcW w:w="767" w:type="pct"/>
            <w:vAlign w:val="center"/>
          </w:tcPr>
          <w:p w14:paraId="6618BC2B" w14:textId="75B43561" w:rsidR="0082241E" w:rsidRPr="005622AF" w:rsidRDefault="0082241E" w:rsidP="00164EEC">
            <w:pPr>
              <w:spacing w:before="0" w:after="0" w:line="200" w:lineRule="atLeast"/>
              <w:rPr>
                <w:rFonts w:cstheme="minorHAnsi"/>
                <w:sz w:val="20"/>
                <w:szCs w:val="20"/>
              </w:rPr>
            </w:pPr>
            <w:r w:rsidRPr="005622AF">
              <w:rPr>
                <w:rFonts w:cstheme="minorHAnsi"/>
                <w:sz w:val="20"/>
                <w:szCs w:val="20"/>
              </w:rPr>
              <w:t>GSIA</w:t>
            </w:r>
          </w:p>
        </w:tc>
        <w:tc>
          <w:tcPr>
            <w:tcW w:w="914" w:type="pct"/>
            <w:vAlign w:val="center"/>
          </w:tcPr>
          <w:p w14:paraId="6D1D8F27" w14:textId="036EC99D" w:rsidR="0082241E" w:rsidRPr="005622AF" w:rsidRDefault="0082241E" w:rsidP="00164EEC">
            <w:pPr>
              <w:spacing w:before="0" w:after="0" w:line="200" w:lineRule="atLeast"/>
              <w:jc w:val="center"/>
              <w:rPr>
                <w:sz w:val="20"/>
                <w:szCs w:val="20"/>
              </w:rPr>
            </w:pPr>
            <w:r w:rsidRPr="005622AF">
              <w:rPr>
                <w:sz w:val="20"/>
                <w:szCs w:val="20"/>
              </w:rPr>
              <w:t>1.0</w:t>
            </w:r>
          </w:p>
        </w:tc>
        <w:tc>
          <w:tcPr>
            <w:tcW w:w="3319" w:type="pct"/>
            <w:vAlign w:val="center"/>
          </w:tcPr>
          <w:p w14:paraId="52FCA633" w14:textId="4C3943EE" w:rsidR="0082241E" w:rsidRPr="005622AF" w:rsidRDefault="0082241E" w:rsidP="00164EEC">
            <w:pPr>
              <w:spacing w:before="0" w:after="0" w:line="200" w:lineRule="atLeast"/>
              <w:rPr>
                <w:sz w:val="20"/>
                <w:szCs w:val="20"/>
              </w:rPr>
            </w:pPr>
            <w:r w:rsidRPr="005622AF">
              <w:rPr>
                <w:rFonts w:eastAsia="Times New Roman" w:cs="Times New Roman"/>
                <w:sz w:val="18"/>
                <w:szCs w:val="18"/>
              </w:rPr>
              <w:t xml:space="preserve">California Public Utilities Commission (CPUC), Energy Division. 2013. </w:t>
            </w:r>
            <w:r w:rsidRPr="005622AF">
              <w:rPr>
                <w:rFonts w:eastAsia="Times New Roman" w:cs="Times New Roman"/>
                <w:i/>
                <w:sz w:val="18"/>
                <w:szCs w:val="18"/>
              </w:rPr>
              <w:t>Energy Efficiency Policy Manual Version 5</w:t>
            </w:r>
            <w:r w:rsidRPr="005622AF">
              <w:rPr>
                <w:rFonts w:eastAsia="Times New Roman" w:cs="Times New Roman"/>
                <w:sz w:val="18"/>
                <w:szCs w:val="18"/>
              </w:rPr>
              <w:t>. Page 31.</w:t>
            </w:r>
          </w:p>
        </w:tc>
      </w:tr>
    </w:tbl>
    <w:p w14:paraId="08395124" w14:textId="77777777" w:rsidR="00DE1A0F" w:rsidRPr="005622AF" w:rsidRDefault="00DE1A0F" w:rsidP="00DE1A0F">
      <w:pPr>
        <w:rPr>
          <w:rFonts w:cs="Arial"/>
          <w:sz w:val="20"/>
          <w:szCs w:val="20"/>
        </w:rPr>
      </w:pPr>
    </w:p>
    <w:p w14:paraId="498C05E5" w14:textId="232D8547" w:rsidR="002C67DF" w:rsidRPr="002914D8" w:rsidRDefault="002C67DF" w:rsidP="00462BB6">
      <w:pPr>
        <w:pStyle w:val="eTRMHeading3"/>
      </w:pPr>
      <w:bookmarkStart w:id="77" w:name="_Toc486490865"/>
      <w:bookmarkStart w:id="78" w:name="_Toc486580936"/>
      <w:bookmarkStart w:id="79" w:name="_Toc7184839"/>
      <w:r w:rsidRPr="002914D8">
        <w:t xml:space="preserve">Non-Energy </w:t>
      </w:r>
      <w:bookmarkEnd w:id="77"/>
      <w:bookmarkEnd w:id="78"/>
      <w:r w:rsidR="00DA6B7E" w:rsidRPr="002914D8">
        <w:t>Impacts</w:t>
      </w:r>
      <w:bookmarkEnd w:id="79"/>
    </w:p>
    <w:p w14:paraId="0D73FC70" w14:textId="27339D17" w:rsidR="00697A88" w:rsidRPr="002914D8" w:rsidRDefault="00697A88" w:rsidP="00697A88">
      <w:pPr>
        <w:rPr>
          <w:rFonts w:cs="Arial"/>
          <w:szCs w:val="20"/>
        </w:rPr>
      </w:pPr>
      <w:r w:rsidRPr="002914D8">
        <w:rPr>
          <w:rFonts w:cs="Arial"/>
          <w:szCs w:val="20"/>
        </w:rPr>
        <w:t xml:space="preserve">Non-energy benefits for this measure have not been </w:t>
      </w:r>
      <w:r w:rsidR="009D7F4D" w:rsidRPr="002914D8">
        <w:rPr>
          <w:rFonts w:cs="Arial"/>
          <w:szCs w:val="20"/>
        </w:rPr>
        <w:t>quantified</w:t>
      </w:r>
      <w:r w:rsidRPr="002914D8">
        <w:rPr>
          <w:rFonts w:cs="Arial"/>
          <w:szCs w:val="20"/>
        </w:rPr>
        <w:t>.</w:t>
      </w:r>
    </w:p>
    <w:p w14:paraId="0C37F289" w14:textId="77777777" w:rsidR="00697A88" w:rsidRPr="002914D8" w:rsidRDefault="00697A88" w:rsidP="004142EF"/>
    <w:p w14:paraId="7D8551BB" w14:textId="760F7D39" w:rsidR="009C31A4" w:rsidRPr="002914D8" w:rsidRDefault="009C31A4" w:rsidP="00462BB6">
      <w:pPr>
        <w:pStyle w:val="eTRMHeading3"/>
      </w:pPr>
      <w:bookmarkStart w:id="80" w:name="_Toc7184840"/>
      <w:r w:rsidRPr="002914D8">
        <w:t>DEER Differences Analysis</w:t>
      </w:r>
      <w:bookmarkEnd w:id="80"/>
    </w:p>
    <w:p w14:paraId="5E67AF66" w14:textId="01B7F066" w:rsidR="00933919" w:rsidRPr="002914D8" w:rsidRDefault="003F21D2" w:rsidP="00432AF6">
      <w:r w:rsidRPr="002914D8">
        <w:t>This section provides a summary of inputs and methods</w:t>
      </w:r>
      <w:r w:rsidR="00383CEF">
        <w:t xml:space="preserve"> based upon the Database of Energy Efficient Resources (DEER)</w:t>
      </w:r>
      <w:r w:rsidRPr="002914D8">
        <w:t>, and the rationale for inputs and methods that are not DEER-based.</w:t>
      </w:r>
      <w:r w:rsidR="00330763">
        <w:t xml:space="preserve"> </w:t>
      </w:r>
    </w:p>
    <w:p w14:paraId="756C62FB" w14:textId="615AAC71" w:rsidR="00EA057C" w:rsidRPr="002914D8" w:rsidRDefault="00EA057C" w:rsidP="00EA057C">
      <w:pPr>
        <w:pStyle w:val="Caption"/>
      </w:pPr>
      <w:r w:rsidRPr="002914D8">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2914D8" w14:paraId="59D017C8" w14:textId="77777777" w:rsidTr="00EA057C">
        <w:trPr>
          <w:trHeight w:val="20"/>
        </w:trPr>
        <w:tc>
          <w:tcPr>
            <w:tcW w:w="1730" w:type="pct"/>
            <w:shd w:val="clear" w:color="auto" w:fill="F2F2F2" w:themeFill="background1" w:themeFillShade="F2"/>
          </w:tcPr>
          <w:p w14:paraId="5A1E2CE5" w14:textId="77777777" w:rsidR="00EA057C" w:rsidRPr="002914D8" w:rsidRDefault="00EA057C" w:rsidP="00EA057C">
            <w:pPr>
              <w:keepNext/>
              <w:keepLines/>
              <w:tabs>
                <w:tab w:val="right" w:pos="2957"/>
              </w:tabs>
              <w:spacing w:before="20" w:after="20"/>
              <w:rPr>
                <w:rFonts w:cs="Arial"/>
                <w:b/>
                <w:sz w:val="20"/>
                <w:szCs w:val="20"/>
              </w:rPr>
            </w:pPr>
            <w:r w:rsidRPr="002914D8">
              <w:rPr>
                <w:rFonts w:cs="Arial"/>
                <w:b/>
                <w:sz w:val="20"/>
                <w:szCs w:val="20"/>
              </w:rPr>
              <w:t>DEER Item</w:t>
            </w:r>
          </w:p>
        </w:tc>
        <w:tc>
          <w:tcPr>
            <w:tcW w:w="3270" w:type="pct"/>
            <w:shd w:val="clear" w:color="auto" w:fill="F2F2F2" w:themeFill="background1" w:themeFillShade="F2"/>
          </w:tcPr>
          <w:p w14:paraId="52AD34D1" w14:textId="0CFF441B" w:rsidR="00EA057C" w:rsidRPr="002914D8" w:rsidRDefault="00EA057C" w:rsidP="00EA057C">
            <w:pPr>
              <w:keepNext/>
              <w:keepLines/>
              <w:spacing w:before="20" w:after="20"/>
              <w:rPr>
                <w:rFonts w:cs="Arial"/>
                <w:b/>
                <w:sz w:val="20"/>
                <w:szCs w:val="20"/>
              </w:rPr>
            </w:pPr>
            <w:r w:rsidRPr="002914D8">
              <w:rPr>
                <w:rFonts w:cs="Arial"/>
                <w:b/>
                <w:sz w:val="20"/>
                <w:szCs w:val="20"/>
              </w:rPr>
              <w:t>Comment / Used for Workpaper</w:t>
            </w:r>
          </w:p>
        </w:tc>
      </w:tr>
      <w:tr w:rsidR="00EA057C" w:rsidRPr="002914D8" w14:paraId="33003020" w14:textId="77777777" w:rsidTr="00EA057C">
        <w:trPr>
          <w:trHeight w:val="20"/>
        </w:trPr>
        <w:tc>
          <w:tcPr>
            <w:tcW w:w="1730" w:type="pct"/>
          </w:tcPr>
          <w:p w14:paraId="1F2D360A" w14:textId="77777777" w:rsidR="00EA057C" w:rsidRPr="002914D8" w:rsidRDefault="00EA057C" w:rsidP="00EA057C">
            <w:pPr>
              <w:keepNext/>
              <w:keepLines/>
              <w:spacing w:before="20" w:after="20"/>
              <w:rPr>
                <w:rFonts w:cs="Arial"/>
                <w:sz w:val="20"/>
                <w:szCs w:val="20"/>
              </w:rPr>
            </w:pPr>
            <w:r w:rsidRPr="002914D8">
              <w:rPr>
                <w:rFonts w:cs="Arial"/>
                <w:sz w:val="20"/>
                <w:szCs w:val="20"/>
              </w:rPr>
              <w:t>Modified DEER methodology</w:t>
            </w:r>
          </w:p>
        </w:tc>
        <w:tc>
          <w:tcPr>
            <w:tcW w:w="3270" w:type="pct"/>
          </w:tcPr>
          <w:p w14:paraId="247EE411" w14:textId="1E898F2A" w:rsidR="00EA057C" w:rsidRPr="002123D9" w:rsidRDefault="002123D9" w:rsidP="00EA057C">
            <w:pPr>
              <w:keepNext/>
              <w:keepLines/>
              <w:spacing w:before="20" w:after="20"/>
              <w:rPr>
                <w:rFonts w:cs="Arial"/>
                <w:sz w:val="20"/>
                <w:szCs w:val="20"/>
              </w:rPr>
            </w:pPr>
            <w:r w:rsidRPr="002123D9">
              <w:rPr>
                <w:rFonts w:cs="Arial"/>
                <w:sz w:val="20"/>
                <w:szCs w:val="20"/>
              </w:rPr>
              <w:t>No</w:t>
            </w:r>
          </w:p>
        </w:tc>
      </w:tr>
      <w:tr w:rsidR="002123D9" w:rsidRPr="002914D8" w14:paraId="507422EA" w14:textId="77777777" w:rsidTr="00EA057C">
        <w:trPr>
          <w:trHeight w:val="20"/>
        </w:trPr>
        <w:tc>
          <w:tcPr>
            <w:tcW w:w="1730" w:type="pct"/>
          </w:tcPr>
          <w:p w14:paraId="29430E33" w14:textId="77777777" w:rsidR="002123D9" w:rsidRPr="002914D8" w:rsidRDefault="002123D9" w:rsidP="002123D9">
            <w:pPr>
              <w:keepNext/>
              <w:keepLines/>
              <w:spacing w:before="20" w:after="20"/>
              <w:rPr>
                <w:rFonts w:cs="Arial"/>
                <w:sz w:val="20"/>
                <w:szCs w:val="20"/>
              </w:rPr>
            </w:pPr>
            <w:r w:rsidRPr="002914D8">
              <w:rPr>
                <w:rFonts w:cs="Arial"/>
                <w:sz w:val="20"/>
                <w:szCs w:val="20"/>
              </w:rPr>
              <w:t>Scaled DEER measure</w:t>
            </w:r>
          </w:p>
        </w:tc>
        <w:tc>
          <w:tcPr>
            <w:tcW w:w="3270" w:type="pct"/>
          </w:tcPr>
          <w:p w14:paraId="0C847473" w14:textId="3E302277"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335CDE40" w14:textId="77777777" w:rsidTr="00EA057C">
        <w:trPr>
          <w:trHeight w:val="20"/>
        </w:trPr>
        <w:tc>
          <w:tcPr>
            <w:tcW w:w="1730" w:type="pct"/>
          </w:tcPr>
          <w:p w14:paraId="126C3B42" w14:textId="77777777" w:rsidR="002123D9" w:rsidRPr="002914D8" w:rsidRDefault="002123D9" w:rsidP="002123D9">
            <w:pPr>
              <w:keepNext/>
              <w:keepLines/>
              <w:spacing w:before="20" w:after="20"/>
              <w:rPr>
                <w:rFonts w:cs="Arial"/>
                <w:sz w:val="20"/>
                <w:szCs w:val="20"/>
              </w:rPr>
            </w:pPr>
            <w:r w:rsidRPr="002914D8">
              <w:rPr>
                <w:rFonts w:cs="Arial"/>
                <w:sz w:val="20"/>
                <w:szCs w:val="20"/>
              </w:rPr>
              <w:t>DEER Base Case</w:t>
            </w:r>
          </w:p>
        </w:tc>
        <w:tc>
          <w:tcPr>
            <w:tcW w:w="3270" w:type="pct"/>
          </w:tcPr>
          <w:p w14:paraId="5D2A1B0E" w14:textId="57A6FE21"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1F8399E1" w14:textId="77777777" w:rsidTr="00EA057C">
        <w:trPr>
          <w:trHeight w:val="20"/>
        </w:trPr>
        <w:tc>
          <w:tcPr>
            <w:tcW w:w="1730" w:type="pct"/>
          </w:tcPr>
          <w:p w14:paraId="0CC701E3" w14:textId="77777777" w:rsidR="002123D9" w:rsidRPr="002914D8" w:rsidRDefault="002123D9" w:rsidP="002123D9">
            <w:pPr>
              <w:keepNext/>
              <w:keepLines/>
              <w:spacing w:before="20" w:after="20"/>
              <w:rPr>
                <w:rFonts w:cs="Arial"/>
                <w:sz w:val="20"/>
                <w:szCs w:val="20"/>
              </w:rPr>
            </w:pPr>
            <w:r w:rsidRPr="002914D8">
              <w:rPr>
                <w:rFonts w:cs="Arial"/>
                <w:sz w:val="20"/>
                <w:szCs w:val="20"/>
              </w:rPr>
              <w:t>DEER Measure Case</w:t>
            </w:r>
          </w:p>
        </w:tc>
        <w:tc>
          <w:tcPr>
            <w:tcW w:w="3270" w:type="pct"/>
          </w:tcPr>
          <w:p w14:paraId="49A023A0" w14:textId="3C701C18"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663742C6" w14:textId="77777777" w:rsidTr="00EA057C">
        <w:trPr>
          <w:trHeight w:val="20"/>
        </w:trPr>
        <w:tc>
          <w:tcPr>
            <w:tcW w:w="1730" w:type="pct"/>
          </w:tcPr>
          <w:p w14:paraId="16B2FDAB" w14:textId="77777777" w:rsidR="002123D9" w:rsidRPr="002914D8" w:rsidRDefault="002123D9" w:rsidP="002123D9">
            <w:pPr>
              <w:keepNext/>
              <w:keepLines/>
              <w:spacing w:before="20" w:after="20"/>
              <w:rPr>
                <w:rFonts w:cs="Arial"/>
                <w:sz w:val="20"/>
                <w:szCs w:val="20"/>
              </w:rPr>
            </w:pPr>
            <w:r w:rsidRPr="002914D8">
              <w:rPr>
                <w:rFonts w:cs="Arial"/>
                <w:sz w:val="20"/>
                <w:szCs w:val="20"/>
              </w:rPr>
              <w:t>DEER Building Types</w:t>
            </w:r>
          </w:p>
        </w:tc>
        <w:tc>
          <w:tcPr>
            <w:tcW w:w="3270" w:type="pct"/>
          </w:tcPr>
          <w:p w14:paraId="6BBA540C" w14:textId="33F291F9"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424F1325" w14:textId="77777777" w:rsidTr="00EA057C">
        <w:trPr>
          <w:trHeight w:val="20"/>
        </w:trPr>
        <w:tc>
          <w:tcPr>
            <w:tcW w:w="1730" w:type="pct"/>
          </w:tcPr>
          <w:p w14:paraId="71098DDA" w14:textId="77777777" w:rsidR="002123D9" w:rsidRPr="002914D8" w:rsidRDefault="002123D9" w:rsidP="002123D9">
            <w:pPr>
              <w:keepNext/>
              <w:keepLines/>
              <w:spacing w:before="20" w:after="20"/>
              <w:rPr>
                <w:rFonts w:cs="Arial"/>
                <w:sz w:val="20"/>
                <w:szCs w:val="20"/>
              </w:rPr>
            </w:pPr>
            <w:r w:rsidRPr="002914D8">
              <w:rPr>
                <w:rFonts w:cs="Arial"/>
                <w:sz w:val="20"/>
                <w:szCs w:val="20"/>
              </w:rPr>
              <w:t>DEER Operating Hours</w:t>
            </w:r>
          </w:p>
        </w:tc>
        <w:tc>
          <w:tcPr>
            <w:tcW w:w="3270" w:type="pct"/>
          </w:tcPr>
          <w:p w14:paraId="1693E1EE" w14:textId="7BD6BB58"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0B93AD47" w14:textId="77777777" w:rsidTr="00EA057C">
        <w:trPr>
          <w:trHeight w:val="20"/>
        </w:trPr>
        <w:tc>
          <w:tcPr>
            <w:tcW w:w="1730" w:type="pct"/>
          </w:tcPr>
          <w:p w14:paraId="6E9E484F" w14:textId="77777777" w:rsidR="002123D9" w:rsidRPr="002914D8" w:rsidRDefault="002123D9" w:rsidP="002123D9">
            <w:pPr>
              <w:keepNext/>
              <w:keepLines/>
              <w:spacing w:before="20" w:after="20"/>
              <w:rPr>
                <w:rFonts w:cs="Arial"/>
                <w:sz w:val="20"/>
                <w:szCs w:val="20"/>
              </w:rPr>
            </w:pPr>
            <w:r w:rsidRPr="002914D8">
              <w:rPr>
                <w:rFonts w:cs="Arial"/>
                <w:sz w:val="20"/>
                <w:szCs w:val="20"/>
              </w:rPr>
              <w:t xml:space="preserve">DEER </w:t>
            </w:r>
            <w:proofErr w:type="spellStart"/>
            <w:r w:rsidRPr="002914D8">
              <w:rPr>
                <w:rFonts w:cs="Arial"/>
                <w:sz w:val="20"/>
                <w:szCs w:val="20"/>
              </w:rPr>
              <w:t>eQUEST</w:t>
            </w:r>
            <w:proofErr w:type="spellEnd"/>
            <w:r w:rsidRPr="002914D8">
              <w:rPr>
                <w:rFonts w:cs="Arial"/>
                <w:sz w:val="20"/>
                <w:szCs w:val="20"/>
              </w:rPr>
              <w:t xml:space="preserve"> Prototypes</w:t>
            </w:r>
          </w:p>
        </w:tc>
        <w:tc>
          <w:tcPr>
            <w:tcW w:w="3270" w:type="pct"/>
          </w:tcPr>
          <w:p w14:paraId="4948DEAF" w14:textId="77DE2084" w:rsidR="002123D9" w:rsidRPr="001F37C0" w:rsidDel="00505CEC" w:rsidRDefault="002123D9" w:rsidP="002123D9">
            <w:pPr>
              <w:keepNext/>
              <w:keepLines/>
              <w:spacing w:before="20" w:after="20"/>
              <w:rPr>
                <w:rFonts w:cs="Arial"/>
                <w:sz w:val="20"/>
                <w:szCs w:val="20"/>
              </w:rPr>
            </w:pPr>
            <w:r w:rsidRPr="002123D9">
              <w:rPr>
                <w:rFonts w:cs="Arial"/>
                <w:sz w:val="20"/>
                <w:szCs w:val="20"/>
              </w:rPr>
              <w:t>No</w:t>
            </w:r>
          </w:p>
        </w:tc>
      </w:tr>
      <w:tr w:rsidR="00EA057C" w:rsidRPr="002914D8" w14:paraId="2CFDE9D3" w14:textId="77777777" w:rsidTr="00EA057C">
        <w:trPr>
          <w:trHeight w:val="180"/>
        </w:trPr>
        <w:tc>
          <w:tcPr>
            <w:tcW w:w="1730" w:type="pct"/>
          </w:tcPr>
          <w:p w14:paraId="3B6B3E22" w14:textId="77777777" w:rsidR="00EA057C" w:rsidRPr="002914D8" w:rsidRDefault="00EA057C" w:rsidP="00EA057C">
            <w:pPr>
              <w:keepNext/>
              <w:keepLines/>
              <w:spacing w:before="20" w:after="20"/>
              <w:rPr>
                <w:rFonts w:cs="Arial"/>
                <w:sz w:val="20"/>
                <w:szCs w:val="20"/>
              </w:rPr>
            </w:pPr>
            <w:r w:rsidRPr="002914D8">
              <w:rPr>
                <w:rFonts w:cs="Arial"/>
                <w:sz w:val="20"/>
                <w:szCs w:val="20"/>
              </w:rPr>
              <w:t>DEER Version</w:t>
            </w:r>
          </w:p>
        </w:tc>
        <w:tc>
          <w:tcPr>
            <w:tcW w:w="3270" w:type="pct"/>
          </w:tcPr>
          <w:p w14:paraId="1C3B60D1" w14:textId="20C924DF" w:rsidR="00EA057C" w:rsidRPr="001F37C0" w:rsidRDefault="002123D9" w:rsidP="00EA057C">
            <w:pPr>
              <w:keepNext/>
              <w:keepLines/>
              <w:spacing w:before="20" w:after="20"/>
              <w:rPr>
                <w:rFonts w:cs="Arial"/>
                <w:sz w:val="20"/>
                <w:szCs w:val="20"/>
              </w:rPr>
            </w:pPr>
            <w:r>
              <w:rPr>
                <w:rFonts w:cs="Arial"/>
                <w:sz w:val="20"/>
                <w:szCs w:val="20"/>
              </w:rPr>
              <w:t>n/a</w:t>
            </w:r>
          </w:p>
        </w:tc>
      </w:tr>
      <w:tr w:rsidR="00EA057C" w:rsidRPr="002914D8" w14:paraId="3B7464D7" w14:textId="77777777" w:rsidTr="00EA057C">
        <w:trPr>
          <w:trHeight w:val="20"/>
        </w:trPr>
        <w:tc>
          <w:tcPr>
            <w:tcW w:w="1730" w:type="pct"/>
          </w:tcPr>
          <w:p w14:paraId="24000A76" w14:textId="77777777" w:rsidR="00EA057C" w:rsidRPr="002914D8" w:rsidRDefault="00EA057C" w:rsidP="00EA057C">
            <w:pPr>
              <w:keepNext/>
              <w:keepLines/>
              <w:spacing w:before="20" w:after="20"/>
              <w:rPr>
                <w:rFonts w:cs="Arial"/>
                <w:sz w:val="20"/>
                <w:szCs w:val="20"/>
              </w:rPr>
            </w:pPr>
            <w:r w:rsidRPr="002914D8">
              <w:rPr>
                <w:rFonts w:cs="Arial"/>
                <w:sz w:val="20"/>
                <w:szCs w:val="20"/>
              </w:rPr>
              <w:t>Reason for Deviation from DEER</w:t>
            </w:r>
          </w:p>
        </w:tc>
        <w:tc>
          <w:tcPr>
            <w:tcW w:w="3270" w:type="pct"/>
          </w:tcPr>
          <w:p w14:paraId="125AAB90" w14:textId="36FADDDD" w:rsidR="00EA057C" w:rsidRPr="001F37C0" w:rsidRDefault="002123D9" w:rsidP="00EA057C">
            <w:pPr>
              <w:keepNext/>
              <w:keepLines/>
              <w:spacing w:before="20" w:after="20"/>
              <w:rPr>
                <w:rFonts w:cs="Arial"/>
                <w:sz w:val="20"/>
                <w:szCs w:val="20"/>
              </w:rPr>
            </w:pPr>
            <w:r>
              <w:rPr>
                <w:rFonts w:cs="Arial"/>
                <w:sz w:val="20"/>
                <w:szCs w:val="20"/>
              </w:rPr>
              <w:t>This measure is not in DEER.</w:t>
            </w:r>
          </w:p>
        </w:tc>
      </w:tr>
      <w:tr w:rsidR="00EA057C" w:rsidRPr="002914D8" w14:paraId="4A7EE859" w14:textId="77777777" w:rsidTr="00EA057C">
        <w:trPr>
          <w:trHeight w:val="20"/>
        </w:trPr>
        <w:tc>
          <w:tcPr>
            <w:tcW w:w="1730" w:type="pct"/>
          </w:tcPr>
          <w:p w14:paraId="7B4D686A" w14:textId="77777777" w:rsidR="00EA057C" w:rsidRPr="002914D8" w:rsidRDefault="00EA057C" w:rsidP="00EA057C">
            <w:pPr>
              <w:keepNext/>
              <w:keepLines/>
              <w:spacing w:before="20" w:after="20"/>
              <w:rPr>
                <w:rFonts w:cs="Arial"/>
                <w:sz w:val="20"/>
                <w:szCs w:val="20"/>
              </w:rPr>
            </w:pPr>
            <w:r w:rsidRPr="002914D8">
              <w:rPr>
                <w:rFonts w:cs="Arial"/>
                <w:sz w:val="20"/>
                <w:szCs w:val="20"/>
              </w:rPr>
              <w:t>DEER Measure IDs Used</w:t>
            </w:r>
          </w:p>
        </w:tc>
        <w:tc>
          <w:tcPr>
            <w:tcW w:w="3270" w:type="pct"/>
          </w:tcPr>
          <w:p w14:paraId="63ABA251" w14:textId="1230709A" w:rsidR="00EA057C" w:rsidRPr="001F37C0" w:rsidRDefault="002123D9" w:rsidP="00EA057C">
            <w:pPr>
              <w:keepNext/>
              <w:keepLines/>
              <w:spacing w:before="20" w:after="20"/>
              <w:rPr>
                <w:rFonts w:cs="Arial"/>
                <w:sz w:val="20"/>
                <w:szCs w:val="20"/>
              </w:rPr>
            </w:pPr>
            <w:r>
              <w:rPr>
                <w:rFonts w:cs="Arial"/>
                <w:sz w:val="20"/>
                <w:szCs w:val="20"/>
              </w:rPr>
              <w:t>n/a</w:t>
            </w:r>
          </w:p>
        </w:tc>
      </w:tr>
      <w:tr w:rsidR="00EA057C" w:rsidRPr="002914D8" w14:paraId="5A83EC74" w14:textId="77777777" w:rsidTr="00EA057C">
        <w:trPr>
          <w:trHeight w:val="20"/>
        </w:trPr>
        <w:tc>
          <w:tcPr>
            <w:tcW w:w="1730" w:type="pct"/>
          </w:tcPr>
          <w:p w14:paraId="2C82A9E0" w14:textId="121308D7" w:rsidR="00EA057C" w:rsidRPr="002914D8" w:rsidRDefault="00EA057C" w:rsidP="00EA057C">
            <w:pPr>
              <w:keepNext/>
              <w:keepLines/>
              <w:spacing w:before="20" w:after="20"/>
              <w:rPr>
                <w:rFonts w:cs="Arial"/>
                <w:sz w:val="20"/>
                <w:szCs w:val="20"/>
              </w:rPr>
            </w:pPr>
            <w:r w:rsidRPr="002914D8">
              <w:rPr>
                <w:rFonts w:cs="Arial"/>
                <w:sz w:val="20"/>
                <w:szCs w:val="20"/>
              </w:rPr>
              <w:t>NTG</w:t>
            </w:r>
          </w:p>
        </w:tc>
        <w:tc>
          <w:tcPr>
            <w:tcW w:w="3270" w:type="pct"/>
          </w:tcPr>
          <w:p w14:paraId="294EA747" w14:textId="0539C3B4" w:rsidR="00781739" w:rsidRDefault="005A74DC" w:rsidP="001C1D0E">
            <w:pPr>
              <w:keepNext/>
              <w:keepLines/>
              <w:spacing w:before="20" w:after="20"/>
              <w:rPr>
                <w:rFonts w:cs="Arial"/>
                <w:sz w:val="20"/>
                <w:szCs w:val="20"/>
              </w:rPr>
            </w:pPr>
            <w:r w:rsidRPr="002914D8">
              <w:rPr>
                <w:rFonts w:cs="Arial"/>
                <w:sz w:val="20"/>
                <w:szCs w:val="20"/>
              </w:rPr>
              <w:t xml:space="preserve">Source: </w:t>
            </w:r>
            <w:r w:rsidR="00F62B47">
              <w:rPr>
                <w:rFonts w:cs="Arial"/>
                <w:sz w:val="20"/>
                <w:szCs w:val="20"/>
              </w:rPr>
              <w:t>DEER</w:t>
            </w:r>
            <w:r w:rsidRPr="002914D8">
              <w:rPr>
                <w:rFonts w:cs="Arial"/>
                <w:sz w:val="20"/>
                <w:szCs w:val="20"/>
              </w:rPr>
              <w:t>.</w:t>
            </w:r>
          </w:p>
          <w:p w14:paraId="1F03C7A6" w14:textId="3E06193A" w:rsidR="00781739" w:rsidRDefault="005A74DC" w:rsidP="00781739">
            <w:pPr>
              <w:keepNext/>
              <w:keepLines/>
              <w:spacing w:before="20" w:after="20"/>
              <w:ind w:left="720"/>
              <w:rPr>
                <w:rFonts w:cs="Arial"/>
                <w:sz w:val="20"/>
                <w:szCs w:val="20"/>
              </w:rPr>
            </w:pPr>
            <w:r w:rsidRPr="002914D8">
              <w:rPr>
                <w:rFonts w:cs="Arial"/>
                <w:sz w:val="20"/>
                <w:szCs w:val="20"/>
              </w:rPr>
              <w:t xml:space="preserve">The NTG of </w:t>
            </w:r>
            <w:r w:rsidR="00F62B47">
              <w:rPr>
                <w:rFonts w:cs="Arial"/>
                <w:sz w:val="20"/>
                <w:szCs w:val="20"/>
              </w:rPr>
              <w:t>0.</w:t>
            </w:r>
            <w:r w:rsidR="0054398E">
              <w:rPr>
                <w:rFonts w:cs="Arial"/>
                <w:sz w:val="20"/>
                <w:szCs w:val="20"/>
              </w:rPr>
              <w:t>55</w:t>
            </w:r>
            <w:r w:rsidR="00781739">
              <w:rPr>
                <w:rFonts w:cs="Arial"/>
                <w:sz w:val="20"/>
                <w:szCs w:val="20"/>
              </w:rPr>
              <w:t xml:space="preserve"> </w:t>
            </w:r>
            <w:r w:rsidRPr="002914D8">
              <w:rPr>
                <w:rFonts w:cs="Arial"/>
                <w:sz w:val="20"/>
                <w:szCs w:val="20"/>
              </w:rPr>
              <w:t xml:space="preserve">is associated with </w:t>
            </w:r>
            <w:r w:rsidR="00C771B2">
              <w:rPr>
                <w:rFonts w:cs="Arial"/>
                <w:sz w:val="20"/>
                <w:szCs w:val="20"/>
              </w:rPr>
              <w:t>Res-Default &gt;2</w:t>
            </w:r>
            <w:r w:rsidR="00781739">
              <w:rPr>
                <w:rFonts w:cs="Arial"/>
                <w:sz w:val="20"/>
                <w:szCs w:val="20"/>
              </w:rPr>
              <w:t>.</w:t>
            </w:r>
          </w:p>
          <w:p w14:paraId="2BBBB10C" w14:textId="27477FE6" w:rsidR="00EA057C" w:rsidRPr="002914D8" w:rsidRDefault="00DC3BE5" w:rsidP="001C1D0E">
            <w:pPr>
              <w:keepNext/>
              <w:keepLines/>
              <w:spacing w:before="20" w:after="20"/>
              <w:ind w:left="720"/>
              <w:rPr>
                <w:rFonts w:cs="Arial"/>
                <w:sz w:val="20"/>
                <w:szCs w:val="20"/>
              </w:rPr>
            </w:pPr>
            <w:r>
              <w:rPr>
                <w:rFonts w:cs="Arial"/>
                <w:sz w:val="20"/>
                <w:szCs w:val="20"/>
              </w:rPr>
              <w:t>The NTG of</w:t>
            </w:r>
            <w:r w:rsidR="00EB3AF4">
              <w:rPr>
                <w:rFonts w:cs="Arial"/>
                <w:sz w:val="20"/>
                <w:szCs w:val="20"/>
              </w:rPr>
              <w:t xml:space="preserve"> 0</w:t>
            </w:r>
            <w:r>
              <w:rPr>
                <w:rFonts w:cs="Arial"/>
                <w:sz w:val="20"/>
                <w:szCs w:val="20"/>
              </w:rPr>
              <w:t>.</w:t>
            </w:r>
            <w:r w:rsidR="00781739">
              <w:rPr>
                <w:rFonts w:cs="Arial"/>
                <w:sz w:val="20"/>
                <w:szCs w:val="20"/>
              </w:rPr>
              <w:t xml:space="preserve">70 </w:t>
            </w:r>
            <w:r w:rsidR="002E31E1">
              <w:rPr>
                <w:rFonts w:cs="Arial"/>
                <w:sz w:val="20"/>
                <w:szCs w:val="20"/>
              </w:rPr>
              <w:t xml:space="preserve">is associated with </w:t>
            </w:r>
            <w:r w:rsidR="00781739" w:rsidRPr="00781739">
              <w:rPr>
                <w:rFonts w:cs="Arial"/>
                <w:sz w:val="20"/>
                <w:szCs w:val="20"/>
              </w:rPr>
              <w:t>All-Default&lt;=2yrs</w:t>
            </w:r>
            <w:r w:rsidR="00781739">
              <w:rPr>
                <w:rFonts w:cs="Arial"/>
                <w:sz w:val="20"/>
                <w:szCs w:val="20"/>
              </w:rPr>
              <w:t xml:space="preserve">. </w:t>
            </w:r>
          </w:p>
        </w:tc>
      </w:tr>
      <w:tr w:rsidR="00EA057C" w:rsidRPr="002914D8" w14:paraId="131D1F9D" w14:textId="77777777" w:rsidTr="00EA057C">
        <w:trPr>
          <w:trHeight w:val="20"/>
        </w:trPr>
        <w:tc>
          <w:tcPr>
            <w:tcW w:w="1730" w:type="pct"/>
          </w:tcPr>
          <w:p w14:paraId="45FFA983" w14:textId="5F527A83" w:rsidR="00EA057C" w:rsidRPr="002914D8" w:rsidRDefault="00EA057C" w:rsidP="00EA057C">
            <w:pPr>
              <w:keepNext/>
              <w:keepLines/>
              <w:spacing w:before="20" w:after="20"/>
              <w:rPr>
                <w:rFonts w:cs="Arial"/>
                <w:sz w:val="20"/>
                <w:szCs w:val="20"/>
              </w:rPr>
            </w:pPr>
            <w:r w:rsidRPr="002914D8">
              <w:rPr>
                <w:rFonts w:cs="Arial"/>
                <w:sz w:val="20"/>
                <w:szCs w:val="20"/>
              </w:rPr>
              <w:t>GSIA</w:t>
            </w:r>
          </w:p>
        </w:tc>
        <w:tc>
          <w:tcPr>
            <w:tcW w:w="3270" w:type="pct"/>
          </w:tcPr>
          <w:p w14:paraId="7C16D603" w14:textId="2C07CF1F" w:rsidR="00EA057C" w:rsidRPr="002914D8" w:rsidRDefault="005A74DC" w:rsidP="005A74DC">
            <w:pPr>
              <w:keepNext/>
              <w:keepLines/>
              <w:spacing w:before="20" w:after="20"/>
              <w:rPr>
                <w:rFonts w:cs="Arial"/>
                <w:sz w:val="20"/>
                <w:szCs w:val="20"/>
              </w:rPr>
            </w:pPr>
            <w:r w:rsidRPr="002914D8">
              <w:rPr>
                <w:rFonts w:cs="Arial"/>
                <w:sz w:val="20"/>
                <w:szCs w:val="20"/>
              </w:rPr>
              <w:t xml:space="preserve">Source: </w:t>
            </w:r>
            <w:r w:rsidR="00F62B47">
              <w:rPr>
                <w:rFonts w:cs="Arial"/>
                <w:sz w:val="20"/>
                <w:szCs w:val="20"/>
              </w:rPr>
              <w:t>DEER</w:t>
            </w:r>
            <w:r w:rsidRPr="002914D8">
              <w:rPr>
                <w:rFonts w:cs="Arial"/>
                <w:sz w:val="20"/>
                <w:szCs w:val="20"/>
              </w:rPr>
              <w:t xml:space="preserve">. The GSIA of </w:t>
            </w:r>
            <w:r w:rsidR="00F62B47">
              <w:rPr>
                <w:rFonts w:cs="Arial"/>
                <w:sz w:val="20"/>
                <w:szCs w:val="20"/>
              </w:rPr>
              <w:t>1.0</w:t>
            </w:r>
            <w:r w:rsidRPr="002914D8">
              <w:rPr>
                <w:rFonts w:cs="Arial"/>
                <w:sz w:val="20"/>
                <w:szCs w:val="20"/>
              </w:rPr>
              <w:t xml:space="preserve"> is associated with GSIA ID: </w:t>
            </w:r>
            <w:r w:rsidR="00164EEC">
              <w:rPr>
                <w:rFonts w:cs="Arial"/>
                <w:i/>
                <w:sz w:val="20"/>
                <w:szCs w:val="20"/>
              </w:rPr>
              <w:t>Def-GSIA</w:t>
            </w:r>
          </w:p>
        </w:tc>
      </w:tr>
      <w:tr w:rsidR="00EA057C" w:rsidRPr="002914D8" w14:paraId="4D0F7E1B" w14:textId="77777777" w:rsidTr="00EA057C">
        <w:trPr>
          <w:trHeight w:val="20"/>
        </w:trPr>
        <w:tc>
          <w:tcPr>
            <w:tcW w:w="1730" w:type="pct"/>
          </w:tcPr>
          <w:p w14:paraId="103BA947" w14:textId="6665B2EA" w:rsidR="00EA057C" w:rsidRPr="002914D8" w:rsidRDefault="00EA057C" w:rsidP="00EA057C">
            <w:pPr>
              <w:keepNext/>
              <w:keepLines/>
              <w:spacing w:before="20" w:after="20"/>
              <w:rPr>
                <w:rFonts w:cs="Arial"/>
                <w:sz w:val="20"/>
                <w:szCs w:val="20"/>
              </w:rPr>
            </w:pPr>
            <w:r w:rsidRPr="002914D8">
              <w:rPr>
                <w:rFonts w:cs="Arial"/>
                <w:sz w:val="20"/>
                <w:szCs w:val="20"/>
              </w:rPr>
              <w:t>EUL/RUL</w:t>
            </w:r>
          </w:p>
        </w:tc>
        <w:tc>
          <w:tcPr>
            <w:tcW w:w="3270" w:type="pct"/>
          </w:tcPr>
          <w:p w14:paraId="5BD9C961" w14:textId="4F1048F2" w:rsidR="00EA057C" w:rsidRPr="00383CEF" w:rsidRDefault="005A74DC" w:rsidP="00EA057C">
            <w:pPr>
              <w:keepNext/>
              <w:keepLines/>
              <w:spacing w:before="20" w:after="20"/>
              <w:rPr>
                <w:rFonts w:cs="Arial"/>
                <w:sz w:val="20"/>
                <w:szCs w:val="20"/>
              </w:rPr>
            </w:pPr>
            <w:r w:rsidRPr="00383CEF">
              <w:rPr>
                <w:rFonts w:cs="Arial"/>
                <w:sz w:val="20"/>
                <w:szCs w:val="20"/>
              </w:rPr>
              <w:t xml:space="preserve">The value of </w:t>
            </w:r>
            <w:r w:rsidR="00F62B47" w:rsidRPr="00383CEF">
              <w:rPr>
                <w:rFonts w:cs="Arial"/>
                <w:sz w:val="20"/>
                <w:szCs w:val="20"/>
              </w:rPr>
              <w:t>20</w:t>
            </w:r>
            <w:r w:rsidRPr="00383CEF">
              <w:rPr>
                <w:rFonts w:cs="Arial"/>
                <w:sz w:val="20"/>
                <w:szCs w:val="20"/>
              </w:rPr>
              <w:t xml:space="preserve"> years is associated with EUL ID: </w:t>
            </w:r>
            <w:r w:rsidR="0044445D" w:rsidRPr="00383CEF">
              <w:rPr>
                <w:rFonts w:cs="Arial"/>
                <w:i/>
                <w:sz w:val="20"/>
                <w:szCs w:val="20"/>
              </w:rPr>
              <w:t>HV-</w:t>
            </w:r>
            <w:proofErr w:type="spellStart"/>
            <w:r w:rsidR="0044445D" w:rsidRPr="00383CEF">
              <w:rPr>
                <w:rFonts w:cs="Arial"/>
                <w:i/>
                <w:sz w:val="20"/>
                <w:szCs w:val="20"/>
              </w:rPr>
              <w:t>EffFurn</w:t>
            </w:r>
            <w:proofErr w:type="spellEnd"/>
            <w:r w:rsidRPr="00383CEF">
              <w:rPr>
                <w:rFonts w:cs="Arial"/>
                <w:sz w:val="20"/>
                <w:szCs w:val="20"/>
              </w:rPr>
              <w:t>.</w:t>
            </w:r>
            <w:r w:rsidR="0095396E" w:rsidRPr="00383CEF">
              <w:rPr>
                <w:rFonts w:cs="Arial"/>
                <w:sz w:val="20"/>
                <w:szCs w:val="20"/>
              </w:rPr>
              <w:t xml:space="preserve"> </w:t>
            </w:r>
            <w:r w:rsidR="00101CDB" w:rsidRPr="00383CEF">
              <w:rPr>
                <w:rFonts w:cs="Arial"/>
                <w:sz w:val="20"/>
                <w:szCs w:val="20"/>
              </w:rPr>
              <w:t xml:space="preserve">Updated in </w:t>
            </w:r>
            <w:r w:rsidR="00383CEF" w:rsidRPr="00383CEF">
              <w:rPr>
                <w:rFonts w:cs="Arial"/>
                <w:sz w:val="20"/>
                <w:szCs w:val="20"/>
              </w:rPr>
              <w:t>20</w:t>
            </w:r>
            <w:r w:rsidR="00101CDB" w:rsidRPr="00383CEF">
              <w:rPr>
                <w:rFonts w:cs="Arial"/>
                <w:sz w:val="20"/>
                <w:szCs w:val="20"/>
              </w:rPr>
              <w:t xml:space="preserve">06-08. </w:t>
            </w:r>
          </w:p>
        </w:tc>
      </w:tr>
    </w:tbl>
    <w:p w14:paraId="3D440479" w14:textId="77777777" w:rsidR="00EA057C" w:rsidRPr="002914D8" w:rsidRDefault="00EA057C" w:rsidP="004142EF">
      <w:bookmarkStart w:id="81" w:name="_Hlk516051142"/>
    </w:p>
    <w:p w14:paraId="59542C0D" w14:textId="77777777" w:rsidR="007D230B" w:rsidRPr="002914D8" w:rsidRDefault="007D230B" w:rsidP="00462BB6">
      <w:pPr>
        <w:pStyle w:val="eTRMHeading3"/>
      </w:pPr>
      <w:bookmarkStart w:id="82" w:name="_Toc486490866"/>
      <w:bookmarkStart w:id="83" w:name="_Toc486580937"/>
      <w:bookmarkStart w:id="84" w:name="_Toc7184841"/>
      <w:bookmarkStart w:id="85" w:name="_Hlk516047558"/>
      <w:r w:rsidRPr="002914D8">
        <w:lastRenderedPageBreak/>
        <w:t>Revision History</w:t>
      </w:r>
      <w:bookmarkEnd w:id="82"/>
      <w:bookmarkEnd w:id="83"/>
      <w:bookmarkEnd w:id="84"/>
    </w:p>
    <w:p w14:paraId="3661732B" w14:textId="6E964483" w:rsidR="00CA1CB3" w:rsidRPr="002914D8" w:rsidRDefault="00742F88" w:rsidP="00742F88">
      <w:pPr>
        <w:pStyle w:val="Caption"/>
      </w:pPr>
      <w:bookmarkStart w:id="86" w:name="_Hlk515959178"/>
      <w:r w:rsidRPr="002914D8">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4"/>
        <w:gridCol w:w="1801"/>
        <w:gridCol w:w="4765"/>
      </w:tblGrid>
      <w:tr w:rsidR="00CA1CB3" w:rsidRPr="002914D8" w14:paraId="1904D58C" w14:textId="6E96D877" w:rsidTr="001F37C0">
        <w:trPr>
          <w:trHeight w:val="20"/>
        </w:trPr>
        <w:tc>
          <w:tcPr>
            <w:tcW w:w="503" w:type="pct"/>
            <w:shd w:val="clear" w:color="auto" w:fill="F2F2F2" w:themeFill="background1" w:themeFillShade="F2"/>
            <w:vAlign w:val="bottom"/>
          </w:tcPr>
          <w:p w14:paraId="5365A71C" w14:textId="5EB86E00" w:rsidR="00CA1CB3" w:rsidRPr="002914D8" w:rsidRDefault="00CA1CB3" w:rsidP="00871123">
            <w:pPr>
              <w:keepNext/>
              <w:keepLines/>
              <w:tabs>
                <w:tab w:val="right" w:pos="2957"/>
              </w:tabs>
              <w:spacing w:before="20" w:after="20"/>
              <w:rPr>
                <w:rFonts w:cs="Arial"/>
                <w:b/>
                <w:sz w:val="20"/>
                <w:szCs w:val="20"/>
              </w:rPr>
            </w:pPr>
            <w:r w:rsidRPr="002914D8">
              <w:rPr>
                <w:rFonts w:cs="Arial"/>
                <w:b/>
                <w:sz w:val="20"/>
                <w:szCs w:val="20"/>
              </w:rPr>
              <w:t>Revision Number</w:t>
            </w:r>
          </w:p>
        </w:tc>
        <w:tc>
          <w:tcPr>
            <w:tcW w:w="986" w:type="pct"/>
            <w:shd w:val="clear" w:color="auto" w:fill="F2F2F2" w:themeFill="background1" w:themeFillShade="F2"/>
            <w:vAlign w:val="bottom"/>
          </w:tcPr>
          <w:p w14:paraId="7DC8BCED" w14:textId="01EC9ED2" w:rsidR="00CA1CB3" w:rsidRPr="002914D8" w:rsidRDefault="005622AF" w:rsidP="00871123">
            <w:pPr>
              <w:keepNext/>
              <w:keepLines/>
              <w:spacing w:before="20" w:after="20"/>
              <w:rPr>
                <w:rFonts w:cs="Arial"/>
                <w:b/>
                <w:sz w:val="20"/>
                <w:szCs w:val="20"/>
              </w:rPr>
            </w:pPr>
            <w:r>
              <w:rPr>
                <w:rFonts w:cs="Arial"/>
                <w:b/>
                <w:sz w:val="20"/>
                <w:szCs w:val="20"/>
              </w:rPr>
              <w:t xml:space="preserve">Revision Complete </w:t>
            </w:r>
            <w:r w:rsidR="00CA1CB3" w:rsidRPr="002914D8">
              <w:rPr>
                <w:rFonts w:cs="Arial"/>
                <w:b/>
                <w:sz w:val="20"/>
                <w:szCs w:val="20"/>
              </w:rPr>
              <w:t>Date</w:t>
            </w:r>
          </w:p>
        </w:tc>
        <w:tc>
          <w:tcPr>
            <w:tcW w:w="963" w:type="pct"/>
            <w:shd w:val="clear" w:color="auto" w:fill="F2F2F2" w:themeFill="background1" w:themeFillShade="F2"/>
            <w:vAlign w:val="bottom"/>
          </w:tcPr>
          <w:p w14:paraId="10DC2402" w14:textId="63223EB6" w:rsidR="00CA1CB3" w:rsidRPr="002914D8" w:rsidRDefault="00CA1CB3" w:rsidP="00871123">
            <w:pPr>
              <w:keepNext/>
              <w:keepLines/>
              <w:spacing w:before="20" w:after="20"/>
              <w:rPr>
                <w:rFonts w:cs="Arial"/>
                <w:b/>
                <w:sz w:val="20"/>
                <w:szCs w:val="20"/>
              </w:rPr>
            </w:pPr>
            <w:r w:rsidRPr="002914D8">
              <w:rPr>
                <w:rFonts w:cs="Arial"/>
                <w:b/>
                <w:sz w:val="20"/>
                <w:szCs w:val="20"/>
              </w:rPr>
              <w:t>Primary Author, Title, Organization</w:t>
            </w:r>
          </w:p>
        </w:tc>
        <w:tc>
          <w:tcPr>
            <w:tcW w:w="2548" w:type="pct"/>
            <w:shd w:val="clear" w:color="auto" w:fill="F2F2F2" w:themeFill="background1" w:themeFillShade="F2"/>
            <w:vAlign w:val="bottom"/>
          </w:tcPr>
          <w:p w14:paraId="2BFB4352" w14:textId="189F8167" w:rsidR="00CA1CB3" w:rsidRPr="002914D8" w:rsidRDefault="00CA1CB3" w:rsidP="00871123">
            <w:pPr>
              <w:keepNext/>
              <w:keepLines/>
              <w:spacing w:before="20" w:after="20"/>
              <w:rPr>
                <w:rFonts w:cs="Arial"/>
                <w:b/>
                <w:sz w:val="20"/>
                <w:szCs w:val="20"/>
              </w:rPr>
            </w:pPr>
            <w:r w:rsidRPr="002914D8">
              <w:rPr>
                <w:rFonts w:cs="Arial"/>
                <w:b/>
                <w:sz w:val="20"/>
                <w:szCs w:val="20"/>
              </w:rPr>
              <w:t>Revision Summary and Rationale for Revision</w:t>
            </w:r>
          </w:p>
        </w:tc>
      </w:tr>
      <w:tr w:rsidR="00F75EE7" w:rsidRPr="00CA1CB3" w14:paraId="0A9DBD7D" w14:textId="04A29668" w:rsidTr="001F37C0">
        <w:trPr>
          <w:trHeight w:val="20"/>
        </w:trPr>
        <w:tc>
          <w:tcPr>
            <w:tcW w:w="503" w:type="pct"/>
            <w:vMerge w:val="restart"/>
          </w:tcPr>
          <w:p w14:paraId="38788C98" w14:textId="650C945D" w:rsidR="00F75EE7" w:rsidRPr="002914D8" w:rsidRDefault="00F75EE7" w:rsidP="00871123">
            <w:pPr>
              <w:keepNext/>
              <w:keepLines/>
              <w:spacing w:before="20" w:after="20"/>
              <w:rPr>
                <w:rFonts w:cs="Arial"/>
                <w:sz w:val="20"/>
                <w:szCs w:val="20"/>
              </w:rPr>
            </w:pPr>
            <w:r w:rsidRPr="002914D8">
              <w:rPr>
                <w:rFonts w:cs="Arial"/>
                <w:sz w:val="20"/>
                <w:szCs w:val="20"/>
              </w:rPr>
              <w:t>01</w:t>
            </w:r>
          </w:p>
        </w:tc>
        <w:tc>
          <w:tcPr>
            <w:tcW w:w="986" w:type="pct"/>
          </w:tcPr>
          <w:p w14:paraId="03B67B1D" w14:textId="099E13E7" w:rsidR="00F75EE7" w:rsidRPr="002914D8" w:rsidRDefault="00F75EE7" w:rsidP="00871123">
            <w:pPr>
              <w:keepNext/>
              <w:keepLines/>
              <w:spacing w:before="20" w:after="20"/>
              <w:rPr>
                <w:rFonts w:cs="Arial"/>
                <w:sz w:val="20"/>
                <w:szCs w:val="20"/>
              </w:rPr>
            </w:pPr>
            <w:r>
              <w:rPr>
                <w:rFonts w:cs="Arial"/>
                <w:sz w:val="20"/>
                <w:szCs w:val="20"/>
              </w:rPr>
              <w:t>09/30</w:t>
            </w:r>
            <w:r w:rsidRPr="002914D8">
              <w:rPr>
                <w:rFonts w:cs="Arial"/>
                <w:sz w:val="20"/>
                <w:szCs w:val="20"/>
              </w:rPr>
              <w:t>/2018</w:t>
            </w:r>
          </w:p>
        </w:tc>
        <w:tc>
          <w:tcPr>
            <w:tcW w:w="963" w:type="pct"/>
          </w:tcPr>
          <w:p w14:paraId="24160CE8" w14:textId="1ED1F847" w:rsidR="00F75EE7" w:rsidRPr="002914D8" w:rsidRDefault="00F75EE7" w:rsidP="00871123">
            <w:pPr>
              <w:keepNext/>
              <w:keepLines/>
              <w:spacing w:before="20" w:after="20"/>
              <w:rPr>
                <w:rFonts w:cs="Arial"/>
                <w:sz w:val="20"/>
                <w:szCs w:val="20"/>
              </w:rPr>
            </w:pPr>
            <w:r>
              <w:rPr>
                <w:rFonts w:cs="Arial"/>
                <w:sz w:val="20"/>
                <w:szCs w:val="20"/>
              </w:rPr>
              <w:t>Jennifer Holmes,</w:t>
            </w:r>
          </w:p>
          <w:p w14:paraId="32D154D7" w14:textId="0FB8154E" w:rsidR="00F75EE7" w:rsidRPr="002914D8" w:rsidRDefault="00F75EE7" w:rsidP="00871123">
            <w:pPr>
              <w:keepNext/>
              <w:keepLines/>
              <w:spacing w:before="20" w:after="20"/>
              <w:rPr>
                <w:rFonts w:cs="Arial"/>
                <w:sz w:val="20"/>
                <w:szCs w:val="20"/>
              </w:rPr>
            </w:pPr>
            <w:r w:rsidRPr="002914D8">
              <w:rPr>
                <w:rFonts w:cs="Arial"/>
                <w:sz w:val="20"/>
                <w:szCs w:val="20"/>
              </w:rPr>
              <w:t>Cal TF Staff</w:t>
            </w:r>
          </w:p>
        </w:tc>
        <w:tc>
          <w:tcPr>
            <w:tcW w:w="2548" w:type="pct"/>
          </w:tcPr>
          <w:p w14:paraId="0C93091A" w14:textId="77777777" w:rsidR="00F75EE7" w:rsidRPr="002914D8" w:rsidRDefault="00F75EE7" w:rsidP="00871123">
            <w:pPr>
              <w:keepNext/>
              <w:keepLines/>
              <w:spacing w:before="20" w:after="20"/>
              <w:rPr>
                <w:rFonts w:cs="Arial"/>
                <w:sz w:val="20"/>
                <w:szCs w:val="20"/>
              </w:rPr>
            </w:pPr>
            <w:r w:rsidRPr="002914D8">
              <w:rPr>
                <w:rFonts w:cs="Arial"/>
                <w:sz w:val="20"/>
                <w:szCs w:val="20"/>
              </w:rPr>
              <w:t>Draft of consolidated text for this statewide measure is based upon:</w:t>
            </w:r>
          </w:p>
          <w:p w14:paraId="631B06C1" w14:textId="3742183E" w:rsidR="00F75EE7" w:rsidRPr="002914D8" w:rsidRDefault="00F75EE7" w:rsidP="00871123">
            <w:pPr>
              <w:keepNext/>
              <w:keepLines/>
              <w:spacing w:before="20" w:after="20"/>
              <w:rPr>
                <w:rFonts w:cs="Arial"/>
                <w:sz w:val="20"/>
                <w:szCs w:val="20"/>
              </w:rPr>
            </w:pPr>
            <w:r>
              <w:rPr>
                <w:rFonts w:cs="Arial"/>
                <w:sz w:val="20"/>
                <w:szCs w:val="20"/>
              </w:rPr>
              <w:t>WPSCGREHC110603A Revision 2 (January 31, 2014)</w:t>
            </w:r>
            <w:r w:rsidRPr="002914D8">
              <w:rPr>
                <w:rFonts w:cs="Arial"/>
                <w:sz w:val="20"/>
                <w:szCs w:val="20"/>
              </w:rPr>
              <w:t xml:space="preserve"> </w:t>
            </w:r>
          </w:p>
          <w:p w14:paraId="6C70C36F" w14:textId="4E017CA9" w:rsidR="00F75EE7" w:rsidRPr="00CA1CB3" w:rsidRDefault="00F75EE7" w:rsidP="00F62B47">
            <w:pPr>
              <w:keepNext/>
              <w:keepLines/>
              <w:spacing w:before="20" w:after="20"/>
              <w:rPr>
                <w:rFonts w:cs="Arial"/>
                <w:sz w:val="20"/>
                <w:szCs w:val="20"/>
              </w:rPr>
            </w:pPr>
            <w:r w:rsidRPr="002914D8">
              <w:rPr>
                <w:rFonts w:cs="Arial"/>
                <w:sz w:val="20"/>
                <w:szCs w:val="20"/>
              </w:rPr>
              <w:t>Consensus reached among Cal TF members.</w:t>
            </w:r>
            <w:r w:rsidRPr="00CA1CB3">
              <w:rPr>
                <w:rFonts w:cs="Arial"/>
                <w:sz w:val="20"/>
                <w:szCs w:val="20"/>
              </w:rPr>
              <w:t xml:space="preserve"> </w:t>
            </w:r>
          </w:p>
        </w:tc>
      </w:tr>
      <w:tr w:rsidR="00F75EE7" w:rsidRPr="00CA1CB3" w14:paraId="0410232F" w14:textId="77777777" w:rsidTr="001F37C0">
        <w:trPr>
          <w:trHeight w:val="20"/>
        </w:trPr>
        <w:tc>
          <w:tcPr>
            <w:tcW w:w="503" w:type="pct"/>
            <w:vMerge/>
          </w:tcPr>
          <w:p w14:paraId="045795AD" w14:textId="77777777" w:rsidR="00F75EE7" w:rsidRPr="002914D8" w:rsidRDefault="00F75EE7" w:rsidP="00871123">
            <w:pPr>
              <w:keepNext/>
              <w:keepLines/>
              <w:spacing w:before="20" w:after="20"/>
              <w:rPr>
                <w:rFonts w:cs="Arial"/>
                <w:sz w:val="20"/>
                <w:szCs w:val="20"/>
              </w:rPr>
            </w:pPr>
          </w:p>
        </w:tc>
        <w:tc>
          <w:tcPr>
            <w:tcW w:w="986" w:type="pct"/>
          </w:tcPr>
          <w:p w14:paraId="2F15B8C8" w14:textId="0F42C684" w:rsidR="00F75EE7" w:rsidRDefault="00F75EE7" w:rsidP="00871123">
            <w:pPr>
              <w:keepNext/>
              <w:keepLines/>
              <w:spacing w:before="20" w:after="20"/>
              <w:rPr>
                <w:rFonts w:cs="Arial"/>
                <w:sz w:val="20"/>
                <w:szCs w:val="20"/>
              </w:rPr>
            </w:pPr>
            <w:r>
              <w:rPr>
                <w:rFonts w:cs="Arial"/>
                <w:sz w:val="20"/>
                <w:szCs w:val="20"/>
              </w:rPr>
              <w:t>04/26/2019</w:t>
            </w:r>
          </w:p>
        </w:tc>
        <w:tc>
          <w:tcPr>
            <w:tcW w:w="963" w:type="pct"/>
          </w:tcPr>
          <w:p w14:paraId="7795BA16" w14:textId="77777777" w:rsidR="00F75EE7" w:rsidRDefault="00F75EE7" w:rsidP="00871123">
            <w:pPr>
              <w:keepNext/>
              <w:keepLines/>
              <w:spacing w:before="20" w:after="20"/>
              <w:rPr>
                <w:rFonts w:cs="Arial"/>
                <w:sz w:val="20"/>
                <w:szCs w:val="20"/>
              </w:rPr>
            </w:pPr>
            <w:r>
              <w:rPr>
                <w:rFonts w:cs="Arial"/>
                <w:sz w:val="20"/>
                <w:szCs w:val="20"/>
              </w:rPr>
              <w:t>Rebecca Jenkins, SCG</w:t>
            </w:r>
          </w:p>
          <w:p w14:paraId="01D96788" w14:textId="375DA6BA" w:rsidR="00F75EE7" w:rsidRDefault="00F75EE7" w:rsidP="00871123">
            <w:pPr>
              <w:keepNext/>
              <w:keepLines/>
              <w:spacing w:before="20" w:after="20"/>
              <w:rPr>
                <w:rFonts w:cs="Arial"/>
                <w:sz w:val="20"/>
                <w:szCs w:val="20"/>
              </w:rPr>
            </w:pPr>
            <w:r>
              <w:rPr>
                <w:rFonts w:cs="Arial"/>
                <w:sz w:val="20"/>
                <w:szCs w:val="20"/>
              </w:rPr>
              <w:t>Jennifer Holmes,</w:t>
            </w:r>
          </w:p>
          <w:p w14:paraId="6F5EAD91" w14:textId="66185DC8" w:rsidR="00F75EE7" w:rsidRDefault="00F75EE7" w:rsidP="00871123">
            <w:pPr>
              <w:keepNext/>
              <w:keepLines/>
              <w:spacing w:before="20" w:after="20"/>
              <w:rPr>
                <w:rFonts w:cs="Arial"/>
                <w:sz w:val="20"/>
                <w:szCs w:val="20"/>
              </w:rPr>
            </w:pPr>
            <w:r>
              <w:rPr>
                <w:rFonts w:cs="Arial"/>
                <w:sz w:val="20"/>
                <w:szCs w:val="20"/>
              </w:rPr>
              <w:t>Cal TF Staff</w:t>
            </w:r>
          </w:p>
        </w:tc>
        <w:tc>
          <w:tcPr>
            <w:tcW w:w="2548" w:type="pct"/>
          </w:tcPr>
          <w:p w14:paraId="1E357682" w14:textId="189C352E" w:rsidR="00F75EE7" w:rsidRPr="002914D8" w:rsidRDefault="00F75EE7" w:rsidP="00871123">
            <w:pPr>
              <w:keepNext/>
              <w:keepLines/>
              <w:spacing w:before="20" w:after="20"/>
              <w:rPr>
                <w:rFonts w:cs="Arial"/>
                <w:sz w:val="20"/>
                <w:szCs w:val="20"/>
              </w:rPr>
            </w:pPr>
            <w:r>
              <w:rPr>
                <w:rFonts w:cs="Arial"/>
                <w:sz w:val="20"/>
                <w:szCs w:val="20"/>
              </w:rPr>
              <w:t>Minor revisions and updates for submittal of version 01.</w:t>
            </w:r>
          </w:p>
        </w:tc>
      </w:tr>
      <w:bookmarkEnd w:id="81"/>
      <w:bookmarkEnd w:id="85"/>
      <w:bookmarkEnd w:id="86"/>
      <w:tr w:rsidR="003D146D" w:rsidRPr="00CA1CB3" w14:paraId="75154206" w14:textId="77777777" w:rsidTr="001F37C0">
        <w:trPr>
          <w:trHeight w:val="20"/>
        </w:trPr>
        <w:tc>
          <w:tcPr>
            <w:tcW w:w="503" w:type="pct"/>
            <w:vMerge w:val="restart"/>
          </w:tcPr>
          <w:p w14:paraId="5D7B0810" w14:textId="5DE793A3" w:rsidR="003D146D" w:rsidRPr="002914D8" w:rsidRDefault="003D146D" w:rsidP="00871123">
            <w:pPr>
              <w:keepNext/>
              <w:keepLines/>
              <w:spacing w:before="20" w:after="20"/>
              <w:rPr>
                <w:rFonts w:cs="Arial"/>
                <w:sz w:val="20"/>
                <w:szCs w:val="20"/>
              </w:rPr>
            </w:pPr>
            <w:r>
              <w:rPr>
                <w:rFonts w:cs="Arial"/>
                <w:sz w:val="20"/>
                <w:szCs w:val="20"/>
              </w:rPr>
              <w:t>02</w:t>
            </w:r>
          </w:p>
        </w:tc>
        <w:tc>
          <w:tcPr>
            <w:tcW w:w="986" w:type="pct"/>
          </w:tcPr>
          <w:p w14:paraId="53F13C68" w14:textId="648EED46" w:rsidR="003D146D" w:rsidRDefault="003D146D" w:rsidP="00871123">
            <w:pPr>
              <w:keepNext/>
              <w:keepLines/>
              <w:spacing w:before="20" w:after="20"/>
              <w:rPr>
                <w:rFonts w:cs="Arial"/>
                <w:sz w:val="20"/>
                <w:szCs w:val="20"/>
              </w:rPr>
            </w:pPr>
            <w:r>
              <w:rPr>
                <w:rFonts w:cs="Arial"/>
                <w:sz w:val="20"/>
                <w:szCs w:val="20"/>
              </w:rPr>
              <w:t>10/27/2020</w:t>
            </w:r>
          </w:p>
        </w:tc>
        <w:tc>
          <w:tcPr>
            <w:tcW w:w="963" w:type="pct"/>
          </w:tcPr>
          <w:p w14:paraId="1E6D51AE" w14:textId="77777777" w:rsidR="003D146D" w:rsidRDefault="003D146D" w:rsidP="00871123">
            <w:pPr>
              <w:keepNext/>
              <w:keepLines/>
              <w:spacing w:before="20" w:after="20"/>
              <w:rPr>
                <w:rFonts w:cs="Arial"/>
                <w:sz w:val="20"/>
                <w:szCs w:val="20"/>
              </w:rPr>
            </w:pPr>
            <w:r>
              <w:rPr>
                <w:rFonts w:cs="Arial"/>
                <w:sz w:val="20"/>
                <w:szCs w:val="20"/>
              </w:rPr>
              <w:t>Jeff Cun,</w:t>
            </w:r>
          </w:p>
          <w:p w14:paraId="68A73F84" w14:textId="668D96A9" w:rsidR="003D146D" w:rsidRDefault="003D146D" w:rsidP="00871123">
            <w:pPr>
              <w:keepNext/>
              <w:keepLines/>
              <w:spacing w:before="20" w:after="20"/>
              <w:rPr>
                <w:rFonts w:cs="Arial"/>
                <w:sz w:val="20"/>
                <w:szCs w:val="20"/>
              </w:rPr>
            </w:pPr>
            <w:r>
              <w:rPr>
                <w:rFonts w:cs="Arial"/>
                <w:sz w:val="20"/>
                <w:szCs w:val="20"/>
              </w:rPr>
              <w:t>SCG</w:t>
            </w:r>
          </w:p>
        </w:tc>
        <w:tc>
          <w:tcPr>
            <w:tcW w:w="2548" w:type="pct"/>
          </w:tcPr>
          <w:p w14:paraId="733C8DB5" w14:textId="6205999E" w:rsidR="003D146D" w:rsidRDefault="003D146D" w:rsidP="00871123">
            <w:pPr>
              <w:keepNext/>
              <w:keepLines/>
              <w:spacing w:before="20" w:after="20"/>
              <w:rPr>
                <w:rFonts w:cs="Arial"/>
                <w:sz w:val="20"/>
                <w:szCs w:val="20"/>
              </w:rPr>
            </w:pPr>
            <w:r>
              <w:rPr>
                <w:rFonts w:cs="Arial"/>
                <w:sz w:val="20"/>
                <w:szCs w:val="20"/>
              </w:rPr>
              <w:t xml:space="preserve">Added fan type wall furnace to the workpaper. Renamed the workpaper to “Wall Furnace”. Updated baseline efficiency and cost estimate for the Gravity Furnace model in EAD file and </w:t>
            </w:r>
            <w:proofErr w:type="spellStart"/>
            <w:r>
              <w:rPr>
                <w:rFonts w:cs="Arial"/>
                <w:sz w:val="20"/>
                <w:szCs w:val="20"/>
              </w:rPr>
              <w:t>MeasureDataSpec</w:t>
            </w:r>
            <w:proofErr w:type="spellEnd"/>
            <w:r>
              <w:rPr>
                <w:rFonts w:cs="Arial"/>
                <w:sz w:val="20"/>
                <w:szCs w:val="20"/>
              </w:rPr>
              <w:t xml:space="preserve"> file.</w:t>
            </w:r>
          </w:p>
        </w:tc>
      </w:tr>
      <w:tr w:rsidR="003D146D" w:rsidRPr="00CA1CB3" w14:paraId="0D5E1ADB" w14:textId="77777777" w:rsidTr="001F37C0">
        <w:trPr>
          <w:trHeight w:val="20"/>
        </w:trPr>
        <w:tc>
          <w:tcPr>
            <w:tcW w:w="503" w:type="pct"/>
            <w:vMerge/>
          </w:tcPr>
          <w:p w14:paraId="7C256B09" w14:textId="77777777" w:rsidR="003D146D" w:rsidRDefault="003D146D" w:rsidP="00871123">
            <w:pPr>
              <w:keepNext/>
              <w:keepLines/>
              <w:spacing w:before="20" w:after="20"/>
              <w:rPr>
                <w:rFonts w:cs="Arial"/>
                <w:sz w:val="20"/>
                <w:szCs w:val="20"/>
              </w:rPr>
            </w:pPr>
          </w:p>
        </w:tc>
        <w:tc>
          <w:tcPr>
            <w:tcW w:w="986" w:type="pct"/>
          </w:tcPr>
          <w:p w14:paraId="4288315B" w14:textId="586D4035" w:rsidR="003D146D" w:rsidRDefault="003D146D" w:rsidP="00871123">
            <w:pPr>
              <w:keepNext/>
              <w:keepLines/>
              <w:spacing w:before="20" w:after="20"/>
              <w:rPr>
                <w:rFonts w:cs="Arial"/>
                <w:sz w:val="20"/>
                <w:szCs w:val="20"/>
              </w:rPr>
            </w:pPr>
            <w:r>
              <w:rPr>
                <w:rFonts w:cs="Arial"/>
                <w:sz w:val="20"/>
                <w:szCs w:val="20"/>
              </w:rPr>
              <w:t>12/3/2020</w:t>
            </w:r>
          </w:p>
        </w:tc>
        <w:tc>
          <w:tcPr>
            <w:tcW w:w="963" w:type="pct"/>
          </w:tcPr>
          <w:p w14:paraId="0AD2FEB9" w14:textId="77777777" w:rsidR="003D146D" w:rsidRDefault="003D146D" w:rsidP="004F24DC">
            <w:pPr>
              <w:keepNext/>
              <w:keepLines/>
              <w:spacing w:before="20" w:after="20"/>
              <w:rPr>
                <w:rFonts w:cs="Arial"/>
                <w:sz w:val="20"/>
                <w:szCs w:val="20"/>
              </w:rPr>
            </w:pPr>
            <w:r>
              <w:rPr>
                <w:rFonts w:cs="Arial"/>
                <w:sz w:val="20"/>
                <w:szCs w:val="20"/>
              </w:rPr>
              <w:t>Jeff Cun,</w:t>
            </w:r>
          </w:p>
          <w:p w14:paraId="7DDA37E9" w14:textId="5B82B0BC" w:rsidR="003D146D" w:rsidRDefault="003D146D" w:rsidP="004F24DC">
            <w:pPr>
              <w:keepNext/>
              <w:keepLines/>
              <w:spacing w:before="20" w:after="20"/>
              <w:rPr>
                <w:rFonts w:cs="Arial"/>
                <w:sz w:val="20"/>
                <w:szCs w:val="20"/>
              </w:rPr>
            </w:pPr>
            <w:r>
              <w:rPr>
                <w:rFonts w:cs="Arial"/>
                <w:sz w:val="20"/>
                <w:szCs w:val="20"/>
              </w:rPr>
              <w:t>SCG</w:t>
            </w:r>
          </w:p>
        </w:tc>
        <w:tc>
          <w:tcPr>
            <w:tcW w:w="2548" w:type="pct"/>
          </w:tcPr>
          <w:p w14:paraId="379FED44" w14:textId="4C8EE90A" w:rsidR="003D146D" w:rsidRDefault="003D146D" w:rsidP="00871123">
            <w:pPr>
              <w:keepNext/>
              <w:keepLines/>
              <w:spacing w:before="20" w:after="20"/>
              <w:rPr>
                <w:rFonts w:cs="Arial"/>
                <w:sz w:val="20"/>
                <w:szCs w:val="20"/>
              </w:rPr>
            </w:pPr>
            <w:r>
              <w:rPr>
                <w:rFonts w:cs="Arial"/>
                <w:sz w:val="20"/>
                <w:szCs w:val="20"/>
              </w:rPr>
              <w:t xml:space="preserve">Updated Load shape, fixed </w:t>
            </w:r>
            <w:proofErr w:type="gramStart"/>
            <w:r>
              <w:rPr>
                <w:rFonts w:cs="Arial"/>
                <w:sz w:val="20"/>
                <w:szCs w:val="20"/>
              </w:rPr>
              <w:t>typos</w:t>
            </w:r>
            <w:proofErr w:type="gramEnd"/>
            <w:r>
              <w:rPr>
                <w:rFonts w:cs="Arial"/>
                <w:sz w:val="20"/>
                <w:szCs w:val="20"/>
              </w:rPr>
              <w:t xml:space="preserve"> and input capacity spec. of the fan type wall furnace</w:t>
            </w:r>
          </w:p>
        </w:tc>
      </w:tr>
      <w:tr w:rsidR="003D146D" w:rsidRPr="00CA1CB3" w14:paraId="58794BD3" w14:textId="77777777" w:rsidTr="001F37C0">
        <w:trPr>
          <w:trHeight w:val="20"/>
        </w:trPr>
        <w:tc>
          <w:tcPr>
            <w:tcW w:w="503" w:type="pct"/>
            <w:vMerge/>
          </w:tcPr>
          <w:p w14:paraId="28DA95DD" w14:textId="77777777" w:rsidR="003D146D" w:rsidRDefault="003D146D" w:rsidP="00871123">
            <w:pPr>
              <w:keepNext/>
              <w:keepLines/>
              <w:spacing w:before="20" w:after="20"/>
              <w:rPr>
                <w:rFonts w:cs="Arial"/>
                <w:sz w:val="20"/>
                <w:szCs w:val="20"/>
              </w:rPr>
            </w:pPr>
          </w:p>
        </w:tc>
        <w:tc>
          <w:tcPr>
            <w:tcW w:w="986" w:type="pct"/>
          </w:tcPr>
          <w:p w14:paraId="64B40E42" w14:textId="5722F12E" w:rsidR="003D146D" w:rsidRDefault="003D146D" w:rsidP="00871123">
            <w:pPr>
              <w:keepNext/>
              <w:keepLines/>
              <w:spacing w:before="20" w:after="20"/>
              <w:rPr>
                <w:rFonts w:cs="Arial"/>
                <w:sz w:val="20"/>
                <w:szCs w:val="20"/>
              </w:rPr>
            </w:pPr>
            <w:r>
              <w:rPr>
                <w:rFonts w:cs="Arial"/>
                <w:sz w:val="20"/>
                <w:szCs w:val="20"/>
              </w:rPr>
              <w:t>12/28/2020</w:t>
            </w:r>
          </w:p>
        </w:tc>
        <w:tc>
          <w:tcPr>
            <w:tcW w:w="963" w:type="pct"/>
          </w:tcPr>
          <w:p w14:paraId="6A93E50C" w14:textId="2374AA98" w:rsidR="003D146D" w:rsidRDefault="003D146D" w:rsidP="004F24DC">
            <w:pPr>
              <w:keepNext/>
              <w:keepLines/>
              <w:spacing w:before="20" w:after="20"/>
              <w:rPr>
                <w:rFonts w:cs="Arial"/>
                <w:sz w:val="20"/>
                <w:szCs w:val="20"/>
              </w:rPr>
            </w:pPr>
            <w:r>
              <w:rPr>
                <w:rFonts w:cs="Arial"/>
                <w:sz w:val="20"/>
                <w:szCs w:val="20"/>
              </w:rPr>
              <w:t>Anders Danryd, Engineer, SoCalGas</w:t>
            </w:r>
          </w:p>
        </w:tc>
        <w:tc>
          <w:tcPr>
            <w:tcW w:w="2548" w:type="pct"/>
          </w:tcPr>
          <w:p w14:paraId="46C6ECDA" w14:textId="4CB19674" w:rsidR="003D146D" w:rsidRDefault="003D146D" w:rsidP="00871123">
            <w:pPr>
              <w:keepNext/>
              <w:keepLines/>
              <w:spacing w:before="20" w:after="20"/>
              <w:rPr>
                <w:rFonts w:cs="Arial"/>
                <w:sz w:val="20"/>
                <w:szCs w:val="20"/>
              </w:rPr>
            </w:pPr>
            <w:r>
              <w:rPr>
                <w:rFonts w:cs="Arial"/>
                <w:sz w:val="20"/>
                <w:szCs w:val="20"/>
              </w:rPr>
              <w:t>Reverted electric load shape to previous value</w:t>
            </w:r>
          </w:p>
        </w:tc>
      </w:tr>
      <w:tr w:rsidR="003D146D" w:rsidRPr="00CA1CB3" w14:paraId="51CAB3D8" w14:textId="77777777" w:rsidTr="001F37C0">
        <w:trPr>
          <w:trHeight w:val="20"/>
        </w:trPr>
        <w:tc>
          <w:tcPr>
            <w:tcW w:w="503" w:type="pct"/>
            <w:vMerge/>
          </w:tcPr>
          <w:p w14:paraId="4554D4CB" w14:textId="77777777" w:rsidR="003D146D" w:rsidRDefault="003D146D" w:rsidP="005B5823">
            <w:pPr>
              <w:keepNext/>
              <w:keepLines/>
              <w:spacing w:before="20" w:after="20"/>
              <w:rPr>
                <w:rFonts w:cs="Arial"/>
                <w:sz w:val="20"/>
                <w:szCs w:val="20"/>
              </w:rPr>
            </w:pPr>
          </w:p>
        </w:tc>
        <w:tc>
          <w:tcPr>
            <w:tcW w:w="986" w:type="pct"/>
          </w:tcPr>
          <w:p w14:paraId="62744CA8" w14:textId="36A80439" w:rsidR="003D146D" w:rsidRDefault="003D146D" w:rsidP="005B5823">
            <w:pPr>
              <w:keepNext/>
              <w:keepLines/>
              <w:spacing w:before="20" w:after="20"/>
              <w:rPr>
                <w:rFonts w:cs="Arial"/>
                <w:sz w:val="20"/>
                <w:szCs w:val="20"/>
              </w:rPr>
            </w:pPr>
            <w:r>
              <w:rPr>
                <w:rFonts w:cs="Arial"/>
                <w:sz w:val="20"/>
                <w:szCs w:val="20"/>
              </w:rPr>
              <w:t>02/12/2021</w:t>
            </w:r>
          </w:p>
        </w:tc>
        <w:tc>
          <w:tcPr>
            <w:tcW w:w="963" w:type="pct"/>
          </w:tcPr>
          <w:p w14:paraId="22ADABDD" w14:textId="4A1DBADE" w:rsidR="003D146D" w:rsidRDefault="003D146D" w:rsidP="005B5823">
            <w:pPr>
              <w:keepNext/>
              <w:keepLines/>
              <w:spacing w:before="20" w:after="20"/>
              <w:rPr>
                <w:rFonts w:cs="Arial"/>
                <w:sz w:val="20"/>
                <w:szCs w:val="20"/>
              </w:rPr>
            </w:pPr>
            <w:r>
              <w:rPr>
                <w:rFonts w:cs="Arial"/>
                <w:sz w:val="20"/>
                <w:szCs w:val="20"/>
              </w:rPr>
              <w:t>Anders Danryd, Engineer, SoCalGas</w:t>
            </w:r>
          </w:p>
        </w:tc>
        <w:tc>
          <w:tcPr>
            <w:tcW w:w="2548" w:type="pct"/>
          </w:tcPr>
          <w:p w14:paraId="7BA70729" w14:textId="1E11C6B3" w:rsidR="003D146D" w:rsidRDefault="003D146D" w:rsidP="005B5823">
            <w:pPr>
              <w:keepNext/>
              <w:keepLines/>
              <w:spacing w:before="20" w:after="20"/>
              <w:rPr>
                <w:rFonts w:cs="Arial"/>
                <w:sz w:val="20"/>
                <w:szCs w:val="20"/>
              </w:rPr>
            </w:pPr>
            <w:r>
              <w:rPr>
                <w:rFonts w:cs="Arial"/>
                <w:sz w:val="20"/>
                <w:szCs w:val="20"/>
              </w:rPr>
              <w:t>Updated base case description for clarity on baseline for gravity and fan type furnaces, changed electric load shape from AC to HP</w:t>
            </w:r>
          </w:p>
        </w:tc>
      </w:tr>
      <w:tr w:rsidR="003D146D" w:rsidRPr="00CA1CB3" w14:paraId="48379E39" w14:textId="77777777" w:rsidTr="001F37C0">
        <w:trPr>
          <w:trHeight w:val="20"/>
        </w:trPr>
        <w:tc>
          <w:tcPr>
            <w:tcW w:w="503" w:type="pct"/>
            <w:vMerge/>
          </w:tcPr>
          <w:p w14:paraId="7A7075F5" w14:textId="77777777" w:rsidR="003D146D" w:rsidRDefault="003D146D" w:rsidP="005B5823">
            <w:pPr>
              <w:keepNext/>
              <w:keepLines/>
              <w:spacing w:before="20" w:after="20"/>
              <w:rPr>
                <w:rFonts w:cs="Arial"/>
                <w:sz w:val="20"/>
                <w:szCs w:val="20"/>
              </w:rPr>
            </w:pPr>
          </w:p>
        </w:tc>
        <w:tc>
          <w:tcPr>
            <w:tcW w:w="986" w:type="pct"/>
          </w:tcPr>
          <w:p w14:paraId="476A4338" w14:textId="1E516EA7" w:rsidR="003D146D" w:rsidRDefault="003D146D" w:rsidP="005B5823">
            <w:pPr>
              <w:keepNext/>
              <w:keepLines/>
              <w:spacing w:before="20" w:after="20"/>
              <w:rPr>
                <w:rFonts w:cs="Arial"/>
                <w:sz w:val="20"/>
                <w:szCs w:val="20"/>
              </w:rPr>
            </w:pPr>
            <w:r>
              <w:rPr>
                <w:rFonts w:cs="Arial"/>
                <w:sz w:val="20"/>
                <w:szCs w:val="20"/>
              </w:rPr>
              <w:t>07/21/2021</w:t>
            </w:r>
          </w:p>
        </w:tc>
        <w:tc>
          <w:tcPr>
            <w:tcW w:w="963" w:type="pct"/>
          </w:tcPr>
          <w:p w14:paraId="2C4F225F" w14:textId="77777777" w:rsidR="003D146D" w:rsidRDefault="00F12B95" w:rsidP="005B5823">
            <w:pPr>
              <w:keepNext/>
              <w:keepLines/>
              <w:spacing w:before="20" w:after="20"/>
              <w:rPr>
                <w:rFonts w:cs="Arial"/>
                <w:sz w:val="20"/>
                <w:szCs w:val="20"/>
              </w:rPr>
            </w:pPr>
            <w:r>
              <w:rPr>
                <w:rFonts w:cs="Arial"/>
                <w:sz w:val="20"/>
                <w:szCs w:val="20"/>
              </w:rPr>
              <w:t>Soe K Hla</w:t>
            </w:r>
          </w:p>
          <w:p w14:paraId="52A1A810" w14:textId="4947F3D8" w:rsidR="00F12B95" w:rsidRDefault="00F12B95" w:rsidP="005B5823">
            <w:pPr>
              <w:keepNext/>
              <w:keepLines/>
              <w:spacing w:before="20" w:after="20"/>
              <w:rPr>
                <w:rFonts w:cs="Arial"/>
                <w:sz w:val="20"/>
                <w:szCs w:val="20"/>
              </w:rPr>
            </w:pPr>
            <w:r>
              <w:rPr>
                <w:rFonts w:cs="Arial"/>
                <w:sz w:val="20"/>
                <w:szCs w:val="20"/>
              </w:rPr>
              <w:t>PG&amp;E</w:t>
            </w:r>
          </w:p>
        </w:tc>
        <w:tc>
          <w:tcPr>
            <w:tcW w:w="2548" w:type="pct"/>
          </w:tcPr>
          <w:p w14:paraId="258D9DA0" w14:textId="77777777" w:rsidR="003D146D" w:rsidRDefault="003F1761" w:rsidP="005B5823">
            <w:pPr>
              <w:keepNext/>
              <w:keepLines/>
              <w:spacing w:before="20" w:after="20"/>
              <w:rPr>
                <w:rFonts w:cs="Arial"/>
                <w:sz w:val="20"/>
                <w:szCs w:val="20"/>
              </w:rPr>
            </w:pPr>
            <w:r>
              <w:rPr>
                <w:rFonts w:cs="Arial"/>
                <w:sz w:val="20"/>
                <w:szCs w:val="20"/>
              </w:rPr>
              <w:t>Adopted all measures for PG&amp;E.</w:t>
            </w:r>
          </w:p>
          <w:p w14:paraId="1EB95D29" w14:textId="6A333971" w:rsidR="003F1761" w:rsidRDefault="003F1761" w:rsidP="005B5823">
            <w:pPr>
              <w:keepNext/>
              <w:keepLines/>
              <w:spacing w:before="20" w:after="20"/>
              <w:rPr>
                <w:rFonts w:cs="Arial"/>
                <w:sz w:val="20"/>
                <w:szCs w:val="20"/>
              </w:rPr>
            </w:pPr>
            <w:r>
              <w:rPr>
                <w:rFonts w:cs="Arial"/>
                <w:sz w:val="20"/>
                <w:szCs w:val="20"/>
              </w:rPr>
              <w:t>Fixed</w:t>
            </w:r>
            <w:r w:rsidR="00995093">
              <w:rPr>
                <w:rFonts w:cs="Arial"/>
                <w:sz w:val="20"/>
                <w:szCs w:val="20"/>
              </w:rPr>
              <w:t xml:space="preserve"> incorrect </w:t>
            </w:r>
            <w:proofErr w:type="spellStart"/>
            <w:r w:rsidR="00995093">
              <w:rPr>
                <w:rFonts w:cs="Arial"/>
                <w:sz w:val="20"/>
                <w:szCs w:val="20"/>
              </w:rPr>
              <w:t>GasImpac</w:t>
            </w:r>
            <w:r w:rsidR="00B900B0">
              <w:rPr>
                <w:rFonts w:cs="Arial"/>
                <w:sz w:val="20"/>
                <w:szCs w:val="20"/>
              </w:rPr>
              <w:t>tProfile</w:t>
            </w:r>
            <w:proofErr w:type="spellEnd"/>
            <w:r w:rsidR="00B900B0">
              <w:rPr>
                <w:rFonts w:cs="Arial"/>
                <w:sz w:val="20"/>
                <w:szCs w:val="20"/>
              </w:rPr>
              <w:t xml:space="preserve"> ID in EAD.</w:t>
            </w:r>
          </w:p>
        </w:tc>
      </w:tr>
    </w:tbl>
    <w:p w14:paraId="5C9CAB2A" w14:textId="77777777" w:rsidR="00085726" w:rsidRDefault="00085726" w:rsidP="00387072"/>
    <w:sectPr w:rsidR="00085726" w:rsidSect="005F505E">
      <w:headerReference w:type="default" r:id="rId20"/>
      <w:headerReference w:type="first" r:id="rId2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72B58" w14:textId="77777777" w:rsidR="00404361" w:rsidRDefault="00404361" w:rsidP="00A2690C">
      <w:r>
        <w:separator/>
      </w:r>
    </w:p>
    <w:p w14:paraId="39A6BDA3" w14:textId="77777777" w:rsidR="00404361" w:rsidRDefault="00404361"/>
  </w:endnote>
  <w:endnote w:type="continuationSeparator" w:id="0">
    <w:p w14:paraId="6237E801" w14:textId="77777777" w:rsidR="00404361" w:rsidRDefault="00404361" w:rsidP="00A2690C">
      <w:r>
        <w:continuationSeparator/>
      </w:r>
    </w:p>
    <w:p w14:paraId="15CC5804" w14:textId="77777777" w:rsidR="00404361" w:rsidRDefault="00404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00000001" w:usb1="5000E0FB" w:usb2="00000000" w:usb3="00000000" w:csb0="0000019B"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ED19A8" w:rsidRDefault="00ED19A8"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ED19A8" w:rsidRPr="00B837C1" w:rsidRDefault="00ED19A8"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ED19A8" w:rsidRDefault="00ED19A8"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ED19A8" w:rsidRPr="00B837C1" w:rsidRDefault="00ED19A8"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ED19A8" w:rsidRDefault="00ED19A8"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ED19A8" w:rsidRPr="005F505E" w:rsidRDefault="00ED19A8"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65548B" w14:textId="77777777" w:rsidR="00404361" w:rsidRDefault="00404361" w:rsidP="00A2690C">
      <w:r>
        <w:separator/>
      </w:r>
    </w:p>
    <w:p w14:paraId="17692826" w14:textId="77777777" w:rsidR="00404361" w:rsidRDefault="00404361"/>
  </w:footnote>
  <w:footnote w:type="continuationSeparator" w:id="0">
    <w:p w14:paraId="08584F45" w14:textId="77777777" w:rsidR="00404361" w:rsidRDefault="00404361" w:rsidP="00A2690C">
      <w:r>
        <w:continuationSeparator/>
      </w:r>
    </w:p>
    <w:p w14:paraId="3EE5CBB4" w14:textId="77777777" w:rsidR="00404361" w:rsidRDefault="00404361"/>
  </w:footnote>
  <w:footnote w:id="1">
    <w:p w14:paraId="4992C7B0" w14:textId="55E2C1B2" w:rsidR="00ED19A8" w:rsidRDefault="00ED19A8">
      <w:pPr>
        <w:pStyle w:val="FootnoteText"/>
      </w:pPr>
      <w:r>
        <w:rPr>
          <w:rStyle w:val="FootnoteReference"/>
        </w:rPr>
        <w:footnoteRef/>
      </w:r>
      <w:r>
        <w:t xml:space="preserve"> </w:t>
      </w:r>
      <w:r w:rsidRPr="00987208">
        <w:t>Southern California Gas Company (SCG). 2013. "WPSCGREHV110603A_2013_Wall_Furnace_Results</w:t>
      </w:r>
      <w:r>
        <w:t>-Rev2</w:t>
      </w:r>
      <w:r w:rsidRPr="00987208">
        <w:t>.xlsx."</w:t>
      </w:r>
    </w:p>
  </w:footnote>
  <w:footnote w:id="2">
    <w:p w14:paraId="1BAFEE40" w14:textId="029F7A9B" w:rsidR="00ED19A8" w:rsidRDefault="00ED19A8" w:rsidP="00933919">
      <w:pPr>
        <w:pStyle w:val="FootnoteText"/>
      </w:pPr>
      <w:r>
        <w:rPr>
          <w:rStyle w:val="FootnoteReference"/>
        </w:rPr>
        <w:footnoteRef/>
      </w:r>
      <w:r>
        <w:t xml:space="preserve"> </w:t>
      </w:r>
      <w:r w:rsidRPr="00072358">
        <w:t xml:space="preserve">California Energy Commission (CEC). 2014. </w:t>
      </w:r>
      <w:r w:rsidRPr="00072358">
        <w:rPr>
          <w:i/>
        </w:rPr>
        <w:t>2014 Appliance Efficiency Regulations</w:t>
      </w:r>
      <w:r w:rsidRPr="00072358">
        <w:t>. CEC-400-2014-009-CMF.</w:t>
      </w:r>
      <w:r>
        <w:t xml:space="preserve"> </w:t>
      </w:r>
    </w:p>
  </w:footnote>
  <w:footnote w:id="3">
    <w:p w14:paraId="11598747" w14:textId="5EC3FD5B" w:rsidR="00ED19A8" w:rsidRDefault="00ED19A8">
      <w:pPr>
        <w:pStyle w:val="FootnoteText"/>
      </w:pPr>
      <w:r>
        <w:rPr>
          <w:rStyle w:val="FootnoteReference"/>
        </w:rPr>
        <w:footnoteRef/>
      </w:r>
      <w:r>
        <w:t xml:space="preserve"> Southern California Gas Company (SCG). 2020. “</w:t>
      </w:r>
      <w:r w:rsidRPr="009D2E1B">
        <w:t>WPSCGREHC110603A-Rev02 2013 Analysis</w:t>
      </w:r>
      <w:r>
        <w:t>”</w:t>
      </w:r>
    </w:p>
  </w:footnote>
  <w:footnote w:id="4">
    <w:p w14:paraId="74FDA64F" w14:textId="77777777" w:rsidR="00ED19A8" w:rsidRDefault="00ED19A8" w:rsidP="002123D9">
      <w:pPr>
        <w:pStyle w:val="FootnoteText"/>
      </w:pPr>
      <w:r>
        <w:rPr>
          <w:rStyle w:val="FootnoteReference"/>
        </w:rPr>
        <w:footnoteRef/>
      </w:r>
      <w:r>
        <w:t xml:space="preserve"> Southern California Gas Company (SCG). (n.d.) “</w:t>
      </w:r>
      <w:r w:rsidRPr="00D771DB">
        <w:t>WPSCGREHC110603A.2 Customer Data.xls</w:t>
      </w:r>
      <w:r>
        <w:t>”</w:t>
      </w:r>
    </w:p>
  </w:footnote>
  <w:footnote w:id="5">
    <w:p w14:paraId="41E20C8D" w14:textId="77777777" w:rsidR="00ED19A8" w:rsidRDefault="00ED19A8" w:rsidP="002123D9">
      <w:pPr>
        <w:pStyle w:val="FootnoteText"/>
      </w:pPr>
      <w:r>
        <w:rPr>
          <w:rStyle w:val="FootnoteReference"/>
        </w:rPr>
        <w:footnoteRef/>
      </w:r>
      <w:r>
        <w:t xml:space="preserve"> Williams. (n.d.) “Williams Furnace Sizing Guide.pdf.” </w:t>
      </w:r>
    </w:p>
  </w:footnote>
  <w:footnote w:id="6">
    <w:p w14:paraId="0DB9E47F" w14:textId="53C73DF1" w:rsidR="00ED19A8" w:rsidRDefault="00ED19A8">
      <w:pPr>
        <w:pStyle w:val="FootnoteText"/>
      </w:pPr>
      <w:r>
        <w:rPr>
          <w:rStyle w:val="FootnoteReference"/>
        </w:rPr>
        <w:footnoteRef/>
      </w:r>
      <w:r>
        <w:t xml:space="preserve"> </w:t>
      </w:r>
      <w:r w:rsidRPr="009523F0">
        <w:rPr>
          <w:szCs w:val="18"/>
        </w:rPr>
        <w:t xml:space="preserve">A heating degree day (HDD) is a measurement designed to quantify the demand for energy needed to heat a building. It is the number of degrees that a day's average temperature is below 65° </w:t>
      </w:r>
      <w:r>
        <w:rPr>
          <w:szCs w:val="18"/>
        </w:rPr>
        <w:t>F</w:t>
      </w:r>
      <w:r w:rsidRPr="009523F0">
        <w:rPr>
          <w:szCs w:val="18"/>
        </w:rPr>
        <w:t>, which is the temperature below which buildings need to be heated.</w:t>
      </w:r>
    </w:p>
  </w:footnote>
  <w:footnote w:id="7">
    <w:p w14:paraId="18084DC6" w14:textId="77777777" w:rsidR="00ED19A8" w:rsidRDefault="00ED19A8" w:rsidP="002123D9">
      <w:pPr>
        <w:pStyle w:val="FootnoteText"/>
      </w:pPr>
      <w:r>
        <w:rPr>
          <w:rStyle w:val="FootnoteReference"/>
        </w:rPr>
        <w:footnoteRef/>
      </w:r>
      <w:r>
        <w:t xml:space="preserve"> Southern California Gas Company (SCG). (n.d.) “</w:t>
      </w:r>
      <w:r w:rsidRPr="00E87C51">
        <w:t>WPSCGREHC110603A.2 HDD QuestEnergy.xls</w:t>
      </w:r>
      <w:r>
        <w:t>”</w:t>
      </w:r>
    </w:p>
  </w:footnote>
  <w:footnote w:id="8">
    <w:p w14:paraId="119C6286" w14:textId="77777777" w:rsidR="00ED19A8" w:rsidRDefault="00ED19A8" w:rsidP="002123D9">
      <w:pPr>
        <w:pStyle w:val="FootnoteText"/>
      </w:pPr>
      <w:r>
        <w:rPr>
          <w:rStyle w:val="FootnoteReference"/>
        </w:rPr>
        <w:footnoteRef/>
      </w:r>
      <w:r>
        <w:t xml:space="preserve"> Southern California Gas Company (SCG). 2014. “</w:t>
      </w:r>
      <w:r w:rsidRPr="00487A62">
        <w:t>WPSCGREHC110603A.2 2013 Analysis 012014.xlsx</w:t>
      </w:r>
      <w:r w:rsidRPr="00575DA9">
        <w:t>.” January 20.</w:t>
      </w:r>
    </w:p>
  </w:footnote>
  <w:footnote w:id="9">
    <w:p w14:paraId="3B9495C5" w14:textId="23D23422" w:rsidR="00ED19A8" w:rsidRDefault="00ED19A8" w:rsidP="002123D9">
      <w:pPr>
        <w:pStyle w:val="FootnoteText"/>
      </w:pPr>
      <w:r>
        <w:rPr>
          <w:rStyle w:val="FootnoteReference"/>
        </w:rPr>
        <w:footnoteRef/>
      </w:r>
      <w:r>
        <w:t xml:space="preserve"> </w:t>
      </w:r>
      <w:r w:rsidRPr="00987208">
        <w:t>Southern California Gas Company (SCG). 2013. "WPSCGREHV110603A_2013_Wall_Furnace_Results</w:t>
      </w:r>
      <w:r>
        <w:t>-Rev2</w:t>
      </w:r>
      <w:r w:rsidRPr="00987208">
        <w:t>.xlsx."</w:t>
      </w:r>
    </w:p>
  </w:footnote>
  <w:footnote w:id="10">
    <w:p w14:paraId="2D1FBDEC" w14:textId="3D3A5705" w:rsidR="00ED19A8" w:rsidRDefault="00ED19A8">
      <w:pPr>
        <w:pStyle w:val="FootnoteText"/>
      </w:pPr>
      <w:r>
        <w:rPr>
          <w:rStyle w:val="FootnoteReference"/>
        </w:rPr>
        <w:footnoteRef/>
      </w:r>
      <w:r>
        <w:t xml:space="preserve"> Southern California Gas Company (SCG). 2014. “</w:t>
      </w:r>
      <w:r w:rsidRPr="00487A62">
        <w:t>WPSCGREHC110603A.2 2013 Analysis 012014.xlsx</w:t>
      </w:r>
      <w:r>
        <w:t xml:space="preserve">.” </w:t>
      </w:r>
      <w:r w:rsidRPr="00575DA9">
        <w:t>January 20.</w:t>
      </w:r>
    </w:p>
  </w:footnote>
  <w:footnote w:id="11">
    <w:p w14:paraId="7C002A6C" w14:textId="037F4F91" w:rsidR="00ED19A8" w:rsidRDefault="00ED19A8" w:rsidP="00E524AA">
      <w:r>
        <w:rPr>
          <w:rStyle w:val="FootnoteReference"/>
        </w:rPr>
        <w:footnoteRef/>
      </w:r>
      <w:r>
        <w:t xml:space="preserve"> </w:t>
      </w:r>
      <w:r w:rsidRPr="00251952">
        <w:rPr>
          <w:rStyle w:val="eTRMFootnoteTextChar"/>
        </w:rPr>
        <w:t>Southern California Gas Company (SCG). 2014. “WPSCGREHC110603A.2 2013 Analysis 012014.xlsx</w:t>
      </w:r>
      <w:r w:rsidRPr="00575DA9">
        <w:rPr>
          <w:rStyle w:val="eTRMFootnoteTextChar"/>
        </w:rPr>
        <w:t>.” January 20.</w:t>
      </w:r>
    </w:p>
  </w:footnote>
  <w:footnote w:id="12">
    <w:p w14:paraId="410C8310" w14:textId="59BE569D" w:rsidR="00ED19A8" w:rsidRDefault="00ED19A8">
      <w:pPr>
        <w:pStyle w:val="FootnoteText"/>
      </w:pPr>
      <w:r>
        <w:rPr>
          <w:rStyle w:val="FootnoteReference"/>
        </w:rPr>
        <w:footnoteRef/>
      </w:r>
      <w:r>
        <w:t xml:space="preserve"> Southern California Gas Company (SCG). 2020. “</w:t>
      </w:r>
      <w:r w:rsidRPr="00B60DEF">
        <w:t>SWHC001-02 MeasureDataSpec - Wall Furnace, Residential</w:t>
      </w:r>
      <w:r>
        <w:t>.xsl”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ED19A8" w:rsidRPr="000220A0" w:rsidRDefault="00ED19A8"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ED19A8" w:rsidRDefault="00ED19A8">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ED19A8" w:rsidRDefault="00ED19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ED19A8" w:rsidRDefault="00ED19A8" w:rsidP="00BD221D">
    <w:pPr>
      <w:jc w:val="center"/>
    </w:pPr>
  </w:p>
  <w:p w14:paraId="342310D5" w14:textId="5BACBCD8" w:rsidR="00ED19A8" w:rsidRDefault="00ED19A8"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4F92465F" w:rsidR="00ED19A8" w:rsidRDefault="00ED19A8"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Wall Furnace, Residential</w:t>
    </w:r>
  </w:p>
  <w:p w14:paraId="2AC97B25" w14:textId="77777777" w:rsidR="00ED19A8" w:rsidRDefault="00ED19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ED19A8" w:rsidRDefault="00ED19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3" w15:restartNumberingAfterBreak="0">
    <w:nsid w:val="12B304BE"/>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WPART"/>
      <w:lvlText w:val="%1.%2"/>
      <w:lvlJc w:val="left"/>
      <w:pPr>
        <w:tabs>
          <w:tab w:val="num" w:pos="648"/>
        </w:tabs>
        <w:ind w:left="648" w:hanging="648"/>
      </w:pPr>
      <w:rPr>
        <w:rFonts w:hint="default"/>
      </w:rPr>
    </w:lvl>
    <w:lvl w:ilvl="2">
      <w:start w:val="1"/>
      <w:numFmt w:val="decimal"/>
      <w:pStyle w:val="WPPR1"/>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3A1A28A0"/>
    <w:multiLevelType w:val="hybridMultilevel"/>
    <w:tmpl w:val="576AF528"/>
    <w:lvl w:ilvl="0" w:tplc="2F7E60CA">
      <w:start w:val="11"/>
      <w:numFmt w:val="bullet"/>
      <w:lvlText w:val=""/>
      <w:lvlJc w:val="left"/>
      <w:pPr>
        <w:ind w:left="1080" w:hanging="360"/>
      </w:pPr>
      <w:rPr>
        <w:rFonts w:ascii="Symbol" w:eastAsia="Batang"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BD09AA"/>
    <w:multiLevelType w:val="hybridMultilevel"/>
    <w:tmpl w:val="C502572E"/>
    <w:lvl w:ilvl="0" w:tplc="FFFFFFFF">
      <w:start w:val="1"/>
      <w:numFmt w:val="decimal"/>
      <w:lvlText w:val="Figure %1 -"/>
      <w:lvlJc w:val="center"/>
      <w:pPr>
        <w:tabs>
          <w:tab w:val="num" w:pos="1890"/>
        </w:tabs>
        <w:ind w:left="1944" w:hanging="774"/>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1593800"/>
    <w:multiLevelType w:val="hybridMultilevel"/>
    <w:tmpl w:val="12E89F34"/>
    <w:lvl w:ilvl="0" w:tplc="92BCB30A">
      <w:start w:val="3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6430C4"/>
    <w:multiLevelType w:val="hybridMultilevel"/>
    <w:tmpl w:val="7FB84708"/>
    <w:lvl w:ilvl="0" w:tplc="4E440458">
      <w:start w:val="1"/>
      <w:numFmt w:val="decimal"/>
      <w:pStyle w:val="FIG"/>
      <w:lvlText w:val="Figure %1 -"/>
      <w:lvlJc w:val="center"/>
      <w:pPr>
        <w:tabs>
          <w:tab w:val="num" w:pos="720"/>
        </w:tabs>
        <w:ind w:left="0" w:firstLine="0"/>
      </w:pPr>
      <w:rPr>
        <w:rFonts w:ascii="Arial" w:hAnsi="Arial" w:hint="default"/>
        <w:b/>
        <w:i w:val="0"/>
        <w:sz w:val="20"/>
      </w:rPr>
    </w:lvl>
    <w:lvl w:ilvl="1" w:tplc="1AE2B384" w:tentative="1">
      <w:start w:val="1"/>
      <w:numFmt w:val="lowerLetter"/>
      <w:lvlText w:val="%2."/>
      <w:lvlJc w:val="left"/>
      <w:pPr>
        <w:tabs>
          <w:tab w:val="num" w:pos="1440"/>
        </w:tabs>
        <w:ind w:left="1440" w:hanging="360"/>
      </w:pPr>
    </w:lvl>
    <w:lvl w:ilvl="2" w:tplc="63E6EB54" w:tentative="1">
      <w:start w:val="1"/>
      <w:numFmt w:val="lowerRoman"/>
      <w:lvlText w:val="%3."/>
      <w:lvlJc w:val="right"/>
      <w:pPr>
        <w:tabs>
          <w:tab w:val="num" w:pos="2160"/>
        </w:tabs>
        <w:ind w:left="2160" w:hanging="180"/>
      </w:pPr>
    </w:lvl>
    <w:lvl w:ilvl="3" w:tplc="907C671A" w:tentative="1">
      <w:start w:val="1"/>
      <w:numFmt w:val="decimal"/>
      <w:lvlText w:val="%4."/>
      <w:lvlJc w:val="left"/>
      <w:pPr>
        <w:tabs>
          <w:tab w:val="num" w:pos="2880"/>
        </w:tabs>
        <w:ind w:left="2880" w:hanging="360"/>
      </w:pPr>
    </w:lvl>
    <w:lvl w:ilvl="4" w:tplc="E2EE403C" w:tentative="1">
      <w:start w:val="1"/>
      <w:numFmt w:val="lowerLetter"/>
      <w:lvlText w:val="%5."/>
      <w:lvlJc w:val="left"/>
      <w:pPr>
        <w:tabs>
          <w:tab w:val="num" w:pos="3600"/>
        </w:tabs>
        <w:ind w:left="3600" w:hanging="360"/>
      </w:pPr>
    </w:lvl>
    <w:lvl w:ilvl="5" w:tplc="8910AA9E" w:tentative="1">
      <w:start w:val="1"/>
      <w:numFmt w:val="lowerRoman"/>
      <w:lvlText w:val="%6."/>
      <w:lvlJc w:val="right"/>
      <w:pPr>
        <w:tabs>
          <w:tab w:val="num" w:pos="4320"/>
        </w:tabs>
        <w:ind w:left="4320" w:hanging="180"/>
      </w:pPr>
    </w:lvl>
    <w:lvl w:ilvl="6" w:tplc="F0F209F8" w:tentative="1">
      <w:start w:val="1"/>
      <w:numFmt w:val="decimal"/>
      <w:lvlText w:val="%7."/>
      <w:lvlJc w:val="left"/>
      <w:pPr>
        <w:tabs>
          <w:tab w:val="num" w:pos="5040"/>
        </w:tabs>
        <w:ind w:left="5040" w:hanging="360"/>
      </w:pPr>
    </w:lvl>
    <w:lvl w:ilvl="7" w:tplc="F34078B2" w:tentative="1">
      <w:start w:val="1"/>
      <w:numFmt w:val="lowerLetter"/>
      <w:lvlText w:val="%8."/>
      <w:lvlJc w:val="left"/>
      <w:pPr>
        <w:tabs>
          <w:tab w:val="num" w:pos="5760"/>
        </w:tabs>
        <w:ind w:left="5760" w:hanging="360"/>
      </w:pPr>
    </w:lvl>
    <w:lvl w:ilvl="8" w:tplc="C298BF54" w:tentative="1">
      <w:start w:val="1"/>
      <w:numFmt w:val="lowerRoman"/>
      <w:lvlText w:val="%9."/>
      <w:lvlJc w:val="right"/>
      <w:pPr>
        <w:tabs>
          <w:tab w:val="num" w:pos="6480"/>
        </w:tabs>
        <w:ind w:left="6480" w:hanging="180"/>
      </w:pPr>
    </w:lvl>
  </w:abstractNum>
  <w:abstractNum w:abstractNumId="15"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F4F21"/>
    <w:multiLevelType w:val="hybridMultilevel"/>
    <w:tmpl w:val="E8E8D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966C22"/>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4" w15:restartNumberingAfterBreak="0">
    <w:nsid w:val="7CED70C1"/>
    <w:multiLevelType w:val="hybridMultilevel"/>
    <w:tmpl w:val="69348828"/>
    <w:lvl w:ilvl="0" w:tplc="E8F6BC7A">
      <w:start w:val="1"/>
      <w:numFmt w:val="decimal"/>
      <w:pStyle w:val="TBL"/>
      <w:lvlText w:val="Table %1 -"/>
      <w:lvlJc w:val="left"/>
      <w:pPr>
        <w:ind w:left="4410"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num w:numId="1">
    <w:abstractNumId w:val="9"/>
  </w:num>
  <w:num w:numId="2">
    <w:abstractNumId w:val="21"/>
  </w:num>
  <w:num w:numId="3">
    <w:abstractNumId w:val="23"/>
  </w:num>
  <w:num w:numId="4">
    <w:abstractNumId w:val="23"/>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6"/>
  </w:num>
  <w:num w:numId="8">
    <w:abstractNumId w:val="19"/>
  </w:num>
  <w:num w:numId="9">
    <w:abstractNumId w:val="0"/>
  </w:num>
  <w:num w:numId="10">
    <w:abstractNumId w:val="22"/>
  </w:num>
  <w:num w:numId="11">
    <w:abstractNumId w:val="7"/>
  </w:num>
  <w:num w:numId="12">
    <w:abstractNumId w:val="4"/>
  </w:num>
  <w:num w:numId="13">
    <w:abstractNumId w:val="18"/>
  </w:num>
  <w:num w:numId="14">
    <w:abstractNumId w:val="15"/>
  </w:num>
  <w:num w:numId="15">
    <w:abstractNumId w:val="5"/>
  </w:num>
  <w:num w:numId="16">
    <w:abstractNumId w:val="16"/>
  </w:num>
  <w:num w:numId="17">
    <w:abstractNumId w:val="20"/>
  </w:num>
  <w:num w:numId="18">
    <w:abstractNumId w:val="3"/>
  </w:num>
  <w:num w:numId="19">
    <w:abstractNumId w:val="2"/>
  </w:num>
  <w:num w:numId="20">
    <w:abstractNumId w:val="14"/>
  </w:num>
  <w:num w:numId="21">
    <w:abstractNumId w:val="11"/>
  </w:num>
  <w:num w:numId="22">
    <w:abstractNumId w:val="24"/>
  </w:num>
  <w:num w:numId="23">
    <w:abstractNumId w:val="10"/>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B75"/>
    <w:rsid w:val="00005B06"/>
    <w:rsid w:val="000063B0"/>
    <w:rsid w:val="00007654"/>
    <w:rsid w:val="000110D9"/>
    <w:rsid w:val="000111AF"/>
    <w:rsid w:val="00012EA1"/>
    <w:rsid w:val="000139EF"/>
    <w:rsid w:val="00016928"/>
    <w:rsid w:val="00016F1E"/>
    <w:rsid w:val="00021823"/>
    <w:rsid w:val="000220A0"/>
    <w:rsid w:val="000229F1"/>
    <w:rsid w:val="00022FFF"/>
    <w:rsid w:val="0002389A"/>
    <w:rsid w:val="00025700"/>
    <w:rsid w:val="00025DB2"/>
    <w:rsid w:val="00026D58"/>
    <w:rsid w:val="0002768C"/>
    <w:rsid w:val="000302DF"/>
    <w:rsid w:val="00031184"/>
    <w:rsid w:val="00037A06"/>
    <w:rsid w:val="00042677"/>
    <w:rsid w:val="0004419E"/>
    <w:rsid w:val="00045B8D"/>
    <w:rsid w:val="00046BB0"/>
    <w:rsid w:val="00051DBB"/>
    <w:rsid w:val="00052C95"/>
    <w:rsid w:val="00052EB4"/>
    <w:rsid w:val="000530E4"/>
    <w:rsid w:val="0005587A"/>
    <w:rsid w:val="0005749C"/>
    <w:rsid w:val="00061D34"/>
    <w:rsid w:val="000621A8"/>
    <w:rsid w:val="00064DEA"/>
    <w:rsid w:val="00065E54"/>
    <w:rsid w:val="00065F9F"/>
    <w:rsid w:val="000672E5"/>
    <w:rsid w:val="0007034C"/>
    <w:rsid w:val="00074E3E"/>
    <w:rsid w:val="000767E9"/>
    <w:rsid w:val="0008108C"/>
    <w:rsid w:val="00082BBD"/>
    <w:rsid w:val="000841AA"/>
    <w:rsid w:val="00085726"/>
    <w:rsid w:val="00085C1B"/>
    <w:rsid w:val="00087FD4"/>
    <w:rsid w:val="000903B6"/>
    <w:rsid w:val="00090BBF"/>
    <w:rsid w:val="000910B7"/>
    <w:rsid w:val="00091581"/>
    <w:rsid w:val="0009208C"/>
    <w:rsid w:val="00094517"/>
    <w:rsid w:val="00096485"/>
    <w:rsid w:val="000978C8"/>
    <w:rsid w:val="000A0793"/>
    <w:rsid w:val="000A1BD8"/>
    <w:rsid w:val="000A270E"/>
    <w:rsid w:val="000A4BF6"/>
    <w:rsid w:val="000A4D3A"/>
    <w:rsid w:val="000A62EF"/>
    <w:rsid w:val="000A66B7"/>
    <w:rsid w:val="000A7058"/>
    <w:rsid w:val="000B139B"/>
    <w:rsid w:val="000B42DF"/>
    <w:rsid w:val="000B5239"/>
    <w:rsid w:val="000B6004"/>
    <w:rsid w:val="000C36B4"/>
    <w:rsid w:val="000C72C1"/>
    <w:rsid w:val="000C7B77"/>
    <w:rsid w:val="000E044A"/>
    <w:rsid w:val="000E5FC1"/>
    <w:rsid w:val="000E69CB"/>
    <w:rsid w:val="000F1833"/>
    <w:rsid w:val="000F232A"/>
    <w:rsid w:val="000F2E4B"/>
    <w:rsid w:val="000F7935"/>
    <w:rsid w:val="00101121"/>
    <w:rsid w:val="00101CDB"/>
    <w:rsid w:val="00102281"/>
    <w:rsid w:val="00103399"/>
    <w:rsid w:val="0010471F"/>
    <w:rsid w:val="00104933"/>
    <w:rsid w:val="00110CE3"/>
    <w:rsid w:val="00111A53"/>
    <w:rsid w:val="0011278A"/>
    <w:rsid w:val="0011498C"/>
    <w:rsid w:val="00120592"/>
    <w:rsid w:val="001209A8"/>
    <w:rsid w:val="001217DF"/>
    <w:rsid w:val="0012187D"/>
    <w:rsid w:val="00122C91"/>
    <w:rsid w:val="00124BFE"/>
    <w:rsid w:val="00125E01"/>
    <w:rsid w:val="00126809"/>
    <w:rsid w:val="00126B25"/>
    <w:rsid w:val="00131C5A"/>
    <w:rsid w:val="00133681"/>
    <w:rsid w:val="00142036"/>
    <w:rsid w:val="00142D3C"/>
    <w:rsid w:val="001451AB"/>
    <w:rsid w:val="001474D9"/>
    <w:rsid w:val="00151B9F"/>
    <w:rsid w:val="00153BB7"/>
    <w:rsid w:val="00154391"/>
    <w:rsid w:val="001564FC"/>
    <w:rsid w:val="00156F98"/>
    <w:rsid w:val="00157985"/>
    <w:rsid w:val="00161DF1"/>
    <w:rsid w:val="001648F6"/>
    <w:rsid w:val="00164EEC"/>
    <w:rsid w:val="00165F80"/>
    <w:rsid w:val="00166375"/>
    <w:rsid w:val="00171BB8"/>
    <w:rsid w:val="00172D54"/>
    <w:rsid w:val="00174707"/>
    <w:rsid w:val="00177EB6"/>
    <w:rsid w:val="00180DAD"/>
    <w:rsid w:val="00181672"/>
    <w:rsid w:val="00181E01"/>
    <w:rsid w:val="00182A47"/>
    <w:rsid w:val="00183593"/>
    <w:rsid w:val="00183A50"/>
    <w:rsid w:val="001944A0"/>
    <w:rsid w:val="001944B4"/>
    <w:rsid w:val="00195B03"/>
    <w:rsid w:val="00196649"/>
    <w:rsid w:val="001A016E"/>
    <w:rsid w:val="001A0B31"/>
    <w:rsid w:val="001A11C7"/>
    <w:rsid w:val="001A2396"/>
    <w:rsid w:val="001A3BFA"/>
    <w:rsid w:val="001A4BE1"/>
    <w:rsid w:val="001A7A21"/>
    <w:rsid w:val="001B0D29"/>
    <w:rsid w:val="001B1D23"/>
    <w:rsid w:val="001B426F"/>
    <w:rsid w:val="001C12AD"/>
    <w:rsid w:val="001C1D0E"/>
    <w:rsid w:val="001C2ACE"/>
    <w:rsid w:val="001C2DAD"/>
    <w:rsid w:val="001C6C9B"/>
    <w:rsid w:val="001C7134"/>
    <w:rsid w:val="001D1D2D"/>
    <w:rsid w:val="001D656F"/>
    <w:rsid w:val="001D65A6"/>
    <w:rsid w:val="001D79B8"/>
    <w:rsid w:val="001D7A57"/>
    <w:rsid w:val="001E123C"/>
    <w:rsid w:val="001E19A3"/>
    <w:rsid w:val="001E4C3F"/>
    <w:rsid w:val="001E6273"/>
    <w:rsid w:val="001F00E9"/>
    <w:rsid w:val="001F2B98"/>
    <w:rsid w:val="001F37C0"/>
    <w:rsid w:val="001F735E"/>
    <w:rsid w:val="002005A8"/>
    <w:rsid w:val="002006B6"/>
    <w:rsid w:val="00201644"/>
    <w:rsid w:val="002034B8"/>
    <w:rsid w:val="00205BAF"/>
    <w:rsid w:val="00207F85"/>
    <w:rsid w:val="0021226A"/>
    <w:rsid w:val="0021230E"/>
    <w:rsid w:val="002123D9"/>
    <w:rsid w:val="0022060D"/>
    <w:rsid w:val="00222FEF"/>
    <w:rsid w:val="00224A16"/>
    <w:rsid w:val="00225142"/>
    <w:rsid w:val="00226205"/>
    <w:rsid w:val="00226694"/>
    <w:rsid w:val="002279F0"/>
    <w:rsid w:val="00227BDD"/>
    <w:rsid w:val="00230161"/>
    <w:rsid w:val="002318A4"/>
    <w:rsid w:val="002335FF"/>
    <w:rsid w:val="00233D87"/>
    <w:rsid w:val="00235D86"/>
    <w:rsid w:val="0023666C"/>
    <w:rsid w:val="00236692"/>
    <w:rsid w:val="00236E0A"/>
    <w:rsid w:val="00237964"/>
    <w:rsid w:val="0024021C"/>
    <w:rsid w:val="002434DE"/>
    <w:rsid w:val="00243D9F"/>
    <w:rsid w:val="00245AFF"/>
    <w:rsid w:val="0024628D"/>
    <w:rsid w:val="0024690E"/>
    <w:rsid w:val="00251952"/>
    <w:rsid w:val="00251ABC"/>
    <w:rsid w:val="002524CF"/>
    <w:rsid w:val="00252726"/>
    <w:rsid w:val="00256006"/>
    <w:rsid w:val="00256400"/>
    <w:rsid w:val="002652D2"/>
    <w:rsid w:val="00266895"/>
    <w:rsid w:val="00271B18"/>
    <w:rsid w:val="00273571"/>
    <w:rsid w:val="00276F9B"/>
    <w:rsid w:val="00283E21"/>
    <w:rsid w:val="002865F0"/>
    <w:rsid w:val="002914D8"/>
    <w:rsid w:val="002942B0"/>
    <w:rsid w:val="0029555D"/>
    <w:rsid w:val="0029781E"/>
    <w:rsid w:val="002A1953"/>
    <w:rsid w:val="002A246A"/>
    <w:rsid w:val="002A2471"/>
    <w:rsid w:val="002A27CB"/>
    <w:rsid w:val="002A2A94"/>
    <w:rsid w:val="002B107C"/>
    <w:rsid w:val="002B2C97"/>
    <w:rsid w:val="002B3BF4"/>
    <w:rsid w:val="002B6DED"/>
    <w:rsid w:val="002B6F2A"/>
    <w:rsid w:val="002C06FC"/>
    <w:rsid w:val="002C1117"/>
    <w:rsid w:val="002C2B0F"/>
    <w:rsid w:val="002C67DF"/>
    <w:rsid w:val="002D0036"/>
    <w:rsid w:val="002D0E55"/>
    <w:rsid w:val="002D17CE"/>
    <w:rsid w:val="002D29F8"/>
    <w:rsid w:val="002D40EE"/>
    <w:rsid w:val="002D4993"/>
    <w:rsid w:val="002D50E9"/>
    <w:rsid w:val="002D5CFA"/>
    <w:rsid w:val="002E2F81"/>
    <w:rsid w:val="002E31E1"/>
    <w:rsid w:val="002E56AD"/>
    <w:rsid w:val="002E5874"/>
    <w:rsid w:val="002E6705"/>
    <w:rsid w:val="002F036B"/>
    <w:rsid w:val="002F5363"/>
    <w:rsid w:val="002F78E9"/>
    <w:rsid w:val="00300E8E"/>
    <w:rsid w:val="00302A82"/>
    <w:rsid w:val="00304892"/>
    <w:rsid w:val="00304F56"/>
    <w:rsid w:val="00307A60"/>
    <w:rsid w:val="003103FB"/>
    <w:rsid w:val="00310DED"/>
    <w:rsid w:val="0031250F"/>
    <w:rsid w:val="00313E1D"/>
    <w:rsid w:val="00323661"/>
    <w:rsid w:val="003247FA"/>
    <w:rsid w:val="00330763"/>
    <w:rsid w:val="003309DA"/>
    <w:rsid w:val="00333809"/>
    <w:rsid w:val="00336313"/>
    <w:rsid w:val="00337205"/>
    <w:rsid w:val="00337D1D"/>
    <w:rsid w:val="00341AA7"/>
    <w:rsid w:val="003433A1"/>
    <w:rsid w:val="00343AEA"/>
    <w:rsid w:val="0035060F"/>
    <w:rsid w:val="00352864"/>
    <w:rsid w:val="00362F9E"/>
    <w:rsid w:val="00363BE8"/>
    <w:rsid w:val="003673F2"/>
    <w:rsid w:val="00370B5D"/>
    <w:rsid w:val="00372F61"/>
    <w:rsid w:val="00376BF6"/>
    <w:rsid w:val="00383CEF"/>
    <w:rsid w:val="00385069"/>
    <w:rsid w:val="00387072"/>
    <w:rsid w:val="00392097"/>
    <w:rsid w:val="00392684"/>
    <w:rsid w:val="0039739D"/>
    <w:rsid w:val="003A7255"/>
    <w:rsid w:val="003B4EC5"/>
    <w:rsid w:val="003B6A02"/>
    <w:rsid w:val="003B7610"/>
    <w:rsid w:val="003B7CD2"/>
    <w:rsid w:val="003C2CC3"/>
    <w:rsid w:val="003C3872"/>
    <w:rsid w:val="003C479D"/>
    <w:rsid w:val="003C7419"/>
    <w:rsid w:val="003C7721"/>
    <w:rsid w:val="003D146D"/>
    <w:rsid w:val="003D1FB8"/>
    <w:rsid w:val="003D6DFC"/>
    <w:rsid w:val="003D70D3"/>
    <w:rsid w:val="003D7104"/>
    <w:rsid w:val="003D73B5"/>
    <w:rsid w:val="003E0E04"/>
    <w:rsid w:val="003E2013"/>
    <w:rsid w:val="003E309A"/>
    <w:rsid w:val="003E50CF"/>
    <w:rsid w:val="003E5123"/>
    <w:rsid w:val="003E536E"/>
    <w:rsid w:val="003E5605"/>
    <w:rsid w:val="003E73A7"/>
    <w:rsid w:val="003E7BC6"/>
    <w:rsid w:val="003F1761"/>
    <w:rsid w:val="003F21D2"/>
    <w:rsid w:val="003F269E"/>
    <w:rsid w:val="003F4964"/>
    <w:rsid w:val="003F65F3"/>
    <w:rsid w:val="00401C43"/>
    <w:rsid w:val="004028D7"/>
    <w:rsid w:val="00404361"/>
    <w:rsid w:val="004046FF"/>
    <w:rsid w:val="00410790"/>
    <w:rsid w:val="00410E9E"/>
    <w:rsid w:val="00411EF4"/>
    <w:rsid w:val="004133BB"/>
    <w:rsid w:val="004142EF"/>
    <w:rsid w:val="00420958"/>
    <w:rsid w:val="00420EF1"/>
    <w:rsid w:val="00421173"/>
    <w:rsid w:val="00421920"/>
    <w:rsid w:val="00423180"/>
    <w:rsid w:val="00423D33"/>
    <w:rsid w:val="004249A0"/>
    <w:rsid w:val="0043155E"/>
    <w:rsid w:val="00432AF6"/>
    <w:rsid w:val="00432D49"/>
    <w:rsid w:val="004339EA"/>
    <w:rsid w:val="00433E8F"/>
    <w:rsid w:val="00434145"/>
    <w:rsid w:val="00436AC8"/>
    <w:rsid w:val="004434EB"/>
    <w:rsid w:val="0044445D"/>
    <w:rsid w:val="00445313"/>
    <w:rsid w:val="0044577B"/>
    <w:rsid w:val="0045033B"/>
    <w:rsid w:val="00451588"/>
    <w:rsid w:val="004517F1"/>
    <w:rsid w:val="00451FF6"/>
    <w:rsid w:val="004556DF"/>
    <w:rsid w:val="00456320"/>
    <w:rsid w:val="00461AE3"/>
    <w:rsid w:val="00462BB6"/>
    <w:rsid w:val="00464A63"/>
    <w:rsid w:val="00465FF0"/>
    <w:rsid w:val="00466DD6"/>
    <w:rsid w:val="0046766B"/>
    <w:rsid w:val="00470670"/>
    <w:rsid w:val="00472286"/>
    <w:rsid w:val="00475A47"/>
    <w:rsid w:val="00475D57"/>
    <w:rsid w:val="00484536"/>
    <w:rsid w:val="00486585"/>
    <w:rsid w:val="00486A78"/>
    <w:rsid w:val="00487A23"/>
    <w:rsid w:val="00487A62"/>
    <w:rsid w:val="00493D6A"/>
    <w:rsid w:val="0049615E"/>
    <w:rsid w:val="00497289"/>
    <w:rsid w:val="004A06AE"/>
    <w:rsid w:val="004A3990"/>
    <w:rsid w:val="004A510D"/>
    <w:rsid w:val="004A559F"/>
    <w:rsid w:val="004B06E3"/>
    <w:rsid w:val="004B35DC"/>
    <w:rsid w:val="004B5888"/>
    <w:rsid w:val="004B5F95"/>
    <w:rsid w:val="004B6780"/>
    <w:rsid w:val="004B7CAA"/>
    <w:rsid w:val="004C2A36"/>
    <w:rsid w:val="004C2ABB"/>
    <w:rsid w:val="004C3663"/>
    <w:rsid w:val="004C57EC"/>
    <w:rsid w:val="004C69F2"/>
    <w:rsid w:val="004D0C20"/>
    <w:rsid w:val="004D1461"/>
    <w:rsid w:val="004D2444"/>
    <w:rsid w:val="004D3A71"/>
    <w:rsid w:val="004D3CE4"/>
    <w:rsid w:val="004D7E51"/>
    <w:rsid w:val="004E04EE"/>
    <w:rsid w:val="004E1866"/>
    <w:rsid w:val="004E1B37"/>
    <w:rsid w:val="004E2704"/>
    <w:rsid w:val="004E2FB1"/>
    <w:rsid w:val="004E3F72"/>
    <w:rsid w:val="004E4D01"/>
    <w:rsid w:val="004E6B71"/>
    <w:rsid w:val="004F0240"/>
    <w:rsid w:val="004F24DC"/>
    <w:rsid w:val="004F705B"/>
    <w:rsid w:val="00500964"/>
    <w:rsid w:val="00500C66"/>
    <w:rsid w:val="005051A1"/>
    <w:rsid w:val="00505B94"/>
    <w:rsid w:val="005061D2"/>
    <w:rsid w:val="005130EC"/>
    <w:rsid w:val="005146E6"/>
    <w:rsid w:val="0051686B"/>
    <w:rsid w:val="005173F0"/>
    <w:rsid w:val="00517D3A"/>
    <w:rsid w:val="0052173B"/>
    <w:rsid w:val="00524D51"/>
    <w:rsid w:val="005339A6"/>
    <w:rsid w:val="00535A42"/>
    <w:rsid w:val="0053748E"/>
    <w:rsid w:val="0054398E"/>
    <w:rsid w:val="005449C6"/>
    <w:rsid w:val="0056177B"/>
    <w:rsid w:val="005622AF"/>
    <w:rsid w:val="00564000"/>
    <w:rsid w:val="00564E19"/>
    <w:rsid w:val="00566B42"/>
    <w:rsid w:val="00567B73"/>
    <w:rsid w:val="005703EC"/>
    <w:rsid w:val="0057165C"/>
    <w:rsid w:val="00571D95"/>
    <w:rsid w:val="005722C6"/>
    <w:rsid w:val="00573A86"/>
    <w:rsid w:val="00575DA9"/>
    <w:rsid w:val="00580FF8"/>
    <w:rsid w:val="00581ED0"/>
    <w:rsid w:val="00582A0C"/>
    <w:rsid w:val="00585C8D"/>
    <w:rsid w:val="005862CC"/>
    <w:rsid w:val="005871F5"/>
    <w:rsid w:val="005911FE"/>
    <w:rsid w:val="00592A1D"/>
    <w:rsid w:val="0059312F"/>
    <w:rsid w:val="00593220"/>
    <w:rsid w:val="0059346E"/>
    <w:rsid w:val="0059380C"/>
    <w:rsid w:val="00595758"/>
    <w:rsid w:val="00596081"/>
    <w:rsid w:val="005A176F"/>
    <w:rsid w:val="005A3943"/>
    <w:rsid w:val="005A51E6"/>
    <w:rsid w:val="005A632E"/>
    <w:rsid w:val="005A697E"/>
    <w:rsid w:val="005A738F"/>
    <w:rsid w:val="005A74DC"/>
    <w:rsid w:val="005B1905"/>
    <w:rsid w:val="005B5823"/>
    <w:rsid w:val="005B7418"/>
    <w:rsid w:val="005C03A9"/>
    <w:rsid w:val="005C2346"/>
    <w:rsid w:val="005C2BFC"/>
    <w:rsid w:val="005C324B"/>
    <w:rsid w:val="005C43E2"/>
    <w:rsid w:val="005C454A"/>
    <w:rsid w:val="005C74C9"/>
    <w:rsid w:val="005D14A2"/>
    <w:rsid w:val="005D1B14"/>
    <w:rsid w:val="005D257B"/>
    <w:rsid w:val="005D31A2"/>
    <w:rsid w:val="005D5A67"/>
    <w:rsid w:val="005E1D5C"/>
    <w:rsid w:val="005E25DC"/>
    <w:rsid w:val="005E52AE"/>
    <w:rsid w:val="005E5607"/>
    <w:rsid w:val="005E567C"/>
    <w:rsid w:val="005F4D33"/>
    <w:rsid w:val="005F505E"/>
    <w:rsid w:val="00600E6B"/>
    <w:rsid w:val="00602976"/>
    <w:rsid w:val="0060388D"/>
    <w:rsid w:val="006040FA"/>
    <w:rsid w:val="00604231"/>
    <w:rsid w:val="0060486E"/>
    <w:rsid w:val="006068F3"/>
    <w:rsid w:val="00610C2F"/>
    <w:rsid w:val="0061166A"/>
    <w:rsid w:val="00616434"/>
    <w:rsid w:val="0061746D"/>
    <w:rsid w:val="0062037D"/>
    <w:rsid w:val="0062187C"/>
    <w:rsid w:val="006239BC"/>
    <w:rsid w:val="00625805"/>
    <w:rsid w:val="00627AC4"/>
    <w:rsid w:val="0063253B"/>
    <w:rsid w:val="00635177"/>
    <w:rsid w:val="006363C8"/>
    <w:rsid w:val="00637AB8"/>
    <w:rsid w:val="00637F5D"/>
    <w:rsid w:val="00640DAD"/>
    <w:rsid w:val="0064370D"/>
    <w:rsid w:val="00643771"/>
    <w:rsid w:val="00644946"/>
    <w:rsid w:val="00645410"/>
    <w:rsid w:val="00646AB8"/>
    <w:rsid w:val="00646CAD"/>
    <w:rsid w:val="00647BD9"/>
    <w:rsid w:val="00651A89"/>
    <w:rsid w:val="0065492E"/>
    <w:rsid w:val="00654A3E"/>
    <w:rsid w:val="00655986"/>
    <w:rsid w:val="00657C37"/>
    <w:rsid w:val="006624A7"/>
    <w:rsid w:val="006624B4"/>
    <w:rsid w:val="0066494C"/>
    <w:rsid w:val="0066515F"/>
    <w:rsid w:val="006663E9"/>
    <w:rsid w:val="006668AF"/>
    <w:rsid w:val="00667EDA"/>
    <w:rsid w:val="00670A7E"/>
    <w:rsid w:val="0067278C"/>
    <w:rsid w:val="00672874"/>
    <w:rsid w:val="006766BA"/>
    <w:rsid w:val="00676DAA"/>
    <w:rsid w:val="006810CB"/>
    <w:rsid w:val="00681FFB"/>
    <w:rsid w:val="00683C6B"/>
    <w:rsid w:val="00683D09"/>
    <w:rsid w:val="00686439"/>
    <w:rsid w:val="00690DA4"/>
    <w:rsid w:val="00692EF5"/>
    <w:rsid w:val="006961BD"/>
    <w:rsid w:val="00697A88"/>
    <w:rsid w:val="00697CF1"/>
    <w:rsid w:val="006A3F42"/>
    <w:rsid w:val="006A6051"/>
    <w:rsid w:val="006B31D9"/>
    <w:rsid w:val="006C0102"/>
    <w:rsid w:val="006C07D4"/>
    <w:rsid w:val="006C0A74"/>
    <w:rsid w:val="006C41AD"/>
    <w:rsid w:val="006C7D26"/>
    <w:rsid w:val="006D04BD"/>
    <w:rsid w:val="006D1342"/>
    <w:rsid w:val="006D47EF"/>
    <w:rsid w:val="006D6644"/>
    <w:rsid w:val="006D7180"/>
    <w:rsid w:val="006E2C43"/>
    <w:rsid w:val="006E309B"/>
    <w:rsid w:val="006E433B"/>
    <w:rsid w:val="006E4E79"/>
    <w:rsid w:val="006E6617"/>
    <w:rsid w:val="006E7899"/>
    <w:rsid w:val="006E7C78"/>
    <w:rsid w:val="006F27F4"/>
    <w:rsid w:val="006F2E23"/>
    <w:rsid w:val="006F37F3"/>
    <w:rsid w:val="006F4C30"/>
    <w:rsid w:val="006F7024"/>
    <w:rsid w:val="006F76E6"/>
    <w:rsid w:val="00703A7C"/>
    <w:rsid w:val="007044B3"/>
    <w:rsid w:val="007076DA"/>
    <w:rsid w:val="00707860"/>
    <w:rsid w:val="00711849"/>
    <w:rsid w:val="00715629"/>
    <w:rsid w:val="00717131"/>
    <w:rsid w:val="00717AA0"/>
    <w:rsid w:val="007207BF"/>
    <w:rsid w:val="0072395F"/>
    <w:rsid w:val="00725AC5"/>
    <w:rsid w:val="00725CB0"/>
    <w:rsid w:val="0073125F"/>
    <w:rsid w:val="007322AC"/>
    <w:rsid w:val="0073517D"/>
    <w:rsid w:val="0073685C"/>
    <w:rsid w:val="00737EA5"/>
    <w:rsid w:val="007400AE"/>
    <w:rsid w:val="00741F3E"/>
    <w:rsid w:val="00742F88"/>
    <w:rsid w:val="00743AA8"/>
    <w:rsid w:val="00743B24"/>
    <w:rsid w:val="00745959"/>
    <w:rsid w:val="00750840"/>
    <w:rsid w:val="00753C60"/>
    <w:rsid w:val="00757617"/>
    <w:rsid w:val="00757B18"/>
    <w:rsid w:val="0076232D"/>
    <w:rsid w:val="00763AD8"/>
    <w:rsid w:val="00765016"/>
    <w:rsid w:val="00767EDE"/>
    <w:rsid w:val="0077100C"/>
    <w:rsid w:val="0077407F"/>
    <w:rsid w:val="00776C39"/>
    <w:rsid w:val="00777B23"/>
    <w:rsid w:val="00780558"/>
    <w:rsid w:val="00781739"/>
    <w:rsid w:val="00781D00"/>
    <w:rsid w:val="00782054"/>
    <w:rsid w:val="007840EF"/>
    <w:rsid w:val="007866A1"/>
    <w:rsid w:val="00787575"/>
    <w:rsid w:val="007900F3"/>
    <w:rsid w:val="007909DF"/>
    <w:rsid w:val="00791B69"/>
    <w:rsid w:val="0079498E"/>
    <w:rsid w:val="00796367"/>
    <w:rsid w:val="00796F10"/>
    <w:rsid w:val="007A04E7"/>
    <w:rsid w:val="007A2B2A"/>
    <w:rsid w:val="007A3530"/>
    <w:rsid w:val="007A39FF"/>
    <w:rsid w:val="007A6AB5"/>
    <w:rsid w:val="007A6C67"/>
    <w:rsid w:val="007B14D9"/>
    <w:rsid w:val="007B2B46"/>
    <w:rsid w:val="007B30F2"/>
    <w:rsid w:val="007B377F"/>
    <w:rsid w:val="007B4274"/>
    <w:rsid w:val="007B443D"/>
    <w:rsid w:val="007B5117"/>
    <w:rsid w:val="007B599D"/>
    <w:rsid w:val="007B63A3"/>
    <w:rsid w:val="007B6650"/>
    <w:rsid w:val="007B6A74"/>
    <w:rsid w:val="007C182D"/>
    <w:rsid w:val="007C2DC8"/>
    <w:rsid w:val="007C3BB5"/>
    <w:rsid w:val="007C664D"/>
    <w:rsid w:val="007C75AF"/>
    <w:rsid w:val="007C7ED6"/>
    <w:rsid w:val="007D097E"/>
    <w:rsid w:val="007D0B62"/>
    <w:rsid w:val="007D230B"/>
    <w:rsid w:val="007D23BD"/>
    <w:rsid w:val="007D2D80"/>
    <w:rsid w:val="007D3681"/>
    <w:rsid w:val="007D3824"/>
    <w:rsid w:val="007D49A1"/>
    <w:rsid w:val="007D59DD"/>
    <w:rsid w:val="007E1F66"/>
    <w:rsid w:val="007E2735"/>
    <w:rsid w:val="007E2CB5"/>
    <w:rsid w:val="007E4C10"/>
    <w:rsid w:val="007E6501"/>
    <w:rsid w:val="007E681F"/>
    <w:rsid w:val="007E6C25"/>
    <w:rsid w:val="007F0B26"/>
    <w:rsid w:val="007F32D7"/>
    <w:rsid w:val="007F407A"/>
    <w:rsid w:val="007F4F97"/>
    <w:rsid w:val="007F5AC7"/>
    <w:rsid w:val="007F65F6"/>
    <w:rsid w:val="007F669E"/>
    <w:rsid w:val="008009CC"/>
    <w:rsid w:val="00801632"/>
    <w:rsid w:val="00801C8F"/>
    <w:rsid w:val="00804CF9"/>
    <w:rsid w:val="0080520B"/>
    <w:rsid w:val="00807B3E"/>
    <w:rsid w:val="00810D4A"/>
    <w:rsid w:val="008129EE"/>
    <w:rsid w:val="00812F82"/>
    <w:rsid w:val="008146FD"/>
    <w:rsid w:val="00816AAB"/>
    <w:rsid w:val="00820402"/>
    <w:rsid w:val="0082241E"/>
    <w:rsid w:val="008243B2"/>
    <w:rsid w:val="00824F08"/>
    <w:rsid w:val="00827EC2"/>
    <w:rsid w:val="008310DF"/>
    <w:rsid w:val="00831105"/>
    <w:rsid w:val="00831CAA"/>
    <w:rsid w:val="00831FA1"/>
    <w:rsid w:val="00835487"/>
    <w:rsid w:val="00837BA3"/>
    <w:rsid w:val="00843FDC"/>
    <w:rsid w:val="00844A4B"/>
    <w:rsid w:val="00845EDE"/>
    <w:rsid w:val="00854676"/>
    <w:rsid w:val="00854A9A"/>
    <w:rsid w:val="00857985"/>
    <w:rsid w:val="00862AC7"/>
    <w:rsid w:val="00865296"/>
    <w:rsid w:val="00867086"/>
    <w:rsid w:val="00870971"/>
    <w:rsid w:val="00871123"/>
    <w:rsid w:val="00874663"/>
    <w:rsid w:val="0087625E"/>
    <w:rsid w:val="008811F3"/>
    <w:rsid w:val="00881B95"/>
    <w:rsid w:val="008831CA"/>
    <w:rsid w:val="00887FDA"/>
    <w:rsid w:val="0089272A"/>
    <w:rsid w:val="00894890"/>
    <w:rsid w:val="00897247"/>
    <w:rsid w:val="008A67B2"/>
    <w:rsid w:val="008B08F0"/>
    <w:rsid w:val="008B262C"/>
    <w:rsid w:val="008B2DAD"/>
    <w:rsid w:val="008B6FC8"/>
    <w:rsid w:val="008C19E9"/>
    <w:rsid w:val="008C26E9"/>
    <w:rsid w:val="008C774E"/>
    <w:rsid w:val="008D06E7"/>
    <w:rsid w:val="008D4652"/>
    <w:rsid w:val="008D4B65"/>
    <w:rsid w:val="008D6D9D"/>
    <w:rsid w:val="008E2EA7"/>
    <w:rsid w:val="008E3417"/>
    <w:rsid w:val="008F1691"/>
    <w:rsid w:val="008F22E2"/>
    <w:rsid w:val="008F396D"/>
    <w:rsid w:val="008F5698"/>
    <w:rsid w:val="008F639E"/>
    <w:rsid w:val="008F6989"/>
    <w:rsid w:val="00901EF2"/>
    <w:rsid w:val="00903EB6"/>
    <w:rsid w:val="00904906"/>
    <w:rsid w:val="0090702F"/>
    <w:rsid w:val="0090727A"/>
    <w:rsid w:val="009079D0"/>
    <w:rsid w:val="00913D0A"/>
    <w:rsid w:val="009148A1"/>
    <w:rsid w:val="00923C06"/>
    <w:rsid w:val="00924972"/>
    <w:rsid w:val="00925595"/>
    <w:rsid w:val="009270F4"/>
    <w:rsid w:val="009309D7"/>
    <w:rsid w:val="00932E1E"/>
    <w:rsid w:val="00933919"/>
    <w:rsid w:val="00934068"/>
    <w:rsid w:val="00934D1B"/>
    <w:rsid w:val="00936348"/>
    <w:rsid w:val="00937854"/>
    <w:rsid w:val="009400F4"/>
    <w:rsid w:val="00945D21"/>
    <w:rsid w:val="009469E0"/>
    <w:rsid w:val="00947536"/>
    <w:rsid w:val="00951C4D"/>
    <w:rsid w:val="00952955"/>
    <w:rsid w:val="00952E03"/>
    <w:rsid w:val="00953586"/>
    <w:rsid w:val="0095396E"/>
    <w:rsid w:val="009547E2"/>
    <w:rsid w:val="00956488"/>
    <w:rsid w:val="00956F5F"/>
    <w:rsid w:val="009610DC"/>
    <w:rsid w:val="00961849"/>
    <w:rsid w:val="00964FB8"/>
    <w:rsid w:val="009669D2"/>
    <w:rsid w:val="0097154F"/>
    <w:rsid w:val="009752FC"/>
    <w:rsid w:val="0098428D"/>
    <w:rsid w:val="0098457F"/>
    <w:rsid w:val="0098578C"/>
    <w:rsid w:val="00985996"/>
    <w:rsid w:val="00986978"/>
    <w:rsid w:val="00987208"/>
    <w:rsid w:val="009946F0"/>
    <w:rsid w:val="00994D94"/>
    <w:rsid w:val="00994F74"/>
    <w:rsid w:val="00995093"/>
    <w:rsid w:val="0099563A"/>
    <w:rsid w:val="00996E81"/>
    <w:rsid w:val="009A0C35"/>
    <w:rsid w:val="009A13F4"/>
    <w:rsid w:val="009A17BF"/>
    <w:rsid w:val="009A3093"/>
    <w:rsid w:val="009A322A"/>
    <w:rsid w:val="009A44BE"/>
    <w:rsid w:val="009A4B78"/>
    <w:rsid w:val="009A6B3B"/>
    <w:rsid w:val="009B029F"/>
    <w:rsid w:val="009B27F8"/>
    <w:rsid w:val="009B4A8B"/>
    <w:rsid w:val="009B706A"/>
    <w:rsid w:val="009B74FB"/>
    <w:rsid w:val="009C0660"/>
    <w:rsid w:val="009C31A4"/>
    <w:rsid w:val="009C4845"/>
    <w:rsid w:val="009C7314"/>
    <w:rsid w:val="009D2442"/>
    <w:rsid w:val="009D2E1B"/>
    <w:rsid w:val="009D5D9F"/>
    <w:rsid w:val="009D7F4D"/>
    <w:rsid w:val="009E0FA2"/>
    <w:rsid w:val="009E1F3B"/>
    <w:rsid w:val="009E2244"/>
    <w:rsid w:val="009E26DA"/>
    <w:rsid w:val="009E2D42"/>
    <w:rsid w:val="009E4F66"/>
    <w:rsid w:val="009E57DF"/>
    <w:rsid w:val="009F468D"/>
    <w:rsid w:val="009F4CFA"/>
    <w:rsid w:val="009F57FD"/>
    <w:rsid w:val="009F7F9F"/>
    <w:rsid w:val="00A01E02"/>
    <w:rsid w:val="00A02E26"/>
    <w:rsid w:val="00A05BA0"/>
    <w:rsid w:val="00A065B4"/>
    <w:rsid w:val="00A07394"/>
    <w:rsid w:val="00A07E3E"/>
    <w:rsid w:val="00A10C74"/>
    <w:rsid w:val="00A13C15"/>
    <w:rsid w:val="00A159C9"/>
    <w:rsid w:val="00A167FB"/>
    <w:rsid w:val="00A21B70"/>
    <w:rsid w:val="00A21D02"/>
    <w:rsid w:val="00A21DDB"/>
    <w:rsid w:val="00A23CF6"/>
    <w:rsid w:val="00A2690C"/>
    <w:rsid w:val="00A2792F"/>
    <w:rsid w:val="00A30970"/>
    <w:rsid w:val="00A315E4"/>
    <w:rsid w:val="00A31D96"/>
    <w:rsid w:val="00A31FEE"/>
    <w:rsid w:val="00A33722"/>
    <w:rsid w:val="00A33C55"/>
    <w:rsid w:val="00A360D9"/>
    <w:rsid w:val="00A36648"/>
    <w:rsid w:val="00A406C3"/>
    <w:rsid w:val="00A42875"/>
    <w:rsid w:val="00A44DC1"/>
    <w:rsid w:val="00A46F3D"/>
    <w:rsid w:val="00A47168"/>
    <w:rsid w:val="00A47A98"/>
    <w:rsid w:val="00A47EE7"/>
    <w:rsid w:val="00A50B43"/>
    <w:rsid w:val="00A51C87"/>
    <w:rsid w:val="00A54197"/>
    <w:rsid w:val="00A61821"/>
    <w:rsid w:val="00A61E3A"/>
    <w:rsid w:val="00A631BA"/>
    <w:rsid w:val="00A6453C"/>
    <w:rsid w:val="00A658EE"/>
    <w:rsid w:val="00A65BC7"/>
    <w:rsid w:val="00A65C27"/>
    <w:rsid w:val="00A671DC"/>
    <w:rsid w:val="00A67CA5"/>
    <w:rsid w:val="00A75CCD"/>
    <w:rsid w:val="00A7659D"/>
    <w:rsid w:val="00A80506"/>
    <w:rsid w:val="00A806AE"/>
    <w:rsid w:val="00A807C8"/>
    <w:rsid w:val="00A8118F"/>
    <w:rsid w:val="00A81E5A"/>
    <w:rsid w:val="00A83458"/>
    <w:rsid w:val="00A86C41"/>
    <w:rsid w:val="00A874B2"/>
    <w:rsid w:val="00A90148"/>
    <w:rsid w:val="00A917F8"/>
    <w:rsid w:val="00A9698C"/>
    <w:rsid w:val="00AA0D8C"/>
    <w:rsid w:val="00AA25BC"/>
    <w:rsid w:val="00AA2E9E"/>
    <w:rsid w:val="00AA3077"/>
    <w:rsid w:val="00AA3E2A"/>
    <w:rsid w:val="00AA46AF"/>
    <w:rsid w:val="00AA5AE7"/>
    <w:rsid w:val="00AB4E9E"/>
    <w:rsid w:val="00AB6C99"/>
    <w:rsid w:val="00AC11D5"/>
    <w:rsid w:val="00AC15E5"/>
    <w:rsid w:val="00AC22BB"/>
    <w:rsid w:val="00AC4080"/>
    <w:rsid w:val="00AC5A6D"/>
    <w:rsid w:val="00AC5D73"/>
    <w:rsid w:val="00AC73AD"/>
    <w:rsid w:val="00AC7BED"/>
    <w:rsid w:val="00AD067D"/>
    <w:rsid w:val="00AD17A6"/>
    <w:rsid w:val="00AD5FFD"/>
    <w:rsid w:val="00AD705A"/>
    <w:rsid w:val="00AD78F9"/>
    <w:rsid w:val="00AE008D"/>
    <w:rsid w:val="00AE30E0"/>
    <w:rsid w:val="00AE346F"/>
    <w:rsid w:val="00AE3AD5"/>
    <w:rsid w:val="00AF2329"/>
    <w:rsid w:val="00AF3660"/>
    <w:rsid w:val="00AF43C8"/>
    <w:rsid w:val="00AF7A20"/>
    <w:rsid w:val="00AF7B37"/>
    <w:rsid w:val="00B01312"/>
    <w:rsid w:val="00B02D64"/>
    <w:rsid w:val="00B02D98"/>
    <w:rsid w:val="00B06685"/>
    <w:rsid w:val="00B0673A"/>
    <w:rsid w:val="00B07818"/>
    <w:rsid w:val="00B07AC8"/>
    <w:rsid w:val="00B11033"/>
    <w:rsid w:val="00B12A06"/>
    <w:rsid w:val="00B140EE"/>
    <w:rsid w:val="00B15D2F"/>
    <w:rsid w:val="00B16399"/>
    <w:rsid w:val="00B175EF"/>
    <w:rsid w:val="00B1760F"/>
    <w:rsid w:val="00B178DB"/>
    <w:rsid w:val="00B2586D"/>
    <w:rsid w:val="00B25AE4"/>
    <w:rsid w:val="00B25F44"/>
    <w:rsid w:val="00B265C9"/>
    <w:rsid w:val="00B26909"/>
    <w:rsid w:val="00B27664"/>
    <w:rsid w:val="00B31169"/>
    <w:rsid w:val="00B31828"/>
    <w:rsid w:val="00B41968"/>
    <w:rsid w:val="00B41E25"/>
    <w:rsid w:val="00B42BEE"/>
    <w:rsid w:val="00B452B7"/>
    <w:rsid w:val="00B458E3"/>
    <w:rsid w:val="00B518FF"/>
    <w:rsid w:val="00B539D2"/>
    <w:rsid w:val="00B548BE"/>
    <w:rsid w:val="00B54F17"/>
    <w:rsid w:val="00B561EE"/>
    <w:rsid w:val="00B56C89"/>
    <w:rsid w:val="00B57B37"/>
    <w:rsid w:val="00B57D47"/>
    <w:rsid w:val="00B60DEF"/>
    <w:rsid w:val="00B6210E"/>
    <w:rsid w:val="00B632E3"/>
    <w:rsid w:val="00B63315"/>
    <w:rsid w:val="00B63831"/>
    <w:rsid w:val="00B647D9"/>
    <w:rsid w:val="00B64DC8"/>
    <w:rsid w:val="00B6734C"/>
    <w:rsid w:val="00B67926"/>
    <w:rsid w:val="00B70688"/>
    <w:rsid w:val="00B74CF7"/>
    <w:rsid w:val="00B75419"/>
    <w:rsid w:val="00B75FD9"/>
    <w:rsid w:val="00B76B1B"/>
    <w:rsid w:val="00B77091"/>
    <w:rsid w:val="00B837C1"/>
    <w:rsid w:val="00B841E0"/>
    <w:rsid w:val="00B860BA"/>
    <w:rsid w:val="00B865F5"/>
    <w:rsid w:val="00B870A0"/>
    <w:rsid w:val="00B900B0"/>
    <w:rsid w:val="00B90DDB"/>
    <w:rsid w:val="00B91DFE"/>
    <w:rsid w:val="00B92858"/>
    <w:rsid w:val="00B93854"/>
    <w:rsid w:val="00B950B5"/>
    <w:rsid w:val="00B966E9"/>
    <w:rsid w:val="00B96BC7"/>
    <w:rsid w:val="00B97229"/>
    <w:rsid w:val="00BA08A3"/>
    <w:rsid w:val="00BA3801"/>
    <w:rsid w:val="00BA3D7D"/>
    <w:rsid w:val="00BA5AB3"/>
    <w:rsid w:val="00BA5B6E"/>
    <w:rsid w:val="00BB20EA"/>
    <w:rsid w:val="00BB21AB"/>
    <w:rsid w:val="00BB227E"/>
    <w:rsid w:val="00BB4F22"/>
    <w:rsid w:val="00BB7E3D"/>
    <w:rsid w:val="00BC09E0"/>
    <w:rsid w:val="00BC2925"/>
    <w:rsid w:val="00BC3CD1"/>
    <w:rsid w:val="00BC4946"/>
    <w:rsid w:val="00BC4C2A"/>
    <w:rsid w:val="00BC5EC6"/>
    <w:rsid w:val="00BC5F0E"/>
    <w:rsid w:val="00BC7C7E"/>
    <w:rsid w:val="00BD2211"/>
    <w:rsid w:val="00BD221D"/>
    <w:rsid w:val="00BD3E65"/>
    <w:rsid w:val="00BD5934"/>
    <w:rsid w:val="00BD7785"/>
    <w:rsid w:val="00BE09CF"/>
    <w:rsid w:val="00BE2BF6"/>
    <w:rsid w:val="00BE3734"/>
    <w:rsid w:val="00BE3B2E"/>
    <w:rsid w:val="00BE7DE8"/>
    <w:rsid w:val="00BF187C"/>
    <w:rsid w:val="00BF1CBD"/>
    <w:rsid w:val="00BF2D92"/>
    <w:rsid w:val="00BF52C4"/>
    <w:rsid w:val="00BF62EC"/>
    <w:rsid w:val="00C006BE"/>
    <w:rsid w:val="00C05B8E"/>
    <w:rsid w:val="00C07777"/>
    <w:rsid w:val="00C1063D"/>
    <w:rsid w:val="00C15E0E"/>
    <w:rsid w:val="00C23903"/>
    <w:rsid w:val="00C23C2B"/>
    <w:rsid w:val="00C23FB5"/>
    <w:rsid w:val="00C24A1A"/>
    <w:rsid w:val="00C24B4B"/>
    <w:rsid w:val="00C32197"/>
    <w:rsid w:val="00C331BB"/>
    <w:rsid w:val="00C35A6D"/>
    <w:rsid w:val="00C41A08"/>
    <w:rsid w:val="00C422B9"/>
    <w:rsid w:val="00C4240A"/>
    <w:rsid w:val="00C4241E"/>
    <w:rsid w:val="00C42D51"/>
    <w:rsid w:val="00C444DA"/>
    <w:rsid w:val="00C4682F"/>
    <w:rsid w:val="00C50184"/>
    <w:rsid w:val="00C504EC"/>
    <w:rsid w:val="00C507EA"/>
    <w:rsid w:val="00C50EFE"/>
    <w:rsid w:val="00C52AB0"/>
    <w:rsid w:val="00C541B3"/>
    <w:rsid w:val="00C60393"/>
    <w:rsid w:val="00C615A3"/>
    <w:rsid w:val="00C6198D"/>
    <w:rsid w:val="00C635DA"/>
    <w:rsid w:val="00C639E7"/>
    <w:rsid w:val="00C63B10"/>
    <w:rsid w:val="00C64ACB"/>
    <w:rsid w:val="00C659BE"/>
    <w:rsid w:val="00C771B2"/>
    <w:rsid w:val="00C80300"/>
    <w:rsid w:val="00C807EB"/>
    <w:rsid w:val="00C81A42"/>
    <w:rsid w:val="00C82307"/>
    <w:rsid w:val="00C85415"/>
    <w:rsid w:val="00C8613B"/>
    <w:rsid w:val="00C900DE"/>
    <w:rsid w:val="00C90853"/>
    <w:rsid w:val="00C91818"/>
    <w:rsid w:val="00C92622"/>
    <w:rsid w:val="00C97228"/>
    <w:rsid w:val="00C9780D"/>
    <w:rsid w:val="00C97C7F"/>
    <w:rsid w:val="00CA02DA"/>
    <w:rsid w:val="00CA1A54"/>
    <w:rsid w:val="00CA1CB3"/>
    <w:rsid w:val="00CA3243"/>
    <w:rsid w:val="00CA655A"/>
    <w:rsid w:val="00CB1F59"/>
    <w:rsid w:val="00CB47DE"/>
    <w:rsid w:val="00CC177A"/>
    <w:rsid w:val="00CC242A"/>
    <w:rsid w:val="00CC3CCA"/>
    <w:rsid w:val="00CC46B2"/>
    <w:rsid w:val="00CC5718"/>
    <w:rsid w:val="00CD1352"/>
    <w:rsid w:val="00CD1CBE"/>
    <w:rsid w:val="00CD1E3E"/>
    <w:rsid w:val="00CD22C0"/>
    <w:rsid w:val="00CD2EDC"/>
    <w:rsid w:val="00CD32E2"/>
    <w:rsid w:val="00CD42C0"/>
    <w:rsid w:val="00CD4A44"/>
    <w:rsid w:val="00CD4B0B"/>
    <w:rsid w:val="00CD4EDA"/>
    <w:rsid w:val="00CD6698"/>
    <w:rsid w:val="00CE1968"/>
    <w:rsid w:val="00CE1E5B"/>
    <w:rsid w:val="00CE3982"/>
    <w:rsid w:val="00CF023C"/>
    <w:rsid w:val="00CF14B0"/>
    <w:rsid w:val="00CF18FA"/>
    <w:rsid w:val="00CF1D92"/>
    <w:rsid w:val="00CF2D92"/>
    <w:rsid w:val="00CF4128"/>
    <w:rsid w:val="00CF4BF2"/>
    <w:rsid w:val="00CF5D91"/>
    <w:rsid w:val="00D0025C"/>
    <w:rsid w:val="00D004FB"/>
    <w:rsid w:val="00D02BBC"/>
    <w:rsid w:val="00D02C36"/>
    <w:rsid w:val="00D03321"/>
    <w:rsid w:val="00D04327"/>
    <w:rsid w:val="00D05B35"/>
    <w:rsid w:val="00D06031"/>
    <w:rsid w:val="00D06B66"/>
    <w:rsid w:val="00D12172"/>
    <w:rsid w:val="00D12B8C"/>
    <w:rsid w:val="00D149C5"/>
    <w:rsid w:val="00D17DBB"/>
    <w:rsid w:val="00D200F6"/>
    <w:rsid w:val="00D2024D"/>
    <w:rsid w:val="00D21646"/>
    <w:rsid w:val="00D2171F"/>
    <w:rsid w:val="00D21C03"/>
    <w:rsid w:val="00D2352A"/>
    <w:rsid w:val="00D30B8A"/>
    <w:rsid w:val="00D3431F"/>
    <w:rsid w:val="00D35147"/>
    <w:rsid w:val="00D36A3A"/>
    <w:rsid w:val="00D4327F"/>
    <w:rsid w:val="00D454F2"/>
    <w:rsid w:val="00D46F7F"/>
    <w:rsid w:val="00D47CE9"/>
    <w:rsid w:val="00D52995"/>
    <w:rsid w:val="00D55853"/>
    <w:rsid w:val="00D5791B"/>
    <w:rsid w:val="00D57C00"/>
    <w:rsid w:val="00D60425"/>
    <w:rsid w:val="00D622B0"/>
    <w:rsid w:val="00D63505"/>
    <w:rsid w:val="00D7008B"/>
    <w:rsid w:val="00D71906"/>
    <w:rsid w:val="00D72ADE"/>
    <w:rsid w:val="00D73896"/>
    <w:rsid w:val="00D7420F"/>
    <w:rsid w:val="00D75233"/>
    <w:rsid w:val="00D76097"/>
    <w:rsid w:val="00D771DB"/>
    <w:rsid w:val="00D7728F"/>
    <w:rsid w:val="00D77696"/>
    <w:rsid w:val="00D77AF1"/>
    <w:rsid w:val="00D81CC4"/>
    <w:rsid w:val="00D83659"/>
    <w:rsid w:val="00D848D6"/>
    <w:rsid w:val="00D84F9E"/>
    <w:rsid w:val="00D864B8"/>
    <w:rsid w:val="00D87333"/>
    <w:rsid w:val="00D92063"/>
    <w:rsid w:val="00D9313F"/>
    <w:rsid w:val="00D93B09"/>
    <w:rsid w:val="00D9765E"/>
    <w:rsid w:val="00D97E67"/>
    <w:rsid w:val="00DA1473"/>
    <w:rsid w:val="00DA4591"/>
    <w:rsid w:val="00DA6430"/>
    <w:rsid w:val="00DA681A"/>
    <w:rsid w:val="00DA6B7E"/>
    <w:rsid w:val="00DB0AB7"/>
    <w:rsid w:val="00DB3ED3"/>
    <w:rsid w:val="00DB6148"/>
    <w:rsid w:val="00DB63BE"/>
    <w:rsid w:val="00DB63DB"/>
    <w:rsid w:val="00DB7824"/>
    <w:rsid w:val="00DC2044"/>
    <w:rsid w:val="00DC308E"/>
    <w:rsid w:val="00DC3BE5"/>
    <w:rsid w:val="00DC5E0F"/>
    <w:rsid w:val="00DC6C76"/>
    <w:rsid w:val="00DC7F73"/>
    <w:rsid w:val="00DD5124"/>
    <w:rsid w:val="00DD54FA"/>
    <w:rsid w:val="00DE00F3"/>
    <w:rsid w:val="00DE0F63"/>
    <w:rsid w:val="00DE191A"/>
    <w:rsid w:val="00DE1A0F"/>
    <w:rsid w:val="00DE3123"/>
    <w:rsid w:val="00DE32D3"/>
    <w:rsid w:val="00DE339F"/>
    <w:rsid w:val="00DE3B1F"/>
    <w:rsid w:val="00DE4EC0"/>
    <w:rsid w:val="00DE65D3"/>
    <w:rsid w:val="00DE6846"/>
    <w:rsid w:val="00DF1535"/>
    <w:rsid w:val="00DF53F5"/>
    <w:rsid w:val="00DF61FD"/>
    <w:rsid w:val="00DF6D25"/>
    <w:rsid w:val="00E00FE3"/>
    <w:rsid w:val="00E03C6D"/>
    <w:rsid w:val="00E11EE3"/>
    <w:rsid w:val="00E135F9"/>
    <w:rsid w:val="00E14349"/>
    <w:rsid w:val="00E20C28"/>
    <w:rsid w:val="00E22A77"/>
    <w:rsid w:val="00E22E84"/>
    <w:rsid w:val="00E24B18"/>
    <w:rsid w:val="00E3016C"/>
    <w:rsid w:val="00E30A59"/>
    <w:rsid w:val="00E32F03"/>
    <w:rsid w:val="00E348BC"/>
    <w:rsid w:val="00E35B8D"/>
    <w:rsid w:val="00E4307D"/>
    <w:rsid w:val="00E4318F"/>
    <w:rsid w:val="00E4392E"/>
    <w:rsid w:val="00E47FEA"/>
    <w:rsid w:val="00E50B9E"/>
    <w:rsid w:val="00E524AA"/>
    <w:rsid w:val="00E54395"/>
    <w:rsid w:val="00E54741"/>
    <w:rsid w:val="00E568E5"/>
    <w:rsid w:val="00E57AAD"/>
    <w:rsid w:val="00E63D87"/>
    <w:rsid w:val="00E6453F"/>
    <w:rsid w:val="00E659EF"/>
    <w:rsid w:val="00E677A6"/>
    <w:rsid w:val="00E70CBD"/>
    <w:rsid w:val="00E717E8"/>
    <w:rsid w:val="00E72BAF"/>
    <w:rsid w:val="00E73D81"/>
    <w:rsid w:val="00E754F4"/>
    <w:rsid w:val="00E75EC9"/>
    <w:rsid w:val="00E849B5"/>
    <w:rsid w:val="00E865D1"/>
    <w:rsid w:val="00E871D9"/>
    <w:rsid w:val="00E87C51"/>
    <w:rsid w:val="00EA057C"/>
    <w:rsid w:val="00EA09AF"/>
    <w:rsid w:val="00EA2D3D"/>
    <w:rsid w:val="00EA3930"/>
    <w:rsid w:val="00EA5B84"/>
    <w:rsid w:val="00EA6DC9"/>
    <w:rsid w:val="00EB20F9"/>
    <w:rsid w:val="00EB24EB"/>
    <w:rsid w:val="00EB34AF"/>
    <w:rsid w:val="00EB3AF4"/>
    <w:rsid w:val="00EB60D8"/>
    <w:rsid w:val="00EC4235"/>
    <w:rsid w:val="00EC5A14"/>
    <w:rsid w:val="00ED06CC"/>
    <w:rsid w:val="00ED19A8"/>
    <w:rsid w:val="00ED2C8E"/>
    <w:rsid w:val="00ED379E"/>
    <w:rsid w:val="00ED7680"/>
    <w:rsid w:val="00EE0424"/>
    <w:rsid w:val="00EE0D47"/>
    <w:rsid w:val="00EE1B14"/>
    <w:rsid w:val="00EE5358"/>
    <w:rsid w:val="00EF1B6A"/>
    <w:rsid w:val="00EF1C45"/>
    <w:rsid w:val="00EF3C59"/>
    <w:rsid w:val="00EF42BA"/>
    <w:rsid w:val="00EF54D8"/>
    <w:rsid w:val="00EF71E9"/>
    <w:rsid w:val="00F006D2"/>
    <w:rsid w:val="00F00BD1"/>
    <w:rsid w:val="00F01FD9"/>
    <w:rsid w:val="00F0217F"/>
    <w:rsid w:val="00F02D32"/>
    <w:rsid w:val="00F04B07"/>
    <w:rsid w:val="00F05BA8"/>
    <w:rsid w:val="00F06F12"/>
    <w:rsid w:val="00F1111A"/>
    <w:rsid w:val="00F128C9"/>
    <w:rsid w:val="00F12B95"/>
    <w:rsid w:val="00F16954"/>
    <w:rsid w:val="00F16F13"/>
    <w:rsid w:val="00F1795A"/>
    <w:rsid w:val="00F20AEA"/>
    <w:rsid w:val="00F219C3"/>
    <w:rsid w:val="00F23E9A"/>
    <w:rsid w:val="00F2405C"/>
    <w:rsid w:val="00F242D9"/>
    <w:rsid w:val="00F259FE"/>
    <w:rsid w:val="00F31228"/>
    <w:rsid w:val="00F317D1"/>
    <w:rsid w:val="00F31FDB"/>
    <w:rsid w:val="00F3715D"/>
    <w:rsid w:val="00F401F0"/>
    <w:rsid w:val="00F4066D"/>
    <w:rsid w:val="00F42E0E"/>
    <w:rsid w:val="00F43E0C"/>
    <w:rsid w:val="00F44B62"/>
    <w:rsid w:val="00F44FBB"/>
    <w:rsid w:val="00F5072C"/>
    <w:rsid w:val="00F5141E"/>
    <w:rsid w:val="00F518FE"/>
    <w:rsid w:val="00F51CBF"/>
    <w:rsid w:val="00F526D5"/>
    <w:rsid w:val="00F528F4"/>
    <w:rsid w:val="00F5389D"/>
    <w:rsid w:val="00F5411D"/>
    <w:rsid w:val="00F546CF"/>
    <w:rsid w:val="00F56D2B"/>
    <w:rsid w:val="00F57D2D"/>
    <w:rsid w:val="00F606D8"/>
    <w:rsid w:val="00F62A49"/>
    <w:rsid w:val="00F62B47"/>
    <w:rsid w:val="00F64DCE"/>
    <w:rsid w:val="00F64F0D"/>
    <w:rsid w:val="00F7026A"/>
    <w:rsid w:val="00F71826"/>
    <w:rsid w:val="00F72B45"/>
    <w:rsid w:val="00F7335E"/>
    <w:rsid w:val="00F73B00"/>
    <w:rsid w:val="00F75EE7"/>
    <w:rsid w:val="00F764EE"/>
    <w:rsid w:val="00F813D3"/>
    <w:rsid w:val="00F84737"/>
    <w:rsid w:val="00F855ED"/>
    <w:rsid w:val="00F87B69"/>
    <w:rsid w:val="00F90C95"/>
    <w:rsid w:val="00F9103E"/>
    <w:rsid w:val="00F95923"/>
    <w:rsid w:val="00F96A39"/>
    <w:rsid w:val="00F96DB3"/>
    <w:rsid w:val="00F97463"/>
    <w:rsid w:val="00FA15DD"/>
    <w:rsid w:val="00FA1B41"/>
    <w:rsid w:val="00FA44B6"/>
    <w:rsid w:val="00FA4B50"/>
    <w:rsid w:val="00FA4DC6"/>
    <w:rsid w:val="00FA5D99"/>
    <w:rsid w:val="00FA6A18"/>
    <w:rsid w:val="00FB030E"/>
    <w:rsid w:val="00FB0E06"/>
    <w:rsid w:val="00FB571F"/>
    <w:rsid w:val="00FB74FA"/>
    <w:rsid w:val="00FC42BA"/>
    <w:rsid w:val="00FC6166"/>
    <w:rsid w:val="00FC77BB"/>
    <w:rsid w:val="00FD08C1"/>
    <w:rsid w:val="00FD2C54"/>
    <w:rsid w:val="00FD712F"/>
    <w:rsid w:val="00FD7A7A"/>
    <w:rsid w:val="00FE10C1"/>
    <w:rsid w:val="00FE190E"/>
    <w:rsid w:val="00FE20A9"/>
    <w:rsid w:val="00FE48A9"/>
    <w:rsid w:val="00FE4970"/>
    <w:rsid w:val="00FF08B7"/>
    <w:rsid w:val="00FF12B8"/>
    <w:rsid w:val="00FF171B"/>
    <w:rsid w:val="00FF2CEA"/>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C. Caption"/>
    <w:basedOn w:val="Normal"/>
    <w:next w:val="Normal"/>
    <w:link w:val="CaptionChar"/>
    <w:autoRedefine/>
    <w:unhideWhenUsed/>
    <w:qFormat/>
    <w:rsid w:val="00042677"/>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042677"/>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A07E3E"/>
    <w:rPr>
      <w:b/>
      <w:sz w:val="20"/>
      <w:szCs w:val="20"/>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PR1"/>
    <w:rsid w:val="009F4CFA"/>
    <w:pPr>
      <w:numPr>
        <w:ilvl w:val="1"/>
        <w:numId w:val="19"/>
      </w:numPr>
      <w:suppressAutoHyphens/>
      <w:spacing w:before="240" w:after="0" w:line="240" w:lineRule="auto"/>
      <w:outlineLvl w:val="1"/>
    </w:pPr>
    <w:rPr>
      <w:rFonts w:ascii="Arial" w:eastAsia="Batang" w:hAnsi="Arial" w:cs="Times New Roman"/>
      <w:b/>
      <w:caps/>
      <w:sz w:val="20"/>
      <w:szCs w:val="20"/>
    </w:rPr>
  </w:style>
  <w:style w:type="paragraph" w:customStyle="1" w:styleId="PR1">
    <w:name w:val="PR1"/>
    <w:basedOn w:val="ART"/>
    <w:rsid w:val="009F4CFA"/>
    <w:pPr>
      <w:numPr>
        <w:ilvl w:val="2"/>
      </w:numPr>
      <w:outlineLvl w:val="2"/>
    </w:pPr>
    <w:rPr>
      <w:b w:val="0"/>
      <w:caps w:val="0"/>
    </w:rPr>
  </w:style>
  <w:style w:type="paragraph" w:customStyle="1" w:styleId="PR2">
    <w:name w:val="PR2"/>
    <w:basedOn w:val="PR1"/>
    <w:rsid w:val="009F4CFA"/>
    <w:pPr>
      <w:numPr>
        <w:ilvl w:val="3"/>
      </w:numPr>
      <w:spacing w:before="0"/>
      <w:outlineLvl w:val="3"/>
    </w:pPr>
  </w:style>
  <w:style w:type="paragraph" w:customStyle="1" w:styleId="PR3">
    <w:name w:val="PR3"/>
    <w:basedOn w:val="PR1"/>
    <w:rsid w:val="009F4CFA"/>
    <w:pPr>
      <w:numPr>
        <w:ilvl w:val="4"/>
      </w:numPr>
      <w:spacing w:before="0"/>
      <w:outlineLvl w:val="4"/>
    </w:pPr>
  </w:style>
  <w:style w:type="paragraph" w:customStyle="1" w:styleId="PR4">
    <w:name w:val="PR4"/>
    <w:basedOn w:val="PR1"/>
    <w:rsid w:val="009F4CFA"/>
    <w:pPr>
      <w:numPr>
        <w:ilvl w:val="5"/>
      </w:numPr>
      <w:tabs>
        <w:tab w:val="left" w:pos="2448"/>
      </w:tabs>
      <w:spacing w:before="0"/>
      <w:outlineLvl w:val="5"/>
    </w:pPr>
  </w:style>
  <w:style w:type="paragraph" w:customStyle="1" w:styleId="PR5">
    <w:name w:val="PR5"/>
    <w:basedOn w:val="PR1"/>
    <w:rsid w:val="009F4CFA"/>
    <w:pPr>
      <w:numPr>
        <w:ilvl w:val="6"/>
      </w:numPr>
      <w:spacing w:before="0"/>
      <w:outlineLvl w:val="6"/>
    </w:pPr>
  </w:style>
  <w:style w:type="paragraph" w:customStyle="1" w:styleId="PR6">
    <w:name w:val="PR6"/>
    <w:basedOn w:val="PR1"/>
    <w:rsid w:val="009F4CFA"/>
    <w:pPr>
      <w:numPr>
        <w:ilvl w:val="7"/>
      </w:numPr>
      <w:tabs>
        <w:tab w:val="left" w:pos="3744"/>
      </w:tabs>
      <w:spacing w:before="0"/>
      <w:outlineLvl w:val="7"/>
    </w:pPr>
  </w:style>
  <w:style w:type="paragraph" w:customStyle="1" w:styleId="PR7">
    <w:name w:val="PR7"/>
    <w:basedOn w:val="PR6"/>
    <w:rsid w:val="009F4CFA"/>
    <w:pPr>
      <w:numPr>
        <w:ilvl w:val="8"/>
      </w:numPr>
      <w:tabs>
        <w:tab w:val="left" w:pos="4464"/>
      </w:tabs>
    </w:pPr>
  </w:style>
  <w:style w:type="paragraph" w:customStyle="1" w:styleId="FIG">
    <w:name w:val="FIG"/>
    <w:rsid w:val="009F4CFA"/>
    <w:pPr>
      <w:numPr>
        <w:numId w:val="20"/>
      </w:numPr>
    </w:pPr>
    <w:rPr>
      <w:rFonts w:ascii="Arial" w:eastAsia="Batang" w:hAnsi="Arial" w:cs="Times New Roman"/>
      <w:b/>
      <w:sz w:val="20"/>
      <w:szCs w:val="20"/>
    </w:rPr>
  </w:style>
  <w:style w:type="paragraph" w:customStyle="1" w:styleId="WPSCT">
    <w:name w:val="WPSCT"/>
    <w:basedOn w:val="Normal"/>
    <w:next w:val="ART"/>
    <w:rsid w:val="009F4CFA"/>
    <w:pPr>
      <w:numPr>
        <w:numId w:val="19"/>
      </w:numPr>
      <w:suppressAutoHyphens/>
      <w:spacing w:before="240" w:after="0" w:line="240" w:lineRule="auto"/>
      <w:outlineLvl w:val="0"/>
    </w:pPr>
    <w:rPr>
      <w:rFonts w:ascii="Arial" w:eastAsia="Batang" w:hAnsi="Arial" w:cs="Times New Roman"/>
      <w:b/>
      <w:caps/>
      <w:sz w:val="20"/>
      <w:szCs w:val="20"/>
    </w:rPr>
  </w:style>
  <w:style w:type="paragraph" w:styleId="ListBullet2">
    <w:name w:val="List Bullet 2"/>
    <w:basedOn w:val="Normal"/>
    <w:rsid w:val="009F4CFA"/>
    <w:pPr>
      <w:tabs>
        <w:tab w:val="num" w:pos="720"/>
      </w:tabs>
      <w:spacing w:before="0" w:after="0" w:line="240" w:lineRule="auto"/>
      <w:ind w:left="720" w:hanging="360"/>
    </w:pPr>
    <w:rPr>
      <w:rFonts w:ascii="Times New Roman" w:eastAsia="Batang" w:hAnsi="Times New Roman" w:cs="Times New Roman"/>
      <w:sz w:val="24"/>
    </w:rPr>
  </w:style>
  <w:style w:type="paragraph" w:customStyle="1" w:styleId="TBL">
    <w:name w:val="TBL"/>
    <w:rsid w:val="009F4CFA"/>
    <w:pPr>
      <w:numPr>
        <w:numId w:val="22"/>
      </w:numPr>
      <w:spacing w:before="120" w:after="120"/>
      <w:jc w:val="center"/>
    </w:pPr>
    <w:rPr>
      <w:rFonts w:ascii="Arial" w:eastAsia="Batang" w:hAnsi="Arial" w:cs="Times New Roman"/>
      <w:b/>
      <w:sz w:val="20"/>
      <w:szCs w:val="20"/>
    </w:rPr>
  </w:style>
  <w:style w:type="paragraph" w:customStyle="1" w:styleId="WPPR1">
    <w:name w:val="WPPR1"/>
    <w:basedOn w:val="PR1"/>
    <w:rsid w:val="00933919"/>
    <w:pPr>
      <w:numPr>
        <w:numId w:val="1"/>
      </w:numPr>
    </w:pPr>
  </w:style>
  <w:style w:type="paragraph" w:customStyle="1" w:styleId="WPART">
    <w:name w:val="WPART"/>
    <w:basedOn w:val="ART"/>
    <w:rsid w:val="00933919"/>
    <w:pPr>
      <w:numPr>
        <w:numId w:val="1"/>
      </w:numPr>
    </w:pPr>
  </w:style>
  <w:style w:type="character" w:styleId="Emphasis">
    <w:name w:val="Emphasis"/>
    <w:basedOn w:val="DefaultParagraphFont"/>
    <w:uiPriority w:val="20"/>
    <w:qFormat/>
    <w:rsid w:val="003372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49194">
      <w:bodyDiv w:val="1"/>
      <w:marLeft w:val="0"/>
      <w:marRight w:val="0"/>
      <w:marTop w:val="0"/>
      <w:marBottom w:val="0"/>
      <w:divBdr>
        <w:top w:val="none" w:sz="0" w:space="0" w:color="auto"/>
        <w:left w:val="none" w:sz="0" w:space="0" w:color="auto"/>
        <w:bottom w:val="none" w:sz="0" w:space="0" w:color="auto"/>
        <w:right w:val="none" w:sz="0" w:space="0" w:color="auto"/>
      </w:divBdr>
    </w:div>
    <w:div w:id="272908312">
      <w:bodyDiv w:val="1"/>
      <w:marLeft w:val="0"/>
      <w:marRight w:val="0"/>
      <w:marTop w:val="0"/>
      <w:marBottom w:val="0"/>
      <w:divBdr>
        <w:top w:val="none" w:sz="0" w:space="0" w:color="auto"/>
        <w:left w:val="none" w:sz="0" w:space="0" w:color="auto"/>
        <w:bottom w:val="none" w:sz="0" w:space="0" w:color="auto"/>
        <w:right w:val="none" w:sz="0" w:space="0" w:color="auto"/>
      </w:divBdr>
    </w:div>
    <w:div w:id="667291851">
      <w:bodyDiv w:val="1"/>
      <w:marLeft w:val="0"/>
      <w:marRight w:val="0"/>
      <w:marTop w:val="0"/>
      <w:marBottom w:val="0"/>
      <w:divBdr>
        <w:top w:val="none" w:sz="0" w:space="0" w:color="auto"/>
        <w:left w:val="none" w:sz="0" w:space="0" w:color="auto"/>
        <w:bottom w:val="none" w:sz="0" w:space="0" w:color="auto"/>
        <w:right w:val="none" w:sz="0" w:space="0" w:color="auto"/>
      </w:divBdr>
    </w:div>
    <w:div w:id="99067114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269C43200386408AC2A68E8FD10541" ma:contentTypeVersion="12" ma:contentTypeDescription="Create a new document." ma:contentTypeScope="" ma:versionID="b2658039a5d179096797f7d7b5d33c51">
  <xsd:schema xmlns:xsd="http://www.w3.org/2001/XMLSchema" xmlns:xs="http://www.w3.org/2001/XMLSchema" xmlns:p="http://schemas.microsoft.com/office/2006/metadata/properties" xmlns:ns3="fc52014f-2c81-4c4b-91d9-ff60d45d638d" xmlns:ns4="cc73b508-dacc-41de-a31c-846a24ac3052" targetNamespace="http://schemas.microsoft.com/office/2006/metadata/properties" ma:root="true" ma:fieldsID="a5bde676db64bd762f1e0b53f5596d30" ns3:_="" ns4:_="">
    <xsd:import namespace="fc52014f-2c81-4c4b-91d9-ff60d45d638d"/>
    <xsd:import namespace="cc73b508-dacc-41de-a31c-846a24ac30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2014f-2c81-4c4b-91d9-ff60d45d6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73b508-dacc-41de-a31c-846a24ac305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1D455-23EA-4118-AC27-8892B99FF5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0656A1-1D95-4B75-B476-3E913D449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2014f-2c81-4c4b-91d9-ff60d45d638d"/>
    <ds:schemaRef ds:uri="cc73b508-dacc-41de-a31c-846a24ac3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2D4B20-4C81-42F1-9536-909544AF417E}">
  <ds:schemaRefs>
    <ds:schemaRef ds:uri="http://schemas.microsoft.com/sharepoint/v3/contenttype/forms"/>
  </ds:schemaRefs>
</ds:datastoreItem>
</file>

<file path=customXml/itemProps4.xml><?xml version="1.0" encoding="utf-8"?>
<ds:datastoreItem xmlns:ds="http://schemas.openxmlformats.org/officeDocument/2006/customXml" ds:itemID="{0C8EE9BC-F02E-4943-8042-2F8BC93D9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TotalTime>
  <Pages>15</Pages>
  <Words>3373</Words>
  <Characters>19227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SWWH001-02 Wall Furnace Residential</vt:lpstr>
    </vt:vector>
  </TitlesOfParts>
  <Manager/>
  <Company/>
  <LinksUpToDate>false</LinksUpToDate>
  <CharactersWithSpaces>22555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SWWH001-02 Wall Furnace Residential</dc:title>
  <dc:subject/>
  <dc:creator>Jennifer Holmes</dc:creator>
  <cp:keywords/>
  <dc:description/>
  <cp:lastModifiedBy>Hla, Soe</cp:lastModifiedBy>
  <cp:revision>3</cp:revision>
  <cp:lastPrinted>2021-07-20T10:58:00Z</cp:lastPrinted>
  <dcterms:created xsi:type="dcterms:W3CDTF">2021-07-20T10:56:00Z</dcterms:created>
  <dcterms:modified xsi:type="dcterms:W3CDTF">2021-07-20T10:58:00Z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0x0101002C269C43200386408AC2A68E8FD10541</vt:lpwstr>
  </property>
</Properties>
</file>