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5B80E"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4CB6C6CD" w14:textId="77777777" w:rsidTr="00BD221D">
        <w:trPr>
          <w:cantSplit/>
          <w:trHeight w:hRule="exact" w:val="1440"/>
          <w:jc w:val="right"/>
        </w:trPr>
        <w:tc>
          <w:tcPr>
            <w:tcW w:w="9000" w:type="dxa"/>
            <w:shd w:val="clear" w:color="auto" w:fill="8DC63F"/>
            <w:vAlign w:val="center"/>
          </w:tcPr>
          <w:p w14:paraId="1FA2CF93" w14:textId="77777777" w:rsidR="00BD221D" w:rsidRPr="000110D9" w:rsidRDefault="004B0EDC" w:rsidP="00CD7337">
            <w:pPr>
              <w:pStyle w:val="eTRMHeading1"/>
            </w:pPr>
            <w:r w:rsidRPr="00CD7337">
              <w:t>Food Servic</w:t>
            </w:r>
            <w:r w:rsidR="00BD221D" w:rsidRPr="00CD7337">
              <w:t>E</w:t>
            </w:r>
          </w:p>
          <w:p w14:paraId="4401EFC0" w14:textId="77777777" w:rsidR="00BD221D" w:rsidRPr="00DE0251" w:rsidRDefault="008C08C6" w:rsidP="00CD7337">
            <w:pPr>
              <w:pStyle w:val="eTRMHeading2"/>
              <w:rPr>
                <w:spacing w:val="60"/>
              </w:rPr>
            </w:pPr>
            <w:r w:rsidRPr="00DE0251">
              <w:rPr>
                <w:spacing w:val="60"/>
              </w:rPr>
              <w:t>Commercial Hand Wrap Machine</w:t>
            </w:r>
          </w:p>
          <w:p w14:paraId="19577F2E" w14:textId="77777777" w:rsidR="00CD7337" w:rsidRPr="00CD7337" w:rsidRDefault="00CD7337" w:rsidP="00CD7337">
            <w:pPr>
              <w:pStyle w:val="eTRMHeading2"/>
              <w:rPr>
                <w:spacing w:val="0"/>
              </w:rPr>
            </w:pPr>
            <w:r w:rsidRPr="00CD7337">
              <w:rPr>
                <w:spacing w:val="0"/>
                <w:sz w:val="28"/>
              </w:rPr>
              <w:t>SWFS010-01</w:t>
            </w:r>
          </w:p>
        </w:tc>
      </w:tr>
    </w:tbl>
    <w:p w14:paraId="1AF57E11" w14:textId="77777777" w:rsidR="00BD221D" w:rsidRDefault="00BD221D" w:rsidP="00BD221D"/>
    <w:p w14:paraId="56F2129D" w14:textId="77777777" w:rsidR="00D12B8C" w:rsidRPr="00E14349" w:rsidRDefault="007E1F66" w:rsidP="0053748E">
      <w:pPr>
        <w:jc w:val="center"/>
        <w:rPr>
          <w:spacing w:val="80"/>
          <w:sz w:val="28"/>
        </w:rPr>
      </w:pPr>
      <w:r w:rsidRPr="00E14349">
        <w:rPr>
          <w:spacing w:val="80"/>
          <w:sz w:val="28"/>
        </w:rPr>
        <w:t>CONTENTS</w:t>
      </w:r>
    </w:p>
    <w:p w14:paraId="1FC0F2F8" w14:textId="1EB91A55" w:rsidR="00946FD6" w:rsidRDefault="00116EA1">
      <w:pPr>
        <w:pStyle w:val="TOC3"/>
        <w:rPr>
          <w:rFonts w:asciiTheme="minorHAnsi" w:hAnsiTheme="minorHAnsi"/>
          <w:noProof/>
          <w:szCs w:val="22"/>
        </w:rPr>
      </w:pPr>
      <w:r>
        <w:fldChar w:fldCharType="begin"/>
      </w:r>
      <w:r w:rsidR="001C6C9B">
        <w:instrText xml:space="preserve"> TOC \t "eTRM Heading 3,3" </w:instrText>
      </w:r>
      <w:r>
        <w:fldChar w:fldCharType="separate"/>
      </w:r>
      <w:r w:rsidR="00946FD6">
        <w:rPr>
          <w:noProof/>
        </w:rPr>
        <w:t>Measure Name</w:t>
      </w:r>
      <w:r w:rsidR="00946FD6">
        <w:rPr>
          <w:noProof/>
        </w:rPr>
        <w:tab/>
      </w:r>
      <w:r w:rsidR="00946FD6">
        <w:rPr>
          <w:noProof/>
        </w:rPr>
        <w:fldChar w:fldCharType="begin"/>
      </w:r>
      <w:r w:rsidR="00946FD6">
        <w:rPr>
          <w:noProof/>
        </w:rPr>
        <w:instrText xml:space="preserve"> PAGEREF _Toc528683999 \h </w:instrText>
      </w:r>
      <w:r w:rsidR="00946FD6">
        <w:rPr>
          <w:noProof/>
        </w:rPr>
      </w:r>
      <w:r w:rsidR="00946FD6">
        <w:rPr>
          <w:noProof/>
        </w:rPr>
        <w:fldChar w:fldCharType="separate"/>
      </w:r>
      <w:r w:rsidR="00E1205F">
        <w:rPr>
          <w:noProof/>
        </w:rPr>
        <w:t>2</w:t>
      </w:r>
      <w:r w:rsidR="00946FD6">
        <w:rPr>
          <w:noProof/>
        </w:rPr>
        <w:fldChar w:fldCharType="end"/>
      </w:r>
    </w:p>
    <w:p w14:paraId="4835D714" w14:textId="693A3AD0" w:rsidR="00946FD6" w:rsidRDefault="00946FD6">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_Toc528684000 \h </w:instrText>
      </w:r>
      <w:r>
        <w:rPr>
          <w:noProof/>
        </w:rPr>
      </w:r>
      <w:r>
        <w:rPr>
          <w:noProof/>
        </w:rPr>
        <w:fldChar w:fldCharType="separate"/>
      </w:r>
      <w:r w:rsidR="00E1205F">
        <w:rPr>
          <w:noProof/>
        </w:rPr>
        <w:t>2</w:t>
      </w:r>
      <w:r>
        <w:rPr>
          <w:noProof/>
        </w:rPr>
        <w:fldChar w:fldCharType="end"/>
      </w:r>
    </w:p>
    <w:p w14:paraId="548902F1" w14:textId="66F0FE9A" w:rsidR="00946FD6" w:rsidRDefault="00946FD6">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_Toc528684001 \h </w:instrText>
      </w:r>
      <w:r>
        <w:rPr>
          <w:noProof/>
        </w:rPr>
      </w:r>
      <w:r>
        <w:rPr>
          <w:noProof/>
        </w:rPr>
        <w:fldChar w:fldCharType="separate"/>
      </w:r>
      <w:r w:rsidR="00E1205F">
        <w:rPr>
          <w:noProof/>
        </w:rPr>
        <w:t>2</w:t>
      </w:r>
      <w:r>
        <w:rPr>
          <w:noProof/>
        </w:rPr>
        <w:fldChar w:fldCharType="end"/>
      </w:r>
    </w:p>
    <w:p w14:paraId="2742A7E0" w14:textId="10035696" w:rsidR="00946FD6" w:rsidRDefault="00946FD6">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_Toc528684002 \h </w:instrText>
      </w:r>
      <w:r>
        <w:rPr>
          <w:noProof/>
        </w:rPr>
      </w:r>
      <w:r>
        <w:rPr>
          <w:noProof/>
        </w:rPr>
        <w:fldChar w:fldCharType="separate"/>
      </w:r>
      <w:r w:rsidR="00E1205F">
        <w:rPr>
          <w:noProof/>
        </w:rPr>
        <w:t>2</w:t>
      </w:r>
      <w:r>
        <w:rPr>
          <w:noProof/>
        </w:rPr>
        <w:fldChar w:fldCharType="end"/>
      </w:r>
    </w:p>
    <w:p w14:paraId="432F0B6D" w14:textId="65927A6F" w:rsidR="00946FD6" w:rsidRDefault="00946FD6">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_Toc528684003 \h </w:instrText>
      </w:r>
      <w:r>
        <w:rPr>
          <w:noProof/>
        </w:rPr>
      </w:r>
      <w:r>
        <w:rPr>
          <w:noProof/>
        </w:rPr>
        <w:fldChar w:fldCharType="separate"/>
      </w:r>
      <w:r w:rsidR="00E1205F">
        <w:rPr>
          <w:noProof/>
        </w:rPr>
        <w:t>3</w:t>
      </w:r>
      <w:r>
        <w:rPr>
          <w:noProof/>
        </w:rPr>
        <w:fldChar w:fldCharType="end"/>
      </w:r>
    </w:p>
    <w:p w14:paraId="7ED62046" w14:textId="40086A23" w:rsidR="00946FD6" w:rsidRDefault="00946FD6">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_Toc528684004 \h </w:instrText>
      </w:r>
      <w:r>
        <w:rPr>
          <w:noProof/>
        </w:rPr>
      </w:r>
      <w:r>
        <w:rPr>
          <w:noProof/>
        </w:rPr>
        <w:fldChar w:fldCharType="separate"/>
      </w:r>
      <w:r w:rsidR="00E1205F">
        <w:rPr>
          <w:noProof/>
        </w:rPr>
        <w:t>3</w:t>
      </w:r>
      <w:r>
        <w:rPr>
          <w:noProof/>
        </w:rPr>
        <w:fldChar w:fldCharType="end"/>
      </w:r>
    </w:p>
    <w:p w14:paraId="77A108CD" w14:textId="31506036" w:rsidR="00946FD6" w:rsidRDefault="00946FD6">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_Toc528684005 \h </w:instrText>
      </w:r>
      <w:r>
        <w:rPr>
          <w:noProof/>
        </w:rPr>
      </w:r>
      <w:r>
        <w:rPr>
          <w:noProof/>
        </w:rPr>
        <w:fldChar w:fldCharType="separate"/>
      </w:r>
      <w:r w:rsidR="00E1205F">
        <w:rPr>
          <w:noProof/>
        </w:rPr>
        <w:t>3</w:t>
      </w:r>
      <w:r>
        <w:rPr>
          <w:noProof/>
        </w:rPr>
        <w:fldChar w:fldCharType="end"/>
      </w:r>
    </w:p>
    <w:p w14:paraId="77DB858C" w14:textId="38FA6F87" w:rsidR="00946FD6" w:rsidRDefault="00946FD6">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_Toc528684006 \h </w:instrText>
      </w:r>
      <w:r>
        <w:rPr>
          <w:noProof/>
        </w:rPr>
      </w:r>
      <w:r>
        <w:rPr>
          <w:noProof/>
        </w:rPr>
        <w:fldChar w:fldCharType="separate"/>
      </w:r>
      <w:r w:rsidR="00E1205F">
        <w:rPr>
          <w:noProof/>
        </w:rPr>
        <w:t>3</w:t>
      </w:r>
      <w:r>
        <w:rPr>
          <w:noProof/>
        </w:rPr>
        <w:fldChar w:fldCharType="end"/>
      </w:r>
    </w:p>
    <w:p w14:paraId="3B9F4D69" w14:textId="4DEABB5D" w:rsidR="00946FD6" w:rsidRDefault="00946FD6">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_Toc528684007 \h </w:instrText>
      </w:r>
      <w:r>
        <w:rPr>
          <w:noProof/>
        </w:rPr>
      </w:r>
      <w:r>
        <w:rPr>
          <w:noProof/>
        </w:rPr>
        <w:fldChar w:fldCharType="separate"/>
      </w:r>
      <w:r w:rsidR="00E1205F">
        <w:rPr>
          <w:noProof/>
        </w:rPr>
        <w:t>4</w:t>
      </w:r>
      <w:r>
        <w:rPr>
          <w:noProof/>
        </w:rPr>
        <w:fldChar w:fldCharType="end"/>
      </w:r>
    </w:p>
    <w:p w14:paraId="6969913B" w14:textId="6C6D9FA8" w:rsidR="00946FD6" w:rsidRDefault="00946FD6">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_Toc528684008 \h </w:instrText>
      </w:r>
      <w:r>
        <w:rPr>
          <w:noProof/>
        </w:rPr>
      </w:r>
      <w:r>
        <w:rPr>
          <w:noProof/>
        </w:rPr>
        <w:fldChar w:fldCharType="separate"/>
      </w:r>
      <w:r w:rsidR="00E1205F">
        <w:rPr>
          <w:noProof/>
        </w:rPr>
        <w:t>4</w:t>
      </w:r>
      <w:r>
        <w:rPr>
          <w:noProof/>
        </w:rPr>
        <w:fldChar w:fldCharType="end"/>
      </w:r>
    </w:p>
    <w:p w14:paraId="11F56758" w14:textId="5181DD4A" w:rsidR="00946FD6" w:rsidRDefault="00946FD6">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_Toc528684009 \h </w:instrText>
      </w:r>
      <w:r>
        <w:rPr>
          <w:noProof/>
        </w:rPr>
      </w:r>
      <w:r>
        <w:rPr>
          <w:noProof/>
        </w:rPr>
        <w:fldChar w:fldCharType="separate"/>
      </w:r>
      <w:r w:rsidR="00E1205F">
        <w:rPr>
          <w:noProof/>
        </w:rPr>
        <w:t>5</w:t>
      </w:r>
      <w:r>
        <w:rPr>
          <w:noProof/>
        </w:rPr>
        <w:fldChar w:fldCharType="end"/>
      </w:r>
    </w:p>
    <w:p w14:paraId="0E8A4575" w14:textId="41E52807" w:rsidR="00946FD6" w:rsidRDefault="00946FD6">
      <w:pPr>
        <w:pStyle w:val="TOC3"/>
        <w:rPr>
          <w:rFonts w:asciiTheme="minorHAnsi" w:hAnsiTheme="minorHAnsi"/>
          <w:noProof/>
          <w:szCs w:val="22"/>
        </w:rPr>
      </w:pPr>
      <w:r>
        <w:rPr>
          <w:noProof/>
        </w:rPr>
        <w:t>Electric Savings (</w:t>
      </w:r>
      <w:r w:rsidRPr="00E53603">
        <w:rPr>
          <w:noProof/>
        </w:rPr>
        <w:t>k</w:t>
      </w:r>
      <w:r>
        <w:rPr>
          <w:noProof/>
        </w:rPr>
        <w:t>W</w:t>
      </w:r>
      <w:r w:rsidRPr="00E53603">
        <w:rPr>
          <w:noProof/>
        </w:rPr>
        <w:t>h</w:t>
      </w:r>
      <w:r>
        <w:rPr>
          <w:noProof/>
        </w:rPr>
        <w:t>)</w:t>
      </w:r>
      <w:r>
        <w:rPr>
          <w:noProof/>
        </w:rPr>
        <w:tab/>
      </w:r>
      <w:r>
        <w:rPr>
          <w:noProof/>
        </w:rPr>
        <w:fldChar w:fldCharType="begin"/>
      </w:r>
      <w:r>
        <w:rPr>
          <w:noProof/>
        </w:rPr>
        <w:instrText xml:space="preserve"> PAGEREF _Toc528684010 \h </w:instrText>
      </w:r>
      <w:r>
        <w:rPr>
          <w:noProof/>
        </w:rPr>
      </w:r>
      <w:r>
        <w:rPr>
          <w:noProof/>
        </w:rPr>
        <w:fldChar w:fldCharType="separate"/>
      </w:r>
      <w:r w:rsidR="00E1205F">
        <w:rPr>
          <w:noProof/>
        </w:rPr>
        <w:t>5</w:t>
      </w:r>
      <w:r>
        <w:rPr>
          <w:noProof/>
        </w:rPr>
        <w:fldChar w:fldCharType="end"/>
      </w:r>
    </w:p>
    <w:p w14:paraId="69974C9A" w14:textId="415C074F" w:rsidR="00946FD6" w:rsidRDefault="00946FD6">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_Toc528684011 \h </w:instrText>
      </w:r>
      <w:r>
        <w:rPr>
          <w:noProof/>
        </w:rPr>
      </w:r>
      <w:r>
        <w:rPr>
          <w:noProof/>
        </w:rPr>
        <w:fldChar w:fldCharType="separate"/>
      </w:r>
      <w:r w:rsidR="00E1205F">
        <w:rPr>
          <w:noProof/>
        </w:rPr>
        <w:t>5</w:t>
      </w:r>
      <w:r>
        <w:rPr>
          <w:noProof/>
        </w:rPr>
        <w:fldChar w:fldCharType="end"/>
      </w:r>
    </w:p>
    <w:p w14:paraId="6C62AB80" w14:textId="1A6C1A60" w:rsidR="00946FD6" w:rsidRDefault="00946FD6">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_Toc528684012 \h </w:instrText>
      </w:r>
      <w:r>
        <w:rPr>
          <w:noProof/>
        </w:rPr>
      </w:r>
      <w:r>
        <w:rPr>
          <w:noProof/>
        </w:rPr>
        <w:fldChar w:fldCharType="separate"/>
      </w:r>
      <w:r w:rsidR="00E1205F">
        <w:rPr>
          <w:noProof/>
        </w:rPr>
        <w:t>5</w:t>
      </w:r>
      <w:r>
        <w:rPr>
          <w:noProof/>
        </w:rPr>
        <w:fldChar w:fldCharType="end"/>
      </w:r>
    </w:p>
    <w:p w14:paraId="205A3B7F" w14:textId="6D5ECC55" w:rsidR="00946FD6" w:rsidRDefault="00946FD6">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_Toc528684013 \h </w:instrText>
      </w:r>
      <w:r>
        <w:rPr>
          <w:noProof/>
        </w:rPr>
      </w:r>
      <w:r>
        <w:rPr>
          <w:noProof/>
        </w:rPr>
        <w:fldChar w:fldCharType="separate"/>
      </w:r>
      <w:r w:rsidR="00E1205F">
        <w:rPr>
          <w:noProof/>
        </w:rPr>
        <w:t>6</w:t>
      </w:r>
      <w:r>
        <w:rPr>
          <w:noProof/>
        </w:rPr>
        <w:fldChar w:fldCharType="end"/>
      </w:r>
    </w:p>
    <w:p w14:paraId="40A9437D" w14:textId="54E3B36A" w:rsidR="00946FD6" w:rsidRDefault="00946FD6">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_Toc528684014 \h </w:instrText>
      </w:r>
      <w:r>
        <w:rPr>
          <w:noProof/>
        </w:rPr>
      </w:r>
      <w:r>
        <w:rPr>
          <w:noProof/>
        </w:rPr>
        <w:fldChar w:fldCharType="separate"/>
      </w:r>
      <w:r w:rsidR="00E1205F">
        <w:rPr>
          <w:noProof/>
        </w:rPr>
        <w:t>6</w:t>
      </w:r>
      <w:r>
        <w:rPr>
          <w:noProof/>
        </w:rPr>
        <w:fldChar w:fldCharType="end"/>
      </w:r>
    </w:p>
    <w:p w14:paraId="388EEFC6" w14:textId="06C8A5DD" w:rsidR="00946FD6" w:rsidRDefault="00946FD6">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_Toc528684015 \h </w:instrText>
      </w:r>
      <w:r>
        <w:rPr>
          <w:noProof/>
        </w:rPr>
      </w:r>
      <w:r>
        <w:rPr>
          <w:noProof/>
        </w:rPr>
        <w:fldChar w:fldCharType="separate"/>
      </w:r>
      <w:r w:rsidR="00E1205F">
        <w:rPr>
          <w:noProof/>
        </w:rPr>
        <w:t>6</w:t>
      </w:r>
      <w:r>
        <w:rPr>
          <w:noProof/>
        </w:rPr>
        <w:fldChar w:fldCharType="end"/>
      </w:r>
    </w:p>
    <w:p w14:paraId="5E913ED8" w14:textId="565AF997" w:rsidR="00946FD6" w:rsidRDefault="00946FD6">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_Toc528684016 \h </w:instrText>
      </w:r>
      <w:r>
        <w:rPr>
          <w:noProof/>
        </w:rPr>
      </w:r>
      <w:r>
        <w:rPr>
          <w:noProof/>
        </w:rPr>
        <w:fldChar w:fldCharType="separate"/>
      </w:r>
      <w:r w:rsidR="00E1205F">
        <w:rPr>
          <w:noProof/>
        </w:rPr>
        <w:t>6</w:t>
      </w:r>
      <w:r>
        <w:rPr>
          <w:noProof/>
        </w:rPr>
        <w:fldChar w:fldCharType="end"/>
      </w:r>
    </w:p>
    <w:p w14:paraId="0524BBFD" w14:textId="7C46505B" w:rsidR="00946FD6" w:rsidRDefault="00946FD6">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_Toc528684017 \h </w:instrText>
      </w:r>
      <w:r>
        <w:rPr>
          <w:noProof/>
        </w:rPr>
      </w:r>
      <w:r>
        <w:rPr>
          <w:noProof/>
        </w:rPr>
        <w:fldChar w:fldCharType="separate"/>
      </w:r>
      <w:r w:rsidR="00E1205F">
        <w:rPr>
          <w:noProof/>
        </w:rPr>
        <w:t>7</w:t>
      </w:r>
      <w:r>
        <w:rPr>
          <w:noProof/>
        </w:rPr>
        <w:fldChar w:fldCharType="end"/>
      </w:r>
    </w:p>
    <w:p w14:paraId="6D4C9261" w14:textId="11EABDBB" w:rsidR="00946FD6" w:rsidRDefault="00946FD6">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_Toc528684018 \h </w:instrText>
      </w:r>
      <w:r>
        <w:rPr>
          <w:noProof/>
        </w:rPr>
      </w:r>
      <w:r>
        <w:rPr>
          <w:noProof/>
        </w:rPr>
        <w:fldChar w:fldCharType="separate"/>
      </w:r>
      <w:r w:rsidR="00E1205F">
        <w:rPr>
          <w:noProof/>
        </w:rPr>
        <w:t>7</w:t>
      </w:r>
      <w:r>
        <w:rPr>
          <w:noProof/>
        </w:rPr>
        <w:fldChar w:fldCharType="end"/>
      </w:r>
    </w:p>
    <w:p w14:paraId="2D98794B" w14:textId="67ECF407" w:rsidR="00946FD6" w:rsidRDefault="00946FD6">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_Toc528684019 \h </w:instrText>
      </w:r>
      <w:r>
        <w:rPr>
          <w:noProof/>
        </w:rPr>
      </w:r>
      <w:r>
        <w:rPr>
          <w:noProof/>
        </w:rPr>
        <w:fldChar w:fldCharType="separate"/>
      </w:r>
      <w:r w:rsidR="00E1205F">
        <w:rPr>
          <w:noProof/>
        </w:rPr>
        <w:t>7</w:t>
      </w:r>
      <w:r>
        <w:rPr>
          <w:noProof/>
        </w:rPr>
        <w:fldChar w:fldCharType="end"/>
      </w:r>
    </w:p>
    <w:p w14:paraId="4D71F502" w14:textId="17ABFE8C" w:rsidR="00946FD6" w:rsidRDefault="00946FD6">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_Toc528684020 \h </w:instrText>
      </w:r>
      <w:r>
        <w:rPr>
          <w:noProof/>
        </w:rPr>
      </w:r>
      <w:r>
        <w:rPr>
          <w:noProof/>
        </w:rPr>
        <w:fldChar w:fldCharType="separate"/>
      </w:r>
      <w:r w:rsidR="00E1205F">
        <w:rPr>
          <w:noProof/>
        </w:rPr>
        <w:t>8</w:t>
      </w:r>
      <w:r>
        <w:rPr>
          <w:noProof/>
        </w:rPr>
        <w:fldChar w:fldCharType="end"/>
      </w:r>
    </w:p>
    <w:p w14:paraId="27D12180" w14:textId="0B7D791A" w:rsidR="00946FD6" w:rsidRDefault="00946FD6">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_Toc528684021 \h </w:instrText>
      </w:r>
      <w:r>
        <w:rPr>
          <w:noProof/>
        </w:rPr>
      </w:r>
      <w:r>
        <w:rPr>
          <w:noProof/>
        </w:rPr>
        <w:fldChar w:fldCharType="separate"/>
      </w:r>
      <w:r w:rsidR="00E1205F">
        <w:rPr>
          <w:noProof/>
        </w:rPr>
        <w:t>8</w:t>
      </w:r>
      <w:r>
        <w:rPr>
          <w:noProof/>
        </w:rPr>
        <w:fldChar w:fldCharType="end"/>
      </w:r>
    </w:p>
    <w:p w14:paraId="1CFEE1D3" w14:textId="58DC4329" w:rsidR="00946FD6" w:rsidRDefault="00946FD6">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_Toc528684022 \h </w:instrText>
      </w:r>
      <w:r>
        <w:rPr>
          <w:noProof/>
        </w:rPr>
      </w:r>
      <w:r>
        <w:rPr>
          <w:noProof/>
        </w:rPr>
        <w:fldChar w:fldCharType="separate"/>
      </w:r>
      <w:r w:rsidR="00E1205F">
        <w:rPr>
          <w:noProof/>
        </w:rPr>
        <w:t>8</w:t>
      </w:r>
      <w:r>
        <w:rPr>
          <w:noProof/>
        </w:rPr>
        <w:fldChar w:fldCharType="end"/>
      </w:r>
    </w:p>
    <w:p w14:paraId="792A2993" w14:textId="77777777" w:rsidR="00AE4119" w:rsidRDefault="00116EA1" w:rsidP="00AE4119">
      <w:r>
        <w:fldChar w:fldCharType="end"/>
      </w:r>
      <w:bookmarkStart w:id="0" w:name="_Toc486490839"/>
      <w:bookmarkStart w:id="1" w:name="_Toc486580912"/>
    </w:p>
    <w:p w14:paraId="6189E902" w14:textId="77777777" w:rsidR="00AE4119" w:rsidRDefault="00AE4119">
      <w:pPr>
        <w:spacing w:before="0" w:after="0" w:line="240" w:lineRule="auto"/>
        <w:rPr>
          <w:rFonts w:eastAsiaTheme="majorEastAsia" w:cstheme="majorBidi"/>
          <w:caps/>
          <w:color w:val="CFAB7A"/>
          <w:w w:val="102"/>
          <w:sz w:val="24"/>
          <w:szCs w:val="30"/>
        </w:rPr>
      </w:pPr>
      <w:r>
        <w:br w:type="page"/>
      </w:r>
    </w:p>
    <w:p w14:paraId="02BCCE44" w14:textId="77777777" w:rsidR="006875F8" w:rsidRPr="007E1F66" w:rsidRDefault="006875F8" w:rsidP="00722387">
      <w:pPr>
        <w:pStyle w:val="eTRMHeading3"/>
      </w:pPr>
      <w:bookmarkStart w:id="2" w:name="_Toc528683999"/>
      <w:r w:rsidRPr="007E1F66">
        <w:lastRenderedPageBreak/>
        <w:t>Measure Name</w:t>
      </w:r>
      <w:bookmarkEnd w:id="0"/>
      <w:bookmarkEnd w:id="1"/>
      <w:bookmarkEnd w:id="2"/>
    </w:p>
    <w:p w14:paraId="2041C6B2" w14:textId="77777777" w:rsidR="006875F8" w:rsidRDefault="006875F8" w:rsidP="00AD3D02">
      <w:pPr>
        <w:spacing w:before="20" w:after="20" w:line="280" w:lineRule="exact"/>
        <w:rPr>
          <w:rFonts w:cstheme="minorHAnsi"/>
          <w:szCs w:val="20"/>
        </w:rPr>
      </w:pPr>
      <w:r>
        <w:rPr>
          <w:rFonts w:cstheme="minorHAnsi"/>
          <w:szCs w:val="20"/>
        </w:rPr>
        <w:t xml:space="preserve">On-demand Hand-Wrap Machine </w:t>
      </w:r>
    </w:p>
    <w:p w14:paraId="167052CA" w14:textId="77777777" w:rsidR="006875F8" w:rsidRPr="00401C43" w:rsidRDefault="006875F8" w:rsidP="00AD3D02">
      <w:pPr>
        <w:spacing w:before="20" w:after="20" w:line="280" w:lineRule="exact"/>
      </w:pPr>
    </w:p>
    <w:p w14:paraId="6E24DBBB" w14:textId="77777777" w:rsidR="006875F8" w:rsidRPr="00074E3E" w:rsidRDefault="006875F8" w:rsidP="00AF7830">
      <w:pPr>
        <w:pStyle w:val="eTRMHeading3"/>
      </w:pPr>
      <w:bookmarkStart w:id="3" w:name="_Toc486490840"/>
      <w:bookmarkStart w:id="4" w:name="_Toc486580913"/>
      <w:bookmarkStart w:id="5" w:name="_Toc528684000"/>
      <w:r>
        <w:t>Statewide Measure ID</w:t>
      </w:r>
      <w:bookmarkEnd w:id="3"/>
      <w:bookmarkEnd w:id="4"/>
      <w:bookmarkEnd w:id="5"/>
    </w:p>
    <w:p w14:paraId="170E98A9" w14:textId="77777777" w:rsidR="006875F8" w:rsidRDefault="006167CB" w:rsidP="0092310C">
      <w:r>
        <w:t>SWFS010</w:t>
      </w:r>
      <w:r w:rsidR="001479E7">
        <w:t>-01</w:t>
      </w:r>
    </w:p>
    <w:p w14:paraId="26034B76" w14:textId="77777777" w:rsidR="006875F8" w:rsidRPr="00AF7830" w:rsidRDefault="006875F8" w:rsidP="0092310C"/>
    <w:p w14:paraId="6772ACF4" w14:textId="77777777" w:rsidR="00E70CBD" w:rsidRDefault="00E70CBD" w:rsidP="00AF7830">
      <w:pPr>
        <w:pStyle w:val="eTRMHeading3"/>
      </w:pPr>
      <w:bookmarkStart w:id="6" w:name="_Toc486490847"/>
      <w:bookmarkStart w:id="7" w:name="_Toc486580918"/>
      <w:bookmarkStart w:id="8" w:name="_Toc528684001"/>
      <w:r w:rsidRPr="00154391">
        <w:t>Technology Summary</w:t>
      </w:r>
      <w:bookmarkEnd w:id="6"/>
      <w:bookmarkEnd w:id="7"/>
      <w:bookmarkEnd w:id="8"/>
      <w:r w:rsidRPr="00154391">
        <w:t xml:space="preserve"> </w:t>
      </w:r>
    </w:p>
    <w:p w14:paraId="35620A99" w14:textId="77777777" w:rsidR="00E872E0" w:rsidRPr="00E872E0" w:rsidRDefault="00E872E0" w:rsidP="00E872E0">
      <w:r w:rsidRPr="00E872E0">
        <w:t>Food items</w:t>
      </w:r>
      <w:r w:rsidR="00FC43E3">
        <w:t>,</w:t>
      </w:r>
      <w:r w:rsidRPr="00E872E0">
        <w:t xml:space="preserve"> such as meat and cheese</w:t>
      </w:r>
      <w:r w:rsidR="00FC43E3">
        <w:t>,</w:t>
      </w:r>
      <w:r w:rsidRPr="00E872E0">
        <w:t xml:space="preserve"> are often placed </w:t>
      </w:r>
      <w:r w:rsidR="00FC43E3">
        <w:t>on</w:t>
      </w:r>
      <w:r w:rsidRPr="00E872E0">
        <w:t xml:space="preserve"> trays and wrapped in plastic film before being display</w:t>
      </w:r>
      <w:r w:rsidR="00FC43E3">
        <w:t>ed for purchase</w:t>
      </w:r>
      <w:r w:rsidRPr="00E872E0">
        <w:t xml:space="preserve">. </w:t>
      </w:r>
      <w:r w:rsidR="00FC43E3">
        <w:t>The plastic wrap</w:t>
      </w:r>
      <w:r w:rsidRPr="00E872E0">
        <w:t xml:space="preserve"> protects the food from airborne organisms and dust, allows customers to view the product, and provides a surface for pasting information labels. </w:t>
      </w:r>
      <w:r>
        <w:t>A hand-</w:t>
      </w:r>
      <w:r w:rsidRPr="00E872E0">
        <w:t>wrap machine consists of a heating bar and a heating platform, rated at approximately 0.0</w:t>
      </w:r>
      <w:r>
        <w:t>5</w:t>
      </w:r>
      <w:r w:rsidRPr="00E872E0">
        <w:t xml:space="preserve"> kW and 0.55 kW, respectively. The heating bar cut</w:t>
      </w:r>
      <w:r>
        <w:t>s</w:t>
      </w:r>
      <w:r w:rsidRPr="00E872E0">
        <w:t xml:space="preserve"> the wrapping film as it </w:t>
      </w:r>
      <w:proofErr w:type="gramStart"/>
      <w:r w:rsidRPr="00E872E0">
        <w:t>comes in contact with</w:t>
      </w:r>
      <w:proofErr w:type="gramEnd"/>
      <w:r w:rsidRPr="00E872E0">
        <w:t xml:space="preserve"> itself. The heating platform </w:t>
      </w:r>
      <w:r>
        <w:t>heats</w:t>
      </w:r>
      <w:r w:rsidRPr="00E872E0">
        <w:t xml:space="preserve"> up the wrapping film. When the wrapping film is heated, the film sticks to the package and seals the product. </w:t>
      </w:r>
      <w:r>
        <w:t>Both</w:t>
      </w:r>
      <w:r w:rsidRPr="00E872E0">
        <w:t xml:space="preserve"> heating elements </w:t>
      </w:r>
      <w:r>
        <w:t xml:space="preserve">of the conventional (always on) hand-wrap machine </w:t>
      </w:r>
      <w:r w:rsidRPr="00E872E0">
        <w:t>are kept at a constant temperature of 280 °F.</w:t>
      </w:r>
    </w:p>
    <w:p w14:paraId="0D3D5006" w14:textId="77777777" w:rsidR="00E872E0" w:rsidRPr="00E872E0" w:rsidRDefault="00E872E0" w:rsidP="00E872E0">
      <w:r w:rsidRPr="00E872E0">
        <w:t xml:space="preserve">An on-demand hand wrap machine is </w:t>
      </w:r>
      <w:r w:rsidR="00E47D05">
        <w:t>similar to</w:t>
      </w:r>
      <w:r w:rsidRPr="00E872E0">
        <w:t xml:space="preserve"> </w:t>
      </w:r>
      <w:r>
        <w:t xml:space="preserve">the conventional </w:t>
      </w:r>
      <w:proofErr w:type="gramStart"/>
      <w:r>
        <w:t>model</w:t>
      </w:r>
      <w:r w:rsidRPr="00E872E0">
        <w:t xml:space="preserve">, </w:t>
      </w:r>
      <w:r>
        <w:t>but</w:t>
      </w:r>
      <w:proofErr w:type="gramEnd"/>
      <w:r w:rsidRPr="00E872E0">
        <w:t xml:space="preserve"> has a more powerful heating platform (rated at approximately 2 kW) which is switched </w:t>
      </w:r>
      <w:r w:rsidR="00E47D05">
        <w:t>ON/OFF</w:t>
      </w:r>
      <w:r w:rsidRPr="00E872E0">
        <w:t xml:space="preserve"> by a controller. By default, the heating platform is OFF. The two types of controllers are:</w:t>
      </w:r>
    </w:p>
    <w:p w14:paraId="0433B1C0" w14:textId="77777777" w:rsidR="00E872E0" w:rsidRPr="00E872E0" w:rsidRDefault="00E872E0" w:rsidP="00E872E0">
      <w:pPr>
        <w:pStyle w:val="eTRMBulletedText"/>
      </w:pPr>
      <w:r w:rsidRPr="00E872E0">
        <w:t>A mechanical system where pressure must be applied down onto the heating platform. Applying pressure to the heating platform engages a switch, which activates the 2</w:t>
      </w:r>
      <w:r w:rsidR="002415A8">
        <w:t>-</w:t>
      </w:r>
      <w:r w:rsidRPr="00E872E0">
        <w:t xml:space="preserve">kW heating platform until the switch is disengaged, or for a maximum of </w:t>
      </w:r>
      <w:r w:rsidR="0098318E">
        <w:t>three</w:t>
      </w:r>
      <w:r w:rsidRPr="00E872E0">
        <w:t xml:space="preserve"> seconds. </w:t>
      </w:r>
    </w:p>
    <w:p w14:paraId="4E36D5BC" w14:textId="77777777" w:rsidR="00E872E0" w:rsidRPr="00E872E0" w:rsidRDefault="00E872E0" w:rsidP="00E872E0">
      <w:pPr>
        <w:pStyle w:val="eTRMBulletedText"/>
      </w:pPr>
      <w:r w:rsidRPr="00E872E0">
        <w:t xml:space="preserve">An optical system which uses an optical eye to detect that an item is being sealed. The optical eye is placed in the front center of the heating platform. When a package is set </w:t>
      </w:r>
      <w:r w:rsidR="0098318E">
        <w:t>ON</w:t>
      </w:r>
      <w:r w:rsidRPr="00E872E0">
        <w:t xml:space="preserve"> the heating platform, light is reflected into the eye, which activates the heating platform until the item i</w:t>
      </w:r>
      <w:r w:rsidR="0098318E">
        <w:t>s removed, or for a maximum of three</w:t>
      </w:r>
      <w:r w:rsidRPr="00E872E0">
        <w:t xml:space="preserve"> seconds.</w:t>
      </w:r>
    </w:p>
    <w:p w14:paraId="28B275F9" w14:textId="77777777" w:rsidR="006C0C5A" w:rsidRDefault="00A834DB" w:rsidP="006C0C5A">
      <w:pPr>
        <w:rPr>
          <w:rFonts w:cs="Calibri Light"/>
          <w:szCs w:val="22"/>
        </w:rPr>
      </w:pPr>
      <w:r w:rsidRPr="00A834DB">
        <w:t xml:space="preserve">Measure savings </w:t>
      </w:r>
      <w:r w:rsidR="00E47D05">
        <w:t xml:space="preserve">result from the elimination of </w:t>
      </w:r>
      <w:r w:rsidRPr="00A834DB">
        <w:t xml:space="preserve">standby losses. </w:t>
      </w:r>
      <w:r w:rsidR="0098318E">
        <w:t>That is, o</w:t>
      </w:r>
      <w:r w:rsidRPr="00A834DB">
        <w:t xml:space="preserve">n-demand controls prevent the heating platform from being maintained at an elevated temperature when not in </w:t>
      </w:r>
      <w:r>
        <w:t>use. Although an on-demand hand-</w:t>
      </w:r>
      <w:r w:rsidRPr="00A834DB">
        <w:t xml:space="preserve">wrap machine has a more powerful heating element than an always-on machine (2 kW compared </w:t>
      </w:r>
      <w:r w:rsidRPr="00DC14F1">
        <w:t xml:space="preserve">to 0.55 kW), the total hours of operation are much less. </w:t>
      </w:r>
      <w:r w:rsidR="006C0C5A" w:rsidRPr="00DC14F1">
        <w:rPr>
          <w:rFonts w:cs="Calibri Light"/>
          <w:szCs w:val="22"/>
        </w:rPr>
        <w:t xml:space="preserve">Since hand wrap machines are </w:t>
      </w:r>
      <w:r w:rsidR="0098318E">
        <w:rPr>
          <w:rFonts w:cs="Calibri Light"/>
          <w:szCs w:val="22"/>
        </w:rPr>
        <w:t>ON</w:t>
      </w:r>
      <w:r w:rsidR="006C0C5A" w:rsidRPr="00DC14F1">
        <w:rPr>
          <w:rFonts w:cs="Calibri Light"/>
          <w:szCs w:val="22"/>
        </w:rPr>
        <w:t xml:space="preserve"> for a significant</w:t>
      </w:r>
      <w:r w:rsidR="006C0C5A" w:rsidRPr="006C0C5A">
        <w:rPr>
          <w:rFonts w:cs="Calibri Light"/>
          <w:szCs w:val="22"/>
        </w:rPr>
        <w:t xml:space="preserve"> number of hours every day but only in actual use a fraction of the time, there is substantial savings potential with the on-demand models.</w:t>
      </w:r>
    </w:p>
    <w:p w14:paraId="6164A1C7" w14:textId="77777777" w:rsidR="004E5940" w:rsidRDefault="004E5940" w:rsidP="006C0C5A">
      <w:pPr>
        <w:rPr>
          <w:rFonts w:cs="Calibri Light"/>
          <w:szCs w:val="22"/>
        </w:rPr>
      </w:pPr>
    </w:p>
    <w:p w14:paraId="6C9F44B4" w14:textId="77777777" w:rsidR="007D230B" w:rsidRDefault="007D230B" w:rsidP="00AF7830">
      <w:pPr>
        <w:pStyle w:val="eTRMHeading3"/>
      </w:pPr>
      <w:bookmarkStart w:id="9" w:name="_Toc486490848"/>
      <w:bookmarkStart w:id="10" w:name="_Toc486580919"/>
      <w:bookmarkStart w:id="11" w:name="_Toc528684002"/>
      <w:r w:rsidRPr="004B06E3">
        <w:t>Measure Case Description</w:t>
      </w:r>
      <w:bookmarkEnd w:id="9"/>
      <w:bookmarkEnd w:id="10"/>
      <w:bookmarkEnd w:id="11"/>
    </w:p>
    <w:p w14:paraId="351B9F6F" w14:textId="77777777" w:rsidR="00994F74" w:rsidRDefault="006875F8" w:rsidP="003A5C34">
      <w:r>
        <w:t xml:space="preserve">This measure </w:t>
      </w:r>
      <w:r w:rsidR="0092310C">
        <w:t xml:space="preserve">case </w:t>
      </w:r>
      <w:r>
        <w:t xml:space="preserve">is </w:t>
      </w:r>
      <w:r w:rsidR="0092310C">
        <w:t xml:space="preserve">defined as </w:t>
      </w:r>
      <w:r>
        <w:t>a new commercial o</w:t>
      </w:r>
      <w:r>
        <w:rPr>
          <w:rFonts w:cstheme="minorHAnsi"/>
          <w:szCs w:val="20"/>
        </w:rPr>
        <w:t xml:space="preserve">n-demand hand-wrap machine that replaces a conventional or always-on hand-wrap machine. </w:t>
      </w:r>
      <w:r w:rsidR="00C0296F">
        <w:t xml:space="preserve">The </w:t>
      </w:r>
      <w:r w:rsidR="003A5C34" w:rsidRPr="001276C9">
        <w:t>So</w:t>
      </w:r>
      <w:r w:rsidR="00E47D05">
        <w:t xml:space="preserve">uthern California Edison </w:t>
      </w:r>
      <w:r w:rsidR="00DC14F1">
        <w:t xml:space="preserve">(SCE) </w:t>
      </w:r>
      <w:r w:rsidR="003A5C34" w:rsidRPr="001276C9">
        <w:t>Food</w:t>
      </w:r>
      <w:r w:rsidR="00C22CE1">
        <w:t xml:space="preserve"> S</w:t>
      </w:r>
      <w:r w:rsidR="003A5C34" w:rsidRPr="001276C9">
        <w:t>ervice Technology Center (F</w:t>
      </w:r>
      <w:r w:rsidR="00C22CE1">
        <w:t>S</w:t>
      </w:r>
      <w:r w:rsidR="003A5C34" w:rsidRPr="001276C9">
        <w:t>TC) conducted a field study</w:t>
      </w:r>
      <w:r w:rsidR="00DC14F1">
        <w:rPr>
          <w:rStyle w:val="FootnoteReference"/>
        </w:rPr>
        <w:footnoteReference w:id="1"/>
      </w:r>
      <w:r w:rsidR="00DC14F1">
        <w:t xml:space="preserve"> </w:t>
      </w:r>
      <w:r w:rsidR="003A5C34" w:rsidRPr="001276C9">
        <w:t xml:space="preserve">to evaluate and compare the energy savings and </w:t>
      </w:r>
      <w:r w:rsidR="003A5C34" w:rsidRPr="001276C9">
        <w:lastRenderedPageBreak/>
        <w:t xml:space="preserve">demand reduction potential </w:t>
      </w:r>
      <w:r w:rsidR="00DC14F1">
        <w:t>of</w:t>
      </w:r>
      <w:r w:rsidR="003A5C34" w:rsidRPr="001276C9">
        <w:t xml:space="preserve"> </w:t>
      </w:r>
      <w:r w:rsidR="0092310C">
        <w:t>an always-on (</w:t>
      </w:r>
      <w:r w:rsidR="00A74497">
        <w:t>base case</w:t>
      </w:r>
      <w:r w:rsidR="0092310C">
        <w:t>)</w:t>
      </w:r>
      <w:r w:rsidR="003A5C34" w:rsidRPr="001276C9">
        <w:t xml:space="preserve"> package sealers </w:t>
      </w:r>
      <w:r w:rsidR="00DC14F1">
        <w:t>compared to</w:t>
      </w:r>
      <w:r w:rsidR="003A5C34" w:rsidRPr="001276C9">
        <w:t xml:space="preserve"> on-demand </w:t>
      </w:r>
      <w:r w:rsidR="0092310C">
        <w:t xml:space="preserve">(measure case) </w:t>
      </w:r>
      <w:r w:rsidR="003A5C34" w:rsidRPr="001276C9">
        <w:t>package sealers.</w:t>
      </w:r>
    </w:p>
    <w:p w14:paraId="7FC02A7B" w14:textId="77777777" w:rsidR="003A5C34" w:rsidRPr="004B06E3" w:rsidRDefault="003A5C34" w:rsidP="00DE339F"/>
    <w:p w14:paraId="0A2AA3A1" w14:textId="77777777" w:rsidR="00E70CBD" w:rsidRDefault="00E70CBD" w:rsidP="00AF7830">
      <w:pPr>
        <w:pStyle w:val="eTRMHeading3"/>
      </w:pPr>
      <w:bookmarkStart w:id="12" w:name="_Toc486490849"/>
      <w:bookmarkStart w:id="13" w:name="_Toc486580920"/>
      <w:bookmarkStart w:id="14" w:name="_Toc528684003"/>
      <w:r w:rsidRPr="004B06E3">
        <w:t>Base Case Description</w:t>
      </w:r>
      <w:bookmarkEnd w:id="12"/>
      <w:bookmarkEnd w:id="13"/>
      <w:bookmarkEnd w:id="14"/>
      <w:r w:rsidRPr="00171BB8">
        <w:t xml:space="preserve"> </w:t>
      </w:r>
    </w:p>
    <w:p w14:paraId="20D3FD2E" w14:textId="77777777" w:rsidR="00C97228" w:rsidRDefault="003A5C34" w:rsidP="003A5C34">
      <w:r>
        <w:t xml:space="preserve">The base case </w:t>
      </w:r>
      <w:r w:rsidR="0092310C">
        <w:t xml:space="preserve">is defined as </w:t>
      </w:r>
      <w:r>
        <w:t xml:space="preserve">an always-on commercial electric hand-wrap machine. </w:t>
      </w:r>
      <w:r w:rsidR="00DC14F1">
        <w:t xml:space="preserve">The </w:t>
      </w:r>
      <w:r w:rsidR="00DC14F1" w:rsidRPr="001276C9">
        <w:t>So</w:t>
      </w:r>
      <w:r w:rsidR="00DC14F1">
        <w:t xml:space="preserve">uthern California Edison (SCE) </w:t>
      </w:r>
      <w:r w:rsidR="00DC14F1" w:rsidRPr="001276C9">
        <w:t>Food</w:t>
      </w:r>
      <w:r w:rsidR="00DC14F1">
        <w:t xml:space="preserve"> S</w:t>
      </w:r>
      <w:r w:rsidR="00DC14F1" w:rsidRPr="001276C9">
        <w:t>ervice Technology Center (F</w:t>
      </w:r>
      <w:r w:rsidR="00DC14F1">
        <w:t>S</w:t>
      </w:r>
      <w:r w:rsidR="00DC14F1" w:rsidRPr="001276C9">
        <w:t>TC) conducted a field study</w:t>
      </w:r>
      <w:r w:rsidR="00DC14F1">
        <w:rPr>
          <w:rStyle w:val="FootnoteReference"/>
        </w:rPr>
        <w:footnoteReference w:id="2"/>
      </w:r>
      <w:r w:rsidR="00DC14F1">
        <w:t xml:space="preserve"> </w:t>
      </w:r>
      <w:r w:rsidR="00DC14F1" w:rsidRPr="001276C9">
        <w:t xml:space="preserve">to evaluate and compare the energy savings and demand reduction potential </w:t>
      </w:r>
      <w:r w:rsidR="00DC14F1">
        <w:t>of</w:t>
      </w:r>
      <w:r w:rsidR="00DC14F1" w:rsidRPr="001276C9">
        <w:t xml:space="preserve"> </w:t>
      </w:r>
      <w:r w:rsidR="0092310C">
        <w:t>an always-on (</w:t>
      </w:r>
      <w:r w:rsidR="00DC14F1">
        <w:t>base case</w:t>
      </w:r>
      <w:r w:rsidR="0092310C">
        <w:t>)</w:t>
      </w:r>
      <w:r w:rsidR="00DC14F1" w:rsidRPr="001276C9">
        <w:t xml:space="preserve"> package sealer </w:t>
      </w:r>
      <w:r w:rsidR="00DC14F1">
        <w:t>compared to</w:t>
      </w:r>
      <w:r w:rsidR="00DC14F1" w:rsidRPr="001276C9">
        <w:t xml:space="preserve"> </w:t>
      </w:r>
      <w:r w:rsidR="0092310C">
        <w:t xml:space="preserve">an </w:t>
      </w:r>
      <w:r w:rsidR="00DC14F1" w:rsidRPr="001276C9">
        <w:t xml:space="preserve">on-demand </w:t>
      </w:r>
      <w:r w:rsidR="0092310C">
        <w:t xml:space="preserve">(measure case) </w:t>
      </w:r>
      <w:r w:rsidR="00DC14F1" w:rsidRPr="001276C9">
        <w:t>package sealer.</w:t>
      </w:r>
    </w:p>
    <w:p w14:paraId="7FA48F32" w14:textId="77777777" w:rsidR="003A5C34" w:rsidRPr="00C97228" w:rsidRDefault="003A5C34" w:rsidP="00C97228"/>
    <w:p w14:paraId="671667EC" w14:textId="77777777" w:rsidR="007D230B" w:rsidRPr="00171BB8" w:rsidRDefault="007D230B" w:rsidP="00AF7830">
      <w:pPr>
        <w:pStyle w:val="eTRMHeading3"/>
      </w:pPr>
      <w:bookmarkStart w:id="15" w:name="_Toc486490850"/>
      <w:bookmarkStart w:id="16" w:name="_Toc486580921"/>
      <w:bookmarkStart w:id="17" w:name="_Toc528684004"/>
      <w:r w:rsidRPr="004B06E3">
        <w:t>Code Requirements</w:t>
      </w:r>
      <w:bookmarkEnd w:id="15"/>
      <w:bookmarkEnd w:id="16"/>
      <w:bookmarkEnd w:id="17"/>
    </w:p>
    <w:p w14:paraId="619DC530" w14:textId="77777777" w:rsidR="006A52E6" w:rsidRPr="006A52E6" w:rsidRDefault="002E1BC0" w:rsidP="00DC6DB2">
      <w:r w:rsidRPr="006A52E6">
        <w:t xml:space="preserve">This measure is not governed by either state or federal codes and standards.  </w:t>
      </w:r>
      <w:bookmarkStart w:id="18" w:name="_Ref486591603"/>
    </w:p>
    <w:p w14:paraId="7CA2B752" w14:textId="77777777" w:rsidR="002E1BC0" w:rsidRDefault="002E1BC0" w:rsidP="00DC6DB2">
      <w:pPr>
        <w:pStyle w:val="Caption"/>
      </w:pPr>
      <w:bookmarkStart w:id="19" w:name="_Ref496680024"/>
      <w:bookmarkEnd w:id="18"/>
      <w:r>
        <w:t xml:space="preserve">Applicable State and Federal </w:t>
      </w:r>
      <w:r w:rsidRPr="00CD6698">
        <w:t>Code</w:t>
      </w:r>
      <w:r>
        <w:t>s and Standards</w:t>
      </w:r>
      <w:bookmarkEnd w:id="19"/>
      <w:r w:rsidRPr="002C39E3">
        <w:t xml:space="preserve"> </w:t>
      </w:r>
    </w:p>
    <w:tbl>
      <w:tblPr>
        <w:tblW w:w="924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680"/>
        <w:gridCol w:w="2520"/>
        <w:gridCol w:w="2047"/>
      </w:tblGrid>
      <w:tr w:rsidR="00D311C1" w:rsidRPr="00154391" w14:paraId="696C93C2" w14:textId="77777777" w:rsidTr="00695057">
        <w:tc>
          <w:tcPr>
            <w:tcW w:w="4680" w:type="dxa"/>
            <w:shd w:val="clear" w:color="auto" w:fill="F2F2F2" w:themeFill="background1" w:themeFillShade="F2"/>
            <w:vAlign w:val="bottom"/>
          </w:tcPr>
          <w:p w14:paraId="095FD2C8" w14:textId="77777777" w:rsidR="002E1BC0" w:rsidRPr="00154391" w:rsidRDefault="002E1BC0" w:rsidP="004F6333">
            <w:pPr>
              <w:keepNext/>
              <w:keepLines/>
              <w:spacing w:before="0" w:after="0"/>
              <w:rPr>
                <w:b/>
                <w:sz w:val="20"/>
                <w:szCs w:val="20"/>
              </w:rPr>
            </w:pPr>
            <w:r w:rsidRPr="0079498E">
              <w:rPr>
                <w:b/>
                <w:sz w:val="20"/>
              </w:rPr>
              <w:t>Code</w:t>
            </w:r>
          </w:p>
        </w:tc>
        <w:tc>
          <w:tcPr>
            <w:tcW w:w="2520" w:type="dxa"/>
            <w:shd w:val="clear" w:color="auto" w:fill="F2F2F2" w:themeFill="background1" w:themeFillShade="F2"/>
            <w:vAlign w:val="bottom"/>
          </w:tcPr>
          <w:p w14:paraId="3C25FE3A" w14:textId="77777777" w:rsidR="002E1BC0" w:rsidRPr="00154391" w:rsidRDefault="002E1BC0" w:rsidP="004F6333">
            <w:pPr>
              <w:keepNext/>
              <w:keepLines/>
              <w:spacing w:before="0" w:after="0"/>
              <w:jc w:val="center"/>
              <w:rPr>
                <w:b/>
                <w:sz w:val="20"/>
                <w:szCs w:val="20"/>
              </w:rPr>
            </w:pPr>
            <w:r w:rsidRPr="0079498E">
              <w:rPr>
                <w:b/>
                <w:sz w:val="20"/>
              </w:rPr>
              <w:t>Applicable Code Reference</w:t>
            </w:r>
          </w:p>
        </w:tc>
        <w:tc>
          <w:tcPr>
            <w:tcW w:w="2047" w:type="dxa"/>
            <w:shd w:val="clear" w:color="auto" w:fill="F2F2F2" w:themeFill="background1" w:themeFillShade="F2"/>
            <w:vAlign w:val="bottom"/>
          </w:tcPr>
          <w:p w14:paraId="1896BA0F" w14:textId="77777777" w:rsidR="002E1BC0" w:rsidRPr="00154391" w:rsidRDefault="002E1BC0" w:rsidP="004F6333">
            <w:pPr>
              <w:keepNext/>
              <w:keepLines/>
              <w:spacing w:before="0" w:after="0"/>
              <w:jc w:val="center"/>
              <w:rPr>
                <w:b/>
                <w:sz w:val="20"/>
                <w:szCs w:val="20"/>
              </w:rPr>
            </w:pPr>
            <w:r w:rsidRPr="0079498E">
              <w:rPr>
                <w:b/>
                <w:sz w:val="20"/>
              </w:rPr>
              <w:t>Effective Date</w:t>
            </w:r>
          </w:p>
        </w:tc>
      </w:tr>
      <w:tr w:rsidR="00D311C1" w:rsidRPr="00FB030E" w14:paraId="47EEC23F" w14:textId="77777777" w:rsidTr="00695057">
        <w:tc>
          <w:tcPr>
            <w:tcW w:w="4680" w:type="dxa"/>
            <w:shd w:val="clear" w:color="auto" w:fill="auto"/>
            <w:vAlign w:val="center"/>
          </w:tcPr>
          <w:p w14:paraId="056D702B" w14:textId="77777777" w:rsidR="002E1BC0" w:rsidRPr="00A834DB" w:rsidRDefault="002E1BC0" w:rsidP="004F6333">
            <w:pPr>
              <w:keepNext/>
              <w:keepLines/>
              <w:spacing w:before="0" w:after="0"/>
              <w:rPr>
                <w:sz w:val="20"/>
                <w:szCs w:val="20"/>
              </w:rPr>
            </w:pPr>
            <w:r w:rsidRPr="00A834DB">
              <w:rPr>
                <w:sz w:val="20"/>
              </w:rPr>
              <w:t xml:space="preserve">CA Appliance Efficiency Regulations – Title 20 </w:t>
            </w:r>
          </w:p>
        </w:tc>
        <w:tc>
          <w:tcPr>
            <w:tcW w:w="2520" w:type="dxa"/>
            <w:shd w:val="clear" w:color="auto" w:fill="auto"/>
            <w:vAlign w:val="center"/>
          </w:tcPr>
          <w:p w14:paraId="5274CA4E" w14:textId="77777777" w:rsidR="002E1BC0" w:rsidRPr="00FB030E" w:rsidRDefault="002E1BC0" w:rsidP="004F6333">
            <w:pPr>
              <w:keepNext/>
              <w:keepLines/>
              <w:spacing w:before="0" w:after="0"/>
              <w:jc w:val="center"/>
              <w:rPr>
                <w:sz w:val="20"/>
                <w:szCs w:val="20"/>
              </w:rPr>
            </w:pPr>
            <w:r>
              <w:rPr>
                <w:sz w:val="20"/>
              </w:rPr>
              <w:t>None.</w:t>
            </w:r>
          </w:p>
        </w:tc>
        <w:tc>
          <w:tcPr>
            <w:tcW w:w="2047" w:type="dxa"/>
            <w:shd w:val="clear" w:color="auto" w:fill="auto"/>
            <w:vAlign w:val="center"/>
          </w:tcPr>
          <w:p w14:paraId="65820460" w14:textId="77777777" w:rsidR="002E1BC0" w:rsidRPr="00FB030E" w:rsidRDefault="002E1BC0" w:rsidP="004F6333">
            <w:pPr>
              <w:keepNext/>
              <w:keepLines/>
              <w:spacing w:before="0" w:after="0"/>
              <w:jc w:val="center"/>
              <w:rPr>
                <w:sz w:val="20"/>
                <w:szCs w:val="20"/>
              </w:rPr>
            </w:pPr>
            <w:r>
              <w:rPr>
                <w:sz w:val="20"/>
              </w:rPr>
              <w:t>n/a</w:t>
            </w:r>
          </w:p>
        </w:tc>
      </w:tr>
      <w:tr w:rsidR="00D311C1" w:rsidRPr="00FB030E" w14:paraId="0CB11173" w14:textId="77777777" w:rsidTr="00695057">
        <w:tc>
          <w:tcPr>
            <w:tcW w:w="4680" w:type="dxa"/>
            <w:shd w:val="clear" w:color="auto" w:fill="auto"/>
            <w:vAlign w:val="center"/>
          </w:tcPr>
          <w:p w14:paraId="2D9ECFE4" w14:textId="77777777" w:rsidR="002E1BC0" w:rsidRPr="00A834DB" w:rsidRDefault="002E1BC0" w:rsidP="004F6333">
            <w:pPr>
              <w:keepNext/>
              <w:keepLines/>
              <w:spacing w:before="0" w:after="0"/>
              <w:rPr>
                <w:sz w:val="20"/>
                <w:szCs w:val="20"/>
              </w:rPr>
            </w:pPr>
            <w:r w:rsidRPr="00A834DB">
              <w:rPr>
                <w:sz w:val="20"/>
              </w:rPr>
              <w:t xml:space="preserve">CA Building Energy Efficiency Standards – Title 24 </w:t>
            </w:r>
          </w:p>
        </w:tc>
        <w:tc>
          <w:tcPr>
            <w:tcW w:w="2520" w:type="dxa"/>
            <w:shd w:val="clear" w:color="auto" w:fill="auto"/>
            <w:vAlign w:val="center"/>
          </w:tcPr>
          <w:p w14:paraId="409A31F9" w14:textId="77777777" w:rsidR="002E1BC0" w:rsidRPr="00FB030E" w:rsidRDefault="002E1BC0" w:rsidP="004F6333">
            <w:pPr>
              <w:keepNext/>
              <w:keepLines/>
              <w:spacing w:before="0" w:after="0"/>
              <w:jc w:val="center"/>
              <w:rPr>
                <w:sz w:val="20"/>
                <w:szCs w:val="20"/>
              </w:rPr>
            </w:pPr>
            <w:r>
              <w:rPr>
                <w:sz w:val="20"/>
              </w:rPr>
              <w:t>None.</w:t>
            </w:r>
          </w:p>
        </w:tc>
        <w:tc>
          <w:tcPr>
            <w:tcW w:w="2047" w:type="dxa"/>
            <w:shd w:val="clear" w:color="auto" w:fill="auto"/>
            <w:vAlign w:val="center"/>
          </w:tcPr>
          <w:p w14:paraId="767BF69E" w14:textId="77777777" w:rsidR="002E1BC0" w:rsidRPr="00FB030E" w:rsidRDefault="002E1BC0" w:rsidP="004F6333">
            <w:pPr>
              <w:keepNext/>
              <w:keepLines/>
              <w:spacing w:before="0" w:after="0"/>
              <w:jc w:val="center"/>
              <w:rPr>
                <w:sz w:val="20"/>
                <w:szCs w:val="20"/>
              </w:rPr>
            </w:pPr>
            <w:r>
              <w:rPr>
                <w:sz w:val="20"/>
              </w:rPr>
              <w:t>n/a</w:t>
            </w:r>
          </w:p>
        </w:tc>
      </w:tr>
      <w:tr w:rsidR="00D311C1" w:rsidRPr="00FB030E" w14:paraId="7117AC68" w14:textId="77777777" w:rsidTr="00695057">
        <w:tc>
          <w:tcPr>
            <w:tcW w:w="4680" w:type="dxa"/>
            <w:shd w:val="clear" w:color="auto" w:fill="auto"/>
            <w:vAlign w:val="center"/>
          </w:tcPr>
          <w:p w14:paraId="7FF71A9A" w14:textId="77777777" w:rsidR="002E1BC0" w:rsidRDefault="002E1BC0" w:rsidP="004F6333">
            <w:pPr>
              <w:keepNext/>
              <w:keepLines/>
              <w:spacing w:before="0" w:after="0"/>
              <w:rPr>
                <w:sz w:val="20"/>
                <w:szCs w:val="20"/>
              </w:rPr>
            </w:pPr>
            <w:r w:rsidRPr="0079498E">
              <w:rPr>
                <w:sz w:val="20"/>
              </w:rPr>
              <w:t>Federal Standards</w:t>
            </w:r>
          </w:p>
        </w:tc>
        <w:tc>
          <w:tcPr>
            <w:tcW w:w="2520" w:type="dxa"/>
            <w:shd w:val="clear" w:color="auto" w:fill="auto"/>
            <w:vAlign w:val="center"/>
          </w:tcPr>
          <w:p w14:paraId="45C47E21" w14:textId="77777777" w:rsidR="002E1BC0" w:rsidRPr="00FB030E" w:rsidRDefault="002E1BC0" w:rsidP="004F6333">
            <w:pPr>
              <w:keepNext/>
              <w:keepLines/>
              <w:spacing w:before="0" w:after="0"/>
              <w:jc w:val="center"/>
              <w:rPr>
                <w:sz w:val="20"/>
                <w:szCs w:val="20"/>
              </w:rPr>
            </w:pPr>
            <w:r>
              <w:rPr>
                <w:sz w:val="20"/>
              </w:rPr>
              <w:t>None.</w:t>
            </w:r>
          </w:p>
        </w:tc>
        <w:tc>
          <w:tcPr>
            <w:tcW w:w="2047" w:type="dxa"/>
            <w:shd w:val="clear" w:color="auto" w:fill="auto"/>
            <w:vAlign w:val="center"/>
          </w:tcPr>
          <w:p w14:paraId="1E279F51" w14:textId="77777777" w:rsidR="002E1BC0" w:rsidRPr="00FB030E" w:rsidRDefault="002E1BC0" w:rsidP="004F6333">
            <w:pPr>
              <w:keepNext/>
              <w:keepLines/>
              <w:spacing w:before="0" w:after="0"/>
              <w:jc w:val="center"/>
              <w:rPr>
                <w:sz w:val="20"/>
                <w:szCs w:val="20"/>
              </w:rPr>
            </w:pPr>
            <w:r>
              <w:rPr>
                <w:sz w:val="20"/>
              </w:rPr>
              <w:t>n/a</w:t>
            </w:r>
          </w:p>
        </w:tc>
      </w:tr>
    </w:tbl>
    <w:p w14:paraId="343E04A6" w14:textId="77777777" w:rsidR="002E1BC0" w:rsidRDefault="002E1BC0" w:rsidP="002E1BC0"/>
    <w:p w14:paraId="4A451950" w14:textId="77777777" w:rsidR="007D230B" w:rsidRPr="00171BB8" w:rsidRDefault="007D230B" w:rsidP="00AF7830">
      <w:pPr>
        <w:pStyle w:val="eTRMHeading3"/>
      </w:pPr>
      <w:bookmarkStart w:id="20" w:name="_Toc486490851"/>
      <w:bookmarkStart w:id="21" w:name="_Toc486580922"/>
      <w:bookmarkStart w:id="22" w:name="_Toc528684005"/>
      <w:r w:rsidRPr="00A83458">
        <w:t>Normalizing</w:t>
      </w:r>
      <w:r w:rsidRPr="00171BB8">
        <w:t xml:space="preserve"> Unit</w:t>
      </w:r>
      <w:bookmarkEnd w:id="20"/>
      <w:bookmarkEnd w:id="21"/>
      <w:bookmarkEnd w:id="22"/>
    </w:p>
    <w:p w14:paraId="57E8F711" w14:textId="77777777" w:rsidR="007D230B" w:rsidRDefault="00A95E15" w:rsidP="00486585">
      <w:r>
        <w:t>Each (machine)</w:t>
      </w:r>
      <w:r w:rsidR="00FA2F6E">
        <w:t>.</w:t>
      </w:r>
    </w:p>
    <w:p w14:paraId="1F5B1B53" w14:textId="77777777" w:rsidR="00A95E15" w:rsidRPr="007D230B" w:rsidRDefault="00A95E15" w:rsidP="00486585"/>
    <w:p w14:paraId="0533F1F5" w14:textId="77777777" w:rsidR="007D230B" w:rsidRDefault="007D230B" w:rsidP="00AF7830">
      <w:pPr>
        <w:pStyle w:val="eTRMHeading3"/>
      </w:pPr>
      <w:bookmarkStart w:id="23" w:name="_Toc486490852"/>
      <w:bookmarkStart w:id="24" w:name="_Toc486580923"/>
      <w:bookmarkStart w:id="25" w:name="_Toc528684006"/>
      <w:r w:rsidRPr="004B06E3">
        <w:t>Program Requirements</w:t>
      </w:r>
      <w:bookmarkEnd w:id="23"/>
      <w:bookmarkEnd w:id="24"/>
      <w:bookmarkEnd w:id="25"/>
      <w:r w:rsidRPr="004B06E3">
        <w:t xml:space="preserve"> </w:t>
      </w:r>
    </w:p>
    <w:p w14:paraId="34D5FD53" w14:textId="77777777" w:rsidR="00F7673D" w:rsidRDefault="00F7673D" w:rsidP="00F7673D">
      <w:pPr>
        <w:pStyle w:val="eTRMHeading5"/>
        <w:keepNext/>
        <w:keepLines/>
      </w:pPr>
      <w:r>
        <w:t>Measure Implementation Eligibility</w:t>
      </w:r>
    </w:p>
    <w:p w14:paraId="10643145" w14:textId="77777777" w:rsidR="000B5A9A" w:rsidRDefault="000B5A9A" w:rsidP="000B5A9A">
      <w:bookmarkStart w:id="26" w:name="_Hlk527543844"/>
      <w:bookmarkStart w:id="27"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6"/>
    </w:p>
    <w:bookmarkEnd w:id="27"/>
    <w:p w14:paraId="6EC2EEEB" w14:textId="77777777" w:rsidR="000B5A9A" w:rsidRPr="00CC4643" w:rsidRDefault="000B5A9A" w:rsidP="000B5A9A">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75498D1" w14:textId="77777777" w:rsidR="000B5A9A" w:rsidRDefault="000B5A9A" w:rsidP="000B5A9A">
      <w:pPr>
        <w:pStyle w:val="Caption"/>
      </w:pPr>
      <w:r>
        <w:lastRenderedPageBreak/>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0B5A9A" w14:paraId="0CBBBFE8" w14:textId="77777777" w:rsidTr="00634922">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377760D" w14:textId="77777777" w:rsidR="000B5A9A" w:rsidRPr="00830614" w:rsidRDefault="000B5A9A" w:rsidP="000B5A9A">
            <w:pPr>
              <w:keepNext/>
              <w:keepLines/>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68F88851" w14:textId="77777777" w:rsidR="000B5A9A" w:rsidRPr="00830614" w:rsidRDefault="000B5A9A" w:rsidP="000B5A9A">
            <w:pPr>
              <w:keepNext/>
              <w:keepLines/>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1928317" w14:textId="77777777" w:rsidR="000B5A9A" w:rsidRPr="00830614" w:rsidRDefault="000B5A9A" w:rsidP="000B5A9A">
            <w:pPr>
              <w:keepNext/>
              <w:keepLines/>
              <w:spacing w:before="0" w:after="0" w:line="240" w:lineRule="exact"/>
              <w:rPr>
                <w:b/>
                <w:bCs/>
                <w:sz w:val="20"/>
                <w:szCs w:val="20"/>
              </w:rPr>
            </w:pPr>
            <w:r w:rsidRPr="00830614">
              <w:rPr>
                <w:b/>
                <w:bCs/>
                <w:sz w:val="20"/>
                <w:szCs w:val="20"/>
              </w:rPr>
              <w:t>Sector</w:t>
            </w:r>
          </w:p>
        </w:tc>
      </w:tr>
      <w:tr w:rsidR="000B5A9A" w14:paraId="1B75A9B9"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9BDE3C0" w14:textId="77777777" w:rsidR="000B5A9A" w:rsidRPr="00830614" w:rsidRDefault="000B5A9A" w:rsidP="000B5A9A">
            <w:pPr>
              <w:keepNext/>
              <w:keepLines/>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4D706A2" w14:textId="77777777" w:rsidR="000B5A9A" w:rsidRPr="00830614" w:rsidRDefault="000B5A9A" w:rsidP="000B5A9A">
            <w:pPr>
              <w:keepNext/>
              <w:keepLines/>
              <w:spacing w:before="0" w:after="0" w:line="240" w:lineRule="exact"/>
              <w:rPr>
                <w:color w:val="000000"/>
                <w:sz w:val="20"/>
                <w:szCs w:val="20"/>
              </w:rPr>
            </w:pPr>
            <w:proofErr w:type="spellStart"/>
            <w:r w:rsidRPr="00830614">
              <w:rPr>
                <w:rFonts w:cs="Calibri Light"/>
                <w:color w:val="000000"/>
                <w:sz w:val="20"/>
                <w:szCs w:val="20"/>
              </w:rPr>
              <w:t>NonUpStrm</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262C12" w14:textId="77777777" w:rsidR="000B5A9A" w:rsidRPr="00830614" w:rsidRDefault="000B5A9A" w:rsidP="000B5A9A">
            <w:pPr>
              <w:keepNext/>
              <w:keepLines/>
              <w:spacing w:before="0" w:after="0" w:line="240" w:lineRule="exact"/>
              <w:rPr>
                <w:color w:val="000000"/>
                <w:sz w:val="20"/>
                <w:szCs w:val="20"/>
              </w:rPr>
            </w:pPr>
            <w:r w:rsidRPr="00830614">
              <w:rPr>
                <w:rFonts w:cs="Calibri Light"/>
                <w:color w:val="000000"/>
                <w:sz w:val="20"/>
                <w:szCs w:val="20"/>
              </w:rPr>
              <w:t>Ag</w:t>
            </w:r>
          </w:p>
        </w:tc>
      </w:tr>
      <w:tr w:rsidR="000B5A9A" w14:paraId="2F5E0C18"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BFCE95D"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0914F62" w14:textId="77777777" w:rsidR="000B5A9A" w:rsidRPr="00830614" w:rsidRDefault="000B5A9A" w:rsidP="00634922">
            <w:pPr>
              <w:spacing w:before="0" w:after="0" w:line="240" w:lineRule="exact"/>
              <w:rPr>
                <w:color w:val="000000"/>
                <w:sz w:val="20"/>
                <w:szCs w:val="20"/>
              </w:rPr>
            </w:pPr>
            <w:proofErr w:type="spellStart"/>
            <w:r w:rsidRPr="00830614">
              <w:rPr>
                <w:rFonts w:cs="Calibri Light"/>
                <w:color w:val="000000"/>
                <w:sz w:val="20"/>
                <w:szCs w:val="20"/>
              </w:rPr>
              <w:t>NonUpStrm</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19F17B9"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Ind</w:t>
            </w:r>
          </w:p>
        </w:tc>
      </w:tr>
      <w:tr w:rsidR="000B5A9A" w14:paraId="58D7C4A2"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02CBA3"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44AFAA9" w14:textId="77777777" w:rsidR="000B5A9A" w:rsidRPr="00830614" w:rsidRDefault="000B5A9A" w:rsidP="00634922">
            <w:pPr>
              <w:spacing w:before="0" w:after="0" w:line="240" w:lineRule="exact"/>
              <w:rPr>
                <w:color w:val="000000"/>
                <w:sz w:val="20"/>
                <w:szCs w:val="20"/>
              </w:rPr>
            </w:pPr>
            <w:proofErr w:type="spellStart"/>
            <w:r w:rsidRPr="00830614">
              <w:rPr>
                <w:rFonts w:cs="Calibri Light"/>
                <w:color w:val="000000"/>
                <w:sz w:val="20"/>
                <w:szCs w:val="20"/>
              </w:rPr>
              <w:t>NonUpStrm</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B7F2C69"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Com</w:t>
            </w:r>
          </w:p>
        </w:tc>
      </w:tr>
      <w:tr w:rsidR="000B5A9A" w14:paraId="4593E713"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9F6ADE"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D3B5B1" w14:textId="77777777" w:rsidR="000B5A9A" w:rsidRPr="00830614" w:rsidRDefault="000B5A9A" w:rsidP="00634922">
            <w:pPr>
              <w:spacing w:before="0" w:after="0" w:line="240" w:lineRule="exact"/>
              <w:rPr>
                <w:color w:val="000000"/>
                <w:sz w:val="20"/>
                <w:szCs w:val="20"/>
              </w:rPr>
            </w:pPr>
            <w:proofErr w:type="spellStart"/>
            <w:r w:rsidRPr="00830614">
              <w:rPr>
                <w:rFonts w:cs="Calibri Light"/>
                <w:color w:val="000000"/>
                <w:sz w:val="20"/>
                <w:szCs w:val="20"/>
              </w:rPr>
              <w:t>PreRebDown</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2EE287C"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Ag</w:t>
            </w:r>
          </w:p>
        </w:tc>
      </w:tr>
      <w:tr w:rsidR="000B5A9A" w14:paraId="15C4B03E"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14AF6C"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9AB52C" w14:textId="77777777" w:rsidR="000B5A9A" w:rsidRPr="00830614" w:rsidRDefault="000B5A9A" w:rsidP="00634922">
            <w:pPr>
              <w:spacing w:before="0" w:after="0" w:line="240" w:lineRule="exact"/>
              <w:rPr>
                <w:color w:val="000000"/>
                <w:sz w:val="20"/>
                <w:szCs w:val="20"/>
              </w:rPr>
            </w:pPr>
            <w:proofErr w:type="spellStart"/>
            <w:r w:rsidRPr="00830614">
              <w:rPr>
                <w:rFonts w:cs="Calibri Light"/>
                <w:color w:val="000000"/>
                <w:sz w:val="20"/>
                <w:szCs w:val="20"/>
              </w:rPr>
              <w:t>PreRebDown</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4254B40"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Ind</w:t>
            </w:r>
          </w:p>
        </w:tc>
      </w:tr>
      <w:tr w:rsidR="000B5A9A" w14:paraId="4C630136"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A9F3C5"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3F99DB6" w14:textId="77777777" w:rsidR="000B5A9A" w:rsidRPr="00830614" w:rsidRDefault="000B5A9A" w:rsidP="00634922">
            <w:pPr>
              <w:spacing w:before="0" w:after="0" w:line="240" w:lineRule="exact"/>
              <w:rPr>
                <w:color w:val="000000"/>
                <w:sz w:val="20"/>
                <w:szCs w:val="20"/>
              </w:rPr>
            </w:pPr>
            <w:proofErr w:type="spellStart"/>
            <w:r w:rsidRPr="00830614">
              <w:rPr>
                <w:rFonts w:cs="Calibri Light"/>
                <w:color w:val="000000"/>
                <w:sz w:val="20"/>
                <w:szCs w:val="20"/>
              </w:rPr>
              <w:t>PreRebDown</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A244475" w14:textId="77777777" w:rsidR="000B5A9A" w:rsidRPr="00830614" w:rsidRDefault="000B5A9A" w:rsidP="00634922">
            <w:pPr>
              <w:spacing w:before="0" w:after="0" w:line="240" w:lineRule="exact"/>
              <w:rPr>
                <w:color w:val="000000"/>
                <w:sz w:val="20"/>
                <w:szCs w:val="20"/>
              </w:rPr>
            </w:pPr>
            <w:r w:rsidRPr="00830614">
              <w:rPr>
                <w:rFonts w:cs="Calibri Light"/>
                <w:color w:val="000000"/>
                <w:sz w:val="20"/>
                <w:szCs w:val="20"/>
              </w:rPr>
              <w:t>Com</w:t>
            </w:r>
          </w:p>
        </w:tc>
      </w:tr>
      <w:tr w:rsidR="000B5A9A" w14:paraId="4509B67C"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32641D"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1376ACD"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DirInstall</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6091224"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Ag</w:t>
            </w:r>
          </w:p>
        </w:tc>
      </w:tr>
      <w:tr w:rsidR="000B5A9A" w14:paraId="2978EEC8"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0AA90DC"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840B48"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DirInstall</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B1AE4F"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Ind</w:t>
            </w:r>
          </w:p>
        </w:tc>
      </w:tr>
      <w:tr w:rsidR="000B5A9A" w14:paraId="002695F5"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F6D3F95"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2CF133"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DirInstall</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02E029B"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Com</w:t>
            </w:r>
          </w:p>
        </w:tc>
      </w:tr>
      <w:tr w:rsidR="000B5A9A" w14:paraId="7C358A53"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537A78"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48E4B17"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PreRebUp</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1E368BB"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Ag</w:t>
            </w:r>
          </w:p>
        </w:tc>
      </w:tr>
      <w:tr w:rsidR="000B5A9A" w14:paraId="4BBEBB39"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D087B6E"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973E661"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PreRebUp</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E59F2A7"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Ind</w:t>
            </w:r>
          </w:p>
        </w:tc>
      </w:tr>
      <w:tr w:rsidR="000B5A9A" w14:paraId="33A93181"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214947"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05253F"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PreRebUp</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72D6DA"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Com</w:t>
            </w:r>
          </w:p>
        </w:tc>
      </w:tr>
      <w:tr w:rsidR="000B5A9A" w14:paraId="161AAB93"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CDCE033" w14:textId="77777777" w:rsidR="000B5A9A" w:rsidRPr="00830614" w:rsidRDefault="000B5A9A" w:rsidP="0063492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0920986"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NonUpStrm</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844367"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Ag</w:t>
            </w:r>
          </w:p>
        </w:tc>
      </w:tr>
      <w:tr w:rsidR="000B5A9A" w14:paraId="24AABB4D"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834E21F" w14:textId="77777777" w:rsidR="000B5A9A" w:rsidRPr="00830614" w:rsidRDefault="000B5A9A" w:rsidP="0063492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D3902F"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NonUpStrm</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24F3B82"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Ind</w:t>
            </w:r>
          </w:p>
        </w:tc>
      </w:tr>
      <w:tr w:rsidR="000B5A9A" w14:paraId="5FBEC967"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4E040FB" w14:textId="77777777" w:rsidR="000B5A9A" w:rsidRPr="00830614" w:rsidRDefault="000B5A9A" w:rsidP="0063492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A29A603"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NonUpStrm</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AD2B035"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Com</w:t>
            </w:r>
          </w:p>
        </w:tc>
      </w:tr>
      <w:tr w:rsidR="000B5A9A" w14:paraId="295264C5"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4160B1" w14:textId="77777777" w:rsidR="000B5A9A" w:rsidRPr="00830614" w:rsidRDefault="000B5A9A" w:rsidP="0063492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8272BD6"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PreRebDown</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1C979CD"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Ag</w:t>
            </w:r>
          </w:p>
        </w:tc>
      </w:tr>
      <w:tr w:rsidR="000B5A9A" w14:paraId="71F31E56"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8F0B55B" w14:textId="77777777" w:rsidR="000B5A9A" w:rsidRPr="00830614" w:rsidRDefault="000B5A9A" w:rsidP="0063492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56A4218"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PreRebDown</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766AFB"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Ind</w:t>
            </w:r>
          </w:p>
        </w:tc>
      </w:tr>
      <w:tr w:rsidR="000B5A9A" w14:paraId="7418B672"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6DFAC86" w14:textId="77777777" w:rsidR="000B5A9A" w:rsidRPr="00830614" w:rsidRDefault="000B5A9A" w:rsidP="00634922">
            <w:pPr>
              <w:spacing w:before="0" w:after="0" w:line="240" w:lineRule="exact"/>
              <w:rPr>
                <w:rFonts w:cs="Calibri Light"/>
                <w:color w:val="000000"/>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DEA5E15"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PreRebDown</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281775"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Com</w:t>
            </w:r>
          </w:p>
        </w:tc>
      </w:tr>
      <w:tr w:rsidR="000B5A9A" w14:paraId="6E77993E"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31C3689" w14:textId="77777777" w:rsidR="000B5A9A" w:rsidRPr="00830614" w:rsidRDefault="000B5A9A" w:rsidP="0063492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65212E"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DirInstall</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EB69B7A"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Ag</w:t>
            </w:r>
          </w:p>
        </w:tc>
      </w:tr>
      <w:tr w:rsidR="000B5A9A" w14:paraId="3F0330D3"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D3EDE86" w14:textId="77777777" w:rsidR="000B5A9A" w:rsidRPr="00830614" w:rsidRDefault="000B5A9A" w:rsidP="0063492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EBB662"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DirInstall</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0C0C99C"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Ind</w:t>
            </w:r>
          </w:p>
        </w:tc>
      </w:tr>
      <w:tr w:rsidR="000B5A9A" w14:paraId="4746D932"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874EF9B" w14:textId="77777777" w:rsidR="000B5A9A" w:rsidRPr="00830614" w:rsidRDefault="000B5A9A" w:rsidP="0063492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9190F29"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DirInstall</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167697F"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Com</w:t>
            </w:r>
          </w:p>
        </w:tc>
      </w:tr>
      <w:tr w:rsidR="000B5A9A" w14:paraId="5F7D9057"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4072584" w14:textId="77777777" w:rsidR="000B5A9A" w:rsidRPr="00830614" w:rsidRDefault="000B5A9A" w:rsidP="0063492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36DDF8"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PreRebUp</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0EE4298"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Ag</w:t>
            </w:r>
          </w:p>
        </w:tc>
      </w:tr>
      <w:tr w:rsidR="000B5A9A" w14:paraId="3CD060FF"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17529D" w14:textId="77777777" w:rsidR="000B5A9A" w:rsidRPr="00830614" w:rsidRDefault="000B5A9A" w:rsidP="0063492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CC93849"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PreRebUp</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E812E0B"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Ind</w:t>
            </w:r>
          </w:p>
        </w:tc>
      </w:tr>
      <w:tr w:rsidR="000B5A9A" w14:paraId="2EEA4128" w14:textId="77777777" w:rsidTr="00634922">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25DA00" w14:textId="77777777" w:rsidR="000B5A9A" w:rsidRPr="00830614" w:rsidRDefault="000B5A9A" w:rsidP="00634922">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428F0CA" w14:textId="77777777" w:rsidR="000B5A9A" w:rsidRPr="00830614" w:rsidRDefault="000B5A9A" w:rsidP="00634922">
            <w:pPr>
              <w:spacing w:before="0" w:after="0" w:line="240" w:lineRule="exact"/>
              <w:rPr>
                <w:rFonts w:cs="Calibri Light"/>
                <w:color w:val="000000"/>
                <w:sz w:val="20"/>
                <w:szCs w:val="20"/>
              </w:rPr>
            </w:pPr>
            <w:proofErr w:type="spellStart"/>
            <w:r w:rsidRPr="00830614">
              <w:rPr>
                <w:rFonts w:cs="Calibri Light"/>
                <w:color w:val="000000"/>
                <w:sz w:val="20"/>
                <w:szCs w:val="20"/>
              </w:rPr>
              <w:t>PreRebUp</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1AA5776" w14:textId="77777777" w:rsidR="000B5A9A" w:rsidRPr="00830614" w:rsidRDefault="000B5A9A" w:rsidP="00634922">
            <w:pPr>
              <w:spacing w:before="0" w:after="0" w:line="240" w:lineRule="exact"/>
              <w:rPr>
                <w:rFonts w:cs="Calibri Light"/>
                <w:color w:val="000000"/>
                <w:sz w:val="20"/>
                <w:szCs w:val="20"/>
              </w:rPr>
            </w:pPr>
            <w:r w:rsidRPr="00830614">
              <w:rPr>
                <w:rFonts w:cs="Calibri Light"/>
                <w:color w:val="000000"/>
                <w:sz w:val="20"/>
                <w:szCs w:val="20"/>
              </w:rPr>
              <w:t>Com</w:t>
            </w:r>
          </w:p>
        </w:tc>
      </w:tr>
    </w:tbl>
    <w:p w14:paraId="6BD25599" w14:textId="77777777" w:rsidR="000B5A9A" w:rsidRDefault="000B5A9A" w:rsidP="000B5A9A"/>
    <w:p w14:paraId="7F2AC604" w14:textId="77777777" w:rsidR="00AA46AF" w:rsidRDefault="00196649" w:rsidP="00154391">
      <w:pPr>
        <w:pStyle w:val="eTRMHeading5"/>
      </w:pPr>
      <w:r>
        <w:t>Eligible Products</w:t>
      </w:r>
    </w:p>
    <w:p w14:paraId="26FB75F9" w14:textId="77777777" w:rsidR="002E1BC0" w:rsidRPr="002E1BC0" w:rsidRDefault="002E1BC0" w:rsidP="002E1BC0">
      <w:r>
        <w:t>This measure is a new commercial o</w:t>
      </w:r>
      <w:r>
        <w:rPr>
          <w:rFonts w:cstheme="minorHAnsi"/>
          <w:szCs w:val="20"/>
        </w:rPr>
        <w:t>n-demand hand-wrap machine that replaces a conventional or always-on hand-wrap machine. The measure must use either a mechanical or optical control system.</w:t>
      </w:r>
    </w:p>
    <w:p w14:paraId="17E9A84D" w14:textId="77777777" w:rsidR="002E1BC0" w:rsidRPr="002E1BC0" w:rsidRDefault="002E1BC0" w:rsidP="002E1BC0"/>
    <w:p w14:paraId="79EA5973" w14:textId="77777777" w:rsidR="007B6A74" w:rsidRDefault="007B6A74" w:rsidP="00401C43">
      <w:pPr>
        <w:pStyle w:val="eTRMHeading5"/>
      </w:pPr>
      <w:r w:rsidRPr="00401C43">
        <w:t>Eligible Building Types</w:t>
      </w:r>
      <w:r w:rsidR="0037168C">
        <w:t xml:space="preserve"> and Vintages</w:t>
      </w:r>
    </w:p>
    <w:p w14:paraId="2E769BEC" w14:textId="77777777" w:rsidR="00C22CE1" w:rsidRDefault="00C22CE1" w:rsidP="00C22CE1">
      <w:r>
        <w:t xml:space="preserve">This measure is applicable </w:t>
      </w:r>
      <w:r w:rsidR="006875F8">
        <w:t>for</w:t>
      </w:r>
      <w:r w:rsidR="00B55241">
        <w:t xml:space="preserve"> any </w:t>
      </w:r>
      <w:r w:rsidR="006875F8">
        <w:t xml:space="preserve">nonresidential </w:t>
      </w:r>
      <w:r w:rsidR="00B55241">
        <w:t xml:space="preserve">building type </w:t>
      </w:r>
      <w:r w:rsidR="006875F8">
        <w:t>of</w:t>
      </w:r>
      <w:r w:rsidR="00B55241">
        <w:t xml:space="preserve"> any vintage.</w:t>
      </w:r>
    </w:p>
    <w:p w14:paraId="17486C0D" w14:textId="77777777" w:rsidR="002E1BC0" w:rsidRPr="002E1BC0" w:rsidRDefault="002E1BC0" w:rsidP="002E1BC0"/>
    <w:p w14:paraId="5065F4DB" w14:textId="77777777" w:rsidR="007B6A74" w:rsidRDefault="00196649" w:rsidP="00154391">
      <w:pPr>
        <w:pStyle w:val="eTRMHeading5"/>
      </w:pPr>
      <w:r>
        <w:t>Eligible Climate Zones</w:t>
      </w:r>
    </w:p>
    <w:p w14:paraId="726F4FFF" w14:textId="77777777" w:rsidR="006C41AD" w:rsidRDefault="00AD3D02" w:rsidP="004B06E3">
      <w:r>
        <w:t>Th</w:t>
      </w:r>
      <w:r w:rsidR="00B55241">
        <w:t>is measure i</w:t>
      </w:r>
      <w:r w:rsidR="00603CBC">
        <w:t>s applicable to</w:t>
      </w:r>
      <w:r w:rsidR="00B55241">
        <w:t xml:space="preserve"> any California climates zone</w:t>
      </w:r>
      <w:r>
        <w:t>.</w:t>
      </w:r>
    </w:p>
    <w:p w14:paraId="335CCCB1" w14:textId="77777777" w:rsidR="00984AEA" w:rsidRPr="004B06E3" w:rsidRDefault="00984AEA" w:rsidP="004744AC"/>
    <w:p w14:paraId="0A25813D" w14:textId="77777777" w:rsidR="007D230B" w:rsidRPr="004B06E3" w:rsidRDefault="007D230B" w:rsidP="004744AC">
      <w:pPr>
        <w:pStyle w:val="eTRMHeading3"/>
        <w:keepNext w:val="0"/>
        <w:keepLines w:val="0"/>
      </w:pPr>
      <w:bookmarkStart w:id="28" w:name="_Toc486490853"/>
      <w:bookmarkStart w:id="29" w:name="_Toc486580924"/>
      <w:bookmarkStart w:id="30" w:name="_Toc528684007"/>
      <w:r w:rsidRPr="004B06E3">
        <w:t>Program Exclusions</w:t>
      </w:r>
      <w:bookmarkEnd w:id="28"/>
      <w:bookmarkEnd w:id="29"/>
      <w:bookmarkEnd w:id="30"/>
      <w:r w:rsidRPr="004B06E3">
        <w:t xml:space="preserve"> </w:t>
      </w:r>
    </w:p>
    <w:p w14:paraId="5BDBB9F4" w14:textId="77777777" w:rsidR="003A261C" w:rsidRPr="00866723" w:rsidRDefault="00D311C1" w:rsidP="004744AC">
      <w:pPr>
        <w:rPr>
          <w:i/>
        </w:rPr>
      </w:pPr>
      <w:r w:rsidRPr="00DC6DB2">
        <w:t xml:space="preserve">Used or rebuilt equipment is not eligible. </w:t>
      </w:r>
    </w:p>
    <w:p w14:paraId="1779B9B5" w14:textId="77777777" w:rsidR="003A261C" w:rsidRDefault="003A261C" w:rsidP="004744AC"/>
    <w:p w14:paraId="33D61618" w14:textId="77777777" w:rsidR="007D230B" w:rsidRPr="004B06E3" w:rsidRDefault="007D230B" w:rsidP="004744AC">
      <w:pPr>
        <w:pStyle w:val="eTRMHeading3"/>
        <w:keepNext w:val="0"/>
        <w:keepLines w:val="0"/>
      </w:pPr>
      <w:bookmarkStart w:id="31" w:name="_Toc486490854"/>
      <w:bookmarkStart w:id="32" w:name="_Toc486580925"/>
      <w:bookmarkStart w:id="33" w:name="_Toc528684008"/>
      <w:r w:rsidRPr="004B06E3">
        <w:t>Data Collection Requirements</w:t>
      </w:r>
      <w:bookmarkEnd w:id="31"/>
      <w:bookmarkEnd w:id="32"/>
      <w:bookmarkEnd w:id="33"/>
      <w:r w:rsidRPr="004B06E3">
        <w:t xml:space="preserve"> </w:t>
      </w:r>
    </w:p>
    <w:p w14:paraId="371A592E" w14:textId="77777777" w:rsidR="00750840" w:rsidRDefault="00200DA6" w:rsidP="004744AC">
      <w:r>
        <w:t>Data collection requirements are to be determined.</w:t>
      </w:r>
    </w:p>
    <w:p w14:paraId="08DC17F9" w14:textId="77777777" w:rsidR="00200DA6" w:rsidRPr="004B06E3" w:rsidRDefault="00200DA6" w:rsidP="004744AC"/>
    <w:p w14:paraId="7E907243" w14:textId="77777777" w:rsidR="007D230B" w:rsidRPr="004B06E3" w:rsidRDefault="007D230B" w:rsidP="004744AC">
      <w:pPr>
        <w:pStyle w:val="eTRMHeading3"/>
        <w:keepNext w:val="0"/>
        <w:keepLines w:val="0"/>
      </w:pPr>
      <w:bookmarkStart w:id="34" w:name="_Toc486490855"/>
      <w:bookmarkStart w:id="35" w:name="_Toc486580926"/>
      <w:bookmarkStart w:id="36" w:name="_Toc528684009"/>
      <w:r w:rsidRPr="004B06E3">
        <w:t>Use Category</w:t>
      </w:r>
      <w:bookmarkEnd w:id="34"/>
      <w:bookmarkEnd w:id="35"/>
      <w:bookmarkEnd w:id="36"/>
    </w:p>
    <w:p w14:paraId="067C6722" w14:textId="77777777" w:rsidR="00E92A6A" w:rsidRDefault="00E92A6A" w:rsidP="004744AC">
      <w:r>
        <w:t>Food service (</w:t>
      </w:r>
      <w:proofErr w:type="spellStart"/>
      <w:r>
        <w:t>FoodServ</w:t>
      </w:r>
      <w:proofErr w:type="spellEnd"/>
      <w:r>
        <w:t>)</w:t>
      </w:r>
    </w:p>
    <w:p w14:paraId="6D8D4151" w14:textId="77777777" w:rsidR="004142EF" w:rsidRPr="004B06E3" w:rsidRDefault="004142EF" w:rsidP="004B06E3"/>
    <w:p w14:paraId="5F0FA295" w14:textId="77777777" w:rsidR="00E1273F" w:rsidRDefault="00E1273F" w:rsidP="00E37F53">
      <w:pPr>
        <w:pStyle w:val="eTRMHeading3"/>
        <w:keepNext w:val="0"/>
        <w:keepLines w:val="0"/>
      </w:pPr>
      <w:bookmarkStart w:id="37" w:name="_Toc506890113"/>
      <w:bookmarkStart w:id="38" w:name="_Toc528684010"/>
      <w:bookmarkStart w:id="39" w:name="_Toc517178421"/>
      <w:r w:rsidRPr="004B06E3">
        <w:t>Electric Savings (</w:t>
      </w:r>
      <w:r w:rsidRPr="007D2355">
        <w:rPr>
          <w:caps w:val="0"/>
        </w:rPr>
        <w:t>k</w:t>
      </w:r>
      <w:r w:rsidRPr="004B06E3">
        <w:t>W</w:t>
      </w:r>
      <w:r w:rsidRPr="00851FDC">
        <w:rPr>
          <w:caps w:val="0"/>
        </w:rPr>
        <w:t>h</w:t>
      </w:r>
      <w:r w:rsidRPr="004B06E3">
        <w:t>)</w:t>
      </w:r>
      <w:bookmarkEnd w:id="37"/>
      <w:bookmarkEnd w:id="38"/>
    </w:p>
    <w:bookmarkEnd w:id="39"/>
    <w:p w14:paraId="75DD062B" w14:textId="77777777" w:rsidR="00CD5145" w:rsidRDefault="00200DA6" w:rsidP="00E37F53">
      <w:r>
        <w:rPr>
          <w:rFonts w:cstheme="minorHAnsi"/>
          <w:szCs w:val="22"/>
        </w:rPr>
        <w:t>The unit energy savings (UES) of</w:t>
      </w:r>
      <w:r w:rsidR="00D44673" w:rsidRPr="000C727C">
        <w:rPr>
          <w:rFonts w:cstheme="minorHAnsi"/>
          <w:szCs w:val="22"/>
        </w:rPr>
        <w:t xml:space="preserve"> this measure were derived from the</w:t>
      </w:r>
      <w:r w:rsidR="000C727C" w:rsidRPr="000C727C">
        <w:rPr>
          <w:rStyle w:val="eTRMFootnoteTextChar"/>
          <w:sz w:val="22"/>
          <w:szCs w:val="22"/>
        </w:rPr>
        <w:t xml:space="preserve"> </w:t>
      </w:r>
      <w:r w:rsidR="000C727C" w:rsidRPr="000C727C">
        <w:rPr>
          <w:rStyle w:val="eTRMFootnoteTextChar"/>
          <w:i/>
          <w:sz w:val="22"/>
          <w:szCs w:val="22"/>
        </w:rPr>
        <w:t>Commercial Hand Wrap Machines for Food Service Applications Field Test</w:t>
      </w:r>
      <w:r w:rsidR="00695057" w:rsidRPr="000C727C">
        <w:rPr>
          <w:rFonts w:cstheme="minorHAnsi"/>
          <w:szCs w:val="22"/>
        </w:rPr>
        <w:t xml:space="preserve"> study conducted</w:t>
      </w:r>
      <w:r w:rsidR="000C727C" w:rsidRPr="000C727C">
        <w:rPr>
          <w:rFonts w:cstheme="minorHAnsi"/>
          <w:szCs w:val="22"/>
        </w:rPr>
        <w:t xml:space="preserve"> by Southern California Edison (SCE)</w:t>
      </w:r>
      <w:r w:rsidR="00695057" w:rsidRPr="000C727C">
        <w:rPr>
          <w:rFonts w:cstheme="minorHAnsi"/>
          <w:szCs w:val="22"/>
        </w:rPr>
        <w:t xml:space="preserve"> through the Emerging Technologies Program in 201</w:t>
      </w:r>
      <w:r w:rsidR="000C727C" w:rsidRPr="000C727C">
        <w:rPr>
          <w:rFonts w:cstheme="minorHAnsi"/>
          <w:szCs w:val="22"/>
        </w:rPr>
        <w:t>5</w:t>
      </w:r>
      <w:r w:rsidR="00D44673" w:rsidRPr="000C727C">
        <w:rPr>
          <w:rFonts w:cstheme="minorHAnsi"/>
          <w:szCs w:val="22"/>
        </w:rPr>
        <w:t>.</w:t>
      </w:r>
      <w:r w:rsidR="00695057" w:rsidRPr="000C727C">
        <w:rPr>
          <w:rStyle w:val="FootnoteReference"/>
          <w:rFonts w:cstheme="minorHAnsi"/>
          <w:szCs w:val="22"/>
        </w:rPr>
        <w:footnoteReference w:id="3"/>
      </w:r>
      <w:r w:rsidR="00695057" w:rsidRPr="000C727C">
        <w:rPr>
          <w:rFonts w:cstheme="minorHAnsi"/>
          <w:szCs w:val="22"/>
        </w:rPr>
        <w:t xml:space="preserve"> </w:t>
      </w:r>
      <w:r w:rsidR="00CD5145" w:rsidRPr="00A74497">
        <w:t xml:space="preserve">The </w:t>
      </w:r>
      <w:r w:rsidR="00CD5145">
        <w:t>SCE 2015 Field Test</w:t>
      </w:r>
      <w:r w:rsidR="00CD5145" w:rsidRPr="00A74497">
        <w:t xml:space="preserve"> </w:t>
      </w:r>
      <w:r w:rsidR="00CD5145">
        <w:t>monitored</w:t>
      </w:r>
      <w:r w:rsidR="00CD5145" w:rsidRPr="00A74497">
        <w:t xml:space="preserve"> </w:t>
      </w:r>
      <w:r w:rsidR="00CD5145">
        <w:t xml:space="preserve">hand wrap machines </w:t>
      </w:r>
      <w:r w:rsidR="00CD5145" w:rsidRPr="00A74497">
        <w:t>in the bakery, deli</w:t>
      </w:r>
      <w:r w:rsidR="00CD5145">
        <w:t>,</w:t>
      </w:r>
      <w:r w:rsidR="00CD5145" w:rsidRPr="00A74497">
        <w:t xml:space="preserve"> and meat departments at ten</w:t>
      </w:r>
      <w:r w:rsidR="00CD5145">
        <w:t xml:space="preserve"> supermarket locations</w:t>
      </w:r>
      <w:r w:rsidR="00CD5145" w:rsidRPr="000C727C">
        <w:t xml:space="preserve"> </w:t>
      </w:r>
      <w:r w:rsidR="00CD5145">
        <w:t>in</w:t>
      </w:r>
      <w:r w:rsidR="00CD5145" w:rsidRPr="00A74497">
        <w:t xml:space="preserve"> the </w:t>
      </w:r>
      <w:r w:rsidR="00CD5145">
        <w:t>SCE</w:t>
      </w:r>
      <w:r w:rsidR="00CD5145" w:rsidRPr="00A74497">
        <w:t xml:space="preserve"> service territory</w:t>
      </w:r>
      <w:r w:rsidR="00CD5145">
        <w:t>;</w:t>
      </w:r>
      <w:r w:rsidR="00CD5145" w:rsidRPr="00A74497">
        <w:t xml:space="preserve"> </w:t>
      </w:r>
      <w:r w:rsidR="00CD5145">
        <w:t>b</w:t>
      </w:r>
      <w:r w:rsidR="00CD5145" w:rsidRPr="00A74497">
        <w:t>oth base case and measure case hand wrap machines were m</w:t>
      </w:r>
      <w:r w:rsidR="00CD5145">
        <w:t>onitored for six weeks at</w:t>
      </w:r>
      <w:r w:rsidR="00CD5145" w:rsidRPr="00A74497">
        <w:t xml:space="preserve"> 10-second interval</w:t>
      </w:r>
      <w:r w:rsidR="00CD5145">
        <w:t>s</w:t>
      </w:r>
      <w:r w:rsidR="00CD5145" w:rsidRPr="00A74497">
        <w:t xml:space="preserve">. For each chain, an average </w:t>
      </w:r>
      <w:r w:rsidR="00CD5145">
        <w:t>unit energy consumption (UEC) was</w:t>
      </w:r>
      <w:r w:rsidR="00CD5145" w:rsidRPr="00A74497">
        <w:t xml:space="preserve"> </w:t>
      </w:r>
      <w:r w:rsidR="00CD5145">
        <w:t xml:space="preserve">calculated for units in </w:t>
      </w:r>
      <w:r w:rsidR="00CD5145" w:rsidRPr="00A74497">
        <w:t xml:space="preserve">bakery and deli departments, and </w:t>
      </w:r>
      <w:r w:rsidR="00CD5145">
        <w:t>separate</w:t>
      </w:r>
      <w:r w:rsidR="00CD5145" w:rsidRPr="00A74497">
        <w:t xml:space="preserve"> average</w:t>
      </w:r>
      <w:r w:rsidR="00CD5145">
        <w:t xml:space="preserve"> UEC</w:t>
      </w:r>
      <w:r w:rsidR="00CD5145" w:rsidRPr="00A74497">
        <w:t xml:space="preserve"> </w:t>
      </w:r>
      <w:r w:rsidR="00CD5145">
        <w:t>was</w:t>
      </w:r>
      <w:r w:rsidR="00CD5145" w:rsidRPr="00A74497">
        <w:t xml:space="preserve"> </w:t>
      </w:r>
      <w:r w:rsidR="00CD5145">
        <w:t>calculated</w:t>
      </w:r>
      <w:r w:rsidR="00CD5145" w:rsidRPr="00A74497">
        <w:t xml:space="preserve"> for </w:t>
      </w:r>
      <w:r w:rsidR="00CD5145">
        <w:t xml:space="preserve">units in </w:t>
      </w:r>
      <w:r w:rsidR="00CD5145" w:rsidRPr="00A74497">
        <w:t xml:space="preserve">meat departments. </w:t>
      </w:r>
      <w:r w:rsidR="00CD5145">
        <w:t>The average UEC values</w:t>
      </w:r>
      <w:r w:rsidR="00CD5145" w:rsidRPr="00A74497">
        <w:t xml:space="preserve"> </w:t>
      </w:r>
      <w:r w:rsidR="00CD5145">
        <w:t xml:space="preserve">for each use type were then </w:t>
      </w:r>
      <w:r w:rsidR="00CD5145" w:rsidRPr="00A74497">
        <w:t>averaged together</w:t>
      </w:r>
      <w:r w:rsidR="00CD5145">
        <w:t xml:space="preserve"> to calculate the overall average UEC and peak demand</w:t>
      </w:r>
      <w:r w:rsidR="00CD5145" w:rsidRPr="00A74497">
        <w:t>.</w:t>
      </w:r>
      <w:r w:rsidR="00CD5145">
        <w:t xml:space="preserve"> </w:t>
      </w:r>
    </w:p>
    <w:p w14:paraId="3B4289DF" w14:textId="77777777" w:rsidR="009D6104" w:rsidRPr="009D6104" w:rsidRDefault="00CD5145" w:rsidP="004744AC">
      <w:pPr>
        <w:rPr>
          <w:rFonts w:cs="Calibri Light"/>
          <w:i/>
          <w:szCs w:val="22"/>
        </w:rPr>
      </w:pPr>
      <w:r>
        <w:t xml:space="preserve">The average UES (and peak demand reduction) are calculated as the difference between the baseline and measure case UEC (and peak demand). </w:t>
      </w:r>
      <w:r w:rsidR="00200DA6">
        <w:rPr>
          <w:rFonts w:cs="Calibri Light"/>
          <w:szCs w:val="22"/>
        </w:rPr>
        <w:t>The energy savings result</w:t>
      </w:r>
      <w:r>
        <w:rPr>
          <w:rFonts w:cs="Calibri Light"/>
          <w:szCs w:val="22"/>
        </w:rPr>
        <w:t>s</w:t>
      </w:r>
      <w:r w:rsidR="00200DA6">
        <w:rPr>
          <w:rFonts w:cs="Calibri Light"/>
          <w:szCs w:val="22"/>
        </w:rPr>
        <w:t xml:space="preserve"> from </w:t>
      </w:r>
      <w:r w:rsidR="009D6104" w:rsidRPr="009D6104">
        <w:rPr>
          <w:rFonts w:cs="Calibri Light"/>
          <w:szCs w:val="22"/>
        </w:rPr>
        <w:t xml:space="preserve">eliminating standby losses. Using on-demand controls prevents the heating platform from being maintained at an elevated temperature when not in use. Although an on-demand hand wrap machine has a more powerful heating element than an always-on machine (2 kW compared to 0.55 kW), </w:t>
      </w:r>
      <w:r w:rsidR="00695057">
        <w:rPr>
          <w:rFonts w:cs="Calibri Light"/>
          <w:szCs w:val="22"/>
        </w:rPr>
        <w:t>the</w:t>
      </w:r>
      <w:r w:rsidR="009D6104" w:rsidRPr="009D6104">
        <w:rPr>
          <w:rFonts w:cs="Calibri Light"/>
          <w:szCs w:val="22"/>
        </w:rPr>
        <w:t xml:space="preserve"> total hours of operation are </w:t>
      </w:r>
      <w:r w:rsidR="00695057">
        <w:rPr>
          <w:rFonts w:cs="Calibri Light"/>
          <w:szCs w:val="22"/>
        </w:rPr>
        <w:t>significantly reduced</w:t>
      </w:r>
      <w:r w:rsidR="009D6104" w:rsidRPr="009D6104">
        <w:rPr>
          <w:rFonts w:cs="Calibri Light"/>
          <w:szCs w:val="22"/>
        </w:rPr>
        <w:t xml:space="preserve">. Since hand wrap machines are </w:t>
      </w:r>
      <w:r w:rsidR="004F6333">
        <w:rPr>
          <w:rFonts w:cs="Calibri Light"/>
          <w:szCs w:val="22"/>
        </w:rPr>
        <w:t>ON</w:t>
      </w:r>
      <w:r w:rsidR="00F03822">
        <w:rPr>
          <w:rFonts w:cs="Calibri Light"/>
          <w:szCs w:val="22"/>
        </w:rPr>
        <w:t xml:space="preserve"> for a significant number of hours every day but only in use a fraction of the time, </w:t>
      </w:r>
      <w:r w:rsidR="009D6104" w:rsidRPr="009D6104">
        <w:rPr>
          <w:rFonts w:cs="Calibri Light"/>
          <w:szCs w:val="22"/>
        </w:rPr>
        <w:t>there is substantial savings potential</w:t>
      </w:r>
      <w:r w:rsidR="00F03822">
        <w:rPr>
          <w:rFonts w:cs="Calibri Light"/>
          <w:szCs w:val="22"/>
        </w:rPr>
        <w:t xml:space="preserve"> </w:t>
      </w:r>
      <w:r w:rsidR="006C0C5A">
        <w:rPr>
          <w:rFonts w:cs="Calibri Light"/>
          <w:szCs w:val="22"/>
        </w:rPr>
        <w:t>with the on-demand models</w:t>
      </w:r>
      <w:r w:rsidR="009D6104" w:rsidRPr="009D6104">
        <w:rPr>
          <w:rFonts w:cs="Calibri Light"/>
          <w:szCs w:val="22"/>
        </w:rPr>
        <w:t>.</w:t>
      </w:r>
    </w:p>
    <w:p w14:paraId="02AFF95F" w14:textId="77777777" w:rsidR="009D6104" w:rsidRPr="009D6104" w:rsidRDefault="009D6104" w:rsidP="00200DA6"/>
    <w:p w14:paraId="33FE5E52" w14:textId="77777777" w:rsidR="00943B12" w:rsidRPr="004B06E3" w:rsidRDefault="00943B12" w:rsidP="00AF7830">
      <w:pPr>
        <w:pStyle w:val="eTRMHeading3"/>
      </w:pPr>
      <w:bookmarkStart w:id="40" w:name="_Toc528684011"/>
      <w:r w:rsidRPr="004B06E3">
        <w:t>Peak Electric Demand Reduction (kW)</w:t>
      </w:r>
      <w:bookmarkEnd w:id="40"/>
    </w:p>
    <w:p w14:paraId="40753B18" w14:textId="77777777" w:rsidR="00943B12" w:rsidRPr="00B07A82" w:rsidRDefault="00943B12" w:rsidP="00943B12">
      <w:pPr>
        <w:rPr>
          <w:rFonts w:cstheme="minorHAnsi"/>
          <w:szCs w:val="22"/>
        </w:rPr>
      </w:pPr>
      <w:r>
        <w:rPr>
          <w:rFonts w:cstheme="minorHAnsi"/>
          <w:szCs w:val="22"/>
        </w:rPr>
        <w:t xml:space="preserve">The peak demand measurements </w:t>
      </w:r>
      <w:r w:rsidR="00DE775B">
        <w:rPr>
          <w:rFonts w:cstheme="minorHAnsi"/>
          <w:szCs w:val="22"/>
        </w:rPr>
        <w:t xml:space="preserve">were derived from the </w:t>
      </w:r>
      <w:r w:rsidR="00DE775B" w:rsidRPr="00CD5145">
        <w:rPr>
          <w:rFonts w:cstheme="minorHAnsi"/>
          <w:i/>
          <w:szCs w:val="22"/>
        </w:rPr>
        <w:t>Vacuum-Sealing and Packaging Machines for Food Service Applications Field Test</w:t>
      </w:r>
      <w:r w:rsidR="00DE775B">
        <w:rPr>
          <w:rFonts w:cstheme="minorHAnsi"/>
          <w:szCs w:val="22"/>
        </w:rPr>
        <w:t xml:space="preserve"> study conducted through the Emerging Technologies Program.</w:t>
      </w:r>
      <w:r w:rsidR="00AF1A02" w:rsidRPr="000C727C">
        <w:rPr>
          <w:rStyle w:val="FootnoteReference"/>
          <w:rFonts w:cstheme="minorHAnsi"/>
          <w:szCs w:val="22"/>
        </w:rPr>
        <w:footnoteReference w:id="4"/>
      </w:r>
      <w:r w:rsidR="00DE775B">
        <w:rPr>
          <w:rFonts w:cstheme="minorHAnsi"/>
          <w:szCs w:val="22"/>
        </w:rPr>
        <w:t xml:space="preserve"> The measured peak demand values </w:t>
      </w:r>
      <w:r w:rsidR="006875F8">
        <w:rPr>
          <w:rFonts w:cstheme="minorHAnsi"/>
          <w:szCs w:val="22"/>
        </w:rPr>
        <w:t>represent the demand reduction during</w:t>
      </w:r>
      <w:r>
        <w:rPr>
          <w:rFonts w:cstheme="minorHAnsi"/>
          <w:szCs w:val="22"/>
        </w:rPr>
        <w:t xml:space="preserve"> the </w:t>
      </w:r>
      <w:r w:rsidR="004F6333">
        <w:rPr>
          <w:rFonts w:cstheme="minorHAnsi"/>
          <w:szCs w:val="22"/>
        </w:rPr>
        <w:t>Database of Energy Efficient Resources (</w:t>
      </w:r>
      <w:r w:rsidR="006875F8">
        <w:rPr>
          <w:rFonts w:cstheme="minorHAnsi"/>
          <w:szCs w:val="22"/>
        </w:rPr>
        <w:t>DEER</w:t>
      </w:r>
      <w:r w:rsidR="004F6333">
        <w:rPr>
          <w:rFonts w:cstheme="minorHAnsi"/>
          <w:szCs w:val="22"/>
        </w:rPr>
        <w:t>)</w:t>
      </w:r>
      <w:r>
        <w:rPr>
          <w:rFonts w:cstheme="minorHAnsi"/>
          <w:szCs w:val="22"/>
        </w:rPr>
        <w:t xml:space="preserve"> peak period of </w:t>
      </w:r>
      <w:r w:rsidR="004E5940">
        <w:rPr>
          <w:rFonts w:cstheme="minorHAnsi"/>
          <w:szCs w:val="22"/>
        </w:rPr>
        <w:t>4</w:t>
      </w:r>
      <w:r>
        <w:rPr>
          <w:rFonts w:cstheme="minorHAnsi"/>
          <w:szCs w:val="22"/>
        </w:rPr>
        <w:t xml:space="preserve"> </w:t>
      </w:r>
      <w:r w:rsidR="00DE775B">
        <w:rPr>
          <w:rFonts w:cstheme="minorHAnsi"/>
          <w:szCs w:val="22"/>
        </w:rPr>
        <w:t>p.m.</w:t>
      </w:r>
      <w:r>
        <w:rPr>
          <w:rFonts w:cstheme="minorHAnsi"/>
          <w:szCs w:val="22"/>
        </w:rPr>
        <w:t xml:space="preserve"> to </w:t>
      </w:r>
      <w:r w:rsidR="004E5940">
        <w:rPr>
          <w:rFonts w:cstheme="minorHAnsi"/>
          <w:szCs w:val="22"/>
        </w:rPr>
        <w:t>9</w:t>
      </w:r>
      <w:r>
        <w:rPr>
          <w:rFonts w:cstheme="minorHAnsi"/>
          <w:szCs w:val="22"/>
        </w:rPr>
        <w:t xml:space="preserve"> </w:t>
      </w:r>
      <w:r w:rsidR="00DE775B">
        <w:rPr>
          <w:rFonts w:cstheme="minorHAnsi"/>
          <w:szCs w:val="22"/>
        </w:rPr>
        <w:t>p.m.</w:t>
      </w:r>
      <w:r>
        <w:rPr>
          <w:rFonts w:cstheme="minorHAnsi"/>
          <w:szCs w:val="22"/>
        </w:rPr>
        <w:t xml:space="preserve"> weekdays,</w:t>
      </w:r>
      <w:r w:rsidR="004E5940">
        <w:rPr>
          <w:rStyle w:val="FootnoteReference"/>
          <w:rFonts w:cstheme="minorHAnsi"/>
          <w:szCs w:val="22"/>
        </w:rPr>
        <w:footnoteReference w:id="5"/>
      </w:r>
      <w:r>
        <w:rPr>
          <w:rFonts w:cstheme="minorHAnsi"/>
          <w:szCs w:val="22"/>
        </w:rPr>
        <w:t xml:space="preserve"> thus </w:t>
      </w:r>
      <w:r w:rsidR="00800214">
        <w:rPr>
          <w:rFonts w:cstheme="minorHAnsi"/>
          <w:szCs w:val="22"/>
        </w:rPr>
        <w:t>a</w:t>
      </w:r>
      <w:r>
        <w:rPr>
          <w:rFonts w:cstheme="minorHAnsi"/>
          <w:szCs w:val="22"/>
        </w:rPr>
        <w:t xml:space="preserve"> </w:t>
      </w:r>
      <w:r w:rsidR="00991138">
        <w:rPr>
          <w:rFonts w:cstheme="minorHAnsi"/>
          <w:szCs w:val="22"/>
        </w:rPr>
        <w:t>coincident demand</w:t>
      </w:r>
      <w:r>
        <w:rPr>
          <w:rFonts w:cstheme="minorHAnsi"/>
          <w:szCs w:val="22"/>
        </w:rPr>
        <w:t xml:space="preserve"> factor</w:t>
      </w:r>
      <w:r w:rsidR="00800214">
        <w:rPr>
          <w:rFonts w:cstheme="minorHAnsi"/>
          <w:szCs w:val="22"/>
        </w:rPr>
        <w:t xml:space="preserve"> (CDF) </w:t>
      </w:r>
      <w:r w:rsidR="00CD5145">
        <w:rPr>
          <w:rFonts w:cstheme="minorHAnsi"/>
          <w:szCs w:val="22"/>
        </w:rPr>
        <w:t>was</w:t>
      </w:r>
      <w:r w:rsidR="00800214">
        <w:rPr>
          <w:rFonts w:cstheme="minorHAnsi"/>
          <w:szCs w:val="22"/>
        </w:rPr>
        <w:t xml:space="preserve"> not </w:t>
      </w:r>
      <w:r>
        <w:rPr>
          <w:rFonts w:cstheme="minorHAnsi"/>
          <w:szCs w:val="22"/>
        </w:rPr>
        <w:t xml:space="preserve">applied. </w:t>
      </w:r>
    </w:p>
    <w:p w14:paraId="6C68E740" w14:textId="77777777" w:rsidR="00943B12" w:rsidRDefault="00943B12" w:rsidP="004B06E3"/>
    <w:p w14:paraId="0F7C72CC" w14:textId="77777777" w:rsidR="00DE775B" w:rsidRPr="004B06E3" w:rsidRDefault="00DE775B" w:rsidP="00DE775B">
      <w:pPr>
        <w:pStyle w:val="eTRMHeading3"/>
      </w:pPr>
      <w:bookmarkStart w:id="42" w:name="_Toc486490858"/>
      <w:bookmarkStart w:id="43" w:name="_Toc486580929"/>
      <w:bookmarkStart w:id="44" w:name="_Toc528684012"/>
      <w:r w:rsidRPr="004B06E3">
        <w:t>Gas Savings (Therms)</w:t>
      </w:r>
      <w:bookmarkEnd w:id="42"/>
      <w:bookmarkEnd w:id="43"/>
      <w:bookmarkEnd w:id="44"/>
    </w:p>
    <w:p w14:paraId="344CA8FE" w14:textId="77777777" w:rsidR="00DE775B" w:rsidRDefault="00DE775B" w:rsidP="00DE775B">
      <w:r>
        <w:t>Not applicable.</w:t>
      </w:r>
    </w:p>
    <w:p w14:paraId="7BFBEA8B" w14:textId="77777777" w:rsidR="00DE775B" w:rsidRPr="004B06E3" w:rsidRDefault="00DE775B" w:rsidP="004B06E3"/>
    <w:p w14:paraId="0A61C146" w14:textId="77777777" w:rsidR="007D230B" w:rsidRPr="004B06E3" w:rsidRDefault="00245AFF" w:rsidP="00AF7830">
      <w:pPr>
        <w:pStyle w:val="eTRMHeading3"/>
      </w:pPr>
      <w:bookmarkStart w:id="45" w:name="_Toc528684013"/>
      <w:bookmarkStart w:id="46" w:name="_Toc486490859"/>
      <w:bookmarkStart w:id="47" w:name="_Toc486580930"/>
      <w:r w:rsidRPr="004B06E3">
        <w:lastRenderedPageBreak/>
        <w:t>Life Cycle</w:t>
      </w:r>
      <w:bookmarkEnd w:id="45"/>
      <w:r w:rsidR="007D230B" w:rsidRPr="004B06E3">
        <w:t xml:space="preserve"> </w:t>
      </w:r>
      <w:bookmarkEnd w:id="46"/>
      <w:bookmarkEnd w:id="47"/>
    </w:p>
    <w:p w14:paraId="634047C2" w14:textId="77777777" w:rsidR="00FE7DE5" w:rsidRDefault="00EF6819" w:rsidP="00C371C1">
      <w:pPr>
        <w:rPr>
          <w:rFonts w:eastAsia="Times New Roman"/>
        </w:rPr>
      </w:pPr>
      <w:bookmarkStart w:id="48" w:name="_Hlk49421972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bookmarkStart w:id="49" w:name="_Hlk494267093"/>
    </w:p>
    <w:p w14:paraId="340DD98F" w14:textId="77777777" w:rsidR="0099513F" w:rsidRDefault="00EF6819" w:rsidP="00C371C1">
      <w:pPr>
        <w:rPr>
          <w:rFonts w:cs="Calibri Light"/>
        </w:rPr>
      </w:pPr>
      <w:r>
        <w:t>The EUL specified for</w:t>
      </w:r>
      <w:r w:rsidR="00F1508A">
        <w:t xml:space="preserve"> commercial hand wrap machines ar</w:t>
      </w:r>
      <w:r>
        <w:t xml:space="preserve">e </w:t>
      </w:r>
      <w:r w:rsidR="00CD5145">
        <w:t>below</w:t>
      </w:r>
      <w:r>
        <w:t xml:space="preserve">. </w:t>
      </w:r>
      <w:bookmarkStart w:id="50" w:name="_Hlk526864122"/>
      <w:bookmarkEnd w:id="48"/>
      <w:bookmarkEnd w:id="49"/>
      <w:r w:rsidR="00CD5145">
        <w:t>Note that RUL is only applicable for add-on and accelerated replacement measures and not applicable for this measure.</w:t>
      </w:r>
      <w:bookmarkEnd w:id="50"/>
      <w:r w:rsidR="00CD5145">
        <w:t xml:space="preserve">  </w:t>
      </w:r>
    </w:p>
    <w:p w14:paraId="12601500" w14:textId="77777777" w:rsidR="0099513F" w:rsidRPr="0099513F" w:rsidRDefault="0099513F" w:rsidP="00187732">
      <w:pPr>
        <w:pStyle w:val="Caption"/>
      </w:pPr>
      <w:r w:rsidRPr="0099513F">
        <w:t>Effective Useful Life</w:t>
      </w:r>
      <w:r w:rsidR="00CD5145">
        <w:t xml:space="preserve"> and Remaining Useful Life</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20"/>
        <w:gridCol w:w="1980"/>
        <w:gridCol w:w="5850"/>
      </w:tblGrid>
      <w:tr w:rsidR="00FE7DE5" w:rsidRPr="00052C24" w14:paraId="0949973D" w14:textId="77777777" w:rsidTr="00FE7DE5">
        <w:tc>
          <w:tcPr>
            <w:tcW w:w="1620" w:type="dxa"/>
            <w:shd w:val="clear" w:color="auto" w:fill="F2F2F2" w:themeFill="background1" w:themeFillShade="F2"/>
            <w:vAlign w:val="bottom"/>
          </w:tcPr>
          <w:p w14:paraId="0B125082" w14:textId="77777777" w:rsidR="00FE7DE5" w:rsidRPr="00052C24" w:rsidRDefault="00FE7DE5" w:rsidP="009328FF">
            <w:pPr>
              <w:keepNext/>
              <w:keepLines/>
              <w:spacing w:before="0" w:after="0" w:line="200" w:lineRule="atLeast"/>
              <w:jc w:val="center"/>
              <w:rPr>
                <w:b/>
                <w:sz w:val="20"/>
              </w:rPr>
            </w:pPr>
            <w:r>
              <w:rPr>
                <w:b/>
                <w:sz w:val="20"/>
              </w:rPr>
              <w:t>Parameter</w:t>
            </w:r>
          </w:p>
        </w:tc>
        <w:tc>
          <w:tcPr>
            <w:tcW w:w="1980" w:type="dxa"/>
            <w:shd w:val="clear" w:color="auto" w:fill="F2F2F2" w:themeFill="background1" w:themeFillShade="F2"/>
            <w:vAlign w:val="bottom"/>
          </w:tcPr>
          <w:p w14:paraId="58A744D8" w14:textId="77777777" w:rsidR="00FE7DE5" w:rsidRPr="00052C24" w:rsidRDefault="00CD5145" w:rsidP="009328FF">
            <w:pPr>
              <w:keepNext/>
              <w:keepLines/>
              <w:spacing w:before="0" w:after="0" w:line="200" w:lineRule="atLeast"/>
              <w:jc w:val="center"/>
              <w:rPr>
                <w:b/>
                <w:sz w:val="20"/>
              </w:rPr>
            </w:pPr>
            <w:r>
              <w:rPr>
                <w:b/>
                <w:sz w:val="20"/>
              </w:rPr>
              <w:t>Value</w:t>
            </w:r>
          </w:p>
        </w:tc>
        <w:tc>
          <w:tcPr>
            <w:tcW w:w="5850" w:type="dxa"/>
            <w:shd w:val="clear" w:color="auto" w:fill="F2F2F2" w:themeFill="background1" w:themeFillShade="F2"/>
            <w:vAlign w:val="bottom"/>
          </w:tcPr>
          <w:p w14:paraId="24090676" w14:textId="77777777" w:rsidR="00FE7DE5" w:rsidRDefault="00FE7DE5" w:rsidP="009328FF">
            <w:pPr>
              <w:keepNext/>
              <w:keepLines/>
              <w:spacing w:before="0" w:after="0" w:line="200" w:lineRule="atLeast"/>
              <w:jc w:val="center"/>
              <w:rPr>
                <w:b/>
                <w:sz w:val="20"/>
              </w:rPr>
            </w:pPr>
            <w:r>
              <w:rPr>
                <w:b/>
                <w:sz w:val="20"/>
              </w:rPr>
              <w:t>Source</w:t>
            </w:r>
          </w:p>
        </w:tc>
      </w:tr>
      <w:tr w:rsidR="00FE7DE5" w:rsidRPr="00052C24" w14:paraId="2743F47E" w14:textId="77777777" w:rsidTr="00FE7DE5">
        <w:trPr>
          <w:trHeight w:val="260"/>
        </w:trPr>
        <w:tc>
          <w:tcPr>
            <w:tcW w:w="1620" w:type="dxa"/>
            <w:vAlign w:val="center"/>
          </w:tcPr>
          <w:p w14:paraId="673BC5BE" w14:textId="77777777" w:rsidR="00FE7DE5" w:rsidRPr="00C45400" w:rsidRDefault="00FE7DE5" w:rsidP="009328FF">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980" w:type="dxa"/>
            <w:shd w:val="clear" w:color="auto" w:fill="auto"/>
            <w:vAlign w:val="center"/>
          </w:tcPr>
          <w:p w14:paraId="7B1DE7E8" w14:textId="77777777" w:rsidR="00FE7DE5" w:rsidRPr="00722387" w:rsidRDefault="00FE7DE5" w:rsidP="009328FF">
            <w:pPr>
              <w:keepNext/>
              <w:keepLines/>
              <w:spacing w:before="0" w:after="0" w:line="200" w:lineRule="atLeast"/>
              <w:jc w:val="center"/>
              <w:rPr>
                <w:sz w:val="20"/>
              </w:rPr>
            </w:pPr>
            <w:r w:rsidRPr="00722387">
              <w:rPr>
                <w:sz w:val="20"/>
              </w:rPr>
              <w:t>10</w:t>
            </w:r>
            <w:r w:rsidR="006875F8" w:rsidRPr="00722387">
              <w:rPr>
                <w:sz w:val="20"/>
              </w:rPr>
              <w:t>.0</w:t>
            </w:r>
          </w:p>
        </w:tc>
        <w:tc>
          <w:tcPr>
            <w:tcW w:w="5850" w:type="dxa"/>
            <w:vAlign w:val="center"/>
          </w:tcPr>
          <w:p w14:paraId="45569FF9" w14:textId="77777777" w:rsidR="00182BA7" w:rsidRPr="00775AA6" w:rsidRDefault="00A879E4" w:rsidP="009328FF">
            <w:pPr>
              <w:keepNext/>
              <w:keepLines/>
              <w:spacing w:before="0" w:after="0" w:line="240" w:lineRule="auto"/>
              <w:rPr>
                <w:rFonts w:eastAsia="Times New Roman" w:cs="Times New Roman"/>
                <w:color w:val="000000"/>
                <w:sz w:val="18"/>
                <w:szCs w:val="18"/>
              </w:rPr>
            </w:pPr>
            <w:r>
              <w:rPr>
                <w:rFonts w:eastAsia="Times New Roman" w:cs="Times New Roman"/>
                <w:color w:val="000000"/>
                <w:sz w:val="18"/>
                <w:szCs w:val="18"/>
              </w:rPr>
              <w:t xml:space="preserve">University of California, Office of the President, Purchasing Services. 2018. “Useful Life Index, G8605: Cutters, Slicers, Saws, Choppers, Graters, Grinders, Universal Mach, Food Prep.” </w:t>
            </w:r>
          </w:p>
        </w:tc>
      </w:tr>
      <w:tr w:rsidR="00FE7DE5" w:rsidRPr="00052C24" w14:paraId="6F164109" w14:textId="77777777" w:rsidTr="00FE7DE5">
        <w:tc>
          <w:tcPr>
            <w:tcW w:w="1620" w:type="dxa"/>
            <w:vAlign w:val="center"/>
          </w:tcPr>
          <w:p w14:paraId="750741DD" w14:textId="77777777" w:rsidR="00FE7DE5" w:rsidRPr="00C45400" w:rsidRDefault="00FE7DE5" w:rsidP="009328FF">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980" w:type="dxa"/>
            <w:shd w:val="clear" w:color="auto" w:fill="auto"/>
            <w:vAlign w:val="center"/>
          </w:tcPr>
          <w:p w14:paraId="3276AF0D" w14:textId="77777777" w:rsidR="00FE7DE5" w:rsidRPr="00722387" w:rsidRDefault="00FE7DE5" w:rsidP="009328FF">
            <w:pPr>
              <w:keepNext/>
              <w:keepLines/>
              <w:spacing w:before="0" w:after="0" w:line="200" w:lineRule="atLeast"/>
              <w:jc w:val="center"/>
              <w:rPr>
                <w:sz w:val="20"/>
              </w:rPr>
            </w:pPr>
            <w:r w:rsidRPr="00722387">
              <w:rPr>
                <w:sz w:val="20"/>
              </w:rPr>
              <w:t>n/a</w:t>
            </w:r>
          </w:p>
        </w:tc>
        <w:tc>
          <w:tcPr>
            <w:tcW w:w="5850" w:type="dxa"/>
            <w:vAlign w:val="center"/>
          </w:tcPr>
          <w:p w14:paraId="0E2651A1" w14:textId="77777777" w:rsidR="00FE7DE5" w:rsidRPr="003B443A" w:rsidRDefault="003B443A" w:rsidP="009328FF">
            <w:pPr>
              <w:keepNext/>
              <w:keepLines/>
              <w:spacing w:before="0" w:after="0" w:line="240" w:lineRule="auto"/>
              <w:rPr>
                <w:rFonts w:eastAsia="Times New Roman" w:cs="Times New Roman"/>
                <w:color w:val="000000"/>
                <w:sz w:val="18"/>
                <w:szCs w:val="18"/>
              </w:rPr>
            </w:pPr>
            <w:r w:rsidRPr="003B443A">
              <w:rPr>
                <w:sz w:val="18"/>
              </w:rPr>
              <w:t>n/a</w:t>
            </w:r>
          </w:p>
        </w:tc>
      </w:tr>
    </w:tbl>
    <w:p w14:paraId="43C9F546" w14:textId="77777777" w:rsidR="001633AF" w:rsidRPr="004B06E3" w:rsidRDefault="001633AF" w:rsidP="00D311C1"/>
    <w:p w14:paraId="35D353C6" w14:textId="77777777" w:rsidR="007D230B" w:rsidRPr="004B06E3" w:rsidRDefault="007D230B" w:rsidP="00AF7830">
      <w:pPr>
        <w:pStyle w:val="eTRMHeading3"/>
      </w:pPr>
      <w:bookmarkStart w:id="51" w:name="_Toc486490860"/>
      <w:bookmarkStart w:id="52" w:name="_Toc486580931"/>
      <w:bookmarkStart w:id="53" w:name="_Toc528684014"/>
      <w:r w:rsidRPr="004B06E3">
        <w:t>Base Case Material Cost ($/unit)</w:t>
      </w:r>
      <w:bookmarkEnd w:id="51"/>
      <w:bookmarkEnd w:id="52"/>
      <w:bookmarkEnd w:id="53"/>
    </w:p>
    <w:p w14:paraId="0741A880" w14:textId="77777777" w:rsidR="000B5A9A" w:rsidRDefault="000B5A9A" w:rsidP="000B5A9A">
      <w:pPr>
        <w:rPr>
          <w:szCs w:val="22"/>
        </w:rPr>
      </w:pPr>
      <w:r>
        <w:rPr>
          <w:szCs w:val="22"/>
        </w:rPr>
        <w:t xml:space="preserve">The base case material cost for equipment </w:t>
      </w:r>
      <w:r w:rsidRPr="00C94922">
        <w:rPr>
          <w:i/>
          <w:szCs w:val="22"/>
        </w:rPr>
        <w:t>delivered via direct install</w:t>
      </w:r>
      <w:r>
        <w:rPr>
          <w:szCs w:val="22"/>
        </w:rPr>
        <w:t xml:space="preserve"> is equal to $0.</w:t>
      </w:r>
    </w:p>
    <w:p w14:paraId="7CE9FA9B" w14:textId="77777777" w:rsidR="00187732" w:rsidRPr="00187732" w:rsidRDefault="000B5A9A" w:rsidP="00187732">
      <w:pPr>
        <w:pStyle w:val="Reminders"/>
        <w:rPr>
          <w:rFonts w:cs="Calibri Light"/>
          <w:i/>
          <w:szCs w:val="22"/>
        </w:rPr>
      </w:pPr>
      <w:r>
        <w:rPr>
          <w:szCs w:val="22"/>
        </w:rPr>
        <w:t xml:space="preserve">For </w:t>
      </w:r>
      <w:r w:rsidRPr="00C94922">
        <w:rPr>
          <w:i/>
          <w:szCs w:val="22"/>
        </w:rPr>
        <w:t>all other delivery types</w:t>
      </w:r>
      <w:r>
        <w:rPr>
          <w:szCs w:val="22"/>
        </w:rPr>
        <w:t>, the b</w:t>
      </w:r>
      <w:r w:rsidRPr="00AA5B3F">
        <w:rPr>
          <w:szCs w:val="22"/>
        </w:rPr>
        <w:t xml:space="preserve">ase case </w:t>
      </w:r>
      <w:r>
        <w:rPr>
          <w:szCs w:val="22"/>
        </w:rPr>
        <w:t>material cost was</w:t>
      </w:r>
      <w:r w:rsidRPr="00AA5B3F">
        <w:rPr>
          <w:szCs w:val="22"/>
        </w:rPr>
        <w:t xml:space="preserve"> </w:t>
      </w:r>
      <w:r w:rsidR="00893351">
        <w:rPr>
          <w:rFonts w:cs="Calibri Light"/>
          <w:szCs w:val="22"/>
        </w:rPr>
        <w:t>calculated a</w:t>
      </w:r>
      <w:bookmarkStart w:id="54" w:name="_GoBack"/>
      <w:bookmarkEnd w:id="54"/>
      <w:r w:rsidR="00893351">
        <w:rPr>
          <w:rFonts w:cs="Calibri Light"/>
          <w:szCs w:val="22"/>
        </w:rPr>
        <w:t>s the average manufacturer list prices obtained</w:t>
      </w:r>
      <w:r w:rsidR="00187732" w:rsidRPr="00187732">
        <w:rPr>
          <w:rFonts w:cs="Calibri Light"/>
          <w:szCs w:val="22"/>
        </w:rPr>
        <w:t xml:space="preserve"> from a number of sources</w:t>
      </w:r>
      <w:r w:rsidR="009512AB">
        <w:rPr>
          <w:rFonts w:cs="Calibri Light"/>
          <w:i/>
          <w:szCs w:val="22"/>
        </w:rPr>
        <w:t>,</w:t>
      </w:r>
      <w:r w:rsidR="00187732" w:rsidRPr="00187732">
        <w:rPr>
          <w:rFonts w:cs="Calibri Light"/>
          <w:szCs w:val="22"/>
        </w:rPr>
        <w:t xml:space="preserve"> including equipment sales representatives and online sources.</w:t>
      </w:r>
      <w:r w:rsidR="005A08F8">
        <w:rPr>
          <w:rStyle w:val="FootnoteReference"/>
          <w:rFonts w:cs="Calibri Light"/>
          <w:szCs w:val="22"/>
        </w:rPr>
        <w:footnoteReference w:id="6"/>
      </w:r>
      <w:r w:rsidR="00187732" w:rsidRPr="00187732">
        <w:rPr>
          <w:rFonts w:cs="Calibri Light"/>
          <w:szCs w:val="22"/>
        </w:rPr>
        <w:t xml:space="preserve"> Manufacturer published list prices </w:t>
      </w:r>
      <w:r w:rsidR="00D44673">
        <w:rPr>
          <w:rFonts w:cs="Calibri Light"/>
          <w:szCs w:val="22"/>
        </w:rPr>
        <w:t>and discounts vary</w:t>
      </w:r>
      <w:r w:rsidR="00893351">
        <w:rPr>
          <w:rFonts w:cs="Calibri Light"/>
          <w:szCs w:val="22"/>
        </w:rPr>
        <w:t>; t</w:t>
      </w:r>
      <w:r w:rsidR="00187732" w:rsidRPr="00187732">
        <w:rPr>
          <w:rFonts w:cs="Calibri Light"/>
          <w:szCs w:val="22"/>
        </w:rPr>
        <w:t>he</w:t>
      </w:r>
      <w:r w:rsidR="00893351">
        <w:rPr>
          <w:rFonts w:cs="Calibri Light"/>
          <w:szCs w:val="22"/>
        </w:rPr>
        <w:t xml:space="preserve"> average base case price represents the</w:t>
      </w:r>
      <w:r w:rsidR="00187732" w:rsidRPr="00187732">
        <w:rPr>
          <w:rFonts w:cs="Calibri Light"/>
          <w:szCs w:val="22"/>
        </w:rPr>
        <w:t xml:space="preserve"> non-discounted prices were used since equipment pricing in the food service industry is closely held information and prices vary widely according to buying volume and other factors.</w:t>
      </w:r>
    </w:p>
    <w:p w14:paraId="374010C8" w14:textId="77777777" w:rsidR="00187732" w:rsidRPr="009249F6" w:rsidRDefault="00187732" w:rsidP="00187732">
      <w:pPr>
        <w:pStyle w:val="Reminders"/>
        <w:rPr>
          <w:rFonts w:cs="Calibri Light"/>
          <w:szCs w:val="22"/>
        </w:rPr>
      </w:pPr>
    </w:p>
    <w:p w14:paraId="2FD0A7E4" w14:textId="77777777" w:rsidR="007D230B" w:rsidRPr="004B06E3" w:rsidRDefault="007D230B" w:rsidP="00AF7830">
      <w:pPr>
        <w:pStyle w:val="eTRMHeading3"/>
      </w:pPr>
      <w:bookmarkStart w:id="55" w:name="_Toc486490861"/>
      <w:bookmarkStart w:id="56" w:name="_Toc486580932"/>
      <w:bookmarkStart w:id="57" w:name="_Toc528684015"/>
      <w:r w:rsidRPr="004B06E3">
        <w:t>Measure Case Material Cost ($/unit)</w:t>
      </w:r>
      <w:bookmarkEnd w:id="55"/>
      <w:bookmarkEnd w:id="56"/>
      <w:bookmarkEnd w:id="57"/>
    </w:p>
    <w:p w14:paraId="72C5AA7F" w14:textId="77777777" w:rsidR="008346AB" w:rsidRPr="00CA4BF8" w:rsidRDefault="000B5A9A" w:rsidP="00CA4BF8">
      <w:pPr>
        <w:pStyle w:val="Reminders"/>
        <w:rPr>
          <w:rFonts w:cs="Calibri Light"/>
          <w:i/>
          <w:szCs w:val="22"/>
        </w:rPr>
      </w:pPr>
      <w:r>
        <w:t xml:space="preserve">The measure case material cost for </w:t>
      </w:r>
      <w:r w:rsidRPr="00076709">
        <w:rPr>
          <w:i/>
        </w:rPr>
        <w:t>all delivery types</w:t>
      </w:r>
      <w:r>
        <w:t xml:space="preserve"> was </w:t>
      </w:r>
      <w:r>
        <w:rPr>
          <w:rFonts w:cs="Calibri Light"/>
          <w:szCs w:val="22"/>
        </w:rPr>
        <w:t xml:space="preserve">derived </w:t>
      </w:r>
      <w:r w:rsidR="00D909CF" w:rsidRPr="00D909CF">
        <w:rPr>
          <w:rFonts w:cs="Calibri Light"/>
          <w:szCs w:val="22"/>
        </w:rPr>
        <w:t xml:space="preserve">from </w:t>
      </w:r>
      <w:proofErr w:type="gramStart"/>
      <w:r w:rsidR="00D909CF" w:rsidRPr="00D909CF">
        <w:rPr>
          <w:rFonts w:cs="Calibri Light"/>
          <w:szCs w:val="22"/>
        </w:rPr>
        <w:t>a number of</w:t>
      </w:r>
      <w:proofErr w:type="gramEnd"/>
      <w:r w:rsidR="00D909CF" w:rsidRPr="00D909CF">
        <w:rPr>
          <w:rFonts w:cs="Calibri Light"/>
          <w:szCs w:val="22"/>
        </w:rPr>
        <w:t xml:space="preserve"> sources</w:t>
      </w:r>
      <w:r w:rsidR="00D44673">
        <w:rPr>
          <w:rFonts w:cs="Calibri Light"/>
          <w:szCs w:val="22"/>
        </w:rPr>
        <w:t>,</w:t>
      </w:r>
      <w:r w:rsidR="00D909CF" w:rsidRPr="00D909CF">
        <w:rPr>
          <w:rFonts w:cs="Calibri Light"/>
          <w:szCs w:val="22"/>
        </w:rPr>
        <w:t xml:space="preserve"> including equipment sales representatives and online sources.</w:t>
      </w:r>
      <w:r w:rsidR="005A08F8">
        <w:rPr>
          <w:rStyle w:val="FootnoteReference"/>
          <w:rFonts w:cs="Calibri Light"/>
          <w:szCs w:val="22"/>
        </w:rPr>
        <w:footnoteReference w:id="7"/>
      </w:r>
      <w:r w:rsidR="00D909CF" w:rsidRPr="00D909CF">
        <w:rPr>
          <w:rFonts w:cs="Calibri Light"/>
          <w:szCs w:val="22"/>
        </w:rPr>
        <w:t xml:space="preserve"> </w:t>
      </w:r>
      <w:bookmarkStart w:id="58" w:name="_Ref489264969"/>
      <w:r w:rsidR="00893351" w:rsidRPr="00187732">
        <w:rPr>
          <w:rFonts w:cs="Calibri Light"/>
          <w:szCs w:val="22"/>
        </w:rPr>
        <w:t xml:space="preserve">Manufacturer published list prices </w:t>
      </w:r>
      <w:r w:rsidR="00893351">
        <w:rPr>
          <w:rFonts w:cs="Calibri Light"/>
          <w:szCs w:val="22"/>
        </w:rPr>
        <w:t>and discounts vary; t</w:t>
      </w:r>
      <w:r w:rsidR="00893351" w:rsidRPr="00187732">
        <w:rPr>
          <w:rFonts w:cs="Calibri Light"/>
          <w:szCs w:val="22"/>
        </w:rPr>
        <w:t>he</w:t>
      </w:r>
      <w:r w:rsidR="00893351">
        <w:rPr>
          <w:rFonts w:cs="Calibri Light"/>
          <w:szCs w:val="22"/>
        </w:rPr>
        <w:t xml:space="preserve"> average base case price represents the</w:t>
      </w:r>
      <w:r w:rsidR="00893351" w:rsidRPr="00187732">
        <w:rPr>
          <w:rFonts w:cs="Calibri Light"/>
          <w:szCs w:val="22"/>
        </w:rPr>
        <w:t xml:space="preserve"> non-discounted prices since equipment pricing in the food service industry is closely held information and prices vary widely according to buying volume and other factors.</w:t>
      </w:r>
    </w:p>
    <w:p w14:paraId="242AADB8" w14:textId="77777777" w:rsidR="009512AB" w:rsidRDefault="009512AB" w:rsidP="009512AB">
      <w:pPr>
        <w:pStyle w:val="Reminders"/>
        <w:rPr>
          <w:rFonts w:cs="Calibri Light"/>
          <w:szCs w:val="22"/>
        </w:rPr>
      </w:pPr>
      <w:bookmarkStart w:id="59" w:name="_Toc486490862"/>
      <w:bookmarkStart w:id="60" w:name="_Toc486580933"/>
      <w:bookmarkEnd w:id="58"/>
    </w:p>
    <w:p w14:paraId="14572EC2" w14:textId="77777777" w:rsidR="00CD5145" w:rsidRPr="004B06E3" w:rsidRDefault="00CD5145" w:rsidP="00CD5145">
      <w:pPr>
        <w:pStyle w:val="eTRMHeading3"/>
      </w:pPr>
      <w:bookmarkStart w:id="61" w:name="_Toc528684016"/>
      <w:r>
        <w:t xml:space="preserve">Base Case </w:t>
      </w:r>
      <w:r w:rsidRPr="004B06E3">
        <w:t>Labor Cost ($/unit)</w:t>
      </w:r>
      <w:bookmarkEnd w:id="61"/>
    </w:p>
    <w:p w14:paraId="6FA983D1" w14:textId="77777777" w:rsidR="000B5A9A" w:rsidRDefault="000B5A9A" w:rsidP="000B5A9A">
      <w:r>
        <w:t xml:space="preserve">The base case labor cost for equipment </w:t>
      </w:r>
      <w:r w:rsidRPr="00B310F1">
        <w:rPr>
          <w:i/>
        </w:rPr>
        <w:t>delivered via direct install</w:t>
      </w:r>
      <w:r>
        <w:t xml:space="preserve"> is equal to $0.</w:t>
      </w:r>
    </w:p>
    <w:p w14:paraId="5532E3BB" w14:textId="77777777" w:rsidR="000B5A9A" w:rsidRDefault="000B5A9A" w:rsidP="000B5A9A">
      <w:pPr>
        <w:rPr>
          <w:rFonts w:cstheme="minorHAnsi"/>
          <w:szCs w:val="22"/>
        </w:rPr>
      </w:pPr>
      <w:r>
        <w:t xml:space="preserve">For </w:t>
      </w:r>
      <w:r w:rsidRPr="00B310F1">
        <w:rPr>
          <w:i/>
        </w:rPr>
        <w:t>all other delivery types</w:t>
      </w:r>
      <w:r>
        <w:t>,</w:t>
      </w:r>
      <w:r w:rsidRPr="000B5A9A">
        <w:rPr>
          <w:rFonts w:cstheme="minorHAnsi"/>
          <w:szCs w:val="22"/>
        </w:rPr>
        <w:t xml:space="preserve"> </w:t>
      </w:r>
      <w:r>
        <w:rPr>
          <w:rFonts w:cstheme="minorHAnsi"/>
          <w:szCs w:val="22"/>
        </w:rPr>
        <w:t>the installation labor cost inputs are provided below.</w:t>
      </w:r>
    </w:p>
    <w:p w14:paraId="1C57720D" w14:textId="77777777" w:rsidR="000B5A9A" w:rsidRPr="000A0E36" w:rsidRDefault="000B5A9A" w:rsidP="000B5A9A">
      <w:pPr>
        <w:pStyle w:val="Caption"/>
      </w:pPr>
      <w:r>
        <w:lastRenderedPageBreak/>
        <w:t>Installation Labor Cost Inputs</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880"/>
        <w:gridCol w:w="2430"/>
        <w:gridCol w:w="4230"/>
      </w:tblGrid>
      <w:tr w:rsidR="000B5A9A" w:rsidRPr="00052C24" w14:paraId="1FFE0AAA" w14:textId="77777777" w:rsidTr="00634922">
        <w:tc>
          <w:tcPr>
            <w:tcW w:w="2880" w:type="dxa"/>
            <w:shd w:val="clear" w:color="auto" w:fill="F2F2F2" w:themeFill="background1" w:themeFillShade="F2"/>
            <w:vAlign w:val="bottom"/>
          </w:tcPr>
          <w:p w14:paraId="61BF0C86" w14:textId="77777777" w:rsidR="000B5A9A" w:rsidRPr="00052C24" w:rsidRDefault="000B5A9A" w:rsidP="00634922">
            <w:pPr>
              <w:keepNext/>
              <w:keepLines/>
              <w:spacing w:before="0" w:after="0" w:line="200" w:lineRule="atLeast"/>
              <w:jc w:val="center"/>
              <w:rPr>
                <w:b/>
                <w:sz w:val="20"/>
              </w:rPr>
            </w:pPr>
            <w:r>
              <w:rPr>
                <w:b/>
                <w:sz w:val="20"/>
              </w:rPr>
              <w:t>Parameter</w:t>
            </w:r>
          </w:p>
        </w:tc>
        <w:tc>
          <w:tcPr>
            <w:tcW w:w="2430" w:type="dxa"/>
            <w:shd w:val="clear" w:color="auto" w:fill="F2F2F2" w:themeFill="background1" w:themeFillShade="F2"/>
            <w:vAlign w:val="bottom"/>
          </w:tcPr>
          <w:p w14:paraId="79506C88" w14:textId="77777777" w:rsidR="000B5A9A" w:rsidRPr="00052C24" w:rsidRDefault="000B5A9A" w:rsidP="00634922">
            <w:pPr>
              <w:keepNext/>
              <w:keepLines/>
              <w:spacing w:before="0" w:after="0" w:line="200" w:lineRule="atLeast"/>
              <w:jc w:val="center"/>
              <w:rPr>
                <w:b/>
                <w:sz w:val="20"/>
              </w:rPr>
            </w:pPr>
            <w:r>
              <w:rPr>
                <w:b/>
                <w:sz w:val="20"/>
              </w:rPr>
              <w:t>Value</w:t>
            </w:r>
          </w:p>
        </w:tc>
        <w:tc>
          <w:tcPr>
            <w:tcW w:w="4230" w:type="dxa"/>
            <w:shd w:val="clear" w:color="auto" w:fill="F2F2F2" w:themeFill="background1" w:themeFillShade="F2"/>
          </w:tcPr>
          <w:p w14:paraId="1D60A747" w14:textId="77777777" w:rsidR="000B5A9A" w:rsidRDefault="000B5A9A" w:rsidP="00634922">
            <w:pPr>
              <w:keepNext/>
              <w:keepLines/>
              <w:spacing w:before="0" w:after="0" w:line="200" w:lineRule="atLeast"/>
              <w:jc w:val="center"/>
              <w:rPr>
                <w:b/>
                <w:sz w:val="20"/>
              </w:rPr>
            </w:pPr>
            <w:r>
              <w:rPr>
                <w:b/>
                <w:sz w:val="20"/>
              </w:rPr>
              <w:t>Source</w:t>
            </w:r>
          </w:p>
        </w:tc>
      </w:tr>
      <w:tr w:rsidR="000B5A9A" w:rsidRPr="00DD4D58" w14:paraId="3B1F053B" w14:textId="77777777" w:rsidTr="00634922">
        <w:trPr>
          <w:trHeight w:val="260"/>
        </w:trPr>
        <w:tc>
          <w:tcPr>
            <w:tcW w:w="2880" w:type="dxa"/>
            <w:vAlign w:val="center"/>
          </w:tcPr>
          <w:p w14:paraId="6FEBD440" w14:textId="77777777" w:rsidR="000B5A9A" w:rsidRPr="00C45400" w:rsidRDefault="000B5A9A" w:rsidP="00634922">
            <w:pPr>
              <w:keepNext/>
              <w:keepLines/>
              <w:spacing w:before="0" w:after="0" w:line="200" w:lineRule="atLeast"/>
              <w:rPr>
                <w:sz w:val="20"/>
              </w:rPr>
            </w:pPr>
            <w:r>
              <w:rPr>
                <w:sz w:val="20"/>
              </w:rPr>
              <w:t>Labor hours</w:t>
            </w:r>
          </w:p>
        </w:tc>
        <w:tc>
          <w:tcPr>
            <w:tcW w:w="2430" w:type="dxa"/>
            <w:shd w:val="clear" w:color="auto" w:fill="auto"/>
            <w:vAlign w:val="center"/>
          </w:tcPr>
          <w:p w14:paraId="453A99CE" w14:textId="77777777" w:rsidR="000B5A9A" w:rsidRPr="00722387" w:rsidRDefault="000B5A9A" w:rsidP="00634922">
            <w:pPr>
              <w:keepNext/>
              <w:keepLines/>
              <w:spacing w:before="0" w:after="0" w:line="200" w:lineRule="atLeast"/>
              <w:jc w:val="center"/>
              <w:rPr>
                <w:sz w:val="20"/>
              </w:rPr>
            </w:pPr>
            <w:r w:rsidRPr="00722387">
              <w:rPr>
                <w:sz w:val="20"/>
              </w:rPr>
              <w:t>0.5</w:t>
            </w:r>
            <w:r>
              <w:rPr>
                <w:sz w:val="20"/>
              </w:rPr>
              <w:t>0</w:t>
            </w:r>
          </w:p>
        </w:tc>
        <w:tc>
          <w:tcPr>
            <w:tcW w:w="4230" w:type="dxa"/>
            <w:vMerge w:val="restart"/>
            <w:vAlign w:val="center"/>
          </w:tcPr>
          <w:p w14:paraId="742B45BB" w14:textId="77777777" w:rsidR="000B5A9A" w:rsidRPr="00A579ED" w:rsidRDefault="000B5A9A" w:rsidP="00634922">
            <w:pPr>
              <w:keepNext/>
              <w:keepLines/>
              <w:spacing w:before="0" w:after="0" w:line="200" w:lineRule="atLeast"/>
              <w:rPr>
                <w:sz w:val="18"/>
              </w:rPr>
            </w:pPr>
            <w:r w:rsidRPr="00A579ED">
              <w:rPr>
                <w:sz w:val="18"/>
              </w:rPr>
              <w:t xml:space="preserve">Summit Blue Consulting, LLC. 2008. </w:t>
            </w:r>
            <w:r w:rsidRPr="00A579ED">
              <w:rPr>
                <w:i/>
                <w:sz w:val="18"/>
              </w:rPr>
              <w:t>2008 DEER Measure Cost Documentation Revision 3.</w:t>
            </w:r>
          </w:p>
        </w:tc>
      </w:tr>
      <w:tr w:rsidR="000B5A9A" w:rsidRPr="003B443A" w14:paraId="74BC3614" w14:textId="77777777" w:rsidTr="00634922">
        <w:tc>
          <w:tcPr>
            <w:tcW w:w="2880" w:type="dxa"/>
            <w:vAlign w:val="center"/>
          </w:tcPr>
          <w:p w14:paraId="30186A4C" w14:textId="77777777" w:rsidR="000B5A9A" w:rsidRPr="00C45400" w:rsidRDefault="000B5A9A" w:rsidP="00634922">
            <w:pPr>
              <w:keepNext/>
              <w:keepLines/>
              <w:spacing w:before="0" w:after="0" w:line="200" w:lineRule="atLeast"/>
              <w:rPr>
                <w:sz w:val="20"/>
              </w:rPr>
            </w:pPr>
            <w:r>
              <w:rPr>
                <w:sz w:val="20"/>
              </w:rPr>
              <w:t>Labor rate ($/hour)</w:t>
            </w:r>
          </w:p>
        </w:tc>
        <w:tc>
          <w:tcPr>
            <w:tcW w:w="2430" w:type="dxa"/>
            <w:shd w:val="clear" w:color="auto" w:fill="auto"/>
            <w:vAlign w:val="center"/>
          </w:tcPr>
          <w:p w14:paraId="33B2B27D" w14:textId="77777777" w:rsidR="000B5A9A" w:rsidRPr="00722387" w:rsidRDefault="000B5A9A" w:rsidP="00634922">
            <w:pPr>
              <w:keepNext/>
              <w:keepLines/>
              <w:spacing w:before="0" w:after="0" w:line="200" w:lineRule="atLeast"/>
              <w:jc w:val="center"/>
              <w:rPr>
                <w:sz w:val="20"/>
              </w:rPr>
            </w:pPr>
            <w:r w:rsidRPr="00722387">
              <w:rPr>
                <w:sz w:val="20"/>
              </w:rPr>
              <w:t>$67.88</w:t>
            </w:r>
          </w:p>
        </w:tc>
        <w:tc>
          <w:tcPr>
            <w:tcW w:w="4230" w:type="dxa"/>
            <w:vMerge/>
          </w:tcPr>
          <w:p w14:paraId="697626D2" w14:textId="77777777" w:rsidR="000B5A9A" w:rsidRDefault="000B5A9A" w:rsidP="00634922">
            <w:pPr>
              <w:keepNext/>
              <w:keepLines/>
              <w:spacing w:before="0" w:after="0" w:line="200" w:lineRule="atLeast"/>
              <w:jc w:val="center"/>
              <w:rPr>
                <w:color w:val="FF0000"/>
                <w:sz w:val="20"/>
              </w:rPr>
            </w:pPr>
          </w:p>
        </w:tc>
      </w:tr>
    </w:tbl>
    <w:p w14:paraId="73739DC4" w14:textId="77777777" w:rsidR="00CD5145" w:rsidRDefault="00CD5145" w:rsidP="009512AB">
      <w:pPr>
        <w:pStyle w:val="Reminders"/>
        <w:rPr>
          <w:rFonts w:cs="Calibri Light"/>
          <w:szCs w:val="22"/>
        </w:rPr>
      </w:pPr>
    </w:p>
    <w:p w14:paraId="357855D3" w14:textId="77777777" w:rsidR="007D230B" w:rsidRPr="004B06E3" w:rsidRDefault="00CD5145" w:rsidP="00AF7830">
      <w:pPr>
        <w:pStyle w:val="eTRMHeading3"/>
      </w:pPr>
      <w:bookmarkStart w:id="62" w:name="_Toc528684017"/>
      <w:r>
        <w:t xml:space="preserve">Measure Case </w:t>
      </w:r>
      <w:r w:rsidR="007D230B" w:rsidRPr="004B06E3">
        <w:t>Labor Cost ($/unit)</w:t>
      </w:r>
      <w:bookmarkEnd w:id="59"/>
      <w:bookmarkEnd w:id="60"/>
      <w:bookmarkEnd w:id="62"/>
    </w:p>
    <w:p w14:paraId="64814F99" w14:textId="77777777" w:rsidR="000B5A9A" w:rsidRDefault="000B5A9A" w:rsidP="000B5A9A">
      <w:pPr>
        <w:spacing w:before="40" w:after="40"/>
        <w:rPr>
          <w:rFonts w:ascii="Calibri" w:eastAsiaTheme="minorHAnsi" w:hAnsi="Calibri"/>
          <w:color w:val="000000"/>
          <w:szCs w:val="22"/>
        </w:rPr>
      </w:pPr>
      <w:r>
        <w:rPr>
          <w:color w:val="000000"/>
        </w:rPr>
        <w:t xml:space="preserve">The measure case labor cost for equipment </w:t>
      </w:r>
      <w:r w:rsidRPr="00C315A6">
        <w:rPr>
          <w:i/>
          <w:color w:val="000000"/>
        </w:rPr>
        <w:t>delivered via direct install</w:t>
      </w:r>
      <w:r>
        <w:rPr>
          <w:color w:val="000000"/>
        </w:rPr>
        <w:t xml:space="preserve"> will be derived as the average installation cost submitted by one or more implementation contractors. The actual installation cost can vary by contractor, the date when the work occurred, and by the volume of each specific contractor’s business. Contractor costs are confidential information and are based upon contractually agreed upon pricing as established in their purchase order with the program administrator. Therefore, the program administrator program tracking systems are the only source for the labor installation cost data.  The program administrator will utilize the actual program cost to evaluate the cost-effectiveness of the measure.</w:t>
      </w:r>
    </w:p>
    <w:p w14:paraId="4FD79984" w14:textId="77777777" w:rsidR="000870B7" w:rsidRDefault="000B5A9A" w:rsidP="000870B7">
      <w:pPr>
        <w:rPr>
          <w:rFonts w:cstheme="minorHAnsi"/>
          <w:szCs w:val="22"/>
        </w:rPr>
      </w:pPr>
      <w:r>
        <w:t xml:space="preserve">For </w:t>
      </w:r>
      <w:r w:rsidRPr="00C315A6">
        <w:rPr>
          <w:i/>
        </w:rPr>
        <w:t>all other delivery types</w:t>
      </w:r>
      <w:r>
        <w:t>, t</w:t>
      </w:r>
      <w:r w:rsidR="006875F8">
        <w:rPr>
          <w:rFonts w:cstheme="minorHAnsi"/>
          <w:szCs w:val="22"/>
        </w:rPr>
        <w:t>he installation labor cost inputs are provided below</w:t>
      </w:r>
      <w:r w:rsidR="000870B7">
        <w:rPr>
          <w:rFonts w:cstheme="minorHAnsi"/>
          <w:szCs w:val="22"/>
        </w:rPr>
        <w:t>.</w:t>
      </w:r>
    </w:p>
    <w:p w14:paraId="1D293D3D" w14:textId="77777777" w:rsidR="006875F8" w:rsidRPr="000A0E36" w:rsidRDefault="006875F8" w:rsidP="006875F8">
      <w:pPr>
        <w:pStyle w:val="Caption"/>
      </w:pPr>
      <w:r>
        <w:t>Installation Labor Cost Inputs</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880"/>
        <w:gridCol w:w="2430"/>
        <w:gridCol w:w="4230"/>
      </w:tblGrid>
      <w:tr w:rsidR="006875F8" w:rsidRPr="00052C24" w14:paraId="04EE112A" w14:textId="77777777" w:rsidTr="006875F8">
        <w:tc>
          <w:tcPr>
            <w:tcW w:w="2880" w:type="dxa"/>
            <w:shd w:val="clear" w:color="auto" w:fill="F2F2F2" w:themeFill="background1" w:themeFillShade="F2"/>
            <w:vAlign w:val="bottom"/>
          </w:tcPr>
          <w:p w14:paraId="521F104C" w14:textId="77777777" w:rsidR="006875F8" w:rsidRPr="00052C24" w:rsidRDefault="006875F8" w:rsidP="005A19B8">
            <w:pPr>
              <w:keepNext/>
              <w:keepLines/>
              <w:spacing w:before="0" w:after="0" w:line="200" w:lineRule="atLeast"/>
              <w:jc w:val="center"/>
              <w:rPr>
                <w:b/>
                <w:sz w:val="20"/>
              </w:rPr>
            </w:pPr>
            <w:r>
              <w:rPr>
                <w:b/>
                <w:sz w:val="20"/>
              </w:rPr>
              <w:t>Parameter</w:t>
            </w:r>
          </w:p>
        </w:tc>
        <w:tc>
          <w:tcPr>
            <w:tcW w:w="2430" w:type="dxa"/>
            <w:shd w:val="clear" w:color="auto" w:fill="F2F2F2" w:themeFill="background1" w:themeFillShade="F2"/>
            <w:vAlign w:val="bottom"/>
          </w:tcPr>
          <w:p w14:paraId="0CC103DC" w14:textId="77777777" w:rsidR="006875F8" w:rsidRPr="00052C24" w:rsidRDefault="006875F8" w:rsidP="005A19B8">
            <w:pPr>
              <w:keepNext/>
              <w:keepLines/>
              <w:spacing w:before="0" w:after="0" w:line="200" w:lineRule="atLeast"/>
              <w:jc w:val="center"/>
              <w:rPr>
                <w:b/>
                <w:sz w:val="20"/>
              </w:rPr>
            </w:pPr>
            <w:r>
              <w:rPr>
                <w:b/>
                <w:sz w:val="20"/>
              </w:rPr>
              <w:t>Value</w:t>
            </w:r>
          </w:p>
        </w:tc>
        <w:tc>
          <w:tcPr>
            <w:tcW w:w="4230" w:type="dxa"/>
            <w:shd w:val="clear" w:color="auto" w:fill="F2F2F2" w:themeFill="background1" w:themeFillShade="F2"/>
          </w:tcPr>
          <w:p w14:paraId="63BDD700" w14:textId="77777777" w:rsidR="006875F8" w:rsidRDefault="006875F8" w:rsidP="005A19B8">
            <w:pPr>
              <w:keepNext/>
              <w:keepLines/>
              <w:spacing w:before="0" w:after="0" w:line="200" w:lineRule="atLeast"/>
              <w:jc w:val="center"/>
              <w:rPr>
                <w:b/>
                <w:sz w:val="20"/>
              </w:rPr>
            </w:pPr>
            <w:r>
              <w:rPr>
                <w:b/>
                <w:sz w:val="20"/>
              </w:rPr>
              <w:t>Source</w:t>
            </w:r>
          </w:p>
        </w:tc>
      </w:tr>
      <w:tr w:rsidR="006875F8" w:rsidRPr="00DD4D58" w14:paraId="5BF9B4B4" w14:textId="77777777" w:rsidTr="00B10D0A">
        <w:trPr>
          <w:trHeight w:val="260"/>
        </w:trPr>
        <w:tc>
          <w:tcPr>
            <w:tcW w:w="2880" w:type="dxa"/>
            <w:vAlign w:val="center"/>
          </w:tcPr>
          <w:p w14:paraId="3C153CE5" w14:textId="77777777" w:rsidR="006875F8" w:rsidRPr="00C45400" w:rsidRDefault="006875F8" w:rsidP="005A19B8">
            <w:pPr>
              <w:keepNext/>
              <w:keepLines/>
              <w:spacing w:before="0" w:after="0" w:line="200" w:lineRule="atLeast"/>
              <w:rPr>
                <w:sz w:val="20"/>
              </w:rPr>
            </w:pPr>
            <w:r>
              <w:rPr>
                <w:sz w:val="20"/>
              </w:rPr>
              <w:t>Labor hours</w:t>
            </w:r>
          </w:p>
        </w:tc>
        <w:tc>
          <w:tcPr>
            <w:tcW w:w="2430" w:type="dxa"/>
            <w:shd w:val="clear" w:color="auto" w:fill="auto"/>
            <w:vAlign w:val="center"/>
          </w:tcPr>
          <w:p w14:paraId="15CDDF5B" w14:textId="77777777" w:rsidR="006875F8" w:rsidRPr="00722387" w:rsidRDefault="006875F8" w:rsidP="005A19B8">
            <w:pPr>
              <w:keepNext/>
              <w:keepLines/>
              <w:spacing w:before="0" w:after="0" w:line="200" w:lineRule="atLeast"/>
              <w:jc w:val="center"/>
              <w:rPr>
                <w:sz w:val="20"/>
              </w:rPr>
            </w:pPr>
            <w:r w:rsidRPr="00722387">
              <w:rPr>
                <w:sz w:val="20"/>
              </w:rPr>
              <w:t>0.5</w:t>
            </w:r>
            <w:r w:rsidR="00DB4835">
              <w:rPr>
                <w:sz w:val="20"/>
              </w:rPr>
              <w:t>0</w:t>
            </w:r>
          </w:p>
        </w:tc>
        <w:tc>
          <w:tcPr>
            <w:tcW w:w="4230" w:type="dxa"/>
            <w:vMerge w:val="restart"/>
            <w:vAlign w:val="center"/>
          </w:tcPr>
          <w:p w14:paraId="15FE6873" w14:textId="77777777" w:rsidR="006875F8" w:rsidRPr="00A579ED" w:rsidRDefault="006875F8" w:rsidP="00B10D0A">
            <w:pPr>
              <w:keepNext/>
              <w:keepLines/>
              <w:spacing w:before="0" w:after="0" w:line="200" w:lineRule="atLeast"/>
              <w:rPr>
                <w:sz w:val="18"/>
              </w:rPr>
            </w:pPr>
            <w:r w:rsidRPr="00A579ED">
              <w:rPr>
                <w:sz w:val="18"/>
              </w:rPr>
              <w:t xml:space="preserve">Summit Blue Consulting, LLC. 2008. </w:t>
            </w:r>
            <w:r w:rsidRPr="00A579ED">
              <w:rPr>
                <w:i/>
                <w:sz w:val="18"/>
              </w:rPr>
              <w:t>2008 DEER Measure Cost Documentation Revision 3.</w:t>
            </w:r>
          </w:p>
        </w:tc>
      </w:tr>
      <w:tr w:rsidR="006875F8" w:rsidRPr="003B443A" w14:paraId="6F317737" w14:textId="77777777" w:rsidTr="006875F8">
        <w:tc>
          <w:tcPr>
            <w:tcW w:w="2880" w:type="dxa"/>
            <w:vAlign w:val="center"/>
          </w:tcPr>
          <w:p w14:paraId="15964EAF" w14:textId="77777777" w:rsidR="006875F8" w:rsidRPr="00C45400" w:rsidRDefault="006875F8" w:rsidP="005A19B8">
            <w:pPr>
              <w:keepNext/>
              <w:keepLines/>
              <w:spacing w:before="0" w:after="0" w:line="200" w:lineRule="atLeast"/>
              <w:rPr>
                <w:sz w:val="20"/>
              </w:rPr>
            </w:pPr>
            <w:r>
              <w:rPr>
                <w:sz w:val="20"/>
              </w:rPr>
              <w:t>Labor rate ($/hour)</w:t>
            </w:r>
          </w:p>
        </w:tc>
        <w:tc>
          <w:tcPr>
            <w:tcW w:w="2430" w:type="dxa"/>
            <w:shd w:val="clear" w:color="auto" w:fill="auto"/>
            <w:vAlign w:val="center"/>
          </w:tcPr>
          <w:p w14:paraId="42555BA0" w14:textId="77777777" w:rsidR="006875F8" w:rsidRPr="00722387" w:rsidRDefault="006875F8" w:rsidP="005A19B8">
            <w:pPr>
              <w:keepNext/>
              <w:keepLines/>
              <w:spacing w:before="0" w:after="0" w:line="200" w:lineRule="atLeast"/>
              <w:jc w:val="center"/>
              <w:rPr>
                <w:sz w:val="20"/>
              </w:rPr>
            </w:pPr>
            <w:r w:rsidRPr="00722387">
              <w:rPr>
                <w:sz w:val="20"/>
              </w:rPr>
              <w:t>$67.88</w:t>
            </w:r>
          </w:p>
        </w:tc>
        <w:tc>
          <w:tcPr>
            <w:tcW w:w="4230" w:type="dxa"/>
            <w:vMerge/>
          </w:tcPr>
          <w:p w14:paraId="5FA8F0F9" w14:textId="77777777" w:rsidR="006875F8" w:rsidRDefault="006875F8" w:rsidP="005A19B8">
            <w:pPr>
              <w:keepNext/>
              <w:keepLines/>
              <w:spacing w:before="0" w:after="0" w:line="200" w:lineRule="atLeast"/>
              <w:jc w:val="center"/>
              <w:rPr>
                <w:color w:val="FF0000"/>
                <w:sz w:val="20"/>
              </w:rPr>
            </w:pPr>
          </w:p>
        </w:tc>
      </w:tr>
    </w:tbl>
    <w:p w14:paraId="57B7755C" w14:textId="77777777" w:rsidR="006875F8" w:rsidRPr="004B06E3" w:rsidRDefault="006875F8" w:rsidP="004142EF"/>
    <w:p w14:paraId="341E3858" w14:textId="77777777" w:rsidR="007D230B" w:rsidRPr="004B06E3" w:rsidRDefault="004B06E3" w:rsidP="00AF7830">
      <w:pPr>
        <w:pStyle w:val="eTRMHeading3"/>
      </w:pPr>
      <w:bookmarkStart w:id="63" w:name="_Toc486490863"/>
      <w:bookmarkStart w:id="64" w:name="_Toc486580934"/>
      <w:bookmarkStart w:id="65" w:name="_Toc528684018"/>
      <w:r>
        <w:t>Net-to-Gross</w:t>
      </w:r>
      <w:bookmarkEnd w:id="63"/>
      <w:bookmarkEnd w:id="64"/>
      <w:r w:rsidR="00C22CE1">
        <w:t xml:space="preserve"> (NTG)</w:t>
      </w:r>
      <w:bookmarkEnd w:id="65"/>
    </w:p>
    <w:p w14:paraId="06644D5B" w14:textId="77777777" w:rsidR="0098240E" w:rsidRPr="00ED494C" w:rsidRDefault="001D10EB" w:rsidP="00ED494C">
      <w:bookmarkStart w:id="66" w:name="_Hlk494309148"/>
      <w:r w:rsidRPr="00860FEC">
        <w:t xml:space="preserve">The net-to-gross (NTG) ratio represents the portion of gross impacts that are determined to be directly attributed to a specific program intervention. </w:t>
      </w:r>
      <w:bookmarkEnd w:id="66"/>
      <w:r w:rsidR="00AA53DA" w:rsidRPr="00AF3038">
        <w:t xml:space="preserve">These NTG values are based upon the average of all NTG ratios for all evaluated 2006 – 2008 commercial, industrial, and agriculture programs, as documented in the 2011 DEER Update Study conducted by Itron, Inc. These sector average NTGs (“default NTGs”) are applicable </w:t>
      </w:r>
      <w:r w:rsidR="00AA53DA">
        <w:t xml:space="preserve">to </w:t>
      </w:r>
      <w:r w:rsidR="00AA53DA" w:rsidRPr="00AF3038">
        <w:t xml:space="preserve">all energy efficiency measures that have been offered </w:t>
      </w:r>
      <w:r w:rsidR="00AA53DA">
        <w:t>through</w:t>
      </w:r>
      <w:r w:rsidR="00AA53DA" w:rsidRPr="00AF3038">
        <w:t xml:space="preserve"> commercial, industrial, and agriculture </w:t>
      </w:r>
      <w:r w:rsidR="00AA53DA">
        <w:t xml:space="preserve">sector </w:t>
      </w:r>
      <w:r w:rsidR="00AA53DA" w:rsidRPr="00AF3038">
        <w:t>programs for more than two years and for which impact evaluation results are not available.</w:t>
      </w:r>
      <w:r w:rsidR="00AA53DA" w:rsidRPr="00765218">
        <w:t> </w:t>
      </w:r>
      <w:r w:rsidR="007B7CEE">
        <w:t xml:space="preserve"> </w:t>
      </w:r>
    </w:p>
    <w:p w14:paraId="50F8572D" w14:textId="77777777" w:rsidR="0098240E" w:rsidRPr="0098240E" w:rsidRDefault="0098240E" w:rsidP="00187732">
      <w:pPr>
        <w:pStyle w:val="Caption"/>
      </w:pPr>
      <w:r w:rsidRPr="0098240E">
        <w:t>Net to Gross Ratio</w:t>
      </w:r>
      <w:r w:rsidR="004744AC">
        <w:t>s</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610"/>
        <w:gridCol w:w="1260"/>
        <w:gridCol w:w="5670"/>
      </w:tblGrid>
      <w:tr w:rsidR="00E20B8E" w:rsidRPr="00052C24" w14:paraId="54C32C2F" w14:textId="77777777" w:rsidTr="00DB4835">
        <w:tc>
          <w:tcPr>
            <w:tcW w:w="2610" w:type="dxa"/>
            <w:shd w:val="clear" w:color="auto" w:fill="F2F2F2" w:themeFill="background1" w:themeFillShade="F2"/>
            <w:vAlign w:val="bottom"/>
          </w:tcPr>
          <w:p w14:paraId="62353F40" w14:textId="77777777" w:rsidR="00201E7C" w:rsidRPr="00052C24" w:rsidRDefault="00201E7C" w:rsidP="009328FF">
            <w:pPr>
              <w:keepNext/>
              <w:keepLines/>
              <w:spacing w:before="0" w:after="0" w:line="200" w:lineRule="atLeast"/>
              <w:jc w:val="center"/>
              <w:rPr>
                <w:b/>
                <w:sz w:val="20"/>
              </w:rPr>
            </w:pPr>
            <w:r>
              <w:rPr>
                <w:b/>
                <w:sz w:val="20"/>
              </w:rPr>
              <w:t>Parameter</w:t>
            </w:r>
          </w:p>
        </w:tc>
        <w:tc>
          <w:tcPr>
            <w:tcW w:w="1260" w:type="dxa"/>
            <w:shd w:val="clear" w:color="auto" w:fill="F2F2F2" w:themeFill="background1" w:themeFillShade="F2"/>
            <w:vAlign w:val="bottom"/>
          </w:tcPr>
          <w:p w14:paraId="2FC8554A" w14:textId="77777777" w:rsidR="00201E7C" w:rsidRPr="00052C24" w:rsidRDefault="004744AC" w:rsidP="009328FF">
            <w:pPr>
              <w:keepNext/>
              <w:keepLines/>
              <w:spacing w:before="0" w:after="0" w:line="200" w:lineRule="atLeast"/>
              <w:jc w:val="center"/>
              <w:rPr>
                <w:b/>
                <w:sz w:val="20"/>
              </w:rPr>
            </w:pPr>
            <w:r>
              <w:rPr>
                <w:b/>
                <w:sz w:val="20"/>
              </w:rPr>
              <w:t>Value</w:t>
            </w:r>
          </w:p>
        </w:tc>
        <w:tc>
          <w:tcPr>
            <w:tcW w:w="5670" w:type="dxa"/>
            <w:shd w:val="clear" w:color="auto" w:fill="F2F2F2" w:themeFill="background1" w:themeFillShade="F2"/>
            <w:vAlign w:val="bottom"/>
          </w:tcPr>
          <w:p w14:paraId="337CC5F6" w14:textId="77777777" w:rsidR="00201E7C" w:rsidRDefault="00201E7C" w:rsidP="009328FF">
            <w:pPr>
              <w:keepNext/>
              <w:keepLines/>
              <w:spacing w:before="0" w:after="0" w:line="200" w:lineRule="atLeast"/>
              <w:jc w:val="center"/>
              <w:rPr>
                <w:b/>
                <w:sz w:val="20"/>
              </w:rPr>
            </w:pPr>
            <w:r>
              <w:rPr>
                <w:b/>
                <w:sz w:val="20"/>
              </w:rPr>
              <w:t>Source</w:t>
            </w:r>
          </w:p>
        </w:tc>
      </w:tr>
      <w:tr w:rsidR="00AA53DA" w:rsidRPr="009062D0" w14:paraId="4FF4F0F6" w14:textId="77777777" w:rsidTr="00DB4835">
        <w:trPr>
          <w:trHeight w:val="260"/>
        </w:trPr>
        <w:tc>
          <w:tcPr>
            <w:tcW w:w="2610" w:type="dxa"/>
            <w:vAlign w:val="center"/>
          </w:tcPr>
          <w:p w14:paraId="5E82DB4B" w14:textId="77777777" w:rsidR="00AA53DA" w:rsidRPr="009062D0" w:rsidRDefault="00AA53DA" w:rsidP="00AA53DA">
            <w:pPr>
              <w:keepNext/>
              <w:keepLines/>
              <w:spacing w:before="0" w:after="0" w:line="200" w:lineRule="atLeast"/>
              <w:rPr>
                <w:sz w:val="20"/>
              </w:rPr>
            </w:pPr>
            <w:r w:rsidRPr="009062D0">
              <w:rPr>
                <w:sz w:val="20"/>
              </w:rPr>
              <w:t>NTG – Commercial</w:t>
            </w:r>
          </w:p>
        </w:tc>
        <w:tc>
          <w:tcPr>
            <w:tcW w:w="1260" w:type="dxa"/>
            <w:shd w:val="clear" w:color="auto" w:fill="auto"/>
            <w:vAlign w:val="center"/>
          </w:tcPr>
          <w:p w14:paraId="5D23AC61" w14:textId="77777777" w:rsidR="00AA53DA" w:rsidRPr="00722387" w:rsidRDefault="00AA53DA" w:rsidP="00AA53DA">
            <w:pPr>
              <w:keepNext/>
              <w:keepLines/>
              <w:spacing w:before="0" w:after="0" w:line="200" w:lineRule="atLeast"/>
              <w:jc w:val="center"/>
              <w:rPr>
                <w:sz w:val="20"/>
              </w:rPr>
            </w:pPr>
            <w:r w:rsidRPr="00275CA0">
              <w:rPr>
                <w:sz w:val="20"/>
                <w:szCs w:val="20"/>
              </w:rPr>
              <w:t>0.60</w:t>
            </w:r>
          </w:p>
        </w:tc>
        <w:tc>
          <w:tcPr>
            <w:tcW w:w="5670" w:type="dxa"/>
            <w:vMerge w:val="restart"/>
            <w:vAlign w:val="center"/>
          </w:tcPr>
          <w:p w14:paraId="3C98E0CD" w14:textId="77777777" w:rsidR="00AA53DA" w:rsidRPr="0098318E" w:rsidRDefault="00AA53DA" w:rsidP="00AA53DA">
            <w:pPr>
              <w:keepNext/>
              <w:keepLines/>
              <w:spacing w:before="0" w:after="0" w:line="240" w:lineRule="auto"/>
              <w:rPr>
                <w:rFonts w:eastAsia="Times New Roman" w:cs="Times New Roman"/>
                <w:color w:val="000000"/>
                <w:sz w:val="18"/>
                <w:szCs w:val="18"/>
              </w:rPr>
            </w:pPr>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p>
        </w:tc>
      </w:tr>
      <w:tr w:rsidR="00AA53DA" w:rsidRPr="009062D0" w14:paraId="6F7D445C" w14:textId="77777777" w:rsidTr="00DB4835">
        <w:trPr>
          <w:trHeight w:val="260"/>
        </w:trPr>
        <w:tc>
          <w:tcPr>
            <w:tcW w:w="2610" w:type="dxa"/>
            <w:vAlign w:val="center"/>
          </w:tcPr>
          <w:p w14:paraId="02CCFB11" w14:textId="77777777" w:rsidR="00AA53DA" w:rsidRPr="009062D0" w:rsidRDefault="00AA53DA" w:rsidP="00AA53DA">
            <w:pPr>
              <w:keepNext/>
              <w:keepLines/>
              <w:spacing w:before="0" w:after="0" w:line="200" w:lineRule="atLeast"/>
              <w:rPr>
                <w:sz w:val="20"/>
              </w:rPr>
            </w:pPr>
            <w:r w:rsidRPr="009062D0">
              <w:rPr>
                <w:sz w:val="20"/>
              </w:rPr>
              <w:t>NTG – Industrial</w:t>
            </w:r>
          </w:p>
        </w:tc>
        <w:tc>
          <w:tcPr>
            <w:tcW w:w="1260" w:type="dxa"/>
            <w:shd w:val="clear" w:color="auto" w:fill="auto"/>
            <w:vAlign w:val="center"/>
          </w:tcPr>
          <w:p w14:paraId="0CC86BA8" w14:textId="77777777" w:rsidR="00AA53DA" w:rsidRPr="00722387" w:rsidRDefault="00AA53DA" w:rsidP="00AA53DA">
            <w:pPr>
              <w:keepNext/>
              <w:keepLines/>
              <w:spacing w:before="0" w:after="0" w:line="200" w:lineRule="atLeast"/>
              <w:jc w:val="center"/>
              <w:rPr>
                <w:sz w:val="20"/>
              </w:rPr>
            </w:pPr>
            <w:r w:rsidRPr="00275CA0">
              <w:rPr>
                <w:sz w:val="20"/>
                <w:szCs w:val="20"/>
              </w:rPr>
              <w:t>0.60</w:t>
            </w:r>
          </w:p>
        </w:tc>
        <w:tc>
          <w:tcPr>
            <w:tcW w:w="5670" w:type="dxa"/>
            <w:vMerge/>
            <w:vAlign w:val="center"/>
          </w:tcPr>
          <w:p w14:paraId="7FD6D383" w14:textId="77777777" w:rsidR="00AA53DA" w:rsidRPr="0098318E" w:rsidRDefault="00AA53DA" w:rsidP="00AA53DA">
            <w:pPr>
              <w:keepNext/>
              <w:keepLines/>
              <w:spacing w:before="0" w:after="0" w:line="240" w:lineRule="auto"/>
              <w:rPr>
                <w:sz w:val="18"/>
              </w:rPr>
            </w:pPr>
          </w:p>
        </w:tc>
      </w:tr>
      <w:tr w:rsidR="00AA53DA" w:rsidRPr="009062D0" w14:paraId="308317F5" w14:textId="77777777" w:rsidTr="00DB4835">
        <w:trPr>
          <w:trHeight w:val="260"/>
        </w:trPr>
        <w:tc>
          <w:tcPr>
            <w:tcW w:w="2610" w:type="dxa"/>
            <w:vAlign w:val="center"/>
          </w:tcPr>
          <w:p w14:paraId="33B47130" w14:textId="77777777" w:rsidR="00AA53DA" w:rsidRPr="009062D0" w:rsidRDefault="00AA53DA" w:rsidP="00AA53DA">
            <w:pPr>
              <w:keepNext/>
              <w:keepLines/>
              <w:spacing w:before="0" w:after="0" w:line="200" w:lineRule="atLeast"/>
              <w:rPr>
                <w:sz w:val="20"/>
              </w:rPr>
            </w:pPr>
            <w:r w:rsidRPr="009062D0">
              <w:rPr>
                <w:sz w:val="20"/>
              </w:rPr>
              <w:t>NTG - Agriculture</w:t>
            </w:r>
          </w:p>
        </w:tc>
        <w:tc>
          <w:tcPr>
            <w:tcW w:w="1260" w:type="dxa"/>
            <w:shd w:val="clear" w:color="auto" w:fill="auto"/>
            <w:vAlign w:val="center"/>
          </w:tcPr>
          <w:p w14:paraId="2C670A57" w14:textId="77777777" w:rsidR="00AA53DA" w:rsidRPr="00722387" w:rsidRDefault="00AA53DA" w:rsidP="00AA53DA">
            <w:pPr>
              <w:keepNext/>
              <w:keepLines/>
              <w:spacing w:before="0" w:after="0" w:line="200" w:lineRule="atLeast"/>
              <w:jc w:val="center"/>
              <w:rPr>
                <w:sz w:val="20"/>
              </w:rPr>
            </w:pPr>
            <w:r w:rsidRPr="00275CA0">
              <w:rPr>
                <w:sz w:val="20"/>
                <w:szCs w:val="20"/>
              </w:rPr>
              <w:t>0.60</w:t>
            </w:r>
          </w:p>
        </w:tc>
        <w:tc>
          <w:tcPr>
            <w:tcW w:w="5670" w:type="dxa"/>
            <w:vMerge/>
            <w:vAlign w:val="center"/>
          </w:tcPr>
          <w:p w14:paraId="08048586" w14:textId="77777777" w:rsidR="00AA53DA" w:rsidRPr="0098318E" w:rsidRDefault="00AA53DA" w:rsidP="00AA53DA">
            <w:pPr>
              <w:keepNext/>
              <w:keepLines/>
              <w:spacing w:before="0" w:after="0" w:line="240" w:lineRule="auto"/>
              <w:rPr>
                <w:sz w:val="18"/>
              </w:rPr>
            </w:pPr>
          </w:p>
        </w:tc>
      </w:tr>
    </w:tbl>
    <w:p w14:paraId="303AE746" w14:textId="77777777" w:rsidR="00E20B8E" w:rsidRPr="004B06E3" w:rsidRDefault="00E20B8E" w:rsidP="00D311C1"/>
    <w:p w14:paraId="5EC73707" w14:textId="77777777" w:rsidR="007D230B" w:rsidRPr="004B06E3" w:rsidRDefault="00C22CE1" w:rsidP="00AF7830">
      <w:pPr>
        <w:pStyle w:val="eTRMHeading3"/>
      </w:pPr>
      <w:bookmarkStart w:id="67" w:name="_Toc486490864"/>
      <w:bookmarkStart w:id="68" w:name="_Toc486580935"/>
      <w:bookmarkStart w:id="69" w:name="_Toc528684019"/>
      <w:r>
        <w:t>Gross Savings Installation Adjustment (</w:t>
      </w:r>
      <w:r w:rsidR="007D230B" w:rsidRPr="004B06E3">
        <w:t>GSIA</w:t>
      </w:r>
      <w:bookmarkEnd w:id="67"/>
      <w:bookmarkEnd w:id="68"/>
      <w:r>
        <w:t>)</w:t>
      </w:r>
      <w:bookmarkEnd w:id="69"/>
    </w:p>
    <w:p w14:paraId="1B96F624" w14:textId="77777777" w:rsidR="00BF25D9" w:rsidRDefault="009479E7" w:rsidP="00BF25D9">
      <w:bookmarkStart w:id="70" w:name="_Hlk494309006"/>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End w:id="70"/>
      <w:r w:rsidR="00201E7C">
        <w:t>This GSIA rate is the current “default” rate specified for measures for which an alternative GSIA has not been estimated and approved.</w:t>
      </w:r>
    </w:p>
    <w:p w14:paraId="096D7A74" w14:textId="77777777" w:rsidR="004744AC" w:rsidRPr="0059426D" w:rsidRDefault="004744AC" w:rsidP="004744AC">
      <w:pPr>
        <w:pStyle w:val="Caption"/>
      </w:pPr>
      <w:r>
        <w:lastRenderedPageBreak/>
        <w:t>Gross Savings Installation Adjustment Rate</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800"/>
        <w:gridCol w:w="5580"/>
      </w:tblGrid>
      <w:tr w:rsidR="00201E7C" w:rsidRPr="00052C24" w14:paraId="1ED0F9D1" w14:textId="77777777" w:rsidTr="006920B8">
        <w:tc>
          <w:tcPr>
            <w:tcW w:w="2070" w:type="dxa"/>
            <w:shd w:val="clear" w:color="auto" w:fill="F2F2F2" w:themeFill="background1" w:themeFillShade="F2"/>
            <w:vAlign w:val="bottom"/>
          </w:tcPr>
          <w:p w14:paraId="47FF7088" w14:textId="77777777" w:rsidR="00201E7C" w:rsidRPr="00052C24" w:rsidRDefault="00201E7C" w:rsidP="009328FF">
            <w:pPr>
              <w:keepNext/>
              <w:keepLines/>
              <w:spacing w:before="0" w:after="0" w:line="200" w:lineRule="atLeast"/>
              <w:jc w:val="center"/>
              <w:rPr>
                <w:b/>
                <w:sz w:val="20"/>
              </w:rPr>
            </w:pPr>
            <w:bookmarkStart w:id="71" w:name="_Toc486490865"/>
            <w:bookmarkStart w:id="72" w:name="_Toc486580936"/>
            <w:bookmarkStart w:id="73" w:name="_Toc494369270"/>
            <w:r>
              <w:rPr>
                <w:b/>
                <w:sz w:val="20"/>
              </w:rPr>
              <w:t>Parameter</w:t>
            </w:r>
          </w:p>
        </w:tc>
        <w:tc>
          <w:tcPr>
            <w:tcW w:w="1800" w:type="dxa"/>
            <w:shd w:val="clear" w:color="auto" w:fill="F2F2F2" w:themeFill="background1" w:themeFillShade="F2"/>
            <w:vAlign w:val="bottom"/>
          </w:tcPr>
          <w:p w14:paraId="2D8CFAAF" w14:textId="77777777" w:rsidR="00201E7C" w:rsidRPr="00052C24" w:rsidRDefault="004744AC" w:rsidP="009328FF">
            <w:pPr>
              <w:keepNext/>
              <w:keepLines/>
              <w:spacing w:before="0" w:after="0" w:line="200" w:lineRule="atLeast"/>
              <w:jc w:val="center"/>
              <w:rPr>
                <w:b/>
                <w:sz w:val="20"/>
              </w:rPr>
            </w:pPr>
            <w:r>
              <w:rPr>
                <w:b/>
                <w:sz w:val="20"/>
              </w:rPr>
              <w:t>Value</w:t>
            </w:r>
          </w:p>
        </w:tc>
        <w:tc>
          <w:tcPr>
            <w:tcW w:w="5580" w:type="dxa"/>
            <w:shd w:val="clear" w:color="auto" w:fill="F2F2F2" w:themeFill="background1" w:themeFillShade="F2"/>
            <w:vAlign w:val="bottom"/>
          </w:tcPr>
          <w:p w14:paraId="1479C6EC" w14:textId="77777777" w:rsidR="00201E7C" w:rsidRDefault="00201E7C" w:rsidP="009328FF">
            <w:pPr>
              <w:keepNext/>
              <w:keepLines/>
              <w:spacing w:before="0" w:after="0" w:line="200" w:lineRule="atLeast"/>
              <w:jc w:val="center"/>
              <w:rPr>
                <w:b/>
                <w:sz w:val="20"/>
              </w:rPr>
            </w:pPr>
            <w:r>
              <w:rPr>
                <w:b/>
                <w:sz w:val="20"/>
              </w:rPr>
              <w:t>Source</w:t>
            </w:r>
          </w:p>
        </w:tc>
      </w:tr>
      <w:tr w:rsidR="00201E7C" w:rsidRPr="009062D0" w14:paraId="1426D138" w14:textId="77777777" w:rsidTr="006920B8">
        <w:trPr>
          <w:trHeight w:val="260"/>
        </w:trPr>
        <w:tc>
          <w:tcPr>
            <w:tcW w:w="2070" w:type="dxa"/>
            <w:vAlign w:val="center"/>
          </w:tcPr>
          <w:p w14:paraId="520C959A" w14:textId="77777777" w:rsidR="00201E7C" w:rsidRPr="009062D0" w:rsidRDefault="00201E7C" w:rsidP="009328FF">
            <w:pPr>
              <w:keepNext/>
              <w:keepLines/>
              <w:spacing w:before="0" w:after="0" w:line="200" w:lineRule="atLeast"/>
              <w:rPr>
                <w:sz w:val="20"/>
              </w:rPr>
            </w:pPr>
            <w:r>
              <w:rPr>
                <w:sz w:val="20"/>
              </w:rPr>
              <w:t>GSIA</w:t>
            </w:r>
          </w:p>
        </w:tc>
        <w:tc>
          <w:tcPr>
            <w:tcW w:w="1800" w:type="dxa"/>
            <w:shd w:val="clear" w:color="auto" w:fill="auto"/>
            <w:vAlign w:val="center"/>
          </w:tcPr>
          <w:p w14:paraId="47D40425" w14:textId="77777777" w:rsidR="00201E7C" w:rsidRPr="00722387" w:rsidRDefault="00201E7C" w:rsidP="009328FF">
            <w:pPr>
              <w:keepNext/>
              <w:keepLines/>
              <w:spacing w:before="0" w:after="0" w:line="200" w:lineRule="atLeast"/>
              <w:jc w:val="center"/>
              <w:rPr>
                <w:sz w:val="20"/>
              </w:rPr>
            </w:pPr>
            <w:r w:rsidRPr="00722387">
              <w:rPr>
                <w:sz w:val="20"/>
                <w:szCs w:val="20"/>
              </w:rPr>
              <w:t>1.0</w:t>
            </w:r>
          </w:p>
        </w:tc>
        <w:tc>
          <w:tcPr>
            <w:tcW w:w="5580" w:type="dxa"/>
            <w:vAlign w:val="center"/>
          </w:tcPr>
          <w:p w14:paraId="2BAFD90F" w14:textId="77777777" w:rsidR="00201E7C" w:rsidRPr="009062D0" w:rsidRDefault="00201E7C" w:rsidP="009328FF">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303510BC" w14:textId="77777777" w:rsidR="00201E7C" w:rsidRDefault="00201E7C" w:rsidP="00201E7C">
      <w:pPr>
        <w:rPr>
          <w:rFonts w:cs="Arial"/>
          <w:sz w:val="20"/>
          <w:szCs w:val="20"/>
        </w:rPr>
      </w:pPr>
    </w:p>
    <w:p w14:paraId="7ECFC965" w14:textId="77777777" w:rsidR="0041316E" w:rsidRPr="004B06E3" w:rsidRDefault="0041316E" w:rsidP="0041316E">
      <w:pPr>
        <w:pStyle w:val="eTRMHeading3"/>
      </w:pPr>
      <w:bookmarkStart w:id="74" w:name="_Toc528684020"/>
      <w:r w:rsidRPr="004B06E3">
        <w:t xml:space="preserve">Non-Energy </w:t>
      </w:r>
      <w:bookmarkEnd w:id="71"/>
      <w:bookmarkEnd w:id="72"/>
      <w:bookmarkEnd w:id="73"/>
      <w:r>
        <w:t>Impacts</w:t>
      </w:r>
      <w:bookmarkEnd w:id="74"/>
    </w:p>
    <w:p w14:paraId="046E2460" w14:textId="77777777" w:rsidR="0041316E" w:rsidRDefault="0041316E" w:rsidP="0041316E">
      <w:r>
        <w:t>Non-energy impacts for this measure have not been quantified.</w:t>
      </w:r>
    </w:p>
    <w:p w14:paraId="107633F2" w14:textId="77777777" w:rsidR="002C67DF" w:rsidRPr="004B06E3" w:rsidRDefault="002C67DF" w:rsidP="004142EF"/>
    <w:p w14:paraId="21B37FD1" w14:textId="77777777" w:rsidR="00BD1ED6" w:rsidRDefault="00BD1ED6" w:rsidP="00AF7830">
      <w:pPr>
        <w:pStyle w:val="eTRMHeading3"/>
      </w:pPr>
      <w:bookmarkStart w:id="75" w:name="_Toc494177557"/>
      <w:bookmarkStart w:id="76" w:name="_Toc528684021"/>
      <w:bookmarkStart w:id="77" w:name="_Hlk494283790"/>
      <w:bookmarkStart w:id="78" w:name="_Hlk494353329"/>
      <w:r>
        <w:t>DEER Differences Analysis</w:t>
      </w:r>
      <w:bookmarkEnd w:id="75"/>
      <w:bookmarkEnd w:id="76"/>
    </w:p>
    <w:p w14:paraId="7E3B318A" w14:textId="77777777" w:rsidR="004744AC" w:rsidRDefault="004744AC" w:rsidP="004744AC">
      <w:bookmarkStart w:id="79" w:name="_Hlk526856348"/>
      <w:r>
        <w:t>The table below summarizes the inputs and methods that are and are not based upon the Database for Energy Efficient Resources (DEER).</w:t>
      </w:r>
    </w:p>
    <w:bookmarkEnd w:id="79"/>
    <w:p w14:paraId="3FE87950" w14:textId="77777777" w:rsidR="00BD1ED6" w:rsidRPr="00920905" w:rsidRDefault="00BD1ED6" w:rsidP="004744AC">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BD1ED6" w:rsidRPr="00500C4E" w14:paraId="0CE85ECF" w14:textId="77777777" w:rsidTr="004744AC">
        <w:trPr>
          <w:trHeight w:val="20"/>
          <w:tblHeader/>
        </w:trPr>
        <w:tc>
          <w:tcPr>
            <w:tcW w:w="1730" w:type="pct"/>
            <w:shd w:val="clear" w:color="auto" w:fill="F2F2F2" w:themeFill="background1" w:themeFillShade="F2"/>
          </w:tcPr>
          <w:p w14:paraId="5482C768" w14:textId="77777777" w:rsidR="00BD1ED6" w:rsidRPr="00EA057C" w:rsidRDefault="00BD1ED6" w:rsidP="004744AC">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3828B65A" w14:textId="77777777" w:rsidR="00BD1ED6" w:rsidRPr="00EA057C" w:rsidRDefault="00BD1ED6" w:rsidP="004744AC">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BD1ED6" w:rsidRPr="00500C4E" w14:paraId="6E3AAF79" w14:textId="77777777" w:rsidTr="00182249">
        <w:trPr>
          <w:trHeight w:val="20"/>
        </w:trPr>
        <w:tc>
          <w:tcPr>
            <w:tcW w:w="1730" w:type="pct"/>
          </w:tcPr>
          <w:p w14:paraId="4989E2F2" w14:textId="77777777" w:rsidR="00BD1ED6" w:rsidRPr="00EA057C" w:rsidRDefault="00BD1ED6" w:rsidP="004744AC">
            <w:pPr>
              <w:spacing w:before="20" w:after="20"/>
              <w:rPr>
                <w:rFonts w:cs="Arial"/>
                <w:sz w:val="20"/>
                <w:szCs w:val="20"/>
              </w:rPr>
            </w:pPr>
            <w:r w:rsidRPr="00EA057C">
              <w:rPr>
                <w:rFonts w:cs="Arial"/>
                <w:sz w:val="20"/>
                <w:szCs w:val="20"/>
              </w:rPr>
              <w:t>Modified DEER methodology</w:t>
            </w:r>
          </w:p>
        </w:tc>
        <w:tc>
          <w:tcPr>
            <w:tcW w:w="3270" w:type="pct"/>
          </w:tcPr>
          <w:p w14:paraId="49D43D26" w14:textId="77777777"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16E3ECB5" w14:textId="77777777" w:rsidTr="00182249">
        <w:trPr>
          <w:trHeight w:val="20"/>
        </w:trPr>
        <w:tc>
          <w:tcPr>
            <w:tcW w:w="1730" w:type="pct"/>
          </w:tcPr>
          <w:p w14:paraId="5C6A9889" w14:textId="77777777" w:rsidR="00BD1ED6" w:rsidRPr="00EA057C" w:rsidRDefault="00BD1ED6" w:rsidP="004744AC">
            <w:pPr>
              <w:spacing w:before="20" w:after="20"/>
              <w:rPr>
                <w:rFonts w:cs="Arial"/>
                <w:sz w:val="20"/>
                <w:szCs w:val="20"/>
              </w:rPr>
            </w:pPr>
            <w:r w:rsidRPr="00EA057C">
              <w:rPr>
                <w:rFonts w:cs="Arial"/>
                <w:sz w:val="20"/>
                <w:szCs w:val="20"/>
              </w:rPr>
              <w:t>Scaled DEER measure</w:t>
            </w:r>
          </w:p>
        </w:tc>
        <w:tc>
          <w:tcPr>
            <w:tcW w:w="3270" w:type="pct"/>
          </w:tcPr>
          <w:p w14:paraId="006AA90C" w14:textId="77777777"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53D0052E" w14:textId="77777777" w:rsidTr="00182249">
        <w:trPr>
          <w:trHeight w:val="20"/>
        </w:trPr>
        <w:tc>
          <w:tcPr>
            <w:tcW w:w="1730" w:type="pct"/>
          </w:tcPr>
          <w:p w14:paraId="40FC89D6" w14:textId="77777777" w:rsidR="00BD1ED6" w:rsidRPr="00EA057C" w:rsidRDefault="00BD1ED6" w:rsidP="004744AC">
            <w:pPr>
              <w:spacing w:before="20" w:after="20"/>
              <w:rPr>
                <w:rFonts w:cs="Arial"/>
                <w:sz w:val="20"/>
                <w:szCs w:val="20"/>
              </w:rPr>
            </w:pPr>
            <w:r w:rsidRPr="00EA057C">
              <w:rPr>
                <w:rFonts w:cs="Arial"/>
                <w:sz w:val="20"/>
                <w:szCs w:val="20"/>
              </w:rPr>
              <w:t>DEER Base Case</w:t>
            </w:r>
          </w:p>
        </w:tc>
        <w:tc>
          <w:tcPr>
            <w:tcW w:w="3270" w:type="pct"/>
          </w:tcPr>
          <w:p w14:paraId="3340B0EB" w14:textId="77777777"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307E0C8D" w14:textId="77777777" w:rsidTr="00182249">
        <w:trPr>
          <w:trHeight w:val="20"/>
        </w:trPr>
        <w:tc>
          <w:tcPr>
            <w:tcW w:w="1730" w:type="pct"/>
          </w:tcPr>
          <w:p w14:paraId="6E639F6F" w14:textId="77777777" w:rsidR="00BD1ED6" w:rsidRPr="00EA057C" w:rsidRDefault="00BD1ED6" w:rsidP="004744AC">
            <w:pPr>
              <w:spacing w:before="20" w:after="20"/>
              <w:rPr>
                <w:rFonts w:cs="Arial"/>
                <w:sz w:val="20"/>
                <w:szCs w:val="20"/>
              </w:rPr>
            </w:pPr>
            <w:r w:rsidRPr="00EA057C">
              <w:rPr>
                <w:rFonts w:cs="Arial"/>
                <w:sz w:val="20"/>
                <w:szCs w:val="20"/>
              </w:rPr>
              <w:t>DEER Measure Case</w:t>
            </w:r>
          </w:p>
        </w:tc>
        <w:tc>
          <w:tcPr>
            <w:tcW w:w="3270" w:type="pct"/>
          </w:tcPr>
          <w:p w14:paraId="7EE84A79" w14:textId="77777777"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7557D926" w14:textId="77777777" w:rsidTr="00182249">
        <w:trPr>
          <w:trHeight w:val="20"/>
        </w:trPr>
        <w:tc>
          <w:tcPr>
            <w:tcW w:w="1730" w:type="pct"/>
          </w:tcPr>
          <w:p w14:paraId="6EB45C27" w14:textId="77777777" w:rsidR="00BD1ED6" w:rsidRPr="00EA057C" w:rsidRDefault="00BD1ED6" w:rsidP="004744AC">
            <w:pPr>
              <w:spacing w:before="20" w:after="20"/>
              <w:rPr>
                <w:rFonts w:cs="Arial"/>
                <w:sz w:val="20"/>
                <w:szCs w:val="20"/>
              </w:rPr>
            </w:pPr>
            <w:r w:rsidRPr="00EA057C">
              <w:rPr>
                <w:rFonts w:cs="Arial"/>
                <w:sz w:val="20"/>
                <w:szCs w:val="20"/>
              </w:rPr>
              <w:t>DEER Building Types</w:t>
            </w:r>
          </w:p>
        </w:tc>
        <w:tc>
          <w:tcPr>
            <w:tcW w:w="3270" w:type="pct"/>
          </w:tcPr>
          <w:p w14:paraId="184049B1" w14:textId="77777777" w:rsidR="00BD1ED6" w:rsidRPr="003B2A4C" w:rsidRDefault="00A63D72" w:rsidP="004744AC">
            <w:pPr>
              <w:spacing w:before="20" w:after="20"/>
              <w:rPr>
                <w:rFonts w:cs="Arial"/>
                <w:sz w:val="20"/>
                <w:szCs w:val="20"/>
              </w:rPr>
            </w:pPr>
            <w:r>
              <w:rPr>
                <w:rFonts w:cs="Arial"/>
                <w:sz w:val="20"/>
                <w:szCs w:val="20"/>
              </w:rPr>
              <w:t>Yes</w:t>
            </w:r>
          </w:p>
        </w:tc>
      </w:tr>
      <w:tr w:rsidR="00BD1ED6" w:rsidRPr="00500C4E" w14:paraId="48E8749A" w14:textId="77777777" w:rsidTr="00182249">
        <w:trPr>
          <w:trHeight w:val="20"/>
        </w:trPr>
        <w:tc>
          <w:tcPr>
            <w:tcW w:w="1730" w:type="pct"/>
          </w:tcPr>
          <w:p w14:paraId="46327C71" w14:textId="77777777" w:rsidR="00BD1ED6" w:rsidRPr="00EA057C" w:rsidRDefault="00BD1ED6" w:rsidP="004744AC">
            <w:pPr>
              <w:spacing w:before="20" w:after="20"/>
              <w:rPr>
                <w:rFonts w:cs="Arial"/>
                <w:sz w:val="20"/>
                <w:szCs w:val="20"/>
              </w:rPr>
            </w:pPr>
            <w:r w:rsidRPr="00EA057C">
              <w:rPr>
                <w:rFonts w:cs="Arial"/>
                <w:sz w:val="20"/>
                <w:szCs w:val="20"/>
              </w:rPr>
              <w:t>DEER Operating Hours</w:t>
            </w:r>
          </w:p>
        </w:tc>
        <w:tc>
          <w:tcPr>
            <w:tcW w:w="3270" w:type="pct"/>
          </w:tcPr>
          <w:p w14:paraId="19DCDBC9" w14:textId="77777777"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67933EC9" w14:textId="77777777" w:rsidTr="00182249">
        <w:trPr>
          <w:trHeight w:val="20"/>
        </w:trPr>
        <w:tc>
          <w:tcPr>
            <w:tcW w:w="1730" w:type="pct"/>
          </w:tcPr>
          <w:p w14:paraId="18CE15D5" w14:textId="77777777" w:rsidR="00BD1ED6" w:rsidRPr="00EA057C" w:rsidRDefault="00BD1ED6" w:rsidP="004744AC">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352856B5" w14:textId="77777777" w:rsidR="00BD1ED6" w:rsidRPr="003B2A4C" w:rsidDel="00505CEC" w:rsidRDefault="003B2A4C" w:rsidP="004744AC">
            <w:pPr>
              <w:spacing w:before="20" w:after="20"/>
              <w:rPr>
                <w:rFonts w:cs="Arial"/>
                <w:sz w:val="20"/>
                <w:szCs w:val="20"/>
              </w:rPr>
            </w:pPr>
            <w:r w:rsidRPr="003B2A4C">
              <w:rPr>
                <w:rFonts w:cs="Arial"/>
                <w:sz w:val="20"/>
                <w:szCs w:val="20"/>
              </w:rPr>
              <w:t>No</w:t>
            </w:r>
          </w:p>
        </w:tc>
      </w:tr>
      <w:tr w:rsidR="00BD1ED6" w:rsidRPr="00500C4E" w14:paraId="0E62250A" w14:textId="77777777" w:rsidTr="00182249">
        <w:trPr>
          <w:trHeight w:val="180"/>
        </w:trPr>
        <w:tc>
          <w:tcPr>
            <w:tcW w:w="1730" w:type="pct"/>
          </w:tcPr>
          <w:p w14:paraId="16DC877A" w14:textId="77777777" w:rsidR="00BD1ED6" w:rsidRPr="00EA057C" w:rsidRDefault="00BD1ED6" w:rsidP="004744AC">
            <w:pPr>
              <w:spacing w:before="20" w:after="20"/>
              <w:rPr>
                <w:rFonts w:cs="Arial"/>
                <w:sz w:val="20"/>
                <w:szCs w:val="20"/>
              </w:rPr>
            </w:pPr>
            <w:r w:rsidRPr="00EA057C">
              <w:rPr>
                <w:rFonts w:cs="Arial"/>
                <w:sz w:val="20"/>
                <w:szCs w:val="20"/>
              </w:rPr>
              <w:t>DEER Version</w:t>
            </w:r>
          </w:p>
        </w:tc>
        <w:tc>
          <w:tcPr>
            <w:tcW w:w="3270" w:type="pct"/>
          </w:tcPr>
          <w:p w14:paraId="254620B9" w14:textId="77777777" w:rsidR="00BD1ED6" w:rsidRPr="003B2A4C" w:rsidRDefault="003B2A4C" w:rsidP="004744AC">
            <w:pPr>
              <w:spacing w:before="20" w:after="20"/>
              <w:rPr>
                <w:rFonts w:cs="Arial"/>
                <w:sz w:val="20"/>
                <w:szCs w:val="20"/>
              </w:rPr>
            </w:pPr>
            <w:r w:rsidRPr="003B2A4C">
              <w:rPr>
                <w:rFonts w:cs="Arial"/>
                <w:sz w:val="20"/>
                <w:szCs w:val="20"/>
              </w:rPr>
              <w:t>n/a</w:t>
            </w:r>
          </w:p>
        </w:tc>
      </w:tr>
      <w:tr w:rsidR="00BD1ED6" w:rsidRPr="00500C4E" w14:paraId="101F04EC" w14:textId="77777777" w:rsidTr="00182249">
        <w:trPr>
          <w:trHeight w:val="20"/>
        </w:trPr>
        <w:tc>
          <w:tcPr>
            <w:tcW w:w="1730" w:type="pct"/>
          </w:tcPr>
          <w:p w14:paraId="66339D37" w14:textId="77777777" w:rsidR="00BD1ED6" w:rsidRPr="00EA057C" w:rsidRDefault="00BD1ED6" w:rsidP="004744AC">
            <w:pPr>
              <w:spacing w:before="20" w:after="20"/>
              <w:rPr>
                <w:rFonts w:cs="Arial"/>
                <w:sz w:val="20"/>
                <w:szCs w:val="20"/>
              </w:rPr>
            </w:pPr>
            <w:r w:rsidRPr="00EA057C">
              <w:rPr>
                <w:rFonts w:cs="Arial"/>
                <w:sz w:val="20"/>
                <w:szCs w:val="20"/>
              </w:rPr>
              <w:t>Reason for Deviation from DEER</w:t>
            </w:r>
          </w:p>
        </w:tc>
        <w:tc>
          <w:tcPr>
            <w:tcW w:w="3270" w:type="pct"/>
          </w:tcPr>
          <w:p w14:paraId="652323BD" w14:textId="77777777" w:rsidR="00BD1ED6" w:rsidRPr="003B2A4C" w:rsidRDefault="003B2A4C" w:rsidP="004744AC">
            <w:pPr>
              <w:spacing w:before="20" w:after="20"/>
              <w:rPr>
                <w:rFonts w:cs="Arial"/>
                <w:sz w:val="20"/>
                <w:szCs w:val="20"/>
              </w:rPr>
            </w:pPr>
            <w:r w:rsidRPr="003B2A4C">
              <w:rPr>
                <w:rFonts w:cs="Arial"/>
                <w:sz w:val="20"/>
                <w:szCs w:val="20"/>
              </w:rPr>
              <w:t>DEER does not contain this type of measure.</w:t>
            </w:r>
          </w:p>
        </w:tc>
      </w:tr>
      <w:tr w:rsidR="00BD1ED6" w:rsidRPr="00500C4E" w14:paraId="09F7678A" w14:textId="77777777" w:rsidTr="00182249">
        <w:trPr>
          <w:trHeight w:val="20"/>
        </w:trPr>
        <w:tc>
          <w:tcPr>
            <w:tcW w:w="1730" w:type="pct"/>
          </w:tcPr>
          <w:p w14:paraId="110C7D7F" w14:textId="77777777" w:rsidR="00BD1ED6" w:rsidRPr="00EA057C" w:rsidRDefault="00BD1ED6" w:rsidP="004744AC">
            <w:pPr>
              <w:spacing w:before="20" w:after="20"/>
              <w:rPr>
                <w:rFonts w:cs="Arial"/>
                <w:sz w:val="20"/>
                <w:szCs w:val="20"/>
              </w:rPr>
            </w:pPr>
            <w:r w:rsidRPr="00EA057C">
              <w:rPr>
                <w:rFonts w:cs="Arial"/>
                <w:sz w:val="20"/>
                <w:szCs w:val="20"/>
              </w:rPr>
              <w:t>DEER Measure IDs Used</w:t>
            </w:r>
          </w:p>
        </w:tc>
        <w:tc>
          <w:tcPr>
            <w:tcW w:w="3270" w:type="pct"/>
          </w:tcPr>
          <w:p w14:paraId="2737279D" w14:textId="77777777" w:rsidR="00BD1ED6" w:rsidRPr="003B2A4C" w:rsidRDefault="003B2A4C" w:rsidP="004744AC">
            <w:pPr>
              <w:spacing w:before="20" w:after="20"/>
              <w:rPr>
                <w:rFonts w:cs="Arial"/>
                <w:sz w:val="20"/>
                <w:szCs w:val="20"/>
              </w:rPr>
            </w:pPr>
            <w:r w:rsidRPr="003B2A4C">
              <w:rPr>
                <w:rFonts w:cs="Arial"/>
                <w:sz w:val="20"/>
                <w:szCs w:val="20"/>
              </w:rPr>
              <w:t>n/a</w:t>
            </w:r>
          </w:p>
        </w:tc>
      </w:tr>
      <w:tr w:rsidR="00BD1ED6" w:rsidRPr="00500C4E" w14:paraId="775604A1" w14:textId="77777777" w:rsidTr="00182249">
        <w:trPr>
          <w:trHeight w:val="20"/>
        </w:trPr>
        <w:tc>
          <w:tcPr>
            <w:tcW w:w="1730" w:type="pct"/>
          </w:tcPr>
          <w:p w14:paraId="734BC0C4" w14:textId="77777777" w:rsidR="00BD1ED6" w:rsidRPr="00EA057C" w:rsidRDefault="00BD1ED6" w:rsidP="004744AC">
            <w:pPr>
              <w:spacing w:before="20" w:after="20"/>
              <w:rPr>
                <w:rFonts w:cs="Arial"/>
                <w:sz w:val="20"/>
                <w:szCs w:val="20"/>
              </w:rPr>
            </w:pPr>
            <w:r>
              <w:rPr>
                <w:rFonts w:cs="Arial"/>
                <w:sz w:val="20"/>
                <w:szCs w:val="20"/>
              </w:rPr>
              <w:t>NTG</w:t>
            </w:r>
          </w:p>
        </w:tc>
        <w:tc>
          <w:tcPr>
            <w:tcW w:w="3270" w:type="pct"/>
          </w:tcPr>
          <w:p w14:paraId="3C2F22C7" w14:textId="77777777" w:rsidR="00BD1ED6" w:rsidRPr="004960DD" w:rsidRDefault="003B2A4C" w:rsidP="004744AC">
            <w:pPr>
              <w:spacing w:before="20" w:after="20"/>
              <w:rPr>
                <w:rFonts w:cs="Arial"/>
                <w:sz w:val="20"/>
                <w:szCs w:val="20"/>
              </w:rPr>
            </w:pPr>
            <w:r w:rsidRPr="004960DD">
              <w:rPr>
                <w:rFonts w:eastAsia="Times New Roman"/>
                <w:sz w:val="20"/>
                <w:szCs w:val="20"/>
              </w:rPr>
              <w:t xml:space="preserve">Source: DEER. </w:t>
            </w:r>
            <w:r w:rsidR="006310DC" w:rsidRPr="0051010E">
              <w:rPr>
                <w:sz w:val="20"/>
                <w:szCs w:val="20"/>
              </w:rPr>
              <w:t xml:space="preserve">NTG of 0.60 is associated with NTG ID:  </w:t>
            </w:r>
            <w:r w:rsidR="006310DC" w:rsidRPr="0051010E">
              <w:rPr>
                <w:rFonts w:cs="Arial"/>
                <w:i/>
                <w:sz w:val="20"/>
                <w:szCs w:val="20"/>
              </w:rPr>
              <w:t>Com-Default&gt;2yrs</w:t>
            </w:r>
            <w:r w:rsidR="006310DC" w:rsidRPr="0051010E">
              <w:rPr>
                <w:sz w:val="20"/>
                <w:szCs w:val="20"/>
              </w:rPr>
              <w:t xml:space="preserve">, </w:t>
            </w:r>
            <w:r w:rsidR="006310DC" w:rsidRPr="0051010E">
              <w:rPr>
                <w:i/>
                <w:sz w:val="20"/>
                <w:szCs w:val="20"/>
              </w:rPr>
              <w:t>Ag-Default&gt;2yrs</w:t>
            </w:r>
            <w:r w:rsidR="006310DC" w:rsidRPr="0051010E">
              <w:rPr>
                <w:sz w:val="20"/>
                <w:szCs w:val="20"/>
              </w:rPr>
              <w:t xml:space="preserve">, </w:t>
            </w:r>
            <w:r w:rsidR="006310DC" w:rsidRPr="0051010E">
              <w:rPr>
                <w:i/>
                <w:sz w:val="20"/>
                <w:szCs w:val="20"/>
              </w:rPr>
              <w:t>Ind-Default&gt;2yrs</w:t>
            </w:r>
          </w:p>
        </w:tc>
      </w:tr>
      <w:tr w:rsidR="00BD1ED6" w:rsidRPr="00500C4E" w14:paraId="43BB65F3" w14:textId="77777777" w:rsidTr="00182249">
        <w:trPr>
          <w:trHeight w:val="20"/>
        </w:trPr>
        <w:tc>
          <w:tcPr>
            <w:tcW w:w="1730" w:type="pct"/>
          </w:tcPr>
          <w:p w14:paraId="39FC9A9C" w14:textId="77777777" w:rsidR="00BD1ED6" w:rsidRDefault="00BD1ED6" w:rsidP="004744AC">
            <w:pPr>
              <w:spacing w:before="20" w:after="20"/>
              <w:rPr>
                <w:rFonts w:cs="Arial"/>
                <w:sz w:val="20"/>
                <w:szCs w:val="20"/>
              </w:rPr>
            </w:pPr>
            <w:r>
              <w:rPr>
                <w:rFonts w:cs="Arial"/>
                <w:sz w:val="20"/>
                <w:szCs w:val="20"/>
              </w:rPr>
              <w:t>GSIA</w:t>
            </w:r>
          </w:p>
        </w:tc>
        <w:tc>
          <w:tcPr>
            <w:tcW w:w="3270" w:type="pct"/>
          </w:tcPr>
          <w:p w14:paraId="2AC431E8" w14:textId="77777777" w:rsidR="00BD1ED6" w:rsidRPr="004960DD" w:rsidRDefault="003B2A4C" w:rsidP="004744AC">
            <w:pPr>
              <w:spacing w:before="20" w:after="20"/>
              <w:rPr>
                <w:rFonts w:cs="Arial"/>
                <w:sz w:val="20"/>
                <w:szCs w:val="20"/>
              </w:rPr>
            </w:pPr>
            <w:r w:rsidRPr="004960DD">
              <w:rPr>
                <w:rFonts w:cs="Arial"/>
                <w:sz w:val="20"/>
                <w:szCs w:val="20"/>
              </w:rPr>
              <w:t xml:space="preserve">Source: DEER. The value of 1.0 is associated with GSIA ID: </w:t>
            </w:r>
            <w:r w:rsidRPr="004960DD">
              <w:rPr>
                <w:rFonts w:cs="Arial"/>
                <w:i/>
                <w:iCs/>
                <w:sz w:val="20"/>
                <w:szCs w:val="20"/>
              </w:rPr>
              <w:t>Def-GSIA</w:t>
            </w:r>
          </w:p>
        </w:tc>
      </w:tr>
      <w:tr w:rsidR="00BD1ED6" w:rsidRPr="00500C4E" w14:paraId="6F81ED36" w14:textId="77777777" w:rsidTr="00182249">
        <w:trPr>
          <w:trHeight w:val="20"/>
        </w:trPr>
        <w:tc>
          <w:tcPr>
            <w:tcW w:w="1730" w:type="pct"/>
          </w:tcPr>
          <w:p w14:paraId="0742FEDC" w14:textId="77777777" w:rsidR="00BD1ED6" w:rsidRDefault="00BD1ED6" w:rsidP="004744AC">
            <w:pPr>
              <w:spacing w:before="20" w:after="20"/>
              <w:rPr>
                <w:rFonts w:cs="Arial"/>
                <w:sz w:val="20"/>
                <w:szCs w:val="20"/>
              </w:rPr>
            </w:pPr>
            <w:r>
              <w:rPr>
                <w:rFonts w:cs="Arial"/>
                <w:sz w:val="20"/>
                <w:szCs w:val="20"/>
              </w:rPr>
              <w:t>EUL/RUL</w:t>
            </w:r>
          </w:p>
        </w:tc>
        <w:tc>
          <w:tcPr>
            <w:tcW w:w="3270" w:type="pct"/>
          </w:tcPr>
          <w:p w14:paraId="303800C2" w14:textId="77777777" w:rsidR="00BD1ED6" w:rsidRPr="004960DD" w:rsidRDefault="003B2A4C" w:rsidP="004744AC">
            <w:pPr>
              <w:spacing w:before="20" w:after="20"/>
              <w:rPr>
                <w:rFonts w:cs="Arial"/>
                <w:sz w:val="20"/>
                <w:szCs w:val="20"/>
              </w:rPr>
            </w:pPr>
            <w:r w:rsidRPr="004960DD">
              <w:rPr>
                <w:rFonts w:eastAsia="Times New Roman"/>
                <w:sz w:val="20"/>
                <w:szCs w:val="20"/>
              </w:rPr>
              <w:t>Source: DEER</w:t>
            </w:r>
            <w:r w:rsidR="00182BA7">
              <w:rPr>
                <w:rFonts w:eastAsia="Times New Roman"/>
                <w:sz w:val="20"/>
                <w:szCs w:val="20"/>
              </w:rPr>
              <w:t xml:space="preserve"> 2017</w:t>
            </w:r>
            <w:r w:rsidRPr="004960DD">
              <w:rPr>
                <w:rFonts w:eastAsia="Times New Roman"/>
                <w:sz w:val="20"/>
                <w:szCs w:val="20"/>
              </w:rPr>
              <w:t xml:space="preserve">. The value of </w:t>
            </w:r>
            <w:r w:rsidR="004960DD" w:rsidRPr="004960DD">
              <w:rPr>
                <w:rFonts w:eastAsia="Times New Roman"/>
                <w:sz w:val="20"/>
                <w:szCs w:val="20"/>
              </w:rPr>
              <w:t>10</w:t>
            </w:r>
            <w:r w:rsidRPr="004960DD">
              <w:rPr>
                <w:rFonts w:eastAsia="Times New Roman"/>
                <w:sz w:val="20"/>
                <w:szCs w:val="20"/>
              </w:rPr>
              <w:t xml:space="preserve"> years is associated with EUL ID: </w:t>
            </w:r>
            <w:proofErr w:type="spellStart"/>
            <w:r w:rsidR="004960DD" w:rsidRPr="004960DD">
              <w:rPr>
                <w:i/>
                <w:sz w:val="20"/>
                <w:szCs w:val="20"/>
              </w:rPr>
              <w:t>FoodHandWrap</w:t>
            </w:r>
            <w:proofErr w:type="spellEnd"/>
          </w:p>
        </w:tc>
      </w:tr>
    </w:tbl>
    <w:p w14:paraId="66762F8B" w14:textId="77777777" w:rsidR="00BD1ED6" w:rsidRDefault="00BD1ED6" w:rsidP="00BD1ED6"/>
    <w:p w14:paraId="5F0ADC4F" w14:textId="77777777" w:rsidR="00F7673D" w:rsidRDefault="00F7673D" w:rsidP="00F7673D">
      <w:pPr>
        <w:pStyle w:val="eTRMHeading3"/>
      </w:pPr>
      <w:bookmarkStart w:id="80" w:name="_Toc515951877"/>
      <w:bookmarkStart w:id="81" w:name="_Toc486580937"/>
      <w:bookmarkStart w:id="82" w:name="_Toc486490866"/>
      <w:bookmarkStart w:id="83" w:name="_Toc528684022"/>
      <w:bookmarkStart w:id="84" w:name="_Hlk516047558"/>
      <w:bookmarkStart w:id="85" w:name="_Hlk494287459"/>
      <w:bookmarkEnd w:id="77"/>
      <w:r>
        <w:t>Revision History</w:t>
      </w:r>
      <w:bookmarkEnd w:id="80"/>
      <w:bookmarkEnd w:id="81"/>
      <w:bookmarkEnd w:id="82"/>
      <w:bookmarkEnd w:id="83"/>
    </w:p>
    <w:p w14:paraId="3EB2A35B" w14:textId="77777777" w:rsidR="00F7673D" w:rsidRDefault="00F7673D" w:rsidP="00F7673D">
      <w:pPr>
        <w:pStyle w:val="Caption"/>
      </w:pPr>
      <w:bookmarkStart w:id="86"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941"/>
        <w:gridCol w:w="1453"/>
        <w:gridCol w:w="1842"/>
        <w:gridCol w:w="5114"/>
      </w:tblGrid>
      <w:tr w:rsidR="00F7673D" w14:paraId="7686BFC6" w14:textId="77777777" w:rsidTr="009249F6">
        <w:trPr>
          <w:trHeight w:val="20"/>
        </w:trPr>
        <w:tc>
          <w:tcPr>
            <w:tcW w:w="5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6631C009" w14:textId="77777777" w:rsidR="00F7673D" w:rsidRDefault="00F7673D">
            <w:pPr>
              <w:keepNext/>
              <w:keepLines/>
              <w:tabs>
                <w:tab w:val="right" w:pos="2957"/>
              </w:tabs>
              <w:spacing w:before="20" w:after="20"/>
              <w:rPr>
                <w:rFonts w:cs="Arial"/>
                <w:b/>
                <w:sz w:val="20"/>
                <w:szCs w:val="20"/>
              </w:rPr>
            </w:pPr>
            <w:r>
              <w:rPr>
                <w:rFonts w:cs="Arial"/>
                <w:b/>
                <w:sz w:val="20"/>
                <w:szCs w:val="20"/>
              </w:rPr>
              <w:t>Revision Number</w:t>
            </w:r>
          </w:p>
        </w:tc>
        <w:tc>
          <w:tcPr>
            <w:tcW w:w="7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1DA0FB47" w14:textId="77777777" w:rsidR="00F7673D" w:rsidRDefault="009249F6">
            <w:pPr>
              <w:keepNext/>
              <w:keepLines/>
              <w:spacing w:before="20" w:after="20"/>
              <w:rPr>
                <w:rFonts w:cs="Arial"/>
                <w:b/>
                <w:sz w:val="20"/>
                <w:szCs w:val="20"/>
              </w:rPr>
            </w:pPr>
            <w:r>
              <w:rPr>
                <w:rFonts w:cs="Arial"/>
                <w:b/>
                <w:sz w:val="20"/>
                <w:szCs w:val="20"/>
              </w:rPr>
              <w:t xml:space="preserve">Revision Complete </w:t>
            </w:r>
            <w:r w:rsidR="00F7673D">
              <w:rPr>
                <w:rFonts w:cs="Arial"/>
                <w:b/>
                <w:sz w:val="20"/>
                <w:szCs w:val="20"/>
              </w:rPr>
              <w:t>Date</w:t>
            </w:r>
          </w:p>
        </w:tc>
        <w:tc>
          <w:tcPr>
            <w:tcW w:w="98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43D49CBF" w14:textId="77777777" w:rsidR="00F7673D" w:rsidRDefault="00F7673D">
            <w:pPr>
              <w:keepNext/>
              <w:keepLines/>
              <w:spacing w:before="20" w:after="20"/>
              <w:rPr>
                <w:rFonts w:cs="Arial"/>
                <w:b/>
                <w:sz w:val="20"/>
                <w:szCs w:val="20"/>
              </w:rPr>
            </w:pPr>
            <w:r>
              <w:rPr>
                <w:rFonts w:cs="Arial"/>
                <w:b/>
                <w:sz w:val="20"/>
                <w:szCs w:val="20"/>
              </w:rPr>
              <w:t>Primary Author, Title, Organization</w:t>
            </w:r>
          </w:p>
        </w:tc>
        <w:tc>
          <w:tcPr>
            <w:tcW w:w="27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4E8E2FF1" w14:textId="77777777" w:rsidR="00F7673D" w:rsidRDefault="00F7673D">
            <w:pPr>
              <w:keepNext/>
              <w:keepLines/>
              <w:spacing w:before="20" w:after="20"/>
              <w:rPr>
                <w:rFonts w:cs="Arial"/>
                <w:b/>
                <w:sz w:val="20"/>
                <w:szCs w:val="20"/>
              </w:rPr>
            </w:pPr>
            <w:r>
              <w:rPr>
                <w:rFonts w:cs="Arial"/>
                <w:b/>
                <w:sz w:val="20"/>
                <w:szCs w:val="20"/>
              </w:rPr>
              <w:t>Revision Summary and Rationale for Revision</w:t>
            </w:r>
          </w:p>
          <w:p w14:paraId="3FD20140" w14:textId="77777777" w:rsidR="00F7673D" w:rsidRDefault="00F7673D">
            <w:pPr>
              <w:keepNext/>
              <w:keepLines/>
              <w:spacing w:before="20" w:after="20"/>
              <w:rPr>
                <w:rFonts w:cs="Arial"/>
                <w:b/>
                <w:sz w:val="20"/>
                <w:szCs w:val="20"/>
              </w:rPr>
            </w:pPr>
            <w:r>
              <w:rPr>
                <w:rFonts w:cs="Arial"/>
                <w:b/>
                <w:sz w:val="20"/>
                <w:szCs w:val="20"/>
              </w:rPr>
              <w:t>Effective Date and Approved By</w:t>
            </w:r>
          </w:p>
        </w:tc>
      </w:tr>
      <w:bookmarkEnd w:id="78"/>
      <w:bookmarkEnd w:id="84"/>
      <w:bookmarkEnd w:id="85"/>
      <w:bookmarkEnd w:id="86"/>
      <w:tr w:rsidR="00A579ED" w14:paraId="76C67152" w14:textId="77777777" w:rsidTr="009249F6">
        <w:trPr>
          <w:trHeight w:val="20"/>
        </w:trPr>
        <w:tc>
          <w:tcPr>
            <w:tcW w:w="503"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hideMark/>
          </w:tcPr>
          <w:p w14:paraId="2A7812BB" w14:textId="77777777" w:rsidR="00A579ED" w:rsidRPr="008A0FC4" w:rsidRDefault="00A579ED">
            <w:pPr>
              <w:keepNext/>
              <w:keepLines/>
              <w:spacing w:before="20" w:after="20"/>
              <w:rPr>
                <w:rFonts w:cs="Arial"/>
                <w:sz w:val="20"/>
                <w:szCs w:val="20"/>
              </w:rPr>
            </w:pPr>
            <w:r w:rsidRPr="008A0FC4">
              <w:rPr>
                <w:rFonts w:cs="Arial"/>
                <w:sz w:val="20"/>
                <w:szCs w:val="20"/>
              </w:rPr>
              <w:t>01</w:t>
            </w:r>
          </w:p>
        </w:tc>
        <w:tc>
          <w:tcPr>
            <w:tcW w:w="7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B7356E4" w14:textId="77777777" w:rsidR="00A579ED" w:rsidRPr="008A0FC4" w:rsidRDefault="00A579ED">
            <w:pPr>
              <w:keepNext/>
              <w:keepLines/>
              <w:spacing w:before="20" w:after="20"/>
              <w:rPr>
                <w:rFonts w:cs="Arial"/>
                <w:sz w:val="20"/>
                <w:szCs w:val="20"/>
              </w:rPr>
            </w:pPr>
            <w:r w:rsidRPr="008A0FC4">
              <w:rPr>
                <w:rFonts w:cs="Arial"/>
                <w:sz w:val="20"/>
                <w:szCs w:val="20"/>
              </w:rPr>
              <w:t>12/31/2017</w:t>
            </w:r>
          </w:p>
        </w:tc>
        <w:tc>
          <w:tcPr>
            <w:tcW w:w="98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2D94330" w14:textId="77777777" w:rsidR="00A579ED" w:rsidRPr="008A0FC4" w:rsidRDefault="00A579ED">
            <w:pPr>
              <w:keepNext/>
              <w:keepLines/>
              <w:spacing w:before="20" w:after="20"/>
              <w:rPr>
                <w:rFonts w:cs="Arial"/>
                <w:sz w:val="20"/>
                <w:szCs w:val="20"/>
              </w:rPr>
            </w:pPr>
            <w:r w:rsidRPr="008A0FC4">
              <w:rPr>
                <w:rFonts w:cs="Arial"/>
                <w:sz w:val="20"/>
                <w:szCs w:val="20"/>
              </w:rPr>
              <w:t>Jennifer Holmes</w:t>
            </w:r>
          </w:p>
          <w:p w14:paraId="13F38AE4" w14:textId="77777777" w:rsidR="00A579ED" w:rsidRPr="008A0FC4" w:rsidRDefault="00A579ED">
            <w:pPr>
              <w:keepNext/>
              <w:keepLines/>
              <w:spacing w:before="20" w:after="20"/>
              <w:rPr>
                <w:rFonts w:cs="Arial"/>
                <w:sz w:val="20"/>
                <w:szCs w:val="20"/>
              </w:rPr>
            </w:pPr>
            <w:r w:rsidRPr="008A0FC4">
              <w:rPr>
                <w:rFonts w:cs="Arial"/>
                <w:sz w:val="20"/>
                <w:szCs w:val="20"/>
              </w:rPr>
              <w:t>Cal TF Staff</w:t>
            </w:r>
          </w:p>
        </w:tc>
        <w:tc>
          <w:tcPr>
            <w:tcW w:w="27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1240973" w14:textId="77777777" w:rsidR="00A579ED" w:rsidRDefault="00A579ED">
            <w:pPr>
              <w:keepNext/>
              <w:keepLines/>
              <w:spacing w:before="20" w:after="20"/>
              <w:rPr>
                <w:rFonts w:cs="Arial"/>
                <w:sz w:val="20"/>
                <w:szCs w:val="20"/>
              </w:rPr>
            </w:pPr>
            <w:r>
              <w:rPr>
                <w:rFonts w:cs="Arial"/>
                <w:sz w:val="20"/>
                <w:szCs w:val="20"/>
              </w:rPr>
              <w:t>Draft of consolidated text for this statewide measure is based upon:</w:t>
            </w:r>
          </w:p>
          <w:p w14:paraId="5E8B323A" w14:textId="77777777" w:rsidR="00A579ED" w:rsidRDefault="00A579ED">
            <w:pPr>
              <w:keepNext/>
              <w:keepLines/>
              <w:spacing w:before="20" w:after="20"/>
              <w:rPr>
                <w:rFonts w:cs="Arial"/>
                <w:sz w:val="20"/>
                <w:szCs w:val="20"/>
              </w:rPr>
            </w:pPr>
            <w:r>
              <w:rPr>
                <w:rFonts w:cs="Arial"/>
                <w:sz w:val="20"/>
                <w:szCs w:val="20"/>
              </w:rPr>
              <w:t>SCE17CC014, Revision 0 (October 27, 2016)</w:t>
            </w:r>
          </w:p>
          <w:p w14:paraId="1D12D6C8" w14:textId="77777777" w:rsidR="00A579ED" w:rsidRDefault="00A579ED" w:rsidP="00B10D0A">
            <w:pPr>
              <w:keepNext/>
              <w:keepLines/>
              <w:spacing w:before="20" w:after="20"/>
              <w:rPr>
                <w:rFonts w:cs="Arial"/>
                <w:sz w:val="20"/>
                <w:szCs w:val="20"/>
              </w:rPr>
            </w:pPr>
            <w:r>
              <w:rPr>
                <w:rFonts w:cs="Arial"/>
                <w:sz w:val="20"/>
                <w:szCs w:val="20"/>
              </w:rPr>
              <w:t>Consensus reached among Cal TF members.</w:t>
            </w:r>
          </w:p>
        </w:tc>
      </w:tr>
      <w:tr w:rsidR="00A579ED" w14:paraId="7AEB2883" w14:textId="77777777" w:rsidTr="009249F6">
        <w:trPr>
          <w:trHeight w:val="20"/>
        </w:trPr>
        <w:tc>
          <w:tcPr>
            <w:tcW w:w="503"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35F65F9C" w14:textId="77777777" w:rsidR="00A579ED" w:rsidRPr="00CA1CB3" w:rsidRDefault="00A579ED" w:rsidP="00CC38A1">
            <w:pPr>
              <w:keepNext/>
              <w:keepLines/>
              <w:spacing w:before="20" w:after="20"/>
              <w:rPr>
                <w:rFonts w:cs="Arial"/>
                <w:sz w:val="20"/>
                <w:szCs w:val="20"/>
              </w:rPr>
            </w:pPr>
          </w:p>
        </w:tc>
        <w:tc>
          <w:tcPr>
            <w:tcW w:w="77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7BEB139" w14:textId="77777777" w:rsidR="00A579ED" w:rsidRDefault="00A579ED" w:rsidP="00CC38A1">
            <w:pPr>
              <w:keepNext/>
              <w:keepLines/>
              <w:spacing w:before="20" w:after="20"/>
              <w:rPr>
                <w:rFonts w:cs="Arial"/>
                <w:sz w:val="20"/>
                <w:szCs w:val="20"/>
              </w:rPr>
            </w:pPr>
            <w:r>
              <w:rPr>
                <w:rFonts w:cs="Arial"/>
                <w:sz w:val="20"/>
                <w:szCs w:val="20"/>
              </w:rPr>
              <w:t>10/11/2018</w:t>
            </w:r>
          </w:p>
          <w:p w14:paraId="79A1B178" w14:textId="77777777" w:rsidR="00A579ED" w:rsidRPr="00743373" w:rsidRDefault="00A579ED" w:rsidP="00CC38A1">
            <w:pPr>
              <w:keepNext/>
              <w:keepLines/>
              <w:spacing w:before="20" w:after="20"/>
              <w:rPr>
                <w:rFonts w:cs="Arial"/>
                <w:sz w:val="20"/>
                <w:szCs w:val="20"/>
              </w:rPr>
            </w:pPr>
            <w:r>
              <w:rPr>
                <w:rFonts w:cs="Arial"/>
                <w:sz w:val="20"/>
                <w:szCs w:val="20"/>
              </w:rPr>
              <w:t>10/</w:t>
            </w:r>
            <w:r w:rsidR="00946FD6">
              <w:rPr>
                <w:rFonts w:cs="Arial"/>
                <w:sz w:val="20"/>
                <w:szCs w:val="20"/>
              </w:rPr>
              <w:t>30</w:t>
            </w:r>
            <w:r>
              <w:rPr>
                <w:rFonts w:cs="Arial"/>
                <w:sz w:val="20"/>
                <w:szCs w:val="20"/>
              </w:rPr>
              <w:t>/2018</w:t>
            </w:r>
          </w:p>
        </w:tc>
        <w:tc>
          <w:tcPr>
            <w:tcW w:w="98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B2239A9" w14:textId="77777777" w:rsidR="00A579ED" w:rsidRPr="00743373" w:rsidRDefault="00A579ED" w:rsidP="00CC38A1">
            <w:pPr>
              <w:keepNext/>
              <w:keepLines/>
              <w:spacing w:before="20" w:after="20"/>
              <w:rPr>
                <w:rFonts w:cs="Arial"/>
                <w:sz w:val="20"/>
                <w:szCs w:val="20"/>
              </w:rPr>
            </w:pPr>
            <w:r w:rsidRPr="00743373">
              <w:rPr>
                <w:rFonts w:cs="Arial"/>
                <w:sz w:val="20"/>
                <w:szCs w:val="20"/>
              </w:rPr>
              <w:t>Jennifer Holmes</w:t>
            </w:r>
          </w:p>
          <w:p w14:paraId="7B0AE5FA" w14:textId="77777777" w:rsidR="00A579ED" w:rsidRPr="00743373" w:rsidRDefault="00A579ED" w:rsidP="00CC38A1">
            <w:pPr>
              <w:keepNext/>
              <w:keepLines/>
              <w:spacing w:before="20" w:after="20"/>
              <w:rPr>
                <w:rFonts w:cs="Arial"/>
                <w:sz w:val="20"/>
                <w:szCs w:val="20"/>
              </w:rPr>
            </w:pPr>
            <w:r w:rsidRPr="00743373">
              <w:rPr>
                <w:rFonts w:cs="Arial"/>
                <w:sz w:val="20"/>
                <w:szCs w:val="20"/>
              </w:rPr>
              <w:t>Cal TF Staff</w:t>
            </w:r>
          </w:p>
        </w:tc>
        <w:tc>
          <w:tcPr>
            <w:tcW w:w="27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25A300" w14:textId="77777777" w:rsidR="00A579ED" w:rsidRDefault="00A579ED" w:rsidP="00CC38A1">
            <w:pPr>
              <w:keepNext/>
              <w:keepLines/>
              <w:spacing w:before="20" w:after="20"/>
              <w:rPr>
                <w:rFonts w:cs="Arial"/>
                <w:sz w:val="20"/>
                <w:szCs w:val="20"/>
              </w:rPr>
            </w:pPr>
            <w:r>
              <w:rPr>
                <w:rFonts w:cs="Arial"/>
                <w:sz w:val="20"/>
                <w:szCs w:val="20"/>
              </w:rPr>
              <w:t>Completed final revisions for submittal of version 01.</w:t>
            </w:r>
          </w:p>
        </w:tc>
      </w:tr>
    </w:tbl>
    <w:p w14:paraId="2A7E30FD" w14:textId="77777777" w:rsidR="00F7673D" w:rsidRDefault="00F7673D" w:rsidP="00F7673D"/>
    <w:sectPr w:rsidR="00F7673D" w:rsidSect="00AF4BDA">
      <w:headerReference w:type="default" r:id="rId8"/>
      <w:footerReference w:type="default" r:id="rId9"/>
      <w:headerReference w:type="first" r:id="rId10"/>
      <w:footerReference w:type="first" r:id="rId11"/>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68BF0" w14:textId="77777777" w:rsidR="003B1B30" w:rsidRDefault="003B1B30" w:rsidP="00A2690C">
      <w:r>
        <w:separator/>
      </w:r>
    </w:p>
    <w:p w14:paraId="32832D7C" w14:textId="77777777" w:rsidR="003B1B30" w:rsidRDefault="003B1B30"/>
  </w:endnote>
  <w:endnote w:type="continuationSeparator" w:id="0">
    <w:p w14:paraId="346FDDC6" w14:textId="77777777" w:rsidR="003B1B30" w:rsidRDefault="003B1B30" w:rsidP="00A2690C">
      <w:r>
        <w:continuationSeparator/>
      </w:r>
    </w:p>
    <w:p w14:paraId="429BD643" w14:textId="77777777" w:rsidR="003B1B30" w:rsidRDefault="003B1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D4A32" w14:textId="77777777" w:rsidR="00DC6DB2" w:rsidRDefault="00DC6DB2" w:rsidP="00AF4BDA">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1312" behindDoc="0" locked="0" layoutInCell="1" allowOverlap="1" wp14:anchorId="3F102E1D" wp14:editId="6AC5ED64">
          <wp:simplePos x="0" y="0"/>
          <wp:positionH relativeFrom="column">
            <wp:posOffset>2863850</wp:posOffset>
          </wp:positionH>
          <wp:positionV relativeFrom="paragraph">
            <wp:posOffset>-138781</wp:posOffset>
          </wp:positionV>
          <wp:extent cx="210820" cy="579335"/>
          <wp:effectExtent l="0" t="6350" r="11430" b="11430"/>
          <wp:wrapNone/>
          <wp:docPr id="1" name="Picture 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6AB44F48" w14:textId="77777777" w:rsidR="00DC6DB2" w:rsidRPr="00AF4BDA" w:rsidRDefault="00DC6DB2" w:rsidP="00AF4BDA">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3A65CB">
      <w:rPr>
        <w:rStyle w:val="PageNumber"/>
        <w:noProof/>
        <w:sz w:val="14"/>
        <w:szCs w:val="14"/>
      </w:rPr>
      <w:t>6</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E9D5B" w14:textId="77777777" w:rsidR="00DC6DB2" w:rsidRDefault="00DC6DB2" w:rsidP="00AF4BDA">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6DB1A2EE" wp14:editId="52C46CAF">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0017AE5D" w14:textId="77777777" w:rsidR="00DC6DB2" w:rsidRPr="00AF4BDA" w:rsidRDefault="00DC6DB2" w:rsidP="00AF4BDA">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3A65CB">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F4C96" w14:textId="77777777" w:rsidR="003B1B30" w:rsidRDefault="003B1B30" w:rsidP="00A2690C">
      <w:r>
        <w:separator/>
      </w:r>
    </w:p>
    <w:p w14:paraId="6139DF52" w14:textId="77777777" w:rsidR="003B1B30" w:rsidRDefault="003B1B30"/>
  </w:footnote>
  <w:footnote w:type="continuationSeparator" w:id="0">
    <w:p w14:paraId="22BC1B6F" w14:textId="77777777" w:rsidR="003B1B30" w:rsidRDefault="003B1B30" w:rsidP="00A2690C">
      <w:r>
        <w:continuationSeparator/>
      </w:r>
    </w:p>
    <w:p w14:paraId="2575373C" w14:textId="77777777" w:rsidR="003B1B30" w:rsidRDefault="003B1B30"/>
  </w:footnote>
  <w:footnote w:id="1">
    <w:p w14:paraId="548A68E3" w14:textId="77777777" w:rsidR="00DC14F1" w:rsidRDefault="00DC14F1">
      <w:pPr>
        <w:pStyle w:val="FootnoteText"/>
      </w:pPr>
      <w:r>
        <w:rPr>
          <w:rStyle w:val="FootnoteReference"/>
        </w:rPr>
        <w:footnoteRef/>
      </w:r>
      <w:r>
        <w:t xml:space="preserve"> </w:t>
      </w:r>
      <w:r w:rsidRPr="003A5C34">
        <w:rPr>
          <w:rStyle w:val="eTRMFootnoteTextChar"/>
        </w:rPr>
        <w:t>Southern California Edison</w:t>
      </w:r>
      <w:r w:rsidR="002C0B92">
        <w:rPr>
          <w:rStyle w:val="eTRMFootnoteTextChar"/>
        </w:rPr>
        <w:t xml:space="preserve"> (SCE)</w:t>
      </w:r>
      <w:r w:rsidR="00952E7D">
        <w:rPr>
          <w:rStyle w:val="eTRMFootnoteTextChar"/>
        </w:rPr>
        <w:t>, Emerging Products</w:t>
      </w:r>
      <w:r w:rsidRPr="003A5C34">
        <w:rPr>
          <w:rStyle w:val="eTRMFootnoteTextChar"/>
        </w:rPr>
        <w:t xml:space="preserve">. </w:t>
      </w:r>
      <w:r w:rsidR="00BD34FB">
        <w:rPr>
          <w:rStyle w:val="eTRMFootnoteTextChar"/>
        </w:rPr>
        <w:t>201</w:t>
      </w:r>
      <w:r w:rsidR="00952E7D">
        <w:rPr>
          <w:rStyle w:val="eTRMFootnoteTextChar"/>
        </w:rPr>
        <w:t>5</w:t>
      </w:r>
      <w:r w:rsidR="00BD34FB">
        <w:rPr>
          <w:rStyle w:val="eTRMFootnoteTextChar"/>
        </w:rPr>
        <w:t xml:space="preserve">. </w:t>
      </w:r>
      <w:r w:rsidR="00952E7D">
        <w:rPr>
          <w:rStyle w:val="eTRMFootnoteTextChar"/>
          <w:i/>
        </w:rPr>
        <w:t>Commercial Hand Wrap Machines fo</w:t>
      </w:r>
      <w:r w:rsidRPr="00BD34FB">
        <w:rPr>
          <w:rStyle w:val="eTRMFootnoteTextChar"/>
          <w:i/>
        </w:rPr>
        <w:t>r Food Service Applications Field Test.</w:t>
      </w:r>
      <w:r w:rsidRPr="003A5C34">
        <w:rPr>
          <w:rStyle w:val="eTRMFootnoteTextChar"/>
        </w:rPr>
        <w:t xml:space="preserve"> ET13SCE1190. </w:t>
      </w:r>
    </w:p>
  </w:footnote>
  <w:footnote w:id="2">
    <w:p w14:paraId="5CE6BB35" w14:textId="77777777" w:rsidR="00DC14F1" w:rsidRDefault="00DC14F1" w:rsidP="00DC14F1">
      <w:pPr>
        <w:pStyle w:val="FootnoteText"/>
      </w:pPr>
      <w:r>
        <w:rPr>
          <w:rStyle w:val="FootnoteReference"/>
        </w:rPr>
        <w:footnoteRef/>
      </w:r>
      <w:r>
        <w:t xml:space="preserve"> </w:t>
      </w:r>
      <w:r w:rsidR="000C727C" w:rsidRPr="003A5C34">
        <w:rPr>
          <w:rStyle w:val="eTRMFootnoteTextChar"/>
        </w:rPr>
        <w:t>Southern California Edison</w:t>
      </w:r>
      <w:r w:rsidR="000C727C">
        <w:rPr>
          <w:rStyle w:val="eTRMFootnoteTextChar"/>
        </w:rPr>
        <w:t xml:space="preserve"> (SCE), Emerging Products</w:t>
      </w:r>
      <w:r w:rsidR="000C727C" w:rsidRPr="003A5C34">
        <w:rPr>
          <w:rStyle w:val="eTRMFootnoteTextChar"/>
        </w:rPr>
        <w:t xml:space="preserve">. </w:t>
      </w:r>
      <w:r w:rsidR="000C727C">
        <w:rPr>
          <w:rStyle w:val="eTRMFootnoteTextChar"/>
        </w:rPr>
        <w:t xml:space="preserve">2015. </w:t>
      </w:r>
      <w:r w:rsidR="000C727C">
        <w:rPr>
          <w:rStyle w:val="eTRMFootnoteTextChar"/>
          <w:i/>
        </w:rPr>
        <w:t>Commercial Hand Wrap Machines fo</w:t>
      </w:r>
      <w:r w:rsidR="000C727C" w:rsidRPr="00BD34FB">
        <w:rPr>
          <w:rStyle w:val="eTRMFootnoteTextChar"/>
          <w:i/>
        </w:rPr>
        <w:t>r Food Service Applications Field Test.</w:t>
      </w:r>
      <w:r w:rsidR="000C727C" w:rsidRPr="003A5C34">
        <w:rPr>
          <w:rStyle w:val="eTRMFootnoteTextChar"/>
        </w:rPr>
        <w:t xml:space="preserve"> ET13SCE1190.</w:t>
      </w:r>
    </w:p>
  </w:footnote>
  <w:footnote w:id="3">
    <w:p w14:paraId="1AA8CBEE" w14:textId="77777777" w:rsidR="00695057" w:rsidRDefault="00695057">
      <w:pPr>
        <w:pStyle w:val="FootnoteText"/>
      </w:pPr>
      <w:r>
        <w:rPr>
          <w:rStyle w:val="FootnoteReference"/>
        </w:rPr>
        <w:footnoteRef/>
      </w:r>
      <w:r>
        <w:t xml:space="preserve"> </w:t>
      </w:r>
      <w:r w:rsidR="000C727C" w:rsidRPr="003A5C34">
        <w:rPr>
          <w:rStyle w:val="eTRMFootnoteTextChar"/>
        </w:rPr>
        <w:t>Southern California Edison</w:t>
      </w:r>
      <w:r w:rsidR="000C727C">
        <w:rPr>
          <w:rStyle w:val="eTRMFootnoteTextChar"/>
        </w:rPr>
        <w:t xml:space="preserve"> (SCE), Emerging Products</w:t>
      </w:r>
      <w:r w:rsidR="000C727C" w:rsidRPr="003A5C34">
        <w:rPr>
          <w:rStyle w:val="eTRMFootnoteTextChar"/>
        </w:rPr>
        <w:t xml:space="preserve">. </w:t>
      </w:r>
      <w:r w:rsidR="000C727C">
        <w:rPr>
          <w:rStyle w:val="eTRMFootnoteTextChar"/>
        </w:rPr>
        <w:t xml:space="preserve">2015. </w:t>
      </w:r>
      <w:r w:rsidR="000C727C">
        <w:rPr>
          <w:rStyle w:val="eTRMFootnoteTextChar"/>
          <w:i/>
        </w:rPr>
        <w:t>Commercial Hand Wrap Machines fo</w:t>
      </w:r>
      <w:r w:rsidR="000C727C" w:rsidRPr="00BD34FB">
        <w:rPr>
          <w:rStyle w:val="eTRMFootnoteTextChar"/>
          <w:i/>
        </w:rPr>
        <w:t>r Food Service Applications Field Test.</w:t>
      </w:r>
      <w:r w:rsidR="000C727C" w:rsidRPr="003A5C34">
        <w:rPr>
          <w:rStyle w:val="eTRMFootnoteTextChar"/>
        </w:rPr>
        <w:t xml:space="preserve"> ET13SCE1190.</w:t>
      </w:r>
    </w:p>
  </w:footnote>
  <w:footnote w:id="4">
    <w:p w14:paraId="58A41D9C" w14:textId="77777777" w:rsidR="00AF1A02" w:rsidRDefault="00AF1A02" w:rsidP="00AF1A02">
      <w:pPr>
        <w:pStyle w:val="FootnoteText"/>
      </w:pPr>
      <w:r>
        <w:rPr>
          <w:rStyle w:val="FootnoteReference"/>
        </w:rPr>
        <w:footnoteRef/>
      </w:r>
      <w:r>
        <w:t xml:space="preserve"> </w:t>
      </w:r>
      <w:r w:rsidRPr="003A5C34">
        <w:rPr>
          <w:rStyle w:val="eTRMFootnoteTextChar"/>
        </w:rPr>
        <w:t>Southern California Edison</w:t>
      </w:r>
      <w:r>
        <w:rPr>
          <w:rStyle w:val="eTRMFootnoteTextChar"/>
        </w:rPr>
        <w:t xml:space="preserve"> (SCE), Emerging Products</w:t>
      </w:r>
      <w:r w:rsidRPr="003A5C34">
        <w:rPr>
          <w:rStyle w:val="eTRMFootnoteTextChar"/>
        </w:rPr>
        <w:t xml:space="preserve">. </w:t>
      </w:r>
      <w:r>
        <w:rPr>
          <w:rStyle w:val="eTRMFootnoteTextChar"/>
        </w:rPr>
        <w:t xml:space="preserve">2015. </w:t>
      </w:r>
      <w:r>
        <w:rPr>
          <w:rStyle w:val="eTRMFootnoteTextChar"/>
          <w:i/>
        </w:rPr>
        <w:t>Commercial Hand Wrap Machines fo</w:t>
      </w:r>
      <w:r w:rsidRPr="00BD34FB">
        <w:rPr>
          <w:rStyle w:val="eTRMFootnoteTextChar"/>
          <w:i/>
        </w:rPr>
        <w:t>r Food Service Applications Field Test.</w:t>
      </w:r>
      <w:r w:rsidRPr="003A5C34">
        <w:rPr>
          <w:rStyle w:val="eTRMFootnoteTextChar"/>
        </w:rPr>
        <w:t xml:space="preserve"> ET13SCE1190.</w:t>
      </w:r>
    </w:p>
  </w:footnote>
  <w:footnote w:id="5">
    <w:p w14:paraId="2B10D3B2" w14:textId="77777777" w:rsidR="004E5940" w:rsidRDefault="004E5940">
      <w:pPr>
        <w:pStyle w:val="FootnoteText"/>
      </w:pPr>
      <w:r>
        <w:rPr>
          <w:rStyle w:val="FootnoteReference"/>
        </w:rPr>
        <w:footnoteRef/>
      </w:r>
      <w:r>
        <w:t xml:space="preserve"> </w:t>
      </w:r>
      <w:bookmarkStart w:id="41" w:name="_Hlk528577142"/>
      <w:r w:rsidR="00BA3B69" w:rsidRPr="00461A0D">
        <w:rPr>
          <w:rStyle w:val="eTRMFootnoteTextChar"/>
        </w:rPr>
        <w:t xml:space="preserve">California Public Utilities Commission (CPUC). 2018. </w:t>
      </w:r>
      <w:r w:rsidR="00BA3B69" w:rsidRPr="004B7794">
        <w:rPr>
          <w:rStyle w:val="eTRMFootnoteTextChar"/>
          <w:i/>
        </w:rPr>
        <w:t>Resolution E-4952.</w:t>
      </w:r>
      <w:r w:rsidR="00BA3B69" w:rsidRPr="00461A0D">
        <w:rPr>
          <w:rStyle w:val="eTRMFootnoteTextChar"/>
        </w:rPr>
        <w:t xml:space="preserve"> October 11. </w:t>
      </w:r>
      <w:r w:rsidR="009249F6">
        <w:rPr>
          <w:rStyle w:val="eTRMFootnoteTextChar"/>
        </w:rPr>
        <w:t>Op</w:t>
      </w:r>
      <w:r w:rsidR="00BA3B69" w:rsidRPr="00461A0D">
        <w:rPr>
          <w:rStyle w:val="eTRMFootnoteTextChar"/>
        </w:rPr>
        <w:t xml:space="preserve"> 1.</w:t>
      </w:r>
      <w:bookmarkEnd w:id="41"/>
    </w:p>
  </w:footnote>
  <w:footnote w:id="6">
    <w:p w14:paraId="3F962E54" w14:textId="77777777" w:rsidR="005A08F8" w:rsidRDefault="005A08F8" w:rsidP="005A08F8">
      <w:pPr>
        <w:pStyle w:val="FootnoteText"/>
      </w:pPr>
      <w:r>
        <w:rPr>
          <w:rStyle w:val="FootnoteReference"/>
        </w:rPr>
        <w:footnoteRef/>
      </w:r>
      <w:r>
        <w:t xml:space="preserve"> </w:t>
      </w:r>
      <w:r w:rsidRPr="005A08F8">
        <w:rPr>
          <w:rStyle w:val="eTRMFootnoteTextChar"/>
        </w:rPr>
        <w:t>Southern California Edison (SCE). 2016. “SCE17CC014.0 Com Hand Wrap Machines Costs 2016.xlsx.”</w:t>
      </w:r>
    </w:p>
  </w:footnote>
  <w:footnote w:id="7">
    <w:p w14:paraId="7F7C1E1C" w14:textId="77777777" w:rsidR="005A08F8" w:rsidRDefault="005A08F8">
      <w:pPr>
        <w:pStyle w:val="FootnoteText"/>
      </w:pPr>
      <w:r>
        <w:rPr>
          <w:rStyle w:val="FootnoteReference"/>
        </w:rPr>
        <w:footnoteRef/>
      </w:r>
      <w:r>
        <w:t xml:space="preserve"> </w:t>
      </w:r>
      <w:r w:rsidRPr="005A08F8">
        <w:rPr>
          <w:rStyle w:val="eTRMFootnoteTextChar"/>
        </w:rPr>
        <w:t>Southern California Edison (SCE). 2016. “SCE17CC014.0 Com Hand Wrap Machines Costs 2016.xlsx.”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67E70" w14:textId="77777777" w:rsidR="00DC6DB2" w:rsidRDefault="00DC6DB2" w:rsidP="001D7A57">
    <w:pPr>
      <w:pStyle w:val="Header"/>
    </w:pPr>
    <w:r>
      <w:rPr>
        <w:rFonts w:ascii="Calibri Light" w:hAnsi="Calibri Light"/>
      </w:rPr>
      <w:t xml:space="preserve">FOOD SERVICE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Commercial Hand Wrap Machine</w:t>
    </w:r>
  </w:p>
  <w:p w14:paraId="212D8E98" w14:textId="77777777" w:rsidR="00DC6DB2" w:rsidRDefault="00DC6D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54D9B" w14:textId="77777777" w:rsidR="00320DA8" w:rsidRDefault="00320DA8" w:rsidP="00320DA8">
    <w:pPr>
      <w:jc w:val="center"/>
    </w:pPr>
  </w:p>
  <w:p w14:paraId="3C7F1F35" w14:textId="77777777" w:rsidR="00320DA8" w:rsidRDefault="00320DA8" w:rsidP="00320DA8">
    <w:pPr>
      <w:jc w:val="center"/>
    </w:pPr>
    <w:r>
      <w:rPr>
        <w:noProof/>
      </w:rPr>
      <w:drawing>
        <wp:inline distT="0" distB="0" distL="0" distR="0" wp14:anchorId="463113E2" wp14:editId="63D496FF">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8306D"/>
    <w:multiLevelType w:val="hybridMultilevel"/>
    <w:tmpl w:val="8FA4F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0"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7"/>
  </w:num>
  <w:num w:numId="2">
    <w:abstractNumId w:val="11"/>
  </w:num>
  <w:num w:numId="3">
    <w:abstractNumId w:val="13"/>
  </w:num>
  <w:num w:numId="4">
    <w:abstractNumId w:val="13"/>
  </w:num>
  <w:num w:numId="5">
    <w:abstractNumId w:val="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3"/>
  </w:num>
  <w:num w:numId="8">
    <w:abstractNumId w:val="10"/>
  </w:num>
  <w:num w:numId="9">
    <w:abstractNumId w:val="0"/>
  </w:num>
  <w:num w:numId="10">
    <w:abstractNumId w:val="12"/>
  </w:num>
  <w:num w:numId="11">
    <w:abstractNumId w:val="4"/>
  </w:num>
  <w:num w:numId="12">
    <w:abstractNumId w:val="6"/>
  </w:num>
  <w:num w:numId="1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5B06"/>
    <w:rsid w:val="000063B0"/>
    <w:rsid w:val="000110D9"/>
    <w:rsid w:val="000111AF"/>
    <w:rsid w:val="00011FF6"/>
    <w:rsid w:val="00012BB6"/>
    <w:rsid w:val="00016928"/>
    <w:rsid w:val="000220A0"/>
    <w:rsid w:val="0002389A"/>
    <w:rsid w:val="00026D58"/>
    <w:rsid w:val="000302DF"/>
    <w:rsid w:val="00031184"/>
    <w:rsid w:val="00037A06"/>
    <w:rsid w:val="0004162C"/>
    <w:rsid w:val="00045E1E"/>
    <w:rsid w:val="00046BB0"/>
    <w:rsid w:val="00051DBB"/>
    <w:rsid w:val="00052C95"/>
    <w:rsid w:val="00061D34"/>
    <w:rsid w:val="00062C6F"/>
    <w:rsid w:val="000672E5"/>
    <w:rsid w:val="00074E3E"/>
    <w:rsid w:val="000767E9"/>
    <w:rsid w:val="0008108C"/>
    <w:rsid w:val="000841AA"/>
    <w:rsid w:val="000870B7"/>
    <w:rsid w:val="00090BBF"/>
    <w:rsid w:val="000910B7"/>
    <w:rsid w:val="00091581"/>
    <w:rsid w:val="00094517"/>
    <w:rsid w:val="00096485"/>
    <w:rsid w:val="000978C8"/>
    <w:rsid w:val="000A4D3A"/>
    <w:rsid w:val="000A62EF"/>
    <w:rsid w:val="000A66B7"/>
    <w:rsid w:val="000A7058"/>
    <w:rsid w:val="000B5A9A"/>
    <w:rsid w:val="000B6004"/>
    <w:rsid w:val="000B6FEE"/>
    <w:rsid w:val="000C36B4"/>
    <w:rsid w:val="000C727C"/>
    <w:rsid w:val="000C72C1"/>
    <w:rsid w:val="000D35B4"/>
    <w:rsid w:val="000F1833"/>
    <w:rsid w:val="00103399"/>
    <w:rsid w:val="00104933"/>
    <w:rsid w:val="00111A53"/>
    <w:rsid w:val="00112C4F"/>
    <w:rsid w:val="0011498C"/>
    <w:rsid w:val="00116EA1"/>
    <w:rsid w:val="00120592"/>
    <w:rsid w:val="001217DF"/>
    <w:rsid w:val="0012187D"/>
    <w:rsid w:val="00124BFE"/>
    <w:rsid w:val="00126809"/>
    <w:rsid w:val="001268A5"/>
    <w:rsid w:val="001274F6"/>
    <w:rsid w:val="00130EF7"/>
    <w:rsid w:val="00131C5A"/>
    <w:rsid w:val="00142D3C"/>
    <w:rsid w:val="0014461E"/>
    <w:rsid w:val="00144BB9"/>
    <w:rsid w:val="001479E7"/>
    <w:rsid w:val="00151977"/>
    <w:rsid w:val="00151B9F"/>
    <w:rsid w:val="00154391"/>
    <w:rsid w:val="001564FC"/>
    <w:rsid w:val="00157C47"/>
    <w:rsid w:val="00157DB9"/>
    <w:rsid w:val="00161DF1"/>
    <w:rsid w:val="001633AF"/>
    <w:rsid w:val="001648F6"/>
    <w:rsid w:val="00171BB8"/>
    <w:rsid w:val="00174707"/>
    <w:rsid w:val="00180DAD"/>
    <w:rsid w:val="00181672"/>
    <w:rsid w:val="00181E01"/>
    <w:rsid w:val="00182249"/>
    <w:rsid w:val="00182BA7"/>
    <w:rsid w:val="00183450"/>
    <w:rsid w:val="001843DE"/>
    <w:rsid w:val="00187732"/>
    <w:rsid w:val="001912AE"/>
    <w:rsid w:val="001944A0"/>
    <w:rsid w:val="00195B03"/>
    <w:rsid w:val="00196649"/>
    <w:rsid w:val="00196DA1"/>
    <w:rsid w:val="001A4BE1"/>
    <w:rsid w:val="001A698E"/>
    <w:rsid w:val="001A7A21"/>
    <w:rsid w:val="001B1D23"/>
    <w:rsid w:val="001B231C"/>
    <w:rsid w:val="001C2ACE"/>
    <w:rsid w:val="001C6C9B"/>
    <w:rsid w:val="001C7134"/>
    <w:rsid w:val="001D10EB"/>
    <w:rsid w:val="001D65A6"/>
    <w:rsid w:val="001D7A57"/>
    <w:rsid w:val="001E19A3"/>
    <w:rsid w:val="001E4C3F"/>
    <w:rsid w:val="001F574A"/>
    <w:rsid w:val="001F735E"/>
    <w:rsid w:val="002005A8"/>
    <w:rsid w:val="002006B6"/>
    <w:rsid w:val="00200DA6"/>
    <w:rsid w:val="00201E7C"/>
    <w:rsid w:val="00202288"/>
    <w:rsid w:val="00205BAF"/>
    <w:rsid w:val="00207F85"/>
    <w:rsid w:val="002112D7"/>
    <w:rsid w:val="0021226A"/>
    <w:rsid w:val="00213431"/>
    <w:rsid w:val="00225142"/>
    <w:rsid w:val="00227BDD"/>
    <w:rsid w:val="002318A4"/>
    <w:rsid w:val="00231EC5"/>
    <w:rsid w:val="002335FF"/>
    <w:rsid w:val="00233D87"/>
    <w:rsid w:val="0023666C"/>
    <w:rsid w:val="00236E0A"/>
    <w:rsid w:val="00237964"/>
    <w:rsid w:val="002415A8"/>
    <w:rsid w:val="002434DE"/>
    <w:rsid w:val="00243FA7"/>
    <w:rsid w:val="00245AFF"/>
    <w:rsid w:val="0024628D"/>
    <w:rsid w:val="0024690E"/>
    <w:rsid w:val="00251ABC"/>
    <w:rsid w:val="002524CF"/>
    <w:rsid w:val="00256400"/>
    <w:rsid w:val="00265F18"/>
    <w:rsid w:val="00272B37"/>
    <w:rsid w:val="00276F9B"/>
    <w:rsid w:val="00291528"/>
    <w:rsid w:val="0029555D"/>
    <w:rsid w:val="0029781E"/>
    <w:rsid w:val="002A2471"/>
    <w:rsid w:val="002A2A94"/>
    <w:rsid w:val="002A64DF"/>
    <w:rsid w:val="002B107C"/>
    <w:rsid w:val="002B2C97"/>
    <w:rsid w:val="002B3BF4"/>
    <w:rsid w:val="002B6DED"/>
    <w:rsid w:val="002B6F2A"/>
    <w:rsid w:val="002C06FC"/>
    <w:rsid w:val="002C0B92"/>
    <w:rsid w:val="002C1117"/>
    <w:rsid w:val="002C122B"/>
    <w:rsid w:val="002C67DF"/>
    <w:rsid w:val="002D0036"/>
    <w:rsid w:val="002D29F8"/>
    <w:rsid w:val="002D40EE"/>
    <w:rsid w:val="002D4993"/>
    <w:rsid w:val="002D50E9"/>
    <w:rsid w:val="002D5CFA"/>
    <w:rsid w:val="002E1BC0"/>
    <w:rsid w:val="002E1EBA"/>
    <w:rsid w:val="002E3164"/>
    <w:rsid w:val="002F6C4A"/>
    <w:rsid w:val="00302A82"/>
    <w:rsid w:val="00307365"/>
    <w:rsid w:val="003103FB"/>
    <w:rsid w:val="00313E1D"/>
    <w:rsid w:val="00320DA8"/>
    <w:rsid w:val="00324192"/>
    <w:rsid w:val="003247FA"/>
    <w:rsid w:val="003309DA"/>
    <w:rsid w:val="00333809"/>
    <w:rsid w:val="00336313"/>
    <w:rsid w:val="00337D1D"/>
    <w:rsid w:val="003432FB"/>
    <w:rsid w:val="00344294"/>
    <w:rsid w:val="0035060F"/>
    <w:rsid w:val="00352864"/>
    <w:rsid w:val="003545E5"/>
    <w:rsid w:val="00362F9E"/>
    <w:rsid w:val="00363BE8"/>
    <w:rsid w:val="0037168C"/>
    <w:rsid w:val="0037249E"/>
    <w:rsid w:val="00372C81"/>
    <w:rsid w:val="00372F61"/>
    <w:rsid w:val="00373759"/>
    <w:rsid w:val="0037797F"/>
    <w:rsid w:val="00385069"/>
    <w:rsid w:val="00392097"/>
    <w:rsid w:val="00392684"/>
    <w:rsid w:val="003A261C"/>
    <w:rsid w:val="003A584D"/>
    <w:rsid w:val="003A5C34"/>
    <w:rsid w:val="003A65CB"/>
    <w:rsid w:val="003B1B30"/>
    <w:rsid w:val="003B2A4C"/>
    <w:rsid w:val="003B443A"/>
    <w:rsid w:val="003B7610"/>
    <w:rsid w:val="003C0978"/>
    <w:rsid w:val="003C2CC3"/>
    <w:rsid w:val="003C7721"/>
    <w:rsid w:val="003D1FB8"/>
    <w:rsid w:val="003D7104"/>
    <w:rsid w:val="003E2987"/>
    <w:rsid w:val="003E5605"/>
    <w:rsid w:val="003F269E"/>
    <w:rsid w:val="003F4964"/>
    <w:rsid w:val="003F65F3"/>
    <w:rsid w:val="00401C43"/>
    <w:rsid w:val="004046FF"/>
    <w:rsid w:val="0041030B"/>
    <w:rsid w:val="00410790"/>
    <w:rsid w:val="00411EF4"/>
    <w:rsid w:val="0041316E"/>
    <w:rsid w:val="004133BB"/>
    <w:rsid w:val="004142EF"/>
    <w:rsid w:val="00420958"/>
    <w:rsid w:val="00420EF1"/>
    <w:rsid w:val="00421920"/>
    <w:rsid w:val="004249A0"/>
    <w:rsid w:val="00426917"/>
    <w:rsid w:val="00432D49"/>
    <w:rsid w:val="004339EA"/>
    <w:rsid w:val="00433E8F"/>
    <w:rsid w:val="0044577B"/>
    <w:rsid w:val="004517F1"/>
    <w:rsid w:val="004555DF"/>
    <w:rsid w:val="00461A0D"/>
    <w:rsid w:val="00461AE3"/>
    <w:rsid w:val="00464A63"/>
    <w:rsid w:val="00466DD6"/>
    <w:rsid w:val="00470670"/>
    <w:rsid w:val="00472286"/>
    <w:rsid w:val="004744AC"/>
    <w:rsid w:val="00475A47"/>
    <w:rsid w:val="00484536"/>
    <w:rsid w:val="00486585"/>
    <w:rsid w:val="004920BB"/>
    <w:rsid w:val="00492863"/>
    <w:rsid w:val="004960DD"/>
    <w:rsid w:val="00496B28"/>
    <w:rsid w:val="00497289"/>
    <w:rsid w:val="004A0468"/>
    <w:rsid w:val="004A06AE"/>
    <w:rsid w:val="004A510D"/>
    <w:rsid w:val="004A5549"/>
    <w:rsid w:val="004B06E3"/>
    <w:rsid w:val="004B0EDC"/>
    <w:rsid w:val="004B35DC"/>
    <w:rsid w:val="004B5888"/>
    <w:rsid w:val="004B7794"/>
    <w:rsid w:val="004C2A36"/>
    <w:rsid w:val="004C3663"/>
    <w:rsid w:val="004C57EC"/>
    <w:rsid w:val="004C69F2"/>
    <w:rsid w:val="004D1461"/>
    <w:rsid w:val="004D3A71"/>
    <w:rsid w:val="004D3CE4"/>
    <w:rsid w:val="004D7E51"/>
    <w:rsid w:val="004E04EE"/>
    <w:rsid w:val="004E1B37"/>
    <w:rsid w:val="004E2704"/>
    <w:rsid w:val="004E4D01"/>
    <w:rsid w:val="004E5940"/>
    <w:rsid w:val="004F28A5"/>
    <w:rsid w:val="004F6333"/>
    <w:rsid w:val="00500964"/>
    <w:rsid w:val="00500C66"/>
    <w:rsid w:val="00504E6B"/>
    <w:rsid w:val="00505B94"/>
    <w:rsid w:val="005130EC"/>
    <w:rsid w:val="005146E6"/>
    <w:rsid w:val="00535A42"/>
    <w:rsid w:val="0053748E"/>
    <w:rsid w:val="005449C6"/>
    <w:rsid w:val="00566B42"/>
    <w:rsid w:val="0057165C"/>
    <w:rsid w:val="005722C6"/>
    <w:rsid w:val="0057315D"/>
    <w:rsid w:val="00580FF8"/>
    <w:rsid w:val="00585C8D"/>
    <w:rsid w:val="005862CC"/>
    <w:rsid w:val="00590928"/>
    <w:rsid w:val="005911FE"/>
    <w:rsid w:val="0059312F"/>
    <w:rsid w:val="00595758"/>
    <w:rsid w:val="00596081"/>
    <w:rsid w:val="005A08F8"/>
    <w:rsid w:val="005A3655"/>
    <w:rsid w:val="005A3943"/>
    <w:rsid w:val="005A51E6"/>
    <w:rsid w:val="005B7418"/>
    <w:rsid w:val="005C03A9"/>
    <w:rsid w:val="005C2BFC"/>
    <w:rsid w:val="005C324B"/>
    <w:rsid w:val="005C43E2"/>
    <w:rsid w:val="005C454A"/>
    <w:rsid w:val="005C74C9"/>
    <w:rsid w:val="005D1B14"/>
    <w:rsid w:val="005D257B"/>
    <w:rsid w:val="005D5F4F"/>
    <w:rsid w:val="005E1D5C"/>
    <w:rsid w:val="005E25DC"/>
    <w:rsid w:val="005E52AE"/>
    <w:rsid w:val="005E5607"/>
    <w:rsid w:val="005E567C"/>
    <w:rsid w:val="005F505E"/>
    <w:rsid w:val="005F6760"/>
    <w:rsid w:val="00602976"/>
    <w:rsid w:val="0060388D"/>
    <w:rsid w:val="00603CBC"/>
    <w:rsid w:val="00604231"/>
    <w:rsid w:val="00610C2F"/>
    <w:rsid w:val="006167CB"/>
    <w:rsid w:val="00625805"/>
    <w:rsid w:val="00627AC4"/>
    <w:rsid w:val="006310DC"/>
    <w:rsid w:val="0063253B"/>
    <w:rsid w:val="006363C8"/>
    <w:rsid w:val="00637AB8"/>
    <w:rsid w:val="0064370D"/>
    <w:rsid w:val="00643771"/>
    <w:rsid w:val="00644946"/>
    <w:rsid w:val="00646AB8"/>
    <w:rsid w:val="00647BD9"/>
    <w:rsid w:val="006509F1"/>
    <w:rsid w:val="00654A3E"/>
    <w:rsid w:val="006624A7"/>
    <w:rsid w:val="0066515F"/>
    <w:rsid w:val="006668AF"/>
    <w:rsid w:val="00685574"/>
    <w:rsid w:val="00686439"/>
    <w:rsid w:val="006875F8"/>
    <w:rsid w:val="006920B8"/>
    <w:rsid w:val="00692BAC"/>
    <w:rsid w:val="00695057"/>
    <w:rsid w:val="006A52E6"/>
    <w:rsid w:val="006A6051"/>
    <w:rsid w:val="006B31D9"/>
    <w:rsid w:val="006C0102"/>
    <w:rsid w:val="006C07D4"/>
    <w:rsid w:val="006C0C5A"/>
    <w:rsid w:val="006C19C9"/>
    <w:rsid w:val="006C41AD"/>
    <w:rsid w:val="006D04BD"/>
    <w:rsid w:val="006D7180"/>
    <w:rsid w:val="006E433B"/>
    <w:rsid w:val="006E7899"/>
    <w:rsid w:val="006E7C78"/>
    <w:rsid w:val="006F0D3D"/>
    <w:rsid w:val="006F27F4"/>
    <w:rsid w:val="006F2E23"/>
    <w:rsid w:val="006F7024"/>
    <w:rsid w:val="00703A7C"/>
    <w:rsid w:val="007076DA"/>
    <w:rsid w:val="00707860"/>
    <w:rsid w:val="00711522"/>
    <w:rsid w:val="00713C32"/>
    <w:rsid w:val="007207BF"/>
    <w:rsid w:val="00722387"/>
    <w:rsid w:val="00725CB0"/>
    <w:rsid w:val="0073685C"/>
    <w:rsid w:val="00737EA5"/>
    <w:rsid w:val="007400AE"/>
    <w:rsid w:val="00741F3E"/>
    <w:rsid w:val="00743AA8"/>
    <w:rsid w:val="00750840"/>
    <w:rsid w:val="0075371E"/>
    <w:rsid w:val="00757617"/>
    <w:rsid w:val="00763AD8"/>
    <w:rsid w:val="00765016"/>
    <w:rsid w:val="0077100C"/>
    <w:rsid w:val="007713AE"/>
    <w:rsid w:val="00772F57"/>
    <w:rsid w:val="00775AA6"/>
    <w:rsid w:val="00776C39"/>
    <w:rsid w:val="00781D00"/>
    <w:rsid w:val="00782A46"/>
    <w:rsid w:val="007843A2"/>
    <w:rsid w:val="00784B57"/>
    <w:rsid w:val="007900F3"/>
    <w:rsid w:val="00791B69"/>
    <w:rsid w:val="0079498E"/>
    <w:rsid w:val="00796F10"/>
    <w:rsid w:val="007A6AB5"/>
    <w:rsid w:val="007B2B46"/>
    <w:rsid w:val="007B30F2"/>
    <w:rsid w:val="007B377F"/>
    <w:rsid w:val="007B4274"/>
    <w:rsid w:val="007B5117"/>
    <w:rsid w:val="007B599D"/>
    <w:rsid w:val="007B6A74"/>
    <w:rsid w:val="007B7BAC"/>
    <w:rsid w:val="007B7CEE"/>
    <w:rsid w:val="007C2DC8"/>
    <w:rsid w:val="007C693C"/>
    <w:rsid w:val="007D049B"/>
    <w:rsid w:val="007D097E"/>
    <w:rsid w:val="007D230B"/>
    <w:rsid w:val="007D2D80"/>
    <w:rsid w:val="007D3681"/>
    <w:rsid w:val="007D3824"/>
    <w:rsid w:val="007D49A1"/>
    <w:rsid w:val="007D59DD"/>
    <w:rsid w:val="007E14B2"/>
    <w:rsid w:val="007E1F66"/>
    <w:rsid w:val="007E4C10"/>
    <w:rsid w:val="007E6501"/>
    <w:rsid w:val="007E6C25"/>
    <w:rsid w:val="007F32D7"/>
    <w:rsid w:val="007F377A"/>
    <w:rsid w:val="00800214"/>
    <w:rsid w:val="00801632"/>
    <w:rsid w:val="0080520B"/>
    <w:rsid w:val="00807B3E"/>
    <w:rsid w:val="00810D4A"/>
    <w:rsid w:val="00811AED"/>
    <w:rsid w:val="00812F82"/>
    <w:rsid w:val="008146FD"/>
    <w:rsid w:val="00816AAB"/>
    <w:rsid w:val="00817744"/>
    <w:rsid w:val="008203BA"/>
    <w:rsid w:val="00820402"/>
    <w:rsid w:val="008243B2"/>
    <w:rsid w:val="00824F08"/>
    <w:rsid w:val="008310DF"/>
    <w:rsid w:val="00831105"/>
    <w:rsid w:val="008346AB"/>
    <w:rsid w:val="00835487"/>
    <w:rsid w:val="00844A4B"/>
    <w:rsid w:val="00850D6E"/>
    <w:rsid w:val="00854676"/>
    <w:rsid w:val="00861D05"/>
    <w:rsid w:val="00865296"/>
    <w:rsid w:val="00866723"/>
    <w:rsid w:val="00867086"/>
    <w:rsid w:val="00874663"/>
    <w:rsid w:val="00881B95"/>
    <w:rsid w:val="008831CA"/>
    <w:rsid w:val="008908AB"/>
    <w:rsid w:val="0089272A"/>
    <w:rsid w:val="00893351"/>
    <w:rsid w:val="00894890"/>
    <w:rsid w:val="00897247"/>
    <w:rsid w:val="008A0FC4"/>
    <w:rsid w:val="008B08F0"/>
    <w:rsid w:val="008B262C"/>
    <w:rsid w:val="008B6FC8"/>
    <w:rsid w:val="008C08C6"/>
    <w:rsid w:val="008C143F"/>
    <w:rsid w:val="008C19E9"/>
    <w:rsid w:val="008C26BB"/>
    <w:rsid w:val="008C26E9"/>
    <w:rsid w:val="008C562E"/>
    <w:rsid w:val="008C774E"/>
    <w:rsid w:val="008D6D9D"/>
    <w:rsid w:val="008F1691"/>
    <w:rsid w:val="008F1A09"/>
    <w:rsid w:val="008F22E2"/>
    <w:rsid w:val="008F5698"/>
    <w:rsid w:val="008F639E"/>
    <w:rsid w:val="00901A1C"/>
    <w:rsid w:val="00901EF2"/>
    <w:rsid w:val="00903EB6"/>
    <w:rsid w:val="009079D0"/>
    <w:rsid w:val="00913D0A"/>
    <w:rsid w:val="0092310C"/>
    <w:rsid w:val="00923D1C"/>
    <w:rsid w:val="00924972"/>
    <w:rsid w:val="009249F6"/>
    <w:rsid w:val="00932E1E"/>
    <w:rsid w:val="00934068"/>
    <w:rsid w:val="00937854"/>
    <w:rsid w:val="00942D33"/>
    <w:rsid w:val="00943B12"/>
    <w:rsid w:val="009469E0"/>
    <w:rsid w:val="00946FD6"/>
    <w:rsid w:val="009479E7"/>
    <w:rsid w:val="009512AB"/>
    <w:rsid w:val="00951C4D"/>
    <w:rsid w:val="00952E03"/>
    <w:rsid w:val="00952E7D"/>
    <w:rsid w:val="009547E2"/>
    <w:rsid w:val="00956488"/>
    <w:rsid w:val="00956F5F"/>
    <w:rsid w:val="009610DC"/>
    <w:rsid w:val="0097154F"/>
    <w:rsid w:val="00974795"/>
    <w:rsid w:val="0098240E"/>
    <w:rsid w:val="0098318E"/>
    <w:rsid w:val="00984AEA"/>
    <w:rsid w:val="00985996"/>
    <w:rsid w:val="00986978"/>
    <w:rsid w:val="00991138"/>
    <w:rsid w:val="00994F74"/>
    <w:rsid w:val="0099513F"/>
    <w:rsid w:val="0099563A"/>
    <w:rsid w:val="009A13F4"/>
    <w:rsid w:val="009A44BE"/>
    <w:rsid w:val="009A4664"/>
    <w:rsid w:val="009B029F"/>
    <w:rsid w:val="009B27F8"/>
    <w:rsid w:val="009B4A8B"/>
    <w:rsid w:val="009B74FB"/>
    <w:rsid w:val="009C0660"/>
    <w:rsid w:val="009C4845"/>
    <w:rsid w:val="009C7314"/>
    <w:rsid w:val="009C7E67"/>
    <w:rsid w:val="009D3109"/>
    <w:rsid w:val="009D5D9F"/>
    <w:rsid w:val="009D6104"/>
    <w:rsid w:val="009E0FA2"/>
    <w:rsid w:val="009E2244"/>
    <w:rsid w:val="009E60F3"/>
    <w:rsid w:val="009F57FD"/>
    <w:rsid w:val="009F7F9F"/>
    <w:rsid w:val="00A01E02"/>
    <w:rsid w:val="00A02E26"/>
    <w:rsid w:val="00A05BA0"/>
    <w:rsid w:val="00A159C9"/>
    <w:rsid w:val="00A167FB"/>
    <w:rsid w:val="00A21B70"/>
    <w:rsid w:val="00A21D02"/>
    <w:rsid w:val="00A21DDB"/>
    <w:rsid w:val="00A22391"/>
    <w:rsid w:val="00A23CF6"/>
    <w:rsid w:val="00A2690C"/>
    <w:rsid w:val="00A2792F"/>
    <w:rsid w:val="00A30970"/>
    <w:rsid w:val="00A315E4"/>
    <w:rsid w:val="00A31D96"/>
    <w:rsid w:val="00A31FEE"/>
    <w:rsid w:val="00A33C55"/>
    <w:rsid w:val="00A42875"/>
    <w:rsid w:val="00A44DC1"/>
    <w:rsid w:val="00A47A98"/>
    <w:rsid w:val="00A47EE7"/>
    <w:rsid w:val="00A50B43"/>
    <w:rsid w:val="00A51C87"/>
    <w:rsid w:val="00A54197"/>
    <w:rsid w:val="00A56E54"/>
    <w:rsid w:val="00A579ED"/>
    <w:rsid w:val="00A61821"/>
    <w:rsid w:val="00A63D72"/>
    <w:rsid w:val="00A67CA5"/>
    <w:rsid w:val="00A74497"/>
    <w:rsid w:val="00A75CCD"/>
    <w:rsid w:val="00A80506"/>
    <w:rsid w:val="00A806AE"/>
    <w:rsid w:val="00A8118F"/>
    <w:rsid w:val="00A83458"/>
    <w:rsid w:val="00A834DB"/>
    <w:rsid w:val="00A84211"/>
    <w:rsid w:val="00A86C41"/>
    <w:rsid w:val="00A879E4"/>
    <w:rsid w:val="00A90148"/>
    <w:rsid w:val="00A910D1"/>
    <w:rsid w:val="00A95E15"/>
    <w:rsid w:val="00AA0D8C"/>
    <w:rsid w:val="00AA25BC"/>
    <w:rsid w:val="00AA2F1C"/>
    <w:rsid w:val="00AA3077"/>
    <w:rsid w:val="00AA3A0A"/>
    <w:rsid w:val="00AA46AF"/>
    <w:rsid w:val="00AA53DA"/>
    <w:rsid w:val="00AA6900"/>
    <w:rsid w:val="00AB0552"/>
    <w:rsid w:val="00AB4E9E"/>
    <w:rsid w:val="00AB6C99"/>
    <w:rsid w:val="00AC11D5"/>
    <w:rsid w:val="00AC15E5"/>
    <w:rsid w:val="00AC22BB"/>
    <w:rsid w:val="00AC4080"/>
    <w:rsid w:val="00AC5A6D"/>
    <w:rsid w:val="00AC5D73"/>
    <w:rsid w:val="00AC73AD"/>
    <w:rsid w:val="00AD3D02"/>
    <w:rsid w:val="00AD705A"/>
    <w:rsid w:val="00AD78F9"/>
    <w:rsid w:val="00AE008D"/>
    <w:rsid w:val="00AE30E0"/>
    <w:rsid w:val="00AE346F"/>
    <w:rsid w:val="00AE4119"/>
    <w:rsid w:val="00AE669B"/>
    <w:rsid w:val="00AF1A02"/>
    <w:rsid w:val="00AF2329"/>
    <w:rsid w:val="00AF3660"/>
    <w:rsid w:val="00AF4491"/>
    <w:rsid w:val="00AF4BDA"/>
    <w:rsid w:val="00AF7830"/>
    <w:rsid w:val="00AF7A20"/>
    <w:rsid w:val="00B01312"/>
    <w:rsid w:val="00B014CA"/>
    <w:rsid w:val="00B02D98"/>
    <w:rsid w:val="00B10D0A"/>
    <w:rsid w:val="00B15D2F"/>
    <w:rsid w:val="00B16399"/>
    <w:rsid w:val="00B1760F"/>
    <w:rsid w:val="00B2586D"/>
    <w:rsid w:val="00B25AE4"/>
    <w:rsid w:val="00B26909"/>
    <w:rsid w:val="00B27664"/>
    <w:rsid w:val="00B31169"/>
    <w:rsid w:val="00B31828"/>
    <w:rsid w:val="00B42BEE"/>
    <w:rsid w:val="00B452B7"/>
    <w:rsid w:val="00B458E3"/>
    <w:rsid w:val="00B47517"/>
    <w:rsid w:val="00B518FF"/>
    <w:rsid w:val="00B51999"/>
    <w:rsid w:val="00B54F17"/>
    <w:rsid w:val="00B55241"/>
    <w:rsid w:val="00B57D47"/>
    <w:rsid w:val="00B60AAF"/>
    <w:rsid w:val="00B6210E"/>
    <w:rsid w:val="00B632E3"/>
    <w:rsid w:val="00B64DC8"/>
    <w:rsid w:val="00B70688"/>
    <w:rsid w:val="00B77091"/>
    <w:rsid w:val="00B837C1"/>
    <w:rsid w:val="00B841E0"/>
    <w:rsid w:val="00B860BA"/>
    <w:rsid w:val="00B865F5"/>
    <w:rsid w:val="00B91DFE"/>
    <w:rsid w:val="00B966E9"/>
    <w:rsid w:val="00B97229"/>
    <w:rsid w:val="00BA08A3"/>
    <w:rsid w:val="00BA3B69"/>
    <w:rsid w:val="00BA5AB3"/>
    <w:rsid w:val="00BA5E72"/>
    <w:rsid w:val="00BA6529"/>
    <w:rsid w:val="00BB227E"/>
    <w:rsid w:val="00BB7E3D"/>
    <w:rsid w:val="00BC3CD1"/>
    <w:rsid w:val="00BC5EC6"/>
    <w:rsid w:val="00BC5F0E"/>
    <w:rsid w:val="00BD1ED6"/>
    <w:rsid w:val="00BD2211"/>
    <w:rsid w:val="00BD221D"/>
    <w:rsid w:val="00BD34FB"/>
    <w:rsid w:val="00BD3E65"/>
    <w:rsid w:val="00BD5934"/>
    <w:rsid w:val="00BD7785"/>
    <w:rsid w:val="00BE2226"/>
    <w:rsid w:val="00BE3B2E"/>
    <w:rsid w:val="00BF1CBD"/>
    <w:rsid w:val="00BF25D9"/>
    <w:rsid w:val="00BF453F"/>
    <w:rsid w:val="00BF52C4"/>
    <w:rsid w:val="00C006BE"/>
    <w:rsid w:val="00C0296F"/>
    <w:rsid w:val="00C05B8E"/>
    <w:rsid w:val="00C1063D"/>
    <w:rsid w:val="00C15E0E"/>
    <w:rsid w:val="00C22CE1"/>
    <w:rsid w:val="00C23FB5"/>
    <w:rsid w:val="00C24A1A"/>
    <w:rsid w:val="00C32853"/>
    <w:rsid w:val="00C331BB"/>
    <w:rsid w:val="00C36887"/>
    <w:rsid w:val="00C371C1"/>
    <w:rsid w:val="00C41A08"/>
    <w:rsid w:val="00C422B9"/>
    <w:rsid w:val="00C4241E"/>
    <w:rsid w:val="00C42ED6"/>
    <w:rsid w:val="00C440A5"/>
    <w:rsid w:val="00C50EFE"/>
    <w:rsid w:val="00C54369"/>
    <w:rsid w:val="00C615A3"/>
    <w:rsid w:val="00C635DA"/>
    <w:rsid w:val="00C639E7"/>
    <w:rsid w:val="00C653A5"/>
    <w:rsid w:val="00C659BE"/>
    <w:rsid w:val="00C73F6A"/>
    <w:rsid w:val="00C80300"/>
    <w:rsid w:val="00C81C21"/>
    <w:rsid w:val="00C82307"/>
    <w:rsid w:val="00C8613B"/>
    <w:rsid w:val="00C922D3"/>
    <w:rsid w:val="00C92622"/>
    <w:rsid w:val="00C95621"/>
    <w:rsid w:val="00C95C3F"/>
    <w:rsid w:val="00C97228"/>
    <w:rsid w:val="00C9780D"/>
    <w:rsid w:val="00CA02DA"/>
    <w:rsid w:val="00CA1A54"/>
    <w:rsid w:val="00CA4908"/>
    <w:rsid w:val="00CA4BF8"/>
    <w:rsid w:val="00CB4465"/>
    <w:rsid w:val="00CB7ACB"/>
    <w:rsid w:val="00CC2DEF"/>
    <w:rsid w:val="00CC46B2"/>
    <w:rsid w:val="00CC5718"/>
    <w:rsid w:val="00CD1352"/>
    <w:rsid w:val="00CD1CBE"/>
    <w:rsid w:val="00CD1E3E"/>
    <w:rsid w:val="00CD32E2"/>
    <w:rsid w:val="00CD4B0B"/>
    <w:rsid w:val="00CD5145"/>
    <w:rsid w:val="00CD6698"/>
    <w:rsid w:val="00CD7337"/>
    <w:rsid w:val="00CE1E5B"/>
    <w:rsid w:val="00CF1D92"/>
    <w:rsid w:val="00CF5D91"/>
    <w:rsid w:val="00D0025C"/>
    <w:rsid w:val="00D01EB1"/>
    <w:rsid w:val="00D12172"/>
    <w:rsid w:val="00D12B8C"/>
    <w:rsid w:val="00D200F6"/>
    <w:rsid w:val="00D2139E"/>
    <w:rsid w:val="00D21646"/>
    <w:rsid w:val="00D311C1"/>
    <w:rsid w:val="00D44673"/>
    <w:rsid w:val="00D454F2"/>
    <w:rsid w:val="00D47CE9"/>
    <w:rsid w:val="00D52995"/>
    <w:rsid w:val="00D6373E"/>
    <w:rsid w:val="00D64AB8"/>
    <w:rsid w:val="00D66968"/>
    <w:rsid w:val="00D7066E"/>
    <w:rsid w:val="00D72ADE"/>
    <w:rsid w:val="00D75233"/>
    <w:rsid w:val="00D7690B"/>
    <w:rsid w:val="00D7728F"/>
    <w:rsid w:val="00D77696"/>
    <w:rsid w:val="00D81615"/>
    <w:rsid w:val="00D81CC4"/>
    <w:rsid w:val="00D8544A"/>
    <w:rsid w:val="00D909CF"/>
    <w:rsid w:val="00D9355C"/>
    <w:rsid w:val="00D93638"/>
    <w:rsid w:val="00D9765E"/>
    <w:rsid w:val="00DA4591"/>
    <w:rsid w:val="00DA6430"/>
    <w:rsid w:val="00DB4835"/>
    <w:rsid w:val="00DB4B27"/>
    <w:rsid w:val="00DB63DB"/>
    <w:rsid w:val="00DB7824"/>
    <w:rsid w:val="00DC14F1"/>
    <w:rsid w:val="00DC308E"/>
    <w:rsid w:val="00DC6C64"/>
    <w:rsid w:val="00DC6DB2"/>
    <w:rsid w:val="00DC7F73"/>
    <w:rsid w:val="00DD0CA9"/>
    <w:rsid w:val="00DE0251"/>
    <w:rsid w:val="00DE191A"/>
    <w:rsid w:val="00DE3123"/>
    <w:rsid w:val="00DE339F"/>
    <w:rsid w:val="00DE775B"/>
    <w:rsid w:val="00DE7ADD"/>
    <w:rsid w:val="00DF1535"/>
    <w:rsid w:val="00DF39BC"/>
    <w:rsid w:val="00DF53F5"/>
    <w:rsid w:val="00DF5974"/>
    <w:rsid w:val="00DF61FD"/>
    <w:rsid w:val="00DF6D25"/>
    <w:rsid w:val="00E03C6D"/>
    <w:rsid w:val="00E11EE3"/>
    <w:rsid w:val="00E1205F"/>
    <w:rsid w:val="00E1273F"/>
    <w:rsid w:val="00E135F9"/>
    <w:rsid w:val="00E14349"/>
    <w:rsid w:val="00E20B8E"/>
    <w:rsid w:val="00E20C28"/>
    <w:rsid w:val="00E22A77"/>
    <w:rsid w:val="00E24B18"/>
    <w:rsid w:val="00E3016C"/>
    <w:rsid w:val="00E306A5"/>
    <w:rsid w:val="00E348BC"/>
    <w:rsid w:val="00E37F53"/>
    <w:rsid w:val="00E4318F"/>
    <w:rsid w:val="00E4392E"/>
    <w:rsid w:val="00E47D05"/>
    <w:rsid w:val="00E54395"/>
    <w:rsid w:val="00E54741"/>
    <w:rsid w:val="00E5650F"/>
    <w:rsid w:val="00E568E5"/>
    <w:rsid w:val="00E64417"/>
    <w:rsid w:val="00E6453F"/>
    <w:rsid w:val="00E659EF"/>
    <w:rsid w:val="00E6777F"/>
    <w:rsid w:val="00E70CBD"/>
    <w:rsid w:val="00E717E8"/>
    <w:rsid w:val="00E73D81"/>
    <w:rsid w:val="00E754F4"/>
    <w:rsid w:val="00E872E0"/>
    <w:rsid w:val="00E92028"/>
    <w:rsid w:val="00E92A6A"/>
    <w:rsid w:val="00EA2D3D"/>
    <w:rsid w:val="00EA5B84"/>
    <w:rsid w:val="00EB10C0"/>
    <w:rsid w:val="00EB20F9"/>
    <w:rsid w:val="00EB24EB"/>
    <w:rsid w:val="00EB6CF2"/>
    <w:rsid w:val="00EC2065"/>
    <w:rsid w:val="00ED06CC"/>
    <w:rsid w:val="00ED1368"/>
    <w:rsid w:val="00ED2C8E"/>
    <w:rsid w:val="00ED379E"/>
    <w:rsid w:val="00ED494C"/>
    <w:rsid w:val="00ED578E"/>
    <w:rsid w:val="00ED7680"/>
    <w:rsid w:val="00EE0424"/>
    <w:rsid w:val="00EE0D47"/>
    <w:rsid w:val="00EE5358"/>
    <w:rsid w:val="00EF6819"/>
    <w:rsid w:val="00EF71E9"/>
    <w:rsid w:val="00F006D2"/>
    <w:rsid w:val="00F00BD1"/>
    <w:rsid w:val="00F01FD9"/>
    <w:rsid w:val="00F0202C"/>
    <w:rsid w:val="00F020AE"/>
    <w:rsid w:val="00F03822"/>
    <w:rsid w:val="00F04B07"/>
    <w:rsid w:val="00F05BA8"/>
    <w:rsid w:val="00F1508A"/>
    <w:rsid w:val="00F16F13"/>
    <w:rsid w:val="00F23E9A"/>
    <w:rsid w:val="00F242D9"/>
    <w:rsid w:val="00F3715D"/>
    <w:rsid w:val="00F44B62"/>
    <w:rsid w:val="00F5072C"/>
    <w:rsid w:val="00F51CBF"/>
    <w:rsid w:val="00F5411D"/>
    <w:rsid w:val="00F56D2B"/>
    <w:rsid w:val="00F57D2D"/>
    <w:rsid w:val="00F62425"/>
    <w:rsid w:val="00F62A49"/>
    <w:rsid w:val="00F64021"/>
    <w:rsid w:val="00F64F0D"/>
    <w:rsid w:val="00F7026A"/>
    <w:rsid w:val="00F71826"/>
    <w:rsid w:val="00F718AB"/>
    <w:rsid w:val="00F72B45"/>
    <w:rsid w:val="00F73B00"/>
    <w:rsid w:val="00F7673D"/>
    <w:rsid w:val="00F84737"/>
    <w:rsid w:val="00F87B69"/>
    <w:rsid w:val="00F90C95"/>
    <w:rsid w:val="00F9103E"/>
    <w:rsid w:val="00F95923"/>
    <w:rsid w:val="00F96A39"/>
    <w:rsid w:val="00F97463"/>
    <w:rsid w:val="00F97925"/>
    <w:rsid w:val="00FA2F6E"/>
    <w:rsid w:val="00FA4DC6"/>
    <w:rsid w:val="00FA5D99"/>
    <w:rsid w:val="00FA6C46"/>
    <w:rsid w:val="00FB030E"/>
    <w:rsid w:val="00FB571F"/>
    <w:rsid w:val="00FB65B9"/>
    <w:rsid w:val="00FC2400"/>
    <w:rsid w:val="00FC42BA"/>
    <w:rsid w:val="00FC43E3"/>
    <w:rsid w:val="00FC6166"/>
    <w:rsid w:val="00FD08C1"/>
    <w:rsid w:val="00FD7A7A"/>
    <w:rsid w:val="00FE10C1"/>
    <w:rsid w:val="00FE190E"/>
    <w:rsid w:val="00FE20A9"/>
    <w:rsid w:val="00FE48A9"/>
    <w:rsid w:val="00FE7DE5"/>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C79D13"/>
  <w15:docId w15:val="{E0BA4139-4620-466F-A7D9-2E11F9BF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187732"/>
    <w:pPr>
      <w:keepNext/>
      <w:keepLines/>
      <w:spacing w:before="280" w:after="80"/>
    </w:pPr>
    <w:rPr>
      <w:rFonts w:cstheme="minorHAnsi"/>
      <w:b/>
      <w:color w:val="000000"/>
      <w:sz w:val="20"/>
      <w:szCs w:val="22"/>
    </w:rPr>
  </w:style>
  <w:style w:type="character" w:customStyle="1" w:styleId="CaptionChar">
    <w:name w:val="Caption Char"/>
    <w:aliases w:val="eTRM Caption Char"/>
    <w:link w:val="Caption"/>
    <w:locked/>
    <w:rsid w:val="00187732"/>
    <w:rPr>
      <w:rFonts w:ascii="Calibri Light" w:hAnsi="Calibri Light" w:cstheme="minorHAnsi"/>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theme="minorHAnsi"/>
      <w:b/>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6A52E6"/>
    <w:rPr>
      <w:color w:val="808080" w:themeColor="background1" w:themeShade="80"/>
      <w:sz w:val="18"/>
      <w:szCs w:val="18"/>
    </w:rPr>
  </w:style>
  <w:style w:type="character" w:customStyle="1" w:styleId="BodyTextChar">
    <w:name w:val="Body Text Char"/>
    <w:basedOn w:val="DefaultParagraphFont"/>
    <w:link w:val="BodyText"/>
    <w:uiPriority w:val="99"/>
    <w:rsid w:val="006A52E6"/>
    <w:rPr>
      <w:rFonts w:ascii="Calibri Light" w:hAnsi="Calibri Light"/>
      <w:color w:val="808080" w:themeColor="background1" w:themeShade="80"/>
      <w:sz w:val="18"/>
      <w:szCs w:val="18"/>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CD7337"/>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40"/>
    </w:rPr>
  </w:style>
  <w:style w:type="character" w:customStyle="1" w:styleId="eTRMHeading1Char">
    <w:name w:val="eTRM Heading 1 Char"/>
    <w:basedOn w:val="DefaultParagraphFont"/>
    <w:link w:val="eTRMHeading1"/>
    <w:rsid w:val="00CD7337"/>
    <w:rPr>
      <w:rFonts w:ascii="Calibri" w:eastAsiaTheme="majorEastAsia" w:hAnsi="Calibri" w:cstheme="majorBidi"/>
      <w:b/>
      <w:caps/>
      <w:color w:val="FFFFFF" w:themeColor="background1"/>
      <w:spacing w:val="60"/>
      <w:sz w:val="28"/>
      <w:szCs w:val="40"/>
    </w:rPr>
  </w:style>
  <w:style w:type="paragraph" w:customStyle="1" w:styleId="eTRMHeading2">
    <w:name w:val="eTRM Heading 2"/>
    <w:basedOn w:val="Normal"/>
    <w:link w:val="eTRMHeading2Char"/>
    <w:autoRedefine/>
    <w:qFormat/>
    <w:rsid w:val="00CD7337"/>
    <w:pPr>
      <w:keepNext/>
      <w:keepLines/>
      <w:spacing w:line="360" w:lineRule="exact"/>
      <w:jc w:val="center"/>
      <w:outlineLvl w:val="1"/>
    </w:pPr>
    <w:rPr>
      <w:rFonts w:eastAsiaTheme="majorEastAsia" w:cstheme="majorBidi"/>
      <w:caps/>
      <w:color w:val="FFFFFF" w:themeColor="background1"/>
      <w:spacing w:val="80"/>
      <w:sz w:val="32"/>
      <w:szCs w:val="26"/>
    </w:rPr>
  </w:style>
  <w:style w:type="character" w:customStyle="1" w:styleId="eTRMHeading2Char">
    <w:name w:val="eTRM Heading 2 Char"/>
    <w:basedOn w:val="DefaultParagraphFont"/>
    <w:link w:val="eTRMHeading2"/>
    <w:rsid w:val="00CD7337"/>
    <w:rPr>
      <w:rFonts w:ascii="Calibri Light" w:eastAsiaTheme="majorEastAsia" w:hAnsi="Calibri Light" w:cstheme="majorBidi"/>
      <w:caps/>
      <w:color w:val="FFFFFF" w:themeColor="background1"/>
      <w:spacing w:val="80"/>
      <w:sz w:val="32"/>
      <w:szCs w:val="26"/>
    </w:rPr>
  </w:style>
  <w:style w:type="paragraph" w:customStyle="1" w:styleId="eTRMHeading3">
    <w:name w:val="eTRM Heading 3"/>
    <w:basedOn w:val="Heading3"/>
    <w:link w:val="eTRMHeading3Char"/>
    <w:autoRedefine/>
    <w:qFormat/>
    <w:rsid w:val="00AF7830"/>
    <w:pPr>
      <w:spacing w:before="20" w:after="20" w:line="28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AF7830"/>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BodyTextIndent">
    <w:name w:val="Body Text Indent"/>
    <w:basedOn w:val="Normal"/>
    <w:link w:val="BodyTextIndentChar"/>
    <w:rsid w:val="00E872E0"/>
    <w:pPr>
      <w:spacing w:line="240" w:lineRule="auto"/>
      <w:ind w:left="720"/>
    </w:pPr>
    <w:rPr>
      <w:rFonts w:ascii="Verdana" w:eastAsia="Times New Roman" w:hAnsi="Verdana" w:cs="Times New Roman"/>
      <w:sz w:val="20"/>
      <w:szCs w:val="20"/>
    </w:rPr>
  </w:style>
  <w:style w:type="character" w:customStyle="1" w:styleId="BodyTextIndentChar">
    <w:name w:val="Body Text Indent Char"/>
    <w:basedOn w:val="DefaultParagraphFont"/>
    <w:link w:val="BodyTextIndent"/>
    <w:rsid w:val="00E872E0"/>
    <w:rPr>
      <w:rFonts w:ascii="Verdana" w:eastAsia="Times New Roman" w:hAnsi="Verdana" w:cs="Times New Roman"/>
      <w:sz w:val="20"/>
      <w:szCs w:val="20"/>
    </w:rPr>
  </w:style>
  <w:style w:type="character" w:styleId="CommentReference">
    <w:name w:val="annotation reference"/>
    <w:basedOn w:val="DefaultParagraphFont"/>
    <w:uiPriority w:val="99"/>
    <w:semiHidden/>
    <w:unhideWhenUsed/>
    <w:rsid w:val="003A5C34"/>
    <w:rPr>
      <w:sz w:val="18"/>
      <w:szCs w:val="18"/>
    </w:rPr>
  </w:style>
  <w:style w:type="paragraph" w:styleId="CommentText">
    <w:name w:val="annotation text"/>
    <w:basedOn w:val="Normal"/>
    <w:link w:val="CommentTextChar"/>
    <w:uiPriority w:val="99"/>
    <w:semiHidden/>
    <w:unhideWhenUsed/>
    <w:rsid w:val="003A5C34"/>
    <w:pPr>
      <w:spacing w:line="240" w:lineRule="auto"/>
    </w:pPr>
    <w:rPr>
      <w:sz w:val="24"/>
    </w:rPr>
  </w:style>
  <w:style w:type="character" w:customStyle="1" w:styleId="CommentTextChar">
    <w:name w:val="Comment Text Char"/>
    <w:basedOn w:val="DefaultParagraphFont"/>
    <w:link w:val="CommentText"/>
    <w:uiPriority w:val="99"/>
    <w:semiHidden/>
    <w:rsid w:val="003A5C34"/>
    <w:rPr>
      <w:rFonts w:ascii="Calibri Light" w:hAnsi="Calibri Light"/>
    </w:rPr>
  </w:style>
  <w:style w:type="paragraph" w:styleId="CommentSubject">
    <w:name w:val="annotation subject"/>
    <w:basedOn w:val="CommentText"/>
    <w:next w:val="CommentText"/>
    <w:link w:val="CommentSubjectChar"/>
    <w:uiPriority w:val="99"/>
    <w:semiHidden/>
    <w:unhideWhenUsed/>
    <w:rsid w:val="003A5C34"/>
    <w:rPr>
      <w:b/>
      <w:bCs/>
      <w:sz w:val="20"/>
      <w:szCs w:val="20"/>
    </w:rPr>
  </w:style>
  <w:style w:type="character" w:customStyle="1" w:styleId="CommentSubjectChar">
    <w:name w:val="Comment Subject Char"/>
    <w:basedOn w:val="CommentTextChar"/>
    <w:link w:val="CommentSubject"/>
    <w:uiPriority w:val="99"/>
    <w:semiHidden/>
    <w:rsid w:val="003A5C34"/>
    <w:rPr>
      <w:rFonts w:ascii="Calibri Light" w:hAnsi="Calibri Light"/>
      <w:b/>
      <w:bCs/>
      <w:sz w:val="20"/>
      <w:szCs w:val="20"/>
    </w:rPr>
  </w:style>
  <w:style w:type="paragraph" w:styleId="BalloonText">
    <w:name w:val="Balloon Text"/>
    <w:basedOn w:val="Normal"/>
    <w:link w:val="BalloonTextChar"/>
    <w:uiPriority w:val="99"/>
    <w:semiHidden/>
    <w:unhideWhenUsed/>
    <w:rsid w:val="003A5C3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5C34"/>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183450"/>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183450"/>
    <w:rPr>
      <w:rFonts w:ascii="Times New Roman" w:hAnsi="Times New Roman" w:cs="Times New Roman"/>
    </w:rPr>
  </w:style>
  <w:style w:type="paragraph" w:customStyle="1" w:styleId="Reminders">
    <w:name w:val="Reminders"/>
    <w:basedOn w:val="Normal"/>
    <w:link w:val="RemindersChar"/>
    <w:rsid w:val="009512AB"/>
    <w:pPr>
      <w:spacing w:line="240" w:lineRule="auto"/>
    </w:pPr>
    <w:rPr>
      <w:rFonts w:eastAsia="Times New Roman" w:cs="Times New Roman"/>
    </w:rPr>
  </w:style>
  <w:style w:type="character" w:customStyle="1" w:styleId="RemindersChar">
    <w:name w:val="Reminders Char"/>
    <w:basedOn w:val="DefaultParagraphFont"/>
    <w:link w:val="Reminders"/>
    <w:rsid w:val="009512AB"/>
    <w:rPr>
      <w:rFonts w:ascii="Calibri Light" w:eastAsia="Times New Roman" w:hAnsi="Calibri Light" w:cs="Times New Roman"/>
      <w:sz w:val="22"/>
    </w:rPr>
  </w:style>
  <w:style w:type="table" w:customStyle="1" w:styleId="TableGrid1">
    <w:name w:val="Table Grid1"/>
    <w:basedOn w:val="TableNormal"/>
    <w:next w:val="TableGrid"/>
    <w:rsid w:val="009D6104"/>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513F"/>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00677">
      <w:bodyDiv w:val="1"/>
      <w:marLeft w:val="0"/>
      <w:marRight w:val="0"/>
      <w:marTop w:val="0"/>
      <w:marBottom w:val="0"/>
      <w:divBdr>
        <w:top w:val="none" w:sz="0" w:space="0" w:color="auto"/>
        <w:left w:val="none" w:sz="0" w:space="0" w:color="auto"/>
        <w:bottom w:val="none" w:sz="0" w:space="0" w:color="auto"/>
        <w:right w:val="none" w:sz="0" w:space="0" w:color="auto"/>
      </w:divBdr>
    </w:div>
    <w:div w:id="374740134">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58242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A9CAD-1ABC-46BC-A025-08213EC11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51</TotalTime>
  <Pages>8</Pages>
  <Words>2321</Words>
  <Characters>13234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Commercial Hand Wrap Machine SWFS010-01</vt:lpstr>
    </vt:vector>
  </TitlesOfParts>
  <Company>Hewlett-Packard</Company>
  <LinksUpToDate>false</LinksUpToDate>
  <CharactersWithSpaces>15524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Hand Wrap Machine SWFS010-01</dc:title>
  <dc:creator>Jennifer Holmes</dc:creator>
  <cp:lastModifiedBy>Jennifer Holmes</cp:lastModifiedBy>
  <cp:revision>4</cp:revision>
  <cp:lastPrinted>2018-10-31T23:41:00Z</cp:lastPrinted>
  <dcterms:created xsi:type="dcterms:W3CDTF">2018-10-31T23:38:00Z</dcterms:created>
  <dcterms:modified xsi:type="dcterms:W3CDTF">2018-11-01T00:28:00Z</dcterms:modified>
</cp:coreProperties>
</file>