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2A83BF2A" w:rsidR="004F0E74" w:rsidRPr="0009319E" w:rsidRDefault="00626F4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6E8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626F4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69BE6064" w:rsidR="00B74EDB" w:rsidRDefault="00626F48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6E8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626F48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5F39AF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5F39AF" w:rsidRPr="0009319E" w:rsidRDefault="005F39AF" w:rsidP="005F39A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5F39AF" w:rsidRPr="0009319E" w:rsidRDefault="005F39AF" w:rsidP="005F39A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CC90EEA" w14:textId="77777777" w:rsidR="005F39AF" w:rsidRDefault="005F39AF" w:rsidP="005F39AF">
            <w:pPr>
              <w:spacing w:before="120" w:after="120"/>
              <w:rPr>
                <w:rFonts w:ascii="Garamond" w:hAnsi="Garamond"/>
                <w:sz w:val="24"/>
              </w:rPr>
            </w:pPr>
            <w:r w:rsidRPr="00750DBB">
              <w:rPr>
                <w:rFonts w:ascii="Garamond" w:hAnsi="Garamond"/>
                <w:sz w:val="24"/>
              </w:rPr>
              <w:t>Jay Bhakta</w:t>
            </w:r>
            <w:r>
              <w:rPr>
                <w:rFonts w:ascii="Garamond" w:hAnsi="Garamond"/>
                <w:sz w:val="24"/>
              </w:rPr>
              <w:t>, SCE</w:t>
            </w:r>
          </w:p>
          <w:p w14:paraId="14B3A7D6" w14:textId="284E057F" w:rsidR="005F39AF" w:rsidRPr="0009319E" w:rsidRDefault="005F39AF" w:rsidP="005F39AF">
            <w:pPr>
              <w:spacing w:before="120" w:after="120"/>
              <w:rPr>
                <w:rFonts w:ascii="Garamond" w:hAnsi="Garamond"/>
                <w:sz w:val="24"/>
              </w:rPr>
            </w:pPr>
            <w:r w:rsidRPr="00750DBB">
              <w:rPr>
                <w:rFonts w:ascii="Garamond" w:hAnsi="Garamond"/>
                <w:sz w:val="24"/>
              </w:rPr>
              <w:t>Jay.Bhakta@sce.com</w:t>
            </w:r>
          </w:p>
        </w:tc>
      </w:tr>
      <w:tr w:rsidR="005F39AF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5F39AF" w:rsidRPr="00F2F1A7" w:rsidRDefault="005F39AF" w:rsidP="005F39A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5F39AF" w:rsidRPr="0009319E" w:rsidRDefault="005F39AF" w:rsidP="005F39A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50655746" w14:textId="32A4BB58" w:rsidR="005F39AF" w:rsidRPr="0009319E" w:rsidRDefault="00372E11" w:rsidP="00372E1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1062AB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1062AB">
        <w:trPr>
          <w:cantSplit/>
        </w:trPr>
        <w:tc>
          <w:tcPr>
            <w:tcW w:w="2367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570EB88C" w:rsidR="004F0E74" w:rsidRPr="0009319E" w:rsidRDefault="003119B7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626F48">
              <w:rPr>
                <w:rFonts w:ascii="Garamond" w:hAnsi="Garamond"/>
                <w:sz w:val="24"/>
              </w:rPr>
              <w:t>8</w:t>
            </w:r>
            <w:r>
              <w:rPr>
                <w:rFonts w:ascii="Garamond" w:hAnsi="Garamond"/>
                <w:sz w:val="24"/>
              </w:rPr>
              <w:t>/0</w:t>
            </w:r>
            <w:r w:rsidR="00626F48">
              <w:rPr>
                <w:rFonts w:ascii="Garamond" w:hAnsi="Garamond"/>
                <w:sz w:val="24"/>
              </w:rPr>
              <w:t>5</w:t>
            </w:r>
            <w:r>
              <w:rPr>
                <w:rFonts w:ascii="Garamond" w:hAnsi="Garamond"/>
                <w:sz w:val="24"/>
              </w:rPr>
              <w:t>/2022</w:t>
            </w:r>
          </w:p>
        </w:tc>
      </w:tr>
      <w:tr w:rsidR="001062AB" w:rsidRPr="0009319E" w14:paraId="20775D8C" w14:textId="77777777" w:rsidTr="001062AB">
        <w:trPr>
          <w:cantSplit/>
        </w:trPr>
        <w:tc>
          <w:tcPr>
            <w:tcW w:w="2367" w:type="dxa"/>
          </w:tcPr>
          <w:p w14:paraId="386491E6" w14:textId="0D967E00" w:rsidR="001062AB" w:rsidRPr="0009319E" w:rsidRDefault="001062AB" w:rsidP="001062A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91" w:type="dxa"/>
          </w:tcPr>
          <w:p w14:paraId="053DF1CF" w14:textId="16DF61D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initial WP submission.</w:t>
            </w:r>
          </w:p>
        </w:tc>
        <w:tc>
          <w:tcPr>
            <w:tcW w:w="3924" w:type="dxa"/>
          </w:tcPr>
          <w:p w14:paraId="34725017" w14:textId="269FF414" w:rsidR="001062AB" w:rsidRDefault="001062AB" w:rsidP="001062AB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445567">
              <w:rPr>
                <w:rFonts w:ascii="Garamond" w:hAnsi="Garamond"/>
                <w:sz w:val="24"/>
              </w:rPr>
              <w:t>8</w:t>
            </w:r>
            <w:r>
              <w:rPr>
                <w:rFonts w:ascii="Garamond" w:hAnsi="Garamond"/>
                <w:sz w:val="24"/>
              </w:rPr>
              <w:t>/</w:t>
            </w:r>
            <w:r w:rsidR="00626F48">
              <w:rPr>
                <w:rFonts w:ascii="Garamond" w:hAnsi="Garamond"/>
                <w:sz w:val="24"/>
              </w:rPr>
              <w:t>16</w:t>
            </w:r>
            <w:r>
              <w:rPr>
                <w:rFonts w:ascii="Garamond" w:hAnsi="Garamond"/>
                <w:sz w:val="24"/>
              </w:rPr>
              <w:t>/2022</w:t>
            </w:r>
          </w:p>
        </w:tc>
      </w:tr>
      <w:tr w:rsidR="001062AB" w:rsidRPr="0009319E" w14:paraId="265C4760" w14:textId="77777777" w:rsidTr="001062AB">
        <w:trPr>
          <w:cantSplit/>
        </w:trPr>
        <w:tc>
          <w:tcPr>
            <w:tcW w:w="2367" w:type="dxa"/>
          </w:tcPr>
          <w:p w14:paraId="1880A004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4307837C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Commercial Desk Oven, Electric</w:t>
            </w:r>
          </w:p>
        </w:tc>
      </w:tr>
      <w:tr w:rsidR="001062AB" w:rsidRPr="0009319E" w14:paraId="1A93E162" w14:textId="77777777" w:rsidTr="001062AB">
        <w:trPr>
          <w:cantSplit/>
        </w:trPr>
        <w:tc>
          <w:tcPr>
            <w:tcW w:w="2367" w:type="dxa"/>
          </w:tcPr>
          <w:p w14:paraId="3D2AEE64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6193AC63" w:rsidR="001062AB" w:rsidRPr="0009319E" w:rsidRDefault="00A05E96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SWFS009-02</w:t>
            </w:r>
          </w:p>
        </w:tc>
      </w:tr>
      <w:tr w:rsidR="001062AB" w:rsidRPr="0009319E" w14:paraId="6105D157" w14:textId="77777777" w:rsidTr="001062AB">
        <w:trPr>
          <w:cantSplit/>
        </w:trPr>
        <w:tc>
          <w:tcPr>
            <w:tcW w:w="2367" w:type="dxa"/>
          </w:tcPr>
          <w:p w14:paraId="5F209FA1" w14:textId="1F9CDF7E" w:rsidR="001062AB" w:rsidRPr="0009319E" w:rsidRDefault="001062AB" w:rsidP="001062A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42EA855A" w14:textId="44206075" w:rsidR="001062AB" w:rsidRPr="00C21C15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1062AB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1062AB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1062AB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1062AB" w:rsidRPr="00B215C5" w:rsidRDefault="001062AB" w:rsidP="001062AB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1062AB" w:rsidRPr="00B215C5" w:rsidRDefault="001062AB" w:rsidP="001062AB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1062AB" w:rsidRDefault="001062AB" w:rsidP="001062AB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1062AB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1062AB" w:rsidRPr="00C13090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1062AB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1062AB" w:rsidRPr="0009319E" w:rsidRDefault="001062AB" w:rsidP="001062A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1062AB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1062AB" w:rsidRDefault="001062AB" w:rsidP="001062A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1062AB" w:rsidRPr="00B4127D" w:rsidRDefault="001062AB" w:rsidP="001062AB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03BBE36A" w:rsidR="001062AB" w:rsidRDefault="001062AB" w:rsidP="001062A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CFC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1062AB" w:rsidRPr="00FD1F05" w:rsidRDefault="001062AB" w:rsidP="001062A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46860DFA" w:rsidR="001062AB" w:rsidRDefault="001062AB" w:rsidP="001062A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CFC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1062AB" w:rsidRPr="00FD1F05" w:rsidRDefault="001062AB" w:rsidP="001062A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1062AB" w:rsidRPr="00FD1F05" w:rsidRDefault="001062AB" w:rsidP="001062A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1062AB" w:rsidRDefault="001062AB" w:rsidP="001062A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1062AB" w:rsidRPr="00FD1F05" w:rsidRDefault="00626F48" w:rsidP="001062A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062AB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1062AB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1062AB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1062AB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1062AB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1062AB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1062AB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77777777" w:rsidR="001062AB" w:rsidRPr="00FD1F05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1062AB" w:rsidRPr="0009319E" w14:paraId="6365E54E" w14:textId="77777777" w:rsidTr="001062AB">
        <w:trPr>
          <w:cantSplit/>
        </w:trPr>
        <w:tc>
          <w:tcPr>
            <w:tcW w:w="2367" w:type="dxa"/>
          </w:tcPr>
          <w:p w14:paraId="2A2129B8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1062AB" w:rsidRPr="0009319E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1062AB" w:rsidRPr="0009319E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1062AB" w:rsidRPr="0009319E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1062AB" w:rsidRPr="0009319E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1062AB" w:rsidRPr="0009319E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3172290B" w:rsidR="001062AB" w:rsidRPr="0009319E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1D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062AB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1062AB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1062AB" w:rsidRPr="0009319E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WP </w:t>
            </w:r>
            <w:r w:rsidR="001062AB">
              <w:rPr>
                <w:rFonts w:ascii="Garamond" w:hAnsi="Garamond"/>
                <w:sz w:val="24"/>
              </w:rPr>
              <w:t>update due to minor revisions</w:t>
            </w:r>
            <w:r w:rsidR="001062AB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62791FAC" w:rsidR="001062AB" w:rsidRPr="0009319E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712CEBFB" w14:textId="34D0EE73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  <w:r w:rsidR="003A5EDE">
              <w:rPr>
                <w:rFonts w:ascii="Garamond" w:hAnsi="Garamond"/>
                <w:sz w:val="24"/>
              </w:rPr>
              <w:t>Base and measure case material and labor costs were updated for 2022. Material costs were updated based on online retailers and 2021 RS Means was used for labor rate.</w:t>
            </w:r>
            <w:r w:rsidR="00324FD6">
              <w:rPr>
                <w:rFonts w:ascii="Garamond" w:hAnsi="Garamond"/>
                <w:sz w:val="24"/>
              </w:rPr>
              <w:t xml:space="preserve"> Direct install </w:t>
            </w:r>
            <w:r w:rsidR="00EB0AC4">
              <w:rPr>
                <w:rFonts w:ascii="Garamond" w:hAnsi="Garamond"/>
                <w:sz w:val="24"/>
              </w:rPr>
              <w:t>delivery type was</w:t>
            </w:r>
            <w:r w:rsidR="00324FD6">
              <w:rPr>
                <w:rFonts w:ascii="Garamond" w:hAnsi="Garamond"/>
                <w:sz w:val="24"/>
              </w:rPr>
              <w:t xml:space="preserve"> removed in this update to the workpaper. </w:t>
            </w:r>
          </w:p>
        </w:tc>
      </w:tr>
      <w:tr w:rsidR="001062AB" w:rsidRPr="0009319E" w14:paraId="47CFF61A" w14:textId="77777777" w:rsidTr="001062AB">
        <w:trPr>
          <w:cantSplit/>
        </w:trPr>
        <w:tc>
          <w:tcPr>
            <w:tcW w:w="2367" w:type="dxa"/>
          </w:tcPr>
          <w:p w14:paraId="272816EA" w14:textId="77777777" w:rsidR="001062AB" w:rsidRPr="00FD1F05" w:rsidRDefault="001062AB" w:rsidP="001062A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1062AB" w:rsidRPr="0009319E" w:rsidRDefault="001062AB" w:rsidP="001062A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42D59C11" w14:textId="56315F39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1062AB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31CCB7C3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ED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1062AB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1062AB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1062AB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1062AB" w:rsidRPr="00FD1F05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1062AB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1062AB" w:rsidRPr="0009319E" w14:paraId="6201A8D7" w14:textId="77777777" w:rsidTr="001062AB">
        <w:trPr>
          <w:cantSplit/>
        </w:trPr>
        <w:tc>
          <w:tcPr>
            <w:tcW w:w="2367" w:type="dxa"/>
          </w:tcPr>
          <w:p w14:paraId="571ADB8B" w14:textId="39EFFC4F" w:rsidR="001062AB" w:rsidRPr="0009319E" w:rsidRDefault="001062AB" w:rsidP="001062A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3C654727" w14:textId="4D1AC3A2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4DBE0D8C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3A5EDE">
              <w:rPr>
                <w:rFonts w:ascii="Garamond" w:hAnsi="Garamond"/>
                <w:sz w:val="24"/>
                <w:szCs w:val="24"/>
              </w:rPr>
              <w:t>1/1/2021</w:t>
            </w:r>
          </w:p>
          <w:p w14:paraId="5ECC6313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1062AB" w:rsidRPr="0009319E" w14:paraId="16B7E48E" w14:textId="77777777" w:rsidTr="001062AB">
        <w:trPr>
          <w:cantSplit/>
          <w:trHeight w:val="2690"/>
        </w:trPr>
        <w:tc>
          <w:tcPr>
            <w:tcW w:w="2367" w:type="dxa"/>
          </w:tcPr>
          <w:p w14:paraId="74B7313F" w14:textId="09B62752" w:rsidR="001062AB" w:rsidRPr="0009319E" w:rsidRDefault="001062AB" w:rsidP="001062A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32E9225E" w14:textId="377213C4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5D134F66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2E1956">
              <w:rPr>
                <w:rFonts w:ascii="Garamond" w:hAnsi="Garamond"/>
                <w:sz w:val="24"/>
              </w:rPr>
              <w:t>2022</w:t>
            </w:r>
          </w:p>
          <w:p w14:paraId="66341C41" w14:textId="219A5E79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2E1956">
              <w:rPr>
                <w:rFonts w:ascii="Garamond" w:hAnsi="Garamond"/>
                <w:sz w:val="24"/>
              </w:rPr>
              <w:t xml:space="preserve"> 22,500 (2021 ABAL)</w:t>
            </w:r>
          </w:p>
          <w:p w14:paraId="782CE8EA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6DF04A26" w14:textId="144B0A9B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95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1062AB" w:rsidRPr="0009319E" w14:paraId="481ABFDF" w14:textId="77777777" w:rsidTr="001062AB">
        <w:trPr>
          <w:cantSplit/>
        </w:trPr>
        <w:tc>
          <w:tcPr>
            <w:tcW w:w="2367" w:type="dxa"/>
          </w:tcPr>
          <w:p w14:paraId="27C7CEEA" w14:textId="424ABFCC" w:rsidR="001062AB" w:rsidRPr="0009319E" w:rsidRDefault="001062AB" w:rsidP="001062A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3759AABE" w14:textId="2B12D4DA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35051760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 w:rsidR="00B04043">
              <w:rPr>
                <w:rFonts w:ascii="Garamond" w:hAnsi="Garamond"/>
                <w:sz w:val="24"/>
              </w:rPr>
              <w:t xml:space="preserve">0.00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6A2AC1A0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+/– </w:t>
            </w:r>
            <w:r w:rsidR="00B04043">
              <w:rPr>
                <w:rFonts w:ascii="Garamond" w:hAnsi="Garamond"/>
                <w:sz w:val="24"/>
              </w:rPr>
              <w:t>0.00</w:t>
            </w:r>
            <w:r w:rsidRPr="0009319E">
              <w:rPr>
                <w:rFonts w:ascii="Garamond" w:hAnsi="Garamond"/>
                <w:sz w:val="24"/>
              </w:rPr>
              <w:t>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43B9C080" w14:textId="37D65845" w:rsidR="001062AB" w:rsidRPr="0009319E" w:rsidRDefault="001062AB" w:rsidP="003F093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  <w:r w:rsidR="003F0933">
              <w:rPr>
                <w:rFonts w:ascii="Garamond" w:hAnsi="Garamond"/>
                <w:sz w:val="24"/>
              </w:rPr>
              <w:t>There were no changes to the measure savings in this revision.</w:t>
            </w:r>
          </w:p>
        </w:tc>
      </w:tr>
      <w:tr w:rsidR="001062AB" w:rsidRPr="0009319E" w14:paraId="362DCE08" w14:textId="77777777" w:rsidTr="001062AB">
        <w:trPr>
          <w:cantSplit/>
        </w:trPr>
        <w:tc>
          <w:tcPr>
            <w:tcW w:w="2367" w:type="dxa"/>
          </w:tcPr>
          <w:p w14:paraId="453FB1E4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3CFE39B" w14:textId="663A5E6E" w:rsidR="001062AB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3EFB2FC2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093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1062AB" w:rsidRPr="00FD1F05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77777777" w:rsidR="001062AB" w:rsidRDefault="001062AB" w:rsidP="001062AB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1062AB" w:rsidRPr="00B35DC5" w:rsidRDefault="001062AB" w:rsidP="001062AB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1062AB" w:rsidRPr="0009319E" w14:paraId="44F7278F" w14:textId="77777777" w:rsidTr="001062AB">
        <w:trPr>
          <w:cantSplit/>
        </w:trPr>
        <w:tc>
          <w:tcPr>
            <w:tcW w:w="2367" w:type="dxa"/>
          </w:tcPr>
          <w:p w14:paraId="5BC9E9E1" w14:textId="59162046" w:rsidR="001062AB" w:rsidRPr="00F2F1A7" w:rsidRDefault="001062AB" w:rsidP="001062A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91" w:type="dxa"/>
          </w:tcPr>
          <w:p w14:paraId="6C1E55D2" w14:textId="40E0F519" w:rsidR="001062AB" w:rsidRPr="006A711C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1127877E" w14:textId="2FD781D8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093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1062AB" w:rsidRPr="00FD1F05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1062AB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1062AB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C327981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1062AB" w:rsidRPr="00FD1F05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1062AB" w:rsidRPr="00B35DC5" w:rsidRDefault="001062AB" w:rsidP="001062AB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1062AB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1062AB" w:rsidRPr="0009319E" w14:paraId="4E29BBFC" w14:textId="77777777" w:rsidTr="001062AB">
        <w:trPr>
          <w:cantSplit/>
        </w:trPr>
        <w:tc>
          <w:tcPr>
            <w:tcW w:w="2367" w:type="dxa"/>
          </w:tcPr>
          <w:p w14:paraId="1645C91F" w14:textId="0F34E4AF" w:rsidR="001062AB" w:rsidRPr="0009319E" w:rsidRDefault="001062AB" w:rsidP="001062A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7E06831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34983F49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093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1062AB" w:rsidRPr="00FD1F05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1062AB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1062AB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1062AB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1062AB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1062AB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1062AB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379EFD25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1062AB" w:rsidRPr="00FD1F05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1062AB" w:rsidRPr="00FD1F05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1062AB" w:rsidRPr="0009319E" w14:paraId="6FD200CD" w14:textId="77777777" w:rsidTr="001062AB">
        <w:trPr>
          <w:cantSplit/>
        </w:trPr>
        <w:tc>
          <w:tcPr>
            <w:tcW w:w="2367" w:type="dxa"/>
          </w:tcPr>
          <w:p w14:paraId="321D8D70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36EAE7BA" w:rsidR="001062AB" w:rsidRPr="0009319E" w:rsidRDefault="00626F48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2A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062AB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093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062AB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1062AB" w:rsidRPr="0009319E" w14:paraId="14F22EBE" w14:textId="77777777" w:rsidTr="001062AB">
        <w:trPr>
          <w:cantSplit/>
          <w:trHeight w:val="2042"/>
        </w:trPr>
        <w:tc>
          <w:tcPr>
            <w:tcW w:w="2367" w:type="dxa"/>
          </w:tcPr>
          <w:p w14:paraId="6675ACC2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1062AB" w:rsidRPr="0009319E" w:rsidRDefault="001062AB" w:rsidP="001062A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sectPr w:rsidR="004F0E74" w:rsidRPr="0009319E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A617A" w14:textId="77777777" w:rsidR="0056577A" w:rsidRDefault="0056577A" w:rsidP="00D70D61">
      <w:pPr>
        <w:spacing w:after="0" w:line="240" w:lineRule="auto"/>
      </w:pPr>
      <w:r>
        <w:separator/>
      </w:r>
    </w:p>
  </w:endnote>
  <w:endnote w:type="continuationSeparator" w:id="0">
    <w:p w14:paraId="5B707C8E" w14:textId="77777777" w:rsidR="0056577A" w:rsidRDefault="0056577A" w:rsidP="00D70D61">
      <w:pPr>
        <w:spacing w:after="0" w:line="240" w:lineRule="auto"/>
      </w:pPr>
      <w:r>
        <w:continuationSeparator/>
      </w:r>
    </w:p>
  </w:endnote>
  <w:endnote w:type="continuationNotice" w:id="1">
    <w:p w14:paraId="65E9D65E" w14:textId="77777777" w:rsidR="0056577A" w:rsidRDefault="005657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D4616" w14:textId="77777777" w:rsidR="0056577A" w:rsidRDefault="0056577A" w:rsidP="00D70D61">
      <w:pPr>
        <w:spacing w:after="0" w:line="240" w:lineRule="auto"/>
      </w:pPr>
      <w:r>
        <w:separator/>
      </w:r>
    </w:p>
  </w:footnote>
  <w:footnote w:type="continuationSeparator" w:id="0">
    <w:p w14:paraId="2886E6C9" w14:textId="77777777" w:rsidR="0056577A" w:rsidRDefault="0056577A" w:rsidP="00D70D61">
      <w:pPr>
        <w:spacing w:after="0" w:line="240" w:lineRule="auto"/>
      </w:pPr>
      <w:r>
        <w:continuationSeparator/>
      </w:r>
    </w:p>
  </w:footnote>
  <w:footnote w:type="continuationNotice" w:id="1">
    <w:p w14:paraId="5AF9DE22" w14:textId="77777777" w:rsidR="0056577A" w:rsidRDefault="0056577A">
      <w:pPr>
        <w:spacing w:after="0" w:line="240" w:lineRule="auto"/>
      </w:pPr>
    </w:p>
  </w:footnote>
  <w:footnote w:id="2">
    <w:p w14:paraId="7E940259" w14:textId="1C1F7275" w:rsidR="001062AB" w:rsidRDefault="001062AB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C61217C2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BD2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062AB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1956"/>
    <w:rsid w:val="002E508E"/>
    <w:rsid w:val="002E59EC"/>
    <w:rsid w:val="002F14EE"/>
    <w:rsid w:val="002F3B05"/>
    <w:rsid w:val="00302CE1"/>
    <w:rsid w:val="00303F4A"/>
    <w:rsid w:val="003119B7"/>
    <w:rsid w:val="00312846"/>
    <w:rsid w:val="0031515A"/>
    <w:rsid w:val="003165F7"/>
    <w:rsid w:val="00321FF6"/>
    <w:rsid w:val="00324FD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2E11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5EDE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933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45567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6E83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577A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5F39AF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6F48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28E0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2CFC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2746E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05E96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04043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2A74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51D6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B0AC4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Jay Bhakta</cp:lastModifiedBy>
  <cp:revision>21</cp:revision>
  <dcterms:created xsi:type="dcterms:W3CDTF">2021-03-31T14:54:00Z</dcterms:created>
  <dcterms:modified xsi:type="dcterms:W3CDTF">2021-08-09T15:28:00Z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