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D0E258" w14:textId="17490131" w:rsidR="00181E01" w:rsidRDefault="00181E01" w:rsidP="00840D26">
      <w:pPr>
        <w:tabs>
          <w:tab w:val="left" w:pos="5273"/>
        </w:tabs>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D764C33" w14:textId="77777777" w:rsidTr="00BD221D">
        <w:trPr>
          <w:cantSplit/>
          <w:trHeight w:hRule="exact" w:val="1440"/>
          <w:jc w:val="right"/>
        </w:trPr>
        <w:tc>
          <w:tcPr>
            <w:tcW w:w="9000" w:type="dxa"/>
            <w:shd w:val="clear" w:color="auto" w:fill="8DC63F"/>
            <w:vAlign w:val="center"/>
          </w:tcPr>
          <w:p w14:paraId="00883904" w14:textId="77777777" w:rsidR="00BD221D" w:rsidRPr="000110D9" w:rsidRDefault="00890A33" w:rsidP="000B69DE">
            <w:pPr>
              <w:pStyle w:val="eTRMHeading1"/>
            </w:pPr>
            <w:r w:rsidRPr="000B69DE">
              <w:t>Food Service</w:t>
            </w:r>
          </w:p>
          <w:p w14:paraId="74678E76" w14:textId="4A236599" w:rsidR="00BD221D" w:rsidRDefault="00890A33" w:rsidP="000B69DE">
            <w:pPr>
              <w:pStyle w:val="eTRMHeading2"/>
            </w:pPr>
            <w:r w:rsidRPr="000B69DE">
              <w:t xml:space="preserve">Commercial Deck Oven </w:t>
            </w:r>
            <w:r w:rsidR="000B69DE" w:rsidRPr="000B69DE">
              <w:t>–</w:t>
            </w:r>
            <w:r w:rsidRPr="000B69DE">
              <w:t xml:space="preserve"> Electric</w:t>
            </w:r>
          </w:p>
          <w:p w14:paraId="0500096D" w14:textId="2D5BCF95" w:rsidR="000B69DE" w:rsidRPr="000B69DE" w:rsidRDefault="000B69DE" w:rsidP="000B69DE">
            <w:pPr>
              <w:pStyle w:val="eTRMHeading2"/>
              <w:rPr>
                <w:spacing w:val="0"/>
              </w:rPr>
            </w:pPr>
            <w:r w:rsidRPr="000B69DE">
              <w:rPr>
                <w:spacing w:val="0"/>
                <w:sz w:val="28"/>
              </w:rPr>
              <w:t>SWFS009-0</w:t>
            </w:r>
            <w:r w:rsidR="008C37E4">
              <w:rPr>
                <w:spacing w:val="0"/>
                <w:sz w:val="28"/>
              </w:rPr>
              <w:t>2</w:t>
            </w:r>
          </w:p>
        </w:tc>
      </w:tr>
    </w:tbl>
    <w:p w14:paraId="6E562F4D" w14:textId="77777777" w:rsidR="00BD221D" w:rsidRDefault="00BD221D" w:rsidP="00BD221D"/>
    <w:p w14:paraId="7B6197C7" w14:textId="77777777" w:rsidR="00D12B8C" w:rsidRPr="00E14349" w:rsidRDefault="007E1F66" w:rsidP="0053748E">
      <w:pPr>
        <w:jc w:val="center"/>
        <w:rPr>
          <w:spacing w:val="80"/>
          <w:sz w:val="28"/>
        </w:rPr>
      </w:pPr>
      <w:r w:rsidRPr="00E14349">
        <w:rPr>
          <w:spacing w:val="80"/>
          <w:sz w:val="28"/>
        </w:rPr>
        <w:t>CONTENTS</w:t>
      </w:r>
    </w:p>
    <w:p w14:paraId="1032B763" w14:textId="6B3BD841" w:rsidR="0015105A" w:rsidRDefault="006C506A">
      <w:pPr>
        <w:pStyle w:val="TOC3"/>
        <w:rPr>
          <w:rFonts w:asciiTheme="minorHAnsi" w:hAnsiTheme="minorHAnsi"/>
          <w:noProof/>
          <w:szCs w:val="22"/>
        </w:rPr>
      </w:pPr>
      <w:r>
        <w:fldChar w:fldCharType="begin"/>
      </w:r>
      <w:r w:rsidR="001C6C9B">
        <w:instrText xml:space="preserve"> TOC \t "eTRM Heading 3,3" </w:instrText>
      </w:r>
      <w:r>
        <w:fldChar w:fldCharType="separate"/>
      </w:r>
      <w:r w:rsidR="0015105A">
        <w:rPr>
          <w:noProof/>
        </w:rPr>
        <w:t>Measure Name</w:t>
      </w:r>
      <w:r w:rsidR="0015105A">
        <w:rPr>
          <w:noProof/>
        </w:rPr>
        <w:tab/>
      </w:r>
      <w:r w:rsidR="0015105A">
        <w:rPr>
          <w:noProof/>
        </w:rPr>
        <w:fldChar w:fldCharType="begin"/>
      </w:r>
      <w:r w:rsidR="0015105A">
        <w:rPr>
          <w:noProof/>
        </w:rPr>
        <w:instrText xml:space="preserve"> PAGEREF _Toc57800322 \h </w:instrText>
      </w:r>
      <w:r w:rsidR="0015105A">
        <w:rPr>
          <w:noProof/>
        </w:rPr>
      </w:r>
      <w:r w:rsidR="0015105A">
        <w:rPr>
          <w:noProof/>
        </w:rPr>
        <w:fldChar w:fldCharType="separate"/>
      </w:r>
      <w:r w:rsidR="00244F6F">
        <w:rPr>
          <w:noProof/>
        </w:rPr>
        <w:t>2</w:t>
      </w:r>
      <w:r w:rsidR="0015105A">
        <w:rPr>
          <w:noProof/>
        </w:rPr>
        <w:fldChar w:fldCharType="end"/>
      </w:r>
    </w:p>
    <w:p w14:paraId="04B1F994" w14:textId="55CCDFE7" w:rsidR="0015105A" w:rsidRDefault="0015105A">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_Toc57800323 \h </w:instrText>
      </w:r>
      <w:r>
        <w:rPr>
          <w:noProof/>
        </w:rPr>
      </w:r>
      <w:r>
        <w:rPr>
          <w:noProof/>
        </w:rPr>
        <w:fldChar w:fldCharType="separate"/>
      </w:r>
      <w:r w:rsidR="00244F6F">
        <w:rPr>
          <w:noProof/>
        </w:rPr>
        <w:t>2</w:t>
      </w:r>
      <w:r>
        <w:rPr>
          <w:noProof/>
        </w:rPr>
        <w:fldChar w:fldCharType="end"/>
      </w:r>
    </w:p>
    <w:p w14:paraId="3AC0677A" w14:textId="08B25D95" w:rsidR="0015105A" w:rsidRDefault="0015105A">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_Toc57800324 \h </w:instrText>
      </w:r>
      <w:r>
        <w:rPr>
          <w:noProof/>
        </w:rPr>
      </w:r>
      <w:r>
        <w:rPr>
          <w:noProof/>
        </w:rPr>
        <w:fldChar w:fldCharType="separate"/>
      </w:r>
      <w:r w:rsidR="00244F6F">
        <w:rPr>
          <w:noProof/>
        </w:rPr>
        <w:t>2</w:t>
      </w:r>
      <w:r>
        <w:rPr>
          <w:noProof/>
        </w:rPr>
        <w:fldChar w:fldCharType="end"/>
      </w:r>
    </w:p>
    <w:p w14:paraId="024E7C74" w14:textId="0D2EB7EB" w:rsidR="0015105A" w:rsidRDefault="0015105A">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_Toc57800325 \h </w:instrText>
      </w:r>
      <w:r>
        <w:rPr>
          <w:noProof/>
        </w:rPr>
      </w:r>
      <w:r>
        <w:rPr>
          <w:noProof/>
        </w:rPr>
        <w:fldChar w:fldCharType="separate"/>
      </w:r>
      <w:r w:rsidR="00244F6F">
        <w:rPr>
          <w:noProof/>
        </w:rPr>
        <w:t>2</w:t>
      </w:r>
      <w:r>
        <w:rPr>
          <w:noProof/>
        </w:rPr>
        <w:fldChar w:fldCharType="end"/>
      </w:r>
    </w:p>
    <w:p w14:paraId="18092C69" w14:textId="7933BAD4" w:rsidR="0015105A" w:rsidRDefault="0015105A">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_Toc57800326 \h </w:instrText>
      </w:r>
      <w:r>
        <w:rPr>
          <w:noProof/>
        </w:rPr>
      </w:r>
      <w:r>
        <w:rPr>
          <w:noProof/>
        </w:rPr>
        <w:fldChar w:fldCharType="separate"/>
      </w:r>
      <w:r w:rsidR="00244F6F">
        <w:rPr>
          <w:noProof/>
        </w:rPr>
        <w:t>3</w:t>
      </w:r>
      <w:r>
        <w:rPr>
          <w:noProof/>
        </w:rPr>
        <w:fldChar w:fldCharType="end"/>
      </w:r>
    </w:p>
    <w:p w14:paraId="32F96973" w14:textId="3C6C74C9" w:rsidR="0015105A" w:rsidRDefault="0015105A">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_Toc57800327 \h </w:instrText>
      </w:r>
      <w:r>
        <w:rPr>
          <w:noProof/>
        </w:rPr>
      </w:r>
      <w:r>
        <w:rPr>
          <w:noProof/>
        </w:rPr>
        <w:fldChar w:fldCharType="separate"/>
      </w:r>
      <w:r w:rsidR="00244F6F">
        <w:rPr>
          <w:noProof/>
        </w:rPr>
        <w:t>4</w:t>
      </w:r>
      <w:r>
        <w:rPr>
          <w:noProof/>
        </w:rPr>
        <w:fldChar w:fldCharType="end"/>
      </w:r>
    </w:p>
    <w:p w14:paraId="254F3F30" w14:textId="6859A19E" w:rsidR="0015105A" w:rsidRDefault="0015105A">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_Toc57800328 \h </w:instrText>
      </w:r>
      <w:r>
        <w:rPr>
          <w:noProof/>
        </w:rPr>
      </w:r>
      <w:r>
        <w:rPr>
          <w:noProof/>
        </w:rPr>
        <w:fldChar w:fldCharType="separate"/>
      </w:r>
      <w:r w:rsidR="00244F6F">
        <w:rPr>
          <w:noProof/>
        </w:rPr>
        <w:t>5</w:t>
      </w:r>
      <w:r>
        <w:rPr>
          <w:noProof/>
        </w:rPr>
        <w:fldChar w:fldCharType="end"/>
      </w:r>
    </w:p>
    <w:p w14:paraId="6C37E92E" w14:textId="2241890B" w:rsidR="0015105A" w:rsidRDefault="0015105A">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_Toc57800329 \h </w:instrText>
      </w:r>
      <w:r>
        <w:rPr>
          <w:noProof/>
        </w:rPr>
      </w:r>
      <w:r>
        <w:rPr>
          <w:noProof/>
        </w:rPr>
        <w:fldChar w:fldCharType="separate"/>
      </w:r>
      <w:r w:rsidR="00244F6F">
        <w:rPr>
          <w:noProof/>
        </w:rPr>
        <w:t>5</w:t>
      </w:r>
      <w:r>
        <w:rPr>
          <w:noProof/>
        </w:rPr>
        <w:fldChar w:fldCharType="end"/>
      </w:r>
    </w:p>
    <w:p w14:paraId="37F97443" w14:textId="101EEE61" w:rsidR="0015105A" w:rsidRDefault="0015105A">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_Toc57800330 \h </w:instrText>
      </w:r>
      <w:r>
        <w:rPr>
          <w:noProof/>
        </w:rPr>
      </w:r>
      <w:r>
        <w:rPr>
          <w:noProof/>
        </w:rPr>
        <w:fldChar w:fldCharType="separate"/>
      </w:r>
      <w:r w:rsidR="00244F6F">
        <w:rPr>
          <w:noProof/>
        </w:rPr>
        <w:t>6</w:t>
      </w:r>
      <w:r>
        <w:rPr>
          <w:noProof/>
        </w:rPr>
        <w:fldChar w:fldCharType="end"/>
      </w:r>
    </w:p>
    <w:p w14:paraId="77EDED34" w14:textId="12A59D9B" w:rsidR="0015105A" w:rsidRDefault="0015105A">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_Toc57800331 \h </w:instrText>
      </w:r>
      <w:r>
        <w:rPr>
          <w:noProof/>
        </w:rPr>
      </w:r>
      <w:r>
        <w:rPr>
          <w:noProof/>
        </w:rPr>
        <w:fldChar w:fldCharType="separate"/>
      </w:r>
      <w:r w:rsidR="00244F6F">
        <w:rPr>
          <w:noProof/>
        </w:rPr>
        <w:t>6</w:t>
      </w:r>
      <w:r>
        <w:rPr>
          <w:noProof/>
        </w:rPr>
        <w:fldChar w:fldCharType="end"/>
      </w:r>
    </w:p>
    <w:p w14:paraId="7DB1CCF0" w14:textId="5C0EC3E2" w:rsidR="0015105A" w:rsidRDefault="0015105A">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_Toc57800332 \h </w:instrText>
      </w:r>
      <w:r>
        <w:rPr>
          <w:noProof/>
        </w:rPr>
      </w:r>
      <w:r>
        <w:rPr>
          <w:noProof/>
        </w:rPr>
        <w:fldChar w:fldCharType="separate"/>
      </w:r>
      <w:r w:rsidR="00244F6F">
        <w:rPr>
          <w:noProof/>
        </w:rPr>
        <w:t>6</w:t>
      </w:r>
      <w:r>
        <w:rPr>
          <w:noProof/>
        </w:rPr>
        <w:fldChar w:fldCharType="end"/>
      </w:r>
    </w:p>
    <w:p w14:paraId="29100681" w14:textId="175FA884" w:rsidR="0015105A" w:rsidRDefault="0015105A">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_Toc57800333 \h </w:instrText>
      </w:r>
      <w:r>
        <w:rPr>
          <w:noProof/>
        </w:rPr>
      </w:r>
      <w:r>
        <w:rPr>
          <w:noProof/>
        </w:rPr>
        <w:fldChar w:fldCharType="separate"/>
      </w:r>
      <w:r w:rsidR="00244F6F">
        <w:rPr>
          <w:noProof/>
        </w:rPr>
        <w:t>6</w:t>
      </w:r>
      <w:r>
        <w:rPr>
          <w:noProof/>
        </w:rPr>
        <w:fldChar w:fldCharType="end"/>
      </w:r>
    </w:p>
    <w:p w14:paraId="66D64B51" w14:textId="1A1DDB53" w:rsidR="0015105A" w:rsidRDefault="0015105A">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_Toc57800334 \h </w:instrText>
      </w:r>
      <w:r>
        <w:rPr>
          <w:noProof/>
        </w:rPr>
      </w:r>
      <w:r>
        <w:rPr>
          <w:noProof/>
        </w:rPr>
        <w:fldChar w:fldCharType="separate"/>
      </w:r>
      <w:r w:rsidR="00244F6F">
        <w:rPr>
          <w:noProof/>
        </w:rPr>
        <w:t>8</w:t>
      </w:r>
      <w:r>
        <w:rPr>
          <w:noProof/>
        </w:rPr>
        <w:fldChar w:fldCharType="end"/>
      </w:r>
    </w:p>
    <w:p w14:paraId="46145511" w14:textId="210E4B5A" w:rsidR="0015105A" w:rsidRDefault="0015105A">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_Toc57800335 \h </w:instrText>
      </w:r>
      <w:r>
        <w:rPr>
          <w:noProof/>
        </w:rPr>
      </w:r>
      <w:r>
        <w:rPr>
          <w:noProof/>
        </w:rPr>
        <w:fldChar w:fldCharType="separate"/>
      </w:r>
      <w:r w:rsidR="00244F6F">
        <w:rPr>
          <w:noProof/>
        </w:rPr>
        <w:t>9</w:t>
      </w:r>
      <w:r>
        <w:rPr>
          <w:noProof/>
        </w:rPr>
        <w:fldChar w:fldCharType="end"/>
      </w:r>
    </w:p>
    <w:p w14:paraId="15104392" w14:textId="4D713B1B" w:rsidR="0015105A" w:rsidRDefault="0015105A">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_Toc57800336 \h </w:instrText>
      </w:r>
      <w:r>
        <w:rPr>
          <w:noProof/>
        </w:rPr>
      </w:r>
      <w:r>
        <w:rPr>
          <w:noProof/>
        </w:rPr>
        <w:fldChar w:fldCharType="separate"/>
      </w:r>
      <w:r w:rsidR="00244F6F">
        <w:rPr>
          <w:noProof/>
        </w:rPr>
        <w:t>9</w:t>
      </w:r>
      <w:r>
        <w:rPr>
          <w:noProof/>
        </w:rPr>
        <w:fldChar w:fldCharType="end"/>
      </w:r>
    </w:p>
    <w:p w14:paraId="2BFCFC13" w14:textId="5C0289E4" w:rsidR="0015105A" w:rsidRDefault="0015105A">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_Toc57800337 \h </w:instrText>
      </w:r>
      <w:r>
        <w:rPr>
          <w:noProof/>
        </w:rPr>
      </w:r>
      <w:r>
        <w:rPr>
          <w:noProof/>
        </w:rPr>
        <w:fldChar w:fldCharType="separate"/>
      </w:r>
      <w:r w:rsidR="00244F6F">
        <w:rPr>
          <w:noProof/>
        </w:rPr>
        <w:t>10</w:t>
      </w:r>
      <w:r>
        <w:rPr>
          <w:noProof/>
        </w:rPr>
        <w:fldChar w:fldCharType="end"/>
      </w:r>
    </w:p>
    <w:p w14:paraId="235F3C0C" w14:textId="4D03539E" w:rsidR="0015105A" w:rsidRDefault="0015105A">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_Toc57800338 \h </w:instrText>
      </w:r>
      <w:r>
        <w:rPr>
          <w:noProof/>
        </w:rPr>
      </w:r>
      <w:r>
        <w:rPr>
          <w:noProof/>
        </w:rPr>
        <w:fldChar w:fldCharType="separate"/>
      </w:r>
      <w:r w:rsidR="00244F6F">
        <w:rPr>
          <w:noProof/>
        </w:rPr>
        <w:t>10</w:t>
      </w:r>
      <w:r>
        <w:rPr>
          <w:noProof/>
        </w:rPr>
        <w:fldChar w:fldCharType="end"/>
      </w:r>
    </w:p>
    <w:p w14:paraId="178F555B" w14:textId="3AF4FB18" w:rsidR="0015105A" w:rsidRDefault="0015105A">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_Toc57800339 \h </w:instrText>
      </w:r>
      <w:r>
        <w:rPr>
          <w:noProof/>
        </w:rPr>
      </w:r>
      <w:r>
        <w:rPr>
          <w:noProof/>
        </w:rPr>
        <w:fldChar w:fldCharType="separate"/>
      </w:r>
      <w:r w:rsidR="00244F6F">
        <w:rPr>
          <w:noProof/>
        </w:rPr>
        <w:t>11</w:t>
      </w:r>
      <w:r>
        <w:rPr>
          <w:noProof/>
        </w:rPr>
        <w:fldChar w:fldCharType="end"/>
      </w:r>
    </w:p>
    <w:p w14:paraId="70CA31FD" w14:textId="4BC152DD" w:rsidR="0015105A" w:rsidRDefault="0015105A">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_Toc57800340 \h </w:instrText>
      </w:r>
      <w:r>
        <w:rPr>
          <w:noProof/>
        </w:rPr>
      </w:r>
      <w:r>
        <w:rPr>
          <w:noProof/>
        </w:rPr>
        <w:fldChar w:fldCharType="separate"/>
      </w:r>
      <w:r w:rsidR="00244F6F">
        <w:rPr>
          <w:noProof/>
        </w:rPr>
        <w:t>11</w:t>
      </w:r>
      <w:r>
        <w:rPr>
          <w:noProof/>
        </w:rPr>
        <w:fldChar w:fldCharType="end"/>
      </w:r>
    </w:p>
    <w:p w14:paraId="17EC9E04" w14:textId="32943885" w:rsidR="0015105A" w:rsidRDefault="0015105A">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_Toc57800341 \h </w:instrText>
      </w:r>
      <w:r>
        <w:rPr>
          <w:noProof/>
        </w:rPr>
      </w:r>
      <w:r>
        <w:rPr>
          <w:noProof/>
        </w:rPr>
        <w:fldChar w:fldCharType="separate"/>
      </w:r>
      <w:r w:rsidR="00244F6F">
        <w:rPr>
          <w:noProof/>
        </w:rPr>
        <w:t>12</w:t>
      </w:r>
      <w:r>
        <w:rPr>
          <w:noProof/>
        </w:rPr>
        <w:fldChar w:fldCharType="end"/>
      </w:r>
    </w:p>
    <w:p w14:paraId="6B76B087" w14:textId="3C10967C" w:rsidR="0015105A" w:rsidRDefault="0015105A">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_Toc57800342 \h </w:instrText>
      </w:r>
      <w:r>
        <w:rPr>
          <w:noProof/>
        </w:rPr>
      </w:r>
      <w:r>
        <w:rPr>
          <w:noProof/>
        </w:rPr>
        <w:fldChar w:fldCharType="separate"/>
      </w:r>
      <w:r w:rsidR="00244F6F">
        <w:rPr>
          <w:noProof/>
        </w:rPr>
        <w:t>12</w:t>
      </w:r>
      <w:r>
        <w:rPr>
          <w:noProof/>
        </w:rPr>
        <w:fldChar w:fldCharType="end"/>
      </w:r>
    </w:p>
    <w:p w14:paraId="435F2A45" w14:textId="707B201A" w:rsidR="0015105A" w:rsidRDefault="0015105A">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_Toc57800343 \h </w:instrText>
      </w:r>
      <w:r>
        <w:rPr>
          <w:noProof/>
        </w:rPr>
      </w:r>
      <w:r>
        <w:rPr>
          <w:noProof/>
        </w:rPr>
        <w:fldChar w:fldCharType="separate"/>
      </w:r>
      <w:r w:rsidR="00244F6F">
        <w:rPr>
          <w:noProof/>
        </w:rPr>
        <w:t>12</w:t>
      </w:r>
      <w:r>
        <w:rPr>
          <w:noProof/>
        </w:rPr>
        <w:fldChar w:fldCharType="end"/>
      </w:r>
    </w:p>
    <w:p w14:paraId="34E58364" w14:textId="07375E37" w:rsidR="0015105A" w:rsidRDefault="0015105A">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_Toc57800344 \h </w:instrText>
      </w:r>
      <w:r>
        <w:rPr>
          <w:noProof/>
        </w:rPr>
      </w:r>
      <w:r>
        <w:rPr>
          <w:noProof/>
        </w:rPr>
        <w:fldChar w:fldCharType="separate"/>
      </w:r>
      <w:r w:rsidR="00244F6F">
        <w:rPr>
          <w:noProof/>
        </w:rPr>
        <w:t>13</w:t>
      </w:r>
      <w:r>
        <w:rPr>
          <w:noProof/>
        </w:rPr>
        <w:fldChar w:fldCharType="end"/>
      </w:r>
    </w:p>
    <w:p w14:paraId="63EE6380" w14:textId="38CF2727" w:rsidR="0015105A" w:rsidRDefault="0015105A">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_Toc57800345 \h </w:instrText>
      </w:r>
      <w:r>
        <w:rPr>
          <w:noProof/>
        </w:rPr>
      </w:r>
      <w:r>
        <w:rPr>
          <w:noProof/>
        </w:rPr>
        <w:fldChar w:fldCharType="separate"/>
      </w:r>
      <w:r w:rsidR="00244F6F">
        <w:rPr>
          <w:noProof/>
        </w:rPr>
        <w:t>13</w:t>
      </w:r>
      <w:r>
        <w:rPr>
          <w:noProof/>
        </w:rPr>
        <w:fldChar w:fldCharType="end"/>
      </w:r>
    </w:p>
    <w:p w14:paraId="0C94243A" w14:textId="5D403485" w:rsidR="002022F3" w:rsidRDefault="006C506A" w:rsidP="002022F3">
      <w:r>
        <w:fldChar w:fldCharType="end"/>
      </w:r>
      <w:bookmarkStart w:id="0" w:name="_Toc486490839"/>
      <w:bookmarkStart w:id="1" w:name="_Toc486580912"/>
    </w:p>
    <w:p w14:paraId="3AFF34E2" w14:textId="77777777" w:rsidR="002022F3" w:rsidRDefault="002022F3">
      <w:pPr>
        <w:spacing w:before="0" w:after="0" w:line="240" w:lineRule="auto"/>
        <w:rPr>
          <w:rFonts w:eastAsiaTheme="majorEastAsia" w:cstheme="majorBidi"/>
          <w:caps/>
          <w:color w:val="CFAB7A"/>
          <w:w w:val="102"/>
          <w:sz w:val="24"/>
          <w:szCs w:val="30"/>
        </w:rPr>
      </w:pPr>
      <w:r>
        <w:br w:type="page"/>
      </w:r>
    </w:p>
    <w:p w14:paraId="14E86578" w14:textId="2A3E819D" w:rsidR="00C1547D" w:rsidRPr="007E1F66" w:rsidRDefault="00C1547D" w:rsidP="007533DE">
      <w:pPr>
        <w:pStyle w:val="eTRMHeading3"/>
      </w:pPr>
      <w:bookmarkStart w:id="2" w:name="_Toc57800322"/>
      <w:r w:rsidRPr="007E1F66">
        <w:lastRenderedPageBreak/>
        <w:t>Measure Name</w:t>
      </w:r>
      <w:bookmarkEnd w:id="0"/>
      <w:bookmarkEnd w:id="1"/>
      <w:bookmarkEnd w:id="2"/>
    </w:p>
    <w:p w14:paraId="32896A30" w14:textId="5AD18DC8" w:rsidR="00C1547D" w:rsidRDefault="00C1547D" w:rsidP="00465611">
      <w:pPr>
        <w:spacing w:before="20" w:after="20" w:line="280" w:lineRule="exact"/>
      </w:pPr>
      <w:r>
        <w:t>Commercial Deck Oven – Electric</w:t>
      </w:r>
    </w:p>
    <w:p w14:paraId="3439214D" w14:textId="77777777" w:rsidR="00C1547D" w:rsidRPr="00401C43" w:rsidRDefault="00C1547D" w:rsidP="00465611">
      <w:pPr>
        <w:spacing w:before="20" w:after="20" w:line="280" w:lineRule="exact"/>
      </w:pPr>
    </w:p>
    <w:p w14:paraId="5CBB72C0" w14:textId="77777777" w:rsidR="00C1547D" w:rsidRPr="00074E3E" w:rsidRDefault="00C1547D" w:rsidP="007533DE">
      <w:pPr>
        <w:pStyle w:val="eTRMHeading3"/>
      </w:pPr>
      <w:bookmarkStart w:id="3" w:name="_Toc486490840"/>
      <w:bookmarkStart w:id="4" w:name="_Toc486580913"/>
      <w:bookmarkStart w:id="5" w:name="_Toc57800323"/>
      <w:r>
        <w:t>Statewide Measure ID</w:t>
      </w:r>
      <w:bookmarkEnd w:id="3"/>
      <w:bookmarkEnd w:id="4"/>
      <w:bookmarkEnd w:id="5"/>
    </w:p>
    <w:p w14:paraId="5CE6B4C5" w14:textId="7A9EC840" w:rsidR="00C1547D" w:rsidRDefault="001E093D" w:rsidP="001E093D">
      <w:r>
        <w:t>SWFS009</w:t>
      </w:r>
      <w:r w:rsidR="00210E55">
        <w:t>-0</w:t>
      </w:r>
      <w:r w:rsidR="008C37E4">
        <w:t>2</w:t>
      </w:r>
    </w:p>
    <w:p w14:paraId="0E7B9650" w14:textId="77777777" w:rsidR="002022F3" w:rsidRDefault="002022F3" w:rsidP="001E093D"/>
    <w:p w14:paraId="5061D061" w14:textId="77777777" w:rsidR="00E70CBD" w:rsidRPr="00154391" w:rsidRDefault="00E70CBD" w:rsidP="007533DE">
      <w:pPr>
        <w:pStyle w:val="eTRMHeading3"/>
      </w:pPr>
      <w:bookmarkStart w:id="6" w:name="_Toc486490847"/>
      <w:bookmarkStart w:id="7" w:name="_Toc486580918"/>
      <w:bookmarkStart w:id="8" w:name="_Toc57800324"/>
      <w:r w:rsidRPr="00154391">
        <w:t>Technology Summary</w:t>
      </w:r>
      <w:bookmarkEnd w:id="6"/>
      <w:bookmarkEnd w:id="7"/>
      <w:bookmarkEnd w:id="8"/>
      <w:r w:rsidRPr="00154391">
        <w:t xml:space="preserve"> </w:t>
      </w:r>
    </w:p>
    <w:p w14:paraId="09C3246A" w14:textId="0C38DAA6" w:rsidR="00465611" w:rsidRPr="00465611" w:rsidRDefault="00BA5477" w:rsidP="00465611">
      <w:r>
        <w:t>A c</w:t>
      </w:r>
      <w:r w:rsidR="00465611" w:rsidRPr="00465611">
        <w:t xml:space="preserve">ommercial electric deck oven </w:t>
      </w:r>
      <w:r w:rsidR="00D0662C">
        <w:t>is an</w:t>
      </w:r>
      <w:r w:rsidR="00D0662C" w:rsidRPr="00465611">
        <w:t xml:space="preserve"> </w:t>
      </w:r>
      <w:r w:rsidR="00465611" w:rsidRPr="00465611">
        <w:t>appliance that cook</w:t>
      </w:r>
      <w:r w:rsidR="00D0662C">
        <w:t>s</w:t>
      </w:r>
      <w:r w:rsidR="00465611" w:rsidRPr="00465611">
        <w:t xml:space="preserve"> food product within a heated chamber. The food product can be placed directly on the floor of the chamber during cooking and energy </w:t>
      </w:r>
      <w:r w:rsidR="00F63109">
        <w:t>is</w:t>
      </w:r>
      <w:r w:rsidR="00465611" w:rsidRPr="00465611">
        <w:t xml:space="preserve"> delivered to the food product by convective, conductive, or radiant heat transfer. The chamber </w:t>
      </w:r>
      <w:r w:rsidR="002125AA">
        <w:t>can be</w:t>
      </w:r>
      <w:r w:rsidR="00465611" w:rsidRPr="00465611">
        <w:t xml:space="preserve"> heated by electric forced convection, radiation, or quartz tubes. Top and bottom heat </w:t>
      </w:r>
      <w:r w:rsidR="002125AA">
        <w:t>of the oven can</w:t>
      </w:r>
      <w:r w:rsidR="00465611" w:rsidRPr="00465611">
        <w:t xml:space="preserve"> be independently controlled. </w:t>
      </w:r>
    </w:p>
    <w:p w14:paraId="1E58A112" w14:textId="41753556" w:rsidR="00465611" w:rsidRPr="00465611" w:rsidRDefault="00465611" w:rsidP="00465611">
      <w:r w:rsidRPr="00465611">
        <w:t>Deck ovens are available in various sizes measured by the surface area of the oven cavity floor. Sizes range from approximately 1</w:t>
      </w:r>
      <w:r>
        <w:t>,</w:t>
      </w:r>
      <w:r w:rsidRPr="00465611">
        <w:t>000 in</w:t>
      </w:r>
      <w:r w:rsidRPr="00465611">
        <w:rPr>
          <w:vertAlign w:val="superscript"/>
        </w:rPr>
        <w:t>2</w:t>
      </w:r>
      <w:r w:rsidRPr="00465611">
        <w:t xml:space="preserve"> to 2</w:t>
      </w:r>
      <w:r>
        <w:t>,</w:t>
      </w:r>
      <w:r w:rsidRPr="00465611">
        <w:t>200 in</w:t>
      </w:r>
      <w:r w:rsidRPr="00465611">
        <w:rPr>
          <w:vertAlign w:val="superscript"/>
        </w:rPr>
        <w:t>2</w:t>
      </w:r>
      <w:r w:rsidRPr="00465611">
        <w:t xml:space="preserve">. Deck ovens are typically stackable to allow for multiple ovens </w:t>
      </w:r>
      <w:r w:rsidR="002125AA">
        <w:t>on</w:t>
      </w:r>
      <w:r w:rsidRPr="00465611">
        <w:t xml:space="preserve"> a single floor space.</w:t>
      </w:r>
    </w:p>
    <w:p w14:paraId="4927E99C" w14:textId="7A744A03" w:rsidR="00465611" w:rsidRPr="00465611" w:rsidRDefault="00465611" w:rsidP="00465611">
      <w:r w:rsidRPr="00465611">
        <w:t>Deck oven performance is determined by applying the American Society for Testing and Materials (ASTM) Standard Test Method for Performance of Deck Ovens F1965-99</w:t>
      </w:r>
      <w:r w:rsidR="00E578E4">
        <w:t>,</w:t>
      </w:r>
      <w:r w:rsidR="00C66A2B">
        <w:rPr>
          <w:rStyle w:val="FootnoteReference"/>
        </w:rPr>
        <w:footnoteReference w:id="1"/>
      </w:r>
      <w:r w:rsidR="00C66A2B">
        <w:t xml:space="preserve"> </w:t>
      </w:r>
      <w:r w:rsidRPr="00465611">
        <w:t>the industry standard for quantifying the efficiency and performance of commercial deck ovens.</w:t>
      </w:r>
    </w:p>
    <w:p w14:paraId="1B39D6BF" w14:textId="12A7980A" w:rsidR="00C97228" w:rsidRDefault="00564E8F" w:rsidP="00564E8F">
      <w:r>
        <w:t xml:space="preserve">The base case standard-efficiency oven is rated at approximately 40% efficiency and measure case energy-efficient oven are over 60% efficient. The heavy load cooking energy efficiency used to describe these ovens is the amount of energy imparted to the food product compared to the total consumed energy of the equipment during cooking during the heavy load test described by ASTM F1965-99 (2010). </w:t>
      </w:r>
    </w:p>
    <w:p w14:paraId="42806F88" w14:textId="77777777" w:rsidR="00C610D9" w:rsidRPr="00AB6C99" w:rsidRDefault="00C610D9" w:rsidP="00564E8F"/>
    <w:p w14:paraId="14F02565" w14:textId="77777777" w:rsidR="007D230B" w:rsidRPr="004B06E3" w:rsidRDefault="007D230B" w:rsidP="007533DE">
      <w:pPr>
        <w:pStyle w:val="eTRMHeading3"/>
      </w:pPr>
      <w:bookmarkStart w:id="9" w:name="_Toc486490848"/>
      <w:bookmarkStart w:id="10" w:name="_Toc486580919"/>
      <w:bookmarkStart w:id="11" w:name="_Toc57800325"/>
      <w:r w:rsidRPr="004B06E3">
        <w:t>Measure Case Description</w:t>
      </w:r>
      <w:bookmarkEnd w:id="9"/>
      <w:bookmarkEnd w:id="10"/>
      <w:bookmarkEnd w:id="11"/>
    </w:p>
    <w:p w14:paraId="15DF0F7A" w14:textId="3A51177F" w:rsidR="00E578E4" w:rsidRDefault="00564E8F" w:rsidP="00C610D9">
      <w:pPr>
        <w:tabs>
          <w:tab w:val="left" w:pos="6660"/>
        </w:tabs>
      </w:pPr>
      <w:r>
        <w:t xml:space="preserve">The </w:t>
      </w:r>
      <w:r w:rsidR="007533DE">
        <w:t xml:space="preserve">measure case </w:t>
      </w:r>
      <w:r w:rsidR="001E093D">
        <w:t>specification</w:t>
      </w:r>
      <w:r w:rsidR="00E578E4">
        <w:t xml:space="preserve"> </w:t>
      </w:r>
      <w:r w:rsidR="00CC43B4" w:rsidRPr="000C289B">
        <w:t xml:space="preserve">was developed from </w:t>
      </w:r>
      <w:r w:rsidR="00CC43B4">
        <w:t>lab-based equipment performance tests (</w:t>
      </w:r>
      <w:r w:rsidR="00CC43B4">
        <w:rPr>
          <w:szCs w:val="22"/>
        </w:rPr>
        <w:t>following the test procedures of ASTM F1965)</w:t>
      </w:r>
      <w:r w:rsidR="00CC43B4" w:rsidRPr="000C289B">
        <w:t xml:space="preserve"> </w:t>
      </w:r>
      <w:r w:rsidR="00CC43B4">
        <w:t>conducted by</w:t>
      </w:r>
      <w:r w:rsidR="00CC43B4" w:rsidRPr="000C289B">
        <w:t xml:space="preserve"> the </w:t>
      </w:r>
      <w:r w:rsidR="00CC43B4">
        <w:t>Pacific Gas &amp; Electric (PG&amp;E) Food Service Technology Center</w:t>
      </w:r>
      <w:r w:rsidR="00CC43B4" w:rsidRPr="000C289B">
        <w:t xml:space="preserve"> and the Southern California Edison</w:t>
      </w:r>
      <w:r w:rsidR="00CC43B4">
        <w:t xml:space="preserve"> (SCE)</w:t>
      </w:r>
      <w:r w:rsidR="00CC43B4" w:rsidRPr="000C289B">
        <w:t xml:space="preserve"> Food Service Technology Center. </w:t>
      </w:r>
      <w:r w:rsidR="00CC43B4">
        <w:t xml:space="preserve">The measure case specification shown </w:t>
      </w:r>
      <w:r w:rsidR="001E093D">
        <w:t>below</w:t>
      </w:r>
      <w:r w:rsidR="00CC43B4">
        <w:rPr>
          <w:szCs w:val="22"/>
        </w:rPr>
        <w:t xml:space="preserve"> </w:t>
      </w:r>
      <w:r w:rsidR="00CC43B4">
        <w:t>represents the average values of all qualified models that were tested.</w:t>
      </w:r>
    </w:p>
    <w:p w14:paraId="33798AA5" w14:textId="6160AAF1" w:rsidR="00FD0242" w:rsidRDefault="00FD0242" w:rsidP="00C610D9">
      <w:pPr>
        <w:tabs>
          <w:tab w:val="left" w:pos="6660"/>
        </w:tabs>
      </w:pPr>
      <w:r>
        <w:rPr>
          <w:rFonts w:cstheme="minorHAnsi"/>
        </w:rPr>
        <w:t xml:space="preserve">The tested equipment was split into three tiers (low, medium, high) based on cooking efficiency. The average efficiencies of the tiers (rounded to the tens place) are shown below. </w:t>
      </w:r>
      <w:r w:rsidR="007533DE">
        <w:rPr>
          <w:rFonts w:cstheme="minorHAnsi"/>
        </w:rPr>
        <w:t xml:space="preserve"> The rounded average efficiency of the Low tier was adopted for the baseline efficiency. The rounded average efficiency of the </w:t>
      </w:r>
      <w:r w:rsidR="000646BA">
        <w:rPr>
          <w:rFonts w:cstheme="minorHAnsi"/>
        </w:rPr>
        <w:t>m</w:t>
      </w:r>
      <w:r w:rsidR="007533DE">
        <w:rPr>
          <w:rFonts w:cstheme="minorHAnsi"/>
        </w:rPr>
        <w:t>edium tier was adopted for the measure case efficiency. Thus, t</w:t>
      </w:r>
      <w:r w:rsidR="007533DE">
        <w:t>he measure case is defined as a commercial electric deck oven with a minimum of 60% cooking efficiency.</w:t>
      </w:r>
    </w:p>
    <w:p w14:paraId="57AADC7C" w14:textId="48B9882C" w:rsidR="007533DE" w:rsidRPr="00664EC8" w:rsidRDefault="007533DE" w:rsidP="00C610D9">
      <w:pPr>
        <w:tabs>
          <w:tab w:val="left" w:pos="6660"/>
        </w:tabs>
        <w:rPr>
          <w:rFonts w:cstheme="minorHAnsi"/>
        </w:rPr>
      </w:pPr>
      <w:r>
        <w:rPr>
          <w:rFonts w:cstheme="minorHAnsi"/>
        </w:rPr>
        <w:t xml:space="preserve">Since the measure case represents only the </w:t>
      </w:r>
      <w:r w:rsidR="000646BA">
        <w:rPr>
          <w:rFonts w:cstheme="minorHAnsi"/>
        </w:rPr>
        <w:t>m</w:t>
      </w:r>
      <w:r>
        <w:rPr>
          <w:rFonts w:cstheme="minorHAnsi"/>
        </w:rPr>
        <w:t xml:space="preserve">edium efficiency tier, the estimated energy savings and demand reduction of this measure represent a more conservative estimate in terms of oven efficiency </w:t>
      </w:r>
      <w:r>
        <w:rPr>
          <w:rFonts w:cstheme="minorHAnsi"/>
        </w:rPr>
        <w:lastRenderedPageBreak/>
        <w:t xml:space="preserve">and energy usage compared to the actual performance test data obtained from the Food Service Technology Center website. </w:t>
      </w:r>
      <w:r w:rsidRPr="00664EC8">
        <w:rPr>
          <w:rFonts w:cstheme="minorHAnsi"/>
        </w:rPr>
        <w:t xml:space="preserve">  </w:t>
      </w:r>
    </w:p>
    <w:p w14:paraId="3387676E" w14:textId="29385260" w:rsidR="007533DE" w:rsidRPr="00D22F83" w:rsidRDefault="007533DE" w:rsidP="00C610D9">
      <w:pPr>
        <w:pStyle w:val="Caption"/>
        <w:tabs>
          <w:tab w:val="left" w:pos="6660"/>
        </w:tabs>
      </w:pPr>
      <w:r>
        <w:t>Electric Deck Oven Equipment Performance Test Summary</w:t>
      </w:r>
    </w:p>
    <w:tbl>
      <w:tblPr>
        <w:tblStyle w:val="TableGrid1"/>
        <w:tblW w:w="4887" w:type="pct"/>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988"/>
        <w:gridCol w:w="2017"/>
        <w:gridCol w:w="2016"/>
        <w:gridCol w:w="4339"/>
      </w:tblGrid>
      <w:tr w:rsidR="007533DE" w:rsidRPr="00C17CAC" w14:paraId="63B873C7" w14:textId="0A3C42ED" w:rsidTr="00525834">
        <w:trPr>
          <w:trHeight w:val="20"/>
        </w:trPr>
        <w:tc>
          <w:tcPr>
            <w:tcW w:w="527" w:type="pct"/>
            <w:shd w:val="clear" w:color="auto" w:fill="F2F2F2" w:themeFill="background1" w:themeFillShade="F2"/>
            <w:vAlign w:val="bottom"/>
          </w:tcPr>
          <w:p w14:paraId="26267483" w14:textId="3CC7B821" w:rsidR="007533DE" w:rsidRPr="00D0662C" w:rsidRDefault="007533DE" w:rsidP="00C610D9">
            <w:pPr>
              <w:tabs>
                <w:tab w:val="left" w:pos="6660"/>
              </w:tabs>
              <w:spacing w:before="0" w:after="0"/>
              <w:jc w:val="center"/>
              <w:rPr>
                <w:rFonts w:cs="Calibri Light"/>
                <w:b/>
                <w:bCs/>
                <w:color w:val="000000"/>
                <w:sz w:val="20"/>
              </w:rPr>
            </w:pPr>
            <w:r w:rsidRPr="00D0662C">
              <w:rPr>
                <w:rFonts w:cs="Calibri Light"/>
                <w:b/>
                <w:bCs/>
                <w:color w:val="000000"/>
                <w:sz w:val="20"/>
                <w:szCs w:val="22"/>
              </w:rPr>
              <w:t>Efficiency Tier</w:t>
            </w:r>
          </w:p>
        </w:tc>
        <w:tc>
          <w:tcPr>
            <w:tcW w:w="1077" w:type="pct"/>
            <w:shd w:val="clear" w:color="auto" w:fill="F2F2F2" w:themeFill="background1" w:themeFillShade="F2"/>
            <w:vAlign w:val="bottom"/>
          </w:tcPr>
          <w:p w14:paraId="2C5090AB" w14:textId="3707DB26" w:rsidR="007533DE" w:rsidRPr="00D0662C" w:rsidRDefault="007533DE" w:rsidP="00C610D9">
            <w:pPr>
              <w:tabs>
                <w:tab w:val="left" w:pos="6660"/>
              </w:tabs>
              <w:spacing w:before="0" w:after="0"/>
              <w:jc w:val="center"/>
              <w:rPr>
                <w:rFonts w:cs="Calibri Light"/>
                <w:b/>
                <w:bCs/>
                <w:color w:val="000000"/>
                <w:sz w:val="20"/>
              </w:rPr>
            </w:pPr>
            <w:r w:rsidRPr="00D0662C">
              <w:rPr>
                <w:rFonts w:cs="Calibri Light"/>
                <w:b/>
                <w:bCs/>
                <w:color w:val="000000"/>
                <w:sz w:val="20"/>
                <w:szCs w:val="22"/>
              </w:rPr>
              <w:t>Average Cooking Efficiency (%)</w:t>
            </w:r>
          </w:p>
        </w:tc>
        <w:tc>
          <w:tcPr>
            <w:tcW w:w="1077" w:type="pct"/>
            <w:shd w:val="clear" w:color="auto" w:fill="F2F2F2" w:themeFill="background1" w:themeFillShade="F2"/>
            <w:vAlign w:val="bottom"/>
          </w:tcPr>
          <w:p w14:paraId="29CACA1D" w14:textId="1C87AD7C" w:rsidR="007533DE" w:rsidRPr="00D0662C" w:rsidRDefault="007533DE" w:rsidP="00C610D9">
            <w:pPr>
              <w:tabs>
                <w:tab w:val="left" w:pos="6660"/>
              </w:tabs>
              <w:spacing w:before="0" w:after="0"/>
              <w:jc w:val="center"/>
              <w:rPr>
                <w:rFonts w:cs="Calibri Light"/>
                <w:b/>
                <w:bCs/>
                <w:color w:val="000000"/>
                <w:sz w:val="20"/>
              </w:rPr>
            </w:pPr>
            <w:r w:rsidRPr="00D0662C">
              <w:rPr>
                <w:rFonts w:cs="Calibri Light"/>
                <w:b/>
                <w:bCs/>
                <w:color w:val="000000"/>
                <w:sz w:val="20"/>
                <w:szCs w:val="22"/>
              </w:rPr>
              <w:t>Rounded Average Cooking Efficiency (%)</w:t>
            </w:r>
          </w:p>
        </w:tc>
        <w:tc>
          <w:tcPr>
            <w:tcW w:w="2318" w:type="pct"/>
            <w:shd w:val="clear" w:color="auto" w:fill="F2F2F2" w:themeFill="background1" w:themeFillShade="F2"/>
            <w:vAlign w:val="bottom"/>
          </w:tcPr>
          <w:p w14:paraId="44E0346C" w14:textId="1BC105F5" w:rsidR="007533DE" w:rsidRPr="007533DE" w:rsidRDefault="007533DE" w:rsidP="00C610D9">
            <w:pPr>
              <w:tabs>
                <w:tab w:val="left" w:pos="6660"/>
              </w:tabs>
              <w:spacing w:before="0" w:after="0"/>
              <w:jc w:val="center"/>
              <w:rPr>
                <w:rFonts w:cs="Calibri Light"/>
                <w:b/>
                <w:bCs/>
                <w:color w:val="000000"/>
                <w:sz w:val="20"/>
                <w:szCs w:val="22"/>
              </w:rPr>
            </w:pPr>
            <w:r>
              <w:rPr>
                <w:rFonts w:cs="Calibri Light"/>
                <w:b/>
                <w:bCs/>
                <w:color w:val="000000"/>
                <w:sz w:val="20"/>
                <w:szCs w:val="22"/>
              </w:rPr>
              <w:t>Source</w:t>
            </w:r>
          </w:p>
        </w:tc>
      </w:tr>
      <w:tr w:rsidR="007533DE" w:rsidRPr="00664EC8" w14:paraId="466A1B8F" w14:textId="6847E128" w:rsidTr="00525834">
        <w:trPr>
          <w:trHeight w:val="20"/>
        </w:trPr>
        <w:tc>
          <w:tcPr>
            <w:tcW w:w="527" w:type="pct"/>
            <w:vAlign w:val="center"/>
          </w:tcPr>
          <w:p w14:paraId="363E90CE" w14:textId="77777777" w:rsidR="007533DE" w:rsidRPr="00D0662C" w:rsidRDefault="007533DE" w:rsidP="00C610D9">
            <w:pPr>
              <w:tabs>
                <w:tab w:val="left" w:pos="6660"/>
              </w:tabs>
              <w:spacing w:before="0" w:after="0"/>
              <w:rPr>
                <w:rFonts w:cs="Calibri Light"/>
                <w:color w:val="000000"/>
                <w:sz w:val="20"/>
              </w:rPr>
            </w:pPr>
            <w:r w:rsidRPr="00D0662C">
              <w:rPr>
                <w:rFonts w:cs="Calibri Light"/>
                <w:color w:val="000000"/>
                <w:sz w:val="20"/>
                <w:szCs w:val="22"/>
              </w:rPr>
              <w:t>Low</w:t>
            </w:r>
          </w:p>
        </w:tc>
        <w:tc>
          <w:tcPr>
            <w:tcW w:w="1077" w:type="pct"/>
            <w:vAlign w:val="center"/>
          </w:tcPr>
          <w:p w14:paraId="1945FDD0" w14:textId="77777777" w:rsidR="007533DE" w:rsidRPr="00D0662C" w:rsidRDefault="007533DE" w:rsidP="00C610D9">
            <w:pPr>
              <w:tabs>
                <w:tab w:val="left" w:pos="6660"/>
              </w:tabs>
              <w:spacing w:before="0" w:after="0"/>
              <w:jc w:val="center"/>
              <w:rPr>
                <w:rFonts w:cs="Calibri Light"/>
                <w:color w:val="000000"/>
                <w:sz w:val="20"/>
              </w:rPr>
            </w:pPr>
            <w:r w:rsidRPr="00D0662C">
              <w:rPr>
                <w:rFonts w:cs="Calibri Light"/>
                <w:color w:val="000000"/>
                <w:sz w:val="20"/>
                <w:szCs w:val="22"/>
              </w:rPr>
              <w:t>42%</w:t>
            </w:r>
          </w:p>
        </w:tc>
        <w:tc>
          <w:tcPr>
            <w:tcW w:w="1077" w:type="pct"/>
            <w:vAlign w:val="center"/>
          </w:tcPr>
          <w:p w14:paraId="2D26D946" w14:textId="77777777" w:rsidR="007533DE" w:rsidRPr="00D0662C" w:rsidRDefault="007533DE" w:rsidP="00C610D9">
            <w:pPr>
              <w:tabs>
                <w:tab w:val="left" w:pos="6660"/>
              </w:tabs>
              <w:spacing w:before="0" w:after="0"/>
              <w:jc w:val="center"/>
              <w:rPr>
                <w:rFonts w:cs="Calibri Light"/>
                <w:color w:val="000000"/>
                <w:sz w:val="20"/>
              </w:rPr>
            </w:pPr>
            <w:r w:rsidRPr="00D0662C">
              <w:rPr>
                <w:rFonts w:cs="Calibri Light"/>
                <w:color w:val="000000"/>
                <w:sz w:val="20"/>
                <w:szCs w:val="22"/>
              </w:rPr>
              <w:t>40%</w:t>
            </w:r>
          </w:p>
        </w:tc>
        <w:tc>
          <w:tcPr>
            <w:tcW w:w="2318" w:type="pct"/>
            <w:vMerge w:val="restart"/>
            <w:vAlign w:val="center"/>
          </w:tcPr>
          <w:p w14:paraId="2895B824" w14:textId="0AEE759A" w:rsidR="007533DE" w:rsidRPr="007533DE" w:rsidRDefault="007533DE" w:rsidP="00C610D9">
            <w:pPr>
              <w:tabs>
                <w:tab w:val="left" w:pos="6660"/>
              </w:tabs>
              <w:spacing w:before="0" w:after="0"/>
              <w:rPr>
                <w:rFonts w:cs="Calibri Light"/>
                <w:color w:val="000000"/>
                <w:sz w:val="20"/>
                <w:szCs w:val="22"/>
              </w:rPr>
            </w:pPr>
            <w:r w:rsidRPr="004F7CB5">
              <w:rPr>
                <w:sz w:val="18"/>
                <w:szCs w:val="18"/>
              </w:rPr>
              <w:t>Southern California Edison (SCE). 2018. “SCE17CC012.1 A2 - Cost &amp; Savings Calculations.xlsm.”</w:t>
            </w:r>
            <w:r w:rsidRPr="007533DE">
              <w:rPr>
                <w:rFonts w:cs="Arial"/>
                <w:sz w:val="18"/>
                <w:szCs w:val="18"/>
              </w:rPr>
              <w:t xml:space="preserve"> See Tested Oven Efficiencies tab.</w:t>
            </w:r>
          </w:p>
        </w:tc>
      </w:tr>
      <w:tr w:rsidR="007533DE" w:rsidRPr="00664EC8" w14:paraId="31DC5A7D" w14:textId="12C5F32E" w:rsidTr="00525834">
        <w:trPr>
          <w:trHeight w:val="20"/>
        </w:trPr>
        <w:tc>
          <w:tcPr>
            <w:tcW w:w="527" w:type="pct"/>
            <w:vAlign w:val="center"/>
          </w:tcPr>
          <w:p w14:paraId="6FB02193" w14:textId="77777777" w:rsidR="007533DE" w:rsidRPr="00D0662C" w:rsidRDefault="007533DE" w:rsidP="00C610D9">
            <w:pPr>
              <w:tabs>
                <w:tab w:val="left" w:pos="6660"/>
              </w:tabs>
              <w:spacing w:before="0" w:after="0"/>
              <w:rPr>
                <w:rFonts w:cs="Calibri Light"/>
                <w:color w:val="000000"/>
                <w:sz w:val="20"/>
              </w:rPr>
            </w:pPr>
            <w:r w:rsidRPr="00D0662C">
              <w:rPr>
                <w:rFonts w:cs="Calibri Light"/>
                <w:color w:val="000000"/>
                <w:sz w:val="20"/>
                <w:szCs w:val="22"/>
              </w:rPr>
              <w:t>Medium</w:t>
            </w:r>
          </w:p>
        </w:tc>
        <w:tc>
          <w:tcPr>
            <w:tcW w:w="1077" w:type="pct"/>
            <w:vAlign w:val="center"/>
          </w:tcPr>
          <w:p w14:paraId="5305026E" w14:textId="77777777" w:rsidR="007533DE" w:rsidRPr="00D0662C" w:rsidRDefault="007533DE" w:rsidP="00C610D9">
            <w:pPr>
              <w:tabs>
                <w:tab w:val="left" w:pos="6660"/>
              </w:tabs>
              <w:spacing w:before="0" w:after="0"/>
              <w:jc w:val="center"/>
              <w:rPr>
                <w:rFonts w:cs="Calibri Light"/>
                <w:color w:val="000000"/>
                <w:sz w:val="20"/>
              </w:rPr>
            </w:pPr>
            <w:r w:rsidRPr="00D0662C">
              <w:rPr>
                <w:rFonts w:cs="Calibri Light"/>
                <w:color w:val="000000"/>
                <w:sz w:val="20"/>
                <w:szCs w:val="22"/>
              </w:rPr>
              <w:t>57%</w:t>
            </w:r>
          </w:p>
        </w:tc>
        <w:tc>
          <w:tcPr>
            <w:tcW w:w="1077" w:type="pct"/>
            <w:vAlign w:val="center"/>
          </w:tcPr>
          <w:p w14:paraId="023B23E3" w14:textId="77777777" w:rsidR="007533DE" w:rsidRPr="00D0662C" w:rsidRDefault="007533DE" w:rsidP="00C610D9">
            <w:pPr>
              <w:tabs>
                <w:tab w:val="left" w:pos="6660"/>
              </w:tabs>
              <w:spacing w:before="0" w:after="0"/>
              <w:jc w:val="center"/>
              <w:rPr>
                <w:rFonts w:cs="Calibri Light"/>
                <w:color w:val="000000"/>
                <w:sz w:val="20"/>
              </w:rPr>
            </w:pPr>
            <w:r w:rsidRPr="00D0662C">
              <w:rPr>
                <w:rFonts w:cs="Calibri Light"/>
                <w:color w:val="000000"/>
                <w:sz w:val="20"/>
                <w:szCs w:val="22"/>
              </w:rPr>
              <w:t>60%</w:t>
            </w:r>
          </w:p>
        </w:tc>
        <w:tc>
          <w:tcPr>
            <w:tcW w:w="2318" w:type="pct"/>
            <w:vMerge/>
          </w:tcPr>
          <w:p w14:paraId="4F0EE4BB" w14:textId="77777777" w:rsidR="007533DE" w:rsidRPr="007533DE" w:rsidRDefault="007533DE" w:rsidP="00C610D9">
            <w:pPr>
              <w:tabs>
                <w:tab w:val="left" w:pos="6660"/>
              </w:tabs>
              <w:spacing w:before="0" w:after="0"/>
              <w:jc w:val="center"/>
              <w:rPr>
                <w:rFonts w:cs="Calibri Light"/>
                <w:color w:val="000000"/>
                <w:sz w:val="20"/>
                <w:szCs w:val="22"/>
              </w:rPr>
            </w:pPr>
          </w:p>
        </w:tc>
      </w:tr>
      <w:tr w:rsidR="007533DE" w:rsidRPr="00664EC8" w14:paraId="217C0906" w14:textId="0969BC8B" w:rsidTr="00525834">
        <w:trPr>
          <w:trHeight w:val="20"/>
        </w:trPr>
        <w:tc>
          <w:tcPr>
            <w:tcW w:w="527" w:type="pct"/>
            <w:vAlign w:val="center"/>
          </w:tcPr>
          <w:p w14:paraId="6D882887" w14:textId="77777777" w:rsidR="007533DE" w:rsidRPr="00D0662C" w:rsidRDefault="007533DE" w:rsidP="00C610D9">
            <w:pPr>
              <w:tabs>
                <w:tab w:val="left" w:pos="6660"/>
              </w:tabs>
              <w:spacing w:before="0" w:after="0"/>
              <w:rPr>
                <w:rFonts w:cs="Calibri Light"/>
                <w:color w:val="000000"/>
                <w:sz w:val="20"/>
              </w:rPr>
            </w:pPr>
            <w:r w:rsidRPr="00D0662C">
              <w:rPr>
                <w:rFonts w:cs="Calibri Light"/>
                <w:color w:val="000000"/>
                <w:sz w:val="20"/>
                <w:szCs w:val="22"/>
              </w:rPr>
              <w:t>High</w:t>
            </w:r>
          </w:p>
        </w:tc>
        <w:tc>
          <w:tcPr>
            <w:tcW w:w="1077" w:type="pct"/>
            <w:vAlign w:val="center"/>
          </w:tcPr>
          <w:p w14:paraId="1B87BFF3" w14:textId="77777777" w:rsidR="007533DE" w:rsidRPr="00D0662C" w:rsidRDefault="007533DE" w:rsidP="00C610D9">
            <w:pPr>
              <w:tabs>
                <w:tab w:val="left" w:pos="6660"/>
              </w:tabs>
              <w:spacing w:before="0" w:after="0"/>
              <w:jc w:val="center"/>
              <w:rPr>
                <w:rFonts w:cs="Calibri Light"/>
                <w:color w:val="000000"/>
                <w:sz w:val="20"/>
              </w:rPr>
            </w:pPr>
            <w:r w:rsidRPr="00D0662C">
              <w:rPr>
                <w:rFonts w:cs="Calibri Light"/>
                <w:color w:val="000000"/>
                <w:sz w:val="20"/>
                <w:szCs w:val="22"/>
              </w:rPr>
              <w:t>73%</w:t>
            </w:r>
          </w:p>
        </w:tc>
        <w:tc>
          <w:tcPr>
            <w:tcW w:w="1077" w:type="pct"/>
            <w:vAlign w:val="center"/>
          </w:tcPr>
          <w:p w14:paraId="41DB9F53" w14:textId="77777777" w:rsidR="007533DE" w:rsidRPr="00D0662C" w:rsidRDefault="007533DE" w:rsidP="00C610D9">
            <w:pPr>
              <w:tabs>
                <w:tab w:val="left" w:pos="6660"/>
              </w:tabs>
              <w:spacing w:before="0" w:after="0"/>
              <w:jc w:val="center"/>
              <w:rPr>
                <w:rFonts w:cs="Calibri Light"/>
                <w:color w:val="000000"/>
                <w:sz w:val="20"/>
              </w:rPr>
            </w:pPr>
            <w:r w:rsidRPr="00D0662C">
              <w:rPr>
                <w:rFonts w:cs="Calibri Light"/>
                <w:color w:val="000000"/>
                <w:sz w:val="20"/>
                <w:szCs w:val="22"/>
              </w:rPr>
              <w:t>70%</w:t>
            </w:r>
          </w:p>
        </w:tc>
        <w:tc>
          <w:tcPr>
            <w:tcW w:w="2318" w:type="pct"/>
            <w:vMerge/>
          </w:tcPr>
          <w:p w14:paraId="3872D579" w14:textId="77777777" w:rsidR="007533DE" w:rsidRPr="007533DE" w:rsidRDefault="007533DE" w:rsidP="00C610D9">
            <w:pPr>
              <w:tabs>
                <w:tab w:val="left" w:pos="6660"/>
              </w:tabs>
              <w:spacing w:before="0" w:after="0"/>
              <w:jc w:val="center"/>
              <w:rPr>
                <w:rFonts w:cs="Calibri Light"/>
                <w:color w:val="000000"/>
                <w:sz w:val="20"/>
                <w:szCs w:val="22"/>
              </w:rPr>
            </w:pPr>
          </w:p>
        </w:tc>
      </w:tr>
    </w:tbl>
    <w:p w14:paraId="29618161" w14:textId="468C129F" w:rsidR="00E578E4" w:rsidRPr="00D22F83" w:rsidRDefault="00E578E4" w:rsidP="00222BA8">
      <w:pPr>
        <w:pStyle w:val="Caption"/>
      </w:pPr>
      <w:r>
        <w:t xml:space="preserve">Measure Case </w:t>
      </w:r>
      <w:r w:rsidR="002832D8">
        <w:t>Specification</w:t>
      </w:r>
      <w:r>
        <w:t xml:space="preserve"> </w:t>
      </w:r>
    </w:p>
    <w:tbl>
      <w:tblPr>
        <w:tblW w:w="9360"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84"/>
        <w:gridCol w:w="1152"/>
        <w:gridCol w:w="1152"/>
        <w:gridCol w:w="1152"/>
        <w:gridCol w:w="4320"/>
      </w:tblGrid>
      <w:tr w:rsidR="007533DE" w:rsidRPr="00847B64" w14:paraId="67C47AC1" w14:textId="553C6E84" w:rsidTr="00816C7E">
        <w:trPr>
          <w:trHeight w:val="576"/>
        </w:trPr>
        <w:tc>
          <w:tcPr>
            <w:tcW w:w="1584" w:type="dxa"/>
            <w:shd w:val="clear" w:color="auto" w:fill="F2F2F2" w:themeFill="background1" w:themeFillShade="F2"/>
            <w:vAlign w:val="bottom"/>
          </w:tcPr>
          <w:p w14:paraId="48C07F0C" w14:textId="57D9A418" w:rsidR="00001484" w:rsidRPr="00847B64" w:rsidRDefault="00001484" w:rsidP="00E578E4">
            <w:pPr>
              <w:keepNext/>
              <w:keepLines/>
              <w:spacing w:before="20" w:after="20"/>
              <w:jc w:val="center"/>
              <w:rPr>
                <w:rFonts w:cs="Arial"/>
                <w:b/>
                <w:color w:val="000000"/>
                <w:sz w:val="20"/>
                <w:szCs w:val="20"/>
              </w:rPr>
            </w:pPr>
            <w:r>
              <w:rPr>
                <w:b/>
                <w:sz w:val="20"/>
              </w:rPr>
              <w:t>Oven Type</w:t>
            </w:r>
          </w:p>
        </w:tc>
        <w:tc>
          <w:tcPr>
            <w:tcW w:w="1152" w:type="dxa"/>
            <w:shd w:val="clear" w:color="auto" w:fill="F2F2F2" w:themeFill="background1" w:themeFillShade="F2"/>
            <w:vAlign w:val="bottom"/>
          </w:tcPr>
          <w:p w14:paraId="1CAD39B6" w14:textId="663635F2" w:rsidR="00001484" w:rsidRPr="00847B64" w:rsidRDefault="00001484" w:rsidP="00E578E4">
            <w:pPr>
              <w:keepNext/>
              <w:keepLines/>
              <w:spacing w:before="20" w:after="20"/>
              <w:jc w:val="center"/>
              <w:rPr>
                <w:rFonts w:cs="Arial"/>
                <w:b/>
                <w:color w:val="000000"/>
                <w:sz w:val="20"/>
                <w:szCs w:val="20"/>
              </w:rPr>
            </w:pPr>
            <w:r w:rsidRPr="00847B64">
              <w:rPr>
                <w:rFonts w:cs="Arial"/>
                <w:b/>
                <w:color w:val="000000"/>
                <w:sz w:val="20"/>
                <w:szCs w:val="20"/>
              </w:rPr>
              <w:t xml:space="preserve">Idle Energy Rate </w:t>
            </w:r>
            <w:r>
              <w:rPr>
                <w:rFonts w:cs="Arial"/>
                <w:b/>
                <w:color w:val="000000"/>
                <w:sz w:val="20"/>
                <w:szCs w:val="20"/>
              </w:rPr>
              <w:t>(W)</w:t>
            </w:r>
          </w:p>
        </w:tc>
        <w:tc>
          <w:tcPr>
            <w:tcW w:w="1152" w:type="dxa"/>
            <w:shd w:val="clear" w:color="auto" w:fill="F2F2F2" w:themeFill="background1" w:themeFillShade="F2"/>
            <w:vAlign w:val="bottom"/>
          </w:tcPr>
          <w:p w14:paraId="3C8BBBEE" w14:textId="6FF34822" w:rsidR="00001484" w:rsidRPr="00847B64" w:rsidRDefault="00001484" w:rsidP="00C64DF2">
            <w:pPr>
              <w:keepNext/>
              <w:keepLines/>
              <w:spacing w:before="20" w:after="20"/>
              <w:jc w:val="center"/>
              <w:rPr>
                <w:rFonts w:cs="Arial"/>
                <w:b/>
                <w:color w:val="000000"/>
                <w:sz w:val="20"/>
                <w:szCs w:val="20"/>
              </w:rPr>
            </w:pPr>
            <w:r w:rsidRPr="00847B64">
              <w:rPr>
                <w:rFonts w:cs="Arial"/>
                <w:b/>
                <w:color w:val="000000"/>
                <w:sz w:val="20"/>
                <w:szCs w:val="20"/>
              </w:rPr>
              <w:t>Cooking</w:t>
            </w:r>
            <w:r>
              <w:rPr>
                <w:rFonts w:cs="Arial"/>
                <w:b/>
                <w:color w:val="000000"/>
                <w:sz w:val="20"/>
                <w:szCs w:val="20"/>
              </w:rPr>
              <w:t xml:space="preserve"> </w:t>
            </w:r>
            <w:r w:rsidRPr="00847B64">
              <w:rPr>
                <w:rFonts w:cs="Arial"/>
                <w:b/>
                <w:color w:val="000000"/>
                <w:sz w:val="20"/>
                <w:szCs w:val="20"/>
              </w:rPr>
              <w:t xml:space="preserve">Energy Efficiency </w:t>
            </w:r>
          </w:p>
        </w:tc>
        <w:tc>
          <w:tcPr>
            <w:tcW w:w="1152" w:type="dxa"/>
            <w:shd w:val="clear" w:color="auto" w:fill="F2F2F2" w:themeFill="background1" w:themeFillShade="F2"/>
            <w:vAlign w:val="bottom"/>
          </w:tcPr>
          <w:p w14:paraId="57B577DF" w14:textId="53C9EEEA" w:rsidR="00001484" w:rsidRPr="00847B64" w:rsidRDefault="00001484" w:rsidP="007E732E">
            <w:pPr>
              <w:keepNext/>
              <w:keepLines/>
              <w:spacing w:before="20" w:after="20"/>
              <w:jc w:val="center"/>
              <w:rPr>
                <w:b/>
                <w:sz w:val="20"/>
                <w:szCs w:val="20"/>
              </w:rPr>
            </w:pPr>
            <w:r>
              <w:rPr>
                <w:rFonts w:cs="Arial"/>
                <w:b/>
                <w:color w:val="000000"/>
                <w:sz w:val="20"/>
                <w:szCs w:val="20"/>
              </w:rPr>
              <w:t>Production Capacity (</w:t>
            </w:r>
            <w:proofErr w:type="spellStart"/>
            <w:r>
              <w:rPr>
                <w:rFonts w:cs="Arial"/>
                <w:b/>
                <w:color w:val="000000"/>
                <w:sz w:val="20"/>
                <w:szCs w:val="20"/>
              </w:rPr>
              <w:t>lb</w:t>
            </w:r>
            <w:proofErr w:type="spellEnd"/>
            <w:r>
              <w:rPr>
                <w:rFonts w:cs="Arial"/>
                <w:b/>
                <w:color w:val="000000"/>
                <w:sz w:val="20"/>
                <w:szCs w:val="20"/>
              </w:rPr>
              <w:t>/</w:t>
            </w:r>
            <w:proofErr w:type="spellStart"/>
            <w:r>
              <w:rPr>
                <w:rFonts w:cs="Arial"/>
                <w:b/>
                <w:color w:val="000000"/>
                <w:sz w:val="20"/>
                <w:szCs w:val="20"/>
              </w:rPr>
              <w:t>h</w:t>
            </w:r>
            <w:r w:rsidR="00E75004">
              <w:rPr>
                <w:rFonts w:cs="Arial"/>
                <w:b/>
                <w:color w:val="000000"/>
                <w:sz w:val="20"/>
                <w:szCs w:val="20"/>
              </w:rPr>
              <w:t>r</w:t>
            </w:r>
            <w:proofErr w:type="spellEnd"/>
            <w:r>
              <w:rPr>
                <w:rFonts w:cs="Arial"/>
                <w:b/>
                <w:color w:val="000000"/>
                <w:sz w:val="20"/>
                <w:szCs w:val="20"/>
              </w:rPr>
              <w:t>)</w:t>
            </w:r>
          </w:p>
        </w:tc>
        <w:tc>
          <w:tcPr>
            <w:tcW w:w="4320" w:type="dxa"/>
            <w:shd w:val="clear" w:color="auto" w:fill="F2F2F2" w:themeFill="background1" w:themeFillShade="F2"/>
            <w:vAlign w:val="bottom"/>
          </w:tcPr>
          <w:p w14:paraId="0A68A61B" w14:textId="570FA14B" w:rsidR="00001484" w:rsidRDefault="00001484" w:rsidP="007E732E">
            <w:pPr>
              <w:keepNext/>
              <w:keepLines/>
              <w:spacing w:before="20" w:after="20"/>
              <w:jc w:val="center"/>
              <w:rPr>
                <w:rFonts w:cs="Arial"/>
                <w:b/>
                <w:color w:val="000000"/>
                <w:sz w:val="20"/>
                <w:szCs w:val="20"/>
              </w:rPr>
            </w:pPr>
            <w:r>
              <w:rPr>
                <w:rFonts w:cs="Arial"/>
                <w:b/>
                <w:color w:val="000000"/>
                <w:sz w:val="20"/>
                <w:szCs w:val="20"/>
              </w:rPr>
              <w:t>Source</w:t>
            </w:r>
          </w:p>
        </w:tc>
      </w:tr>
      <w:tr w:rsidR="007533DE" w:rsidRPr="001E093D" w14:paraId="7CBB1073" w14:textId="6BB91FB7" w:rsidTr="00816C7E">
        <w:trPr>
          <w:trHeight w:val="576"/>
        </w:trPr>
        <w:tc>
          <w:tcPr>
            <w:tcW w:w="1584" w:type="dxa"/>
            <w:vAlign w:val="center"/>
          </w:tcPr>
          <w:p w14:paraId="1A5EB64A" w14:textId="537916AB" w:rsidR="00C1547D" w:rsidRPr="001E093D" w:rsidRDefault="00C1547D" w:rsidP="001E093D">
            <w:pPr>
              <w:spacing w:before="20" w:after="20"/>
              <w:rPr>
                <w:rFonts w:cs="Arial"/>
                <w:sz w:val="20"/>
                <w:szCs w:val="20"/>
              </w:rPr>
            </w:pPr>
            <w:r w:rsidRPr="001E093D">
              <w:rPr>
                <w:sz w:val="20"/>
                <w:szCs w:val="20"/>
              </w:rPr>
              <w:t>Deck Oven (Elec)</w:t>
            </w:r>
          </w:p>
        </w:tc>
        <w:tc>
          <w:tcPr>
            <w:tcW w:w="1152" w:type="dxa"/>
            <w:vAlign w:val="center"/>
          </w:tcPr>
          <w:p w14:paraId="77A628A9" w14:textId="3CA34655" w:rsidR="00C1547D" w:rsidRPr="001E093D" w:rsidRDefault="00C1547D" w:rsidP="00C1547D">
            <w:pPr>
              <w:spacing w:before="20" w:after="20"/>
              <w:jc w:val="center"/>
              <w:rPr>
                <w:rFonts w:cs="Arial"/>
                <w:sz w:val="20"/>
                <w:szCs w:val="20"/>
              </w:rPr>
            </w:pPr>
            <w:r w:rsidRPr="001E093D">
              <w:rPr>
                <w:rFonts w:cs="Arial"/>
                <w:sz w:val="20"/>
                <w:szCs w:val="20"/>
              </w:rPr>
              <w:t xml:space="preserve">1,300 </w:t>
            </w:r>
          </w:p>
        </w:tc>
        <w:tc>
          <w:tcPr>
            <w:tcW w:w="1152" w:type="dxa"/>
            <w:vAlign w:val="center"/>
          </w:tcPr>
          <w:p w14:paraId="3C72C079" w14:textId="77777777" w:rsidR="00C1547D" w:rsidRPr="001E093D" w:rsidRDefault="00C1547D" w:rsidP="00C1547D">
            <w:pPr>
              <w:spacing w:before="20" w:after="20"/>
              <w:jc w:val="center"/>
              <w:rPr>
                <w:sz w:val="20"/>
                <w:szCs w:val="20"/>
              </w:rPr>
            </w:pPr>
            <w:r w:rsidRPr="001E093D">
              <w:rPr>
                <w:sz w:val="20"/>
                <w:szCs w:val="20"/>
              </w:rPr>
              <w:t>60%</w:t>
            </w:r>
          </w:p>
        </w:tc>
        <w:tc>
          <w:tcPr>
            <w:tcW w:w="1152" w:type="dxa"/>
            <w:shd w:val="clear" w:color="auto" w:fill="auto"/>
            <w:vAlign w:val="center"/>
          </w:tcPr>
          <w:p w14:paraId="194EBD26" w14:textId="77777777" w:rsidR="00C1547D" w:rsidRPr="001E093D" w:rsidRDefault="00C1547D" w:rsidP="00C1547D">
            <w:pPr>
              <w:spacing w:before="20" w:after="20"/>
              <w:jc w:val="center"/>
              <w:rPr>
                <w:sz w:val="20"/>
                <w:szCs w:val="20"/>
              </w:rPr>
            </w:pPr>
            <w:r w:rsidRPr="001E093D">
              <w:rPr>
                <w:sz w:val="20"/>
                <w:szCs w:val="20"/>
              </w:rPr>
              <w:t xml:space="preserve">60 </w:t>
            </w:r>
          </w:p>
        </w:tc>
        <w:tc>
          <w:tcPr>
            <w:tcW w:w="4320" w:type="dxa"/>
            <w:vAlign w:val="center"/>
          </w:tcPr>
          <w:p w14:paraId="38029B61" w14:textId="53FF41FF" w:rsidR="00C1547D" w:rsidRPr="007533DE" w:rsidRDefault="007533DE" w:rsidP="00C1547D">
            <w:pPr>
              <w:spacing w:before="20" w:after="20"/>
              <w:rPr>
                <w:sz w:val="18"/>
                <w:szCs w:val="18"/>
                <w:highlight w:val="yellow"/>
              </w:rPr>
            </w:pPr>
            <w:r w:rsidRPr="00D0662C">
              <w:rPr>
                <w:sz w:val="18"/>
                <w:szCs w:val="18"/>
              </w:rPr>
              <w:t>Southern California Edison (SCE). 2018. “SCE17CC012.1 A2 - Cost &amp; Savings Calculations.xlsm.”</w:t>
            </w:r>
            <w:r w:rsidRPr="007533DE">
              <w:rPr>
                <w:rFonts w:cs="Arial"/>
                <w:sz w:val="18"/>
                <w:szCs w:val="18"/>
              </w:rPr>
              <w:t xml:space="preserve"> See Tested Oven Efficiencies tab.</w:t>
            </w:r>
          </w:p>
        </w:tc>
      </w:tr>
    </w:tbl>
    <w:p w14:paraId="7ADB956C" w14:textId="77777777" w:rsidR="007533DE" w:rsidRDefault="007533DE" w:rsidP="007533DE">
      <w:pPr>
        <w:rPr>
          <w:rFonts w:cstheme="minorHAnsi"/>
        </w:rPr>
      </w:pPr>
    </w:p>
    <w:p w14:paraId="1348BF39" w14:textId="77777777" w:rsidR="00E70CBD" w:rsidRPr="00171BB8" w:rsidRDefault="00E70CBD" w:rsidP="007533DE">
      <w:pPr>
        <w:pStyle w:val="eTRMHeading3"/>
      </w:pPr>
      <w:bookmarkStart w:id="12" w:name="_Toc486490849"/>
      <w:bookmarkStart w:id="13" w:name="_Toc486580920"/>
      <w:bookmarkStart w:id="14" w:name="_Toc57800326"/>
      <w:r w:rsidRPr="004B06E3">
        <w:t>Base Case Description</w:t>
      </w:r>
      <w:bookmarkEnd w:id="12"/>
      <w:bookmarkEnd w:id="13"/>
      <w:bookmarkEnd w:id="14"/>
      <w:r w:rsidRPr="00171BB8">
        <w:t xml:space="preserve"> </w:t>
      </w:r>
    </w:p>
    <w:p w14:paraId="38BC7549" w14:textId="1AC728DE" w:rsidR="00465611" w:rsidRPr="00664EC8" w:rsidRDefault="00564E8F" w:rsidP="00465611">
      <w:pPr>
        <w:rPr>
          <w:rFonts w:cstheme="minorHAnsi"/>
        </w:rPr>
      </w:pPr>
      <w:r>
        <w:rPr>
          <w:rFonts w:cstheme="minorHAnsi"/>
        </w:rPr>
        <w:t xml:space="preserve">The base case is defined as a commercial electric deck oven with 40% cooking efficiency. </w:t>
      </w:r>
      <w:r w:rsidR="00C147B9" w:rsidRPr="00C147B9">
        <w:rPr>
          <w:rFonts w:cstheme="minorHAnsi"/>
        </w:rPr>
        <w:t>Since</w:t>
      </w:r>
      <w:r w:rsidR="00465611" w:rsidRPr="00C147B9">
        <w:rPr>
          <w:rFonts w:cstheme="minorHAnsi"/>
        </w:rPr>
        <w:t xml:space="preserve"> commercial deck ovens</w:t>
      </w:r>
      <w:r w:rsidR="00C147B9" w:rsidRPr="00C147B9">
        <w:rPr>
          <w:rFonts w:cstheme="minorHAnsi"/>
        </w:rPr>
        <w:t xml:space="preserve"> are not covered by state or national codes</w:t>
      </w:r>
      <w:r w:rsidR="00465611" w:rsidRPr="00C147B9">
        <w:rPr>
          <w:rFonts w:cstheme="minorHAnsi"/>
        </w:rPr>
        <w:t xml:space="preserve">, there is little incentive </w:t>
      </w:r>
      <w:r w:rsidR="00C147B9" w:rsidRPr="00C147B9">
        <w:rPr>
          <w:rFonts w:cstheme="minorHAnsi"/>
        </w:rPr>
        <w:t>for</w:t>
      </w:r>
      <w:r w:rsidR="00465611" w:rsidRPr="00C147B9">
        <w:rPr>
          <w:rFonts w:cstheme="minorHAnsi"/>
        </w:rPr>
        <w:t xml:space="preserve"> equipment manufacturers to </w:t>
      </w:r>
      <w:r w:rsidR="00C147B9" w:rsidRPr="00C147B9">
        <w:rPr>
          <w:rFonts w:cstheme="minorHAnsi"/>
        </w:rPr>
        <w:t>test their</w:t>
      </w:r>
      <w:r w:rsidR="00465611" w:rsidRPr="00C147B9">
        <w:rPr>
          <w:rFonts w:cstheme="minorHAnsi"/>
        </w:rPr>
        <w:t xml:space="preserve"> baseline equipment. Therefore, the </w:t>
      </w:r>
      <w:r w:rsidR="00C147B9" w:rsidRPr="00C147B9">
        <w:rPr>
          <w:rFonts w:cstheme="minorHAnsi"/>
        </w:rPr>
        <w:t>base case efficiency for existing models</w:t>
      </w:r>
      <w:r w:rsidR="00465611" w:rsidRPr="00C147B9">
        <w:rPr>
          <w:rFonts w:cstheme="minorHAnsi"/>
        </w:rPr>
        <w:t xml:space="preserve"> </w:t>
      </w:r>
      <w:r w:rsidR="00C147B9" w:rsidRPr="00C147B9">
        <w:rPr>
          <w:rFonts w:cstheme="minorHAnsi"/>
        </w:rPr>
        <w:t>was determined from a sample of economy-</w:t>
      </w:r>
      <w:r w:rsidR="00465611" w:rsidRPr="00C147B9">
        <w:rPr>
          <w:rFonts w:cstheme="minorHAnsi"/>
        </w:rPr>
        <w:t xml:space="preserve">grade equipment tested by the </w:t>
      </w:r>
      <w:r w:rsidR="00EF767F" w:rsidRPr="00EF767F">
        <w:rPr>
          <w:rFonts w:cstheme="minorHAnsi"/>
        </w:rPr>
        <w:t>Food Service Technology Center</w:t>
      </w:r>
      <w:r w:rsidR="00CC43B4">
        <w:rPr>
          <w:rFonts w:cstheme="minorHAnsi"/>
        </w:rPr>
        <w:t xml:space="preserve"> (FSTC)</w:t>
      </w:r>
      <w:r w:rsidR="00465611" w:rsidRPr="00EF767F">
        <w:rPr>
          <w:rFonts w:cstheme="minorHAnsi"/>
        </w:rPr>
        <w:t>.</w:t>
      </w:r>
      <w:r w:rsidR="00465611" w:rsidRPr="00664EC8">
        <w:rPr>
          <w:rFonts w:cstheme="minorHAnsi"/>
        </w:rPr>
        <w:t xml:space="preserve">  </w:t>
      </w:r>
      <w:r w:rsidR="007533DE">
        <w:rPr>
          <w:rFonts w:cstheme="minorHAnsi"/>
        </w:rPr>
        <w:t>The tested equipment was split into three tiers (low, medium, high) based on cooking efficiency. The average efficiencies of the tiers (rounded to the tens place) are shown in the Measure Case Description. The rounded average efficiency (40%) of the Low tier was adopted for the base case efficiency.</w:t>
      </w:r>
    </w:p>
    <w:p w14:paraId="30EC4704" w14:textId="0B775BB1" w:rsidR="006E7D36" w:rsidRPr="00D22F83" w:rsidRDefault="006E7D36" w:rsidP="007533DE">
      <w:pPr>
        <w:pStyle w:val="Caption"/>
      </w:pPr>
      <w:r>
        <w:t xml:space="preserve">Base Case </w:t>
      </w:r>
      <w:r w:rsidR="002832D8">
        <w:t>Specification</w:t>
      </w:r>
      <w:r>
        <w:t xml:space="preserve"> </w:t>
      </w:r>
    </w:p>
    <w:tbl>
      <w:tblPr>
        <w:tblW w:w="957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38"/>
        <w:gridCol w:w="1170"/>
        <w:gridCol w:w="1170"/>
        <w:gridCol w:w="1170"/>
        <w:gridCol w:w="4428"/>
      </w:tblGrid>
      <w:tr w:rsidR="00C30345" w:rsidRPr="00847B64" w14:paraId="5CA1ED46" w14:textId="0E5474D7" w:rsidTr="00816C7E">
        <w:tc>
          <w:tcPr>
            <w:tcW w:w="1638" w:type="dxa"/>
            <w:shd w:val="clear" w:color="auto" w:fill="F2F2F2" w:themeFill="background1" w:themeFillShade="F2"/>
            <w:vAlign w:val="bottom"/>
          </w:tcPr>
          <w:p w14:paraId="55EA7FE3" w14:textId="24A77A96" w:rsidR="00001484" w:rsidRPr="00847B64" w:rsidRDefault="00001484" w:rsidP="007533DE">
            <w:pPr>
              <w:keepNext/>
              <w:keepLines/>
              <w:spacing w:before="20" w:after="20"/>
              <w:jc w:val="center"/>
              <w:rPr>
                <w:rFonts w:cs="Arial"/>
                <w:b/>
                <w:color w:val="000000"/>
                <w:sz w:val="20"/>
                <w:szCs w:val="20"/>
              </w:rPr>
            </w:pPr>
            <w:r>
              <w:rPr>
                <w:b/>
                <w:sz w:val="20"/>
              </w:rPr>
              <w:t>Oven Type</w:t>
            </w:r>
          </w:p>
        </w:tc>
        <w:tc>
          <w:tcPr>
            <w:tcW w:w="1170" w:type="dxa"/>
            <w:shd w:val="clear" w:color="auto" w:fill="F2F2F2" w:themeFill="background1" w:themeFillShade="F2"/>
            <w:vAlign w:val="bottom"/>
          </w:tcPr>
          <w:p w14:paraId="736D2198" w14:textId="40E432A3" w:rsidR="00001484" w:rsidRPr="00847B64" w:rsidRDefault="00001484" w:rsidP="007533DE">
            <w:pPr>
              <w:keepNext/>
              <w:keepLines/>
              <w:spacing w:before="20" w:after="20"/>
              <w:jc w:val="center"/>
              <w:rPr>
                <w:rFonts w:cs="Arial"/>
                <w:b/>
                <w:color w:val="000000"/>
                <w:sz w:val="20"/>
                <w:szCs w:val="20"/>
              </w:rPr>
            </w:pPr>
            <w:r w:rsidRPr="00847B64">
              <w:rPr>
                <w:rFonts w:cs="Arial"/>
                <w:b/>
                <w:color w:val="000000"/>
                <w:sz w:val="20"/>
                <w:szCs w:val="20"/>
              </w:rPr>
              <w:t xml:space="preserve">Idle Energy Rate </w:t>
            </w:r>
            <w:r>
              <w:rPr>
                <w:rFonts w:cs="Arial"/>
                <w:b/>
                <w:color w:val="000000"/>
                <w:sz w:val="20"/>
                <w:szCs w:val="20"/>
              </w:rPr>
              <w:t>(W)</w:t>
            </w:r>
          </w:p>
        </w:tc>
        <w:tc>
          <w:tcPr>
            <w:tcW w:w="1170" w:type="dxa"/>
            <w:shd w:val="clear" w:color="auto" w:fill="F2F2F2" w:themeFill="background1" w:themeFillShade="F2"/>
            <w:vAlign w:val="bottom"/>
          </w:tcPr>
          <w:p w14:paraId="3CAEA673" w14:textId="310C1B6D" w:rsidR="00001484" w:rsidRPr="00847B64" w:rsidRDefault="00001484" w:rsidP="007533DE">
            <w:pPr>
              <w:keepNext/>
              <w:keepLines/>
              <w:spacing w:before="20" w:after="20"/>
              <w:jc w:val="center"/>
              <w:rPr>
                <w:rFonts w:cs="Arial"/>
                <w:b/>
                <w:color w:val="000000"/>
                <w:sz w:val="20"/>
                <w:szCs w:val="20"/>
              </w:rPr>
            </w:pPr>
            <w:r w:rsidRPr="00847B64">
              <w:rPr>
                <w:rFonts w:cs="Arial"/>
                <w:b/>
                <w:color w:val="000000"/>
                <w:sz w:val="20"/>
                <w:szCs w:val="20"/>
              </w:rPr>
              <w:t>Cooking</w:t>
            </w:r>
            <w:r>
              <w:rPr>
                <w:rFonts w:cs="Arial"/>
                <w:b/>
                <w:color w:val="000000"/>
                <w:sz w:val="20"/>
                <w:szCs w:val="20"/>
              </w:rPr>
              <w:t xml:space="preserve"> </w:t>
            </w:r>
            <w:r w:rsidRPr="00847B64">
              <w:rPr>
                <w:rFonts w:cs="Arial"/>
                <w:b/>
                <w:color w:val="000000"/>
                <w:sz w:val="20"/>
                <w:szCs w:val="20"/>
              </w:rPr>
              <w:t>Energy Efficiency</w:t>
            </w:r>
          </w:p>
        </w:tc>
        <w:tc>
          <w:tcPr>
            <w:tcW w:w="1170" w:type="dxa"/>
            <w:shd w:val="clear" w:color="auto" w:fill="F2F2F2" w:themeFill="background1" w:themeFillShade="F2"/>
            <w:vAlign w:val="bottom"/>
          </w:tcPr>
          <w:p w14:paraId="133468B7" w14:textId="6CAA8876" w:rsidR="00001484" w:rsidRPr="00847B64" w:rsidRDefault="00001484" w:rsidP="007533DE">
            <w:pPr>
              <w:keepNext/>
              <w:keepLines/>
              <w:spacing w:before="20" w:after="20"/>
              <w:jc w:val="center"/>
              <w:rPr>
                <w:b/>
                <w:sz w:val="20"/>
                <w:szCs w:val="20"/>
              </w:rPr>
            </w:pPr>
            <w:r>
              <w:rPr>
                <w:rFonts w:cs="Arial"/>
                <w:b/>
                <w:color w:val="000000"/>
                <w:sz w:val="20"/>
                <w:szCs w:val="20"/>
              </w:rPr>
              <w:t>Production Capacity (</w:t>
            </w:r>
            <w:proofErr w:type="spellStart"/>
            <w:r>
              <w:rPr>
                <w:rFonts w:cs="Arial"/>
                <w:b/>
                <w:color w:val="000000"/>
                <w:sz w:val="20"/>
                <w:szCs w:val="20"/>
              </w:rPr>
              <w:t>lb</w:t>
            </w:r>
            <w:proofErr w:type="spellEnd"/>
            <w:r>
              <w:rPr>
                <w:rFonts w:cs="Arial"/>
                <w:b/>
                <w:color w:val="000000"/>
                <w:sz w:val="20"/>
                <w:szCs w:val="20"/>
              </w:rPr>
              <w:t>/</w:t>
            </w:r>
            <w:proofErr w:type="spellStart"/>
            <w:r>
              <w:rPr>
                <w:rFonts w:cs="Arial"/>
                <w:b/>
                <w:color w:val="000000"/>
                <w:sz w:val="20"/>
                <w:szCs w:val="20"/>
              </w:rPr>
              <w:t>h</w:t>
            </w:r>
            <w:r w:rsidR="001504EF">
              <w:rPr>
                <w:rFonts w:cs="Arial"/>
                <w:b/>
                <w:color w:val="000000"/>
                <w:sz w:val="20"/>
                <w:szCs w:val="20"/>
              </w:rPr>
              <w:t>r</w:t>
            </w:r>
            <w:proofErr w:type="spellEnd"/>
            <w:r>
              <w:rPr>
                <w:rFonts w:cs="Arial"/>
                <w:b/>
                <w:color w:val="000000"/>
                <w:sz w:val="20"/>
                <w:szCs w:val="20"/>
              </w:rPr>
              <w:t>)</w:t>
            </w:r>
          </w:p>
        </w:tc>
        <w:tc>
          <w:tcPr>
            <w:tcW w:w="4428" w:type="dxa"/>
            <w:shd w:val="clear" w:color="auto" w:fill="F2F2F2" w:themeFill="background1" w:themeFillShade="F2"/>
            <w:vAlign w:val="bottom"/>
          </w:tcPr>
          <w:p w14:paraId="59130EFB" w14:textId="0DAB97E9" w:rsidR="00001484" w:rsidRDefault="00001484" w:rsidP="007533DE">
            <w:pPr>
              <w:keepNext/>
              <w:keepLines/>
              <w:spacing w:before="20" w:after="20"/>
              <w:jc w:val="center"/>
              <w:rPr>
                <w:rFonts w:cs="Arial"/>
                <w:b/>
                <w:color w:val="000000"/>
                <w:sz w:val="20"/>
                <w:szCs w:val="20"/>
              </w:rPr>
            </w:pPr>
            <w:r>
              <w:rPr>
                <w:rFonts w:cs="Arial"/>
                <w:b/>
                <w:color w:val="000000"/>
                <w:sz w:val="20"/>
                <w:szCs w:val="20"/>
              </w:rPr>
              <w:t>Source</w:t>
            </w:r>
          </w:p>
        </w:tc>
      </w:tr>
      <w:tr w:rsidR="001E093D" w:rsidRPr="001E093D" w14:paraId="2C91FBEB" w14:textId="4B3299D6" w:rsidTr="00816C7E">
        <w:tc>
          <w:tcPr>
            <w:tcW w:w="1638" w:type="dxa"/>
            <w:vAlign w:val="center"/>
          </w:tcPr>
          <w:p w14:paraId="49D68944" w14:textId="4816819E" w:rsidR="00001484" w:rsidRPr="001E093D" w:rsidRDefault="00001484" w:rsidP="00D0662C">
            <w:pPr>
              <w:keepNext/>
              <w:keepLines/>
              <w:spacing w:before="20" w:after="20"/>
              <w:jc w:val="center"/>
              <w:rPr>
                <w:rFonts w:cs="Arial"/>
                <w:sz w:val="20"/>
                <w:szCs w:val="20"/>
              </w:rPr>
            </w:pPr>
            <w:r w:rsidRPr="001E093D">
              <w:rPr>
                <w:sz w:val="20"/>
                <w:szCs w:val="20"/>
              </w:rPr>
              <w:t>Deck Oven (Elec)</w:t>
            </w:r>
          </w:p>
        </w:tc>
        <w:tc>
          <w:tcPr>
            <w:tcW w:w="1170" w:type="dxa"/>
            <w:vAlign w:val="center"/>
          </w:tcPr>
          <w:p w14:paraId="4B188A7E" w14:textId="38F9E61D" w:rsidR="00001484" w:rsidRPr="001E093D" w:rsidRDefault="00001484" w:rsidP="00D0662C">
            <w:pPr>
              <w:keepNext/>
              <w:keepLines/>
              <w:spacing w:before="20" w:after="20"/>
              <w:jc w:val="center"/>
              <w:rPr>
                <w:rFonts w:cs="Arial"/>
                <w:sz w:val="20"/>
                <w:szCs w:val="20"/>
              </w:rPr>
            </w:pPr>
            <w:r w:rsidRPr="001E093D">
              <w:rPr>
                <w:rFonts w:cs="Arial"/>
                <w:sz w:val="20"/>
                <w:szCs w:val="20"/>
              </w:rPr>
              <w:t>1,900 W</w:t>
            </w:r>
          </w:p>
        </w:tc>
        <w:tc>
          <w:tcPr>
            <w:tcW w:w="1170" w:type="dxa"/>
            <w:vAlign w:val="center"/>
          </w:tcPr>
          <w:p w14:paraId="0785EB7A" w14:textId="77777777" w:rsidR="00001484" w:rsidRPr="001E093D" w:rsidRDefault="00001484" w:rsidP="00D0662C">
            <w:pPr>
              <w:keepNext/>
              <w:keepLines/>
              <w:spacing w:before="20" w:after="20"/>
              <w:jc w:val="center"/>
              <w:rPr>
                <w:sz w:val="20"/>
                <w:szCs w:val="20"/>
              </w:rPr>
            </w:pPr>
            <w:r w:rsidRPr="001E093D">
              <w:rPr>
                <w:sz w:val="20"/>
                <w:szCs w:val="20"/>
              </w:rPr>
              <w:t>40%</w:t>
            </w:r>
          </w:p>
        </w:tc>
        <w:tc>
          <w:tcPr>
            <w:tcW w:w="1170" w:type="dxa"/>
            <w:shd w:val="clear" w:color="auto" w:fill="auto"/>
            <w:vAlign w:val="center"/>
          </w:tcPr>
          <w:p w14:paraId="37A769C8" w14:textId="77777777" w:rsidR="00001484" w:rsidRPr="001E093D" w:rsidRDefault="00001484" w:rsidP="00D0662C">
            <w:pPr>
              <w:keepNext/>
              <w:keepLines/>
              <w:spacing w:before="20" w:after="20"/>
              <w:jc w:val="center"/>
              <w:rPr>
                <w:sz w:val="20"/>
                <w:szCs w:val="20"/>
              </w:rPr>
            </w:pPr>
            <w:r w:rsidRPr="001E093D">
              <w:rPr>
                <w:sz w:val="20"/>
                <w:szCs w:val="20"/>
              </w:rPr>
              <w:t xml:space="preserve">60 </w:t>
            </w:r>
          </w:p>
        </w:tc>
        <w:tc>
          <w:tcPr>
            <w:tcW w:w="4428" w:type="dxa"/>
            <w:vAlign w:val="center"/>
          </w:tcPr>
          <w:p w14:paraId="6F447ABC" w14:textId="2AF7D012" w:rsidR="00001484" w:rsidRPr="001E093D" w:rsidRDefault="00001484" w:rsidP="00D0662C">
            <w:pPr>
              <w:keepNext/>
              <w:keepLines/>
              <w:spacing w:before="20" w:after="20"/>
              <w:rPr>
                <w:sz w:val="16"/>
                <w:szCs w:val="16"/>
              </w:rPr>
            </w:pPr>
            <w:r w:rsidRPr="001E093D">
              <w:rPr>
                <w:rFonts w:cs="Arial"/>
                <w:sz w:val="18"/>
                <w:szCs w:val="20"/>
              </w:rPr>
              <w:t>Food Service Technology Center (FSTC). Proprietary database.</w:t>
            </w:r>
          </w:p>
        </w:tc>
      </w:tr>
    </w:tbl>
    <w:p w14:paraId="25240A24" w14:textId="6FC58B61" w:rsidR="006E7D36" w:rsidRDefault="006E7D36" w:rsidP="00465611">
      <w:pPr>
        <w:rPr>
          <w:rFonts w:cstheme="minorHAnsi"/>
        </w:rPr>
      </w:pPr>
    </w:p>
    <w:p w14:paraId="24BAC2AE" w14:textId="38B07A7B" w:rsidR="005F2017" w:rsidRDefault="005F2017" w:rsidP="005F2017">
      <w:pPr>
        <w:rPr>
          <w:rFonts w:cstheme="minorHAnsi"/>
          <w:szCs w:val="22"/>
        </w:rPr>
      </w:pPr>
      <w:r w:rsidRPr="003E0112">
        <w:rPr>
          <w:b/>
        </w:rPr>
        <w:t>Standard Industry Practice Evidence</w:t>
      </w:r>
      <w:r w:rsidR="003E0112" w:rsidRPr="003E0112">
        <w:rPr>
          <w:b/>
        </w:rPr>
        <w:t>.</w:t>
      </w:r>
      <w:r w:rsidR="003E0112">
        <w:t xml:space="preserve"> </w:t>
      </w:r>
      <w:bookmarkStart w:id="15" w:name="_Hlk522536696"/>
      <w:r w:rsidRPr="008E1654">
        <w:rPr>
          <w:rFonts w:cstheme="minorHAnsi"/>
          <w:szCs w:val="22"/>
        </w:rPr>
        <w:t>According to a California</w:t>
      </w:r>
      <w:r>
        <w:rPr>
          <w:rFonts w:cstheme="minorHAnsi"/>
          <w:szCs w:val="22"/>
        </w:rPr>
        <w:t xml:space="preserve"> Energy Commission (CEC)</w:t>
      </w:r>
      <w:r w:rsidRPr="008E1654">
        <w:rPr>
          <w:rFonts w:cstheme="minorHAnsi"/>
          <w:szCs w:val="22"/>
        </w:rPr>
        <w:t xml:space="preserve"> study by Fisher-Nickel</w:t>
      </w:r>
      <w:r>
        <w:rPr>
          <w:rFonts w:cstheme="minorHAnsi"/>
          <w:szCs w:val="22"/>
        </w:rPr>
        <w:t xml:space="preserve"> in October 2014,</w:t>
      </w:r>
      <w:r>
        <w:rPr>
          <w:rStyle w:val="FootnoteReference"/>
          <w:rFonts w:cstheme="minorHAnsi"/>
          <w:szCs w:val="22"/>
        </w:rPr>
        <w:footnoteReference w:id="2"/>
      </w:r>
      <w:r>
        <w:rPr>
          <w:rFonts w:cstheme="minorHAnsi"/>
          <w:szCs w:val="22"/>
        </w:rPr>
        <w:t xml:space="preserve"> </w:t>
      </w:r>
      <w:r w:rsidRPr="008E1654">
        <w:rPr>
          <w:rFonts w:cstheme="minorHAnsi"/>
          <w:szCs w:val="22"/>
        </w:rPr>
        <w:t>deck ovens are among the least developed in the oven category</w:t>
      </w:r>
      <w:r>
        <w:rPr>
          <w:rFonts w:cstheme="minorHAnsi"/>
          <w:szCs w:val="22"/>
        </w:rPr>
        <w:t xml:space="preserve">. </w:t>
      </w:r>
      <w:r w:rsidRPr="008E1654">
        <w:rPr>
          <w:rFonts w:cstheme="minorHAnsi"/>
          <w:szCs w:val="22"/>
        </w:rPr>
        <w:t>As other oven technologies have replaced older deck ovens, there has</w:t>
      </w:r>
      <w:r>
        <w:rPr>
          <w:rFonts w:cstheme="minorHAnsi"/>
          <w:szCs w:val="22"/>
        </w:rPr>
        <w:t xml:space="preserve"> </w:t>
      </w:r>
      <w:r w:rsidRPr="008E1654">
        <w:rPr>
          <w:rFonts w:cstheme="minorHAnsi"/>
          <w:szCs w:val="22"/>
        </w:rPr>
        <w:t xml:space="preserve">been little interest </w:t>
      </w:r>
      <w:r>
        <w:rPr>
          <w:rFonts w:cstheme="minorHAnsi"/>
          <w:szCs w:val="22"/>
        </w:rPr>
        <w:t>from manufacturers or end users to improve deck oven</w:t>
      </w:r>
      <w:r w:rsidRPr="008E1654">
        <w:rPr>
          <w:rFonts w:cstheme="minorHAnsi"/>
          <w:szCs w:val="22"/>
        </w:rPr>
        <w:t xml:space="preserve"> </w:t>
      </w:r>
      <w:r>
        <w:rPr>
          <w:rFonts w:cstheme="minorHAnsi"/>
          <w:szCs w:val="22"/>
        </w:rPr>
        <w:t xml:space="preserve">energy </w:t>
      </w:r>
      <w:r w:rsidRPr="008E1654">
        <w:rPr>
          <w:rFonts w:cstheme="minorHAnsi"/>
          <w:szCs w:val="22"/>
        </w:rPr>
        <w:t>efficiency.</w:t>
      </w:r>
      <w:r w:rsidR="0033304F" w:rsidRPr="0033304F">
        <w:rPr>
          <w:rFonts w:cstheme="minorHAnsi"/>
          <w:szCs w:val="22"/>
        </w:rPr>
        <w:t xml:space="preserve"> </w:t>
      </w:r>
      <w:r w:rsidR="0033304F" w:rsidRPr="004E3CB5">
        <w:rPr>
          <w:rFonts w:cstheme="minorHAnsi"/>
          <w:szCs w:val="22"/>
        </w:rPr>
        <w:t xml:space="preserve">There are no major studies or data available on </w:t>
      </w:r>
      <w:r w:rsidR="0033304F">
        <w:rPr>
          <w:rFonts w:cstheme="minorHAnsi"/>
          <w:szCs w:val="22"/>
        </w:rPr>
        <w:t xml:space="preserve">the </w:t>
      </w:r>
      <w:r w:rsidR="0033304F" w:rsidRPr="004E3CB5">
        <w:rPr>
          <w:rFonts w:cstheme="minorHAnsi"/>
          <w:szCs w:val="22"/>
        </w:rPr>
        <w:t>energy consumption and estimated savings for smaller deck ovens.</w:t>
      </w:r>
    </w:p>
    <w:p w14:paraId="2FE4ECF4" w14:textId="036BEECC" w:rsidR="005F2017" w:rsidRDefault="005F2017" w:rsidP="005F2017">
      <w:pPr>
        <w:rPr>
          <w:rFonts w:cstheme="minorHAnsi"/>
          <w:szCs w:val="22"/>
        </w:rPr>
      </w:pPr>
      <w:r>
        <w:rPr>
          <w:rFonts w:cstheme="minorHAnsi"/>
          <w:szCs w:val="22"/>
        </w:rPr>
        <w:lastRenderedPageBreak/>
        <w:t>In t</w:t>
      </w:r>
      <w:r w:rsidRPr="00481DF7">
        <w:rPr>
          <w:rFonts w:cstheme="minorHAnsi"/>
          <w:szCs w:val="22"/>
        </w:rPr>
        <w:t>he 3</w:t>
      </w:r>
      <w:r w:rsidRPr="005F2017">
        <w:rPr>
          <w:rFonts w:cstheme="minorHAnsi"/>
          <w:szCs w:val="22"/>
          <w:vertAlign w:val="superscript"/>
        </w:rPr>
        <w:t>rd</w:t>
      </w:r>
      <w:r>
        <w:rPr>
          <w:rFonts w:cstheme="minorHAnsi"/>
          <w:szCs w:val="22"/>
        </w:rPr>
        <w:t xml:space="preserve"> </w:t>
      </w:r>
      <w:r w:rsidRPr="00481DF7">
        <w:rPr>
          <w:rFonts w:cstheme="minorHAnsi"/>
          <w:szCs w:val="22"/>
        </w:rPr>
        <w:t>quarter of 2018</w:t>
      </w:r>
      <w:r>
        <w:rPr>
          <w:rFonts w:cstheme="minorHAnsi"/>
          <w:szCs w:val="22"/>
        </w:rPr>
        <w:t>, Southern California Edison (SCE) collected information from the leading oven manufactures (</w:t>
      </w:r>
      <w:proofErr w:type="spellStart"/>
      <w:r>
        <w:rPr>
          <w:rFonts w:cstheme="minorHAnsi"/>
          <w:szCs w:val="22"/>
        </w:rPr>
        <w:t>Revent</w:t>
      </w:r>
      <w:proofErr w:type="spellEnd"/>
      <w:r w:rsidR="0086052A">
        <w:rPr>
          <w:rFonts w:cstheme="minorHAnsi"/>
          <w:szCs w:val="22"/>
        </w:rPr>
        <w:t>,</w:t>
      </w:r>
      <w:r>
        <w:rPr>
          <w:rFonts w:cstheme="minorHAnsi"/>
          <w:szCs w:val="22"/>
        </w:rPr>
        <w:t xml:space="preserve"> Inc. and MPM Food Equipment Group) on the past and projected sales trends for electric deck ovens</w:t>
      </w:r>
      <w:r w:rsidR="00574009">
        <w:rPr>
          <w:rFonts w:cstheme="minorHAnsi"/>
          <w:szCs w:val="22"/>
        </w:rPr>
        <w:t>,</w:t>
      </w:r>
      <w:r>
        <w:rPr>
          <w:rFonts w:cstheme="minorHAnsi"/>
          <w:szCs w:val="22"/>
        </w:rPr>
        <w:t xml:space="preserve"> </w:t>
      </w:r>
      <w:r w:rsidR="0086052A">
        <w:rPr>
          <w:rFonts w:cstheme="minorHAnsi"/>
          <w:szCs w:val="22"/>
        </w:rPr>
        <w:t>as well as other</w:t>
      </w:r>
      <w:r>
        <w:rPr>
          <w:rFonts w:cstheme="minorHAnsi"/>
          <w:szCs w:val="22"/>
        </w:rPr>
        <w:t xml:space="preserve"> various product categories available in the market.</w:t>
      </w:r>
      <w:r w:rsidR="002D2939">
        <w:rPr>
          <w:rStyle w:val="FootnoteReference"/>
          <w:rFonts w:cstheme="minorHAnsi"/>
          <w:szCs w:val="22"/>
        </w:rPr>
        <w:footnoteReference w:id="3"/>
      </w:r>
      <w:r>
        <w:rPr>
          <w:rFonts w:cstheme="minorHAnsi"/>
          <w:szCs w:val="22"/>
        </w:rPr>
        <w:t xml:space="preserve"> </w:t>
      </w:r>
      <w:r w:rsidR="0086052A">
        <w:rPr>
          <w:rFonts w:cstheme="minorHAnsi"/>
          <w:szCs w:val="22"/>
        </w:rPr>
        <w:t>Additionally, SCE requested</w:t>
      </w:r>
      <w:r>
        <w:rPr>
          <w:rFonts w:cstheme="minorHAnsi"/>
          <w:szCs w:val="22"/>
        </w:rPr>
        <w:t xml:space="preserve"> expected savings estimates for electric deck ovens, as well as cost and efficiency comparisons with the current gas deck ovens.</w:t>
      </w:r>
      <w:bookmarkStart w:id="16" w:name="_Hlk522180844"/>
      <w:r>
        <w:rPr>
          <w:rFonts w:cstheme="minorHAnsi"/>
          <w:szCs w:val="22"/>
        </w:rPr>
        <w:t xml:space="preserve"> </w:t>
      </w:r>
      <w:bookmarkEnd w:id="16"/>
    </w:p>
    <w:p w14:paraId="226600D7" w14:textId="7954266A" w:rsidR="003E0112" w:rsidRDefault="005F2017" w:rsidP="005F2017">
      <w:pPr>
        <w:rPr>
          <w:rFonts w:cstheme="minorHAnsi"/>
          <w:szCs w:val="22"/>
        </w:rPr>
      </w:pPr>
      <w:r>
        <w:rPr>
          <w:rFonts w:cstheme="minorHAnsi"/>
          <w:szCs w:val="22"/>
        </w:rPr>
        <w:t xml:space="preserve">According to </w:t>
      </w:r>
      <w:proofErr w:type="spellStart"/>
      <w:r w:rsidRPr="00B44975">
        <w:rPr>
          <w:rFonts w:cstheme="minorHAnsi"/>
          <w:szCs w:val="22"/>
        </w:rPr>
        <w:t>Revent</w:t>
      </w:r>
      <w:proofErr w:type="spellEnd"/>
      <w:r w:rsidR="0086052A">
        <w:rPr>
          <w:rFonts w:cstheme="minorHAnsi"/>
          <w:szCs w:val="22"/>
        </w:rPr>
        <w:t>,</w:t>
      </w:r>
      <w:r w:rsidRPr="00B44975">
        <w:rPr>
          <w:rFonts w:cstheme="minorHAnsi"/>
          <w:szCs w:val="22"/>
        </w:rPr>
        <w:t xml:space="preserve"> Inc., gas</w:t>
      </w:r>
      <w:r w:rsidR="0086052A">
        <w:rPr>
          <w:rFonts w:cstheme="minorHAnsi"/>
          <w:szCs w:val="22"/>
        </w:rPr>
        <w:t>-</w:t>
      </w:r>
      <w:r>
        <w:rPr>
          <w:rFonts w:cstheme="minorHAnsi"/>
          <w:szCs w:val="22"/>
        </w:rPr>
        <w:t>heated</w:t>
      </w:r>
      <w:r w:rsidR="003E0112">
        <w:rPr>
          <w:rFonts w:cstheme="minorHAnsi"/>
          <w:szCs w:val="22"/>
        </w:rPr>
        <w:t xml:space="preserve"> </w:t>
      </w:r>
      <w:r w:rsidR="00FB0683">
        <w:rPr>
          <w:rFonts w:cstheme="minorHAnsi"/>
          <w:szCs w:val="22"/>
        </w:rPr>
        <w:t xml:space="preserve">deck </w:t>
      </w:r>
      <w:r>
        <w:rPr>
          <w:rFonts w:cstheme="minorHAnsi"/>
          <w:szCs w:val="22"/>
        </w:rPr>
        <w:t>ovens dominate the current U</w:t>
      </w:r>
      <w:r w:rsidR="0086052A">
        <w:rPr>
          <w:rFonts w:cstheme="minorHAnsi"/>
          <w:szCs w:val="22"/>
        </w:rPr>
        <w:t>.</w:t>
      </w:r>
      <w:r>
        <w:rPr>
          <w:rFonts w:cstheme="minorHAnsi"/>
          <w:szCs w:val="22"/>
        </w:rPr>
        <w:t>S</w:t>
      </w:r>
      <w:r w:rsidR="0086052A">
        <w:rPr>
          <w:rFonts w:cstheme="minorHAnsi"/>
          <w:szCs w:val="22"/>
        </w:rPr>
        <w:t>.</w:t>
      </w:r>
      <w:r>
        <w:rPr>
          <w:rFonts w:cstheme="minorHAnsi"/>
          <w:szCs w:val="22"/>
        </w:rPr>
        <w:t xml:space="preserve"> market </w:t>
      </w:r>
      <w:r w:rsidR="0086052A">
        <w:rPr>
          <w:rFonts w:cstheme="minorHAnsi"/>
          <w:szCs w:val="22"/>
        </w:rPr>
        <w:t>and represent</w:t>
      </w:r>
      <w:r>
        <w:rPr>
          <w:rFonts w:cstheme="minorHAnsi"/>
          <w:szCs w:val="22"/>
        </w:rPr>
        <w:t xml:space="preserve"> over 90% of </w:t>
      </w:r>
      <w:r w:rsidR="003E0112">
        <w:rPr>
          <w:rFonts w:cstheme="minorHAnsi"/>
          <w:szCs w:val="22"/>
        </w:rPr>
        <w:t xml:space="preserve">all deck oven </w:t>
      </w:r>
      <w:r>
        <w:rPr>
          <w:rFonts w:cstheme="minorHAnsi"/>
          <w:szCs w:val="22"/>
        </w:rPr>
        <w:t>sales. This is</w:t>
      </w:r>
      <w:r w:rsidR="00574009">
        <w:rPr>
          <w:rFonts w:cstheme="minorHAnsi"/>
          <w:szCs w:val="22"/>
        </w:rPr>
        <w:t xml:space="preserve"> attributed </w:t>
      </w:r>
      <w:r>
        <w:rPr>
          <w:rFonts w:cstheme="minorHAnsi"/>
          <w:szCs w:val="22"/>
        </w:rPr>
        <w:t xml:space="preserve">to </w:t>
      </w:r>
      <w:r w:rsidR="00FB0683">
        <w:rPr>
          <w:rFonts w:cstheme="minorHAnsi"/>
          <w:szCs w:val="22"/>
        </w:rPr>
        <w:t xml:space="preserve">the </w:t>
      </w:r>
      <w:r>
        <w:rPr>
          <w:rFonts w:cstheme="minorHAnsi"/>
          <w:szCs w:val="22"/>
        </w:rPr>
        <w:t xml:space="preserve">lower purchase cost </w:t>
      </w:r>
      <w:r w:rsidR="00FB0683">
        <w:rPr>
          <w:rFonts w:cstheme="minorHAnsi"/>
          <w:szCs w:val="22"/>
        </w:rPr>
        <w:t xml:space="preserve">compared to an electric model, as well as the low </w:t>
      </w:r>
      <w:r>
        <w:rPr>
          <w:rFonts w:cstheme="minorHAnsi"/>
          <w:szCs w:val="22"/>
        </w:rPr>
        <w:t>price</w:t>
      </w:r>
      <w:r w:rsidR="00FB0683">
        <w:rPr>
          <w:rFonts w:cstheme="minorHAnsi"/>
          <w:szCs w:val="22"/>
        </w:rPr>
        <w:t xml:space="preserve"> for gas energy compared to electricity</w:t>
      </w:r>
      <w:r>
        <w:rPr>
          <w:rFonts w:cstheme="minorHAnsi"/>
          <w:szCs w:val="22"/>
        </w:rPr>
        <w:t>.</w:t>
      </w:r>
      <w:r w:rsidRPr="00F25BD7">
        <w:rPr>
          <w:rFonts w:cstheme="minorHAnsi"/>
          <w:szCs w:val="22"/>
        </w:rPr>
        <w:t xml:space="preserve"> </w:t>
      </w:r>
      <w:r w:rsidR="00FB0683">
        <w:rPr>
          <w:rFonts w:cstheme="minorHAnsi"/>
          <w:szCs w:val="22"/>
        </w:rPr>
        <w:t xml:space="preserve">The </w:t>
      </w:r>
      <w:proofErr w:type="spellStart"/>
      <w:r w:rsidR="00FB0683">
        <w:rPr>
          <w:rFonts w:cstheme="minorHAnsi"/>
          <w:szCs w:val="22"/>
        </w:rPr>
        <w:t>Revent</w:t>
      </w:r>
      <w:proofErr w:type="spellEnd"/>
      <w:r w:rsidR="00FB0683">
        <w:rPr>
          <w:rFonts w:cstheme="minorHAnsi"/>
          <w:szCs w:val="22"/>
        </w:rPr>
        <w:t xml:space="preserve">, Inc. representative estimated </w:t>
      </w:r>
      <w:r>
        <w:rPr>
          <w:rFonts w:cstheme="minorHAnsi"/>
          <w:szCs w:val="22"/>
        </w:rPr>
        <w:t xml:space="preserve">the </w:t>
      </w:r>
      <w:r w:rsidR="00FB0683">
        <w:rPr>
          <w:rFonts w:cstheme="minorHAnsi"/>
          <w:szCs w:val="22"/>
        </w:rPr>
        <w:t>size of the</w:t>
      </w:r>
      <w:r>
        <w:rPr>
          <w:rFonts w:cstheme="minorHAnsi"/>
          <w:szCs w:val="22"/>
        </w:rPr>
        <w:t xml:space="preserve"> U</w:t>
      </w:r>
      <w:r w:rsidR="003E0112">
        <w:rPr>
          <w:rFonts w:cstheme="minorHAnsi"/>
          <w:szCs w:val="22"/>
        </w:rPr>
        <w:t>.</w:t>
      </w:r>
      <w:r>
        <w:rPr>
          <w:rFonts w:cstheme="minorHAnsi"/>
          <w:szCs w:val="22"/>
        </w:rPr>
        <w:t>S</w:t>
      </w:r>
      <w:r w:rsidR="003E0112">
        <w:rPr>
          <w:rFonts w:cstheme="minorHAnsi"/>
          <w:szCs w:val="22"/>
        </w:rPr>
        <w:t>.</w:t>
      </w:r>
      <w:r>
        <w:rPr>
          <w:rFonts w:cstheme="minorHAnsi"/>
          <w:szCs w:val="22"/>
        </w:rPr>
        <w:t xml:space="preserve"> market for </w:t>
      </w:r>
      <w:r w:rsidR="00FB0683">
        <w:rPr>
          <w:rFonts w:cstheme="minorHAnsi"/>
          <w:szCs w:val="22"/>
        </w:rPr>
        <w:t xml:space="preserve">electric deck </w:t>
      </w:r>
      <w:r>
        <w:rPr>
          <w:rFonts w:cstheme="minorHAnsi"/>
          <w:szCs w:val="22"/>
        </w:rPr>
        <w:t xml:space="preserve">ovens is between 600 </w:t>
      </w:r>
      <w:r w:rsidR="00574009">
        <w:rPr>
          <w:rFonts w:cstheme="minorHAnsi"/>
          <w:szCs w:val="22"/>
        </w:rPr>
        <w:t>to</w:t>
      </w:r>
      <w:r>
        <w:rPr>
          <w:rFonts w:cstheme="minorHAnsi"/>
          <w:szCs w:val="22"/>
        </w:rPr>
        <w:t xml:space="preserve"> 800 ovens, of which approximately 30 </w:t>
      </w:r>
      <w:r w:rsidR="00574009">
        <w:rPr>
          <w:rFonts w:cstheme="minorHAnsi"/>
          <w:szCs w:val="22"/>
        </w:rPr>
        <w:t>to</w:t>
      </w:r>
      <w:r>
        <w:rPr>
          <w:rFonts w:cstheme="minorHAnsi"/>
          <w:szCs w:val="22"/>
        </w:rPr>
        <w:t xml:space="preserve"> 40 units are in California. </w:t>
      </w:r>
      <w:r w:rsidR="00574009">
        <w:rPr>
          <w:rFonts w:cstheme="minorHAnsi"/>
          <w:szCs w:val="22"/>
        </w:rPr>
        <w:t>Because a</w:t>
      </w:r>
      <w:r w:rsidR="003E0112">
        <w:rPr>
          <w:rFonts w:cstheme="minorHAnsi"/>
          <w:szCs w:val="22"/>
        </w:rPr>
        <w:t>lmost all electric deck ovens are imported from Europe and China through authorized distributors in the U.S.</w:t>
      </w:r>
      <w:r w:rsidR="00574009">
        <w:rPr>
          <w:rFonts w:cstheme="minorHAnsi"/>
          <w:szCs w:val="22"/>
        </w:rPr>
        <w:t xml:space="preserve">, these estimates </w:t>
      </w:r>
      <w:r w:rsidR="00FB0683">
        <w:rPr>
          <w:rFonts w:cstheme="minorHAnsi"/>
          <w:szCs w:val="22"/>
        </w:rPr>
        <w:t>might not account for the total market</w:t>
      </w:r>
      <w:r w:rsidR="00574009">
        <w:rPr>
          <w:rFonts w:cstheme="minorHAnsi"/>
          <w:szCs w:val="22"/>
        </w:rPr>
        <w:t>.</w:t>
      </w:r>
      <w:r w:rsidR="003E0112">
        <w:rPr>
          <w:rFonts w:cstheme="minorHAnsi"/>
          <w:szCs w:val="22"/>
        </w:rPr>
        <w:t xml:space="preserve"> </w:t>
      </w:r>
    </w:p>
    <w:p w14:paraId="7C3C69AE" w14:textId="0A1F0A01" w:rsidR="003E0112" w:rsidRDefault="00FB0683" w:rsidP="005F2017">
      <w:pPr>
        <w:rPr>
          <w:rFonts w:cstheme="minorHAnsi"/>
          <w:szCs w:val="22"/>
        </w:rPr>
      </w:pPr>
      <w:r>
        <w:rPr>
          <w:rFonts w:cstheme="minorHAnsi"/>
          <w:szCs w:val="22"/>
        </w:rPr>
        <w:t>In addition to its high cost relative to its gas-fired counterpart and the relative high cost of electricity, there are notable market barriers to electric deck ovens that further substantiate the gas deck oven as industry standard practice. First,</w:t>
      </w:r>
      <w:r w:rsidR="009E3E6A">
        <w:rPr>
          <w:rFonts w:cstheme="minorHAnsi"/>
          <w:szCs w:val="22"/>
        </w:rPr>
        <w:t xml:space="preserve"> information from the manufacturers indicate that b</w:t>
      </w:r>
      <w:r w:rsidR="003E0112">
        <w:rPr>
          <w:rFonts w:cstheme="minorHAnsi"/>
          <w:szCs w:val="22"/>
        </w:rPr>
        <w:t>ased on past product sales, t</w:t>
      </w:r>
      <w:r w:rsidR="005F2017">
        <w:rPr>
          <w:rFonts w:cstheme="minorHAnsi"/>
          <w:szCs w:val="22"/>
        </w:rPr>
        <w:t>he projected trend for e</w:t>
      </w:r>
      <w:r w:rsidR="005F2017" w:rsidRPr="00864A7A">
        <w:rPr>
          <w:rFonts w:cstheme="minorHAnsi"/>
          <w:szCs w:val="22"/>
        </w:rPr>
        <w:t xml:space="preserve">lectric </w:t>
      </w:r>
      <w:r w:rsidR="005F2017">
        <w:rPr>
          <w:rFonts w:cstheme="minorHAnsi"/>
          <w:szCs w:val="22"/>
        </w:rPr>
        <w:t>d</w:t>
      </w:r>
      <w:r w:rsidR="005F2017" w:rsidRPr="00864A7A">
        <w:rPr>
          <w:rFonts w:cstheme="minorHAnsi"/>
          <w:szCs w:val="22"/>
        </w:rPr>
        <w:t xml:space="preserve">eck ovens used for baking </w:t>
      </w:r>
      <w:r w:rsidR="0033304F">
        <w:rPr>
          <w:rFonts w:cstheme="minorHAnsi"/>
          <w:szCs w:val="22"/>
        </w:rPr>
        <w:t>by</w:t>
      </w:r>
      <w:r w:rsidR="005F2017">
        <w:rPr>
          <w:rFonts w:cstheme="minorHAnsi"/>
          <w:szCs w:val="22"/>
        </w:rPr>
        <w:t xml:space="preserve"> </w:t>
      </w:r>
      <w:r w:rsidR="0033304F">
        <w:rPr>
          <w:rFonts w:cstheme="minorHAnsi"/>
          <w:szCs w:val="22"/>
        </w:rPr>
        <w:t>r</w:t>
      </w:r>
      <w:r w:rsidR="005F2017" w:rsidRPr="00864A7A">
        <w:rPr>
          <w:rFonts w:cstheme="minorHAnsi"/>
          <w:szCs w:val="22"/>
        </w:rPr>
        <w:t xml:space="preserve">etail and </w:t>
      </w:r>
      <w:r w:rsidR="0033304F">
        <w:rPr>
          <w:rFonts w:cstheme="minorHAnsi"/>
          <w:szCs w:val="22"/>
        </w:rPr>
        <w:t>i</w:t>
      </w:r>
      <w:r w:rsidR="005F2017" w:rsidRPr="00864A7A">
        <w:rPr>
          <w:rFonts w:cstheme="minorHAnsi"/>
          <w:szCs w:val="22"/>
        </w:rPr>
        <w:t xml:space="preserve">n-store baking </w:t>
      </w:r>
      <w:r w:rsidR="003E0112">
        <w:rPr>
          <w:rFonts w:cstheme="minorHAnsi"/>
          <w:szCs w:val="22"/>
        </w:rPr>
        <w:t>establishments</w:t>
      </w:r>
      <w:r w:rsidR="005F2017">
        <w:rPr>
          <w:rFonts w:cstheme="minorHAnsi"/>
          <w:szCs w:val="22"/>
        </w:rPr>
        <w:t xml:space="preserve"> </w:t>
      </w:r>
      <w:r w:rsidR="005F2017" w:rsidRPr="00864A7A">
        <w:rPr>
          <w:rFonts w:cstheme="minorHAnsi"/>
          <w:szCs w:val="22"/>
        </w:rPr>
        <w:t xml:space="preserve">is </w:t>
      </w:r>
      <w:r w:rsidR="003E0112">
        <w:rPr>
          <w:rFonts w:cstheme="minorHAnsi"/>
          <w:szCs w:val="22"/>
        </w:rPr>
        <w:t>projected to be slow</w:t>
      </w:r>
      <w:r w:rsidR="005F2017" w:rsidRPr="00864A7A">
        <w:rPr>
          <w:rFonts w:cstheme="minorHAnsi"/>
          <w:szCs w:val="22"/>
        </w:rPr>
        <w:t>.</w:t>
      </w:r>
      <w:r w:rsidR="0033304F">
        <w:rPr>
          <w:rFonts w:cstheme="minorHAnsi"/>
          <w:szCs w:val="22"/>
        </w:rPr>
        <w:t xml:space="preserve"> Moreover, due to the ubiquity of the gas ovens in the market, it is likely that a customer would already have existing gas ovens, with the gas utility and distribution system already installed. If a customer intended to increase their load with additional ovens, they would likely install gas deck ovens. </w:t>
      </w:r>
      <w:r w:rsidR="009E3E6A">
        <w:rPr>
          <w:rFonts w:cstheme="minorHAnsi"/>
          <w:szCs w:val="22"/>
        </w:rPr>
        <w:t>Second</w:t>
      </w:r>
      <w:r w:rsidR="005F2017">
        <w:rPr>
          <w:rFonts w:cstheme="minorHAnsi"/>
          <w:szCs w:val="22"/>
        </w:rPr>
        <w:t xml:space="preserve">, </w:t>
      </w:r>
      <w:r w:rsidR="003735C3">
        <w:rPr>
          <w:rFonts w:cstheme="minorHAnsi"/>
          <w:szCs w:val="22"/>
        </w:rPr>
        <w:t xml:space="preserve">an </w:t>
      </w:r>
      <w:r w:rsidR="005F2017">
        <w:rPr>
          <w:rFonts w:cstheme="minorHAnsi"/>
          <w:szCs w:val="22"/>
        </w:rPr>
        <w:t>electric deck oven require</w:t>
      </w:r>
      <w:r w:rsidR="003735C3">
        <w:rPr>
          <w:rFonts w:cstheme="minorHAnsi"/>
          <w:szCs w:val="22"/>
        </w:rPr>
        <w:t>s</w:t>
      </w:r>
      <w:r w:rsidR="005F2017">
        <w:rPr>
          <w:rFonts w:cstheme="minorHAnsi"/>
          <w:szCs w:val="22"/>
        </w:rPr>
        <w:t xml:space="preserve"> high current</w:t>
      </w:r>
      <w:r w:rsidR="009E3E6A">
        <w:rPr>
          <w:rFonts w:cstheme="minorHAnsi"/>
          <w:szCs w:val="22"/>
        </w:rPr>
        <w:t xml:space="preserve"> and customers </w:t>
      </w:r>
      <w:r w:rsidR="003735C3">
        <w:rPr>
          <w:rFonts w:cstheme="minorHAnsi"/>
          <w:szCs w:val="22"/>
        </w:rPr>
        <w:t>modify</w:t>
      </w:r>
      <w:r w:rsidR="005F2017">
        <w:rPr>
          <w:rFonts w:cstheme="minorHAnsi"/>
          <w:szCs w:val="22"/>
        </w:rPr>
        <w:t xml:space="preserve"> the</w:t>
      </w:r>
      <w:r w:rsidR="009E3E6A">
        <w:rPr>
          <w:rFonts w:cstheme="minorHAnsi"/>
          <w:szCs w:val="22"/>
        </w:rPr>
        <w:t>ir</w:t>
      </w:r>
      <w:r w:rsidR="005F2017">
        <w:rPr>
          <w:rFonts w:cstheme="minorHAnsi"/>
          <w:szCs w:val="22"/>
        </w:rPr>
        <w:t xml:space="preserve"> existing electrical system to accommodate the added load</w:t>
      </w:r>
      <w:r w:rsidR="009E3E6A">
        <w:rPr>
          <w:rFonts w:cstheme="minorHAnsi"/>
          <w:szCs w:val="22"/>
        </w:rPr>
        <w:t xml:space="preserve">. </w:t>
      </w:r>
      <w:r w:rsidR="0033304F">
        <w:rPr>
          <w:rFonts w:cstheme="minorHAnsi"/>
          <w:szCs w:val="22"/>
        </w:rPr>
        <w:t>The customer would</w:t>
      </w:r>
      <w:r w:rsidR="003735C3">
        <w:rPr>
          <w:rFonts w:cstheme="minorHAnsi"/>
          <w:szCs w:val="22"/>
        </w:rPr>
        <w:t xml:space="preserve"> therefore</w:t>
      </w:r>
      <w:r w:rsidR="0033304F">
        <w:rPr>
          <w:rFonts w:cstheme="minorHAnsi"/>
          <w:szCs w:val="22"/>
        </w:rPr>
        <w:t xml:space="preserve"> incur additional installation costs if their existing electrical system could not handle the high amperage of the electric deck ovens, creating a</w:t>
      </w:r>
      <w:r w:rsidR="003735C3">
        <w:rPr>
          <w:rFonts w:cstheme="minorHAnsi"/>
          <w:szCs w:val="22"/>
        </w:rPr>
        <w:t>n additional</w:t>
      </w:r>
      <w:r w:rsidR="0033304F">
        <w:rPr>
          <w:rFonts w:cstheme="minorHAnsi"/>
          <w:szCs w:val="22"/>
        </w:rPr>
        <w:t xml:space="preserve"> barrier for adoption.</w:t>
      </w:r>
    </w:p>
    <w:p w14:paraId="02098094" w14:textId="2A35C9DB" w:rsidR="005F2017" w:rsidRDefault="0033304F" w:rsidP="005F2017">
      <w:pPr>
        <w:rPr>
          <w:rFonts w:cstheme="minorHAnsi"/>
          <w:szCs w:val="22"/>
        </w:rPr>
      </w:pPr>
      <w:r>
        <w:rPr>
          <w:rFonts w:cstheme="minorHAnsi"/>
          <w:szCs w:val="22"/>
        </w:rPr>
        <w:t>Due to the prevalence of gas deck ovens in the market, the market barriers associated with electric deck oven installation,</w:t>
      </w:r>
      <w:r w:rsidR="005F2017">
        <w:rPr>
          <w:rFonts w:cstheme="minorHAnsi"/>
          <w:szCs w:val="22"/>
        </w:rPr>
        <w:t xml:space="preserve"> </w:t>
      </w:r>
      <w:r>
        <w:rPr>
          <w:rFonts w:cstheme="minorHAnsi"/>
          <w:szCs w:val="22"/>
        </w:rPr>
        <w:t xml:space="preserve">and the projected slow market trend of electric ovens, </w:t>
      </w:r>
      <w:r w:rsidR="005F2017">
        <w:rPr>
          <w:rFonts w:cstheme="minorHAnsi"/>
          <w:szCs w:val="22"/>
        </w:rPr>
        <w:t xml:space="preserve">it is determined that efficient </w:t>
      </w:r>
      <w:r w:rsidR="005F2017" w:rsidRPr="00481DF7">
        <w:rPr>
          <w:rFonts w:cstheme="minorHAnsi"/>
          <w:szCs w:val="22"/>
        </w:rPr>
        <w:t xml:space="preserve">electric deck ovens are </w:t>
      </w:r>
      <w:r w:rsidR="005F2017" w:rsidRPr="00222B06">
        <w:rPr>
          <w:rFonts w:cstheme="minorHAnsi"/>
          <w:i/>
          <w:szCs w:val="22"/>
        </w:rPr>
        <w:t>not</w:t>
      </w:r>
      <w:r w:rsidR="005F2017" w:rsidRPr="00481DF7">
        <w:rPr>
          <w:rFonts w:cstheme="minorHAnsi"/>
          <w:szCs w:val="22"/>
        </w:rPr>
        <w:t xml:space="preserve"> a</w:t>
      </w:r>
      <w:r w:rsidR="005F2017">
        <w:rPr>
          <w:rFonts w:cstheme="minorHAnsi"/>
          <w:szCs w:val="22"/>
        </w:rPr>
        <w:t>n</w:t>
      </w:r>
      <w:r w:rsidR="005F2017" w:rsidRPr="00481DF7">
        <w:rPr>
          <w:rFonts w:cstheme="minorHAnsi"/>
          <w:szCs w:val="22"/>
        </w:rPr>
        <w:t xml:space="preserve"> industry standard practice (ISP)</w:t>
      </w:r>
      <w:r w:rsidR="005F2017">
        <w:rPr>
          <w:rFonts w:cstheme="minorHAnsi"/>
          <w:szCs w:val="22"/>
        </w:rPr>
        <w:t xml:space="preserve"> and gas deck ovens are expected to continue to dominate the U</w:t>
      </w:r>
      <w:r w:rsidR="009E3E6A">
        <w:rPr>
          <w:rFonts w:cstheme="minorHAnsi"/>
          <w:szCs w:val="22"/>
        </w:rPr>
        <w:t>.</w:t>
      </w:r>
      <w:r w:rsidR="005F2017">
        <w:rPr>
          <w:rFonts w:cstheme="minorHAnsi"/>
          <w:szCs w:val="22"/>
        </w:rPr>
        <w:t>S</w:t>
      </w:r>
      <w:r w:rsidR="009E3E6A">
        <w:rPr>
          <w:rFonts w:cstheme="minorHAnsi"/>
          <w:szCs w:val="22"/>
        </w:rPr>
        <w:t>.</w:t>
      </w:r>
      <w:r w:rsidR="005F2017">
        <w:rPr>
          <w:rFonts w:cstheme="minorHAnsi"/>
          <w:szCs w:val="22"/>
        </w:rPr>
        <w:t xml:space="preserve"> market</w:t>
      </w:r>
      <w:r w:rsidR="005F2017" w:rsidRPr="00481DF7">
        <w:rPr>
          <w:rFonts w:cstheme="minorHAnsi"/>
          <w:szCs w:val="22"/>
        </w:rPr>
        <w:t>.</w:t>
      </w:r>
      <w:r w:rsidR="009E3E6A">
        <w:rPr>
          <w:rFonts w:cstheme="minorHAnsi"/>
          <w:szCs w:val="22"/>
        </w:rPr>
        <w:t xml:space="preserve"> </w:t>
      </w:r>
    </w:p>
    <w:bookmarkEnd w:id="15"/>
    <w:p w14:paraId="0880F51D" w14:textId="77777777" w:rsidR="005F2017" w:rsidRPr="00664EC8" w:rsidRDefault="005F2017" w:rsidP="00465611">
      <w:pPr>
        <w:rPr>
          <w:rFonts w:cstheme="minorHAnsi"/>
        </w:rPr>
      </w:pPr>
    </w:p>
    <w:p w14:paraId="72A5C50B" w14:textId="77777777" w:rsidR="007D230B" w:rsidRPr="00171BB8" w:rsidRDefault="007D230B" w:rsidP="007533DE">
      <w:pPr>
        <w:pStyle w:val="eTRMHeading3"/>
      </w:pPr>
      <w:bookmarkStart w:id="17" w:name="_Toc486490850"/>
      <w:bookmarkStart w:id="18" w:name="_Toc486580921"/>
      <w:bookmarkStart w:id="19" w:name="_Toc57800327"/>
      <w:r w:rsidRPr="004B06E3">
        <w:t>Code Requirements</w:t>
      </w:r>
      <w:bookmarkEnd w:id="17"/>
      <w:bookmarkEnd w:id="18"/>
      <w:bookmarkEnd w:id="19"/>
    </w:p>
    <w:p w14:paraId="7922C535" w14:textId="544386B7" w:rsidR="00465611" w:rsidRPr="002E07CB" w:rsidRDefault="00465611" w:rsidP="00465611">
      <w:pPr>
        <w:keepNext/>
        <w:keepLines/>
        <w:rPr>
          <w:rFonts w:cs="Arial"/>
          <w:sz w:val="20"/>
          <w:szCs w:val="20"/>
        </w:rPr>
      </w:pPr>
      <w:r w:rsidRPr="002E07CB">
        <w:rPr>
          <w:rFonts w:cs="Arial"/>
          <w:sz w:val="20"/>
          <w:szCs w:val="20"/>
        </w:rPr>
        <w:t xml:space="preserve">This measure is not governed by either state or federal codes and standards. </w:t>
      </w:r>
    </w:p>
    <w:p w14:paraId="45F46C81" w14:textId="51E4E803" w:rsidR="00465611" w:rsidRDefault="00465611" w:rsidP="00222BA8">
      <w:pPr>
        <w:pStyle w:val="Caption"/>
      </w:pPr>
      <w:r>
        <w:t xml:space="preserve">Applicable State and Federal </w:t>
      </w:r>
      <w:r w:rsidRPr="00CD6698">
        <w:t>Code</w:t>
      </w:r>
      <w:r>
        <w:t>s and Standards</w:t>
      </w:r>
      <w:r w:rsidRPr="002C39E3">
        <w:t xml:space="preserve"> </w:t>
      </w:r>
    </w:p>
    <w:tbl>
      <w:tblPr>
        <w:tblW w:w="9247"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60"/>
        <w:gridCol w:w="2430"/>
        <w:gridCol w:w="1957"/>
      </w:tblGrid>
      <w:tr w:rsidR="007F40C4" w:rsidRPr="00154391" w14:paraId="0F120483" w14:textId="77777777" w:rsidTr="002022F3">
        <w:tc>
          <w:tcPr>
            <w:tcW w:w="4860" w:type="dxa"/>
            <w:shd w:val="clear" w:color="auto" w:fill="F2F2F2" w:themeFill="background1" w:themeFillShade="F2"/>
            <w:vAlign w:val="bottom"/>
          </w:tcPr>
          <w:p w14:paraId="4CF35A38" w14:textId="77777777" w:rsidR="00465611" w:rsidRPr="00154391" w:rsidRDefault="00465611" w:rsidP="00816C7E">
            <w:pPr>
              <w:keepNext/>
              <w:keepLines/>
              <w:spacing w:before="0" w:after="0"/>
              <w:rPr>
                <w:b/>
                <w:sz w:val="20"/>
                <w:szCs w:val="20"/>
              </w:rPr>
            </w:pPr>
            <w:r w:rsidRPr="0079498E">
              <w:rPr>
                <w:b/>
                <w:sz w:val="20"/>
              </w:rPr>
              <w:t>Code</w:t>
            </w:r>
          </w:p>
        </w:tc>
        <w:tc>
          <w:tcPr>
            <w:tcW w:w="2430" w:type="dxa"/>
            <w:shd w:val="clear" w:color="auto" w:fill="F2F2F2" w:themeFill="background1" w:themeFillShade="F2"/>
            <w:vAlign w:val="bottom"/>
          </w:tcPr>
          <w:p w14:paraId="2ED8E984" w14:textId="77777777" w:rsidR="00465611" w:rsidRPr="00154391" w:rsidRDefault="00465611" w:rsidP="00816C7E">
            <w:pPr>
              <w:keepNext/>
              <w:keepLines/>
              <w:spacing w:before="0" w:after="0"/>
              <w:jc w:val="center"/>
              <w:rPr>
                <w:b/>
                <w:sz w:val="20"/>
                <w:szCs w:val="20"/>
              </w:rPr>
            </w:pPr>
            <w:r w:rsidRPr="0079498E">
              <w:rPr>
                <w:b/>
                <w:sz w:val="20"/>
              </w:rPr>
              <w:t>Applicable Code Reference</w:t>
            </w:r>
          </w:p>
        </w:tc>
        <w:tc>
          <w:tcPr>
            <w:tcW w:w="1957" w:type="dxa"/>
            <w:shd w:val="clear" w:color="auto" w:fill="F2F2F2" w:themeFill="background1" w:themeFillShade="F2"/>
            <w:vAlign w:val="bottom"/>
          </w:tcPr>
          <w:p w14:paraId="52833841" w14:textId="77777777" w:rsidR="00465611" w:rsidRPr="00154391" w:rsidRDefault="00465611" w:rsidP="00816C7E">
            <w:pPr>
              <w:keepNext/>
              <w:keepLines/>
              <w:spacing w:before="0" w:after="0"/>
              <w:jc w:val="center"/>
              <w:rPr>
                <w:b/>
                <w:sz w:val="20"/>
                <w:szCs w:val="20"/>
              </w:rPr>
            </w:pPr>
            <w:r w:rsidRPr="0079498E">
              <w:rPr>
                <w:b/>
                <w:sz w:val="20"/>
              </w:rPr>
              <w:t>Effective Date</w:t>
            </w:r>
          </w:p>
        </w:tc>
      </w:tr>
      <w:tr w:rsidR="007F40C4" w:rsidRPr="00FB030E" w14:paraId="745CDF16" w14:textId="77777777" w:rsidTr="002022F3">
        <w:trPr>
          <w:trHeight w:val="305"/>
        </w:trPr>
        <w:tc>
          <w:tcPr>
            <w:tcW w:w="4860" w:type="dxa"/>
            <w:shd w:val="clear" w:color="auto" w:fill="auto"/>
            <w:vAlign w:val="center"/>
          </w:tcPr>
          <w:p w14:paraId="4143C279" w14:textId="64BC740C" w:rsidR="00465611" w:rsidRPr="00465611" w:rsidRDefault="00465611" w:rsidP="00816C7E">
            <w:pPr>
              <w:keepNext/>
              <w:keepLines/>
              <w:spacing w:before="0" w:after="0"/>
              <w:rPr>
                <w:sz w:val="20"/>
                <w:szCs w:val="20"/>
              </w:rPr>
            </w:pPr>
            <w:r w:rsidRPr="00465611">
              <w:rPr>
                <w:sz w:val="20"/>
              </w:rPr>
              <w:t xml:space="preserve">CA Appliance Efficiency Regulations – Title 20 </w:t>
            </w:r>
            <w:r w:rsidR="005F2017">
              <w:rPr>
                <w:sz w:val="20"/>
              </w:rPr>
              <w:t>(201</w:t>
            </w:r>
            <w:r w:rsidR="008C37E4">
              <w:rPr>
                <w:sz w:val="20"/>
              </w:rPr>
              <w:t>9</w:t>
            </w:r>
            <w:r w:rsidR="005F2017">
              <w:rPr>
                <w:sz w:val="20"/>
              </w:rPr>
              <w:t>)</w:t>
            </w:r>
          </w:p>
        </w:tc>
        <w:tc>
          <w:tcPr>
            <w:tcW w:w="2430" w:type="dxa"/>
            <w:shd w:val="clear" w:color="auto" w:fill="auto"/>
            <w:vAlign w:val="center"/>
          </w:tcPr>
          <w:p w14:paraId="5F886E3A" w14:textId="77777777" w:rsidR="00465611" w:rsidRPr="00FB030E" w:rsidRDefault="00465611" w:rsidP="00816C7E">
            <w:pPr>
              <w:keepNext/>
              <w:keepLines/>
              <w:spacing w:before="0" w:after="0"/>
              <w:jc w:val="center"/>
              <w:rPr>
                <w:sz w:val="20"/>
                <w:szCs w:val="20"/>
              </w:rPr>
            </w:pPr>
            <w:r>
              <w:rPr>
                <w:sz w:val="20"/>
              </w:rPr>
              <w:t>None.</w:t>
            </w:r>
          </w:p>
        </w:tc>
        <w:tc>
          <w:tcPr>
            <w:tcW w:w="1957" w:type="dxa"/>
            <w:shd w:val="clear" w:color="auto" w:fill="auto"/>
            <w:vAlign w:val="center"/>
          </w:tcPr>
          <w:p w14:paraId="0FF991D9" w14:textId="2CBCD9DD" w:rsidR="00B40BFC" w:rsidRPr="00737CFF" w:rsidRDefault="00B40BFC">
            <w:pPr>
              <w:keepNext/>
              <w:keepLines/>
              <w:spacing w:before="0" w:after="0"/>
              <w:jc w:val="center"/>
              <w:rPr>
                <w:sz w:val="20"/>
              </w:rPr>
            </w:pPr>
            <w:r>
              <w:rPr>
                <w:sz w:val="20"/>
              </w:rPr>
              <w:t>January 1, 2019</w:t>
            </w:r>
          </w:p>
        </w:tc>
      </w:tr>
      <w:tr w:rsidR="00B40BFC" w:rsidRPr="00FB030E" w14:paraId="01EEE376" w14:textId="77777777" w:rsidTr="002022F3">
        <w:tc>
          <w:tcPr>
            <w:tcW w:w="4860" w:type="dxa"/>
            <w:shd w:val="clear" w:color="auto" w:fill="auto"/>
            <w:vAlign w:val="center"/>
          </w:tcPr>
          <w:p w14:paraId="29E7441B" w14:textId="63FEB42C" w:rsidR="00B40BFC" w:rsidRPr="00465611" w:rsidRDefault="00B40BFC" w:rsidP="00B40BFC">
            <w:pPr>
              <w:keepNext/>
              <w:keepLines/>
              <w:spacing w:before="0" w:after="0"/>
              <w:rPr>
                <w:sz w:val="20"/>
                <w:szCs w:val="20"/>
              </w:rPr>
            </w:pPr>
            <w:r w:rsidRPr="00465611">
              <w:rPr>
                <w:sz w:val="20"/>
              </w:rPr>
              <w:t xml:space="preserve">CA Building Energy Efficiency Standards – Title 24 </w:t>
            </w:r>
            <w:r>
              <w:rPr>
                <w:sz w:val="20"/>
              </w:rPr>
              <w:t>(2019)</w:t>
            </w:r>
          </w:p>
        </w:tc>
        <w:tc>
          <w:tcPr>
            <w:tcW w:w="2430" w:type="dxa"/>
            <w:shd w:val="clear" w:color="auto" w:fill="auto"/>
            <w:vAlign w:val="center"/>
          </w:tcPr>
          <w:p w14:paraId="282C960E" w14:textId="77777777" w:rsidR="00B40BFC" w:rsidRPr="00FB030E" w:rsidRDefault="00B40BFC" w:rsidP="00B40BFC">
            <w:pPr>
              <w:keepNext/>
              <w:keepLines/>
              <w:spacing w:before="0" w:after="0"/>
              <w:jc w:val="center"/>
              <w:rPr>
                <w:sz w:val="20"/>
                <w:szCs w:val="20"/>
              </w:rPr>
            </w:pPr>
            <w:r>
              <w:rPr>
                <w:sz w:val="20"/>
              </w:rPr>
              <w:t>None.</w:t>
            </w:r>
          </w:p>
        </w:tc>
        <w:tc>
          <w:tcPr>
            <w:tcW w:w="1957" w:type="dxa"/>
            <w:shd w:val="clear" w:color="auto" w:fill="auto"/>
            <w:vAlign w:val="center"/>
          </w:tcPr>
          <w:p w14:paraId="51854D2F" w14:textId="2F9C7D69" w:rsidR="00B40BFC" w:rsidRPr="00FB030E" w:rsidRDefault="00B40BFC" w:rsidP="00B40BFC">
            <w:pPr>
              <w:keepNext/>
              <w:keepLines/>
              <w:spacing w:before="0" w:after="0"/>
              <w:jc w:val="center"/>
              <w:rPr>
                <w:sz w:val="20"/>
                <w:szCs w:val="20"/>
              </w:rPr>
            </w:pPr>
            <w:r>
              <w:rPr>
                <w:sz w:val="20"/>
              </w:rPr>
              <w:t>January 1, 20</w:t>
            </w:r>
            <w:r w:rsidR="00737CFF">
              <w:rPr>
                <w:sz w:val="20"/>
              </w:rPr>
              <w:t>20</w:t>
            </w:r>
          </w:p>
        </w:tc>
      </w:tr>
      <w:tr w:rsidR="00B40BFC" w:rsidRPr="00FB030E" w14:paraId="5FD15A57" w14:textId="77777777" w:rsidTr="002022F3">
        <w:tc>
          <w:tcPr>
            <w:tcW w:w="4860" w:type="dxa"/>
            <w:shd w:val="clear" w:color="auto" w:fill="auto"/>
            <w:vAlign w:val="center"/>
          </w:tcPr>
          <w:p w14:paraId="4498E21C" w14:textId="77777777" w:rsidR="00B40BFC" w:rsidRDefault="00B40BFC" w:rsidP="00B40BFC">
            <w:pPr>
              <w:keepNext/>
              <w:keepLines/>
              <w:spacing w:before="0" w:after="0"/>
              <w:rPr>
                <w:sz w:val="20"/>
                <w:szCs w:val="20"/>
              </w:rPr>
            </w:pPr>
            <w:r w:rsidRPr="0079498E">
              <w:rPr>
                <w:sz w:val="20"/>
              </w:rPr>
              <w:t>Federal Standards</w:t>
            </w:r>
          </w:p>
        </w:tc>
        <w:tc>
          <w:tcPr>
            <w:tcW w:w="2430" w:type="dxa"/>
            <w:shd w:val="clear" w:color="auto" w:fill="auto"/>
            <w:vAlign w:val="center"/>
          </w:tcPr>
          <w:p w14:paraId="38272783" w14:textId="77777777" w:rsidR="00B40BFC" w:rsidRPr="00FB030E" w:rsidRDefault="00B40BFC" w:rsidP="00B40BFC">
            <w:pPr>
              <w:keepNext/>
              <w:keepLines/>
              <w:spacing w:before="0" w:after="0"/>
              <w:jc w:val="center"/>
              <w:rPr>
                <w:sz w:val="20"/>
                <w:szCs w:val="20"/>
              </w:rPr>
            </w:pPr>
            <w:r>
              <w:rPr>
                <w:sz w:val="20"/>
              </w:rPr>
              <w:t>None.</w:t>
            </w:r>
          </w:p>
        </w:tc>
        <w:tc>
          <w:tcPr>
            <w:tcW w:w="1957" w:type="dxa"/>
            <w:shd w:val="clear" w:color="auto" w:fill="auto"/>
            <w:vAlign w:val="center"/>
          </w:tcPr>
          <w:p w14:paraId="5123A72D" w14:textId="77777777" w:rsidR="00B40BFC" w:rsidRPr="00FB030E" w:rsidRDefault="00B40BFC" w:rsidP="00B40BFC">
            <w:pPr>
              <w:keepNext/>
              <w:keepLines/>
              <w:spacing w:before="0" w:after="0"/>
              <w:jc w:val="center"/>
              <w:rPr>
                <w:sz w:val="20"/>
                <w:szCs w:val="20"/>
              </w:rPr>
            </w:pPr>
            <w:r>
              <w:rPr>
                <w:sz w:val="20"/>
              </w:rPr>
              <w:t>n/a</w:t>
            </w:r>
          </w:p>
        </w:tc>
      </w:tr>
    </w:tbl>
    <w:p w14:paraId="7D839225" w14:textId="77777777" w:rsidR="00465611" w:rsidRDefault="00465611" w:rsidP="00465611"/>
    <w:p w14:paraId="3B8A8DC7" w14:textId="02B50677" w:rsidR="002832D8" w:rsidRPr="00465611" w:rsidRDefault="002832D8" w:rsidP="002832D8">
      <w:r w:rsidRPr="00465611">
        <w:lastRenderedPageBreak/>
        <w:t>Deck oven performance is determined by applying the American Society for Testing and Materials (ASTM) Standard Test Method for Performance of Deck Ovens F1965-99</w:t>
      </w:r>
      <w:r>
        <w:t>,</w:t>
      </w:r>
      <w:r w:rsidR="001504EF">
        <w:rPr>
          <w:rStyle w:val="FootnoteReference"/>
        </w:rPr>
        <w:footnoteReference w:id="4"/>
      </w:r>
      <w:r w:rsidRPr="00465611">
        <w:t xml:space="preserve"> the industry standard for quantifying the efficiency and performance of commercial deck ovens.</w:t>
      </w:r>
    </w:p>
    <w:p w14:paraId="4D6DDA58" w14:textId="77777777" w:rsidR="002832D8" w:rsidRPr="00465611" w:rsidRDefault="002832D8" w:rsidP="00465611"/>
    <w:p w14:paraId="0A5E2DA6" w14:textId="77777777" w:rsidR="007D230B" w:rsidRPr="00171BB8" w:rsidRDefault="007D230B" w:rsidP="007533DE">
      <w:pPr>
        <w:pStyle w:val="eTRMHeading3"/>
      </w:pPr>
      <w:bookmarkStart w:id="20" w:name="_Toc486490851"/>
      <w:bookmarkStart w:id="21" w:name="_Toc486580922"/>
      <w:bookmarkStart w:id="22" w:name="_Toc57800328"/>
      <w:r w:rsidRPr="00A83458">
        <w:t>Normalizing</w:t>
      </w:r>
      <w:r w:rsidRPr="00171BB8">
        <w:t xml:space="preserve"> Unit</w:t>
      </w:r>
      <w:bookmarkEnd w:id="20"/>
      <w:bookmarkEnd w:id="21"/>
      <w:bookmarkEnd w:id="22"/>
    </w:p>
    <w:p w14:paraId="4C6E2811" w14:textId="23BF09D7" w:rsidR="007D230B" w:rsidRDefault="009A3816" w:rsidP="00486585">
      <w:r>
        <w:t>Each (deck oven)</w:t>
      </w:r>
    </w:p>
    <w:p w14:paraId="72E931A1" w14:textId="77777777" w:rsidR="00FB65F9" w:rsidRPr="007D230B" w:rsidRDefault="00FB65F9" w:rsidP="00486585"/>
    <w:p w14:paraId="3903E852" w14:textId="77777777" w:rsidR="007D230B" w:rsidRPr="004B06E3" w:rsidRDefault="007D230B" w:rsidP="007533DE">
      <w:pPr>
        <w:pStyle w:val="eTRMHeading3"/>
      </w:pPr>
      <w:bookmarkStart w:id="23" w:name="_Toc486490852"/>
      <w:bookmarkStart w:id="24" w:name="_Toc486580923"/>
      <w:bookmarkStart w:id="25" w:name="_Toc57800329"/>
      <w:r w:rsidRPr="004B06E3">
        <w:t>Program Requirements</w:t>
      </w:r>
      <w:bookmarkEnd w:id="23"/>
      <w:bookmarkEnd w:id="24"/>
      <w:bookmarkEnd w:id="25"/>
      <w:r w:rsidRPr="004B06E3">
        <w:t xml:space="preserve"> </w:t>
      </w:r>
    </w:p>
    <w:p w14:paraId="6C7A48F0" w14:textId="77777777" w:rsidR="00F62A99" w:rsidRDefault="00F62A99" w:rsidP="00F62A99">
      <w:pPr>
        <w:pStyle w:val="eTRMHeading5"/>
        <w:keepNext/>
        <w:keepLines/>
      </w:pPr>
      <w:r>
        <w:t>Measure Implementation Eligibility</w:t>
      </w:r>
    </w:p>
    <w:p w14:paraId="2A4D1786" w14:textId="77777777" w:rsidR="00F62A99" w:rsidRDefault="00F62A99" w:rsidP="00F62A99">
      <w:bookmarkStart w:id="26" w:name="_Hlk527543844"/>
      <w:bookmarkStart w:id="27"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6"/>
    </w:p>
    <w:bookmarkEnd w:id="27"/>
    <w:p w14:paraId="6A8C3EBA" w14:textId="77777777" w:rsidR="00F62A99" w:rsidRPr="00CC4643" w:rsidRDefault="00F62A99" w:rsidP="00F62A99">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214F579D" w14:textId="77777777" w:rsidR="00F62A99" w:rsidRDefault="00F62A99" w:rsidP="00F62A99">
      <w:pPr>
        <w:pStyle w:val="Caption"/>
        <w:keepNext w:val="0"/>
        <w:keepLines w:val="0"/>
      </w:pPr>
      <w:r>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F62A99" w14:paraId="0B1A0EAF" w14:textId="77777777" w:rsidTr="00F62A99">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7BE0E70A" w14:textId="77777777" w:rsidR="00F62A99" w:rsidRPr="00830614" w:rsidRDefault="00F62A99" w:rsidP="00F62A99">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7E0C75FF" w14:textId="77777777" w:rsidR="00F62A99" w:rsidRPr="00830614" w:rsidRDefault="00F62A99" w:rsidP="00F62A99">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3F17B225" w14:textId="77777777" w:rsidR="00F62A99" w:rsidRPr="00830614" w:rsidRDefault="00F62A99" w:rsidP="00F62A99">
            <w:pPr>
              <w:spacing w:before="0" w:after="0" w:line="240" w:lineRule="exact"/>
              <w:rPr>
                <w:b/>
                <w:bCs/>
                <w:sz w:val="20"/>
                <w:szCs w:val="20"/>
              </w:rPr>
            </w:pPr>
            <w:r w:rsidRPr="00830614">
              <w:rPr>
                <w:b/>
                <w:bCs/>
                <w:sz w:val="20"/>
                <w:szCs w:val="20"/>
              </w:rPr>
              <w:t>Sector</w:t>
            </w:r>
          </w:p>
        </w:tc>
      </w:tr>
      <w:tr w:rsidR="000601E3" w14:paraId="115D119A" w14:textId="77777777" w:rsidTr="00F62A99">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D729E2E" w14:textId="77777777" w:rsidR="000601E3" w:rsidRPr="00830614" w:rsidRDefault="000601E3" w:rsidP="000601E3">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12B253A" w14:textId="0A19AAD7" w:rsidR="000601E3" w:rsidRPr="00737CFF" w:rsidRDefault="000601E3" w:rsidP="000601E3">
            <w:pPr>
              <w:spacing w:before="0" w:after="0" w:line="240" w:lineRule="exact"/>
              <w:rPr>
                <w:rFonts w:cs="Calibri Light"/>
                <w:color w:val="000000"/>
                <w:sz w:val="20"/>
                <w:szCs w:val="20"/>
              </w:rPr>
            </w:pPr>
            <w:proofErr w:type="spellStart"/>
            <w:r>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F3FE5BB" w14:textId="77777777" w:rsidR="000601E3" w:rsidRPr="00830614" w:rsidRDefault="000601E3" w:rsidP="000601E3">
            <w:pPr>
              <w:spacing w:before="0" w:after="0" w:line="240" w:lineRule="exact"/>
              <w:rPr>
                <w:color w:val="000000"/>
                <w:sz w:val="20"/>
                <w:szCs w:val="20"/>
              </w:rPr>
            </w:pPr>
            <w:r w:rsidRPr="00830614">
              <w:rPr>
                <w:rFonts w:cs="Calibri Light"/>
                <w:color w:val="000000"/>
                <w:sz w:val="20"/>
                <w:szCs w:val="20"/>
              </w:rPr>
              <w:t>Ag</w:t>
            </w:r>
          </w:p>
        </w:tc>
      </w:tr>
      <w:tr w:rsidR="000601E3" w14:paraId="13B7EB69" w14:textId="77777777" w:rsidTr="00911A9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A78EC2E" w14:textId="77777777" w:rsidR="000601E3" w:rsidRPr="00830614" w:rsidRDefault="000601E3" w:rsidP="000601E3">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C097322" w14:textId="15BBB0CE" w:rsidR="000601E3" w:rsidRPr="00830614" w:rsidRDefault="000601E3" w:rsidP="000601E3">
            <w:pPr>
              <w:spacing w:before="0" w:after="0" w:line="240" w:lineRule="exact"/>
              <w:rPr>
                <w:color w:val="000000"/>
                <w:sz w:val="20"/>
                <w:szCs w:val="20"/>
              </w:rPr>
            </w:pPr>
            <w:proofErr w:type="spellStart"/>
            <w:r w:rsidRPr="00AD66E8">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192B1B3" w14:textId="77777777" w:rsidR="000601E3" w:rsidRPr="00830614" w:rsidRDefault="000601E3" w:rsidP="000601E3">
            <w:pPr>
              <w:spacing w:before="0" w:after="0" w:line="240" w:lineRule="exact"/>
              <w:rPr>
                <w:color w:val="000000"/>
                <w:sz w:val="20"/>
                <w:szCs w:val="20"/>
              </w:rPr>
            </w:pPr>
            <w:r w:rsidRPr="00830614">
              <w:rPr>
                <w:rFonts w:cs="Calibri Light"/>
                <w:color w:val="000000"/>
                <w:sz w:val="20"/>
                <w:szCs w:val="20"/>
              </w:rPr>
              <w:t>Ind</w:t>
            </w:r>
          </w:p>
        </w:tc>
      </w:tr>
      <w:tr w:rsidR="000601E3" w14:paraId="3A8D40B9" w14:textId="77777777" w:rsidTr="00911A9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1CEC449" w14:textId="77777777" w:rsidR="000601E3" w:rsidRPr="00830614" w:rsidRDefault="000601E3" w:rsidP="000601E3">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44CCD48" w14:textId="5C7A993D" w:rsidR="000601E3" w:rsidRPr="00830614" w:rsidRDefault="000601E3" w:rsidP="000601E3">
            <w:pPr>
              <w:spacing w:before="0" w:after="0" w:line="240" w:lineRule="exact"/>
              <w:rPr>
                <w:color w:val="000000"/>
                <w:sz w:val="20"/>
                <w:szCs w:val="20"/>
              </w:rPr>
            </w:pPr>
            <w:proofErr w:type="spellStart"/>
            <w:r w:rsidRPr="00AD66E8">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16C15CD" w14:textId="77777777" w:rsidR="000601E3" w:rsidRPr="00830614" w:rsidRDefault="000601E3" w:rsidP="000601E3">
            <w:pPr>
              <w:spacing w:before="0" w:after="0" w:line="240" w:lineRule="exact"/>
              <w:rPr>
                <w:color w:val="000000"/>
                <w:sz w:val="20"/>
                <w:szCs w:val="20"/>
              </w:rPr>
            </w:pPr>
            <w:r w:rsidRPr="00830614">
              <w:rPr>
                <w:rFonts w:cs="Calibri Light"/>
                <w:color w:val="000000"/>
                <w:sz w:val="20"/>
                <w:szCs w:val="20"/>
              </w:rPr>
              <w:t>Com</w:t>
            </w:r>
          </w:p>
        </w:tc>
      </w:tr>
      <w:tr w:rsidR="000601E3" w14:paraId="73E6A39D" w14:textId="77777777" w:rsidTr="00F62A99">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022C5BA" w14:textId="77777777" w:rsidR="000601E3" w:rsidRPr="00830614" w:rsidRDefault="000601E3" w:rsidP="000601E3">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1083655" w14:textId="49085113" w:rsidR="000601E3" w:rsidRPr="00830614" w:rsidRDefault="000601E3" w:rsidP="000601E3">
            <w:pPr>
              <w:spacing w:before="0" w:after="0" w:line="240" w:lineRule="exact"/>
              <w:rPr>
                <w:rFonts w:cs="Calibri Light"/>
                <w:color w:val="000000"/>
                <w:sz w:val="20"/>
                <w:szCs w:val="20"/>
              </w:rPr>
            </w:pPr>
            <w:proofErr w:type="spellStart"/>
            <w:r>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319127B" w14:textId="77777777" w:rsidR="000601E3" w:rsidRPr="00830614" w:rsidRDefault="000601E3" w:rsidP="000601E3">
            <w:pPr>
              <w:spacing w:before="0" w:after="0" w:line="240" w:lineRule="exact"/>
              <w:rPr>
                <w:rFonts w:cs="Calibri Light"/>
                <w:color w:val="000000"/>
                <w:sz w:val="20"/>
                <w:szCs w:val="20"/>
              </w:rPr>
            </w:pPr>
            <w:r w:rsidRPr="00830614">
              <w:rPr>
                <w:rFonts w:cs="Calibri Light"/>
                <w:color w:val="000000"/>
                <w:sz w:val="20"/>
                <w:szCs w:val="20"/>
              </w:rPr>
              <w:t>Ag</w:t>
            </w:r>
          </w:p>
        </w:tc>
      </w:tr>
      <w:tr w:rsidR="000601E3" w14:paraId="39A5B94D" w14:textId="77777777" w:rsidTr="00911A9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21FC14F" w14:textId="77777777" w:rsidR="000601E3" w:rsidRPr="00830614" w:rsidRDefault="000601E3" w:rsidP="000601E3">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747ED9C" w14:textId="5F1B1241" w:rsidR="000601E3" w:rsidRPr="00830614" w:rsidRDefault="000601E3" w:rsidP="000601E3">
            <w:pPr>
              <w:spacing w:before="0" w:after="0" w:line="240" w:lineRule="exact"/>
              <w:rPr>
                <w:rFonts w:cs="Calibri Light"/>
                <w:color w:val="000000"/>
                <w:sz w:val="20"/>
                <w:szCs w:val="20"/>
              </w:rPr>
            </w:pPr>
            <w:proofErr w:type="spellStart"/>
            <w:r w:rsidRPr="00E72019">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D734188" w14:textId="77777777" w:rsidR="000601E3" w:rsidRPr="00830614" w:rsidRDefault="000601E3" w:rsidP="000601E3">
            <w:pPr>
              <w:spacing w:before="0" w:after="0" w:line="240" w:lineRule="exact"/>
              <w:rPr>
                <w:rFonts w:cs="Calibri Light"/>
                <w:color w:val="000000"/>
                <w:sz w:val="20"/>
                <w:szCs w:val="20"/>
              </w:rPr>
            </w:pPr>
            <w:r w:rsidRPr="00830614">
              <w:rPr>
                <w:rFonts w:cs="Calibri Light"/>
                <w:color w:val="000000"/>
                <w:sz w:val="20"/>
                <w:szCs w:val="20"/>
              </w:rPr>
              <w:t>Ind</w:t>
            </w:r>
          </w:p>
        </w:tc>
      </w:tr>
      <w:tr w:rsidR="000601E3" w14:paraId="489FBFBC" w14:textId="77777777" w:rsidTr="00911A9A">
        <w:trPr>
          <w:cantSplit/>
          <w:trHeight w:val="54"/>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5C28FF9" w14:textId="77777777" w:rsidR="000601E3" w:rsidRPr="00830614" w:rsidRDefault="000601E3" w:rsidP="000601E3">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341A047F" w14:textId="2C9824FA" w:rsidR="000601E3" w:rsidRPr="00830614" w:rsidRDefault="000601E3" w:rsidP="000601E3">
            <w:pPr>
              <w:spacing w:before="0" w:after="0" w:line="240" w:lineRule="exact"/>
              <w:rPr>
                <w:rFonts w:cs="Calibri Light"/>
                <w:color w:val="000000"/>
                <w:sz w:val="20"/>
                <w:szCs w:val="20"/>
              </w:rPr>
            </w:pPr>
            <w:proofErr w:type="spellStart"/>
            <w:r w:rsidRPr="00E72019">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2B4916" w14:textId="77777777" w:rsidR="000601E3" w:rsidRPr="00830614" w:rsidRDefault="000601E3" w:rsidP="000601E3">
            <w:pPr>
              <w:spacing w:before="0" w:after="0" w:line="240" w:lineRule="exact"/>
              <w:rPr>
                <w:rFonts w:cs="Calibri Light"/>
                <w:color w:val="000000"/>
                <w:sz w:val="20"/>
                <w:szCs w:val="20"/>
              </w:rPr>
            </w:pPr>
            <w:r w:rsidRPr="00830614">
              <w:rPr>
                <w:rFonts w:cs="Calibri Light"/>
                <w:color w:val="000000"/>
                <w:sz w:val="20"/>
                <w:szCs w:val="20"/>
              </w:rPr>
              <w:t>Com</w:t>
            </w:r>
          </w:p>
        </w:tc>
      </w:tr>
      <w:tr w:rsidR="000601E3" w14:paraId="5A6181A4" w14:textId="77777777" w:rsidTr="00911A9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57E27BF" w14:textId="77777777" w:rsidR="000601E3" w:rsidRPr="00830614" w:rsidRDefault="000601E3" w:rsidP="000601E3">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03C7C174" w14:textId="0AAD142E" w:rsidR="000601E3" w:rsidRPr="00830614" w:rsidRDefault="000601E3" w:rsidP="000601E3">
            <w:pPr>
              <w:spacing w:before="0" w:after="0" w:line="240" w:lineRule="exact"/>
              <w:rPr>
                <w:rFonts w:cs="Calibri Light"/>
                <w:color w:val="000000"/>
                <w:sz w:val="20"/>
                <w:szCs w:val="20"/>
              </w:rPr>
            </w:pPr>
            <w:proofErr w:type="spellStart"/>
            <w:r w:rsidRPr="000F532B">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1552462" w14:textId="77777777" w:rsidR="000601E3" w:rsidRPr="00830614" w:rsidRDefault="000601E3" w:rsidP="000601E3">
            <w:pPr>
              <w:spacing w:before="0" w:after="0" w:line="240" w:lineRule="exact"/>
              <w:rPr>
                <w:rFonts w:cs="Calibri Light"/>
                <w:color w:val="000000"/>
                <w:sz w:val="20"/>
                <w:szCs w:val="20"/>
              </w:rPr>
            </w:pPr>
            <w:r w:rsidRPr="00830614">
              <w:rPr>
                <w:rFonts w:cs="Calibri Light"/>
                <w:color w:val="000000"/>
                <w:sz w:val="20"/>
                <w:szCs w:val="20"/>
              </w:rPr>
              <w:t>Ag</w:t>
            </w:r>
          </w:p>
        </w:tc>
      </w:tr>
      <w:tr w:rsidR="000601E3" w14:paraId="13E6310F" w14:textId="77777777" w:rsidTr="00911A9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9B759B3" w14:textId="77777777" w:rsidR="000601E3" w:rsidRPr="00830614" w:rsidRDefault="000601E3" w:rsidP="000601E3">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39F92229" w14:textId="2CEBF1C4" w:rsidR="000601E3" w:rsidRPr="00830614" w:rsidRDefault="000601E3" w:rsidP="000601E3">
            <w:pPr>
              <w:spacing w:before="0" w:after="0" w:line="240" w:lineRule="exact"/>
              <w:rPr>
                <w:rFonts w:cs="Calibri Light"/>
                <w:color w:val="000000"/>
                <w:sz w:val="20"/>
                <w:szCs w:val="20"/>
              </w:rPr>
            </w:pPr>
            <w:proofErr w:type="spellStart"/>
            <w:r w:rsidRPr="000F532B">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5A05B95" w14:textId="77777777" w:rsidR="000601E3" w:rsidRPr="00830614" w:rsidRDefault="000601E3" w:rsidP="000601E3">
            <w:pPr>
              <w:spacing w:before="0" w:after="0" w:line="240" w:lineRule="exact"/>
              <w:rPr>
                <w:rFonts w:cs="Calibri Light"/>
                <w:color w:val="000000"/>
                <w:sz w:val="20"/>
                <w:szCs w:val="20"/>
              </w:rPr>
            </w:pPr>
            <w:r w:rsidRPr="00830614">
              <w:rPr>
                <w:rFonts w:cs="Calibri Light"/>
                <w:color w:val="000000"/>
                <w:sz w:val="20"/>
                <w:szCs w:val="20"/>
              </w:rPr>
              <w:t>Ind</w:t>
            </w:r>
          </w:p>
        </w:tc>
      </w:tr>
      <w:tr w:rsidR="000601E3" w14:paraId="3EEE24F6" w14:textId="77777777" w:rsidTr="00911A9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0F4BC55" w14:textId="77777777" w:rsidR="000601E3" w:rsidRPr="00830614" w:rsidRDefault="000601E3" w:rsidP="000601E3">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7E9BEFA" w14:textId="72A6C9DC" w:rsidR="000601E3" w:rsidRPr="00830614" w:rsidRDefault="000601E3" w:rsidP="000601E3">
            <w:pPr>
              <w:spacing w:before="0" w:after="0" w:line="240" w:lineRule="exact"/>
              <w:rPr>
                <w:rFonts w:cs="Calibri Light"/>
                <w:color w:val="000000"/>
                <w:sz w:val="20"/>
                <w:szCs w:val="20"/>
              </w:rPr>
            </w:pPr>
            <w:proofErr w:type="spellStart"/>
            <w:r w:rsidRPr="000F532B">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D505C34" w14:textId="77777777" w:rsidR="000601E3" w:rsidRPr="00830614" w:rsidRDefault="000601E3" w:rsidP="000601E3">
            <w:pPr>
              <w:spacing w:before="0" w:after="0" w:line="240" w:lineRule="exact"/>
              <w:rPr>
                <w:rFonts w:cs="Calibri Light"/>
                <w:color w:val="000000"/>
                <w:sz w:val="20"/>
                <w:szCs w:val="20"/>
              </w:rPr>
            </w:pPr>
            <w:r w:rsidRPr="00830614">
              <w:rPr>
                <w:rFonts w:cs="Calibri Light"/>
                <w:color w:val="000000"/>
                <w:sz w:val="20"/>
                <w:szCs w:val="20"/>
              </w:rPr>
              <w:t>Com</w:t>
            </w:r>
          </w:p>
        </w:tc>
      </w:tr>
      <w:tr w:rsidR="00EF1C55" w14:paraId="3E6D61F9" w14:textId="77777777" w:rsidTr="00F62A99">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E7BF850" w14:textId="77777777" w:rsidR="00EF1C55" w:rsidRPr="00830614" w:rsidRDefault="00EF1C55" w:rsidP="00EF1C55">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4F1E371" w14:textId="635BBC63" w:rsidR="00EF1C55" w:rsidRPr="00830614" w:rsidRDefault="00EF1C55" w:rsidP="00EF1C55">
            <w:pPr>
              <w:spacing w:before="0" w:after="0" w:line="240" w:lineRule="exact"/>
              <w:rPr>
                <w:rFonts w:cs="Calibri Light"/>
                <w:color w:val="000000"/>
                <w:sz w:val="20"/>
                <w:szCs w:val="20"/>
              </w:rPr>
            </w:pPr>
            <w:proofErr w:type="spellStart"/>
            <w:r>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EAF1961" w14:textId="77777777" w:rsidR="00EF1C55" w:rsidRPr="00830614" w:rsidRDefault="00EF1C55" w:rsidP="00EF1C55">
            <w:pPr>
              <w:spacing w:before="0" w:after="0" w:line="240" w:lineRule="exact"/>
              <w:rPr>
                <w:rFonts w:cs="Calibri Light"/>
                <w:color w:val="000000"/>
                <w:sz w:val="20"/>
                <w:szCs w:val="20"/>
              </w:rPr>
            </w:pPr>
            <w:r w:rsidRPr="00830614">
              <w:rPr>
                <w:rFonts w:cs="Calibri Light"/>
                <w:color w:val="000000"/>
                <w:sz w:val="20"/>
                <w:szCs w:val="20"/>
              </w:rPr>
              <w:t>Ag</w:t>
            </w:r>
          </w:p>
        </w:tc>
      </w:tr>
      <w:tr w:rsidR="00EF1C55" w14:paraId="6C2B352B" w14:textId="77777777" w:rsidTr="00911A9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5546F18" w14:textId="77777777" w:rsidR="00EF1C55" w:rsidRPr="00830614" w:rsidRDefault="00EF1C55" w:rsidP="00EF1C55">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133692D6" w14:textId="5157059E" w:rsidR="00EF1C55" w:rsidRPr="00830614" w:rsidRDefault="00EF1C55" w:rsidP="00EF1C55">
            <w:pPr>
              <w:spacing w:before="0" w:after="0" w:line="240" w:lineRule="exact"/>
              <w:rPr>
                <w:rFonts w:cs="Calibri Light"/>
                <w:color w:val="000000"/>
                <w:sz w:val="20"/>
                <w:szCs w:val="20"/>
              </w:rPr>
            </w:pPr>
            <w:proofErr w:type="spellStart"/>
            <w:r w:rsidRPr="00E72019">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FABC82D" w14:textId="77777777" w:rsidR="00EF1C55" w:rsidRPr="00830614" w:rsidRDefault="00EF1C55" w:rsidP="00EF1C55">
            <w:pPr>
              <w:spacing w:before="0" w:after="0" w:line="240" w:lineRule="exact"/>
              <w:rPr>
                <w:rFonts w:cs="Calibri Light"/>
                <w:color w:val="000000"/>
                <w:sz w:val="20"/>
                <w:szCs w:val="20"/>
              </w:rPr>
            </w:pPr>
            <w:r w:rsidRPr="00830614">
              <w:rPr>
                <w:rFonts w:cs="Calibri Light"/>
                <w:color w:val="000000"/>
                <w:sz w:val="20"/>
                <w:szCs w:val="20"/>
              </w:rPr>
              <w:t>Ind</w:t>
            </w:r>
          </w:p>
        </w:tc>
      </w:tr>
      <w:tr w:rsidR="00EF1C55" w14:paraId="1461C489" w14:textId="77777777" w:rsidTr="00911A9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0A3B61F" w14:textId="77777777" w:rsidR="00EF1C55" w:rsidRPr="00830614" w:rsidRDefault="00EF1C55" w:rsidP="00EF1C55">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338E94B6" w14:textId="127F6E92" w:rsidR="00EF1C55" w:rsidRPr="00830614" w:rsidRDefault="00EF1C55" w:rsidP="00EF1C55">
            <w:pPr>
              <w:spacing w:before="0" w:after="0" w:line="240" w:lineRule="exact"/>
              <w:rPr>
                <w:rFonts w:cs="Calibri Light"/>
                <w:color w:val="000000"/>
                <w:sz w:val="20"/>
                <w:szCs w:val="20"/>
              </w:rPr>
            </w:pPr>
            <w:proofErr w:type="spellStart"/>
            <w:r w:rsidRPr="00E72019">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FEBCE99" w14:textId="77777777" w:rsidR="00EF1C55" w:rsidRPr="00830614" w:rsidRDefault="00EF1C55" w:rsidP="00EF1C55">
            <w:pPr>
              <w:spacing w:before="0" w:after="0" w:line="240" w:lineRule="exact"/>
              <w:rPr>
                <w:rFonts w:cs="Calibri Light"/>
                <w:color w:val="000000"/>
                <w:sz w:val="20"/>
                <w:szCs w:val="20"/>
              </w:rPr>
            </w:pPr>
            <w:r w:rsidRPr="00830614">
              <w:rPr>
                <w:rFonts w:cs="Calibri Light"/>
                <w:color w:val="000000"/>
                <w:sz w:val="20"/>
                <w:szCs w:val="20"/>
              </w:rPr>
              <w:t>Com</w:t>
            </w:r>
          </w:p>
        </w:tc>
      </w:tr>
    </w:tbl>
    <w:p w14:paraId="05BD867A" w14:textId="77777777" w:rsidR="00F62A99" w:rsidRDefault="00F62A99" w:rsidP="00F62A99"/>
    <w:p w14:paraId="67D83244" w14:textId="7661CC51" w:rsidR="00AA46AF" w:rsidRDefault="00196649" w:rsidP="00154391">
      <w:pPr>
        <w:pStyle w:val="eTRMHeading5"/>
      </w:pPr>
      <w:r>
        <w:t>Eligible Products</w:t>
      </w:r>
    </w:p>
    <w:p w14:paraId="7774445B" w14:textId="3D93F598" w:rsidR="00564E8F" w:rsidRPr="00664EC8" w:rsidRDefault="00C147B9" w:rsidP="00564E8F">
      <w:pPr>
        <w:rPr>
          <w:rFonts w:cstheme="minorHAnsi"/>
          <w:szCs w:val="22"/>
        </w:rPr>
      </w:pPr>
      <w:r w:rsidRPr="00095D17">
        <w:rPr>
          <w:rFonts w:cstheme="minorHAnsi"/>
          <w:szCs w:val="22"/>
        </w:rPr>
        <w:t>This measure includes new commercial electric deck ovens that meet the criteria</w:t>
      </w:r>
      <w:r w:rsidR="00082838">
        <w:rPr>
          <w:rFonts w:cstheme="minorHAnsi"/>
          <w:szCs w:val="22"/>
        </w:rPr>
        <w:t xml:space="preserve"> specified in </w:t>
      </w:r>
      <w:r w:rsidR="00C1547D">
        <w:rPr>
          <w:rFonts w:cstheme="minorHAnsi"/>
          <w:szCs w:val="22"/>
        </w:rPr>
        <w:t>the Measure Case Description.</w:t>
      </w:r>
      <w:r w:rsidR="00564E8F">
        <w:rPr>
          <w:rFonts w:cstheme="minorHAnsi"/>
          <w:szCs w:val="22"/>
        </w:rPr>
        <w:t xml:space="preserve">  E</w:t>
      </w:r>
      <w:r w:rsidR="00564E8F" w:rsidRPr="00664EC8">
        <w:rPr>
          <w:rFonts w:cstheme="minorHAnsi"/>
          <w:szCs w:val="22"/>
        </w:rPr>
        <w:t>ligible deck ovens must</w:t>
      </w:r>
      <w:r w:rsidR="00564E8F">
        <w:rPr>
          <w:rFonts w:cstheme="minorHAnsi"/>
          <w:szCs w:val="22"/>
        </w:rPr>
        <w:t xml:space="preserve"> meet the following requirements</w:t>
      </w:r>
      <w:r w:rsidR="00564E8F" w:rsidRPr="00664EC8">
        <w:rPr>
          <w:rFonts w:cstheme="minorHAnsi"/>
          <w:szCs w:val="22"/>
        </w:rPr>
        <w:t>:</w:t>
      </w:r>
    </w:p>
    <w:p w14:paraId="426F4222" w14:textId="4BDA378F" w:rsidR="00564E8F" w:rsidRPr="00664EC8" w:rsidRDefault="00564E8F" w:rsidP="00564E8F">
      <w:pPr>
        <w:pStyle w:val="eTRMBulletedText"/>
      </w:pPr>
      <w:r w:rsidRPr="00664EC8">
        <w:lastRenderedPageBreak/>
        <w:t>Have a heavy load cooking energy efficiency of 60% or greater based on the heavy-load pizza test in ASTM F1965</w:t>
      </w:r>
      <w:r>
        <w:t>-99</w:t>
      </w:r>
      <w:r w:rsidRPr="00664EC8">
        <w:t>(20</w:t>
      </w:r>
      <w:r>
        <w:t>10</w:t>
      </w:r>
      <w:r w:rsidRPr="00664EC8">
        <w:t>).</w:t>
      </w:r>
      <w:r>
        <w:rPr>
          <w:rStyle w:val="FootnoteReference"/>
        </w:rPr>
        <w:footnoteReference w:id="5"/>
      </w:r>
    </w:p>
    <w:p w14:paraId="4148DB8F" w14:textId="77777777" w:rsidR="00564E8F" w:rsidRPr="00664EC8" w:rsidRDefault="00564E8F" w:rsidP="00564E8F">
      <w:pPr>
        <w:pStyle w:val="eTRMBulletedText"/>
      </w:pPr>
      <w:r w:rsidRPr="00664EC8">
        <w:t>Have an idle energy rate of 1.3 kW or less.</w:t>
      </w:r>
    </w:p>
    <w:p w14:paraId="231BC22F" w14:textId="51752E79" w:rsidR="00564E8F" w:rsidRPr="00C63CCF" w:rsidRDefault="00564E8F" w:rsidP="00564E8F">
      <w:pPr>
        <w:pStyle w:val="eTRMBulletedText"/>
      </w:pPr>
      <w:r w:rsidRPr="00664EC8">
        <w:t xml:space="preserve">Be on the Food Service Technology Center </w:t>
      </w:r>
      <w:r>
        <w:t xml:space="preserve">(FSTC) </w:t>
      </w:r>
      <w:r w:rsidRPr="00664EC8">
        <w:t>pre-approved list</w:t>
      </w:r>
      <w:r>
        <w:t xml:space="preserve">, found at the website </w:t>
      </w:r>
      <w:hyperlink r:id="rId8" w:history="1">
        <w:r w:rsidRPr="00DD18BA">
          <w:rPr>
            <w:rStyle w:val="Hyperlink"/>
          </w:rPr>
          <w:t>https://caenergywise.com/rebates/</w:t>
        </w:r>
      </w:hyperlink>
      <w:r>
        <w:rPr>
          <w:rStyle w:val="Hyperlink"/>
        </w:rPr>
        <w:t>.</w:t>
      </w:r>
    </w:p>
    <w:p w14:paraId="7AF5589E" w14:textId="1FB03C5F" w:rsidR="00564E8F" w:rsidRPr="00920905" w:rsidRDefault="00564E8F" w:rsidP="00564E8F">
      <w:pPr>
        <w:pStyle w:val="eTRMBulletedText"/>
      </w:pPr>
      <w:r>
        <w:t xml:space="preserve">For normal replacement measures, the new electric deck oven must be replacing an existing standard efficiency electric deck oven. </w:t>
      </w:r>
    </w:p>
    <w:p w14:paraId="355DA248" w14:textId="77777777" w:rsidR="00C1547D" w:rsidRPr="00847B64" w:rsidRDefault="00C1547D" w:rsidP="00C1547D"/>
    <w:p w14:paraId="24F2188B" w14:textId="5C0333E6" w:rsidR="005C7654" w:rsidRDefault="005C7654" w:rsidP="005C7654">
      <w:pPr>
        <w:pStyle w:val="eTRMHeading5"/>
      </w:pPr>
      <w:r w:rsidRPr="00401C43">
        <w:t>Eligible Building Types</w:t>
      </w:r>
      <w:r w:rsidR="002726BC">
        <w:t xml:space="preserve"> and Vintages</w:t>
      </w:r>
    </w:p>
    <w:p w14:paraId="76A4601D" w14:textId="1492FB54" w:rsidR="002832D8" w:rsidRDefault="002832D8" w:rsidP="002832D8">
      <w:r w:rsidRPr="00847B64">
        <w:t>This measure is applicable to any</w:t>
      </w:r>
      <w:r w:rsidR="00C1547D">
        <w:t xml:space="preserve"> nonresidential</w:t>
      </w:r>
      <w:r w:rsidRPr="00847B64">
        <w:t xml:space="preserve"> </w:t>
      </w:r>
      <w:r w:rsidR="00FB65F9">
        <w:t xml:space="preserve">building type </w:t>
      </w:r>
      <w:r w:rsidR="00C1547D">
        <w:t>of</w:t>
      </w:r>
      <w:r w:rsidR="00FB65F9">
        <w:t xml:space="preserve"> any vintage.</w:t>
      </w:r>
    </w:p>
    <w:p w14:paraId="1B082DA7" w14:textId="77777777" w:rsidR="005C7654" w:rsidRPr="00D73FD4" w:rsidRDefault="005C7654" w:rsidP="005C7654"/>
    <w:p w14:paraId="23CC0F8D" w14:textId="77777777" w:rsidR="005C7654" w:rsidRPr="004B06E3" w:rsidRDefault="005C7654" w:rsidP="005C7654">
      <w:pPr>
        <w:pStyle w:val="eTRMHeading5"/>
      </w:pPr>
      <w:r>
        <w:t>Eligible Climate Zones</w:t>
      </w:r>
    </w:p>
    <w:p w14:paraId="667D4A52" w14:textId="02A50B48" w:rsidR="005C7654" w:rsidRDefault="005C7654" w:rsidP="005C7654">
      <w:r w:rsidRPr="00847B64">
        <w:t xml:space="preserve">This measure is applicable </w:t>
      </w:r>
      <w:r w:rsidR="00C1547D">
        <w:t>in</w:t>
      </w:r>
      <w:r w:rsidRPr="00847B64">
        <w:t xml:space="preserve"> any</w:t>
      </w:r>
      <w:r>
        <w:t xml:space="preserve"> </w:t>
      </w:r>
      <w:r w:rsidR="00906678">
        <w:t xml:space="preserve">California </w:t>
      </w:r>
      <w:r>
        <w:t>climate zone.</w:t>
      </w:r>
    </w:p>
    <w:p w14:paraId="6F990B2C" w14:textId="77777777" w:rsidR="006C41AD" w:rsidRPr="004B06E3" w:rsidRDefault="006C41AD" w:rsidP="004B06E3"/>
    <w:p w14:paraId="5D4E7997" w14:textId="77777777" w:rsidR="007D230B" w:rsidRPr="004B06E3" w:rsidRDefault="007D230B" w:rsidP="007533DE">
      <w:pPr>
        <w:pStyle w:val="eTRMHeading3"/>
      </w:pPr>
      <w:bookmarkStart w:id="28" w:name="_Toc486490853"/>
      <w:bookmarkStart w:id="29" w:name="_Toc486580924"/>
      <w:bookmarkStart w:id="30" w:name="_Toc57800330"/>
      <w:r w:rsidRPr="004B06E3">
        <w:t>Program Exclusions</w:t>
      </w:r>
      <w:bookmarkEnd w:id="28"/>
      <w:bookmarkEnd w:id="29"/>
      <w:bookmarkEnd w:id="30"/>
      <w:r w:rsidRPr="004B06E3">
        <w:t xml:space="preserve"> </w:t>
      </w:r>
    </w:p>
    <w:p w14:paraId="0A94C7EE" w14:textId="752979D1" w:rsidR="000F35BD" w:rsidRDefault="007D254C" w:rsidP="000F35BD">
      <w:r w:rsidRPr="00155DF9">
        <w:t>Used or rebuilt equipment is not eligible.</w:t>
      </w:r>
      <w:r>
        <w:t xml:space="preserve"> </w:t>
      </w:r>
    </w:p>
    <w:p w14:paraId="32FBF066" w14:textId="77777777" w:rsidR="007B6A74" w:rsidRPr="004B06E3" w:rsidRDefault="007B6A74" w:rsidP="004B06E3"/>
    <w:p w14:paraId="06424EED" w14:textId="77777777" w:rsidR="007D230B" w:rsidRPr="004B06E3" w:rsidRDefault="007D230B" w:rsidP="007533DE">
      <w:pPr>
        <w:pStyle w:val="eTRMHeading3"/>
      </w:pPr>
      <w:bookmarkStart w:id="31" w:name="_Toc486490854"/>
      <w:bookmarkStart w:id="32" w:name="_Toc486580925"/>
      <w:bookmarkStart w:id="33" w:name="_Toc57800331"/>
      <w:r w:rsidRPr="004B06E3">
        <w:t>Data Collection Requirements</w:t>
      </w:r>
      <w:bookmarkEnd w:id="31"/>
      <w:bookmarkEnd w:id="32"/>
      <w:bookmarkEnd w:id="33"/>
      <w:r w:rsidRPr="004B06E3">
        <w:t xml:space="preserve"> </w:t>
      </w:r>
    </w:p>
    <w:p w14:paraId="47F14351" w14:textId="7BA0D149" w:rsidR="007D254C" w:rsidRDefault="001E093D" w:rsidP="007D254C">
      <w:r>
        <w:t>Data collection requirements are to be determined.</w:t>
      </w:r>
    </w:p>
    <w:p w14:paraId="6389C5F8" w14:textId="77777777" w:rsidR="001E093D" w:rsidRPr="007D254C" w:rsidRDefault="001E093D" w:rsidP="007D254C"/>
    <w:p w14:paraId="53A78819" w14:textId="77777777" w:rsidR="007D230B" w:rsidRPr="004B06E3" w:rsidRDefault="007D230B" w:rsidP="007533DE">
      <w:pPr>
        <w:pStyle w:val="eTRMHeading3"/>
      </w:pPr>
      <w:bookmarkStart w:id="34" w:name="_Toc486490855"/>
      <w:bookmarkStart w:id="35" w:name="_Toc486580926"/>
      <w:bookmarkStart w:id="36" w:name="_Toc57800332"/>
      <w:r w:rsidRPr="004B06E3">
        <w:t>Use Category</w:t>
      </w:r>
      <w:bookmarkEnd w:id="34"/>
      <w:bookmarkEnd w:id="35"/>
      <w:bookmarkEnd w:id="36"/>
    </w:p>
    <w:p w14:paraId="4457D4B6" w14:textId="77777777" w:rsidR="00AE2CD7" w:rsidRDefault="00AE2CD7" w:rsidP="00AE2CD7">
      <w:r>
        <w:t>Food service (</w:t>
      </w:r>
      <w:proofErr w:type="spellStart"/>
      <w:r>
        <w:t>FoodServ</w:t>
      </w:r>
      <w:proofErr w:type="spellEnd"/>
      <w:r>
        <w:t>)</w:t>
      </w:r>
    </w:p>
    <w:p w14:paraId="556467A2" w14:textId="61A3F4DB" w:rsidR="00115892" w:rsidRPr="004B06E3" w:rsidRDefault="00115892" w:rsidP="004B06E3"/>
    <w:p w14:paraId="33A862C6" w14:textId="77777777" w:rsidR="00C551E8" w:rsidRDefault="00C551E8" w:rsidP="007533DE">
      <w:pPr>
        <w:pStyle w:val="eTRMHeading3"/>
      </w:pPr>
      <w:bookmarkStart w:id="37" w:name="_Toc506890113"/>
      <w:bookmarkStart w:id="38" w:name="_Toc57800333"/>
      <w:bookmarkStart w:id="39" w:name="_Toc517178421"/>
      <w:r w:rsidRPr="004B06E3">
        <w:t>Electric Savings (</w:t>
      </w:r>
      <w:r w:rsidRPr="007D2355">
        <w:t>k</w:t>
      </w:r>
      <w:r w:rsidRPr="004B06E3">
        <w:t>W</w:t>
      </w:r>
      <w:r w:rsidRPr="00851FDC">
        <w:t>h</w:t>
      </w:r>
      <w:r w:rsidRPr="004B06E3">
        <w:t>)</w:t>
      </w:r>
      <w:bookmarkEnd w:id="37"/>
      <w:bookmarkEnd w:id="38"/>
    </w:p>
    <w:p w14:paraId="1B4BDB51" w14:textId="77777777" w:rsidR="001E093D" w:rsidRDefault="001E093D" w:rsidP="001E093D">
      <w:pPr>
        <w:keepNext/>
        <w:keepLines/>
      </w:pPr>
      <w:bookmarkStart w:id="40" w:name="_Hlk526859636"/>
      <w:bookmarkEnd w:id="39"/>
      <w:r>
        <w:t xml:space="preserve">The annual electric unit energy saving (UES) is calculated as the difference between the baseline and measure case unit energy consumption (UEC). </w:t>
      </w:r>
    </w:p>
    <w:p w14:paraId="482977F6" w14:textId="77777777" w:rsidR="001E093D" w:rsidRDefault="001E093D" w:rsidP="001E093D"/>
    <w:p w14:paraId="79EBE16B" w14:textId="77777777" w:rsidR="001E093D" w:rsidRDefault="001E093D" w:rsidP="006B53BA">
      <w:pPr>
        <w:pStyle w:val="eTRMHeading4"/>
        <w:keepNext w:val="0"/>
        <w:keepLines w:val="0"/>
      </w:pPr>
      <w:r>
        <w:t>Annual Electric Unit Energy Consumption</w:t>
      </w:r>
    </w:p>
    <w:p w14:paraId="6933C9E4" w14:textId="322EBD3C" w:rsidR="001E093D" w:rsidRDefault="001E093D" w:rsidP="006B53BA">
      <w:r>
        <w:t xml:space="preserve">The </w:t>
      </w:r>
      <w:r w:rsidRPr="007B2BCC">
        <w:t>daily electric UEC</w:t>
      </w:r>
      <w:r>
        <w:t xml:space="preserve"> (baseline or measure case) is equal to the sum of the energy required for cooking, preheat, and idle modes of oven operation</w:t>
      </w:r>
      <w:r w:rsidR="00D8453E">
        <w:t>.</w:t>
      </w:r>
      <w:r>
        <w:rPr>
          <w:rStyle w:val="FootnoteReference"/>
        </w:rPr>
        <w:footnoteReference w:id="6"/>
      </w:r>
      <w:r>
        <w:t xml:space="preserve"> These calculations and the inputs are provided below.</w:t>
      </w:r>
    </w:p>
    <w:p w14:paraId="02D53222" w14:textId="77777777" w:rsidR="001E093D" w:rsidRPr="003B77C5" w:rsidRDefault="001E093D" w:rsidP="006B53BA">
      <w:pPr>
        <w:tabs>
          <w:tab w:val="left" w:pos="720"/>
        </w:tabs>
        <w:ind w:left="720"/>
        <w:rPr>
          <w:i/>
          <w:sz w:val="18"/>
          <w:szCs w:val="18"/>
        </w:rPr>
      </w:pPr>
      <m:oMathPara>
        <m:oMathParaPr>
          <m:jc m:val="left"/>
        </m:oMathParaPr>
        <m:oMath>
          <m:r>
            <w:rPr>
              <w:rFonts w:ascii="Cambria Math" w:hAnsi="Cambria Math"/>
              <w:sz w:val="18"/>
              <w:szCs w:val="18"/>
            </w:rPr>
            <w:lastRenderedPageBreak/>
            <m:t>UEC_DAY=cooking energy+idle energy+preheat energy</m:t>
          </m:r>
        </m:oMath>
      </m:oMathPara>
    </w:p>
    <w:bookmarkEnd w:id="40"/>
    <w:p w14:paraId="3DDF3A3B" w14:textId="55D12176" w:rsidR="0057660A" w:rsidRDefault="0057660A" w:rsidP="006B53BA">
      <w:pPr>
        <w:ind w:left="720"/>
        <w:rPr>
          <w:rFonts w:ascii="Arial" w:hAnsi="Arial" w:cs="Arial"/>
          <w:i/>
          <w:sz w:val="18"/>
          <w:szCs w:val="18"/>
        </w:rPr>
      </w:pPr>
    </w:p>
    <w:p w14:paraId="65D0C1F7" w14:textId="77777777" w:rsidR="001E093D" w:rsidRPr="0058503B" w:rsidRDefault="001E093D" w:rsidP="001E093D">
      <w:bookmarkStart w:id="41" w:name="_Hlk526859751"/>
      <w:bookmarkStart w:id="42" w:name="_Hlk522370346"/>
      <w:bookmarkStart w:id="43" w:name="_Hlk526853991"/>
      <w:r w:rsidRPr="00833AE5">
        <w:rPr>
          <w:b/>
        </w:rPr>
        <w:t>Cooking energy</w:t>
      </w:r>
      <w:r>
        <w:t xml:space="preserve"> is a function of the pounds of food cooked per day, the energy absorbed per pound of food product during cooking, and the measured heavy load cooking energy efficiency. </w:t>
      </w:r>
      <w:bookmarkEnd w:id="41"/>
    </w:p>
    <w:bookmarkEnd w:id="42"/>
    <w:p w14:paraId="14ADFB8C" w14:textId="77777777" w:rsidR="001E093D" w:rsidRPr="00EA25BC" w:rsidRDefault="001E093D" w:rsidP="001E093D">
      <w:pPr>
        <w:ind w:left="720"/>
        <w:rPr>
          <w:rFonts w:ascii="Arial" w:hAnsi="Arial" w:cs="Arial"/>
          <w:i/>
          <w:sz w:val="18"/>
          <w:szCs w:val="18"/>
        </w:rPr>
      </w:pPr>
      <m:oMathPara>
        <m:oMathParaPr>
          <m:jc m:val="left"/>
        </m:oMathPara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LBFOOD×EFOOD</m:t>
                  </m:r>
                </m:num>
                <m:den>
                  <m:r>
                    <w:rPr>
                      <w:rFonts w:ascii="Cambria Math" w:hAnsi="Cambria Math" w:cs="Arial"/>
                      <w:sz w:val="18"/>
                      <w:szCs w:val="18"/>
                    </w:rPr>
                    <m:t>EFFICIENCY×Btu/kWh</m:t>
                  </m:r>
                </m:den>
              </m:f>
            </m:e>
          </m:d>
        </m:oMath>
      </m:oMathPara>
    </w:p>
    <w:p w14:paraId="7197E307" w14:textId="77777777" w:rsidR="001E093D" w:rsidRDefault="001E093D" w:rsidP="001E093D">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LBFOOD = </w:t>
      </w:r>
      <w:r>
        <w:rPr>
          <w:rFonts w:ascii="Cambria Math" w:hAnsi="Cambria Math" w:cs="Arial"/>
          <w:i/>
          <w:sz w:val="18"/>
          <w:szCs w:val="20"/>
        </w:rPr>
        <w:tab/>
      </w:r>
      <w:r w:rsidRPr="00E00DBE">
        <w:rPr>
          <w:rFonts w:ascii="Cambria Math" w:hAnsi="Cambria Math" w:cs="Calibri Light"/>
          <w:i/>
          <w:sz w:val="18"/>
          <w:szCs w:val="20"/>
        </w:rPr>
        <w:t xml:space="preserve">Estimated </w:t>
      </w:r>
      <w:r>
        <w:rPr>
          <w:rFonts w:ascii="Cambria Math" w:hAnsi="Cambria Math" w:cs="Calibri Light"/>
          <w:i/>
          <w:sz w:val="18"/>
          <w:szCs w:val="20"/>
        </w:rPr>
        <w:t>p</w:t>
      </w:r>
      <w:r w:rsidRPr="00E00DBE">
        <w:rPr>
          <w:rFonts w:ascii="Cambria Math" w:hAnsi="Cambria Math" w:cs="Calibri Light"/>
          <w:i/>
          <w:sz w:val="18"/>
          <w:szCs w:val="20"/>
        </w:rPr>
        <w:t xml:space="preserve">ounds of </w:t>
      </w:r>
      <w:r>
        <w:rPr>
          <w:rFonts w:ascii="Cambria Math" w:hAnsi="Cambria Math" w:cs="Calibri Light"/>
          <w:i/>
          <w:sz w:val="18"/>
          <w:szCs w:val="20"/>
        </w:rPr>
        <w:t>f</w:t>
      </w:r>
      <w:r w:rsidRPr="00E00DBE">
        <w:rPr>
          <w:rFonts w:ascii="Cambria Math" w:hAnsi="Cambria Math" w:cs="Calibri Light"/>
          <w:i/>
          <w:sz w:val="18"/>
          <w:szCs w:val="20"/>
        </w:rPr>
        <w:t xml:space="preserve">ood </w:t>
      </w:r>
      <w:r>
        <w:rPr>
          <w:rFonts w:ascii="Cambria Math" w:hAnsi="Cambria Math" w:cs="Calibri Light"/>
          <w:i/>
          <w:sz w:val="18"/>
          <w:szCs w:val="20"/>
        </w:rPr>
        <w:t>c</w:t>
      </w:r>
      <w:r w:rsidRPr="00E00DBE">
        <w:rPr>
          <w:rFonts w:ascii="Cambria Math" w:hAnsi="Cambria Math" w:cs="Calibri Light"/>
          <w:i/>
          <w:sz w:val="18"/>
          <w:szCs w:val="20"/>
        </w:rPr>
        <w:t xml:space="preserve">ooked per </w:t>
      </w:r>
      <w:r>
        <w:rPr>
          <w:rFonts w:ascii="Cambria Math" w:hAnsi="Cambria Math" w:cs="Calibri Light"/>
          <w:i/>
          <w:sz w:val="18"/>
          <w:szCs w:val="20"/>
        </w:rPr>
        <w:t>d</w:t>
      </w:r>
      <w:r w:rsidRPr="00E00DBE">
        <w:rPr>
          <w:rFonts w:ascii="Cambria Math" w:hAnsi="Cambria Math" w:cs="Calibri Light"/>
          <w:i/>
          <w:sz w:val="18"/>
          <w:szCs w:val="20"/>
        </w:rPr>
        <w:t>ay</w:t>
      </w:r>
      <w:r>
        <w:rPr>
          <w:rFonts w:ascii="Cambria Math" w:hAnsi="Cambria Math" w:cs="Calibri Light"/>
          <w:i/>
          <w:sz w:val="18"/>
          <w:szCs w:val="20"/>
        </w:rPr>
        <w:t xml:space="preserve"> (</w:t>
      </w:r>
      <w:proofErr w:type="spellStart"/>
      <w:r>
        <w:rPr>
          <w:rFonts w:ascii="Cambria Math" w:hAnsi="Cambria Math" w:cs="Calibri Light"/>
          <w:i/>
          <w:sz w:val="18"/>
          <w:szCs w:val="20"/>
        </w:rPr>
        <w:t>lb</w:t>
      </w:r>
      <w:proofErr w:type="spellEnd"/>
      <w:r>
        <w:rPr>
          <w:rFonts w:ascii="Cambria Math" w:hAnsi="Cambria Math" w:cs="Calibri Light"/>
          <w:i/>
          <w:sz w:val="18"/>
          <w:szCs w:val="20"/>
        </w:rPr>
        <w:t>)</w:t>
      </w:r>
    </w:p>
    <w:p w14:paraId="6AED7415" w14:textId="77777777" w:rsidR="001E093D" w:rsidRPr="00EA25BC" w:rsidRDefault="001E093D" w:rsidP="001E093D">
      <w:pPr>
        <w:tabs>
          <w:tab w:val="left" w:pos="1980"/>
          <w:tab w:val="left" w:pos="2880"/>
        </w:tabs>
        <w:spacing w:before="20" w:after="20"/>
        <w:ind w:left="2880" w:hanging="1440"/>
        <w:rPr>
          <w:rFonts w:ascii="Cambria Math" w:hAnsi="Cambria Math" w:cs="Arial"/>
          <w:i/>
          <w:sz w:val="18"/>
          <w:szCs w:val="20"/>
        </w:rPr>
      </w:pPr>
      <w:bookmarkStart w:id="44" w:name="_Hlk526860422"/>
      <w:r w:rsidRPr="00EA25BC">
        <w:rPr>
          <w:rFonts w:ascii="Cambria Math" w:hAnsi="Cambria Math" w:cs="Arial"/>
          <w:i/>
          <w:sz w:val="18"/>
          <w:szCs w:val="20"/>
        </w:rPr>
        <w:t>EFOOD =</w:t>
      </w:r>
      <w:r w:rsidRPr="00EA25BC">
        <w:rPr>
          <w:rFonts w:ascii="Cambria Math" w:hAnsi="Cambria Math" w:cs="Arial"/>
          <w:i/>
          <w:sz w:val="18"/>
          <w:szCs w:val="20"/>
        </w:rPr>
        <w:tab/>
        <w:t xml:space="preserve">ASTM </w:t>
      </w:r>
      <w:r>
        <w:rPr>
          <w:rFonts w:ascii="Cambria Math" w:hAnsi="Cambria Math" w:cs="Arial"/>
          <w:i/>
          <w:sz w:val="18"/>
          <w:szCs w:val="20"/>
        </w:rPr>
        <w:t>energy to food</w:t>
      </w:r>
      <w:r w:rsidRPr="00EA25BC">
        <w:rPr>
          <w:rFonts w:ascii="Cambria Math" w:hAnsi="Cambria Math" w:cs="Arial"/>
          <w:i/>
          <w:sz w:val="18"/>
          <w:szCs w:val="20"/>
        </w:rPr>
        <w:t xml:space="preserve"> </w:t>
      </w:r>
      <w:r>
        <w:rPr>
          <w:rFonts w:ascii="Cambria Math" w:hAnsi="Cambria Math" w:cs="Arial"/>
          <w:i/>
          <w:sz w:val="18"/>
          <w:szCs w:val="20"/>
        </w:rPr>
        <w:t>ratio, the</w:t>
      </w:r>
      <w:r w:rsidRPr="00EA25BC">
        <w:rPr>
          <w:rFonts w:ascii="Cambria Math" w:hAnsi="Cambria Math" w:cs="Arial"/>
          <w:i/>
          <w:sz w:val="18"/>
          <w:szCs w:val="20"/>
        </w:rPr>
        <w:t xml:space="preserve"> energy absorbed by food during cooking</w:t>
      </w:r>
      <w:r>
        <w:rPr>
          <w:rFonts w:ascii="Cambria Math" w:hAnsi="Cambria Math" w:cs="Arial"/>
          <w:i/>
          <w:sz w:val="18"/>
          <w:szCs w:val="20"/>
        </w:rPr>
        <w:t xml:space="preserve"> </w:t>
      </w:r>
      <w:r w:rsidRPr="00EA25BC">
        <w:rPr>
          <w:rFonts w:ascii="Cambria Math" w:hAnsi="Cambria Math" w:cs="Arial"/>
          <w:i/>
          <w:sz w:val="18"/>
          <w:szCs w:val="20"/>
        </w:rPr>
        <w:t>(</w:t>
      </w:r>
      <w:r>
        <w:rPr>
          <w:rFonts w:ascii="Cambria Math" w:hAnsi="Cambria Math" w:cs="Arial"/>
          <w:i/>
          <w:sz w:val="18"/>
          <w:szCs w:val="20"/>
        </w:rPr>
        <w:t>Btu</w:t>
      </w:r>
      <w:r w:rsidRPr="00EA25BC">
        <w:rPr>
          <w:rFonts w:ascii="Cambria Math" w:hAnsi="Cambria Math" w:cs="Arial"/>
          <w:i/>
          <w:sz w:val="18"/>
          <w:szCs w:val="20"/>
        </w:rPr>
        <w:t>/</w:t>
      </w:r>
      <w:proofErr w:type="spellStart"/>
      <w:r w:rsidRPr="00EA25BC">
        <w:rPr>
          <w:rFonts w:ascii="Cambria Math" w:hAnsi="Cambria Math" w:cs="Arial"/>
          <w:i/>
          <w:sz w:val="18"/>
          <w:szCs w:val="20"/>
        </w:rPr>
        <w:t>lb</w:t>
      </w:r>
      <w:proofErr w:type="spellEnd"/>
      <w:r w:rsidRPr="00EA25BC">
        <w:rPr>
          <w:rFonts w:ascii="Cambria Math" w:hAnsi="Cambria Math" w:cs="Arial"/>
          <w:i/>
          <w:sz w:val="18"/>
          <w:szCs w:val="20"/>
        </w:rPr>
        <w:t>)</w:t>
      </w:r>
    </w:p>
    <w:bookmarkEnd w:id="44"/>
    <w:p w14:paraId="328B433D" w14:textId="77777777" w:rsidR="001E093D" w:rsidRDefault="001E093D" w:rsidP="001E093D">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 xml:space="preserve">EFFICIENCY = </w:t>
      </w:r>
      <w:r w:rsidRPr="00EA25BC">
        <w:rPr>
          <w:rFonts w:ascii="Cambria Math" w:hAnsi="Cambria Math" w:cs="Arial"/>
          <w:i/>
          <w:sz w:val="18"/>
          <w:szCs w:val="20"/>
        </w:rPr>
        <w:tab/>
        <w:t xml:space="preserve">Measured </w:t>
      </w:r>
      <w:r>
        <w:rPr>
          <w:rFonts w:ascii="Cambria Math" w:hAnsi="Cambria Math" w:cs="Arial"/>
          <w:i/>
          <w:sz w:val="18"/>
          <w:szCs w:val="20"/>
        </w:rPr>
        <w:t>heavy load cooking efficiency</w:t>
      </w:r>
      <w:r w:rsidRPr="00EA25BC">
        <w:rPr>
          <w:rFonts w:ascii="Cambria Math" w:hAnsi="Cambria Math" w:cs="Arial"/>
          <w:i/>
          <w:sz w:val="18"/>
          <w:szCs w:val="20"/>
        </w:rPr>
        <w:t xml:space="preserve"> </w:t>
      </w:r>
      <w:r>
        <w:rPr>
          <w:rFonts w:ascii="Cambria Math" w:hAnsi="Cambria Math" w:cs="Arial"/>
          <w:i/>
          <w:sz w:val="18"/>
          <w:szCs w:val="20"/>
        </w:rPr>
        <w:t>(</w:t>
      </w:r>
      <w:r w:rsidRPr="00EA25BC">
        <w:rPr>
          <w:rFonts w:ascii="Cambria Math" w:hAnsi="Cambria Math" w:cs="Arial"/>
          <w:i/>
          <w:sz w:val="18"/>
          <w:szCs w:val="20"/>
        </w:rPr>
        <w:t>%</w:t>
      </w:r>
      <w:r>
        <w:rPr>
          <w:rFonts w:ascii="Cambria Math" w:hAnsi="Cambria Math" w:cs="Arial"/>
          <w:i/>
          <w:sz w:val="18"/>
          <w:szCs w:val="20"/>
        </w:rPr>
        <w:t>, decimal format)</w:t>
      </w:r>
    </w:p>
    <w:p w14:paraId="239F4D82" w14:textId="77777777" w:rsidR="001E093D" w:rsidRPr="00EA25BC" w:rsidRDefault="001E093D" w:rsidP="001E093D">
      <w:pPr>
        <w:tabs>
          <w:tab w:val="left" w:pos="1980"/>
          <w:tab w:val="left" w:pos="2880"/>
        </w:tabs>
        <w:spacing w:before="20" w:after="20"/>
        <w:ind w:left="2880" w:hanging="1440"/>
        <w:rPr>
          <w:rFonts w:ascii="Cambria Math" w:hAnsi="Cambria Math" w:cs="Arial"/>
          <w:i/>
          <w:sz w:val="18"/>
          <w:szCs w:val="20"/>
        </w:rPr>
      </w:pPr>
      <w:bookmarkStart w:id="45" w:name="_Hlk526860657"/>
      <w:r>
        <w:rPr>
          <w:rFonts w:ascii="Cambria Math" w:hAnsi="Cambria Math" w:cs="Arial"/>
          <w:i/>
          <w:sz w:val="18"/>
          <w:szCs w:val="20"/>
        </w:rPr>
        <w:t xml:space="preserve">Btu/kWh = </w:t>
      </w:r>
      <w:r>
        <w:rPr>
          <w:rFonts w:ascii="Cambria Math" w:hAnsi="Cambria Math" w:cs="Arial"/>
          <w:i/>
          <w:sz w:val="18"/>
          <w:szCs w:val="20"/>
        </w:rPr>
        <w:tab/>
        <w:t>Btu to kWh conversion factor</w:t>
      </w:r>
    </w:p>
    <w:bookmarkEnd w:id="43"/>
    <w:bookmarkEnd w:id="45"/>
    <w:p w14:paraId="409ED40E" w14:textId="4000A80F" w:rsidR="0057660A" w:rsidRDefault="0057660A" w:rsidP="0057660A">
      <w:pPr>
        <w:ind w:left="1440"/>
        <w:rPr>
          <w:rFonts w:cs="Arial"/>
          <w:sz w:val="16"/>
          <w:szCs w:val="16"/>
        </w:rPr>
      </w:pPr>
    </w:p>
    <w:p w14:paraId="43AD5058" w14:textId="77777777" w:rsidR="001E093D" w:rsidRPr="00EA25BC" w:rsidRDefault="001E093D" w:rsidP="001E093D">
      <w:pPr>
        <w:rPr>
          <w:rFonts w:ascii="Arial" w:hAnsi="Arial" w:cs="Arial"/>
          <w:i/>
          <w:sz w:val="20"/>
          <w:szCs w:val="20"/>
        </w:rPr>
      </w:pPr>
      <w:bookmarkStart w:id="46" w:name="_Hlk526524816"/>
      <w:bookmarkStart w:id="47" w:name="_Hlk526867636"/>
      <w:r w:rsidRPr="00833AE5">
        <w:rPr>
          <w:b/>
        </w:rPr>
        <w:t>Preheat energy</w:t>
      </w:r>
      <w:r>
        <w:t xml:space="preserve"> is calculated as the product of the assumed number of preheats per day and the energy required per preheat mode. </w:t>
      </w:r>
    </w:p>
    <w:bookmarkEnd w:id="46"/>
    <w:p w14:paraId="6AF02831" w14:textId="77777777" w:rsidR="001E093D" w:rsidRPr="00EA25BC" w:rsidRDefault="001E093D" w:rsidP="001E093D">
      <w:pPr>
        <w:ind w:left="720"/>
        <w:rPr>
          <w:rFonts w:ascii="Arial" w:hAnsi="Arial" w:cs="Arial"/>
          <w:i/>
          <w:sz w:val="18"/>
          <w:szCs w:val="18"/>
        </w:rPr>
      </w:pPr>
      <m:oMathPara>
        <m:oMathParaPr>
          <m:jc m:val="left"/>
        </m:oMathParaPr>
        <m:oMath>
          <m:r>
            <w:rPr>
              <w:rFonts w:ascii="Cambria Math" w:hAnsi="Cambria Math" w:cs="Arial"/>
              <w:sz w:val="18"/>
              <w:szCs w:val="18"/>
            </w:rPr>
            <m:t xml:space="preserve">preheat energy= </m:t>
          </m:r>
          <m:d>
            <m:dPr>
              <m:ctrlPr>
                <w:rPr>
                  <w:rFonts w:ascii="Cambria Math" w:hAnsi="Cambria Math" w:cs="Arial"/>
                  <w:i/>
                  <w:sz w:val="18"/>
                  <w:szCs w:val="18"/>
                </w:rPr>
              </m:ctrlPr>
            </m:dPr>
            <m:e>
              <m:r>
                <w:rPr>
                  <w:rFonts w:ascii="Cambria Math" w:hAnsi="Cambria Math" w:cs="Arial"/>
                  <w:sz w:val="18"/>
                  <w:szCs w:val="18"/>
                </w:rPr>
                <m:t>nP x EP</m:t>
              </m:r>
            </m:e>
          </m:d>
        </m:oMath>
      </m:oMathPara>
    </w:p>
    <w:p w14:paraId="1A42D30B" w14:textId="77777777" w:rsidR="001E093D" w:rsidRPr="00EA25BC" w:rsidRDefault="001E093D" w:rsidP="001E093D">
      <w:pPr>
        <w:tabs>
          <w:tab w:val="left" w:pos="2880"/>
        </w:tabs>
        <w:spacing w:before="20" w:after="20"/>
        <w:ind w:left="2880" w:hanging="1440"/>
        <w:rPr>
          <w:rFonts w:ascii="Cambria Math" w:hAnsi="Cambria Math" w:cs="Arial"/>
          <w:i/>
          <w:sz w:val="18"/>
          <w:szCs w:val="20"/>
        </w:rPr>
      </w:pPr>
      <w:bookmarkStart w:id="48" w:name="_Hlk526854026"/>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t xml:space="preserve">Estimated </w:t>
      </w:r>
      <w:r>
        <w:rPr>
          <w:rFonts w:ascii="Cambria Math" w:hAnsi="Cambria Math" w:cs="Arial"/>
          <w:i/>
          <w:sz w:val="18"/>
          <w:szCs w:val="20"/>
        </w:rPr>
        <w:t>number of preheats per day (#)</w:t>
      </w:r>
    </w:p>
    <w:p w14:paraId="10A70E90" w14:textId="77777777" w:rsidR="001E093D" w:rsidRPr="00EA25BC" w:rsidRDefault="001E093D" w:rsidP="001E093D">
      <w:pPr>
        <w:tabs>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EP =</w:t>
      </w:r>
      <w:r w:rsidRPr="00EA25BC">
        <w:rPr>
          <w:rFonts w:ascii="Cambria Math" w:hAnsi="Cambria Math" w:cs="Arial"/>
          <w:i/>
          <w:sz w:val="18"/>
          <w:szCs w:val="20"/>
        </w:rPr>
        <w:tab/>
        <w:t xml:space="preserve">Measured </w:t>
      </w:r>
      <w:r>
        <w:rPr>
          <w:rFonts w:ascii="Cambria Math" w:hAnsi="Cambria Math" w:cs="Arial"/>
          <w:i/>
          <w:sz w:val="18"/>
          <w:szCs w:val="20"/>
        </w:rPr>
        <w:t>preheat energy</w:t>
      </w:r>
      <w:r w:rsidRPr="00EA25BC">
        <w:rPr>
          <w:rFonts w:ascii="Cambria Math" w:hAnsi="Cambria Math" w:cs="Arial"/>
          <w:i/>
          <w:sz w:val="18"/>
          <w:szCs w:val="20"/>
        </w:rPr>
        <w:t xml:space="preserve"> (kWh)</w:t>
      </w:r>
    </w:p>
    <w:bookmarkEnd w:id="47"/>
    <w:bookmarkEnd w:id="48"/>
    <w:p w14:paraId="743C2D93" w14:textId="2BA37066" w:rsidR="001E093D" w:rsidRDefault="001E093D" w:rsidP="0057660A">
      <w:pPr>
        <w:ind w:left="1440"/>
        <w:rPr>
          <w:rFonts w:cs="Arial"/>
          <w:sz w:val="16"/>
          <w:szCs w:val="16"/>
        </w:rPr>
      </w:pPr>
    </w:p>
    <w:p w14:paraId="4A179B2E" w14:textId="77777777" w:rsidR="001E093D" w:rsidRPr="00EA25BC" w:rsidRDefault="001E093D" w:rsidP="001E093D">
      <w:pPr>
        <w:rPr>
          <w:rFonts w:ascii="Arial" w:hAnsi="Arial" w:cs="Arial"/>
          <w:i/>
          <w:sz w:val="18"/>
          <w:szCs w:val="18"/>
        </w:rPr>
      </w:pPr>
      <w:bookmarkStart w:id="49" w:name="_Hlk526859839"/>
      <w:bookmarkStart w:id="50" w:name="_Hlk526854061"/>
      <w:r w:rsidRPr="00833AE5">
        <w:rPr>
          <w:b/>
        </w:rPr>
        <w:t>Idle energy</w:t>
      </w:r>
      <w:r>
        <w:t xml:space="preserve"> is a function of the idle energy rate, operating hours per day, and production capacity; idle energy does not include preheat time.</w:t>
      </w:r>
    </w:p>
    <w:bookmarkEnd w:id="49"/>
    <w:p w14:paraId="06A9041D" w14:textId="77777777" w:rsidR="001E093D" w:rsidRPr="003B77C5" w:rsidRDefault="001E093D" w:rsidP="001E093D">
      <w:pPr>
        <w:ind w:left="720"/>
        <w:rPr>
          <w:rFonts w:ascii="Arial" w:hAnsi="Arial" w:cs="Arial"/>
          <w:i/>
          <w:sz w:val="18"/>
          <w:szCs w:val="18"/>
        </w:rPr>
      </w:pPr>
      <m:oMathPara>
        <m:oMathParaPr>
          <m:jc m:val="left"/>
        </m:oMathParaPr>
        <m:oMath>
          <m:r>
            <w:rPr>
              <w:rFonts w:ascii="Cambria Math" w:hAnsi="Cambria Math" w:cs="Arial"/>
              <w:sz w:val="18"/>
              <w:szCs w:val="18"/>
            </w:rPr>
            <m:t xml:space="preserve"> idle energy= </m:t>
          </m:r>
          <m:d>
            <m:dPr>
              <m:begChr m:val="["/>
              <m:endChr m:val="]"/>
              <m:ctrlPr>
                <w:rPr>
                  <w:rFonts w:ascii="Cambria Math" w:hAnsi="Cambria Math" w:cs="Arial"/>
                  <w:i/>
                  <w:sz w:val="18"/>
                  <w:szCs w:val="18"/>
                </w:rPr>
              </m:ctrlPr>
            </m:dPr>
            <m:e>
              <m:r>
                <w:rPr>
                  <w:rFonts w:ascii="Cambria Math" w:hAnsi="Cambria Math" w:cs="Arial"/>
                  <w:sz w:val="18"/>
                  <w:szCs w:val="18"/>
                </w:rPr>
                <m:t>IDLERATE×</m:t>
              </m:r>
              <m:d>
                <m:dPr>
                  <m:ctrlPr>
                    <w:rPr>
                      <w:rFonts w:ascii="Cambria Math" w:hAnsi="Cambria Math" w:cs="Arial"/>
                      <w:i/>
                      <w:sz w:val="18"/>
                      <w:szCs w:val="18"/>
                    </w:rPr>
                  </m:ctrlPr>
                </m:dPr>
                <m:e>
                  <m:r>
                    <w:rPr>
                      <w:rFonts w:ascii="Cambria Math" w:hAnsi="Cambria Math" w:cs="Arial"/>
                      <w:sz w:val="18"/>
                      <w:szCs w:val="18"/>
                    </w:rPr>
                    <m:t>EHOUR-</m:t>
                  </m:r>
                  <m:f>
                    <m:fPr>
                      <m:ctrlPr>
                        <w:rPr>
                          <w:rFonts w:ascii="Cambria Math" w:hAnsi="Cambria Math" w:cs="Arial"/>
                          <w:i/>
                          <w:sz w:val="18"/>
                          <w:szCs w:val="18"/>
                        </w:rPr>
                      </m:ctrlPr>
                    </m:fPr>
                    <m:num>
                      <m:r>
                        <w:rPr>
                          <w:rFonts w:ascii="Cambria Math" w:hAnsi="Cambria Math" w:cs="Arial"/>
                          <w:sz w:val="18"/>
                          <w:szCs w:val="18"/>
                        </w:rPr>
                        <m:t>LBFOOD</m:t>
                      </m:r>
                    </m:num>
                    <m:den>
                      <m:r>
                        <w:rPr>
                          <w:rFonts w:ascii="Cambria Math" w:hAnsi="Cambria Math" w:cs="Arial"/>
                          <w:sz w:val="18"/>
                          <w:szCs w:val="18"/>
                        </w:rPr>
                        <m:t>PC</m:t>
                      </m:r>
                    </m:den>
                  </m:f>
                  <m:r>
                    <w:rPr>
                      <w:rFonts w:ascii="Cambria Math" w:hAnsi="Cambria Math" w:cs="Arial"/>
                      <w:sz w:val="18"/>
                      <w:szCs w:val="18"/>
                    </w:rPr>
                    <m:t>-(nP × TP/MinHr)</m:t>
                  </m:r>
                </m:e>
              </m:d>
            </m:e>
          </m:d>
        </m:oMath>
      </m:oMathPara>
    </w:p>
    <w:p w14:paraId="1D0F7C31" w14:textId="77777777" w:rsidR="001E093D" w:rsidRPr="00EA25BC" w:rsidRDefault="001E093D" w:rsidP="001E093D">
      <w:pPr>
        <w:tabs>
          <w:tab w:val="left" w:pos="1980"/>
          <w:tab w:val="left" w:pos="2880"/>
        </w:tabs>
        <w:spacing w:before="20" w:after="20"/>
        <w:ind w:left="2880" w:hanging="1440"/>
        <w:rPr>
          <w:rFonts w:ascii="Cambria Math" w:hAnsi="Cambria Math" w:cs="Arial"/>
          <w:i/>
          <w:sz w:val="18"/>
          <w:szCs w:val="20"/>
        </w:rPr>
      </w:pPr>
      <w:bookmarkStart w:id="51" w:name="_Hlk526860983"/>
      <w:r w:rsidRPr="00EA25BC">
        <w:rPr>
          <w:rFonts w:ascii="Cambria Math" w:hAnsi="Cambria Math" w:cs="Arial"/>
          <w:i/>
          <w:sz w:val="18"/>
          <w:szCs w:val="20"/>
        </w:rPr>
        <w:t>IDLE RATE =</w:t>
      </w:r>
      <w:r w:rsidRPr="00EA25BC">
        <w:rPr>
          <w:rFonts w:ascii="Cambria Math" w:hAnsi="Cambria Math" w:cs="Arial"/>
          <w:i/>
          <w:sz w:val="18"/>
          <w:szCs w:val="20"/>
        </w:rPr>
        <w:tab/>
        <w:t xml:space="preserve">Measured </w:t>
      </w:r>
      <w:r>
        <w:rPr>
          <w:rFonts w:ascii="Cambria Math" w:hAnsi="Cambria Math" w:cs="Arial"/>
          <w:i/>
          <w:sz w:val="18"/>
          <w:szCs w:val="20"/>
        </w:rPr>
        <w:t>idle energy rate</w:t>
      </w:r>
      <w:r w:rsidRPr="00EA25BC">
        <w:rPr>
          <w:rFonts w:ascii="Cambria Math" w:hAnsi="Cambria Math" w:cs="Arial"/>
          <w:i/>
          <w:sz w:val="18"/>
          <w:szCs w:val="20"/>
        </w:rPr>
        <w:t xml:space="preserve"> (kW)</w:t>
      </w:r>
    </w:p>
    <w:p w14:paraId="761C2B5B" w14:textId="77777777" w:rsidR="001E093D" w:rsidRDefault="001E093D" w:rsidP="001E093D">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Pr>
          <w:rFonts w:ascii="Cambria Math" w:hAnsi="Cambria Math" w:cs="Arial"/>
          <w:i/>
          <w:sz w:val="18"/>
          <w:szCs w:val="20"/>
        </w:rPr>
        <w:t>R</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w:t>
      </w:r>
      <w:proofErr w:type="spellStart"/>
      <w:r>
        <w:rPr>
          <w:rFonts w:ascii="Cambria Math" w:hAnsi="Cambria Math" w:cs="Arial"/>
          <w:i/>
          <w:sz w:val="18"/>
          <w:szCs w:val="20"/>
        </w:rPr>
        <w:t>hrs</w:t>
      </w:r>
      <w:proofErr w:type="spellEnd"/>
      <w:r>
        <w:rPr>
          <w:rFonts w:ascii="Cambria Math" w:hAnsi="Cambria Math" w:cs="Arial"/>
          <w:i/>
          <w:sz w:val="18"/>
          <w:szCs w:val="20"/>
        </w:rPr>
        <w:t>)</w:t>
      </w:r>
    </w:p>
    <w:p w14:paraId="31B82DCF" w14:textId="77777777" w:rsidR="001E093D" w:rsidRPr="00EA25BC" w:rsidRDefault="001E093D" w:rsidP="001E093D">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LBFOOD =</w:t>
      </w:r>
      <w:r w:rsidRPr="00EA25BC">
        <w:rPr>
          <w:rFonts w:ascii="Cambria Math" w:hAnsi="Cambria Math" w:cs="Arial"/>
          <w:i/>
          <w:sz w:val="18"/>
          <w:szCs w:val="20"/>
        </w:rPr>
        <w:tab/>
        <w:t xml:space="preserve">Estimated </w:t>
      </w:r>
      <w:r>
        <w:rPr>
          <w:rFonts w:ascii="Cambria Math" w:hAnsi="Cambria Math" w:cs="Arial"/>
          <w:i/>
          <w:sz w:val="18"/>
          <w:szCs w:val="20"/>
        </w:rPr>
        <w:t>pounds of food cooked per day (</w:t>
      </w:r>
      <w:proofErr w:type="spellStart"/>
      <w:r>
        <w:rPr>
          <w:rFonts w:ascii="Cambria Math" w:hAnsi="Cambria Math" w:cs="Arial"/>
          <w:i/>
          <w:sz w:val="18"/>
          <w:szCs w:val="20"/>
        </w:rPr>
        <w:t>lbs</w:t>
      </w:r>
      <w:proofErr w:type="spellEnd"/>
      <w:r>
        <w:rPr>
          <w:rFonts w:ascii="Cambria Math" w:hAnsi="Cambria Math" w:cs="Arial"/>
          <w:i/>
          <w:sz w:val="18"/>
          <w:szCs w:val="20"/>
        </w:rPr>
        <w:t>)</w:t>
      </w:r>
    </w:p>
    <w:p w14:paraId="01C21979" w14:textId="77777777" w:rsidR="001E093D" w:rsidRDefault="001E093D" w:rsidP="001E093D">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PC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Measured </w:t>
      </w:r>
      <w:r>
        <w:rPr>
          <w:rFonts w:ascii="Cambria Math" w:hAnsi="Cambria Math" w:cs="Arial"/>
          <w:i/>
          <w:sz w:val="18"/>
          <w:szCs w:val="20"/>
        </w:rPr>
        <w:t>production capacity</w:t>
      </w:r>
      <w:r w:rsidRPr="00EA25BC">
        <w:rPr>
          <w:rFonts w:ascii="Cambria Math" w:hAnsi="Cambria Math" w:cs="Arial"/>
          <w:i/>
          <w:sz w:val="18"/>
          <w:szCs w:val="20"/>
        </w:rPr>
        <w:t xml:space="preserve"> (</w:t>
      </w:r>
      <w:proofErr w:type="spellStart"/>
      <w:r w:rsidRPr="00EA25BC">
        <w:rPr>
          <w:rFonts w:ascii="Cambria Math" w:hAnsi="Cambria Math" w:cs="Arial"/>
          <w:i/>
          <w:sz w:val="18"/>
          <w:szCs w:val="20"/>
        </w:rPr>
        <w:t>lbs</w:t>
      </w:r>
      <w:proofErr w:type="spellEnd"/>
      <w:r w:rsidRPr="00EA25BC">
        <w:rPr>
          <w:rFonts w:ascii="Cambria Math" w:hAnsi="Cambria Math" w:cs="Arial"/>
          <w:i/>
          <w:sz w:val="18"/>
          <w:szCs w:val="20"/>
        </w:rPr>
        <w:t>/</w:t>
      </w:r>
      <w:proofErr w:type="spellStart"/>
      <w:r w:rsidRPr="00EA25BC">
        <w:rPr>
          <w:rFonts w:ascii="Cambria Math" w:hAnsi="Cambria Math" w:cs="Arial"/>
          <w:i/>
          <w:sz w:val="18"/>
          <w:szCs w:val="20"/>
        </w:rPr>
        <w:t>hr</w:t>
      </w:r>
      <w:proofErr w:type="spellEnd"/>
      <w:r w:rsidRPr="00EA25BC">
        <w:rPr>
          <w:rFonts w:ascii="Cambria Math" w:hAnsi="Cambria Math" w:cs="Arial"/>
          <w:i/>
          <w:sz w:val="18"/>
          <w:szCs w:val="20"/>
        </w:rPr>
        <w:t>)</w:t>
      </w:r>
    </w:p>
    <w:p w14:paraId="0E57DE13" w14:textId="77777777" w:rsidR="001E093D" w:rsidRPr="00EA25BC" w:rsidRDefault="001E093D" w:rsidP="001E093D">
      <w:pPr>
        <w:tabs>
          <w:tab w:val="left" w:pos="1980"/>
          <w:tab w:val="left" w:pos="2880"/>
        </w:tabs>
        <w:spacing w:before="20" w:after="20"/>
        <w:ind w:left="2880" w:hanging="1440"/>
        <w:rPr>
          <w:rFonts w:ascii="Cambria Math" w:hAnsi="Cambria Math" w:cs="Arial"/>
          <w:i/>
          <w:sz w:val="18"/>
          <w:szCs w:val="20"/>
        </w:rPr>
      </w:pPr>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number of preheats per day (#)</w:t>
      </w:r>
    </w:p>
    <w:p w14:paraId="5BEF2B56" w14:textId="77777777" w:rsidR="001E093D" w:rsidRDefault="001E093D" w:rsidP="001E093D">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TP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preheat time</w:t>
      </w:r>
      <w:r w:rsidRPr="00EA25BC">
        <w:rPr>
          <w:rFonts w:ascii="Cambria Math" w:hAnsi="Cambria Math" w:cs="Arial"/>
          <w:i/>
          <w:sz w:val="18"/>
          <w:szCs w:val="20"/>
        </w:rPr>
        <w:t xml:space="preserve"> (min)</w:t>
      </w:r>
    </w:p>
    <w:p w14:paraId="015E6813" w14:textId="77777777" w:rsidR="001E093D" w:rsidRPr="00EA25BC" w:rsidRDefault="001E093D" w:rsidP="001E093D">
      <w:pPr>
        <w:tabs>
          <w:tab w:val="left" w:pos="1980"/>
          <w:tab w:val="left" w:pos="2880"/>
        </w:tabs>
        <w:spacing w:before="20" w:after="20"/>
        <w:ind w:left="2880" w:hanging="1440"/>
        <w:rPr>
          <w:rFonts w:ascii="Cambria Math" w:hAnsi="Cambria Math" w:cs="Arial"/>
          <w:i/>
          <w:sz w:val="18"/>
          <w:szCs w:val="20"/>
        </w:rPr>
      </w:pPr>
      <w:proofErr w:type="spellStart"/>
      <w:r>
        <w:rPr>
          <w:rFonts w:ascii="Cambria Math" w:hAnsi="Cambria Math" w:cs="Arial"/>
          <w:i/>
          <w:sz w:val="18"/>
          <w:szCs w:val="20"/>
        </w:rPr>
        <w:t>MinHr</w:t>
      </w:r>
      <w:proofErr w:type="spellEnd"/>
      <w:r>
        <w:rPr>
          <w:rFonts w:ascii="Cambria Math" w:hAnsi="Cambria Math" w:cs="Arial"/>
          <w:i/>
          <w:sz w:val="18"/>
          <w:szCs w:val="20"/>
        </w:rPr>
        <w:t xml:space="preserve"> = </w:t>
      </w:r>
      <w:r>
        <w:rPr>
          <w:rFonts w:ascii="Cambria Math" w:hAnsi="Cambria Math" w:cs="Arial"/>
          <w:i/>
          <w:sz w:val="18"/>
          <w:szCs w:val="20"/>
        </w:rPr>
        <w:tab/>
        <w:t>Constant, 60 minutes per hour (min)</w:t>
      </w:r>
    </w:p>
    <w:bookmarkEnd w:id="50"/>
    <w:bookmarkEnd w:id="51"/>
    <w:p w14:paraId="381BD059" w14:textId="77777777" w:rsidR="001E093D" w:rsidRDefault="001E093D" w:rsidP="0057660A">
      <w:pPr>
        <w:ind w:left="1440"/>
        <w:rPr>
          <w:rFonts w:cs="Arial"/>
          <w:sz w:val="16"/>
          <w:szCs w:val="16"/>
        </w:rPr>
      </w:pPr>
    </w:p>
    <w:p w14:paraId="37E2E958" w14:textId="77777777" w:rsidR="001E093D" w:rsidRDefault="001E093D" w:rsidP="001E093D">
      <w:bookmarkStart w:id="52" w:name="_Hlk526859876"/>
      <w:bookmarkStart w:id="53" w:name="_Hlk526854079"/>
      <w:r>
        <w:t>T</w:t>
      </w:r>
      <w:bookmarkStart w:id="54" w:name="_Hlk526524862"/>
      <w:r>
        <w:t xml:space="preserve">he </w:t>
      </w:r>
      <w:r w:rsidRPr="00833AE5">
        <w:rPr>
          <w:b/>
        </w:rPr>
        <w:t>annual UEC</w:t>
      </w:r>
      <w:r>
        <w:t xml:space="preserve"> is calculated as the daily UEC multiplied by the number of operating days per year.</w:t>
      </w:r>
    </w:p>
    <w:p w14:paraId="171EB029" w14:textId="77777777" w:rsidR="001E093D" w:rsidRPr="00955AF0" w:rsidRDefault="001E093D" w:rsidP="001E093D">
      <w:pPr>
        <w:tabs>
          <w:tab w:val="left" w:pos="720"/>
        </w:tabs>
        <w:ind w:left="720"/>
        <w:rPr>
          <w:sz w:val="18"/>
          <w:szCs w:val="18"/>
        </w:rPr>
      </w:pPr>
      <w:bookmarkStart w:id="55" w:name="_Hlk526859939"/>
      <w:bookmarkEnd w:id="52"/>
      <w:bookmarkEnd w:id="54"/>
      <m:oMathPara>
        <m:oMathParaPr>
          <m:jc m:val="left"/>
        </m:oMathParaPr>
        <m:oMath>
          <m:r>
            <w:rPr>
              <w:rFonts w:ascii="Cambria Math" w:hAnsi="Cambria Math"/>
              <w:sz w:val="18"/>
              <w:szCs w:val="18"/>
            </w:rPr>
            <m:t>UEC_YEAR=UEC_DAY×EDAYS</m:t>
          </m:r>
        </m:oMath>
      </m:oMathPara>
    </w:p>
    <w:p w14:paraId="0F58CA8C" w14:textId="77777777" w:rsidR="001E093D" w:rsidRDefault="001E093D" w:rsidP="001E093D">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UEC_DAY</w:t>
      </w:r>
      <w:r w:rsidRPr="00E00DBE">
        <w:rPr>
          <w:rFonts w:ascii="Cambria Math" w:hAnsi="Cambria Math" w:cs="Calibri Light"/>
          <w:i/>
          <w:sz w:val="18"/>
          <w:szCs w:val="20"/>
        </w:rPr>
        <w:t xml:space="preserve"> =</w:t>
      </w:r>
      <w:r w:rsidRPr="00E00DBE">
        <w:rPr>
          <w:rFonts w:ascii="Cambria Math" w:hAnsi="Cambria Math" w:cs="Calibri Light"/>
          <w:i/>
          <w:sz w:val="18"/>
          <w:szCs w:val="20"/>
        </w:rPr>
        <w:tab/>
      </w:r>
      <w:r>
        <w:rPr>
          <w:rFonts w:ascii="Cambria Math" w:hAnsi="Cambria Math" w:cs="Calibri Light"/>
          <w:i/>
          <w:sz w:val="18"/>
          <w:szCs w:val="20"/>
        </w:rPr>
        <w:t>Daily unit energy consumption</w:t>
      </w:r>
      <w:r w:rsidRPr="00E00DBE">
        <w:rPr>
          <w:rFonts w:ascii="Cambria Math" w:hAnsi="Cambria Math" w:cs="Calibri Light"/>
          <w:i/>
          <w:sz w:val="18"/>
          <w:szCs w:val="20"/>
        </w:rPr>
        <w:t xml:space="preserve"> (kWh)</w:t>
      </w:r>
    </w:p>
    <w:p w14:paraId="5C5F126F" w14:textId="77777777" w:rsidR="001E093D" w:rsidRDefault="001E093D" w:rsidP="001E093D">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bookmarkEnd w:id="53"/>
    <w:bookmarkEnd w:id="55"/>
    <w:p w14:paraId="6B483E5C" w14:textId="77777777" w:rsidR="00877084" w:rsidRDefault="00877084" w:rsidP="006F06F6">
      <w:pPr>
        <w:rPr>
          <w:rFonts w:cstheme="minorHAnsi"/>
          <w:szCs w:val="22"/>
          <w:u w:val="single"/>
        </w:rPr>
      </w:pPr>
    </w:p>
    <w:p w14:paraId="0D008E01" w14:textId="77777777" w:rsidR="001E093D" w:rsidRDefault="001E093D" w:rsidP="001E093D">
      <w:pPr>
        <w:pStyle w:val="eTRMHeading4"/>
      </w:pPr>
      <w:bookmarkStart w:id="56" w:name="_Hlk526524900"/>
      <w:r>
        <w:t>Annual Electric Unit Energy Savings</w:t>
      </w:r>
    </w:p>
    <w:p w14:paraId="695484F7" w14:textId="77777777" w:rsidR="001E093D" w:rsidRDefault="001E093D" w:rsidP="001E093D">
      <w:bookmarkStart w:id="57" w:name="_Hlk526524922"/>
      <w:bookmarkEnd w:id="56"/>
      <w:r>
        <w:t xml:space="preserve">The </w:t>
      </w:r>
      <w:r>
        <w:rPr>
          <w:b/>
        </w:rPr>
        <w:t>annual</w:t>
      </w:r>
      <w:r w:rsidRPr="00ED4D0D">
        <w:rPr>
          <w:b/>
        </w:rPr>
        <w:t xml:space="preserve"> UES</w:t>
      </w:r>
      <w:r>
        <w:t xml:space="preserve"> is calculated as the difference between the baseline and measure case annual UEC.  </w:t>
      </w:r>
    </w:p>
    <w:p w14:paraId="700C23BA" w14:textId="201C717A" w:rsidR="001E093D" w:rsidRPr="00FD02A1" w:rsidRDefault="001E093D" w:rsidP="001E093D">
      <w:pPr>
        <w:tabs>
          <w:tab w:val="left" w:pos="720"/>
        </w:tabs>
        <w:ind w:left="720"/>
        <w:rPr>
          <w:sz w:val="18"/>
          <w:szCs w:val="18"/>
        </w:rPr>
      </w:pPr>
      <w:bookmarkStart w:id="58" w:name="_Hlk522370366"/>
      <w:bookmarkEnd w:id="57"/>
      <m:oMathPara>
        <m:oMathParaPr>
          <m:jc m:val="left"/>
        </m:oMathParaP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S</m:t>
              </m:r>
            </m:e>
            <m:sub>
              <m:r>
                <w:rPr>
                  <w:rFonts w:ascii="Cambria Math" w:hAnsi="Cambria Math"/>
                  <w:sz w:val="18"/>
                  <w:szCs w:val="18"/>
                </w:rPr>
                <m:t>YEAR</m:t>
              </m:r>
            </m:sub>
          </m:sSub>
          <m:r>
            <w:rPr>
              <w:rFonts w:ascii="Cambria Math" w:hAnsi="Cambria Math"/>
              <w:sz w:val="18"/>
              <w:szCs w:val="18"/>
            </w:rPr>
            <m:t>=</m:t>
          </m:r>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e>
          </m:d>
        </m:oMath>
      </m:oMathPara>
    </w:p>
    <w:bookmarkEnd w:id="58"/>
    <w:p w14:paraId="1CC38F82" w14:textId="77777777" w:rsidR="001E093D" w:rsidRPr="00E00DBE" w:rsidRDefault="001E093D" w:rsidP="001E093D">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UEC_YEAR =</w:t>
      </w:r>
      <w:r>
        <w:rPr>
          <w:rFonts w:ascii="Cambria Math" w:hAnsi="Cambria Math" w:cs="Calibri Light"/>
          <w:i/>
          <w:sz w:val="18"/>
          <w:szCs w:val="20"/>
        </w:rPr>
        <w:tab/>
        <w:t>Annual UEC, baseline or measure (kWh/year)</w:t>
      </w:r>
    </w:p>
    <w:p w14:paraId="1565284D" w14:textId="77777777" w:rsidR="001E093D" w:rsidRDefault="001E093D" w:rsidP="001E093D">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UES_YEAR=</w:t>
      </w:r>
      <w:r>
        <w:rPr>
          <w:rFonts w:ascii="Cambria Math" w:hAnsi="Cambria Math" w:cs="Calibri Light"/>
          <w:i/>
          <w:sz w:val="18"/>
          <w:szCs w:val="20"/>
        </w:rPr>
        <w:tab/>
        <w:t>Annual UES (kWh/year)</w:t>
      </w:r>
    </w:p>
    <w:p w14:paraId="120F725A" w14:textId="77777777" w:rsidR="007D230B" w:rsidRDefault="007D230B" w:rsidP="004B06E3"/>
    <w:p w14:paraId="1EE34B52" w14:textId="77777777" w:rsidR="001E093D" w:rsidRDefault="001E093D" w:rsidP="001E093D">
      <w:pPr>
        <w:pStyle w:val="eTRMHeading4"/>
      </w:pPr>
      <w:r>
        <w:lastRenderedPageBreak/>
        <w:t>Inputs and Assumptions</w:t>
      </w:r>
    </w:p>
    <w:p w14:paraId="617281B9" w14:textId="61A9F78D" w:rsidR="001E093D" w:rsidRDefault="001E093D" w:rsidP="001E093D">
      <w:r>
        <w:t>The</w:t>
      </w:r>
      <w:r w:rsidRPr="00743373">
        <w:t xml:space="preserve"> inputs for the calculation of </w:t>
      </w:r>
      <w:r>
        <w:t xml:space="preserve">the UES </w:t>
      </w:r>
      <w:r w:rsidRPr="00743373">
        <w:t xml:space="preserve">of </w:t>
      </w:r>
      <w:r>
        <w:t xml:space="preserve">an </w:t>
      </w:r>
      <w:r w:rsidRPr="00743373">
        <w:t xml:space="preserve">electric </w:t>
      </w:r>
      <w:r>
        <w:t>deck oven</w:t>
      </w:r>
      <w:r w:rsidRPr="00743373">
        <w:t xml:space="preserve"> </w:t>
      </w:r>
      <w:r>
        <w:t>are specified below</w:t>
      </w:r>
      <w:r w:rsidRPr="00743373">
        <w:t>.</w:t>
      </w:r>
    </w:p>
    <w:p w14:paraId="7A09FB44" w14:textId="0F3E3B38" w:rsidR="006F06F6" w:rsidRPr="00B06219" w:rsidRDefault="001E093D" w:rsidP="00222BA8">
      <w:pPr>
        <w:pStyle w:val="Caption"/>
      </w:pPr>
      <w:r>
        <w:t>UEC</w:t>
      </w:r>
      <w:r w:rsidR="003C2817">
        <w:t xml:space="preserve"> Inputs</w:t>
      </w:r>
      <w:r w:rsidR="006F06F6" w:rsidRPr="00B06219">
        <w:t xml:space="preserve"> </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3618"/>
        <w:gridCol w:w="1442"/>
        <w:gridCol w:w="1438"/>
        <w:gridCol w:w="3078"/>
      </w:tblGrid>
      <w:tr w:rsidR="007F40C4" w:rsidRPr="005E08F8" w14:paraId="6ECD626B" w14:textId="13D229EC" w:rsidTr="003C2817">
        <w:trPr>
          <w:cantSplit/>
          <w:trHeight w:val="20"/>
        </w:trPr>
        <w:tc>
          <w:tcPr>
            <w:tcW w:w="1889" w:type="pct"/>
            <w:shd w:val="clear" w:color="auto" w:fill="F2F2F2" w:themeFill="background1" w:themeFillShade="F2"/>
            <w:vAlign w:val="bottom"/>
          </w:tcPr>
          <w:p w14:paraId="6BF9532A" w14:textId="5F8D3825" w:rsidR="00AD2256" w:rsidRPr="005E08F8" w:rsidRDefault="007F40C4" w:rsidP="0039749C">
            <w:pPr>
              <w:keepNext/>
              <w:keepLines/>
              <w:spacing w:before="20" w:after="20"/>
              <w:rPr>
                <w:rFonts w:cstheme="minorHAnsi"/>
                <w:b/>
                <w:sz w:val="20"/>
              </w:rPr>
            </w:pPr>
            <w:r>
              <w:rPr>
                <w:rFonts w:cstheme="minorHAnsi"/>
                <w:b/>
                <w:sz w:val="20"/>
              </w:rPr>
              <w:t>Input</w:t>
            </w:r>
          </w:p>
        </w:tc>
        <w:tc>
          <w:tcPr>
            <w:tcW w:w="753" w:type="pct"/>
            <w:shd w:val="clear" w:color="auto" w:fill="F2F2F2" w:themeFill="background1" w:themeFillShade="F2"/>
            <w:vAlign w:val="bottom"/>
          </w:tcPr>
          <w:p w14:paraId="56F86F03" w14:textId="40B1AEA4" w:rsidR="00AD2256" w:rsidRPr="005E08F8" w:rsidRDefault="007F40C4" w:rsidP="0039749C">
            <w:pPr>
              <w:keepNext/>
              <w:keepLines/>
              <w:spacing w:before="20" w:after="20"/>
              <w:jc w:val="center"/>
              <w:rPr>
                <w:rFonts w:cstheme="minorHAnsi"/>
                <w:b/>
                <w:sz w:val="20"/>
              </w:rPr>
            </w:pPr>
            <w:r>
              <w:rPr>
                <w:rFonts w:cstheme="minorHAnsi"/>
                <w:b/>
                <w:sz w:val="20"/>
              </w:rPr>
              <w:t>Base Case Model</w:t>
            </w:r>
          </w:p>
        </w:tc>
        <w:tc>
          <w:tcPr>
            <w:tcW w:w="751" w:type="pct"/>
            <w:shd w:val="clear" w:color="auto" w:fill="F2F2F2" w:themeFill="background1" w:themeFillShade="F2"/>
            <w:vAlign w:val="bottom"/>
          </w:tcPr>
          <w:p w14:paraId="13C7B091" w14:textId="38617255" w:rsidR="00AD2256" w:rsidRPr="005E08F8" w:rsidRDefault="007F40C4" w:rsidP="0039749C">
            <w:pPr>
              <w:keepNext/>
              <w:keepLines/>
              <w:spacing w:before="20" w:after="20"/>
              <w:jc w:val="center"/>
              <w:rPr>
                <w:rFonts w:cstheme="minorHAnsi"/>
                <w:b/>
                <w:sz w:val="20"/>
              </w:rPr>
            </w:pPr>
            <w:r>
              <w:rPr>
                <w:rFonts w:cstheme="minorHAnsi"/>
                <w:b/>
                <w:sz w:val="20"/>
              </w:rPr>
              <w:t>Measure Case Model</w:t>
            </w:r>
          </w:p>
        </w:tc>
        <w:tc>
          <w:tcPr>
            <w:tcW w:w="1607" w:type="pct"/>
            <w:shd w:val="clear" w:color="auto" w:fill="F2F2F2" w:themeFill="background1" w:themeFillShade="F2"/>
            <w:vAlign w:val="bottom"/>
          </w:tcPr>
          <w:p w14:paraId="009F0400" w14:textId="0C02C75D" w:rsidR="00AD2256" w:rsidRPr="005E08F8" w:rsidRDefault="00AD2256" w:rsidP="0039749C">
            <w:pPr>
              <w:keepNext/>
              <w:keepLines/>
              <w:spacing w:before="20" w:after="20"/>
              <w:jc w:val="center"/>
              <w:rPr>
                <w:rFonts w:cstheme="minorHAnsi"/>
                <w:b/>
                <w:sz w:val="20"/>
              </w:rPr>
            </w:pPr>
            <w:r w:rsidRPr="005E08F8">
              <w:rPr>
                <w:rFonts w:cstheme="minorHAnsi"/>
                <w:b/>
                <w:sz w:val="20"/>
              </w:rPr>
              <w:t>Source</w:t>
            </w:r>
          </w:p>
        </w:tc>
      </w:tr>
      <w:tr w:rsidR="001504EF" w:rsidRPr="00B06219" w14:paraId="1F563B77" w14:textId="6F692F7E" w:rsidTr="00593FF5">
        <w:trPr>
          <w:cantSplit/>
          <w:trHeight w:val="20"/>
        </w:trPr>
        <w:tc>
          <w:tcPr>
            <w:tcW w:w="1889" w:type="pct"/>
          </w:tcPr>
          <w:p w14:paraId="5845A878" w14:textId="77777777" w:rsidR="001504EF" w:rsidRPr="005E08F8" w:rsidRDefault="001504EF" w:rsidP="0039749C">
            <w:pPr>
              <w:keepNext/>
              <w:keepLines/>
              <w:spacing w:before="20" w:after="20"/>
              <w:rPr>
                <w:rFonts w:cstheme="minorHAnsi"/>
                <w:sz w:val="20"/>
              </w:rPr>
            </w:pPr>
            <w:r w:rsidRPr="005E08F8">
              <w:rPr>
                <w:rFonts w:cstheme="minorHAnsi"/>
                <w:sz w:val="20"/>
              </w:rPr>
              <w:t>Preheat Time (min)</w:t>
            </w:r>
          </w:p>
        </w:tc>
        <w:tc>
          <w:tcPr>
            <w:tcW w:w="753" w:type="pct"/>
          </w:tcPr>
          <w:p w14:paraId="035CD857" w14:textId="77777777" w:rsidR="001504EF" w:rsidRPr="001E093D" w:rsidRDefault="001504EF" w:rsidP="0039749C">
            <w:pPr>
              <w:keepNext/>
              <w:keepLines/>
              <w:spacing w:before="20" w:after="20"/>
              <w:jc w:val="center"/>
              <w:rPr>
                <w:rFonts w:cstheme="minorHAnsi"/>
                <w:sz w:val="20"/>
              </w:rPr>
            </w:pPr>
            <w:r w:rsidRPr="001E093D">
              <w:rPr>
                <w:rFonts w:cstheme="minorHAnsi"/>
                <w:sz w:val="20"/>
              </w:rPr>
              <w:t>30</w:t>
            </w:r>
          </w:p>
        </w:tc>
        <w:tc>
          <w:tcPr>
            <w:tcW w:w="751" w:type="pct"/>
          </w:tcPr>
          <w:p w14:paraId="1BE445CB" w14:textId="77777777" w:rsidR="001504EF" w:rsidRPr="001E093D" w:rsidRDefault="001504EF" w:rsidP="0039749C">
            <w:pPr>
              <w:keepNext/>
              <w:keepLines/>
              <w:spacing w:before="20" w:after="20"/>
              <w:jc w:val="center"/>
              <w:rPr>
                <w:rFonts w:cstheme="minorHAnsi"/>
                <w:sz w:val="20"/>
              </w:rPr>
            </w:pPr>
            <w:r w:rsidRPr="001E093D">
              <w:rPr>
                <w:rFonts w:cstheme="minorHAnsi"/>
                <w:sz w:val="20"/>
              </w:rPr>
              <w:t>30</w:t>
            </w:r>
          </w:p>
        </w:tc>
        <w:tc>
          <w:tcPr>
            <w:tcW w:w="1607" w:type="pct"/>
            <w:vAlign w:val="center"/>
          </w:tcPr>
          <w:p w14:paraId="314FD728" w14:textId="476F1990" w:rsidR="001504EF" w:rsidRPr="00C1547D" w:rsidRDefault="00C1547D" w:rsidP="0039749C">
            <w:pPr>
              <w:keepNext/>
              <w:keepLines/>
              <w:spacing w:before="20" w:after="20"/>
              <w:rPr>
                <w:rFonts w:cstheme="minorHAnsi"/>
                <w:sz w:val="18"/>
                <w:szCs w:val="18"/>
              </w:rPr>
            </w:pPr>
            <w:r w:rsidRPr="00C1547D">
              <w:rPr>
                <w:rFonts w:cstheme="minorHAnsi"/>
                <w:sz w:val="18"/>
                <w:szCs w:val="18"/>
              </w:rPr>
              <w:t>Professional judgement.</w:t>
            </w:r>
          </w:p>
        </w:tc>
      </w:tr>
      <w:tr w:rsidR="004E70F1" w:rsidRPr="00B06219" w14:paraId="40F6CD95" w14:textId="5EFDEB93" w:rsidTr="007F40C4">
        <w:trPr>
          <w:cantSplit/>
          <w:trHeight w:val="20"/>
        </w:trPr>
        <w:tc>
          <w:tcPr>
            <w:tcW w:w="1889" w:type="pct"/>
          </w:tcPr>
          <w:p w14:paraId="4A33F8FB" w14:textId="77777777" w:rsidR="004E70F1" w:rsidRPr="005E08F8" w:rsidRDefault="004E70F1" w:rsidP="0039749C">
            <w:pPr>
              <w:keepNext/>
              <w:keepLines/>
              <w:spacing w:before="20" w:after="20"/>
              <w:rPr>
                <w:rFonts w:cstheme="minorHAnsi"/>
                <w:sz w:val="20"/>
              </w:rPr>
            </w:pPr>
            <w:r w:rsidRPr="005E08F8">
              <w:rPr>
                <w:rFonts w:cstheme="minorHAnsi"/>
                <w:sz w:val="20"/>
              </w:rPr>
              <w:t>Preheat Energy (kWh)</w:t>
            </w:r>
          </w:p>
        </w:tc>
        <w:tc>
          <w:tcPr>
            <w:tcW w:w="753" w:type="pct"/>
          </w:tcPr>
          <w:p w14:paraId="46E38A3A" w14:textId="77777777" w:rsidR="004E70F1" w:rsidRPr="001E093D" w:rsidRDefault="004E70F1" w:rsidP="0039749C">
            <w:pPr>
              <w:keepNext/>
              <w:keepLines/>
              <w:spacing w:before="20" w:after="20"/>
              <w:jc w:val="center"/>
              <w:rPr>
                <w:rFonts w:cstheme="minorHAnsi"/>
                <w:sz w:val="20"/>
              </w:rPr>
            </w:pPr>
            <w:r w:rsidRPr="001E093D">
              <w:rPr>
                <w:rFonts w:cstheme="minorHAnsi"/>
                <w:sz w:val="20"/>
              </w:rPr>
              <w:t>6.50</w:t>
            </w:r>
          </w:p>
        </w:tc>
        <w:tc>
          <w:tcPr>
            <w:tcW w:w="751" w:type="pct"/>
          </w:tcPr>
          <w:p w14:paraId="223AB321" w14:textId="77777777" w:rsidR="004E70F1" w:rsidRPr="001E093D" w:rsidRDefault="004E70F1" w:rsidP="0039749C">
            <w:pPr>
              <w:keepNext/>
              <w:keepLines/>
              <w:spacing w:before="20" w:after="20"/>
              <w:jc w:val="center"/>
              <w:rPr>
                <w:rFonts w:cstheme="minorHAnsi"/>
                <w:sz w:val="20"/>
              </w:rPr>
            </w:pPr>
            <w:r w:rsidRPr="001E093D">
              <w:rPr>
                <w:rFonts w:cstheme="minorHAnsi"/>
                <w:sz w:val="20"/>
              </w:rPr>
              <w:t>3.00</w:t>
            </w:r>
          </w:p>
        </w:tc>
        <w:tc>
          <w:tcPr>
            <w:tcW w:w="1607" w:type="pct"/>
            <w:vMerge w:val="restart"/>
          </w:tcPr>
          <w:p w14:paraId="5FC4B138" w14:textId="77777777" w:rsidR="004E70F1" w:rsidRPr="004E70F1" w:rsidRDefault="004E70F1" w:rsidP="004E70F1">
            <w:pPr>
              <w:keepNext/>
              <w:keepLines/>
              <w:spacing w:before="20" w:after="20" w:line="220" w:lineRule="exact"/>
              <w:rPr>
                <w:rFonts w:cs="Arial"/>
                <w:sz w:val="18"/>
                <w:szCs w:val="16"/>
              </w:rPr>
            </w:pPr>
            <w:r w:rsidRPr="004E70F1">
              <w:rPr>
                <w:rFonts w:cs="Arial"/>
                <w:sz w:val="18"/>
                <w:szCs w:val="16"/>
              </w:rPr>
              <w:t xml:space="preserve">Base Case: </w:t>
            </w:r>
            <w:r w:rsidRPr="004E70F1">
              <w:rPr>
                <w:rFonts w:cs="Arial"/>
                <w:sz w:val="18"/>
                <w:szCs w:val="16"/>
              </w:rPr>
              <w:br/>
              <w:t>Food Service Technology Center (FSTC). Proprietary database.</w:t>
            </w:r>
          </w:p>
          <w:p w14:paraId="08DE84BD" w14:textId="77777777" w:rsidR="004E70F1" w:rsidRPr="004E70F1" w:rsidRDefault="004E70F1" w:rsidP="0039749C">
            <w:pPr>
              <w:keepNext/>
              <w:keepLines/>
              <w:spacing w:before="20" w:after="20"/>
              <w:rPr>
                <w:rFonts w:cstheme="minorHAnsi"/>
                <w:sz w:val="18"/>
                <w:szCs w:val="18"/>
              </w:rPr>
            </w:pPr>
          </w:p>
          <w:p w14:paraId="5B97036D" w14:textId="77777777" w:rsidR="004E70F1" w:rsidRPr="004E70F1" w:rsidRDefault="004E70F1" w:rsidP="0039749C">
            <w:pPr>
              <w:keepNext/>
              <w:keepLines/>
              <w:spacing w:before="20" w:after="20"/>
              <w:rPr>
                <w:rFonts w:cstheme="minorHAnsi"/>
                <w:sz w:val="18"/>
                <w:szCs w:val="18"/>
              </w:rPr>
            </w:pPr>
            <w:r w:rsidRPr="004E70F1">
              <w:rPr>
                <w:rFonts w:cstheme="minorHAnsi"/>
                <w:sz w:val="18"/>
                <w:szCs w:val="18"/>
              </w:rPr>
              <w:t>Measure Case:</w:t>
            </w:r>
          </w:p>
          <w:p w14:paraId="4E4362A2" w14:textId="1A1A4BD2" w:rsidR="004E70F1" w:rsidRPr="004E70F1" w:rsidRDefault="00410651" w:rsidP="0039749C">
            <w:pPr>
              <w:keepNext/>
              <w:keepLines/>
              <w:spacing w:before="20" w:after="20"/>
              <w:rPr>
                <w:rFonts w:cstheme="minorHAnsi"/>
                <w:sz w:val="18"/>
                <w:szCs w:val="18"/>
              </w:rPr>
            </w:pPr>
            <w:r w:rsidRPr="004F7CB5">
              <w:rPr>
                <w:sz w:val="18"/>
                <w:szCs w:val="18"/>
              </w:rPr>
              <w:t>Southern California Edison (SCE). 2018. “SCE17CC012.1 A2 - Cost &amp; Savings Calculations.xlsm.”</w:t>
            </w:r>
            <w:r w:rsidRPr="007533DE">
              <w:rPr>
                <w:rFonts w:cs="Arial"/>
                <w:sz w:val="18"/>
                <w:szCs w:val="18"/>
              </w:rPr>
              <w:t xml:space="preserve"> See Tested Oven Efficiencies tab.</w:t>
            </w:r>
          </w:p>
        </w:tc>
      </w:tr>
      <w:tr w:rsidR="004E70F1" w:rsidRPr="00B06219" w14:paraId="4D2ED5F2" w14:textId="0A2BC0D7" w:rsidTr="007F40C4">
        <w:trPr>
          <w:cantSplit/>
          <w:trHeight w:val="20"/>
        </w:trPr>
        <w:tc>
          <w:tcPr>
            <w:tcW w:w="1889" w:type="pct"/>
          </w:tcPr>
          <w:p w14:paraId="5739A9BD" w14:textId="4B6B525A" w:rsidR="004E70F1" w:rsidRPr="005E08F8" w:rsidRDefault="004E70F1" w:rsidP="0039749C">
            <w:pPr>
              <w:keepNext/>
              <w:keepLines/>
              <w:spacing w:before="20" w:after="20"/>
              <w:rPr>
                <w:rFonts w:cstheme="minorHAnsi"/>
                <w:sz w:val="20"/>
              </w:rPr>
            </w:pPr>
            <w:r w:rsidRPr="005E08F8">
              <w:rPr>
                <w:rFonts w:cstheme="minorHAnsi"/>
                <w:sz w:val="20"/>
              </w:rPr>
              <w:t>Idle Energy Rate (kW)</w:t>
            </w:r>
          </w:p>
        </w:tc>
        <w:tc>
          <w:tcPr>
            <w:tcW w:w="753" w:type="pct"/>
          </w:tcPr>
          <w:p w14:paraId="5A31A4FB" w14:textId="77777777" w:rsidR="004E70F1" w:rsidRPr="001E093D" w:rsidRDefault="004E70F1" w:rsidP="0039749C">
            <w:pPr>
              <w:keepNext/>
              <w:keepLines/>
              <w:spacing w:before="20" w:after="20"/>
              <w:jc w:val="center"/>
              <w:rPr>
                <w:rFonts w:cstheme="minorHAnsi"/>
                <w:sz w:val="20"/>
              </w:rPr>
            </w:pPr>
            <w:r w:rsidRPr="001E093D">
              <w:rPr>
                <w:rFonts w:cstheme="minorHAnsi"/>
                <w:sz w:val="20"/>
              </w:rPr>
              <w:t>1.90</w:t>
            </w:r>
          </w:p>
        </w:tc>
        <w:tc>
          <w:tcPr>
            <w:tcW w:w="751" w:type="pct"/>
          </w:tcPr>
          <w:p w14:paraId="3D930B8C" w14:textId="77777777" w:rsidR="004E70F1" w:rsidRPr="001E093D" w:rsidRDefault="004E70F1" w:rsidP="0039749C">
            <w:pPr>
              <w:keepNext/>
              <w:keepLines/>
              <w:spacing w:before="20" w:after="20"/>
              <w:jc w:val="center"/>
              <w:rPr>
                <w:rFonts w:cstheme="minorHAnsi"/>
                <w:sz w:val="20"/>
              </w:rPr>
            </w:pPr>
            <w:r w:rsidRPr="001E093D">
              <w:rPr>
                <w:rFonts w:cstheme="minorHAnsi"/>
                <w:sz w:val="20"/>
              </w:rPr>
              <w:t>1.30</w:t>
            </w:r>
          </w:p>
        </w:tc>
        <w:tc>
          <w:tcPr>
            <w:tcW w:w="1607" w:type="pct"/>
            <w:vMerge/>
          </w:tcPr>
          <w:p w14:paraId="4B919F5E" w14:textId="77777777" w:rsidR="004E70F1" w:rsidRPr="004E70F1" w:rsidRDefault="004E70F1" w:rsidP="0039749C">
            <w:pPr>
              <w:keepNext/>
              <w:keepLines/>
              <w:spacing w:before="20" w:after="20"/>
              <w:rPr>
                <w:rFonts w:cstheme="minorHAnsi"/>
                <w:color w:val="FF0000"/>
                <w:sz w:val="18"/>
                <w:szCs w:val="18"/>
              </w:rPr>
            </w:pPr>
          </w:p>
        </w:tc>
      </w:tr>
      <w:tr w:rsidR="004E70F1" w:rsidRPr="00B06219" w14:paraId="597565E7" w14:textId="2C9BB9E2" w:rsidTr="007F40C4">
        <w:trPr>
          <w:cantSplit/>
          <w:trHeight w:val="20"/>
        </w:trPr>
        <w:tc>
          <w:tcPr>
            <w:tcW w:w="1889" w:type="pct"/>
          </w:tcPr>
          <w:p w14:paraId="18D287D2" w14:textId="77777777" w:rsidR="004E70F1" w:rsidRPr="005E08F8" w:rsidRDefault="004E70F1" w:rsidP="0039749C">
            <w:pPr>
              <w:keepNext/>
              <w:keepLines/>
              <w:spacing w:before="20" w:after="20"/>
              <w:rPr>
                <w:rFonts w:cstheme="minorHAnsi"/>
                <w:sz w:val="20"/>
              </w:rPr>
            </w:pPr>
            <w:r w:rsidRPr="005E08F8">
              <w:rPr>
                <w:rFonts w:cstheme="minorHAnsi"/>
                <w:sz w:val="20"/>
              </w:rPr>
              <w:t>Heavy Load Cooking Energy Efficiency (%)</w:t>
            </w:r>
          </w:p>
        </w:tc>
        <w:tc>
          <w:tcPr>
            <w:tcW w:w="753" w:type="pct"/>
          </w:tcPr>
          <w:p w14:paraId="5FB15423" w14:textId="77777777" w:rsidR="004E70F1" w:rsidRPr="001E093D" w:rsidRDefault="004E70F1" w:rsidP="0039749C">
            <w:pPr>
              <w:keepNext/>
              <w:keepLines/>
              <w:spacing w:before="20" w:after="20"/>
              <w:jc w:val="center"/>
              <w:rPr>
                <w:rFonts w:cstheme="minorHAnsi"/>
                <w:sz w:val="20"/>
              </w:rPr>
            </w:pPr>
            <w:r w:rsidRPr="001E093D">
              <w:rPr>
                <w:rFonts w:cstheme="minorHAnsi"/>
                <w:sz w:val="20"/>
              </w:rPr>
              <w:t>40%</w:t>
            </w:r>
          </w:p>
        </w:tc>
        <w:tc>
          <w:tcPr>
            <w:tcW w:w="751" w:type="pct"/>
          </w:tcPr>
          <w:p w14:paraId="30F59C2E" w14:textId="77777777" w:rsidR="004E70F1" w:rsidRPr="001E093D" w:rsidRDefault="004E70F1" w:rsidP="0039749C">
            <w:pPr>
              <w:keepNext/>
              <w:keepLines/>
              <w:spacing w:before="20" w:after="20"/>
              <w:jc w:val="center"/>
              <w:rPr>
                <w:rFonts w:cstheme="minorHAnsi"/>
                <w:sz w:val="20"/>
              </w:rPr>
            </w:pPr>
            <w:r w:rsidRPr="001E093D">
              <w:rPr>
                <w:rFonts w:cstheme="minorHAnsi"/>
                <w:sz w:val="20"/>
              </w:rPr>
              <w:t>60%</w:t>
            </w:r>
          </w:p>
        </w:tc>
        <w:tc>
          <w:tcPr>
            <w:tcW w:w="1607" w:type="pct"/>
            <w:vMerge/>
          </w:tcPr>
          <w:p w14:paraId="6D36D9AE" w14:textId="77777777" w:rsidR="004E70F1" w:rsidRPr="004E70F1" w:rsidRDefault="004E70F1" w:rsidP="0039749C">
            <w:pPr>
              <w:keepNext/>
              <w:keepLines/>
              <w:spacing w:before="20" w:after="20"/>
              <w:rPr>
                <w:rFonts w:cstheme="minorHAnsi"/>
                <w:color w:val="FF0000"/>
                <w:sz w:val="18"/>
                <w:szCs w:val="18"/>
              </w:rPr>
            </w:pPr>
          </w:p>
        </w:tc>
      </w:tr>
      <w:tr w:rsidR="004E70F1" w:rsidRPr="00B06219" w14:paraId="1C3ADDF0" w14:textId="6C49EC75" w:rsidTr="007F40C4">
        <w:trPr>
          <w:cantSplit/>
          <w:trHeight w:val="20"/>
        </w:trPr>
        <w:tc>
          <w:tcPr>
            <w:tcW w:w="1889" w:type="pct"/>
          </w:tcPr>
          <w:p w14:paraId="07D33CEB" w14:textId="508AC845" w:rsidR="004E70F1" w:rsidRPr="005E08F8" w:rsidRDefault="004E70F1" w:rsidP="0039749C">
            <w:pPr>
              <w:spacing w:before="20" w:after="20"/>
              <w:rPr>
                <w:rFonts w:cstheme="minorHAnsi"/>
                <w:sz w:val="20"/>
              </w:rPr>
            </w:pPr>
            <w:r w:rsidRPr="005E08F8">
              <w:rPr>
                <w:rFonts w:cstheme="minorHAnsi"/>
                <w:sz w:val="20"/>
              </w:rPr>
              <w:t>Production Capacity (</w:t>
            </w:r>
            <w:proofErr w:type="spellStart"/>
            <w:r w:rsidRPr="005E08F8">
              <w:rPr>
                <w:rFonts w:cstheme="minorHAnsi"/>
                <w:sz w:val="20"/>
              </w:rPr>
              <w:t>lbs</w:t>
            </w:r>
            <w:proofErr w:type="spellEnd"/>
            <w:r w:rsidRPr="005E08F8">
              <w:rPr>
                <w:rFonts w:cstheme="minorHAnsi"/>
                <w:sz w:val="20"/>
              </w:rPr>
              <w:t>/</w:t>
            </w:r>
            <w:proofErr w:type="spellStart"/>
            <w:r w:rsidRPr="005E08F8">
              <w:rPr>
                <w:rFonts w:cstheme="minorHAnsi"/>
                <w:sz w:val="20"/>
              </w:rPr>
              <w:t>h</w:t>
            </w:r>
            <w:r w:rsidR="001E093D">
              <w:rPr>
                <w:rFonts w:cstheme="minorHAnsi"/>
                <w:sz w:val="20"/>
              </w:rPr>
              <w:t>r</w:t>
            </w:r>
            <w:proofErr w:type="spellEnd"/>
            <w:r w:rsidRPr="005E08F8">
              <w:rPr>
                <w:rFonts w:cstheme="minorHAnsi"/>
                <w:sz w:val="20"/>
              </w:rPr>
              <w:t>)</w:t>
            </w:r>
          </w:p>
        </w:tc>
        <w:tc>
          <w:tcPr>
            <w:tcW w:w="753" w:type="pct"/>
          </w:tcPr>
          <w:p w14:paraId="4DD4A95C" w14:textId="77777777" w:rsidR="004E70F1" w:rsidRPr="001E093D" w:rsidRDefault="004E70F1" w:rsidP="005E08F8">
            <w:pPr>
              <w:spacing w:before="20" w:after="20"/>
              <w:jc w:val="center"/>
              <w:rPr>
                <w:rFonts w:cstheme="minorHAnsi"/>
                <w:sz w:val="20"/>
              </w:rPr>
            </w:pPr>
            <w:r w:rsidRPr="001E093D">
              <w:rPr>
                <w:rFonts w:cstheme="minorHAnsi"/>
                <w:sz w:val="20"/>
              </w:rPr>
              <w:t>60</w:t>
            </w:r>
          </w:p>
        </w:tc>
        <w:tc>
          <w:tcPr>
            <w:tcW w:w="751" w:type="pct"/>
          </w:tcPr>
          <w:p w14:paraId="72720BC8" w14:textId="77777777" w:rsidR="004E70F1" w:rsidRPr="001E093D" w:rsidRDefault="004E70F1" w:rsidP="005E08F8">
            <w:pPr>
              <w:spacing w:before="20" w:after="20"/>
              <w:jc w:val="center"/>
              <w:rPr>
                <w:rFonts w:cstheme="minorHAnsi"/>
                <w:sz w:val="20"/>
              </w:rPr>
            </w:pPr>
            <w:r w:rsidRPr="001E093D">
              <w:rPr>
                <w:rFonts w:cstheme="minorHAnsi"/>
                <w:sz w:val="20"/>
              </w:rPr>
              <w:t>60</w:t>
            </w:r>
          </w:p>
        </w:tc>
        <w:tc>
          <w:tcPr>
            <w:tcW w:w="1607" w:type="pct"/>
            <w:vMerge/>
          </w:tcPr>
          <w:p w14:paraId="6B013545" w14:textId="77777777" w:rsidR="004E70F1" w:rsidRPr="004E70F1" w:rsidRDefault="004E70F1" w:rsidP="0039749C">
            <w:pPr>
              <w:spacing w:before="20" w:after="20"/>
              <w:rPr>
                <w:rFonts w:cstheme="minorHAnsi"/>
                <w:color w:val="FF0000"/>
                <w:sz w:val="18"/>
                <w:szCs w:val="18"/>
              </w:rPr>
            </w:pPr>
          </w:p>
        </w:tc>
      </w:tr>
      <w:tr w:rsidR="004E70F1" w:rsidRPr="00B06219" w14:paraId="0EAAC190" w14:textId="4BA6CD6A" w:rsidTr="007F40C4">
        <w:trPr>
          <w:cantSplit/>
          <w:trHeight w:val="20"/>
        </w:trPr>
        <w:tc>
          <w:tcPr>
            <w:tcW w:w="1889" w:type="pct"/>
          </w:tcPr>
          <w:p w14:paraId="261ED49C" w14:textId="77777777" w:rsidR="004E70F1" w:rsidRPr="005E08F8" w:rsidRDefault="004E70F1" w:rsidP="005E08F8">
            <w:pPr>
              <w:spacing w:before="20" w:after="20"/>
              <w:rPr>
                <w:rFonts w:cstheme="minorHAnsi"/>
                <w:sz w:val="20"/>
              </w:rPr>
            </w:pPr>
            <w:r w:rsidRPr="005E08F8">
              <w:rPr>
                <w:rFonts w:cstheme="minorHAnsi"/>
                <w:sz w:val="20"/>
              </w:rPr>
              <w:t>Pounds of Food Cooked per Day</w:t>
            </w:r>
          </w:p>
        </w:tc>
        <w:tc>
          <w:tcPr>
            <w:tcW w:w="753" w:type="pct"/>
          </w:tcPr>
          <w:p w14:paraId="07CF1FCB" w14:textId="77777777" w:rsidR="004E70F1" w:rsidRPr="001E093D" w:rsidRDefault="004E70F1" w:rsidP="005E08F8">
            <w:pPr>
              <w:spacing w:before="20" w:after="20"/>
              <w:jc w:val="center"/>
              <w:rPr>
                <w:rFonts w:cstheme="minorHAnsi"/>
                <w:sz w:val="20"/>
              </w:rPr>
            </w:pPr>
            <w:r w:rsidRPr="001E093D">
              <w:rPr>
                <w:rFonts w:cstheme="minorHAnsi"/>
                <w:sz w:val="20"/>
              </w:rPr>
              <w:t>200</w:t>
            </w:r>
          </w:p>
        </w:tc>
        <w:tc>
          <w:tcPr>
            <w:tcW w:w="751" w:type="pct"/>
          </w:tcPr>
          <w:p w14:paraId="30036E49" w14:textId="77777777" w:rsidR="004E70F1" w:rsidRPr="001E093D" w:rsidRDefault="004E70F1" w:rsidP="005E08F8">
            <w:pPr>
              <w:spacing w:before="20" w:after="20"/>
              <w:jc w:val="center"/>
              <w:rPr>
                <w:rFonts w:cstheme="minorHAnsi"/>
                <w:sz w:val="20"/>
              </w:rPr>
            </w:pPr>
            <w:r w:rsidRPr="001E093D">
              <w:rPr>
                <w:rFonts w:cstheme="minorHAnsi"/>
                <w:sz w:val="20"/>
              </w:rPr>
              <w:t>200</w:t>
            </w:r>
          </w:p>
        </w:tc>
        <w:tc>
          <w:tcPr>
            <w:tcW w:w="1607" w:type="pct"/>
            <w:vMerge/>
          </w:tcPr>
          <w:p w14:paraId="59234861" w14:textId="77777777" w:rsidR="004E70F1" w:rsidRPr="004E70F1" w:rsidRDefault="004E70F1" w:rsidP="0039749C">
            <w:pPr>
              <w:spacing w:before="20" w:after="20"/>
              <w:rPr>
                <w:rFonts w:cstheme="minorHAnsi"/>
                <w:color w:val="FF0000"/>
                <w:sz w:val="18"/>
                <w:szCs w:val="18"/>
              </w:rPr>
            </w:pPr>
          </w:p>
        </w:tc>
      </w:tr>
      <w:tr w:rsidR="004E70F1" w:rsidRPr="00B06219" w14:paraId="10ADD3B7" w14:textId="399C8828" w:rsidTr="007F40C4">
        <w:trPr>
          <w:cantSplit/>
          <w:trHeight w:val="20"/>
        </w:trPr>
        <w:tc>
          <w:tcPr>
            <w:tcW w:w="1889" w:type="pct"/>
          </w:tcPr>
          <w:p w14:paraId="47D05906" w14:textId="77777777" w:rsidR="004E70F1" w:rsidRPr="00A06762" w:rsidRDefault="004E70F1" w:rsidP="005E08F8">
            <w:pPr>
              <w:spacing w:before="20" w:after="20"/>
              <w:rPr>
                <w:rFonts w:cstheme="minorHAnsi"/>
                <w:sz w:val="20"/>
              </w:rPr>
            </w:pPr>
            <w:r w:rsidRPr="00A06762">
              <w:rPr>
                <w:rFonts w:cstheme="minorHAnsi"/>
                <w:sz w:val="20"/>
              </w:rPr>
              <w:t>ASTM Energy to Food (kWh/</w:t>
            </w:r>
            <w:proofErr w:type="spellStart"/>
            <w:r w:rsidRPr="00A06762">
              <w:rPr>
                <w:rFonts w:cstheme="minorHAnsi"/>
                <w:sz w:val="20"/>
              </w:rPr>
              <w:t>lb</w:t>
            </w:r>
            <w:proofErr w:type="spellEnd"/>
            <w:r w:rsidRPr="00A06762">
              <w:rPr>
                <w:rFonts w:cstheme="minorHAnsi"/>
                <w:sz w:val="20"/>
              </w:rPr>
              <w:t>)</w:t>
            </w:r>
          </w:p>
        </w:tc>
        <w:tc>
          <w:tcPr>
            <w:tcW w:w="753" w:type="pct"/>
          </w:tcPr>
          <w:p w14:paraId="1EF41F5C" w14:textId="77777777" w:rsidR="004E70F1" w:rsidRPr="00A06762" w:rsidRDefault="004E70F1" w:rsidP="005E08F8">
            <w:pPr>
              <w:spacing w:before="20" w:after="20"/>
              <w:jc w:val="center"/>
              <w:rPr>
                <w:rFonts w:cstheme="minorHAnsi"/>
                <w:sz w:val="20"/>
              </w:rPr>
            </w:pPr>
            <w:r w:rsidRPr="00A06762">
              <w:rPr>
                <w:rFonts w:cstheme="minorHAnsi"/>
                <w:sz w:val="20"/>
              </w:rPr>
              <w:t>0.0732</w:t>
            </w:r>
          </w:p>
        </w:tc>
        <w:tc>
          <w:tcPr>
            <w:tcW w:w="751" w:type="pct"/>
          </w:tcPr>
          <w:p w14:paraId="1663E0A5" w14:textId="77777777" w:rsidR="004E70F1" w:rsidRPr="00A06762" w:rsidRDefault="004E70F1" w:rsidP="005E08F8">
            <w:pPr>
              <w:spacing w:before="20" w:after="20"/>
              <w:jc w:val="center"/>
              <w:rPr>
                <w:rFonts w:cstheme="minorHAnsi"/>
                <w:sz w:val="20"/>
              </w:rPr>
            </w:pPr>
            <w:r w:rsidRPr="00A06762">
              <w:rPr>
                <w:rFonts w:cstheme="minorHAnsi"/>
                <w:sz w:val="20"/>
              </w:rPr>
              <w:t>0.0732</w:t>
            </w:r>
          </w:p>
        </w:tc>
        <w:tc>
          <w:tcPr>
            <w:tcW w:w="1607" w:type="pct"/>
            <w:vMerge/>
          </w:tcPr>
          <w:p w14:paraId="452034FB" w14:textId="77777777" w:rsidR="004E70F1" w:rsidRPr="004E70F1" w:rsidRDefault="004E70F1" w:rsidP="0039749C">
            <w:pPr>
              <w:spacing w:before="20" w:after="20"/>
              <w:rPr>
                <w:rFonts w:cstheme="minorHAnsi"/>
                <w:color w:val="FF0000"/>
                <w:sz w:val="18"/>
                <w:szCs w:val="18"/>
              </w:rPr>
            </w:pPr>
          </w:p>
        </w:tc>
      </w:tr>
      <w:tr w:rsidR="004E70F1" w:rsidRPr="00B06219" w14:paraId="31CA5B56" w14:textId="77777777" w:rsidTr="00A06762">
        <w:trPr>
          <w:cantSplit/>
          <w:trHeight w:val="719"/>
        </w:trPr>
        <w:tc>
          <w:tcPr>
            <w:tcW w:w="1889" w:type="pct"/>
          </w:tcPr>
          <w:p w14:paraId="4D589D22" w14:textId="77777777" w:rsidR="004E70F1" w:rsidRPr="005E08F8" w:rsidRDefault="004E70F1" w:rsidP="00593FF5">
            <w:pPr>
              <w:spacing w:before="20" w:after="20"/>
              <w:rPr>
                <w:rFonts w:cstheme="minorHAnsi"/>
                <w:sz w:val="20"/>
              </w:rPr>
            </w:pPr>
            <w:r w:rsidRPr="005E08F8">
              <w:rPr>
                <w:rFonts w:cstheme="minorHAnsi"/>
                <w:sz w:val="20"/>
              </w:rPr>
              <w:t>Operating Hours/Day</w:t>
            </w:r>
          </w:p>
        </w:tc>
        <w:tc>
          <w:tcPr>
            <w:tcW w:w="753" w:type="pct"/>
          </w:tcPr>
          <w:p w14:paraId="5B90F532" w14:textId="77777777" w:rsidR="004E70F1" w:rsidRPr="001E093D" w:rsidRDefault="004E70F1" w:rsidP="00593FF5">
            <w:pPr>
              <w:spacing w:before="20" w:after="20"/>
              <w:jc w:val="center"/>
              <w:rPr>
                <w:rFonts w:cstheme="minorHAnsi"/>
                <w:sz w:val="20"/>
              </w:rPr>
            </w:pPr>
            <w:r w:rsidRPr="001E093D">
              <w:rPr>
                <w:rFonts w:cstheme="minorHAnsi"/>
                <w:sz w:val="20"/>
              </w:rPr>
              <w:t>12</w:t>
            </w:r>
          </w:p>
        </w:tc>
        <w:tc>
          <w:tcPr>
            <w:tcW w:w="751" w:type="pct"/>
          </w:tcPr>
          <w:p w14:paraId="631B62D1" w14:textId="77777777" w:rsidR="004E70F1" w:rsidRPr="001E093D" w:rsidRDefault="004E70F1" w:rsidP="00593FF5">
            <w:pPr>
              <w:spacing w:before="20" w:after="20"/>
              <w:jc w:val="center"/>
              <w:rPr>
                <w:rFonts w:cstheme="minorHAnsi"/>
                <w:sz w:val="20"/>
              </w:rPr>
            </w:pPr>
            <w:r w:rsidRPr="001E093D">
              <w:rPr>
                <w:rFonts w:cstheme="minorHAnsi"/>
                <w:sz w:val="20"/>
              </w:rPr>
              <w:t>12</w:t>
            </w:r>
          </w:p>
        </w:tc>
        <w:tc>
          <w:tcPr>
            <w:tcW w:w="1607" w:type="pct"/>
            <w:vMerge w:val="restart"/>
            <w:vAlign w:val="center"/>
          </w:tcPr>
          <w:p w14:paraId="2CAADC18" w14:textId="13970A68" w:rsidR="004E70F1" w:rsidRPr="004E70F1" w:rsidRDefault="004E70F1" w:rsidP="00593FF5">
            <w:pPr>
              <w:spacing w:before="20" w:after="20"/>
              <w:rPr>
                <w:rFonts w:cstheme="minorHAnsi"/>
                <w:color w:val="FF0000"/>
                <w:sz w:val="18"/>
                <w:szCs w:val="18"/>
              </w:rPr>
            </w:pPr>
            <w:r w:rsidRPr="004E70F1">
              <w:rPr>
                <w:rStyle w:val="eTRMFootnoteTextChar"/>
                <w:szCs w:val="18"/>
              </w:rPr>
              <w:t xml:space="preserve">Spoor, C., D. </w:t>
            </w:r>
            <w:proofErr w:type="spellStart"/>
            <w:r w:rsidRPr="004E70F1">
              <w:rPr>
                <w:rStyle w:val="eTRMFootnoteTextChar"/>
                <w:szCs w:val="18"/>
              </w:rPr>
              <w:t>Zabrowski</w:t>
            </w:r>
            <w:proofErr w:type="spellEnd"/>
            <w:r w:rsidRPr="004E70F1">
              <w:rPr>
                <w:rStyle w:val="eTRMFootnoteTextChar"/>
                <w:szCs w:val="18"/>
              </w:rPr>
              <w:t xml:space="preserve">, and L. Mills. 2014. </w:t>
            </w:r>
            <w:r w:rsidRPr="004E70F1">
              <w:rPr>
                <w:rStyle w:val="eTRMFootnoteTextChar"/>
                <w:i/>
                <w:szCs w:val="18"/>
              </w:rPr>
              <w:t xml:space="preserve">Characterizing the Energy Efficiency Potential of Gas-Fired Commercial Food Service Equipment. </w:t>
            </w:r>
            <w:r w:rsidRPr="004E70F1">
              <w:rPr>
                <w:rStyle w:val="eTRMFootnoteTextChar"/>
                <w:szCs w:val="18"/>
              </w:rPr>
              <w:t>Prepared for the California Energy Commission. CEC-500-2014-095. Appendix E Table E-4.</w:t>
            </w:r>
          </w:p>
        </w:tc>
      </w:tr>
      <w:tr w:rsidR="004E70F1" w:rsidRPr="00B06219" w14:paraId="7E2B4669" w14:textId="77777777" w:rsidTr="00593FF5">
        <w:trPr>
          <w:cantSplit/>
          <w:trHeight w:val="20"/>
        </w:trPr>
        <w:tc>
          <w:tcPr>
            <w:tcW w:w="1889" w:type="pct"/>
          </w:tcPr>
          <w:p w14:paraId="3B1ECB2F" w14:textId="77777777" w:rsidR="004E70F1" w:rsidRPr="005E08F8" w:rsidRDefault="004E70F1" w:rsidP="00593FF5">
            <w:pPr>
              <w:spacing w:before="20" w:after="20"/>
              <w:rPr>
                <w:rFonts w:cstheme="minorHAnsi"/>
                <w:sz w:val="20"/>
              </w:rPr>
            </w:pPr>
            <w:r w:rsidRPr="005E08F8">
              <w:rPr>
                <w:rFonts w:cstheme="minorHAnsi"/>
                <w:sz w:val="20"/>
              </w:rPr>
              <w:t>Operating Days/Year</w:t>
            </w:r>
          </w:p>
        </w:tc>
        <w:tc>
          <w:tcPr>
            <w:tcW w:w="753" w:type="pct"/>
          </w:tcPr>
          <w:p w14:paraId="276594DB" w14:textId="77777777" w:rsidR="004E70F1" w:rsidRPr="00222B06" w:rsidRDefault="004E70F1" w:rsidP="00593FF5">
            <w:pPr>
              <w:spacing w:before="20" w:after="20"/>
              <w:jc w:val="center"/>
              <w:rPr>
                <w:rFonts w:cstheme="minorHAnsi"/>
                <w:sz w:val="20"/>
              </w:rPr>
            </w:pPr>
            <w:r w:rsidRPr="00222B06">
              <w:rPr>
                <w:rFonts w:cstheme="minorHAnsi"/>
                <w:sz w:val="20"/>
              </w:rPr>
              <w:t>365</w:t>
            </w:r>
          </w:p>
        </w:tc>
        <w:tc>
          <w:tcPr>
            <w:tcW w:w="751" w:type="pct"/>
          </w:tcPr>
          <w:p w14:paraId="7F0C53AC" w14:textId="77777777" w:rsidR="004E70F1" w:rsidRPr="00222B06" w:rsidRDefault="004E70F1" w:rsidP="00593FF5">
            <w:pPr>
              <w:spacing w:before="20" w:after="20"/>
              <w:jc w:val="center"/>
              <w:rPr>
                <w:rFonts w:cstheme="minorHAnsi"/>
                <w:sz w:val="20"/>
              </w:rPr>
            </w:pPr>
            <w:r w:rsidRPr="00222B06">
              <w:rPr>
                <w:rFonts w:cstheme="minorHAnsi"/>
                <w:sz w:val="20"/>
              </w:rPr>
              <w:t>365</w:t>
            </w:r>
          </w:p>
        </w:tc>
        <w:tc>
          <w:tcPr>
            <w:tcW w:w="1607" w:type="pct"/>
            <w:vMerge/>
          </w:tcPr>
          <w:p w14:paraId="16F2DD94" w14:textId="77777777" w:rsidR="004E70F1" w:rsidRPr="0039749C" w:rsidRDefault="004E70F1" w:rsidP="00593FF5">
            <w:pPr>
              <w:spacing w:before="20" w:after="20"/>
              <w:rPr>
                <w:rFonts w:cstheme="minorHAnsi"/>
                <w:color w:val="FF0000"/>
                <w:sz w:val="16"/>
                <w:szCs w:val="16"/>
              </w:rPr>
            </w:pPr>
          </w:p>
        </w:tc>
      </w:tr>
    </w:tbl>
    <w:p w14:paraId="37E65DBC" w14:textId="26090E86" w:rsidR="004142EF" w:rsidRDefault="004142EF" w:rsidP="004B06E3"/>
    <w:p w14:paraId="447EEC2B" w14:textId="4018C63A" w:rsidR="003735C3" w:rsidRDefault="003735C3" w:rsidP="004B06E3">
      <w:r>
        <w:t>A sample calculation of the UES of a commercial electric deck oven is provided below.</w:t>
      </w:r>
    </w:p>
    <w:p w14:paraId="304D387B" w14:textId="7D94CFCA" w:rsidR="0052002E" w:rsidRPr="00222B06" w:rsidRDefault="0052002E" w:rsidP="00222B06">
      <w:pPr>
        <w:ind w:left="720"/>
        <w:rPr>
          <w:rFonts w:ascii="Cambria Math" w:hAnsi="Cambria Math" w:cstheme="minorHAnsi"/>
          <w:b/>
          <w:i/>
          <w:sz w:val="18"/>
          <w:szCs w:val="22"/>
        </w:rPr>
      </w:pPr>
      <w:proofErr w:type="spellStart"/>
      <w:r w:rsidRPr="00222B06">
        <w:rPr>
          <w:rFonts w:ascii="Cambria Math" w:hAnsi="Cambria Math" w:cstheme="minorHAnsi"/>
          <w:i/>
          <w:sz w:val="18"/>
          <w:szCs w:val="22"/>
        </w:rPr>
        <w:t>UEC</w:t>
      </w:r>
      <w:r w:rsidR="003735C3" w:rsidRPr="00222B06">
        <w:rPr>
          <w:rFonts w:ascii="Cambria Math" w:hAnsi="Cambria Math" w:cstheme="minorHAnsi"/>
          <w:i/>
          <w:sz w:val="18"/>
          <w:szCs w:val="22"/>
        </w:rPr>
        <w:t>_YEAR</w:t>
      </w:r>
      <w:r w:rsidRPr="00222B06">
        <w:rPr>
          <w:rFonts w:ascii="Cambria Math" w:hAnsi="Cambria Math" w:cstheme="minorHAnsi"/>
          <w:i/>
          <w:sz w:val="18"/>
          <w:szCs w:val="22"/>
          <w:vertAlign w:val="subscript"/>
        </w:rPr>
        <w:t>base</w:t>
      </w:r>
      <w:proofErr w:type="spellEnd"/>
      <w:r w:rsidRPr="00222B06">
        <w:rPr>
          <w:rFonts w:ascii="Cambria Math" w:hAnsi="Cambria Math" w:cstheme="minorHAnsi"/>
          <w:i/>
          <w:sz w:val="18"/>
          <w:szCs w:val="22"/>
        </w:rPr>
        <w:t xml:space="preserve">= </w:t>
      </w:r>
      <w:r w:rsidR="003735C3" w:rsidRPr="00222B06">
        <w:rPr>
          <w:rFonts w:ascii="Cambria Math" w:hAnsi="Cambria Math" w:cstheme="minorHAnsi"/>
          <w:i/>
          <w:sz w:val="18"/>
          <w:szCs w:val="22"/>
        </w:rPr>
        <w:t>[</w:t>
      </w:r>
      <w:r w:rsidRPr="00222B06">
        <w:rPr>
          <w:rFonts w:ascii="Cambria Math" w:hAnsi="Cambria Math" w:cstheme="minorHAnsi"/>
          <w:i/>
          <w:sz w:val="18"/>
          <w:szCs w:val="22"/>
        </w:rPr>
        <w:t>(200 x 0.0732</w:t>
      </w:r>
      <w:r w:rsidR="00020BBD">
        <w:rPr>
          <w:rFonts w:ascii="Cambria Math" w:hAnsi="Cambria Math" w:cstheme="minorHAnsi"/>
          <w:i/>
          <w:sz w:val="18"/>
          <w:szCs w:val="22"/>
        </w:rPr>
        <w:t>/0.40</w:t>
      </w:r>
      <w:r w:rsidRPr="00222B06">
        <w:rPr>
          <w:rFonts w:ascii="Cambria Math" w:hAnsi="Cambria Math" w:cstheme="minorHAnsi"/>
          <w:i/>
          <w:sz w:val="18"/>
          <w:szCs w:val="22"/>
        </w:rPr>
        <w:t>)</w:t>
      </w:r>
      <w:r w:rsidR="003735C3" w:rsidRPr="00222B06">
        <w:rPr>
          <w:rFonts w:ascii="Cambria Math" w:hAnsi="Cambria Math" w:cstheme="minorHAnsi"/>
          <w:i/>
          <w:sz w:val="18"/>
          <w:szCs w:val="22"/>
        </w:rPr>
        <w:t>]</w:t>
      </w:r>
      <w:r w:rsidRPr="00222B06">
        <w:rPr>
          <w:rFonts w:ascii="Cambria Math" w:hAnsi="Cambria Math" w:cstheme="minorHAnsi"/>
          <w:i/>
          <w:sz w:val="18"/>
          <w:szCs w:val="22"/>
        </w:rPr>
        <w:t xml:space="preserve"> + [1.90 x (12 -200/60 – 1 x 30/60)] + </w:t>
      </w:r>
      <w:r w:rsidR="003735C3" w:rsidRPr="00222B06">
        <w:rPr>
          <w:rFonts w:ascii="Cambria Math" w:hAnsi="Cambria Math" w:cstheme="minorHAnsi"/>
          <w:i/>
          <w:sz w:val="18"/>
          <w:szCs w:val="22"/>
        </w:rPr>
        <w:t>(</w:t>
      </w:r>
      <w:r w:rsidRPr="00222B06">
        <w:rPr>
          <w:rFonts w:ascii="Cambria Math" w:hAnsi="Cambria Math" w:cstheme="minorHAnsi"/>
          <w:i/>
          <w:sz w:val="18"/>
          <w:szCs w:val="22"/>
        </w:rPr>
        <w:t>1 x 6.50</w:t>
      </w:r>
      <w:r w:rsidR="003735C3" w:rsidRPr="00222B06">
        <w:rPr>
          <w:rFonts w:ascii="Cambria Math" w:hAnsi="Cambria Math" w:cstheme="minorHAnsi"/>
          <w:i/>
          <w:sz w:val="18"/>
          <w:szCs w:val="22"/>
        </w:rPr>
        <w:t>)</w:t>
      </w:r>
      <w:r w:rsidRPr="00222B06">
        <w:rPr>
          <w:rFonts w:ascii="Cambria Math" w:hAnsi="Cambria Math" w:cstheme="minorHAnsi"/>
          <w:i/>
          <w:sz w:val="18"/>
          <w:szCs w:val="22"/>
        </w:rPr>
        <w:t xml:space="preserve"> = 58.</w:t>
      </w:r>
      <w:r w:rsidR="00020BBD">
        <w:rPr>
          <w:rFonts w:ascii="Cambria Math" w:hAnsi="Cambria Math" w:cstheme="minorHAnsi"/>
          <w:i/>
          <w:sz w:val="18"/>
          <w:szCs w:val="22"/>
        </w:rPr>
        <w:t>6</w:t>
      </w:r>
      <w:r w:rsidRPr="00222B06">
        <w:rPr>
          <w:rFonts w:ascii="Cambria Math" w:hAnsi="Cambria Math" w:cstheme="minorHAnsi"/>
          <w:i/>
          <w:sz w:val="18"/>
          <w:szCs w:val="22"/>
        </w:rPr>
        <w:t>2 kWh</w:t>
      </w:r>
    </w:p>
    <w:p w14:paraId="5EFC822D" w14:textId="6ABD83C5" w:rsidR="0052002E" w:rsidRPr="00222B06" w:rsidRDefault="0052002E" w:rsidP="00222B06">
      <w:pPr>
        <w:ind w:left="720"/>
        <w:rPr>
          <w:rFonts w:ascii="Cambria Math" w:hAnsi="Cambria Math" w:cstheme="minorHAnsi"/>
          <w:i/>
          <w:sz w:val="18"/>
          <w:szCs w:val="22"/>
        </w:rPr>
      </w:pPr>
      <w:proofErr w:type="spellStart"/>
      <w:r w:rsidRPr="00222B06">
        <w:rPr>
          <w:rFonts w:ascii="Cambria Math" w:hAnsi="Cambria Math" w:cstheme="minorHAnsi"/>
          <w:i/>
          <w:sz w:val="18"/>
          <w:szCs w:val="22"/>
        </w:rPr>
        <w:t>UEC</w:t>
      </w:r>
      <w:r w:rsidR="003735C3" w:rsidRPr="00222B06">
        <w:rPr>
          <w:rFonts w:ascii="Cambria Math" w:hAnsi="Cambria Math" w:cstheme="minorHAnsi"/>
          <w:i/>
          <w:sz w:val="18"/>
          <w:szCs w:val="22"/>
        </w:rPr>
        <w:t>_YEAR</w:t>
      </w:r>
      <w:r w:rsidRPr="00222B06">
        <w:rPr>
          <w:rFonts w:ascii="Cambria Math" w:hAnsi="Cambria Math" w:cstheme="minorHAnsi"/>
          <w:i/>
          <w:sz w:val="18"/>
          <w:szCs w:val="22"/>
          <w:vertAlign w:val="subscript"/>
        </w:rPr>
        <w:t>meas</w:t>
      </w:r>
      <w:r w:rsidR="003735C3" w:rsidRPr="00222B06">
        <w:rPr>
          <w:rFonts w:ascii="Cambria Math" w:hAnsi="Cambria Math" w:cstheme="minorHAnsi"/>
          <w:i/>
          <w:sz w:val="18"/>
          <w:szCs w:val="22"/>
          <w:vertAlign w:val="subscript"/>
        </w:rPr>
        <w:t>ure</w:t>
      </w:r>
      <w:proofErr w:type="spellEnd"/>
      <w:r w:rsidRPr="00222B06">
        <w:rPr>
          <w:rFonts w:ascii="Cambria Math" w:hAnsi="Cambria Math" w:cstheme="minorHAnsi"/>
          <w:i/>
          <w:sz w:val="18"/>
          <w:szCs w:val="22"/>
        </w:rPr>
        <w:t xml:space="preserve">  = </w:t>
      </w:r>
      <w:r w:rsidR="003735C3" w:rsidRPr="00222B06">
        <w:rPr>
          <w:rFonts w:ascii="Cambria Math" w:hAnsi="Cambria Math" w:cstheme="minorHAnsi"/>
          <w:i/>
          <w:sz w:val="18"/>
          <w:szCs w:val="22"/>
        </w:rPr>
        <w:t>[</w:t>
      </w:r>
      <w:r w:rsidRPr="00222B06">
        <w:rPr>
          <w:rFonts w:ascii="Cambria Math" w:hAnsi="Cambria Math" w:cstheme="minorHAnsi"/>
          <w:i/>
          <w:sz w:val="18"/>
          <w:szCs w:val="22"/>
        </w:rPr>
        <w:t>(200 x 0.0732) ÷ 0.6</w:t>
      </w:r>
      <w:r w:rsidR="003735C3" w:rsidRPr="00222B06">
        <w:rPr>
          <w:rFonts w:ascii="Cambria Math" w:hAnsi="Cambria Math" w:cstheme="minorHAnsi"/>
          <w:i/>
          <w:sz w:val="18"/>
          <w:szCs w:val="22"/>
        </w:rPr>
        <w:t>]</w:t>
      </w:r>
      <w:r w:rsidRPr="00222B06">
        <w:rPr>
          <w:rFonts w:ascii="Cambria Math" w:hAnsi="Cambria Math" w:cstheme="minorHAnsi"/>
          <w:i/>
          <w:sz w:val="18"/>
          <w:szCs w:val="22"/>
        </w:rPr>
        <w:t xml:space="preserve"> + [1.30 x (12 -200/60 – 1 x 30/60)] + </w:t>
      </w:r>
      <w:r w:rsidR="003735C3" w:rsidRPr="00222B06">
        <w:rPr>
          <w:rFonts w:ascii="Cambria Math" w:hAnsi="Cambria Math" w:cstheme="minorHAnsi"/>
          <w:i/>
          <w:sz w:val="18"/>
          <w:szCs w:val="22"/>
        </w:rPr>
        <w:t>(</w:t>
      </w:r>
      <w:r w:rsidRPr="00222B06">
        <w:rPr>
          <w:rFonts w:ascii="Cambria Math" w:hAnsi="Cambria Math" w:cstheme="minorHAnsi"/>
          <w:i/>
          <w:sz w:val="18"/>
          <w:szCs w:val="22"/>
        </w:rPr>
        <w:t>1 x 3.00</w:t>
      </w:r>
      <w:r w:rsidR="003735C3" w:rsidRPr="00222B06">
        <w:rPr>
          <w:rFonts w:ascii="Cambria Math" w:hAnsi="Cambria Math" w:cstheme="minorHAnsi"/>
          <w:i/>
          <w:sz w:val="18"/>
          <w:szCs w:val="22"/>
        </w:rPr>
        <w:t>)</w:t>
      </w:r>
      <w:r w:rsidRPr="00222B06">
        <w:rPr>
          <w:rFonts w:ascii="Cambria Math" w:hAnsi="Cambria Math" w:cstheme="minorHAnsi"/>
          <w:i/>
          <w:sz w:val="18"/>
          <w:szCs w:val="22"/>
        </w:rPr>
        <w:t xml:space="preserve"> = 38.02 kWh</w:t>
      </w:r>
    </w:p>
    <w:p w14:paraId="6C35EF30" w14:textId="4F247468" w:rsidR="0052002E" w:rsidRPr="00222B06" w:rsidRDefault="003735C3" w:rsidP="00222B06">
      <w:pPr>
        <w:ind w:left="720"/>
        <w:rPr>
          <w:rFonts w:ascii="Cambria Math" w:hAnsi="Cambria Math" w:cstheme="minorHAnsi"/>
          <w:i/>
          <w:sz w:val="18"/>
          <w:szCs w:val="22"/>
        </w:rPr>
      </w:pPr>
      <w:r w:rsidRPr="00222B06">
        <w:rPr>
          <w:rFonts w:ascii="Cambria Math" w:hAnsi="Cambria Math" w:cstheme="minorHAnsi"/>
          <w:i/>
          <w:sz w:val="18"/>
          <w:szCs w:val="22"/>
        </w:rPr>
        <w:t>UES_YEAR</w:t>
      </w:r>
      <w:r w:rsidR="0052002E" w:rsidRPr="00222B06">
        <w:rPr>
          <w:rFonts w:ascii="Cambria Math" w:hAnsi="Cambria Math" w:cstheme="minorHAnsi"/>
          <w:i/>
          <w:sz w:val="18"/>
          <w:szCs w:val="22"/>
        </w:rPr>
        <w:t xml:space="preserve"> = (</w:t>
      </w:r>
      <w:r w:rsidRPr="00222B06">
        <w:rPr>
          <w:rFonts w:ascii="Cambria Math" w:hAnsi="Cambria Math" w:cstheme="minorHAnsi"/>
          <w:i/>
          <w:sz w:val="18"/>
          <w:szCs w:val="22"/>
        </w:rPr>
        <w:t>58.</w:t>
      </w:r>
      <w:r w:rsidR="00020BBD">
        <w:rPr>
          <w:rFonts w:ascii="Cambria Math" w:hAnsi="Cambria Math" w:cstheme="minorHAnsi"/>
          <w:i/>
          <w:sz w:val="18"/>
          <w:szCs w:val="22"/>
        </w:rPr>
        <w:t>6</w:t>
      </w:r>
      <w:r w:rsidRPr="00222B06">
        <w:rPr>
          <w:rFonts w:ascii="Cambria Math" w:hAnsi="Cambria Math" w:cstheme="minorHAnsi"/>
          <w:i/>
          <w:sz w:val="18"/>
          <w:szCs w:val="22"/>
        </w:rPr>
        <w:t>2</w:t>
      </w:r>
      <w:r w:rsidR="0052002E" w:rsidRPr="00222B06">
        <w:rPr>
          <w:rFonts w:ascii="Cambria Math" w:hAnsi="Cambria Math" w:cstheme="minorHAnsi"/>
          <w:i/>
          <w:sz w:val="18"/>
          <w:szCs w:val="22"/>
          <w:vertAlign w:val="subscript"/>
        </w:rPr>
        <w:t xml:space="preserve"> </w:t>
      </w:r>
      <w:r w:rsidR="0052002E" w:rsidRPr="00222B06">
        <w:rPr>
          <w:rFonts w:ascii="Cambria Math" w:hAnsi="Cambria Math" w:cstheme="minorHAnsi"/>
          <w:i/>
          <w:sz w:val="18"/>
          <w:szCs w:val="22"/>
        </w:rPr>
        <w:t>x 3</w:t>
      </w:r>
      <w:r w:rsidRPr="00222B06">
        <w:rPr>
          <w:rFonts w:ascii="Cambria Math" w:hAnsi="Cambria Math" w:cstheme="minorHAnsi"/>
          <w:i/>
          <w:sz w:val="18"/>
          <w:szCs w:val="22"/>
        </w:rPr>
        <w:t>6</w:t>
      </w:r>
      <w:r w:rsidR="0052002E" w:rsidRPr="00222B06">
        <w:rPr>
          <w:rFonts w:ascii="Cambria Math" w:hAnsi="Cambria Math" w:cstheme="minorHAnsi"/>
          <w:i/>
          <w:sz w:val="18"/>
          <w:szCs w:val="22"/>
        </w:rPr>
        <w:t>5) - (</w:t>
      </w:r>
      <w:r w:rsidRPr="00222B06">
        <w:rPr>
          <w:rFonts w:ascii="Cambria Math" w:hAnsi="Cambria Math" w:cstheme="minorHAnsi"/>
          <w:i/>
          <w:sz w:val="18"/>
          <w:szCs w:val="22"/>
        </w:rPr>
        <w:t>38.02</w:t>
      </w:r>
      <w:r w:rsidR="0052002E" w:rsidRPr="00222B06">
        <w:rPr>
          <w:rFonts w:ascii="Cambria Math" w:hAnsi="Cambria Math" w:cstheme="minorHAnsi"/>
          <w:i/>
          <w:sz w:val="18"/>
          <w:szCs w:val="22"/>
          <w:vertAlign w:val="subscript"/>
        </w:rPr>
        <w:t xml:space="preserve"> </w:t>
      </w:r>
      <w:r w:rsidR="0052002E" w:rsidRPr="00222B06">
        <w:rPr>
          <w:rFonts w:ascii="Cambria Math" w:hAnsi="Cambria Math" w:cstheme="minorHAnsi"/>
          <w:i/>
          <w:sz w:val="18"/>
          <w:szCs w:val="22"/>
        </w:rPr>
        <w:t>x 3</w:t>
      </w:r>
      <w:r w:rsidR="007F39D6">
        <w:rPr>
          <w:rFonts w:ascii="Cambria Math" w:hAnsi="Cambria Math" w:cstheme="minorHAnsi"/>
          <w:i/>
          <w:sz w:val="18"/>
          <w:szCs w:val="22"/>
        </w:rPr>
        <w:t>6</w:t>
      </w:r>
      <w:r w:rsidR="0052002E" w:rsidRPr="00222B06">
        <w:rPr>
          <w:rFonts w:ascii="Cambria Math" w:hAnsi="Cambria Math" w:cstheme="minorHAnsi"/>
          <w:i/>
          <w:sz w:val="18"/>
          <w:szCs w:val="22"/>
        </w:rPr>
        <w:t xml:space="preserve">5) </w:t>
      </w:r>
    </w:p>
    <w:p w14:paraId="58E63430" w14:textId="4D5D4FFD" w:rsidR="0052002E" w:rsidRPr="00222B06" w:rsidRDefault="003735C3" w:rsidP="00222B06">
      <w:pPr>
        <w:ind w:left="720"/>
        <w:rPr>
          <w:rFonts w:ascii="Cambria Math" w:hAnsi="Cambria Math" w:cstheme="minorHAnsi"/>
          <w:i/>
          <w:sz w:val="18"/>
          <w:szCs w:val="22"/>
        </w:rPr>
      </w:pPr>
      <w:r w:rsidRPr="00222B06">
        <w:rPr>
          <w:rFonts w:ascii="Cambria Math" w:hAnsi="Cambria Math" w:cstheme="minorHAnsi"/>
          <w:i/>
          <w:sz w:val="18"/>
          <w:szCs w:val="22"/>
        </w:rPr>
        <w:t xml:space="preserve">UES_YEAR = </w:t>
      </w:r>
      <w:r w:rsidR="0052002E" w:rsidRPr="00222B06">
        <w:rPr>
          <w:rFonts w:ascii="Cambria Math" w:hAnsi="Cambria Math" w:cstheme="minorHAnsi"/>
          <w:i/>
          <w:sz w:val="18"/>
          <w:szCs w:val="22"/>
        </w:rPr>
        <w:t>7,</w:t>
      </w:r>
      <w:r w:rsidR="00020BBD">
        <w:rPr>
          <w:rFonts w:ascii="Cambria Math" w:hAnsi="Cambria Math" w:cstheme="minorHAnsi"/>
          <w:i/>
          <w:sz w:val="18"/>
          <w:szCs w:val="22"/>
        </w:rPr>
        <w:t>519</w:t>
      </w:r>
      <w:r w:rsidRPr="00222B06">
        <w:rPr>
          <w:rFonts w:ascii="Cambria Math" w:hAnsi="Cambria Math" w:cstheme="minorHAnsi"/>
          <w:i/>
          <w:sz w:val="18"/>
          <w:szCs w:val="22"/>
        </w:rPr>
        <w:t xml:space="preserve"> kWh</w:t>
      </w:r>
    </w:p>
    <w:p w14:paraId="65FF32C2" w14:textId="77777777" w:rsidR="0052002E" w:rsidRPr="004B06E3" w:rsidRDefault="0052002E" w:rsidP="004B06E3"/>
    <w:p w14:paraId="402DB3F2" w14:textId="77777777" w:rsidR="00A12DCE" w:rsidRPr="004B06E3" w:rsidRDefault="00A12DCE" w:rsidP="007533DE">
      <w:pPr>
        <w:pStyle w:val="eTRMHeading3"/>
      </w:pPr>
      <w:bookmarkStart w:id="59" w:name="_Toc486490856"/>
      <w:bookmarkStart w:id="60" w:name="_Toc486580927"/>
      <w:bookmarkStart w:id="61" w:name="_Toc57800334"/>
      <w:r w:rsidRPr="004B06E3">
        <w:t>Peak Electric Demand Reduction (kW)</w:t>
      </w:r>
      <w:bookmarkEnd w:id="59"/>
      <w:bookmarkEnd w:id="60"/>
      <w:bookmarkEnd w:id="61"/>
    </w:p>
    <w:p w14:paraId="74C50CDE" w14:textId="40A3FC70" w:rsidR="00A12DCE" w:rsidRDefault="0039749C" w:rsidP="00A12DCE">
      <w:pPr>
        <w:rPr>
          <w:rFonts w:cstheme="minorHAnsi"/>
          <w:szCs w:val="22"/>
        </w:rPr>
      </w:pPr>
      <w:r>
        <w:rPr>
          <w:rFonts w:cstheme="minorHAnsi"/>
          <w:szCs w:val="22"/>
        </w:rPr>
        <w:t>The</w:t>
      </w:r>
      <w:r w:rsidR="00A12DCE" w:rsidRPr="00664EC8">
        <w:rPr>
          <w:rFonts w:cstheme="minorHAnsi"/>
          <w:szCs w:val="22"/>
        </w:rPr>
        <w:t xml:space="preserve"> actual contribution </w:t>
      </w:r>
      <w:r>
        <w:rPr>
          <w:rFonts w:cstheme="minorHAnsi"/>
          <w:szCs w:val="22"/>
        </w:rPr>
        <w:t>of a deck oven to building</w:t>
      </w:r>
      <w:r w:rsidR="00A12DCE" w:rsidRPr="00664EC8">
        <w:rPr>
          <w:rFonts w:cstheme="minorHAnsi"/>
          <w:szCs w:val="22"/>
        </w:rPr>
        <w:t xml:space="preserve"> peak demand may vary significantly depending on its usage pattern in relation to that of other electric equipment in the facility (operating schedule, appliance </w:t>
      </w:r>
      <w:r w:rsidR="00BE569F">
        <w:rPr>
          <w:rFonts w:cstheme="minorHAnsi"/>
          <w:szCs w:val="22"/>
        </w:rPr>
        <w:t>ON</w:t>
      </w:r>
      <w:r w:rsidR="00A12DCE" w:rsidRPr="00664EC8">
        <w:rPr>
          <w:rFonts w:cstheme="minorHAnsi"/>
          <w:szCs w:val="22"/>
        </w:rPr>
        <w:t xml:space="preserve"> time, etc.). The probability of an appliance drawing its average rate during the period that the building peak is set is significantly higher than for any other input rate for that appliance. </w:t>
      </w:r>
    </w:p>
    <w:p w14:paraId="21A26BA6" w14:textId="459A997F" w:rsidR="00BE569F" w:rsidRPr="005D7440" w:rsidRDefault="00C753ED" w:rsidP="00BE569F">
      <w:pPr>
        <w:rPr>
          <w:rFonts w:cs="Calibri Light"/>
          <w:szCs w:val="22"/>
          <w:shd w:val="clear" w:color="auto" w:fill="FFFFFF"/>
        </w:rPr>
      </w:pPr>
      <w:bookmarkStart w:id="62" w:name="_Hlk526868238"/>
      <w:r>
        <w:rPr>
          <w:rFonts w:cs="Calibri Light"/>
          <w:szCs w:val="22"/>
          <w:shd w:val="clear" w:color="auto" w:fill="FFFFFF"/>
        </w:rPr>
        <w:t>It is assumed that this measure operates within the Database of Energy Efficient Resources (DEER) peak period of 4 p.m. to 9 p.m. on weekdays</w:t>
      </w:r>
      <w:r>
        <w:rPr>
          <w:rStyle w:val="FootnoteReference"/>
          <w:rFonts w:cs="Calibri Light"/>
          <w:szCs w:val="22"/>
          <w:shd w:val="clear" w:color="auto" w:fill="FFFFFF"/>
        </w:rPr>
        <w:footnoteReference w:id="7"/>
      </w:r>
      <w:r>
        <w:rPr>
          <w:rFonts w:cs="Calibri Light"/>
          <w:szCs w:val="22"/>
          <w:shd w:val="clear" w:color="auto" w:fill="FFFFFF"/>
        </w:rPr>
        <w:t xml:space="preserve"> at a constant load throughout the day. </w:t>
      </w:r>
      <w:r w:rsidR="00BE569F" w:rsidRPr="005D7440">
        <w:rPr>
          <w:rFonts w:cs="Calibri Light"/>
          <w:szCs w:val="22"/>
          <w:shd w:val="clear" w:color="auto" w:fill="FFFFFF"/>
        </w:rPr>
        <w:t>The average and peak demand reduction calculation</w:t>
      </w:r>
      <w:r w:rsidR="00BE569F">
        <w:rPr>
          <w:rFonts w:cs="Calibri Light"/>
          <w:szCs w:val="22"/>
          <w:shd w:val="clear" w:color="auto" w:fill="FFFFFF"/>
        </w:rPr>
        <w:t>s</w:t>
      </w:r>
      <w:r w:rsidR="00BE569F" w:rsidRPr="005D7440">
        <w:rPr>
          <w:rFonts w:cs="Calibri Light"/>
          <w:szCs w:val="22"/>
          <w:shd w:val="clear" w:color="auto" w:fill="FFFFFF"/>
        </w:rPr>
        <w:t xml:space="preserve"> utilize the measured data of base case and measure case </w:t>
      </w:r>
      <w:r w:rsidR="00BE569F">
        <w:rPr>
          <w:rFonts w:cs="Calibri Light"/>
          <w:szCs w:val="22"/>
          <w:shd w:val="clear" w:color="auto" w:fill="FFFFFF"/>
        </w:rPr>
        <w:t>oven</w:t>
      </w:r>
      <w:r w:rsidR="000B676A">
        <w:rPr>
          <w:rFonts w:cs="Calibri Light"/>
          <w:szCs w:val="22"/>
          <w:shd w:val="clear" w:color="auto" w:fill="FFFFFF"/>
        </w:rPr>
        <w:t>s</w:t>
      </w:r>
      <w:r w:rsidR="00BE569F" w:rsidRPr="005D7440">
        <w:rPr>
          <w:rFonts w:cs="Calibri Light"/>
          <w:szCs w:val="22"/>
          <w:shd w:val="clear" w:color="auto" w:fill="FFFFFF"/>
        </w:rPr>
        <w:t xml:space="preserve"> specified for Electric Savings.  The </w:t>
      </w:r>
      <w:r w:rsidR="00BE569F" w:rsidRPr="005D7440">
        <w:rPr>
          <w:rStyle w:val="Strong"/>
          <w:rFonts w:cs="Calibri Light"/>
          <w:color w:val="292929"/>
          <w:szCs w:val="22"/>
          <w:shd w:val="clear" w:color="auto" w:fill="FFFFFF"/>
        </w:rPr>
        <w:t>average demand </w:t>
      </w:r>
      <w:r w:rsidR="00BE569F" w:rsidRPr="005D7440">
        <w:rPr>
          <w:rFonts w:cs="Calibri Light"/>
          <w:szCs w:val="22"/>
          <w:shd w:val="clear" w:color="auto" w:fill="FFFFFF"/>
        </w:rPr>
        <w:t>(baseline or measure case) is equal to the annual unit energy consumption (UEC) divided by the assumed annual hours of operation. </w:t>
      </w:r>
    </w:p>
    <w:p w14:paraId="6F089013" w14:textId="77777777" w:rsidR="00BE569F" w:rsidRPr="00626CDF" w:rsidRDefault="00CC1B12" w:rsidP="00BE569F">
      <w:pPr>
        <w:ind w:left="720"/>
        <w:rPr>
          <w:sz w:val="18"/>
        </w:rPr>
      </w:pPr>
      <m:oMathPara>
        <m:oMathParaPr>
          <m:jc m:val="left"/>
        </m:oMathParaPr>
        <m:oMath>
          <m:sSub>
            <m:sSubPr>
              <m:ctrlPr>
                <w:rPr>
                  <w:rFonts w:ascii="Cambria Math" w:hAnsi="Cambria Math"/>
                  <w:i/>
                  <w:sz w:val="18"/>
                </w:rPr>
              </m:ctrlPr>
            </m:sSubPr>
            <m:e>
              <m:r>
                <w:rPr>
                  <w:rFonts w:ascii="Cambria Math" w:hAnsi="Cambria Math"/>
                  <w:sz w:val="18"/>
                </w:rPr>
                <m:t>Demand</m:t>
              </m:r>
            </m:e>
            <m:sub>
              <m:r>
                <w:rPr>
                  <w:rFonts w:ascii="Cambria Math" w:hAnsi="Cambria Math"/>
                  <w:sz w:val="18"/>
                </w:rPr>
                <m:t>avg</m:t>
              </m:r>
            </m:sub>
          </m:sSub>
          <m:r>
            <w:rPr>
              <w:rFonts w:ascii="Cambria Math" w:hAnsi="Cambria Math"/>
              <w:sz w:val="18"/>
            </w:rPr>
            <m:t>=</m:t>
          </m:r>
          <m:f>
            <m:fPr>
              <m:ctrlPr>
                <w:rPr>
                  <w:rFonts w:ascii="Cambria Math" w:hAnsi="Cambria Math"/>
                  <w:i/>
                  <w:sz w:val="18"/>
                </w:rPr>
              </m:ctrlPr>
            </m:fPr>
            <m:num>
              <m:sSub>
                <m:sSubPr>
                  <m:ctrlPr>
                    <w:rPr>
                      <w:rFonts w:ascii="Cambria Math" w:hAnsi="Cambria Math"/>
                      <w:i/>
                      <w:sz w:val="18"/>
                    </w:rPr>
                  </m:ctrlPr>
                </m:sSubPr>
                <m:e>
                  <m:r>
                    <w:rPr>
                      <w:rFonts w:ascii="Cambria Math" w:hAnsi="Cambria Math" w:cs="Calibri Light"/>
                      <w:sz w:val="18"/>
                      <w:szCs w:val="20"/>
                    </w:rPr>
                    <m:t xml:space="preserve">UEC_YEAR </m:t>
                  </m:r>
                </m:e>
                <m:sub>
                  <m:r>
                    <w:rPr>
                      <w:rFonts w:ascii="Cambria Math" w:hAnsi="Cambria Math"/>
                      <w:sz w:val="18"/>
                    </w:rPr>
                    <m:t>kWh</m:t>
                  </m:r>
                </m:sub>
              </m:sSub>
            </m:num>
            <m:den>
              <m:r>
                <w:rPr>
                  <w:rFonts w:ascii="Cambria Math" w:hAnsi="Cambria Math"/>
                  <w:sz w:val="18"/>
                </w:rPr>
                <m:t>EDAYS×EHOUR</m:t>
              </m:r>
            </m:den>
          </m:f>
        </m:oMath>
      </m:oMathPara>
    </w:p>
    <w:p w14:paraId="368C21C3" w14:textId="77777777" w:rsidR="00BE569F" w:rsidRPr="00E00DBE" w:rsidRDefault="00BE569F" w:rsidP="00BE569F">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UEC_YEAR =</w:t>
      </w:r>
      <w:r>
        <w:rPr>
          <w:rFonts w:ascii="Cambria Math" w:hAnsi="Cambria Math" w:cs="Calibri Light"/>
          <w:i/>
          <w:sz w:val="18"/>
          <w:szCs w:val="20"/>
        </w:rPr>
        <w:tab/>
        <w:t>Annual UEC, baseline or measure (kWh/year)</w:t>
      </w:r>
    </w:p>
    <w:p w14:paraId="38F80F3B" w14:textId="77777777" w:rsidR="00BE569F" w:rsidRDefault="00BE569F" w:rsidP="00BE569F">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p w14:paraId="1F6D18A9" w14:textId="77777777" w:rsidR="00BE569F" w:rsidRDefault="00BE569F" w:rsidP="00BE569F">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Pr>
          <w:rFonts w:ascii="Cambria Math" w:hAnsi="Cambria Math" w:cs="Arial"/>
          <w:i/>
          <w:sz w:val="18"/>
          <w:szCs w:val="20"/>
        </w:rPr>
        <w:t>R</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w:t>
      </w:r>
      <w:proofErr w:type="spellStart"/>
      <w:r>
        <w:rPr>
          <w:rFonts w:ascii="Cambria Math" w:hAnsi="Cambria Math" w:cs="Arial"/>
          <w:i/>
          <w:sz w:val="18"/>
          <w:szCs w:val="20"/>
        </w:rPr>
        <w:t>hrs</w:t>
      </w:r>
      <w:proofErr w:type="spellEnd"/>
      <w:r>
        <w:rPr>
          <w:rFonts w:ascii="Cambria Math" w:hAnsi="Cambria Math" w:cs="Arial"/>
          <w:i/>
          <w:sz w:val="18"/>
          <w:szCs w:val="20"/>
        </w:rPr>
        <w:t>)</w:t>
      </w:r>
    </w:p>
    <w:bookmarkEnd w:id="62"/>
    <w:p w14:paraId="3757D726" w14:textId="77777777" w:rsidR="00BE569F" w:rsidRDefault="00BE569F" w:rsidP="00BE569F">
      <w:pPr>
        <w:rPr>
          <w:rFonts w:cs="Calibri Light"/>
          <w:szCs w:val="22"/>
          <w:shd w:val="clear" w:color="auto" w:fill="FFFFFF"/>
        </w:rPr>
      </w:pPr>
    </w:p>
    <w:p w14:paraId="3FE598C8" w14:textId="420B4674" w:rsidR="00BE569F" w:rsidRPr="00626CDF" w:rsidRDefault="00BE569F" w:rsidP="00BE569F">
      <w:pPr>
        <w:rPr>
          <w:rFonts w:cs="Calibri Light"/>
          <w:szCs w:val="22"/>
        </w:rPr>
      </w:pPr>
      <w:bookmarkStart w:id="63" w:name="_Hlk526862977"/>
      <w:r w:rsidRPr="00626CDF">
        <w:rPr>
          <w:rFonts w:cs="Calibri Light"/>
          <w:szCs w:val="22"/>
          <w:shd w:val="clear" w:color="auto" w:fill="FFFFFF"/>
        </w:rPr>
        <w:t xml:space="preserve">The </w:t>
      </w:r>
      <w:r w:rsidRPr="00DC31F9">
        <w:rPr>
          <w:rFonts w:cs="Calibri Light"/>
          <w:szCs w:val="22"/>
          <w:shd w:val="clear" w:color="auto" w:fill="FFFFFF"/>
        </w:rPr>
        <w:t>average demand reduction</w:t>
      </w:r>
      <w:r w:rsidRPr="00626CDF">
        <w:rPr>
          <w:rFonts w:cs="Calibri Light"/>
          <w:szCs w:val="22"/>
          <w:shd w:val="clear" w:color="auto" w:fill="FFFFFF"/>
        </w:rPr>
        <w:t xml:space="preserve"> is the difference between the baseline and measure case average demand. The estimated </w:t>
      </w:r>
      <w:r w:rsidRPr="00626CDF">
        <w:rPr>
          <w:rStyle w:val="Strong"/>
          <w:rFonts w:cs="Calibri Light"/>
          <w:color w:val="292929"/>
          <w:szCs w:val="22"/>
          <w:shd w:val="clear" w:color="auto" w:fill="FFFFFF"/>
        </w:rPr>
        <w:t>peak demand reduction</w:t>
      </w:r>
      <w:r w:rsidRPr="00626CDF">
        <w:rPr>
          <w:rFonts w:cs="Calibri Light"/>
          <w:szCs w:val="22"/>
          <w:shd w:val="clear" w:color="auto" w:fill="FFFFFF"/>
        </w:rPr>
        <w:t> is calculated as the average demand reduction multiplied by the coincident demand factor (CDF).</w:t>
      </w:r>
      <w:bookmarkStart w:id="64" w:name="_Hlk522370408"/>
    </w:p>
    <w:bookmarkEnd w:id="63"/>
    <w:p w14:paraId="6A64AFA6" w14:textId="69EE8F61" w:rsidR="00BE569F" w:rsidRPr="00AB04D4" w:rsidRDefault="00BE569F" w:rsidP="00BE569F">
      <w:pPr>
        <w:ind w:left="720"/>
      </w:pPr>
      <m:oMathPara>
        <m:oMathParaPr>
          <m:jc m:val="left"/>
        </m:oMathParaPr>
        <m:oMath>
          <m:r>
            <w:rPr>
              <w:rFonts w:ascii="Cambria Math" w:hAnsi="Cambria Math"/>
              <w:sz w:val="18"/>
            </w:rPr>
            <m:t>PeakDemandReduction=</m:t>
          </m:r>
          <m:d>
            <m:dPr>
              <m:begChr m:val="["/>
              <m:endChr m:val="]"/>
              <m:ctrlPr>
                <w:rPr>
                  <w:rFonts w:ascii="Cambria Math" w:hAnsi="Cambria Math"/>
                  <w:i/>
                  <w:sz w:val="18"/>
                </w:rPr>
              </m:ctrlPr>
            </m:dPr>
            <m:e>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Demand</m:t>
                      </m:r>
                    </m:e>
                    <m:sub>
                      <m:r>
                        <w:rPr>
                          <w:rFonts w:ascii="Cambria Math" w:hAnsi="Cambria Math"/>
                          <w:sz w:val="18"/>
                        </w:rPr>
                        <m:t>avg, base</m:t>
                      </m:r>
                    </m:sub>
                  </m:sSub>
                  <m:r>
                    <w:rPr>
                      <w:rFonts w:ascii="Cambria Math" w:hAnsi="Cambria Math"/>
                      <w:sz w:val="18"/>
                    </w:rPr>
                    <m:t>-</m:t>
                  </m:r>
                  <m:sSub>
                    <m:sSubPr>
                      <m:ctrlPr>
                        <w:rPr>
                          <w:rFonts w:ascii="Cambria Math" w:hAnsi="Cambria Math"/>
                          <w:i/>
                          <w:sz w:val="18"/>
                        </w:rPr>
                      </m:ctrlPr>
                    </m:sSubPr>
                    <m:e>
                      <m:r>
                        <w:rPr>
                          <w:rFonts w:ascii="Cambria Math" w:hAnsi="Cambria Math"/>
                          <w:sz w:val="18"/>
                        </w:rPr>
                        <m:t>Demand</m:t>
                      </m:r>
                    </m:e>
                    <m:sub>
                      <m:r>
                        <w:rPr>
                          <w:rFonts w:ascii="Cambria Math" w:hAnsi="Cambria Math"/>
                          <w:sz w:val="18"/>
                        </w:rPr>
                        <m:t>avg, measure</m:t>
                      </m:r>
                    </m:sub>
                  </m:sSub>
                  <m:r>
                    <w:rPr>
                      <w:rFonts w:ascii="Cambria Math" w:hAnsi="Cambria Math"/>
                      <w:sz w:val="18"/>
                    </w:rPr>
                    <m:t xml:space="preserve"> </m:t>
                  </m:r>
                </m:e>
              </m:d>
              <m:r>
                <w:rPr>
                  <w:rFonts w:ascii="Cambria Math" w:hAnsi="Cambria Math"/>
                  <w:sz w:val="18"/>
                </w:rPr>
                <m:t>×CDF</m:t>
              </m:r>
            </m:e>
          </m:d>
        </m:oMath>
      </m:oMathPara>
    </w:p>
    <w:p w14:paraId="33B36F50" w14:textId="77777777" w:rsidR="00BE569F" w:rsidRPr="00626CDF" w:rsidRDefault="00BE569F" w:rsidP="00BE569F">
      <w:pPr>
        <w:tabs>
          <w:tab w:val="left" w:pos="2880"/>
        </w:tabs>
        <w:spacing w:beforeLines="20" w:before="48" w:afterLines="20" w:after="48" w:line="240" w:lineRule="auto"/>
        <w:ind w:left="1440"/>
        <w:rPr>
          <w:rFonts w:ascii="Cambria Math" w:hAnsi="Cambria Math"/>
          <w:i/>
          <w:sz w:val="18"/>
        </w:rPr>
      </w:pPr>
      <w:proofErr w:type="spellStart"/>
      <w:r>
        <w:rPr>
          <w:rFonts w:ascii="Cambria Math" w:hAnsi="Cambria Math"/>
          <w:i/>
          <w:sz w:val="18"/>
        </w:rPr>
        <w:t>Demand</w:t>
      </w:r>
      <w:r w:rsidRPr="00626CDF">
        <w:rPr>
          <w:rFonts w:ascii="Cambria Math" w:hAnsi="Cambria Math"/>
          <w:i/>
          <w:sz w:val="18"/>
          <w:vertAlign w:val="subscript"/>
        </w:rPr>
        <w:t>avg</w:t>
      </w:r>
      <w:proofErr w:type="spellEnd"/>
      <w:r>
        <w:rPr>
          <w:rFonts w:ascii="Cambria Math" w:hAnsi="Cambria Math"/>
          <w:i/>
          <w:sz w:val="18"/>
        </w:rPr>
        <w:t xml:space="preserve"> = </w:t>
      </w:r>
      <w:r>
        <w:rPr>
          <w:rFonts w:ascii="Cambria Math" w:hAnsi="Cambria Math"/>
          <w:i/>
          <w:sz w:val="18"/>
        </w:rPr>
        <w:tab/>
        <w:t>Average demand, base or measure case (kW)</w:t>
      </w:r>
    </w:p>
    <w:p w14:paraId="05C21B25" w14:textId="77777777" w:rsidR="00BE569F" w:rsidRPr="00441622" w:rsidRDefault="00BE569F" w:rsidP="00BE569F">
      <w:pPr>
        <w:tabs>
          <w:tab w:val="left" w:pos="2880"/>
        </w:tabs>
        <w:spacing w:beforeLines="20" w:before="48" w:afterLines="20" w:after="48" w:line="240" w:lineRule="auto"/>
        <w:ind w:left="1440"/>
        <w:rPr>
          <w:rFonts w:ascii="Cambria Math" w:hAnsi="Cambria Math"/>
          <w:i/>
          <w:sz w:val="18"/>
        </w:rPr>
      </w:pPr>
      <w:r w:rsidRPr="00441622">
        <w:rPr>
          <w:rFonts w:ascii="Cambria Math" w:hAnsi="Cambria Math"/>
          <w:i/>
          <w:sz w:val="18"/>
        </w:rPr>
        <w:t xml:space="preserve">CDF = </w:t>
      </w:r>
      <w:r>
        <w:rPr>
          <w:rFonts w:ascii="Cambria Math" w:hAnsi="Cambria Math"/>
          <w:i/>
          <w:sz w:val="18"/>
        </w:rPr>
        <w:tab/>
      </w:r>
      <w:r w:rsidRPr="00441622">
        <w:rPr>
          <w:rFonts w:ascii="Cambria Math" w:hAnsi="Cambria Math"/>
          <w:i/>
          <w:sz w:val="18"/>
        </w:rPr>
        <w:t>Coincident demand factor</w:t>
      </w:r>
    </w:p>
    <w:bookmarkEnd w:id="64"/>
    <w:p w14:paraId="68A28E0C" w14:textId="4D9B1B93" w:rsidR="0057660A" w:rsidRPr="00152F0E" w:rsidRDefault="0057660A" w:rsidP="00222BA8">
      <w:pPr>
        <w:pStyle w:val="Caption"/>
      </w:pPr>
      <w:r>
        <w:t xml:space="preserve">Demand Reduction </w:t>
      </w:r>
      <w:r w:rsidR="00BE569F">
        <w:t>Inputs</w:t>
      </w:r>
      <w:r>
        <w:t xml:space="preserve"> </w:t>
      </w:r>
    </w:p>
    <w:tbl>
      <w:tblPr>
        <w:tblW w:w="8190" w:type="dxa"/>
        <w:tblInd w:w="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A0" w:firstRow="1" w:lastRow="0" w:firstColumn="1" w:lastColumn="0" w:noHBand="0" w:noVBand="0"/>
      </w:tblPr>
      <w:tblGrid>
        <w:gridCol w:w="2578"/>
        <w:gridCol w:w="1350"/>
        <w:gridCol w:w="4262"/>
      </w:tblGrid>
      <w:tr w:rsidR="00C24DC1" w:rsidRPr="0058503B" w14:paraId="3C457FB0" w14:textId="77777777" w:rsidTr="00C24DC1">
        <w:trPr>
          <w:cantSplit/>
          <w:trHeight w:val="20"/>
          <w:tblHeader/>
        </w:trPr>
        <w:tc>
          <w:tcPr>
            <w:tcW w:w="2578" w:type="dxa"/>
            <w:shd w:val="clear" w:color="auto" w:fill="F2F2F2" w:themeFill="background1" w:themeFillShade="F2"/>
            <w:vAlign w:val="bottom"/>
          </w:tcPr>
          <w:p w14:paraId="3F304125" w14:textId="77777777" w:rsidR="00C24DC1" w:rsidRPr="0058503B" w:rsidRDefault="00C24DC1" w:rsidP="00593FF5">
            <w:pPr>
              <w:keepNext/>
              <w:keepLines/>
              <w:spacing w:before="20" w:after="20"/>
              <w:rPr>
                <w:rFonts w:cs="Calibri Light"/>
                <w:b/>
                <w:sz w:val="20"/>
                <w:szCs w:val="20"/>
              </w:rPr>
            </w:pPr>
            <w:r>
              <w:rPr>
                <w:rFonts w:cs="Calibri Light"/>
                <w:b/>
                <w:sz w:val="20"/>
                <w:szCs w:val="20"/>
              </w:rPr>
              <w:t>Parameter</w:t>
            </w:r>
          </w:p>
        </w:tc>
        <w:tc>
          <w:tcPr>
            <w:tcW w:w="1350" w:type="dxa"/>
            <w:shd w:val="clear" w:color="auto" w:fill="F2F2F2" w:themeFill="background1" w:themeFillShade="F2"/>
            <w:vAlign w:val="bottom"/>
          </w:tcPr>
          <w:p w14:paraId="393FF9AA" w14:textId="2B6ECC26" w:rsidR="00C24DC1" w:rsidRPr="0058503B" w:rsidRDefault="00C24DC1" w:rsidP="00593FF5">
            <w:pPr>
              <w:keepNext/>
              <w:keepLines/>
              <w:spacing w:before="20" w:after="20"/>
              <w:jc w:val="center"/>
              <w:rPr>
                <w:rFonts w:cs="Calibri Light"/>
                <w:b/>
                <w:sz w:val="20"/>
                <w:szCs w:val="20"/>
              </w:rPr>
            </w:pPr>
            <w:r>
              <w:rPr>
                <w:rFonts w:cs="Calibri Light"/>
                <w:b/>
                <w:sz w:val="20"/>
                <w:szCs w:val="20"/>
              </w:rPr>
              <w:t>Value</w:t>
            </w:r>
          </w:p>
        </w:tc>
        <w:tc>
          <w:tcPr>
            <w:tcW w:w="4262" w:type="dxa"/>
            <w:shd w:val="clear" w:color="auto" w:fill="F2F2F2" w:themeFill="background1" w:themeFillShade="F2"/>
            <w:vAlign w:val="bottom"/>
          </w:tcPr>
          <w:p w14:paraId="1CDBEDFB" w14:textId="77777777" w:rsidR="00C24DC1" w:rsidRPr="00787A3A" w:rsidRDefault="00C24DC1" w:rsidP="00593FF5">
            <w:pPr>
              <w:keepNext/>
              <w:keepLines/>
              <w:spacing w:before="20" w:after="20"/>
              <w:jc w:val="center"/>
              <w:rPr>
                <w:rFonts w:cs="Calibri Light"/>
                <w:b/>
                <w:sz w:val="16"/>
                <w:szCs w:val="16"/>
              </w:rPr>
            </w:pPr>
            <w:r w:rsidRPr="00787A3A">
              <w:rPr>
                <w:rFonts w:cs="Calibri Light"/>
                <w:b/>
                <w:sz w:val="20"/>
                <w:szCs w:val="16"/>
              </w:rPr>
              <w:t>Source</w:t>
            </w:r>
          </w:p>
        </w:tc>
      </w:tr>
      <w:tr w:rsidR="00C24DC1" w:rsidRPr="00DD2215" w14:paraId="0285B8F6" w14:textId="77777777" w:rsidTr="00C24DC1">
        <w:trPr>
          <w:cantSplit/>
          <w:trHeight w:val="288"/>
        </w:trPr>
        <w:tc>
          <w:tcPr>
            <w:tcW w:w="2578" w:type="dxa"/>
            <w:tcBorders>
              <w:bottom w:val="single" w:sz="4" w:space="0" w:color="A6A6A6" w:themeColor="background1" w:themeShade="A6"/>
            </w:tcBorders>
            <w:vAlign w:val="center"/>
          </w:tcPr>
          <w:p w14:paraId="5140640B" w14:textId="7B47EBA4" w:rsidR="00C24DC1" w:rsidRPr="0058503B" w:rsidRDefault="00C24DC1" w:rsidP="001504EF">
            <w:pPr>
              <w:spacing w:before="20" w:after="20" w:line="220" w:lineRule="exact"/>
              <w:rPr>
                <w:rFonts w:cs="Calibri Light"/>
                <w:sz w:val="20"/>
                <w:szCs w:val="20"/>
              </w:rPr>
            </w:pPr>
            <w:r>
              <w:rPr>
                <w:rFonts w:cs="Calibri Light"/>
                <w:sz w:val="20"/>
                <w:szCs w:val="20"/>
              </w:rPr>
              <w:t>Coincident Demand Factor</w:t>
            </w:r>
          </w:p>
        </w:tc>
        <w:tc>
          <w:tcPr>
            <w:tcW w:w="1350" w:type="dxa"/>
            <w:tcBorders>
              <w:bottom w:val="single" w:sz="4" w:space="0" w:color="A6A6A6" w:themeColor="background1" w:themeShade="A6"/>
            </w:tcBorders>
            <w:vAlign w:val="center"/>
          </w:tcPr>
          <w:p w14:paraId="2E4AE36C" w14:textId="77777777" w:rsidR="00C24DC1" w:rsidRPr="00293123" w:rsidRDefault="00C24DC1" w:rsidP="00593FF5">
            <w:pPr>
              <w:spacing w:before="20" w:after="20" w:line="220" w:lineRule="exact"/>
              <w:jc w:val="center"/>
              <w:rPr>
                <w:rFonts w:cs="Calibri Light"/>
                <w:sz w:val="20"/>
                <w:szCs w:val="20"/>
              </w:rPr>
            </w:pPr>
            <w:r w:rsidRPr="00293123">
              <w:rPr>
                <w:rFonts w:cs="Calibri Light"/>
                <w:sz w:val="20"/>
                <w:szCs w:val="20"/>
              </w:rPr>
              <w:t>0.90</w:t>
            </w:r>
          </w:p>
        </w:tc>
        <w:tc>
          <w:tcPr>
            <w:tcW w:w="4262" w:type="dxa"/>
            <w:tcBorders>
              <w:bottom w:val="single" w:sz="4" w:space="0" w:color="A6A6A6" w:themeColor="background1" w:themeShade="A6"/>
            </w:tcBorders>
            <w:vAlign w:val="center"/>
          </w:tcPr>
          <w:p w14:paraId="40D9E728" w14:textId="77777777" w:rsidR="00C24DC1" w:rsidRPr="00A35DAD" w:rsidRDefault="00C24DC1" w:rsidP="00593FF5">
            <w:pPr>
              <w:spacing w:before="20" w:after="20" w:line="220" w:lineRule="exact"/>
              <w:rPr>
                <w:rFonts w:cs="Calibri Light"/>
                <w:sz w:val="18"/>
                <w:szCs w:val="18"/>
              </w:rPr>
            </w:pPr>
            <w:proofErr w:type="spellStart"/>
            <w:r w:rsidRPr="003423EC">
              <w:rPr>
                <w:rStyle w:val="eTRMFootnoteTextChar"/>
                <w:szCs w:val="16"/>
              </w:rPr>
              <w:t>Itron</w:t>
            </w:r>
            <w:proofErr w:type="spellEnd"/>
            <w:r w:rsidRPr="003423EC">
              <w:rPr>
                <w:rStyle w:val="eTRMFootnoteTextChar"/>
                <w:szCs w:val="16"/>
              </w:rPr>
              <w:t xml:space="preserve">, Inc. 2005. </w:t>
            </w:r>
            <w:r w:rsidRPr="003423EC">
              <w:rPr>
                <w:rStyle w:val="eTRMFootnoteTextChar"/>
                <w:i/>
                <w:szCs w:val="16"/>
              </w:rPr>
              <w:t>2004-2005 Database for Energy Efficiency Resources (DEER) Update Study - Final Report.</w:t>
            </w:r>
            <w:r w:rsidRPr="003423EC">
              <w:rPr>
                <w:rStyle w:val="eTRMFootnoteTextChar"/>
                <w:szCs w:val="16"/>
              </w:rPr>
              <w:t xml:space="preserve"> Prepared for Southern California Edison. Pages 3-15 to 3-17, Table 3-14.</w:t>
            </w:r>
          </w:p>
        </w:tc>
      </w:tr>
    </w:tbl>
    <w:p w14:paraId="45D3345A" w14:textId="77777777" w:rsidR="0057660A" w:rsidRDefault="0057660A" w:rsidP="00A12DCE">
      <w:pPr>
        <w:rPr>
          <w:rFonts w:cs="Arial"/>
          <w:szCs w:val="22"/>
        </w:rPr>
      </w:pPr>
    </w:p>
    <w:p w14:paraId="7C3A8A79" w14:textId="77777777" w:rsidR="0057660A" w:rsidRPr="004B06E3" w:rsidRDefault="0057660A" w:rsidP="007533DE">
      <w:pPr>
        <w:pStyle w:val="eTRMHeading3"/>
      </w:pPr>
      <w:bookmarkStart w:id="65" w:name="_Toc486490858"/>
      <w:bookmarkStart w:id="66" w:name="_Toc486580929"/>
      <w:bookmarkStart w:id="67" w:name="_Toc57800335"/>
      <w:r w:rsidRPr="004B06E3">
        <w:t>Gas Savings (Therms)</w:t>
      </w:r>
      <w:bookmarkEnd w:id="65"/>
      <w:bookmarkEnd w:id="66"/>
      <w:bookmarkEnd w:id="67"/>
    </w:p>
    <w:p w14:paraId="6CDF51B8" w14:textId="77777777" w:rsidR="0057660A" w:rsidRDefault="0057660A" w:rsidP="0057660A">
      <w:r>
        <w:t>Not applicable.</w:t>
      </w:r>
    </w:p>
    <w:p w14:paraId="1EEDC8CE" w14:textId="77777777" w:rsidR="004142EF" w:rsidRPr="004B06E3" w:rsidRDefault="004142EF" w:rsidP="004B06E3"/>
    <w:p w14:paraId="233D4C26" w14:textId="1D056FA3" w:rsidR="007D230B" w:rsidRPr="004B06E3" w:rsidRDefault="00245AFF" w:rsidP="007533DE">
      <w:pPr>
        <w:pStyle w:val="eTRMHeading3"/>
      </w:pPr>
      <w:bookmarkStart w:id="68" w:name="_Toc57800336"/>
      <w:bookmarkStart w:id="69" w:name="_Toc486490859"/>
      <w:bookmarkStart w:id="70" w:name="_Toc486580930"/>
      <w:r w:rsidRPr="004B06E3">
        <w:t>Life Cycle</w:t>
      </w:r>
      <w:bookmarkEnd w:id="68"/>
      <w:r w:rsidR="007D230B" w:rsidRPr="004B06E3">
        <w:t xml:space="preserve"> </w:t>
      </w:r>
      <w:bookmarkEnd w:id="69"/>
      <w:bookmarkEnd w:id="70"/>
    </w:p>
    <w:p w14:paraId="277D472B" w14:textId="2CAE1E17" w:rsidR="003907A8" w:rsidRDefault="001E25F4" w:rsidP="003D2026">
      <w:pPr>
        <w:rPr>
          <w:rFonts w:eastAsia="Times New Roman"/>
        </w:rPr>
      </w:pPr>
      <w:bookmarkStart w:id="71" w:name="_Hlk494219725"/>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bookmarkStart w:id="72" w:name="_Hlk494267093"/>
    </w:p>
    <w:p w14:paraId="3CD06F6C" w14:textId="6EC7502A" w:rsidR="00A90ACA" w:rsidRPr="00360DA1" w:rsidRDefault="001E25F4" w:rsidP="003D2026">
      <w:r>
        <w:t xml:space="preserve">The EUL specified for commercial electric deck ovens are </w:t>
      </w:r>
      <w:r w:rsidR="00293123">
        <w:t>specified below</w:t>
      </w:r>
      <w:r>
        <w:t xml:space="preserve">. </w:t>
      </w:r>
      <w:bookmarkStart w:id="73" w:name="_Hlk526864122"/>
      <w:bookmarkEnd w:id="71"/>
      <w:bookmarkEnd w:id="72"/>
      <w:r w:rsidR="00293123">
        <w:t>Note that RUL is only applicable for add-on and accelerated replacement measures and not applicable for this measure.</w:t>
      </w:r>
      <w:bookmarkEnd w:id="73"/>
      <w:r w:rsidR="00293123">
        <w:t xml:space="preserve">  </w:t>
      </w:r>
    </w:p>
    <w:p w14:paraId="5C2358B0" w14:textId="1689722A" w:rsidR="00A90ACA" w:rsidRPr="00920905" w:rsidRDefault="00A90ACA" w:rsidP="00222BA8">
      <w:pPr>
        <w:pStyle w:val="Caption"/>
      </w:pPr>
      <w:r>
        <w:t>Effective Useful Life</w:t>
      </w:r>
      <w:r w:rsidR="004009F5">
        <w:t xml:space="preserve"> and Remaining Useful Life</w:t>
      </w:r>
    </w:p>
    <w:tbl>
      <w:tblPr>
        <w:tblW w:w="882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620"/>
        <w:gridCol w:w="1440"/>
        <w:gridCol w:w="5760"/>
      </w:tblGrid>
      <w:tr w:rsidR="003907A8" w:rsidRPr="00052C24" w14:paraId="3F43D7E7" w14:textId="77777777" w:rsidTr="00316993">
        <w:tc>
          <w:tcPr>
            <w:tcW w:w="1620" w:type="dxa"/>
            <w:shd w:val="clear" w:color="auto" w:fill="F2F2F2" w:themeFill="background1" w:themeFillShade="F2"/>
            <w:vAlign w:val="bottom"/>
          </w:tcPr>
          <w:p w14:paraId="28D7EEAB" w14:textId="77777777" w:rsidR="003907A8" w:rsidRPr="00052C24" w:rsidRDefault="003907A8" w:rsidP="00E75004">
            <w:pPr>
              <w:keepNext/>
              <w:keepLines/>
              <w:spacing w:before="0" w:after="0" w:line="200" w:lineRule="atLeast"/>
              <w:jc w:val="center"/>
              <w:rPr>
                <w:b/>
                <w:sz w:val="20"/>
              </w:rPr>
            </w:pPr>
            <w:r>
              <w:rPr>
                <w:b/>
                <w:sz w:val="20"/>
              </w:rPr>
              <w:t>Parameter</w:t>
            </w:r>
          </w:p>
        </w:tc>
        <w:tc>
          <w:tcPr>
            <w:tcW w:w="1440" w:type="dxa"/>
            <w:shd w:val="clear" w:color="auto" w:fill="F2F2F2" w:themeFill="background1" w:themeFillShade="F2"/>
            <w:vAlign w:val="bottom"/>
          </w:tcPr>
          <w:p w14:paraId="7EEBEEC2" w14:textId="3BC35BA4" w:rsidR="003907A8" w:rsidRPr="00052C24" w:rsidRDefault="003907A8" w:rsidP="00E75004">
            <w:pPr>
              <w:keepNext/>
              <w:keepLines/>
              <w:spacing w:before="0" w:after="0" w:line="200" w:lineRule="atLeast"/>
              <w:jc w:val="center"/>
              <w:rPr>
                <w:b/>
                <w:sz w:val="20"/>
              </w:rPr>
            </w:pPr>
            <w:r>
              <w:rPr>
                <w:b/>
                <w:sz w:val="20"/>
              </w:rPr>
              <w:t xml:space="preserve">Deck Oven – Electric  </w:t>
            </w:r>
          </w:p>
        </w:tc>
        <w:tc>
          <w:tcPr>
            <w:tcW w:w="5760" w:type="dxa"/>
            <w:shd w:val="clear" w:color="auto" w:fill="F2F2F2" w:themeFill="background1" w:themeFillShade="F2"/>
            <w:vAlign w:val="bottom"/>
          </w:tcPr>
          <w:p w14:paraId="1F5FF4ED" w14:textId="77777777" w:rsidR="003907A8" w:rsidRDefault="003907A8" w:rsidP="00E75004">
            <w:pPr>
              <w:keepNext/>
              <w:keepLines/>
              <w:spacing w:before="0" w:after="0" w:line="200" w:lineRule="atLeast"/>
              <w:jc w:val="center"/>
              <w:rPr>
                <w:b/>
                <w:sz w:val="20"/>
              </w:rPr>
            </w:pPr>
            <w:r>
              <w:rPr>
                <w:b/>
                <w:sz w:val="20"/>
              </w:rPr>
              <w:t>Source</w:t>
            </w:r>
          </w:p>
        </w:tc>
      </w:tr>
      <w:tr w:rsidR="003907A8" w:rsidRPr="00052C24" w14:paraId="79C561AD" w14:textId="77777777" w:rsidTr="00316993">
        <w:trPr>
          <w:trHeight w:val="260"/>
        </w:trPr>
        <w:tc>
          <w:tcPr>
            <w:tcW w:w="1620" w:type="dxa"/>
            <w:vAlign w:val="center"/>
          </w:tcPr>
          <w:p w14:paraId="28BE8E6A" w14:textId="77777777" w:rsidR="003907A8" w:rsidRPr="00C45400" w:rsidRDefault="003907A8" w:rsidP="00E75004">
            <w:pPr>
              <w:keepNext/>
              <w:keepLines/>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p>
        </w:tc>
        <w:tc>
          <w:tcPr>
            <w:tcW w:w="1440" w:type="dxa"/>
            <w:shd w:val="clear" w:color="auto" w:fill="auto"/>
            <w:vAlign w:val="center"/>
          </w:tcPr>
          <w:p w14:paraId="316A35A7" w14:textId="77777777" w:rsidR="003907A8" w:rsidRPr="002B48EE" w:rsidRDefault="003907A8" w:rsidP="00E75004">
            <w:pPr>
              <w:keepNext/>
              <w:keepLines/>
              <w:spacing w:before="0" w:after="0" w:line="200" w:lineRule="atLeast"/>
              <w:jc w:val="center"/>
              <w:rPr>
                <w:sz w:val="20"/>
              </w:rPr>
            </w:pPr>
            <w:r w:rsidRPr="002B48EE">
              <w:rPr>
                <w:sz w:val="20"/>
              </w:rPr>
              <w:t>12</w:t>
            </w:r>
          </w:p>
        </w:tc>
        <w:tc>
          <w:tcPr>
            <w:tcW w:w="5760" w:type="dxa"/>
            <w:vAlign w:val="center"/>
          </w:tcPr>
          <w:p w14:paraId="0B7577A4" w14:textId="77777777" w:rsidR="003907A8" w:rsidRDefault="003907A8" w:rsidP="00E75004">
            <w:pPr>
              <w:keepNext/>
              <w:keepLines/>
              <w:spacing w:before="0" w:after="0" w:line="240" w:lineRule="auto"/>
              <w:rPr>
                <w:rFonts w:eastAsia="Times New Roman" w:cs="Times New Roman"/>
                <w:color w:val="000000"/>
                <w:sz w:val="18"/>
                <w:szCs w:val="18"/>
              </w:rPr>
            </w:pPr>
            <w:r w:rsidRPr="00EB04AC">
              <w:rPr>
                <w:rFonts w:eastAsia="Times New Roman" w:cs="Times New Roman"/>
                <w:color w:val="000000"/>
                <w:sz w:val="18"/>
                <w:szCs w:val="18"/>
              </w:rPr>
              <w:t xml:space="preserve">Robert </w:t>
            </w:r>
            <w:proofErr w:type="spellStart"/>
            <w:r w:rsidRPr="00EB04AC">
              <w:rPr>
                <w:rFonts w:eastAsia="Times New Roman" w:cs="Times New Roman"/>
                <w:color w:val="000000"/>
                <w:sz w:val="18"/>
                <w:szCs w:val="18"/>
              </w:rPr>
              <w:t>Mowris</w:t>
            </w:r>
            <w:proofErr w:type="spellEnd"/>
            <w:r w:rsidRPr="00EB04AC">
              <w:rPr>
                <w:rFonts w:eastAsia="Times New Roman" w:cs="Times New Roman"/>
                <w:color w:val="000000"/>
                <w:sz w:val="18"/>
                <w:szCs w:val="18"/>
              </w:rPr>
              <w:t xml:space="preserve"> &amp; Associates. 2005. </w:t>
            </w:r>
            <w:r w:rsidRPr="00EB04AC">
              <w:rPr>
                <w:rFonts w:eastAsia="Times New Roman" w:cs="Times New Roman"/>
                <w:i/>
                <w:iCs/>
                <w:color w:val="000000"/>
                <w:sz w:val="18"/>
                <w:szCs w:val="18"/>
              </w:rPr>
              <w:t>Ninth Year Retention Study of the 1995 Southern California Gas Company Commercial New Construction Program</w:t>
            </w:r>
            <w:r w:rsidRPr="00EB04AC">
              <w:rPr>
                <w:rFonts w:eastAsia="Times New Roman" w:cs="Times New Roman"/>
                <w:color w:val="000000"/>
                <w:sz w:val="18"/>
                <w:szCs w:val="18"/>
              </w:rPr>
              <w:t xml:space="preserve">. Prepared for Southern California Gas Company. Study ID Number 718A. </w:t>
            </w:r>
          </w:p>
          <w:p w14:paraId="347B80C8" w14:textId="77777777" w:rsidR="001504EF" w:rsidRDefault="001504EF" w:rsidP="00E75004">
            <w:pPr>
              <w:keepNext/>
              <w:keepLines/>
              <w:spacing w:before="0" w:after="0" w:line="240" w:lineRule="auto"/>
              <w:rPr>
                <w:rFonts w:eastAsia="Times New Roman" w:cs="Times New Roman"/>
                <w:color w:val="000000"/>
                <w:sz w:val="18"/>
                <w:szCs w:val="18"/>
              </w:rPr>
            </w:pPr>
          </w:p>
          <w:p w14:paraId="53297DA1" w14:textId="5C00F0FA" w:rsidR="001504EF" w:rsidRPr="00EB04AC" w:rsidRDefault="006628C0" w:rsidP="00E75004">
            <w:pPr>
              <w:keepNext/>
              <w:keepLines/>
              <w:spacing w:before="0" w:after="0" w:line="240" w:lineRule="auto"/>
              <w:rPr>
                <w:rFonts w:eastAsia="Times New Roman" w:cs="Times New Roman"/>
                <w:color w:val="000000"/>
                <w:sz w:val="18"/>
                <w:szCs w:val="18"/>
              </w:rPr>
            </w:pPr>
            <w:r w:rsidRPr="006948A0">
              <w:rPr>
                <w:rFonts w:eastAsia="Times New Roman" w:cs="Times New Roman"/>
                <w:color w:val="000000"/>
                <w:sz w:val="18"/>
                <w:szCs w:val="18"/>
              </w:rPr>
              <w:t xml:space="preserve">California Public Utilities Commission (CPUC), Energy Division.  2003. </w:t>
            </w:r>
            <w:r w:rsidRPr="006948A0">
              <w:rPr>
                <w:rFonts w:eastAsia="Times New Roman" w:cs="Times New Roman"/>
                <w:i/>
                <w:color w:val="000000"/>
                <w:sz w:val="18"/>
                <w:szCs w:val="18"/>
              </w:rPr>
              <w:t>Energy Efficiency Policy Manual v 2.0.</w:t>
            </w:r>
            <w:r>
              <w:rPr>
                <w:rFonts w:eastAsia="Times New Roman" w:cs="Times New Roman"/>
                <w:i/>
                <w:color w:val="000000"/>
                <w:sz w:val="18"/>
                <w:szCs w:val="18"/>
              </w:rPr>
              <w:t xml:space="preserve"> </w:t>
            </w:r>
            <w:r w:rsidRPr="006948A0">
              <w:rPr>
                <w:rFonts w:eastAsia="Times New Roman" w:cs="Times New Roman"/>
                <w:color w:val="000000"/>
                <w:sz w:val="18"/>
                <w:szCs w:val="18"/>
              </w:rPr>
              <w:t>Page 18 Table 4.1.</w:t>
            </w:r>
          </w:p>
        </w:tc>
      </w:tr>
      <w:tr w:rsidR="003907A8" w:rsidRPr="00052C24" w14:paraId="2C5E99A5" w14:textId="77777777" w:rsidTr="00316993">
        <w:tc>
          <w:tcPr>
            <w:tcW w:w="1620" w:type="dxa"/>
            <w:vAlign w:val="center"/>
          </w:tcPr>
          <w:p w14:paraId="24412209" w14:textId="77777777" w:rsidR="003907A8" w:rsidRPr="00C45400" w:rsidRDefault="003907A8" w:rsidP="00E75004">
            <w:pPr>
              <w:keepNext/>
              <w:keepLines/>
              <w:spacing w:before="0" w:after="0" w:line="200" w:lineRule="atLeast"/>
              <w:rPr>
                <w:sz w:val="20"/>
              </w:rPr>
            </w:pPr>
            <w:r w:rsidRPr="00C45400">
              <w:rPr>
                <w:sz w:val="20"/>
              </w:rPr>
              <w:t>RUL (</w:t>
            </w:r>
            <w:proofErr w:type="spellStart"/>
            <w:r w:rsidRPr="00C45400">
              <w:rPr>
                <w:sz w:val="20"/>
              </w:rPr>
              <w:t>yrs</w:t>
            </w:r>
            <w:proofErr w:type="spellEnd"/>
            <w:r w:rsidRPr="00C45400">
              <w:rPr>
                <w:sz w:val="20"/>
              </w:rPr>
              <w:t>)</w:t>
            </w:r>
          </w:p>
        </w:tc>
        <w:tc>
          <w:tcPr>
            <w:tcW w:w="1440" w:type="dxa"/>
            <w:shd w:val="clear" w:color="auto" w:fill="auto"/>
            <w:vAlign w:val="center"/>
          </w:tcPr>
          <w:p w14:paraId="71C3743B" w14:textId="2498A59F" w:rsidR="003907A8" w:rsidRPr="002B48EE" w:rsidRDefault="00EB2B72" w:rsidP="00E75004">
            <w:pPr>
              <w:keepNext/>
              <w:keepLines/>
              <w:spacing w:before="0" w:after="0" w:line="200" w:lineRule="atLeast"/>
              <w:jc w:val="center"/>
              <w:rPr>
                <w:sz w:val="20"/>
              </w:rPr>
            </w:pPr>
            <w:r w:rsidRPr="002B48EE">
              <w:rPr>
                <w:sz w:val="20"/>
              </w:rPr>
              <w:t>n/a</w:t>
            </w:r>
          </w:p>
        </w:tc>
        <w:tc>
          <w:tcPr>
            <w:tcW w:w="5760" w:type="dxa"/>
            <w:vAlign w:val="center"/>
          </w:tcPr>
          <w:p w14:paraId="581EB04F" w14:textId="0F167DDC" w:rsidR="003907A8" w:rsidRPr="00EB04AC" w:rsidRDefault="00EB2B72" w:rsidP="00E75004">
            <w:pPr>
              <w:keepNext/>
              <w:keepLines/>
              <w:spacing w:before="0" w:after="0" w:line="240" w:lineRule="auto"/>
              <w:rPr>
                <w:rFonts w:eastAsia="Times New Roman" w:cs="Times New Roman"/>
                <w:color w:val="000000"/>
                <w:sz w:val="18"/>
                <w:szCs w:val="18"/>
              </w:rPr>
            </w:pPr>
            <w:r>
              <w:rPr>
                <w:rFonts w:eastAsia="Times New Roman" w:cs="Times New Roman"/>
                <w:color w:val="000000"/>
                <w:sz w:val="18"/>
                <w:szCs w:val="18"/>
              </w:rPr>
              <w:t>n/a</w:t>
            </w:r>
          </w:p>
        </w:tc>
      </w:tr>
    </w:tbl>
    <w:p w14:paraId="54E679B5" w14:textId="77777777" w:rsidR="003907A8" w:rsidRPr="004B06E3" w:rsidRDefault="003907A8" w:rsidP="004142EF"/>
    <w:p w14:paraId="7B6C156D" w14:textId="77777777" w:rsidR="007D230B" w:rsidRPr="004B06E3" w:rsidRDefault="007D230B" w:rsidP="007533DE">
      <w:pPr>
        <w:pStyle w:val="eTRMHeading3"/>
      </w:pPr>
      <w:bookmarkStart w:id="74" w:name="_Toc486490860"/>
      <w:bookmarkStart w:id="75" w:name="_Toc486580931"/>
      <w:bookmarkStart w:id="76" w:name="_Toc57800337"/>
      <w:r w:rsidRPr="004B06E3">
        <w:lastRenderedPageBreak/>
        <w:t>Base Case Material Cost ($/unit)</w:t>
      </w:r>
      <w:bookmarkEnd w:id="74"/>
      <w:bookmarkEnd w:id="75"/>
      <w:bookmarkEnd w:id="76"/>
    </w:p>
    <w:p w14:paraId="3DA1C9AF" w14:textId="475E1585" w:rsidR="006B78D1" w:rsidRDefault="00F62A99" w:rsidP="004142EF">
      <w:pPr>
        <w:rPr>
          <w:rFonts w:cstheme="minorHAnsi"/>
          <w:szCs w:val="22"/>
        </w:rPr>
      </w:pPr>
      <w:r>
        <w:rPr>
          <w:szCs w:val="22"/>
        </w:rPr>
        <w:t xml:space="preserve">For </w:t>
      </w:r>
      <w:r w:rsidRPr="00C94922">
        <w:rPr>
          <w:i/>
          <w:szCs w:val="22"/>
        </w:rPr>
        <w:t>all delivery types</w:t>
      </w:r>
      <w:r>
        <w:rPr>
          <w:szCs w:val="22"/>
        </w:rPr>
        <w:t>, the b</w:t>
      </w:r>
      <w:r w:rsidRPr="00AA5B3F">
        <w:rPr>
          <w:szCs w:val="22"/>
        </w:rPr>
        <w:t xml:space="preserve">ase case </w:t>
      </w:r>
      <w:r>
        <w:rPr>
          <w:szCs w:val="22"/>
        </w:rPr>
        <w:t>material cost was</w:t>
      </w:r>
      <w:r w:rsidRPr="00AA5B3F">
        <w:rPr>
          <w:szCs w:val="22"/>
        </w:rPr>
        <w:t xml:space="preserve"> </w:t>
      </w:r>
      <w:r w:rsidR="006A5203">
        <w:rPr>
          <w:rFonts w:cstheme="minorHAnsi"/>
          <w:szCs w:val="22"/>
        </w:rPr>
        <w:t xml:space="preserve">calculated as the average of manufacturer listed prices </w:t>
      </w:r>
      <w:r w:rsidR="00A06C3B">
        <w:rPr>
          <w:rFonts w:cstheme="minorHAnsi"/>
          <w:szCs w:val="22"/>
        </w:rPr>
        <w:t>of 1</w:t>
      </w:r>
      <w:r w:rsidR="00791797">
        <w:rPr>
          <w:rFonts w:cstheme="minorHAnsi"/>
          <w:szCs w:val="22"/>
        </w:rPr>
        <w:t>0</w:t>
      </w:r>
      <w:r w:rsidR="00A06C3B">
        <w:rPr>
          <w:rFonts w:cstheme="minorHAnsi"/>
          <w:szCs w:val="22"/>
        </w:rPr>
        <w:t xml:space="preserve"> oven models </w:t>
      </w:r>
      <w:r w:rsidR="00862778">
        <w:rPr>
          <w:rFonts w:cstheme="minorHAnsi"/>
          <w:szCs w:val="22"/>
        </w:rPr>
        <w:t xml:space="preserve">obtained </w:t>
      </w:r>
      <w:r w:rsidR="000A16F8">
        <w:rPr>
          <w:rFonts w:cstheme="minorHAnsi"/>
          <w:szCs w:val="22"/>
        </w:rPr>
        <w:t xml:space="preserve">by the </w:t>
      </w:r>
      <w:r w:rsidR="00DE36FE">
        <w:rPr>
          <w:rFonts w:cstheme="minorHAnsi"/>
          <w:szCs w:val="22"/>
        </w:rPr>
        <w:t>Food Service Technology Center (</w:t>
      </w:r>
      <w:r w:rsidR="000A16F8">
        <w:rPr>
          <w:rFonts w:cstheme="minorHAnsi"/>
          <w:szCs w:val="22"/>
        </w:rPr>
        <w:t>FSTC</w:t>
      </w:r>
      <w:r w:rsidR="00DE36FE">
        <w:rPr>
          <w:rFonts w:cstheme="minorHAnsi"/>
          <w:szCs w:val="22"/>
        </w:rPr>
        <w:t>)</w:t>
      </w:r>
      <w:r w:rsidR="000A16F8">
        <w:rPr>
          <w:rFonts w:cstheme="minorHAnsi"/>
          <w:szCs w:val="22"/>
        </w:rPr>
        <w:t xml:space="preserve"> </w:t>
      </w:r>
      <w:r w:rsidR="00862778">
        <w:rPr>
          <w:rFonts w:cstheme="minorHAnsi"/>
          <w:szCs w:val="22"/>
        </w:rPr>
        <w:t>through online searches (</w:t>
      </w:r>
      <w:r w:rsidR="000A16F8">
        <w:rPr>
          <w:rFonts w:cstheme="minorHAnsi"/>
          <w:szCs w:val="22"/>
        </w:rPr>
        <w:t>“</w:t>
      </w:r>
      <w:r w:rsidR="00862778">
        <w:rPr>
          <w:rFonts w:cstheme="minorHAnsi"/>
          <w:szCs w:val="22"/>
        </w:rPr>
        <w:t>web scrapping</w:t>
      </w:r>
      <w:r w:rsidR="000A16F8">
        <w:rPr>
          <w:rFonts w:cstheme="minorHAnsi"/>
          <w:szCs w:val="22"/>
        </w:rPr>
        <w:t>”</w:t>
      </w:r>
      <w:r w:rsidR="00862778">
        <w:rPr>
          <w:rFonts w:cstheme="minorHAnsi"/>
          <w:szCs w:val="22"/>
        </w:rPr>
        <w:t>) during the 4</w:t>
      </w:r>
      <w:r w:rsidR="00862778" w:rsidRPr="00867B48">
        <w:rPr>
          <w:rFonts w:cstheme="minorHAnsi"/>
          <w:szCs w:val="22"/>
          <w:vertAlign w:val="superscript"/>
        </w:rPr>
        <w:t>th</w:t>
      </w:r>
      <w:r w:rsidR="00862778">
        <w:rPr>
          <w:rFonts w:cstheme="minorHAnsi"/>
          <w:szCs w:val="22"/>
        </w:rPr>
        <w:t xml:space="preserve"> quarter of </w:t>
      </w:r>
      <w:r w:rsidR="00791797">
        <w:rPr>
          <w:rFonts w:cstheme="minorHAnsi"/>
          <w:szCs w:val="22"/>
        </w:rPr>
        <w:t>2020</w:t>
      </w:r>
      <w:r w:rsidR="00862778">
        <w:rPr>
          <w:rFonts w:cstheme="minorHAnsi"/>
          <w:szCs w:val="22"/>
        </w:rPr>
        <w:t>.</w:t>
      </w:r>
      <w:r w:rsidR="00791797">
        <w:rPr>
          <w:rStyle w:val="FootnoteReference"/>
          <w:rFonts w:cstheme="minorHAnsi"/>
          <w:szCs w:val="22"/>
        </w:rPr>
        <w:footnoteReference w:id="8"/>
      </w:r>
      <w:r w:rsidR="00862778">
        <w:rPr>
          <w:rFonts w:cstheme="minorHAnsi"/>
          <w:szCs w:val="22"/>
        </w:rPr>
        <w:t xml:space="preserve"> </w:t>
      </w:r>
      <w:r w:rsidR="006B78D1">
        <w:rPr>
          <w:rFonts w:cstheme="minorHAnsi"/>
          <w:szCs w:val="22"/>
        </w:rPr>
        <w:t>E</w:t>
      </w:r>
      <w:r w:rsidR="006B78D1" w:rsidRPr="009D5098">
        <w:rPr>
          <w:rFonts w:cstheme="minorHAnsi"/>
          <w:szCs w:val="22"/>
        </w:rPr>
        <w:t xml:space="preserve">quipment costs are presented </w:t>
      </w:r>
      <w:r w:rsidR="006B78D1" w:rsidRPr="00B4002B">
        <w:rPr>
          <w:rFonts w:cstheme="minorHAnsi"/>
          <w:szCs w:val="22"/>
        </w:rPr>
        <w:t>with an associated tax rate of 8.75%</w:t>
      </w:r>
      <w:r w:rsidR="006B78D1">
        <w:rPr>
          <w:rFonts w:cstheme="minorHAnsi"/>
          <w:szCs w:val="22"/>
        </w:rPr>
        <w:t xml:space="preserve">. </w:t>
      </w:r>
    </w:p>
    <w:p w14:paraId="2F6FB565" w14:textId="6D8B9128" w:rsidR="007D230B" w:rsidRDefault="00791797" w:rsidP="004142EF">
      <w:r>
        <w:rPr>
          <w:szCs w:val="22"/>
        </w:rPr>
        <w:t>Based on the methodology used in the previous workpaper versions, a discount factor of 50% was applied to the costs retrieved from the online retailers. To more accurately reflect the actual prices paid for the equipment, a 50% discount factor was applied b</w:t>
      </w:r>
      <w:r w:rsidR="00DE36FE" w:rsidRPr="00AA5B3F">
        <w:rPr>
          <w:szCs w:val="22"/>
        </w:rPr>
        <w:t xml:space="preserve">ecause it is common knowledge that dealers </w:t>
      </w:r>
      <w:r w:rsidR="00DE36FE">
        <w:rPr>
          <w:szCs w:val="22"/>
        </w:rPr>
        <w:t>do not</w:t>
      </w:r>
      <w:r w:rsidR="00DE36FE" w:rsidRPr="00AA5B3F">
        <w:rPr>
          <w:szCs w:val="22"/>
        </w:rPr>
        <w:t xml:space="preserve"> pay the published list prices for equipment</w:t>
      </w:r>
      <w:r>
        <w:rPr>
          <w:szCs w:val="22"/>
        </w:rPr>
        <w:t xml:space="preserve">. </w:t>
      </w:r>
      <w:r w:rsidR="00DE36FE" w:rsidRPr="00AA5B3F">
        <w:rPr>
          <w:szCs w:val="22"/>
        </w:rPr>
        <w:t xml:space="preserve"> The discount factor</w:t>
      </w:r>
      <w:r w:rsidR="00DE36FE">
        <w:rPr>
          <w:szCs w:val="22"/>
        </w:rPr>
        <w:t xml:space="preserve"> of 50%</w:t>
      </w:r>
      <w:r w:rsidR="00DE36FE" w:rsidRPr="00AA5B3F">
        <w:rPr>
          <w:szCs w:val="22"/>
        </w:rPr>
        <w:t xml:space="preserve"> </w:t>
      </w:r>
      <w:r w:rsidR="00DE36FE">
        <w:rPr>
          <w:szCs w:val="22"/>
        </w:rPr>
        <w:t>was based upon</w:t>
      </w:r>
      <w:r w:rsidR="00DE36FE" w:rsidRPr="00AA5B3F">
        <w:rPr>
          <w:szCs w:val="22"/>
        </w:rPr>
        <w:t xml:space="preserve"> professional judgement by FSTC staff. </w:t>
      </w:r>
      <w:r>
        <w:rPr>
          <w:szCs w:val="22"/>
        </w:rPr>
        <w:t>An a</w:t>
      </w:r>
      <w:r w:rsidR="00DE36FE" w:rsidRPr="00AA5B3F">
        <w:rPr>
          <w:szCs w:val="22"/>
        </w:rPr>
        <w:t>dditional analysis</w:t>
      </w:r>
      <w:r>
        <w:rPr>
          <w:szCs w:val="22"/>
        </w:rPr>
        <w:t xml:space="preserve"> was previously conducted</w:t>
      </w:r>
      <w:r w:rsidR="00DE36FE" w:rsidRPr="00AA5B3F">
        <w:rPr>
          <w:szCs w:val="22"/>
        </w:rPr>
        <w:t xml:space="preserve"> to validate the reasonableness of this value by comparing </w:t>
      </w:r>
      <w:proofErr w:type="spellStart"/>
      <w:r w:rsidR="00DE36FE" w:rsidRPr="00AA5B3F">
        <w:rPr>
          <w:szCs w:val="22"/>
        </w:rPr>
        <w:t>AutoQuotes</w:t>
      </w:r>
      <w:proofErr w:type="spellEnd"/>
      <w:r w:rsidR="00DE36FE" w:rsidRPr="00AA5B3F">
        <w:rPr>
          <w:szCs w:val="22"/>
        </w:rPr>
        <w:t xml:space="preserve"> published prices with actual prices on invoices submitted </w:t>
      </w:r>
      <w:r w:rsidR="00DE36FE" w:rsidRPr="00AA5B3F">
        <w:rPr>
          <w:rFonts w:eastAsia="Times New Roman" w:cs="Times New Roman"/>
          <w:color w:val="000000"/>
          <w:szCs w:val="22"/>
        </w:rPr>
        <w:t xml:space="preserve">through </w:t>
      </w:r>
      <w:bookmarkStart w:id="77" w:name="_Hlk526870259"/>
      <w:r w:rsidR="00293123" w:rsidRPr="00AA5B3F">
        <w:rPr>
          <w:rFonts w:eastAsia="Times New Roman" w:cs="Times New Roman"/>
          <w:color w:val="000000"/>
          <w:szCs w:val="22"/>
        </w:rPr>
        <w:t xml:space="preserve">the </w:t>
      </w:r>
      <w:r w:rsidR="00293123">
        <w:t xml:space="preserve">Southern California Gas Company Instant Rebates! point-of-sale rebate program </w:t>
      </w:r>
      <w:bookmarkEnd w:id="77"/>
      <w:r w:rsidR="00293123" w:rsidRPr="00AA5B3F">
        <w:rPr>
          <w:rFonts w:eastAsia="Times New Roman" w:cs="Times New Roman"/>
          <w:color w:val="000000"/>
          <w:szCs w:val="22"/>
        </w:rPr>
        <w:t xml:space="preserve">from </w:t>
      </w:r>
      <w:r w:rsidR="00DE36FE" w:rsidRPr="00AA5B3F">
        <w:rPr>
          <w:rFonts w:eastAsia="Times New Roman" w:cs="Times New Roman"/>
          <w:color w:val="000000"/>
          <w:szCs w:val="22"/>
        </w:rPr>
        <w:t>2015 through August of 2017.</w:t>
      </w:r>
      <w:r w:rsidR="00DE36FE">
        <w:rPr>
          <w:rStyle w:val="FootnoteReference"/>
          <w:rFonts w:eastAsia="Times New Roman" w:cs="Times New Roman"/>
          <w:color w:val="000000"/>
          <w:szCs w:val="22"/>
        </w:rPr>
        <w:footnoteReference w:id="9"/>
      </w:r>
      <w:r w:rsidR="00DE36FE" w:rsidRPr="00AA5B3F">
        <w:rPr>
          <w:rFonts w:eastAsia="Times New Roman" w:cs="Times New Roman"/>
          <w:color w:val="000000"/>
          <w:szCs w:val="22"/>
        </w:rPr>
        <w:t xml:space="preserve"> </w:t>
      </w:r>
      <w:bookmarkStart w:id="78" w:name="_Hlk526870305"/>
      <w:r w:rsidR="00293123" w:rsidRPr="00AA5B3F">
        <w:rPr>
          <w:rFonts w:eastAsia="Times New Roman" w:cs="Times New Roman"/>
          <w:color w:val="000000"/>
          <w:szCs w:val="22"/>
        </w:rPr>
        <w:t xml:space="preserve">This verification revealed that a </w:t>
      </w:r>
      <w:r w:rsidR="00293123">
        <w:rPr>
          <w:rFonts w:eastAsia="Times New Roman" w:cs="Times New Roman"/>
          <w:color w:val="000000"/>
          <w:szCs w:val="22"/>
        </w:rPr>
        <w:t>“list-to-actual” cost ratio</w:t>
      </w:r>
      <w:r w:rsidR="00293123" w:rsidRPr="00AA5B3F">
        <w:rPr>
          <w:rFonts w:eastAsia="Times New Roman" w:cs="Times New Roman"/>
          <w:color w:val="000000"/>
          <w:szCs w:val="22"/>
        </w:rPr>
        <w:t xml:space="preserve"> for food service equipment of 50% is a reasonable average </w:t>
      </w:r>
      <w:r w:rsidR="00293123">
        <w:rPr>
          <w:rFonts w:eastAsia="Times New Roman" w:cs="Times New Roman"/>
          <w:color w:val="000000"/>
          <w:szCs w:val="22"/>
        </w:rPr>
        <w:t>discount factor</w:t>
      </w:r>
      <w:r w:rsidR="00293123" w:rsidRPr="00AA5B3F">
        <w:rPr>
          <w:rFonts w:eastAsia="Times New Roman" w:cs="Times New Roman"/>
          <w:color w:val="000000"/>
          <w:szCs w:val="22"/>
        </w:rPr>
        <w:t>.</w:t>
      </w:r>
      <w:bookmarkEnd w:id="78"/>
    </w:p>
    <w:p w14:paraId="56FC83D6" w14:textId="77777777" w:rsidR="006B78D1" w:rsidRPr="004B06E3" w:rsidRDefault="006B78D1" w:rsidP="004142EF"/>
    <w:p w14:paraId="6B8EA70D" w14:textId="77777777" w:rsidR="007D230B" w:rsidRPr="004B06E3" w:rsidRDefault="007D230B" w:rsidP="007533DE">
      <w:pPr>
        <w:pStyle w:val="eTRMHeading3"/>
      </w:pPr>
      <w:bookmarkStart w:id="79" w:name="_Toc486490861"/>
      <w:bookmarkStart w:id="80" w:name="_Toc486580932"/>
      <w:bookmarkStart w:id="81" w:name="_Toc57800338"/>
      <w:r w:rsidRPr="004B06E3">
        <w:t>Measure Case Material Cost ($/unit)</w:t>
      </w:r>
      <w:bookmarkEnd w:id="79"/>
      <w:bookmarkEnd w:id="80"/>
      <w:bookmarkEnd w:id="81"/>
    </w:p>
    <w:p w14:paraId="78773CEA" w14:textId="4898E127" w:rsidR="008747AA" w:rsidRDefault="00F62A99" w:rsidP="008747AA">
      <w:pPr>
        <w:rPr>
          <w:rFonts w:cstheme="minorHAnsi"/>
          <w:szCs w:val="22"/>
        </w:rPr>
      </w:pPr>
      <w:r>
        <w:t xml:space="preserve">The measure case material cost for </w:t>
      </w:r>
      <w:r w:rsidRPr="00076709">
        <w:rPr>
          <w:i/>
        </w:rPr>
        <w:t>all delivery types</w:t>
      </w:r>
      <w:r>
        <w:t xml:space="preserve"> was derived from </w:t>
      </w:r>
      <w:r w:rsidR="006B78D1" w:rsidRPr="00F343E8">
        <w:rPr>
          <w:rFonts w:cstheme="minorHAnsi"/>
          <w:szCs w:val="22"/>
        </w:rPr>
        <w:t xml:space="preserve">costs obtained from </w:t>
      </w:r>
      <w:r w:rsidR="006B78D1">
        <w:rPr>
          <w:rFonts w:cstheme="minorHAnsi"/>
          <w:szCs w:val="22"/>
        </w:rPr>
        <w:t xml:space="preserve">online quotes and </w:t>
      </w:r>
      <w:r w:rsidR="006B78D1" w:rsidRPr="00F343E8">
        <w:rPr>
          <w:rFonts w:cstheme="minorHAnsi"/>
          <w:szCs w:val="22"/>
        </w:rPr>
        <w:t xml:space="preserve">a price list of an authorized distributor of the manufacturer </w:t>
      </w:r>
      <w:r w:rsidR="006B78D1" w:rsidRPr="00B44975">
        <w:rPr>
          <w:rFonts w:cstheme="minorHAnsi"/>
          <w:szCs w:val="22"/>
        </w:rPr>
        <w:t xml:space="preserve">for each make and model of the high-efficiency deck ovens </w:t>
      </w:r>
      <w:r w:rsidR="006B78D1">
        <w:rPr>
          <w:rFonts w:cstheme="minorHAnsi"/>
          <w:szCs w:val="22"/>
        </w:rPr>
        <w:t xml:space="preserve">in the </w:t>
      </w:r>
      <w:r w:rsidR="00791797">
        <w:rPr>
          <w:rFonts w:cstheme="minorHAnsi"/>
          <w:szCs w:val="22"/>
        </w:rPr>
        <w:t xml:space="preserve">4th </w:t>
      </w:r>
      <w:r w:rsidR="006B78D1">
        <w:rPr>
          <w:rFonts w:cstheme="minorHAnsi"/>
          <w:szCs w:val="22"/>
        </w:rPr>
        <w:t>quarter of 20</w:t>
      </w:r>
      <w:r w:rsidR="00791797">
        <w:rPr>
          <w:rFonts w:cstheme="minorHAnsi"/>
          <w:szCs w:val="22"/>
        </w:rPr>
        <w:t>20</w:t>
      </w:r>
      <w:r w:rsidR="006B78D1" w:rsidRPr="00B44975">
        <w:rPr>
          <w:rFonts w:cstheme="minorHAnsi"/>
          <w:szCs w:val="22"/>
        </w:rPr>
        <w:t>.</w:t>
      </w:r>
      <w:r w:rsidR="00791797">
        <w:rPr>
          <w:rStyle w:val="FootnoteReference"/>
          <w:rFonts w:cstheme="minorHAnsi"/>
          <w:szCs w:val="22"/>
        </w:rPr>
        <w:footnoteReference w:id="10"/>
      </w:r>
      <w:r w:rsidR="006B78D1" w:rsidRPr="0071373E">
        <w:rPr>
          <w:rFonts w:cstheme="minorHAnsi"/>
          <w:szCs w:val="22"/>
        </w:rPr>
        <w:t xml:space="preserve"> </w:t>
      </w:r>
      <w:r w:rsidR="006B78D1">
        <w:rPr>
          <w:rFonts w:cstheme="minorHAnsi"/>
          <w:szCs w:val="22"/>
        </w:rPr>
        <w:t>E</w:t>
      </w:r>
      <w:r w:rsidR="006B78D1" w:rsidRPr="009D5098">
        <w:rPr>
          <w:rFonts w:cstheme="minorHAnsi"/>
          <w:szCs w:val="22"/>
        </w:rPr>
        <w:t xml:space="preserve">quipment costs are presented </w:t>
      </w:r>
      <w:r w:rsidR="006B78D1" w:rsidRPr="00B4002B">
        <w:rPr>
          <w:rFonts w:cstheme="minorHAnsi"/>
          <w:szCs w:val="22"/>
        </w:rPr>
        <w:t>with an associated tax rate of 8.75%</w:t>
      </w:r>
      <w:r w:rsidR="006B78D1" w:rsidRPr="009D5098">
        <w:rPr>
          <w:rFonts w:cstheme="minorHAnsi"/>
          <w:szCs w:val="22"/>
        </w:rPr>
        <w:t>.</w:t>
      </w:r>
    </w:p>
    <w:p w14:paraId="791B70C9" w14:textId="11609723" w:rsidR="008747AA" w:rsidRDefault="008747AA" w:rsidP="008747AA">
      <w:r>
        <w:rPr>
          <w:rFonts w:cstheme="minorHAnsi"/>
          <w:szCs w:val="22"/>
        </w:rPr>
        <w:t>The standard cost deviation across the sampled equipment is high. However, when normalizing the equipment cost per deck, and calculating costs for a standard two deck oven, the cost deviation between the normalized cost and average cost was minimal. Thus, the average cost calculated was adopted for the measure cost analysis.</w:t>
      </w:r>
    </w:p>
    <w:p w14:paraId="30FCF76F" w14:textId="1E776C26" w:rsidR="008747AA" w:rsidRDefault="00DE36FE" w:rsidP="004142EF">
      <w:pPr>
        <w:rPr>
          <w:rFonts w:cstheme="minorHAnsi"/>
          <w:szCs w:val="22"/>
        </w:rPr>
      </w:pPr>
      <w:r w:rsidRPr="00AA5B3F">
        <w:rPr>
          <w:szCs w:val="22"/>
        </w:rPr>
        <w:t xml:space="preserve">Because it is common knowledge that dealers </w:t>
      </w:r>
      <w:r>
        <w:rPr>
          <w:szCs w:val="22"/>
        </w:rPr>
        <w:t>do not</w:t>
      </w:r>
      <w:r w:rsidRPr="00AA5B3F">
        <w:rPr>
          <w:szCs w:val="22"/>
        </w:rPr>
        <w:t xml:space="preserve"> pay the published list prices for equipment, it was necessary </w:t>
      </w:r>
      <w:r w:rsidR="00791797">
        <w:rPr>
          <w:szCs w:val="22"/>
        </w:rPr>
        <w:t xml:space="preserve">to </w:t>
      </w:r>
      <w:r>
        <w:rPr>
          <w:szCs w:val="22"/>
        </w:rPr>
        <w:t>apply a</w:t>
      </w:r>
      <w:r w:rsidRPr="00AA5B3F">
        <w:rPr>
          <w:szCs w:val="22"/>
        </w:rPr>
        <w:t xml:space="preserve"> discount factor to the </w:t>
      </w:r>
      <w:r w:rsidR="00791797">
        <w:rPr>
          <w:szCs w:val="22"/>
        </w:rPr>
        <w:t>cost</w:t>
      </w:r>
      <w:r w:rsidRPr="00AA5B3F">
        <w:rPr>
          <w:szCs w:val="22"/>
        </w:rPr>
        <w:t xml:space="preserve"> data to more accurately reflect the actual prices paid for the equipment. The discount factor</w:t>
      </w:r>
      <w:r>
        <w:rPr>
          <w:szCs w:val="22"/>
        </w:rPr>
        <w:t xml:space="preserve"> of 50%</w:t>
      </w:r>
      <w:r w:rsidRPr="00AA5B3F">
        <w:rPr>
          <w:szCs w:val="22"/>
        </w:rPr>
        <w:t xml:space="preserve"> </w:t>
      </w:r>
      <w:r>
        <w:rPr>
          <w:szCs w:val="22"/>
        </w:rPr>
        <w:t>was based upon</w:t>
      </w:r>
      <w:r w:rsidRPr="00AA5B3F">
        <w:rPr>
          <w:szCs w:val="22"/>
        </w:rPr>
        <w:t xml:space="preserve"> professional judgement by FSTC staff. Additional analysis </w:t>
      </w:r>
      <w:r w:rsidR="00791797">
        <w:rPr>
          <w:szCs w:val="22"/>
        </w:rPr>
        <w:t xml:space="preserve">was previously conducted </w:t>
      </w:r>
      <w:r w:rsidRPr="00AA5B3F">
        <w:rPr>
          <w:szCs w:val="22"/>
        </w:rPr>
        <w:t xml:space="preserve">to validate the reasonableness of this value by comparing </w:t>
      </w:r>
      <w:proofErr w:type="spellStart"/>
      <w:r w:rsidRPr="00AA5B3F">
        <w:rPr>
          <w:szCs w:val="22"/>
        </w:rPr>
        <w:t>AutoQuotes</w:t>
      </w:r>
      <w:proofErr w:type="spellEnd"/>
      <w:r w:rsidRPr="00AA5B3F">
        <w:rPr>
          <w:szCs w:val="22"/>
        </w:rPr>
        <w:t xml:space="preserve"> published prices with actual prices on invoices submitted </w:t>
      </w:r>
      <w:r w:rsidRPr="00AA5B3F">
        <w:rPr>
          <w:rFonts w:eastAsia="Times New Roman" w:cs="Times New Roman"/>
          <w:color w:val="000000"/>
          <w:szCs w:val="22"/>
        </w:rPr>
        <w:t xml:space="preserve">through </w:t>
      </w:r>
      <w:r w:rsidR="00293123" w:rsidRPr="00AA5B3F">
        <w:rPr>
          <w:rFonts w:eastAsia="Times New Roman" w:cs="Times New Roman"/>
          <w:color w:val="000000"/>
          <w:szCs w:val="22"/>
        </w:rPr>
        <w:t xml:space="preserve">the </w:t>
      </w:r>
      <w:r w:rsidR="00293123">
        <w:t>Southern California Gas Company Instant Rebates! point-of-sale rebate program</w:t>
      </w:r>
      <w:r w:rsidR="00293123" w:rsidRPr="00AA5B3F">
        <w:rPr>
          <w:rFonts w:eastAsia="Times New Roman" w:cs="Times New Roman"/>
          <w:color w:val="000000"/>
          <w:szCs w:val="22"/>
        </w:rPr>
        <w:t xml:space="preserve"> </w:t>
      </w:r>
      <w:r w:rsidRPr="00AA5B3F">
        <w:rPr>
          <w:rFonts w:eastAsia="Times New Roman" w:cs="Times New Roman"/>
          <w:color w:val="000000"/>
          <w:szCs w:val="22"/>
        </w:rPr>
        <w:t>from 2015 through August of 2017.</w:t>
      </w:r>
      <w:r>
        <w:rPr>
          <w:rStyle w:val="FootnoteReference"/>
          <w:rFonts w:eastAsia="Times New Roman" w:cs="Times New Roman"/>
          <w:color w:val="000000"/>
          <w:szCs w:val="22"/>
        </w:rPr>
        <w:footnoteReference w:id="11"/>
      </w:r>
      <w:r w:rsidRPr="00AA5B3F">
        <w:rPr>
          <w:rFonts w:eastAsia="Times New Roman" w:cs="Times New Roman"/>
          <w:color w:val="000000"/>
          <w:szCs w:val="22"/>
        </w:rPr>
        <w:t xml:space="preserve"> </w:t>
      </w:r>
      <w:r w:rsidR="00293123" w:rsidRPr="00AA5B3F">
        <w:rPr>
          <w:rFonts w:eastAsia="Times New Roman" w:cs="Times New Roman"/>
          <w:color w:val="000000"/>
          <w:szCs w:val="22"/>
        </w:rPr>
        <w:t xml:space="preserve">This verification revealed that a </w:t>
      </w:r>
      <w:r w:rsidR="00293123">
        <w:rPr>
          <w:rFonts w:eastAsia="Times New Roman" w:cs="Times New Roman"/>
          <w:color w:val="000000"/>
          <w:szCs w:val="22"/>
        </w:rPr>
        <w:t>“list-to-actual” cost ratio</w:t>
      </w:r>
      <w:r w:rsidR="00293123" w:rsidRPr="00AA5B3F">
        <w:rPr>
          <w:rFonts w:eastAsia="Times New Roman" w:cs="Times New Roman"/>
          <w:color w:val="000000"/>
          <w:szCs w:val="22"/>
        </w:rPr>
        <w:t xml:space="preserve"> for food service equipment of 50% is a reasonable average </w:t>
      </w:r>
      <w:r w:rsidR="00293123">
        <w:rPr>
          <w:rFonts w:eastAsia="Times New Roman" w:cs="Times New Roman"/>
          <w:color w:val="000000"/>
          <w:szCs w:val="22"/>
        </w:rPr>
        <w:t>discount factor</w:t>
      </w:r>
      <w:r w:rsidR="00293123" w:rsidRPr="00AA5B3F">
        <w:rPr>
          <w:rFonts w:eastAsia="Times New Roman" w:cs="Times New Roman"/>
          <w:color w:val="000000"/>
          <w:szCs w:val="22"/>
        </w:rPr>
        <w:t>.</w:t>
      </w:r>
    </w:p>
    <w:p w14:paraId="757246E1" w14:textId="77777777" w:rsidR="0015324D" w:rsidRPr="004B06E3" w:rsidRDefault="0015324D" w:rsidP="007533DE">
      <w:pPr>
        <w:pStyle w:val="eTRMHeading3"/>
      </w:pPr>
      <w:bookmarkStart w:id="82" w:name="_Toc526851119"/>
      <w:bookmarkStart w:id="83" w:name="_Toc57800339"/>
      <w:r>
        <w:lastRenderedPageBreak/>
        <w:t xml:space="preserve">Base Case </w:t>
      </w:r>
      <w:r w:rsidRPr="004B06E3">
        <w:t>Labor Cost ($/unit)</w:t>
      </w:r>
      <w:bookmarkEnd w:id="82"/>
      <w:bookmarkEnd w:id="83"/>
    </w:p>
    <w:p w14:paraId="1B386311" w14:textId="738C5860" w:rsidR="00F62A99" w:rsidRDefault="00F62A99" w:rsidP="00F62A99">
      <w:r>
        <w:t xml:space="preserve">For </w:t>
      </w:r>
      <w:r w:rsidRPr="00B310F1">
        <w:rPr>
          <w:i/>
        </w:rPr>
        <w:t>all delivery types</w:t>
      </w:r>
      <w:r>
        <w:t>, the assumptions to calculate installation labor costs are provided below.</w:t>
      </w:r>
      <w:r>
        <w:rPr>
          <w:rStyle w:val="FootnoteReference"/>
          <w:rFonts w:cstheme="minorHAnsi"/>
          <w:szCs w:val="22"/>
        </w:rPr>
        <w:footnoteReference w:id="12"/>
      </w:r>
      <w:r>
        <w:t xml:space="preserve"> The assumed labor rate is the nonresidential miscellaneous labor rate adopted for the Database of Energy Efficient Resources (DEER).</w:t>
      </w:r>
    </w:p>
    <w:p w14:paraId="5D3D51B3" w14:textId="052197DA" w:rsidR="00F62A99" w:rsidRDefault="00F62A99" w:rsidP="00F62A99">
      <w:pPr>
        <w:pStyle w:val="Caption"/>
      </w:pPr>
      <w:r>
        <w:t>Base Case Labor Cost Assumptions</w:t>
      </w:r>
    </w:p>
    <w:tbl>
      <w:tblPr>
        <w:tblW w:w="93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590"/>
        <w:gridCol w:w="1620"/>
        <w:gridCol w:w="6150"/>
      </w:tblGrid>
      <w:tr w:rsidR="00F62A99" w:rsidRPr="00052C24" w14:paraId="097AD240" w14:textId="77777777" w:rsidTr="00F62A99">
        <w:tc>
          <w:tcPr>
            <w:tcW w:w="1590" w:type="dxa"/>
            <w:shd w:val="clear" w:color="auto" w:fill="F2F2F2" w:themeFill="background1" w:themeFillShade="F2"/>
            <w:vAlign w:val="bottom"/>
          </w:tcPr>
          <w:p w14:paraId="147427A8" w14:textId="77777777" w:rsidR="00F62A99" w:rsidRPr="00052C24" w:rsidRDefault="00F62A99" w:rsidP="00F62A99">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47221386" w14:textId="77777777" w:rsidR="00F62A99" w:rsidRPr="0018788F" w:rsidRDefault="00F62A99" w:rsidP="00F62A99">
            <w:pPr>
              <w:keepNext/>
              <w:keepLines/>
              <w:spacing w:before="0" w:after="0" w:line="200" w:lineRule="atLeast"/>
              <w:jc w:val="center"/>
              <w:rPr>
                <w:b/>
                <w:sz w:val="20"/>
              </w:rPr>
            </w:pPr>
            <w:r>
              <w:rPr>
                <w:b/>
                <w:sz w:val="20"/>
              </w:rPr>
              <w:t>Value</w:t>
            </w:r>
          </w:p>
        </w:tc>
        <w:tc>
          <w:tcPr>
            <w:tcW w:w="6150" w:type="dxa"/>
            <w:shd w:val="clear" w:color="auto" w:fill="F2F2F2" w:themeFill="background1" w:themeFillShade="F2"/>
            <w:vAlign w:val="bottom"/>
          </w:tcPr>
          <w:p w14:paraId="0153DE11" w14:textId="77777777" w:rsidR="00F62A99" w:rsidRDefault="00F62A99" w:rsidP="00F62A99">
            <w:pPr>
              <w:keepNext/>
              <w:keepLines/>
              <w:spacing w:before="0" w:after="0" w:line="200" w:lineRule="atLeast"/>
              <w:jc w:val="center"/>
              <w:rPr>
                <w:b/>
                <w:sz w:val="20"/>
              </w:rPr>
            </w:pPr>
            <w:r>
              <w:rPr>
                <w:b/>
                <w:sz w:val="20"/>
              </w:rPr>
              <w:t>Source</w:t>
            </w:r>
          </w:p>
        </w:tc>
      </w:tr>
      <w:tr w:rsidR="00F62A99" w:rsidRPr="009062D0" w14:paraId="6AED26BF" w14:textId="77777777" w:rsidTr="00F62A99">
        <w:trPr>
          <w:trHeight w:val="260"/>
        </w:trPr>
        <w:tc>
          <w:tcPr>
            <w:tcW w:w="1590" w:type="dxa"/>
            <w:vAlign w:val="center"/>
          </w:tcPr>
          <w:p w14:paraId="47E08AD6" w14:textId="77777777" w:rsidR="00F62A99" w:rsidRPr="009062D0" w:rsidRDefault="00F62A99" w:rsidP="00F62A99">
            <w:pPr>
              <w:keepNext/>
              <w:keepLines/>
              <w:spacing w:before="0" w:after="0" w:line="200" w:lineRule="atLeast"/>
              <w:rPr>
                <w:sz w:val="20"/>
              </w:rPr>
            </w:pPr>
            <w:r>
              <w:rPr>
                <w:sz w:val="20"/>
              </w:rPr>
              <w:t>Labor Hours</w:t>
            </w:r>
          </w:p>
        </w:tc>
        <w:tc>
          <w:tcPr>
            <w:tcW w:w="1620" w:type="dxa"/>
            <w:shd w:val="clear" w:color="auto" w:fill="auto"/>
            <w:vAlign w:val="center"/>
          </w:tcPr>
          <w:p w14:paraId="0C3B11D1" w14:textId="77777777" w:rsidR="00F62A99" w:rsidRPr="00317C4C" w:rsidRDefault="00F62A99" w:rsidP="00F62A99">
            <w:pPr>
              <w:keepNext/>
              <w:keepLines/>
              <w:spacing w:before="0" w:after="0" w:line="200" w:lineRule="atLeast"/>
              <w:jc w:val="center"/>
              <w:rPr>
                <w:sz w:val="20"/>
              </w:rPr>
            </w:pPr>
            <w:r>
              <w:rPr>
                <w:sz w:val="20"/>
              </w:rPr>
              <w:t>0.50</w:t>
            </w:r>
          </w:p>
        </w:tc>
        <w:tc>
          <w:tcPr>
            <w:tcW w:w="6150" w:type="dxa"/>
          </w:tcPr>
          <w:p w14:paraId="51274775" w14:textId="55DF7D5A" w:rsidR="00F62A99" w:rsidRPr="00F213E9" w:rsidRDefault="00F62A99" w:rsidP="00F62A99">
            <w:pPr>
              <w:keepNext/>
              <w:keepLines/>
              <w:spacing w:before="0" w:after="0" w:line="240" w:lineRule="auto"/>
              <w:rPr>
                <w:rFonts w:eastAsia="Times New Roman" w:cs="Times New Roman"/>
                <w:color w:val="000000"/>
                <w:sz w:val="18"/>
                <w:szCs w:val="18"/>
              </w:rPr>
            </w:pPr>
            <w:r>
              <w:rPr>
                <w:sz w:val="18"/>
              </w:rPr>
              <w:t xml:space="preserve">Professional </w:t>
            </w:r>
            <w:r w:rsidR="00115D63">
              <w:rPr>
                <w:sz w:val="18"/>
              </w:rPr>
              <w:t>J</w:t>
            </w:r>
            <w:r>
              <w:rPr>
                <w:sz w:val="18"/>
              </w:rPr>
              <w:t>udgement</w:t>
            </w:r>
          </w:p>
        </w:tc>
      </w:tr>
      <w:tr w:rsidR="00F62A99" w:rsidRPr="009062D0" w14:paraId="057786DB" w14:textId="77777777" w:rsidTr="00911A9A">
        <w:trPr>
          <w:trHeight w:val="143"/>
        </w:trPr>
        <w:tc>
          <w:tcPr>
            <w:tcW w:w="1590" w:type="dxa"/>
            <w:vAlign w:val="center"/>
          </w:tcPr>
          <w:p w14:paraId="26F46606" w14:textId="77777777" w:rsidR="00F62A99" w:rsidRPr="009062D0" w:rsidRDefault="00F62A99" w:rsidP="00F62A99">
            <w:pPr>
              <w:keepNext/>
              <w:keepLines/>
              <w:spacing w:before="0" w:after="0" w:line="200" w:lineRule="atLeast"/>
              <w:rPr>
                <w:sz w:val="20"/>
              </w:rPr>
            </w:pPr>
            <w:r>
              <w:rPr>
                <w:sz w:val="20"/>
              </w:rPr>
              <w:t>Labor Cost/Hour</w:t>
            </w:r>
            <w:r w:rsidRPr="006518FF">
              <w:rPr>
                <w:sz w:val="20"/>
                <w:vertAlign w:val="superscript"/>
              </w:rPr>
              <w:t xml:space="preserve"> </w:t>
            </w:r>
          </w:p>
        </w:tc>
        <w:tc>
          <w:tcPr>
            <w:tcW w:w="1620" w:type="dxa"/>
            <w:shd w:val="clear" w:color="auto" w:fill="auto"/>
            <w:vAlign w:val="center"/>
          </w:tcPr>
          <w:p w14:paraId="08FAB8BE" w14:textId="79D8DC3B" w:rsidR="00F62A99" w:rsidRPr="00317C4C" w:rsidRDefault="00F62A99" w:rsidP="00F62A99">
            <w:pPr>
              <w:keepNext/>
              <w:keepLines/>
              <w:spacing w:before="0" w:after="0" w:line="200" w:lineRule="atLeast"/>
              <w:jc w:val="center"/>
              <w:rPr>
                <w:sz w:val="20"/>
              </w:rPr>
            </w:pPr>
            <w:r w:rsidRPr="00317C4C">
              <w:rPr>
                <w:sz w:val="20"/>
              </w:rPr>
              <w:t>$</w:t>
            </w:r>
            <w:r w:rsidR="005F1E83">
              <w:rPr>
                <w:sz w:val="20"/>
              </w:rPr>
              <w:t>7</w:t>
            </w:r>
            <w:r w:rsidR="00115D63">
              <w:rPr>
                <w:sz w:val="20"/>
              </w:rPr>
              <w:t>6.65</w:t>
            </w:r>
          </w:p>
        </w:tc>
        <w:tc>
          <w:tcPr>
            <w:tcW w:w="6150" w:type="dxa"/>
            <w:vAlign w:val="center"/>
          </w:tcPr>
          <w:p w14:paraId="158E0C38" w14:textId="35E16CC3" w:rsidR="00F62A99" w:rsidRPr="009062D0" w:rsidRDefault="00115D63" w:rsidP="00F62A99">
            <w:pPr>
              <w:keepNext/>
              <w:keepLines/>
              <w:spacing w:before="0" w:after="0" w:line="240" w:lineRule="auto"/>
              <w:rPr>
                <w:rFonts w:eastAsia="Times New Roman" w:cs="Times New Roman"/>
                <w:color w:val="000000"/>
                <w:sz w:val="18"/>
                <w:szCs w:val="18"/>
              </w:rPr>
            </w:pPr>
            <w:r w:rsidRPr="00ED7827">
              <w:rPr>
                <w:sz w:val="18"/>
              </w:rPr>
              <w:t xml:space="preserve">RS Means Online Database, Open Shop </w:t>
            </w:r>
            <w:r w:rsidR="00115F89">
              <w:rPr>
                <w:sz w:val="18"/>
              </w:rPr>
              <w:t xml:space="preserve">Electrician </w:t>
            </w:r>
            <w:r w:rsidRPr="00ED7827">
              <w:rPr>
                <w:sz w:val="18"/>
              </w:rPr>
              <w:t>Labor Rate, 2021</w:t>
            </w:r>
            <w:r w:rsidR="00723AD4">
              <w:rPr>
                <w:rStyle w:val="FootnoteReference"/>
                <w:sz w:val="18"/>
              </w:rPr>
              <w:footnoteReference w:id="13"/>
            </w:r>
          </w:p>
        </w:tc>
      </w:tr>
    </w:tbl>
    <w:p w14:paraId="56FAFABF" w14:textId="77777777" w:rsidR="0015324D" w:rsidRPr="004B06E3" w:rsidRDefault="0015324D" w:rsidP="004142EF"/>
    <w:p w14:paraId="2DB8F22B" w14:textId="24AC4711" w:rsidR="007D230B" w:rsidRPr="004B06E3" w:rsidRDefault="0015324D" w:rsidP="007533DE">
      <w:pPr>
        <w:pStyle w:val="eTRMHeading3"/>
      </w:pPr>
      <w:bookmarkStart w:id="84" w:name="_Toc486490862"/>
      <w:bookmarkStart w:id="85" w:name="_Toc486580933"/>
      <w:bookmarkStart w:id="86" w:name="_Toc57800340"/>
      <w:r>
        <w:t xml:space="preserve">Measure Case </w:t>
      </w:r>
      <w:r w:rsidR="007D230B" w:rsidRPr="004B06E3">
        <w:t>Labor Cost ($/unit)</w:t>
      </w:r>
      <w:bookmarkEnd w:id="84"/>
      <w:bookmarkEnd w:id="85"/>
      <w:bookmarkEnd w:id="86"/>
    </w:p>
    <w:p w14:paraId="49B01A92" w14:textId="085369CB" w:rsidR="008747AA" w:rsidRDefault="00A746C6" w:rsidP="008747AA">
      <w:r>
        <w:t xml:space="preserve">For </w:t>
      </w:r>
      <w:r w:rsidRPr="00A746C6">
        <w:rPr>
          <w:i/>
        </w:rPr>
        <w:t>all delivery types</w:t>
      </w:r>
      <w:r>
        <w:t>, the a</w:t>
      </w:r>
      <w:r w:rsidR="008747AA">
        <w:t>ssumptions to calculate installation labor costs are provided below.</w:t>
      </w:r>
      <w:r w:rsidR="008747AA">
        <w:rPr>
          <w:rStyle w:val="FootnoteReference"/>
          <w:rFonts w:cstheme="minorHAnsi"/>
          <w:szCs w:val="22"/>
        </w:rPr>
        <w:footnoteReference w:id="14"/>
      </w:r>
      <w:r w:rsidR="008747AA">
        <w:t xml:space="preserve"> The assumed labor rate is the </w:t>
      </w:r>
      <w:r w:rsidR="003159D1">
        <w:t xml:space="preserve">nonresidential </w:t>
      </w:r>
      <w:r w:rsidR="008747AA">
        <w:t>miscellaneous labor rate adopted for the Database of Energy Efficient Resources</w:t>
      </w:r>
      <w:r w:rsidR="003159D1">
        <w:t xml:space="preserve"> (DEER)</w:t>
      </w:r>
      <w:r w:rsidR="008747AA">
        <w:t>.</w:t>
      </w:r>
    </w:p>
    <w:p w14:paraId="03F8393F" w14:textId="528B5693" w:rsidR="008747AA" w:rsidRDefault="00F62A99" w:rsidP="00222BA8">
      <w:pPr>
        <w:pStyle w:val="Caption"/>
      </w:pPr>
      <w:r>
        <w:t xml:space="preserve">Measure Case </w:t>
      </w:r>
      <w:r w:rsidR="008747AA">
        <w:t>Labor Cost Assumptions</w:t>
      </w:r>
    </w:p>
    <w:tbl>
      <w:tblPr>
        <w:tblW w:w="93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590"/>
        <w:gridCol w:w="1620"/>
        <w:gridCol w:w="6150"/>
      </w:tblGrid>
      <w:tr w:rsidR="008747AA" w:rsidRPr="00052C24" w14:paraId="16E9DCDF" w14:textId="77777777" w:rsidTr="00250FB9">
        <w:tc>
          <w:tcPr>
            <w:tcW w:w="1590" w:type="dxa"/>
            <w:shd w:val="clear" w:color="auto" w:fill="F2F2F2" w:themeFill="background1" w:themeFillShade="F2"/>
            <w:vAlign w:val="bottom"/>
          </w:tcPr>
          <w:p w14:paraId="64B8D012" w14:textId="77777777" w:rsidR="008747AA" w:rsidRPr="00052C24" w:rsidRDefault="008747AA" w:rsidP="00BA5477">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2113267F" w14:textId="6DA70C4F" w:rsidR="008747AA" w:rsidRPr="0018788F" w:rsidRDefault="008747AA" w:rsidP="00BA5477">
            <w:pPr>
              <w:keepNext/>
              <w:keepLines/>
              <w:spacing w:before="0" w:after="0" w:line="200" w:lineRule="atLeast"/>
              <w:jc w:val="center"/>
              <w:rPr>
                <w:b/>
                <w:sz w:val="20"/>
              </w:rPr>
            </w:pPr>
            <w:r>
              <w:rPr>
                <w:b/>
                <w:sz w:val="20"/>
              </w:rPr>
              <w:t>Value</w:t>
            </w:r>
          </w:p>
        </w:tc>
        <w:tc>
          <w:tcPr>
            <w:tcW w:w="6150" w:type="dxa"/>
            <w:shd w:val="clear" w:color="auto" w:fill="F2F2F2" w:themeFill="background1" w:themeFillShade="F2"/>
            <w:vAlign w:val="bottom"/>
          </w:tcPr>
          <w:p w14:paraId="224A4947" w14:textId="77777777" w:rsidR="008747AA" w:rsidRDefault="008747AA" w:rsidP="00BA5477">
            <w:pPr>
              <w:keepNext/>
              <w:keepLines/>
              <w:spacing w:before="0" w:after="0" w:line="200" w:lineRule="atLeast"/>
              <w:jc w:val="center"/>
              <w:rPr>
                <w:b/>
                <w:sz w:val="20"/>
              </w:rPr>
            </w:pPr>
            <w:r>
              <w:rPr>
                <w:b/>
                <w:sz w:val="20"/>
              </w:rPr>
              <w:t>Source</w:t>
            </w:r>
          </w:p>
        </w:tc>
      </w:tr>
      <w:tr w:rsidR="008747AA" w:rsidRPr="009062D0" w14:paraId="50B7A422" w14:textId="77777777" w:rsidTr="00250FB9">
        <w:trPr>
          <w:trHeight w:val="260"/>
        </w:trPr>
        <w:tc>
          <w:tcPr>
            <w:tcW w:w="1590" w:type="dxa"/>
            <w:vAlign w:val="center"/>
          </w:tcPr>
          <w:p w14:paraId="24CB13B5" w14:textId="77777777" w:rsidR="008747AA" w:rsidRPr="009062D0" w:rsidRDefault="008747AA" w:rsidP="00BA5477">
            <w:pPr>
              <w:keepNext/>
              <w:keepLines/>
              <w:spacing w:before="0" w:after="0" w:line="200" w:lineRule="atLeast"/>
              <w:rPr>
                <w:sz w:val="20"/>
              </w:rPr>
            </w:pPr>
            <w:r>
              <w:rPr>
                <w:sz w:val="20"/>
              </w:rPr>
              <w:t>Labor Hours</w:t>
            </w:r>
          </w:p>
        </w:tc>
        <w:tc>
          <w:tcPr>
            <w:tcW w:w="1620" w:type="dxa"/>
            <w:shd w:val="clear" w:color="auto" w:fill="auto"/>
            <w:vAlign w:val="center"/>
          </w:tcPr>
          <w:p w14:paraId="1DBFBF2D" w14:textId="1073FE23" w:rsidR="008747AA" w:rsidRPr="00317C4C" w:rsidRDefault="008747AA" w:rsidP="00BA5477">
            <w:pPr>
              <w:keepNext/>
              <w:keepLines/>
              <w:spacing w:before="0" w:after="0" w:line="200" w:lineRule="atLeast"/>
              <w:jc w:val="center"/>
              <w:rPr>
                <w:sz w:val="20"/>
              </w:rPr>
            </w:pPr>
            <w:r>
              <w:rPr>
                <w:sz w:val="20"/>
              </w:rPr>
              <w:t>0.50</w:t>
            </w:r>
          </w:p>
        </w:tc>
        <w:tc>
          <w:tcPr>
            <w:tcW w:w="6150" w:type="dxa"/>
          </w:tcPr>
          <w:p w14:paraId="4507A0FB" w14:textId="06765F28" w:rsidR="008747AA" w:rsidRPr="00F213E9" w:rsidRDefault="008747AA" w:rsidP="00BA5477">
            <w:pPr>
              <w:keepNext/>
              <w:keepLines/>
              <w:spacing w:before="0" w:after="0" w:line="240" w:lineRule="auto"/>
              <w:rPr>
                <w:rFonts w:eastAsia="Times New Roman" w:cs="Times New Roman"/>
                <w:color w:val="000000"/>
                <w:sz w:val="18"/>
                <w:szCs w:val="18"/>
              </w:rPr>
            </w:pPr>
            <w:r>
              <w:rPr>
                <w:sz w:val="18"/>
              </w:rPr>
              <w:t xml:space="preserve">Professional </w:t>
            </w:r>
            <w:r w:rsidR="00115D63">
              <w:rPr>
                <w:sz w:val="18"/>
              </w:rPr>
              <w:t>J</w:t>
            </w:r>
            <w:r>
              <w:rPr>
                <w:sz w:val="18"/>
              </w:rPr>
              <w:t>udgement</w:t>
            </w:r>
          </w:p>
        </w:tc>
      </w:tr>
      <w:tr w:rsidR="008747AA" w:rsidRPr="009062D0" w14:paraId="1439CA0F" w14:textId="77777777" w:rsidTr="00250FB9">
        <w:tc>
          <w:tcPr>
            <w:tcW w:w="1590" w:type="dxa"/>
            <w:vAlign w:val="center"/>
          </w:tcPr>
          <w:p w14:paraId="30209C39" w14:textId="77777777" w:rsidR="008747AA" w:rsidRPr="009062D0" w:rsidRDefault="008747AA" w:rsidP="00BA5477">
            <w:pPr>
              <w:keepNext/>
              <w:keepLines/>
              <w:spacing w:before="0" w:after="0" w:line="200" w:lineRule="atLeast"/>
              <w:rPr>
                <w:sz w:val="20"/>
              </w:rPr>
            </w:pPr>
            <w:r>
              <w:rPr>
                <w:sz w:val="20"/>
              </w:rPr>
              <w:t>Labor Cost/Hour</w:t>
            </w:r>
            <w:r w:rsidRPr="006518FF">
              <w:rPr>
                <w:sz w:val="20"/>
                <w:vertAlign w:val="superscript"/>
              </w:rPr>
              <w:t xml:space="preserve"> </w:t>
            </w:r>
          </w:p>
        </w:tc>
        <w:tc>
          <w:tcPr>
            <w:tcW w:w="1620" w:type="dxa"/>
            <w:shd w:val="clear" w:color="auto" w:fill="auto"/>
            <w:vAlign w:val="center"/>
          </w:tcPr>
          <w:p w14:paraId="6E15F173" w14:textId="062D231A" w:rsidR="008747AA" w:rsidRPr="00317C4C" w:rsidRDefault="008747AA" w:rsidP="00BA5477">
            <w:pPr>
              <w:keepNext/>
              <w:keepLines/>
              <w:spacing w:before="0" w:after="0" w:line="200" w:lineRule="atLeast"/>
              <w:jc w:val="center"/>
              <w:rPr>
                <w:sz w:val="20"/>
              </w:rPr>
            </w:pPr>
            <w:r w:rsidRPr="00317C4C">
              <w:rPr>
                <w:sz w:val="20"/>
              </w:rPr>
              <w:t>$</w:t>
            </w:r>
            <w:r w:rsidR="00115D63">
              <w:rPr>
                <w:sz w:val="20"/>
              </w:rPr>
              <w:t>76.65</w:t>
            </w:r>
          </w:p>
        </w:tc>
        <w:tc>
          <w:tcPr>
            <w:tcW w:w="6150" w:type="dxa"/>
            <w:vAlign w:val="center"/>
          </w:tcPr>
          <w:p w14:paraId="5FAD3E3E" w14:textId="7CA75223" w:rsidR="008747AA" w:rsidRPr="009062D0" w:rsidRDefault="00115D63" w:rsidP="00BA5477">
            <w:pPr>
              <w:keepNext/>
              <w:keepLines/>
              <w:spacing w:before="0" w:after="0" w:line="240" w:lineRule="auto"/>
              <w:rPr>
                <w:rFonts w:eastAsia="Times New Roman" w:cs="Times New Roman"/>
                <w:color w:val="000000"/>
                <w:sz w:val="18"/>
                <w:szCs w:val="18"/>
              </w:rPr>
            </w:pPr>
            <w:r w:rsidRPr="00ED7827">
              <w:rPr>
                <w:sz w:val="18"/>
              </w:rPr>
              <w:t xml:space="preserve">RS Means Online Database, Open Shop </w:t>
            </w:r>
            <w:r w:rsidR="00115F89">
              <w:rPr>
                <w:sz w:val="18"/>
              </w:rPr>
              <w:t xml:space="preserve">Electrician </w:t>
            </w:r>
            <w:r w:rsidRPr="00ED7827">
              <w:rPr>
                <w:sz w:val="18"/>
              </w:rPr>
              <w:t>Labor Rate, 2021</w:t>
            </w:r>
            <w:r w:rsidR="00DF5B0B">
              <w:rPr>
                <w:rStyle w:val="FootnoteReference"/>
                <w:sz w:val="18"/>
              </w:rPr>
              <w:footnoteReference w:id="15"/>
            </w:r>
          </w:p>
        </w:tc>
      </w:tr>
    </w:tbl>
    <w:p w14:paraId="025CE730" w14:textId="77777777" w:rsidR="00077AAE" w:rsidRPr="004B06E3" w:rsidRDefault="00077AAE" w:rsidP="004142EF"/>
    <w:p w14:paraId="5113C713" w14:textId="77777777" w:rsidR="007D230B" w:rsidRPr="004B06E3" w:rsidRDefault="004B06E3" w:rsidP="007533DE">
      <w:pPr>
        <w:pStyle w:val="eTRMHeading3"/>
      </w:pPr>
      <w:bookmarkStart w:id="87" w:name="_Toc486490863"/>
      <w:bookmarkStart w:id="88" w:name="_Toc486580934"/>
      <w:bookmarkStart w:id="89" w:name="_Toc57800341"/>
      <w:r>
        <w:t>Net-to-Gross</w:t>
      </w:r>
      <w:bookmarkEnd w:id="87"/>
      <w:bookmarkEnd w:id="88"/>
      <w:r w:rsidR="002832D8">
        <w:t xml:space="preserve"> (NTG)</w:t>
      </w:r>
      <w:bookmarkEnd w:id="89"/>
    </w:p>
    <w:p w14:paraId="245EC37C" w14:textId="2AB6BBB6" w:rsidR="00920D9D" w:rsidRDefault="007C6C11" w:rsidP="007C6C11">
      <w:bookmarkStart w:id="90" w:name="_Hlk494309148"/>
      <w:r w:rsidRPr="00860FEC">
        <w:t xml:space="preserve">The net-to-gross (NTG) ratio represents the portion of gross impacts that are determined to be directly attributed to a specific program intervention. </w:t>
      </w:r>
      <w:bookmarkEnd w:id="90"/>
      <w:r w:rsidR="002156A3" w:rsidRPr="00AF3038">
        <w:t xml:space="preserve">These NTG values are based upon the average of all NTG ratios for all evaluated 2006 – 2008 commercial, industrial, and agriculture programs, as documented in the 2011 DEER Update Study conducted by </w:t>
      </w:r>
      <w:proofErr w:type="spellStart"/>
      <w:r w:rsidR="002156A3" w:rsidRPr="00AF3038">
        <w:t>Itron</w:t>
      </w:r>
      <w:proofErr w:type="spellEnd"/>
      <w:r w:rsidR="002156A3" w:rsidRPr="00AF3038">
        <w:t xml:space="preserve">, Inc. These sector average NTGs (“default NTGs”) are applicable </w:t>
      </w:r>
      <w:r w:rsidR="002156A3">
        <w:t xml:space="preserve">to </w:t>
      </w:r>
      <w:r w:rsidR="002156A3" w:rsidRPr="00AF3038">
        <w:t xml:space="preserve">all energy efficiency measures that have been offered </w:t>
      </w:r>
      <w:r w:rsidR="002156A3">
        <w:t>through</w:t>
      </w:r>
      <w:r w:rsidR="002156A3" w:rsidRPr="00AF3038">
        <w:t xml:space="preserve"> commercial, industrial, and agriculture </w:t>
      </w:r>
      <w:r w:rsidR="002156A3">
        <w:t xml:space="preserve">sector </w:t>
      </w:r>
      <w:r w:rsidR="002156A3" w:rsidRPr="00AF3038">
        <w:t>programs for more than two years and for which impact evaluation results are not available.</w:t>
      </w:r>
      <w:r w:rsidR="002156A3" w:rsidRPr="00765218">
        <w:t> </w:t>
      </w:r>
    </w:p>
    <w:p w14:paraId="627E4210" w14:textId="7BAB0920" w:rsidR="00920D9D" w:rsidRPr="00920905" w:rsidRDefault="00920D9D" w:rsidP="00222BA8">
      <w:pPr>
        <w:pStyle w:val="Caption"/>
      </w:pPr>
      <w:r>
        <w:lastRenderedPageBreak/>
        <w:t>Net-to-Gross Ratio</w:t>
      </w:r>
      <w:r w:rsidR="00303378">
        <w:t>s</w:t>
      </w:r>
    </w:p>
    <w:tbl>
      <w:tblPr>
        <w:tblW w:w="954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340"/>
        <w:gridCol w:w="1530"/>
        <w:gridCol w:w="5670"/>
      </w:tblGrid>
      <w:tr w:rsidR="001B79FA" w:rsidRPr="00052C24" w14:paraId="46F40FDB" w14:textId="77777777" w:rsidTr="001B79FA">
        <w:tc>
          <w:tcPr>
            <w:tcW w:w="2340" w:type="dxa"/>
            <w:shd w:val="clear" w:color="auto" w:fill="F2F2F2" w:themeFill="background1" w:themeFillShade="F2"/>
            <w:vAlign w:val="bottom"/>
          </w:tcPr>
          <w:p w14:paraId="11005FE5" w14:textId="77777777" w:rsidR="00803907" w:rsidRPr="00052C24" w:rsidRDefault="00803907" w:rsidP="00E75004">
            <w:pPr>
              <w:keepNext/>
              <w:keepLines/>
              <w:spacing w:before="0" w:after="0" w:line="200" w:lineRule="atLeast"/>
              <w:jc w:val="center"/>
              <w:rPr>
                <w:b/>
                <w:sz w:val="20"/>
              </w:rPr>
            </w:pPr>
            <w:bookmarkStart w:id="91" w:name="_Toc486490864"/>
            <w:bookmarkStart w:id="92" w:name="_Toc486580935"/>
            <w:r>
              <w:rPr>
                <w:b/>
                <w:sz w:val="20"/>
              </w:rPr>
              <w:t>Parameter</w:t>
            </w:r>
          </w:p>
        </w:tc>
        <w:tc>
          <w:tcPr>
            <w:tcW w:w="1530" w:type="dxa"/>
            <w:shd w:val="clear" w:color="auto" w:fill="F2F2F2" w:themeFill="background1" w:themeFillShade="F2"/>
            <w:vAlign w:val="bottom"/>
          </w:tcPr>
          <w:p w14:paraId="785A049B" w14:textId="39EF9BE8" w:rsidR="00803907" w:rsidRPr="00052C24" w:rsidRDefault="0015324D" w:rsidP="00803907">
            <w:pPr>
              <w:keepNext/>
              <w:keepLines/>
              <w:spacing w:before="0" w:after="0" w:line="200" w:lineRule="atLeast"/>
              <w:jc w:val="center"/>
              <w:rPr>
                <w:b/>
                <w:sz w:val="20"/>
              </w:rPr>
            </w:pPr>
            <w:r>
              <w:rPr>
                <w:b/>
                <w:sz w:val="20"/>
              </w:rPr>
              <w:t>Value</w:t>
            </w:r>
          </w:p>
        </w:tc>
        <w:tc>
          <w:tcPr>
            <w:tcW w:w="5670" w:type="dxa"/>
            <w:shd w:val="clear" w:color="auto" w:fill="F2F2F2" w:themeFill="background1" w:themeFillShade="F2"/>
            <w:vAlign w:val="bottom"/>
          </w:tcPr>
          <w:p w14:paraId="306FAAB1" w14:textId="77777777" w:rsidR="00803907" w:rsidRDefault="00803907" w:rsidP="00E75004">
            <w:pPr>
              <w:keepNext/>
              <w:keepLines/>
              <w:spacing w:before="0" w:after="0" w:line="200" w:lineRule="atLeast"/>
              <w:jc w:val="center"/>
              <w:rPr>
                <w:b/>
                <w:sz w:val="20"/>
              </w:rPr>
            </w:pPr>
            <w:r>
              <w:rPr>
                <w:b/>
                <w:sz w:val="20"/>
              </w:rPr>
              <w:t>Source</w:t>
            </w:r>
          </w:p>
        </w:tc>
      </w:tr>
      <w:tr w:rsidR="001B79FA" w:rsidRPr="009062D0" w14:paraId="2D723B2A" w14:textId="77777777" w:rsidTr="001B79FA">
        <w:trPr>
          <w:trHeight w:val="260"/>
        </w:trPr>
        <w:tc>
          <w:tcPr>
            <w:tcW w:w="2340" w:type="dxa"/>
            <w:vAlign w:val="center"/>
          </w:tcPr>
          <w:p w14:paraId="1C11304F" w14:textId="77777777" w:rsidR="004F470D" w:rsidRPr="009062D0" w:rsidRDefault="004F470D" w:rsidP="00E75004">
            <w:pPr>
              <w:keepNext/>
              <w:keepLines/>
              <w:spacing w:before="0" w:after="0" w:line="200" w:lineRule="atLeast"/>
              <w:rPr>
                <w:sz w:val="20"/>
              </w:rPr>
            </w:pPr>
            <w:r w:rsidRPr="009062D0">
              <w:rPr>
                <w:sz w:val="20"/>
              </w:rPr>
              <w:t>NTG – Commercial</w:t>
            </w:r>
          </w:p>
        </w:tc>
        <w:tc>
          <w:tcPr>
            <w:tcW w:w="1530" w:type="dxa"/>
            <w:vAlign w:val="center"/>
          </w:tcPr>
          <w:p w14:paraId="228D94D5" w14:textId="77777777" w:rsidR="004F470D" w:rsidRPr="00640D97" w:rsidRDefault="004F470D" w:rsidP="00E75004">
            <w:pPr>
              <w:keepNext/>
              <w:keepLines/>
              <w:spacing w:before="0" w:after="0" w:line="200" w:lineRule="atLeast"/>
              <w:jc w:val="center"/>
              <w:rPr>
                <w:sz w:val="20"/>
              </w:rPr>
            </w:pPr>
            <w:r w:rsidRPr="00640D97">
              <w:rPr>
                <w:sz w:val="20"/>
                <w:szCs w:val="20"/>
              </w:rPr>
              <w:t>0.60</w:t>
            </w:r>
          </w:p>
        </w:tc>
        <w:tc>
          <w:tcPr>
            <w:tcW w:w="5670" w:type="dxa"/>
            <w:vMerge w:val="restart"/>
            <w:vAlign w:val="center"/>
          </w:tcPr>
          <w:p w14:paraId="2C93640E" w14:textId="1A3468B1" w:rsidR="004F470D" w:rsidRPr="006D78A7" w:rsidRDefault="004F470D" w:rsidP="00E75004">
            <w:pPr>
              <w:keepNext/>
              <w:keepLines/>
              <w:spacing w:before="0" w:after="0" w:line="240" w:lineRule="auto"/>
              <w:rPr>
                <w:rFonts w:eastAsia="Times New Roman" w:cs="Times New Roman"/>
                <w:color w:val="000000"/>
                <w:sz w:val="18"/>
                <w:szCs w:val="18"/>
                <w:highlight w:val="yellow"/>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ES-8 Table ES-9 and Page 15-4 Table 15-3.</w:t>
            </w:r>
          </w:p>
        </w:tc>
      </w:tr>
      <w:tr w:rsidR="001B79FA" w:rsidRPr="009062D0" w14:paraId="579CA21A" w14:textId="77777777" w:rsidTr="001B79FA">
        <w:tc>
          <w:tcPr>
            <w:tcW w:w="2340" w:type="dxa"/>
            <w:vAlign w:val="center"/>
          </w:tcPr>
          <w:p w14:paraId="12547814" w14:textId="77777777" w:rsidR="004F470D" w:rsidRPr="009062D0" w:rsidRDefault="004F470D" w:rsidP="00E75004">
            <w:pPr>
              <w:keepNext/>
              <w:keepLines/>
              <w:spacing w:before="0" w:after="0" w:line="200" w:lineRule="atLeast"/>
              <w:rPr>
                <w:sz w:val="20"/>
              </w:rPr>
            </w:pPr>
            <w:r w:rsidRPr="009062D0">
              <w:rPr>
                <w:sz w:val="20"/>
              </w:rPr>
              <w:t>NTG – Industrial</w:t>
            </w:r>
          </w:p>
        </w:tc>
        <w:tc>
          <w:tcPr>
            <w:tcW w:w="1530" w:type="dxa"/>
            <w:vAlign w:val="center"/>
          </w:tcPr>
          <w:p w14:paraId="0C5B9666" w14:textId="77777777" w:rsidR="004F470D" w:rsidRPr="00640D97" w:rsidRDefault="004F470D" w:rsidP="00E75004">
            <w:pPr>
              <w:keepNext/>
              <w:keepLines/>
              <w:spacing w:before="0" w:after="0" w:line="200" w:lineRule="atLeast"/>
              <w:jc w:val="center"/>
              <w:rPr>
                <w:sz w:val="20"/>
              </w:rPr>
            </w:pPr>
            <w:r w:rsidRPr="00640D97">
              <w:rPr>
                <w:sz w:val="20"/>
                <w:szCs w:val="20"/>
              </w:rPr>
              <w:t>0.60</w:t>
            </w:r>
          </w:p>
        </w:tc>
        <w:tc>
          <w:tcPr>
            <w:tcW w:w="5670" w:type="dxa"/>
            <w:vMerge/>
            <w:vAlign w:val="center"/>
          </w:tcPr>
          <w:p w14:paraId="30A57C41" w14:textId="77777777" w:rsidR="004F470D" w:rsidRPr="009062D0" w:rsidRDefault="004F470D" w:rsidP="00E75004">
            <w:pPr>
              <w:keepNext/>
              <w:keepLines/>
              <w:spacing w:before="0" w:after="0" w:line="240" w:lineRule="auto"/>
              <w:rPr>
                <w:rFonts w:eastAsia="Times New Roman" w:cs="Times New Roman"/>
                <w:color w:val="000000"/>
                <w:sz w:val="18"/>
                <w:szCs w:val="18"/>
              </w:rPr>
            </w:pPr>
          </w:p>
        </w:tc>
      </w:tr>
      <w:tr w:rsidR="001B79FA" w:rsidRPr="009062D0" w14:paraId="770FC314" w14:textId="77777777" w:rsidTr="001B79FA">
        <w:tc>
          <w:tcPr>
            <w:tcW w:w="2340" w:type="dxa"/>
            <w:vAlign w:val="center"/>
          </w:tcPr>
          <w:p w14:paraId="2F03AD24" w14:textId="77777777" w:rsidR="004F470D" w:rsidRPr="009062D0" w:rsidRDefault="004F470D" w:rsidP="00E75004">
            <w:pPr>
              <w:keepNext/>
              <w:keepLines/>
              <w:spacing w:before="0" w:after="0" w:line="200" w:lineRule="atLeast"/>
              <w:rPr>
                <w:sz w:val="20"/>
              </w:rPr>
            </w:pPr>
            <w:r w:rsidRPr="009062D0">
              <w:rPr>
                <w:sz w:val="20"/>
              </w:rPr>
              <w:t>NTG - Agriculture</w:t>
            </w:r>
          </w:p>
        </w:tc>
        <w:tc>
          <w:tcPr>
            <w:tcW w:w="1530" w:type="dxa"/>
            <w:vAlign w:val="center"/>
          </w:tcPr>
          <w:p w14:paraId="592D6937" w14:textId="77777777" w:rsidR="004F470D" w:rsidRPr="00640D97" w:rsidRDefault="004F470D" w:rsidP="00E75004">
            <w:pPr>
              <w:keepNext/>
              <w:keepLines/>
              <w:spacing w:before="0" w:after="0" w:line="200" w:lineRule="atLeast"/>
              <w:jc w:val="center"/>
              <w:rPr>
                <w:sz w:val="20"/>
              </w:rPr>
            </w:pPr>
            <w:r w:rsidRPr="00640D97">
              <w:rPr>
                <w:sz w:val="20"/>
                <w:szCs w:val="20"/>
              </w:rPr>
              <w:t>0.60</w:t>
            </w:r>
          </w:p>
        </w:tc>
        <w:tc>
          <w:tcPr>
            <w:tcW w:w="5670" w:type="dxa"/>
            <w:vMerge/>
            <w:vAlign w:val="center"/>
          </w:tcPr>
          <w:p w14:paraId="3E2A47C2" w14:textId="77777777" w:rsidR="004F470D" w:rsidRPr="009062D0" w:rsidRDefault="004F470D" w:rsidP="00E75004">
            <w:pPr>
              <w:keepNext/>
              <w:keepLines/>
              <w:spacing w:before="0" w:after="0" w:line="240" w:lineRule="auto"/>
              <w:rPr>
                <w:sz w:val="18"/>
              </w:rPr>
            </w:pPr>
          </w:p>
        </w:tc>
      </w:tr>
    </w:tbl>
    <w:p w14:paraId="32BBBBCB" w14:textId="77777777" w:rsidR="00803907" w:rsidRPr="004B06E3" w:rsidRDefault="00803907" w:rsidP="00803907"/>
    <w:p w14:paraId="4FD1D313" w14:textId="77777777" w:rsidR="007D230B" w:rsidRPr="004B06E3" w:rsidRDefault="002832D8" w:rsidP="007533DE">
      <w:pPr>
        <w:pStyle w:val="eTRMHeading3"/>
      </w:pPr>
      <w:bookmarkStart w:id="93" w:name="_Toc57800342"/>
      <w:r>
        <w:t>Gross Savings Installation Adjustment (</w:t>
      </w:r>
      <w:r w:rsidR="007D230B" w:rsidRPr="004B06E3">
        <w:t>GSIA</w:t>
      </w:r>
      <w:bookmarkEnd w:id="91"/>
      <w:bookmarkEnd w:id="92"/>
      <w:r>
        <w:t>)</w:t>
      </w:r>
      <w:bookmarkEnd w:id="93"/>
    </w:p>
    <w:p w14:paraId="2641B9DD" w14:textId="2D62EB0D" w:rsidR="00920D9D" w:rsidRDefault="005B7C36" w:rsidP="005B7C36">
      <w:bookmarkStart w:id="94" w:name="_Hlk494309006"/>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bookmarkEnd w:id="94"/>
      <w:r w:rsidR="002156A3">
        <w:t>This GSIA rate is the current “default” rate specified for measures for which an alternative GSIA has not been estimated and approved.</w:t>
      </w:r>
    </w:p>
    <w:p w14:paraId="42841273" w14:textId="383CD3F2" w:rsidR="00920D9D" w:rsidRPr="00920905" w:rsidRDefault="001504EF" w:rsidP="00222BA8">
      <w:pPr>
        <w:pStyle w:val="Caption"/>
      </w:pPr>
      <w:r>
        <w:t>Gross Savings Installation Adjustment Rates</w:t>
      </w:r>
    </w:p>
    <w:tbl>
      <w:tblPr>
        <w:tblW w:w="882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5130"/>
      </w:tblGrid>
      <w:tr w:rsidR="002156A3" w:rsidRPr="00052C24" w14:paraId="3C461B88" w14:textId="77777777" w:rsidTr="00A06349">
        <w:tc>
          <w:tcPr>
            <w:tcW w:w="2070" w:type="dxa"/>
            <w:shd w:val="clear" w:color="auto" w:fill="F2F2F2" w:themeFill="background1" w:themeFillShade="F2"/>
            <w:vAlign w:val="bottom"/>
          </w:tcPr>
          <w:p w14:paraId="1C40DE28" w14:textId="77777777" w:rsidR="002156A3" w:rsidRPr="00052C24" w:rsidRDefault="002156A3" w:rsidP="00E75004">
            <w:pPr>
              <w:keepNext/>
              <w:keepLines/>
              <w:spacing w:before="0" w:after="0" w:line="200" w:lineRule="atLeast"/>
              <w:jc w:val="center"/>
              <w:rPr>
                <w:b/>
                <w:sz w:val="20"/>
              </w:rPr>
            </w:pPr>
            <w:bookmarkStart w:id="95" w:name="_Toc486490865"/>
            <w:bookmarkStart w:id="96" w:name="_Toc486580936"/>
            <w:r>
              <w:rPr>
                <w:b/>
                <w:sz w:val="20"/>
              </w:rPr>
              <w:t>Parameter</w:t>
            </w:r>
          </w:p>
        </w:tc>
        <w:tc>
          <w:tcPr>
            <w:tcW w:w="1620" w:type="dxa"/>
            <w:shd w:val="clear" w:color="auto" w:fill="F2F2F2" w:themeFill="background1" w:themeFillShade="F2"/>
            <w:vAlign w:val="bottom"/>
          </w:tcPr>
          <w:p w14:paraId="7F9766C4" w14:textId="460EFB87" w:rsidR="002156A3" w:rsidRPr="00052C24" w:rsidRDefault="0015324D" w:rsidP="00E75004">
            <w:pPr>
              <w:keepNext/>
              <w:keepLines/>
              <w:spacing w:before="0" w:after="0" w:line="200" w:lineRule="atLeast"/>
              <w:jc w:val="center"/>
              <w:rPr>
                <w:b/>
                <w:sz w:val="20"/>
              </w:rPr>
            </w:pPr>
            <w:r>
              <w:rPr>
                <w:b/>
                <w:sz w:val="20"/>
              </w:rPr>
              <w:t>Value</w:t>
            </w:r>
          </w:p>
        </w:tc>
        <w:tc>
          <w:tcPr>
            <w:tcW w:w="5130" w:type="dxa"/>
            <w:shd w:val="clear" w:color="auto" w:fill="F2F2F2" w:themeFill="background1" w:themeFillShade="F2"/>
            <w:vAlign w:val="bottom"/>
          </w:tcPr>
          <w:p w14:paraId="4F4F9CFB" w14:textId="77777777" w:rsidR="002156A3" w:rsidRDefault="002156A3" w:rsidP="00E75004">
            <w:pPr>
              <w:keepNext/>
              <w:keepLines/>
              <w:spacing w:before="0" w:after="0" w:line="200" w:lineRule="atLeast"/>
              <w:jc w:val="center"/>
              <w:rPr>
                <w:b/>
                <w:sz w:val="20"/>
              </w:rPr>
            </w:pPr>
            <w:r>
              <w:rPr>
                <w:b/>
                <w:sz w:val="20"/>
              </w:rPr>
              <w:t>Source</w:t>
            </w:r>
          </w:p>
        </w:tc>
      </w:tr>
      <w:tr w:rsidR="002156A3" w:rsidRPr="009062D0" w14:paraId="3824A6EB" w14:textId="77777777" w:rsidTr="00A06349">
        <w:trPr>
          <w:trHeight w:val="260"/>
        </w:trPr>
        <w:tc>
          <w:tcPr>
            <w:tcW w:w="2070" w:type="dxa"/>
            <w:vAlign w:val="center"/>
          </w:tcPr>
          <w:p w14:paraId="689AFBC8" w14:textId="237EB1A3" w:rsidR="002156A3" w:rsidRPr="009062D0" w:rsidRDefault="00587946" w:rsidP="00E75004">
            <w:pPr>
              <w:keepNext/>
              <w:keepLines/>
              <w:spacing w:before="0" w:after="0" w:line="200" w:lineRule="atLeast"/>
              <w:rPr>
                <w:sz w:val="20"/>
              </w:rPr>
            </w:pPr>
            <w:r>
              <w:rPr>
                <w:sz w:val="20"/>
              </w:rPr>
              <w:t>Def-</w:t>
            </w:r>
            <w:r w:rsidR="002156A3">
              <w:rPr>
                <w:sz w:val="20"/>
              </w:rPr>
              <w:t>GSIA</w:t>
            </w:r>
          </w:p>
        </w:tc>
        <w:tc>
          <w:tcPr>
            <w:tcW w:w="1620" w:type="dxa"/>
            <w:shd w:val="clear" w:color="auto" w:fill="auto"/>
            <w:vAlign w:val="center"/>
          </w:tcPr>
          <w:p w14:paraId="1CBA1D85" w14:textId="77777777" w:rsidR="002156A3" w:rsidRPr="00640D97" w:rsidRDefault="002156A3" w:rsidP="00E75004">
            <w:pPr>
              <w:keepNext/>
              <w:keepLines/>
              <w:spacing w:before="0" w:after="0" w:line="200" w:lineRule="atLeast"/>
              <w:jc w:val="center"/>
              <w:rPr>
                <w:sz w:val="20"/>
              </w:rPr>
            </w:pPr>
            <w:r w:rsidRPr="00640D97">
              <w:rPr>
                <w:sz w:val="20"/>
                <w:szCs w:val="20"/>
              </w:rPr>
              <w:t>1.0</w:t>
            </w:r>
          </w:p>
        </w:tc>
        <w:tc>
          <w:tcPr>
            <w:tcW w:w="5130" w:type="dxa"/>
            <w:vAlign w:val="center"/>
          </w:tcPr>
          <w:p w14:paraId="6A9A2FB2" w14:textId="77777777" w:rsidR="002156A3" w:rsidRPr="009062D0" w:rsidRDefault="002156A3" w:rsidP="00E75004">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71244462" w14:textId="77777777" w:rsidR="002156A3" w:rsidRDefault="002156A3" w:rsidP="002156A3">
      <w:pPr>
        <w:rPr>
          <w:rFonts w:cs="Arial"/>
          <w:sz w:val="20"/>
          <w:szCs w:val="20"/>
        </w:rPr>
      </w:pPr>
    </w:p>
    <w:p w14:paraId="2E639D98" w14:textId="77777777" w:rsidR="00FB73FB" w:rsidRPr="004B06E3" w:rsidRDefault="00FB73FB" w:rsidP="007533DE">
      <w:pPr>
        <w:pStyle w:val="eTRMHeading3"/>
      </w:pPr>
      <w:bookmarkStart w:id="97" w:name="_Toc494369270"/>
      <w:bookmarkStart w:id="98" w:name="_Toc57800343"/>
      <w:bookmarkEnd w:id="95"/>
      <w:bookmarkEnd w:id="96"/>
      <w:r w:rsidRPr="004B06E3">
        <w:t xml:space="preserve">Non-Energy </w:t>
      </w:r>
      <w:bookmarkEnd w:id="97"/>
      <w:r>
        <w:t>Impacts</w:t>
      </w:r>
      <w:bookmarkEnd w:id="98"/>
    </w:p>
    <w:p w14:paraId="3EA1A424" w14:textId="77777777" w:rsidR="00FB73FB" w:rsidRDefault="00FB73FB" w:rsidP="00FB73FB">
      <w:r>
        <w:t>Non-energy impacts for this measure have not been quantified.</w:t>
      </w:r>
    </w:p>
    <w:p w14:paraId="73F543CF" w14:textId="4F68DC82" w:rsidR="002C67DF" w:rsidRDefault="002C67DF" w:rsidP="004142EF"/>
    <w:p w14:paraId="22B6B22B" w14:textId="77777777" w:rsidR="005E31EF" w:rsidRPr="004B06E3" w:rsidRDefault="005E31EF" w:rsidP="007533DE">
      <w:pPr>
        <w:pStyle w:val="eTRMHeading3"/>
      </w:pPr>
      <w:bookmarkStart w:id="99" w:name="_Toc494177557"/>
      <w:bookmarkStart w:id="100" w:name="_Toc57800344"/>
      <w:bookmarkStart w:id="101" w:name="_Hlk494283790"/>
      <w:r>
        <w:t>DEER Differences Analysis</w:t>
      </w:r>
      <w:bookmarkEnd w:id="99"/>
      <w:bookmarkEnd w:id="100"/>
    </w:p>
    <w:p w14:paraId="3559C57B" w14:textId="77777777" w:rsidR="0015324D" w:rsidRDefault="0015324D" w:rsidP="0015324D">
      <w:bookmarkStart w:id="102" w:name="_Hlk526856348"/>
      <w:r>
        <w:t>The table below summarizes the inputs and methods that are and are not based upon the Database for Energy Efficient Resources (DEER).</w:t>
      </w:r>
    </w:p>
    <w:bookmarkEnd w:id="102"/>
    <w:p w14:paraId="5F5AC1A4" w14:textId="3CACCBDD" w:rsidR="005E31EF" w:rsidRPr="00920905" w:rsidRDefault="005E31EF" w:rsidP="00222BA8">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318"/>
        <w:gridCol w:w="6272"/>
      </w:tblGrid>
      <w:tr w:rsidR="005E31EF" w:rsidRPr="00500C4E" w14:paraId="385F7E7A" w14:textId="77777777" w:rsidTr="007E732E">
        <w:trPr>
          <w:trHeight w:val="20"/>
        </w:trPr>
        <w:tc>
          <w:tcPr>
            <w:tcW w:w="1730" w:type="pct"/>
            <w:shd w:val="clear" w:color="auto" w:fill="F2F2F2" w:themeFill="background1" w:themeFillShade="F2"/>
          </w:tcPr>
          <w:p w14:paraId="37C39E93" w14:textId="77777777" w:rsidR="005E31EF" w:rsidRPr="00EA057C" w:rsidRDefault="005E31EF" w:rsidP="007E732E">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66A739C1" w14:textId="77777777" w:rsidR="005E31EF" w:rsidRPr="00EA057C" w:rsidRDefault="005E31EF" w:rsidP="007E732E">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5E31EF" w:rsidRPr="00500C4E" w14:paraId="6A37FBE5" w14:textId="77777777" w:rsidTr="007E732E">
        <w:trPr>
          <w:trHeight w:val="20"/>
        </w:trPr>
        <w:tc>
          <w:tcPr>
            <w:tcW w:w="1730" w:type="pct"/>
          </w:tcPr>
          <w:p w14:paraId="4283CE3C" w14:textId="77777777" w:rsidR="005E31EF" w:rsidRPr="00EA057C" w:rsidRDefault="005E31EF" w:rsidP="007E732E">
            <w:pPr>
              <w:keepNext/>
              <w:keepLines/>
              <w:spacing w:before="20" w:after="20"/>
              <w:rPr>
                <w:rFonts w:cs="Arial"/>
                <w:sz w:val="20"/>
                <w:szCs w:val="20"/>
              </w:rPr>
            </w:pPr>
            <w:r w:rsidRPr="00EA057C">
              <w:rPr>
                <w:rFonts w:cs="Arial"/>
                <w:sz w:val="20"/>
                <w:szCs w:val="20"/>
              </w:rPr>
              <w:t>Modified DEER methodology</w:t>
            </w:r>
          </w:p>
        </w:tc>
        <w:tc>
          <w:tcPr>
            <w:tcW w:w="3270" w:type="pct"/>
          </w:tcPr>
          <w:p w14:paraId="558BAB50" w14:textId="0F253356" w:rsidR="005E31EF" w:rsidRPr="00855429" w:rsidRDefault="00855429" w:rsidP="007E732E">
            <w:pPr>
              <w:keepNext/>
              <w:keepLines/>
              <w:spacing w:before="20" w:after="20"/>
              <w:rPr>
                <w:rFonts w:cs="Arial"/>
                <w:sz w:val="20"/>
                <w:szCs w:val="20"/>
              </w:rPr>
            </w:pPr>
            <w:r w:rsidRPr="00855429">
              <w:rPr>
                <w:rFonts w:cs="Arial"/>
                <w:sz w:val="20"/>
                <w:szCs w:val="20"/>
              </w:rPr>
              <w:t>No</w:t>
            </w:r>
          </w:p>
        </w:tc>
      </w:tr>
      <w:tr w:rsidR="005E31EF" w:rsidRPr="00500C4E" w14:paraId="2A9F9156" w14:textId="77777777" w:rsidTr="007E732E">
        <w:trPr>
          <w:trHeight w:val="20"/>
        </w:trPr>
        <w:tc>
          <w:tcPr>
            <w:tcW w:w="1730" w:type="pct"/>
          </w:tcPr>
          <w:p w14:paraId="00C7663F" w14:textId="77777777" w:rsidR="005E31EF" w:rsidRPr="00EA057C" w:rsidRDefault="005E31EF" w:rsidP="007E732E">
            <w:pPr>
              <w:keepNext/>
              <w:keepLines/>
              <w:spacing w:before="20" w:after="20"/>
              <w:rPr>
                <w:rFonts w:cs="Arial"/>
                <w:sz w:val="20"/>
                <w:szCs w:val="20"/>
              </w:rPr>
            </w:pPr>
            <w:r w:rsidRPr="00EA057C">
              <w:rPr>
                <w:rFonts w:cs="Arial"/>
                <w:sz w:val="20"/>
                <w:szCs w:val="20"/>
              </w:rPr>
              <w:t>Scaled DEER measure</w:t>
            </w:r>
          </w:p>
        </w:tc>
        <w:tc>
          <w:tcPr>
            <w:tcW w:w="3270" w:type="pct"/>
          </w:tcPr>
          <w:p w14:paraId="7CAA417F" w14:textId="25DC214E" w:rsidR="005E31EF" w:rsidRPr="00855429" w:rsidRDefault="00855429" w:rsidP="007E732E">
            <w:pPr>
              <w:keepNext/>
              <w:keepLines/>
              <w:spacing w:before="20" w:after="20"/>
              <w:rPr>
                <w:rFonts w:cs="Arial"/>
                <w:sz w:val="20"/>
                <w:szCs w:val="20"/>
              </w:rPr>
            </w:pPr>
            <w:r w:rsidRPr="00855429">
              <w:rPr>
                <w:rFonts w:cs="Arial"/>
                <w:sz w:val="20"/>
                <w:szCs w:val="20"/>
              </w:rPr>
              <w:t>No</w:t>
            </w:r>
          </w:p>
        </w:tc>
      </w:tr>
      <w:tr w:rsidR="005E31EF" w:rsidRPr="00500C4E" w14:paraId="24F07B53" w14:textId="77777777" w:rsidTr="007E732E">
        <w:trPr>
          <w:trHeight w:val="20"/>
        </w:trPr>
        <w:tc>
          <w:tcPr>
            <w:tcW w:w="1730" w:type="pct"/>
          </w:tcPr>
          <w:p w14:paraId="46975A59" w14:textId="77777777" w:rsidR="005E31EF" w:rsidRPr="00EA057C" w:rsidRDefault="005E31EF" w:rsidP="007E732E">
            <w:pPr>
              <w:keepNext/>
              <w:keepLines/>
              <w:spacing w:before="20" w:after="20"/>
              <w:rPr>
                <w:rFonts w:cs="Arial"/>
                <w:sz w:val="20"/>
                <w:szCs w:val="20"/>
              </w:rPr>
            </w:pPr>
            <w:r w:rsidRPr="00EA057C">
              <w:rPr>
                <w:rFonts w:cs="Arial"/>
                <w:sz w:val="20"/>
                <w:szCs w:val="20"/>
              </w:rPr>
              <w:t>DEER Base Case</w:t>
            </w:r>
          </w:p>
        </w:tc>
        <w:tc>
          <w:tcPr>
            <w:tcW w:w="3270" w:type="pct"/>
          </w:tcPr>
          <w:p w14:paraId="3771D476" w14:textId="715CA12B" w:rsidR="005E31EF" w:rsidRPr="00855429" w:rsidRDefault="00855429" w:rsidP="007E732E">
            <w:pPr>
              <w:keepNext/>
              <w:keepLines/>
              <w:spacing w:before="20" w:after="20"/>
              <w:rPr>
                <w:rFonts w:cs="Arial"/>
                <w:sz w:val="20"/>
                <w:szCs w:val="20"/>
              </w:rPr>
            </w:pPr>
            <w:r w:rsidRPr="00855429">
              <w:rPr>
                <w:rFonts w:cs="Arial"/>
                <w:sz w:val="20"/>
                <w:szCs w:val="20"/>
              </w:rPr>
              <w:t>No</w:t>
            </w:r>
          </w:p>
        </w:tc>
      </w:tr>
      <w:tr w:rsidR="005E31EF" w:rsidRPr="00500C4E" w14:paraId="74D3B417" w14:textId="77777777" w:rsidTr="007E732E">
        <w:trPr>
          <w:trHeight w:val="20"/>
        </w:trPr>
        <w:tc>
          <w:tcPr>
            <w:tcW w:w="1730" w:type="pct"/>
          </w:tcPr>
          <w:p w14:paraId="38B7EB6E" w14:textId="77777777" w:rsidR="005E31EF" w:rsidRPr="00EA057C" w:rsidRDefault="005E31EF" w:rsidP="007E732E">
            <w:pPr>
              <w:keepNext/>
              <w:keepLines/>
              <w:spacing w:before="20" w:after="20"/>
              <w:rPr>
                <w:rFonts w:cs="Arial"/>
                <w:sz w:val="20"/>
                <w:szCs w:val="20"/>
              </w:rPr>
            </w:pPr>
            <w:r w:rsidRPr="00EA057C">
              <w:rPr>
                <w:rFonts w:cs="Arial"/>
                <w:sz w:val="20"/>
                <w:szCs w:val="20"/>
              </w:rPr>
              <w:t>DEER Measure Case</w:t>
            </w:r>
          </w:p>
        </w:tc>
        <w:tc>
          <w:tcPr>
            <w:tcW w:w="3270" w:type="pct"/>
          </w:tcPr>
          <w:p w14:paraId="02CFB15B" w14:textId="55BF9BD0" w:rsidR="005E31EF" w:rsidRPr="00855429" w:rsidRDefault="00855429" w:rsidP="007E732E">
            <w:pPr>
              <w:keepNext/>
              <w:keepLines/>
              <w:spacing w:before="20" w:after="20"/>
              <w:rPr>
                <w:rFonts w:cs="Arial"/>
                <w:sz w:val="20"/>
                <w:szCs w:val="20"/>
              </w:rPr>
            </w:pPr>
            <w:r w:rsidRPr="00855429">
              <w:rPr>
                <w:rFonts w:cs="Arial"/>
                <w:sz w:val="20"/>
                <w:szCs w:val="20"/>
              </w:rPr>
              <w:t>No</w:t>
            </w:r>
          </w:p>
        </w:tc>
      </w:tr>
      <w:tr w:rsidR="005E31EF" w:rsidRPr="00500C4E" w14:paraId="08512A77" w14:textId="77777777" w:rsidTr="007E732E">
        <w:trPr>
          <w:trHeight w:val="20"/>
        </w:trPr>
        <w:tc>
          <w:tcPr>
            <w:tcW w:w="1730" w:type="pct"/>
          </w:tcPr>
          <w:p w14:paraId="78B0D3DC" w14:textId="77777777" w:rsidR="005E31EF" w:rsidRPr="00EA057C" w:rsidRDefault="005E31EF" w:rsidP="007E732E">
            <w:pPr>
              <w:keepNext/>
              <w:keepLines/>
              <w:spacing w:before="20" w:after="20"/>
              <w:rPr>
                <w:rFonts w:cs="Arial"/>
                <w:sz w:val="20"/>
                <w:szCs w:val="20"/>
              </w:rPr>
            </w:pPr>
            <w:r w:rsidRPr="00EA057C">
              <w:rPr>
                <w:rFonts w:cs="Arial"/>
                <w:sz w:val="20"/>
                <w:szCs w:val="20"/>
              </w:rPr>
              <w:t>DEER Building Types</w:t>
            </w:r>
          </w:p>
        </w:tc>
        <w:tc>
          <w:tcPr>
            <w:tcW w:w="3270" w:type="pct"/>
          </w:tcPr>
          <w:p w14:paraId="32BC9948" w14:textId="4C15BADF" w:rsidR="005E31EF" w:rsidRPr="00855429" w:rsidRDefault="005F2017" w:rsidP="007E732E">
            <w:pPr>
              <w:keepNext/>
              <w:keepLines/>
              <w:spacing w:before="20" w:after="20"/>
              <w:rPr>
                <w:rFonts w:cs="Arial"/>
                <w:sz w:val="20"/>
                <w:szCs w:val="20"/>
              </w:rPr>
            </w:pPr>
            <w:r>
              <w:rPr>
                <w:rFonts w:cs="Arial"/>
                <w:sz w:val="20"/>
                <w:szCs w:val="20"/>
              </w:rPr>
              <w:t>Yes</w:t>
            </w:r>
          </w:p>
        </w:tc>
      </w:tr>
      <w:tr w:rsidR="005E31EF" w:rsidRPr="00500C4E" w14:paraId="62A2C93E" w14:textId="77777777" w:rsidTr="007E732E">
        <w:trPr>
          <w:trHeight w:val="20"/>
        </w:trPr>
        <w:tc>
          <w:tcPr>
            <w:tcW w:w="1730" w:type="pct"/>
          </w:tcPr>
          <w:p w14:paraId="2CD6B966" w14:textId="77777777" w:rsidR="005E31EF" w:rsidRPr="00EA057C" w:rsidRDefault="005E31EF" w:rsidP="007E732E">
            <w:pPr>
              <w:keepNext/>
              <w:keepLines/>
              <w:spacing w:before="20" w:after="20"/>
              <w:rPr>
                <w:rFonts w:cs="Arial"/>
                <w:sz w:val="20"/>
                <w:szCs w:val="20"/>
              </w:rPr>
            </w:pPr>
            <w:r w:rsidRPr="00EA057C">
              <w:rPr>
                <w:rFonts w:cs="Arial"/>
                <w:sz w:val="20"/>
                <w:szCs w:val="20"/>
              </w:rPr>
              <w:t>DEER Operating Hours</w:t>
            </w:r>
          </w:p>
        </w:tc>
        <w:tc>
          <w:tcPr>
            <w:tcW w:w="3270" w:type="pct"/>
          </w:tcPr>
          <w:p w14:paraId="4493514D" w14:textId="03919186" w:rsidR="005E31EF" w:rsidRPr="00855429" w:rsidRDefault="00855429" w:rsidP="007E732E">
            <w:pPr>
              <w:keepNext/>
              <w:keepLines/>
              <w:spacing w:before="20" w:after="20"/>
              <w:rPr>
                <w:rFonts w:cs="Arial"/>
                <w:sz w:val="20"/>
                <w:szCs w:val="20"/>
              </w:rPr>
            </w:pPr>
            <w:r w:rsidRPr="00855429">
              <w:rPr>
                <w:rFonts w:cs="Arial"/>
                <w:sz w:val="20"/>
                <w:szCs w:val="20"/>
              </w:rPr>
              <w:t>No</w:t>
            </w:r>
          </w:p>
        </w:tc>
      </w:tr>
      <w:tr w:rsidR="005E31EF" w:rsidRPr="00500C4E" w14:paraId="04D22B30" w14:textId="77777777" w:rsidTr="007E732E">
        <w:trPr>
          <w:trHeight w:val="20"/>
        </w:trPr>
        <w:tc>
          <w:tcPr>
            <w:tcW w:w="1730" w:type="pct"/>
          </w:tcPr>
          <w:p w14:paraId="1A0F3A4D" w14:textId="77777777" w:rsidR="005E31EF" w:rsidRPr="00EA057C" w:rsidRDefault="005E31EF" w:rsidP="007E732E">
            <w:pPr>
              <w:keepNext/>
              <w:keepLines/>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553C493A" w14:textId="4850EDB6" w:rsidR="005E31EF" w:rsidRPr="00855429" w:rsidDel="00505CEC" w:rsidRDefault="00855429" w:rsidP="007E732E">
            <w:pPr>
              <w:keepNext/>
              <w:keepLines/>
              <w:spacing w:before="20" w:after="20"/>
              <w:rPr>
                <w:rFonts w:cs="Arial"/>
                <w:sz w:val="20"/>
                <w:szCs w:val="20"/>
              </w:rPr>
            </w:pPr>
            <w:r w:rsidRPr="00855429">
              <w:rPr>
                <w:rFonts w:cs="Arial"/>
                <w:sz w:val="20"/>
                <w:szCs w:val="20"/>
              </w:rPr>
              <w:t>No</w:t>
            </w:r>
          </w:p>
        </w:tc>
      </w:tr>
      <w:tr w:rsidR="005E31EF" w:rsidRPr="00500C4E" w14:paraId="44429CF5" w14:textId="77777777" w:rsidTr="007E732E">
        <w:trPr>
          <w:trHeight w:val="180"/>
        </w:trPr>
        <w:tc>
          <w:tcPr>
            <w:tcW w:w="1730" w:type="pct"/>
          </w:tcPr>
          <w:p w14:paraId="0DCF803F" w14:textId="77777777" w:rsidR="005E31EF" w:rsidRPr="00EA057C" w:rsidRDefault="005E31EF" w:rsidP="007E732E">
            <w:pPr>
              <w:keepNext/>
              <w:keepLines/>
              <w:spacing w:before="20" w:after="20"/>
              <w:rPr>
                <w:rFonts w:cs="Arial"/>
                <w:sz w:val="20"/>
                <w:szCs w:val="20"/>
              </w:rPr>
            </w:pPr>
            <w:r w:rsidRPr="00EA057C">
              <w:rPr>
                <w:rFonts w:cs="Arial"/>
                <w:sz w:val="20"/>
                <w:szCs w:val="20"/>
              </w:rPr>
              <w:t>DEER Version</w:t>
            </w:r>
          </w:p>
        </w:tc>
        <w:tc>
          <w:tcPr>
            <w:tcW w:w="3270" w:type="pct"/>
          </w:tcPr>
          <w:p w14:paraId="6C77A004" w14:textId="553DC04A" w:rsidR="005E31EF" w:rsidRPr="00855429" w:rsidRDefault="00855429" w:rsidP="007E732E">
            <w:pPr>
              <w:keepNext/>
              <w:keepLines/>
              <w:spacing w:before="20" w:after="20"/>
              <w:rPr>
                <w:rFonts w:cs="Arial"/>
                <w:sz w:val="20"/>
                <w:szCs w:val="20"/>
              </w:rPr>
            </w:pPr>
            <w:r w:rsidRPr="00855429">
              <w:rPr>
                <w:rFonts w:cs="Arial"/>
                <w:sz w:val="20"/>
                <w:szCs w:val="20"/>
              </w:rPr>
              <w:t>n/a</w:t>
            </w:r>
          </w:p>
        </w:tc>
      </w:tr>
      <w:tr w:rsidR="005E31EF" w:rsidRPr="00500C4E" w14:paraId="42D21E39" w14:textId="77777777" w:rsidTr="007E732E">
        <w:trPr>
          <w:trHeight w:val="20"/>
        </w:trPr>
        <w:tc>
          <w:tcPr>
            <w:tcW w:w="1730" w:type="pct"/>
          </w:tcPr>
          <w:p w14:paraId="4A8C453C" w14:textId="77777777" w:rsidR="005E31EF" w:rsidRPr="00EA057C" w:rsidRDefault="005E31EF" w:rsidP="007E732E">
            <w:pPr>
              <w:keepNext/>
              <w:keepLines/>
              <w:spacing w:before="20" w:after="20"/>
              <w:rPr>
                <w:rFonts w:cs="Arial"/>
                <w:sz w:val="20"/>
                <w:szCs w:val="20"/>
              </w:rPr>
            </w:pPr>
            <w:r w:rsidRPr="00EA057C">
              <w:rPr>
                <w:rFonts w:cs="Arial"/>
                <w:sz w:val="20"/>
                <w:szCs w:val="20"/>
              </w:rPr>
              <w:t>Reason for Deviation from DEER</w:t>
            </w:r>
          </w:p>
        </w:tc>
        <w:tc>
          <w:tcPr>
            <w:tcW w:w="3270" w:type="pct"/>
          </w:tcPr>
          <w:p w14:paraId="0248EDA9" w14:textId="429EE961" w:rsidR="005E31EF" w:rsidRPr="00855429" w:rsidRDefault="00855429" w:rsidP="007E732E">
            <w:pPr>
              <w:keepNext/>
              <w:keepLines/>
              <w:spacing w:before="20" w:after="20"/>
              <w:rPr>
                <w:rFonts w:cs="Arial"/>
                <w:sz w:val="20"/>
                <w:szCs w:val="20"/>
              </w:rPr>
            </w:pPr>
            <w:r w:rsidRPr="00855429">
              <w:rPr>
                <w:rFonts w:cs="Arial"/>
                <w:sz w:val="20"/>
                <w:szCs w:val="20"/>
              </w:rPr>
              <w:t xml:space="preserve">DEER </w:t>
            </w:r>
            <w:r w:rsidR="00000A38">
              <w:rPr>
                <w:rFonts w:cs="Arial"/>
                <w:sz w:val="20"/>
                <w:szCs w:val="20"/>
              </w:rPr>
              <w:t xml:space="preserve">2017 </w:t>
            </w:r>
            <w:r w:rsidRPr="00855429">
              <w:rPr>
                <w:rFonts w:cs="Arial"/>
                <w:sz w:val="20"/>
                <w:szCs w:val="20"/>
              </w:rPr>
              <w:t>does not contain this measure.</w:t>
            </w:r>
          </w:p>
        </w:tc>
      </w:tr>
      <w:tr w:rsidR="005E31EF" w:rsidRPr="00500C4E" w14:paraId="40DEA6CB" w14:textId="77777777" w:rsidTr="007E732E">
        <w:trPr>
          <w:trHeight w:val="20"/>
        </w:trPr>
        <w:tc>
          <w:tcPr>
            <w:tcW w:w="1730" w:type="pct"/>
          </w:tcPr>
          <w:p w14:paraId="11DE4289" w14:textId="5B06F717" w:rsidR="005E31EF" w:rsidRPr="00EA057C" w:rsidRDefault="005E31EF" w:rsidP="007E732E">
            <w:pPr>
              <w:keepNext/>
              <w:keepLines/>
              <w:spacing w:before="20" w:after="20"/>
              <w:rPr>
                <w:rFonts w:cs="Arial"/>
                <w:sz w:val="20"/>
                <w:szCs w:val="20"/>
              </w:rPr>
            </w:pPr>
            <w:r w:rsidRPr="00EA057C">
              <w:rPr>
                <w:rFonts w:cs="Arial"/>
                <w:sz w:val="20"/>
                <w:szCs w:val="20"/>
              </w:rPr>
              <w:t>DEER Measure IDs Used</w:t>
            </w:r>
          </w:p>
        </w:tc>
        <w:tc>
          <w:tcPr>
            <w:tcW w:w="3270" w:type="pct"/>
          </w:tcPr>
          <w:p w14:paraId="16AB3360" w14:textId="6954584C" w:rsidR="005E31EF" w:rsidRPr="00855429" w:rsidRDefault="00855429" w:rsidP="007E732E">
            <w:pPr>
              <w:keepNext/>
              <w:keepLines/>
              <w:spacing w:before="20" w:after="20"/>
              <w:rPr>
                <w:rFonts w:cs="Arial"/>
                <w:sz w:val="20"/>
                <w:szCs w:val="20"/>
              </w:rPr>
            </w:pPr>
            <w:r w:rsidRPr="00855429">
              <w:rPr>
                <w:rFonts w:cs="Arial"/>
                <w:sz w:val="20"/>
                <w:szCs w:val="20"/>
              </w:rPr>
              <w:t>n/a</w:t>
            </w:r>
          </w:p>
        </w:tc>
      </w:tr>
      <w:tr w:rsidR="005E31EF" w:rsidRPr="00500C4E" w14:paraId="0E3217E9" w14:textId="77777777" w:rsidTr="007E732E">
        <w:trPr>
          <w:trHeight w:val="20"/>
        </w:trPr>
        <w:tc>
          <w:tcPr>
            <w:tcW w:w="1730" w:type="pct"/>
          </w:tcPr>
          <w:p w14:paraId="38B18713" w14:textId="77777777" w:rsidR="005E31EF" w:rsidRPr="00EA057C" w:rsidRDefault="005E31EF" w:rsidP="007E732E">
            <w:pPr>
              <w:keepNext/>
              <w:keepLines/>
              <w:spacing w:before="20" w:after="20"/>
              <w:rPr>
                <w:rFonts w:cs="Arial"/>
                <w:sz w:val="20"/>
                <w:szCs w:val="20"/>
              </w:rPr>
            </w:pPr>
            <w:r>
              <w:rPr>
                <w:rFonts w:cs="Arial"/>
                <w:sz w:val="20"/>
                <w:szCs w:val="20"/>
              </w:rPr>
              <w:t>NTG</w:t>
            </w:r>
          </w:p>
        </w:tc>
        <w:tc>
          <w:tcPr>
            <w:tcW w:w="3270" w:type="pct"/>
          </w:tcPr>
          <w:p w14:paraId="0D97A8C4" w14:textId="0599F100" w:rsidR="005E31EF" w:rsidRPr="00EA057C" w:rsidRDefault="00C1547D" w:rsidP="00A06349">
            <w:pPr>
              <w:keepNext/>
              <w:keepLines/>
              <w:spacing w:before="20" w:after="20"/>
              <w:rPr>
                <w:rFonts w:cs="Arial"/>
                <w:sz w:val="20"/>
                <w:szCs w:val="20"/>
              </w:rPr>
            </w:pPr>
            <w:r>
              <w:rPr>
                <w:sz w:val="20"/>
                <w:szCs w:val="22"/>
              </w:rPr>
              <w:t xml:space="preserve">Source: DEER 2017. </w:t>
            </w:r>
            <w:r w:rsidR="00A06349">
              <w:rPr>
                <w:sz w:val="20"/>
                <w:szCs w:val="22"/>
              </w:rPr>
              <w:t xml:space="preserve">NTG of 0.60 is associated with </w:t>
            </w:r>
            <w:r w:rsidR="00A06349" w:rsidRPr="00D45DA4">
              <w:rPr>
                <w:sz w:val="20"/>
                <w:szCs w:val="22"/>
              </w:rPr>
              <w:t xml:space="preserve">NTG ID:  </w:t>
            </w:r>
            <w:r w:rsidR="00A06349" w:rsidRPr="00D45DA4">
              <w:rPr>
                <w:rFonts w:cs="Arial"/>
                <w:i/>
                <w:sz w:val="20"/>
                <w:szCs w:val="22"/>
              </w:rPr>
              <w:t>Com-Default&gt;2yrs</w:t>
            </w:r>
            <w:r w:rsidR="00A06349">
              <w:rPr>
                <w:sz w:val="20"/>
                <w:szCs w:val="22"/>
              </w:rPr>
              <w:t xml:space="preserve">, </w:t>
            </w:r>
            <w:r w:rsidR="00A06349" w:rsidRPr="003830E7">
              <w:rPr>
                <w:i/>
                <w:sz w:val="20"/>
                <w:szCs w:val="22"/>
              </w:rPr>
              <w:t>Ag</w:t>
            </w:r>
            <w:r w:rsidR="00DF5B0B">
              <w:rPr>
                <w:i/>
                <w:sz w:val="20"/>
                <w:szCs w:val="22"/>
              </w:rPr>
              <w:t>ric</w:t>
            </w:r>
            <w:r w:rsidR="00A06349" w:rsidRPr="003830E7">
              <w:rPr>
                <w:i/>
                <w:sz w:val="20"/>
                <w:szCs w:val="22"/>
              </w:rPr>
              <w:t>-Default</w:t>
            </w:r>
            <w:r w:rsidR="00A06349">
              <w:rPr>
                <w:i/>
                <w:sz w:val="20"/>
                <w:szCs w:val="22"/>
              </w:rPr>
              <w:t>&gt;</w:t>
            </w:r>
            <w:r w:rsidR="00A06349" w:rsidRPr="003830E7">
              <w:rPr>
                <w:i/>
                <w:sz w:val="20"/>
                <w:szCs w:val="22"/>
              </w:rPr>
              <w:t>2yrs</w:t>
            </w:r>
            <w:r w:rsidR="00A06349">
              <w:rPr>
                <w:sz w:val="20"/>
                <w:szCs w:val="22"/>
              </w:rPr>
              <w:t xml:space="preserve">, </w:t>
            </w:r>
            <w:r w:rsidR="00A06349" w:rsidRPr="003830E7">
              <w:rPr>
                <w:i/>
                <w:sz w:val="20"/>
                <w:szCs w:val="22"/>
              </w:rPr>
              <w:t>Ind-Default&gt;2yrs</w:t>
            </w:r>
          </w:p>
        </w:tc>
      </w:tr>
      <w:tr w:rsidR="005E31EF" w:rsidRPr="00500C4E" w14:paraId="6D62197E" w14:textId="77777777" w:rsidTr="007E732E">
        <w:trPr>
          <w:trHeight w:val="20"/>
        </w:trPr>
        <w:tc>
          <w:tcPr>
            <w:tcW w:w="1730" w:type="pct"/>
          </w:tcPr>
          <w:p w14:paraId="32CBFBAB" w14:textId="77777777" w:rsidR="005E31EF" w:rsidRDefault="005E31EF" w:rsidP="007E732E">
            <w:pPr>
              <w:keepNext/>
              <w:keepLines/>
              <w:spacing w:before="20" w:after="20"/>
              <w:rPr>
                <w:rFonts w:cs="Arial"/>
                <w:sz w:val="20"/>
                <w:szCs w:val="20"/>
              </w:rPr>
            </w:pPr>
            <w:r>
              <w:rPr>
                <w:rFonts w:cs="Arial"/>
                <w:sz w:val="20"/>
                <w:szCs w:val="20"/>
              </w:rPr>
              <w:t>GSIA</w:t>
            </w:r>
          </w:p>
        </w:tc>
        <w:tc>
          <w:tcPr>
            <w:tcW w:w="3270" w:type="pct"/>
          </w:tcPr>
          <w:p w14:paraId="5682A789" w14:textId="0F31242A" w:rsidR="005E31EF" w:rsidRPr="00EA057C" w:rsidRDefault="00C1547D" w:rsidP="007E732E">
            <w:pPr>
              <w:keepNext/>
              <w:keepLines/>
              <w:spacing w:before="20" w:after="20"/>
              <w:rPr>
                <w:rFonts w:cs="Arial"/>
                <w:sz w:val="20"/>
                <w:szCs w:val="20"/>
              </w:rPr>
            </w:pPr>
            <w:r>
              <w:rPr>
                <w:rFonts w:cs="Arial"/>
                <w:sz w:val="20"/>
                <w:szCs w:val="20"/>
              </w:rPr>
              <w:t xml:space="preserve">Source: DEER. </w:t>
            </w:r>
            <w:r w:rsidR="00855429">
              <w:rPr>
                <w:rFonts w:cs="Arial"/>
                <w:sz w:val="20"/>
                <w:szCs w:val="20"/>
              </w:rPr>
              <w:t xml:space="preserve">The value of 1.0 is associated with GSIA ID: </w:t>
            </w:r>
            <w:r w:rsidR="00855429">
              <w:rPr>
                <w:rFonts w:cs="Arial"/>
                <w:i/>
                <w:iCs/>
                <w:sz w:val="20"/>
                <w:szCs w:val="20"/>
              </w:rPr>
              <w:t>Def-GSIA</w:t>
            </w:r>
          </w:p>
        </w:tc>
      </w:tr>
      <w:tr w:rsidR="005E31EF" w:rsidRPr="00500C4E" w14:paraId="7ED0FD43" w14:textId="77777777" w:rsidTr="007E732E">
        <w:trPr>
          <w:trHeight w:val="20"/>
        </w:trPr>
        <w:tc>
          <w:tcPr>
            <w:tcW w:w="1730" w:type="pct"/>
          </w:tcPr>
          <w:p w14:paraId="6778F819" w14:textId="77777777" w:rsidR="005E31EF" w:rsidRDefault="005E31EF" w:rsidP="007E732E">
            <w:pPr>
              <w:keepNext/>
              <w:keepLines/>
              <w:spacing w:before="20" w:after="20"/>
              <w:rPr>
                <w:rFonts w:cs="Arial"/>
                <w:sz w:val="20"/>
                <w:szCs w:val="20"/>
              </w:rPr>
            </w:pPr>
            <w:r>
              <w:rPr>
                <w:rFonts w:cs="Arial"/>
                <w:sz w:val="20"/>
                <w:szCs w:val="20"/>
              </w:rPr>
              <w:t>EUL/RUL</w:t>
            </w:r>
          </w:p>
        </w:tc>
        <w:tc>
          <w:tcPr>
            <w:tcW w:w="3270" w:type="pct"/>
          </w:tcPr>
          <w:p w14:paraId="26D2C4B4" w14:textId="53C647A3" w:rsidR="005E31EF" w:rsidRPr="00EA057C" w:rsidRDefault="00C1547D" w:rsidP="007E732E">
            <w:pPr>
              <w:keepNext/>
              <w:keepLines/>
              <w:spacing w:before="20" w:after="20"/>
              <w:rPr>
                <w:rFonts w:cs="Arial"/>
                <w:sz w:val="20"/>
                <w:szCs w:val="20"/>
              </w:rPr>
            </w:pPr>
            <w:r>
              <w:rPr>
                <w:sz w:val="20"/>
                <w:szCs w:val="22"/>
              </w:rPr>
              <w:t xml:space="preserve">Source: DEER 2017. </w:t>
            </w:r>
            <w:r w:rsidR="00855429" w:rsidRPr="00F5131F">
              <w:rPr>
                <w:rFonts w:eastAsia="Times New Roman"/>
                <w:sz w:val="20"/>
                <w:szCs w:val="20"/>
              </w:rPr>
              <w:t>The</w:t>
            </w:r>
            <w:r w:rsidR="00855429">
              <w:rPr>
                <w:rFonts w:eastAsia="Times New Roman"/>
                <w:sz w:val="20"/>
                <w:szCs w:val="20"/>
              </w:rPr>
              <w:t xml:space="preserve"> value </w:t>
            </w:r>
            <w:r w:rsidR="00855429" w:rsidRPr="00F5131F">
              <w:rPr>
                <w:rFonts w:eastAsia="Times New Roman"/>
                <w:sz w:val="20"/>
                <w:szCs w:val="20"/>
              </w:rPr>
              <w:t xml:space="preserve">of </w:t>
            </w:r>
            <w:r w:rsidR="00F5131F" w:rsidRPr="00F5131F">
              <w:rPr>
                <w:rFonts w:eastAsia="Times New Roman"/>
                <w:sz w:val="20"/>
                <w:szCs w:val="20"/>
              </w:rPr>
              <w:t>12</w:t>
            </w:r>
            <w:r w:rsidR="00855429" w:rsidRPr="00F5131F">
              <w:rPr>
                <w:rFonts w:eastAsia="Times New Roman"/>
                <w:sz w:val="20"/>
                <w:szCs w:val="20"/>
              </w:rPr>
              <w:t xml:space="preserve"> years is</w:t>
            </w:r>
            <w:r w:rsidR="00855429">
              <w:rPr>
                <w:rFonts w:eastAsia="Times New Roman"/>
                <w:sz w:val="20"/>
                <w:szCs w:val="20"/>
              </w:rPr>
              <w:t xml:space="preserve"> associated with EUL ID: </w:t>
            </w:r>
            <w:r w:rsidR="00F5131F" w:rsidRPr="00F5131F">
              <w:rPr>
                <w:rFonts w:cstheme="minorHAnsi"/>
                <w:i/>
                <w:sz w:val="20"/>
                <w:szCs w:val="20"/>
              </w:rPr>
              <w:t>Cook-</w:t>
            </w:r>
            <w:proofErr w:type="spellStart"/>
            <w:r w:rsidR="00F5131F" w:rsidRPr="00F5131F">
              <w:rPr>
                <w:rFonts w:cstheme="minorHAnsi"/>
                <w:i/>
                <w:sz w:val="20"/>
                <w:szCs w:val="20"/>
              </w:rPr>
              <w:t>ElecCombOven</w:t>
            </w:r>
            <w:proofErr w:type="spellEnd"/>
          </w:p>
        </w:tc>
      </w:tr>
    </w:tbl>
    <w:p w14:paraId="3290E54F" w14:textId="77777777" w:rsidR="005E31EF" w:rsidRDefault="005E31EF" w:rsidP="005E31EF"/>
    <w:p w14:paraId="0FBD34AC" w14:textId="77777777" w:rsidR="00E3432A" w:rsidRDefault="00E3432A" w:rsidP="007533DE">
      <w:pPr>
        <w:pStyle w:val="eTRMHeading3"/>
      </w:pPr>
      <w:bookmarkStart w:id="103" w:name="_Toc515951877"/>
      <w:bookmarkStart w:id="104" w:name="_Toc486580937"/>
      <w:bookmarkStart w:id="105" w:name="_Toc486490866"/>
      <w:bookmarkStart w:id="106" w:name="_Toc57800345"/>
      <w:bookmarkStart w:id="107" w:name="_Hlk516047558"/>
      <w:bookmarkEnd w:id="101"/>
      <w:r>
        <w:lastRenderedPageBreak/>
        <w:t>Revision History</w:t>
      </w:r>
      <w:bookmarkEnd w:id="103"/>
      <w:bookmarkEnd w:id="104"/>
      <w:bookmarkEnd w:id="105"/>
      <w:bookmarkEnd w:id="106"/>
    </w:p>
    <w:p w14:paraId="689A709D" w14:textId="0B7811E6" w:rsidR="00E3432A" w:rsidRDefault="00E3432A" w:rsidP="00222BA8">
      <w:pPr>
        <w:pStyle w:val="Caption"/>
      </w:pPr>
      <w:bookmarkStart w:id="108"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967"/>
        <w:gridCol w:w="1490"/>
        <w:gridCol w:w="1709"/>
        <w:gridCol w:w="5424"/>
      </w:tblGrid>
      <w:tr w:rsidR="00E3432A" w14:paraId="5F3AFBBA" w14:textId="77777777" w:rsidTr="00222B06">
        <w:trPr>
          <w:trHeight w:val="20"/>
        </w:trPr>
        <w:tc>
          <w:tcPr>
            <w:tcW w:w="50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07DF37D7" w14:textId="77777777" w:rsidR="00E3432A" w:rsidRDefault="00E3432A">
            <w:pPr>
              <w:keepNext/>
              <w:keepLines/>
              <w:tabs>
                <w:tab w:val="right" w:pos="2957"/>
              </w:tabs>
              <w:spacing w:before="20" w:after="20"/>
              <w:rPr>
                <w:rFonts w:cs="Arial"/>
                <w:b/>
                <w:sz w:val="20"/>
                <w:szCs w:val="20"/>
              </w:rPr>
            </w:pPr>
            <w:r>
              <w:rPr>
                <w:rFonts w:cs="Arial"/>
                <w:b/>
                <w:sz w:val="20"/>
                <w:szCs w:val="20"/>
              </w:rPr>
              <w:t>Revision Number</w:t>
            </w:r>
          </w:p>
        </w:tc>
        <w:tc>
          <w:tcPr>
            <w:tcW w:w="77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196DEFCD" w14:textId="365E83AA" w:rsidR="00E3432A" w:rsidRDefault="00222B06">
            <w:pPr>
              <w:keepNext/>
              <w:keepLines/>
              <w:spacing w:before="20" w:after="20"/>
              <w:rPr>
                <w:rFonts w:cs="Arial"/>
                <w:b/>
                <w:sz w:val="20"/>
                <w:szCs w:val="20"/>
              </w:rPr>
            </w:pPr>
            <w:r>
              <w:rPr>
                <w:rFonts w:cs="Arial"/>
                <w:b/>
                <w:sz w:val="20"/>
                <w:szCs w:val="20"/>
              </w:rPr>
              <w:t xml:space="preserve">Revision Complete </w:t>
            </w:r>
            <w:r w:rsidR="00E3432A">
              <w:rPr>
                <w:rFonts w:cs="Arial"/>
                <w:b/>
                <w:sz w:val="20"/>
                <w:szCs w:val="20"/>
              </w:rPr>
              <w:t>Date</w:t>
            </w:r>
          </w:p>
        </w:tc>
        <w:tc>
          <w:tcPr>
            <w:tcW w:w="8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299543E5" w14:textId="77777777" w:rsidR="00E3432A" w:rsidRDefault="00E3432A">
            <w:pPr>
              <w:keepNext/>
              <w:keepLines/>
              <w:spacing w:before="20" w:after="20"/>
              <w:rPr>
                <w:rFonts w:cs="Arial"/>
                <w:b/>
                <w:sz w:val="20"/>
                <w:szCs w:val="20"/>
              </w:rPr>
            </w:pPr>
            <w:r>
              <w:rPr>
                <w:rFonts w:cs="Arial"/>
                <w:b/>
                <w:sz w:val="20"/>
                <w:szCs w:val="20"/>
              </w:rPr>
              <w:t>Primary Author, Title, Organization</w:t>
            </w:r>
          </w:p>
        </w:tc>
        <w:tc>
          <w:tcPr>
            <w:tcW w:w="282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4FF0AD73" w14:textId="51EECADC" w:rsidR="00E3432A" w:rsidRDefault="00E3432A">
            <w:pPr>
              <w:keepNext/>
              <w:keepLines/>
              <w:spacing w:before="20" w:after="20"/>
              <w:rPr>
                <w:rFonts w:cs="Arial"/>
                <w:b/>
                <w:sz w:val="20"/>
                <w:szCs w:val="20"/>
              </w:rPr>
            </w:pPr>
            <w:r>
              <w:rPr>
                <w:rFonts w:cs="Arial"/>
                <w:b/>
                <w:sz w:val="20"/>
                <w:szCs w:val="20"/>
              </w:rPr>
              <w:t>Revision Summary and Rationale for Revision</w:t>
            </w:r>
          </w:p>
        </w:tc>
      </w:tr>
      <w:tr w:rsidR="00155612" w14:paraId="141D6F06" w14:textId="77777777" w:rsidTr="007F39D6">
        <w:trPr>
          <w:trHeight w:val="20"/>
        </w:trPr>
        <w:tc>
          <w:tcPr>
            <w:tcW w:w="504"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hideMark/>
          </w:tcPr>
          <w:p w14:paraId="74D7FE6F" w14:textId="77777777" w:rsidR="00155612" w:rsidRDefault="00155612">
            <w:pPr>
              <w:keepNext/>
              <w:keepLines/>
              <w:spacing w:before="20" w:after="20"/>
              <w:rPr>
                <w:rFonts w:cs="Arial"/>
                <w:sz w:val="20"/>
                <w:szCs w:val="20"/>
              </w:rPr>
            </w:pPr>
            <w:r>
              <w:rPr>
                <w:rFonts w:cs="Arial"/>
                <w:sz w:val="20"/>
                <w:szCs w:val="20"/>
              </w:rPr>
              <w:t>01</w:t>
            </w:r>
          </w:p>
        </w:tc>
        <w:tc>
          <w:tcPr>
            <w:tcW w:w="77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D48EFCC" w14:textId="3F459D26" w:rsidR="00155612" w:rsidRPr="004931B5" w:rsidRDefault="00155612">
            <w:pPr>
              <w:keepNext/>
              <w:keepLines/>
              <w:spacing w:before="20" w:after="20"/>
              <w:rPr>
                <w:rFonts w:cs="Arial"/>
                <w:sz w:val="20"/>
                <w:szCs w:val="20"/>
              </w:rPr>
            </w:pPr>
            <w:r w:rsidRPr="004931B5">
              <w:rPr>
                <w:rFonts w:cs="Arial"/>
                <w:sz w:val="20"/>
                <w:szCs w:val="20"/>
              </w:rPr>
              <w:t>12/31/2017</w:t>
            </w:r>
          </w:p>
        </w:tc>
        <w:tc>
          <w:tcPr>
            <w:tcW w:w="8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224282C" w14:textId="77777777" w:rsidR="00155612" w:rsidRPr="004931B5" w:rsidRDefault="00155612">
            <w:pPr>
              <w:keepNext/>
              <w:keepLines/>
              <w:spacing w:before="20" w:after="20"/>
              <w:rPr>
                <w:rFonts w:cs="Arial"/>
                <w:sz w:val="20"/>
                <w:szCs w:val="20"/>
              </w:rPr>
            </w:pPr>
            <w:r w:rsidRPr="004931B5">
              <w:rPr>
                <w:rFonts w:cs="Arial"/>
                <w:sz w:val="20"/>
                <w:szCs w:val="20"/>
              </w:rPr>
              <w:t>Jennifer Holmes</w:t>
            </w:r>
          </w:p>
          <w:p w14:paraId="1025E944" w14:textId="77777777" w:rsidR="00155612" w:rsidRPr="004931B5" w:rsidRDefault="00155612">
            <w:pPr>
              <w:keepNext/>
              <w:keepLines/>
              <w:spacing w:before="20" w:after="20"/>
              <w:rPr>
                <w:rFonts w:cs="Arial"/>
                <w:sz w:val="20"/>
                <w:szCs w:val="20"/>
              </w:rPr>
            </w:pPr>
            <w:r w:rsidRPr="004931B5">
              <w:rPr>
                <w:rFonts w:cs="Arial"/>
                <w:sz w:val="20"/>
                <w:szCs w:val="20"/>
              </w:rPr>
              <w:t>Cal TF Staff</w:t>
            </w:r>
          </w:p>
        </w:tc>
        <w:tc>
          <w:tcPr>
            <w:tcW w:w="282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72A1E8" w14:textId="04CE98B8" w:rsidR="00155612" w:rsidRDefault="00155612">
            <w:pPr>
              <w:keepNext/>
              <w:keepLines/>
              <w:spacing w:before="20" w:after="20"/>
              <w:rPr>
                <w:rFonts w:cs="Arial"/>
                <w:sz w:val="20"/>
                <w:szCs w:val="20"/>
              </w:rPr>
            </w:pPr>
            <w:r>
              <w:rPr>
                <w:rFonts w:cs="Arial"/>
                <w:sz w:val="20"/>
                <w:szCs w:val="20"/>
              </w:rPr>
              <w:t>Draft of consolidated text for this statewide measure is based upon:</w:t>
            </w:r>
          </w:p>
          <w:p w14:paraId="04C56CA4" w14:textId="20B750B7" w:rsidR="00155612" w:rsidRDefault="00155612">
            <w:pPr>
              <w:keepNext/>
              <w:keepLines/>
              <w:spacing w:before="20" w:after="20"/>
              <w:rPr>
                <w:rFonts w:cs="Arial"/>
                <w:sz w:val="20"/>
                <w:szCs w:val="20"/>
              </w:rPr>
            </w:pPr>
            <w:r>
              <w:rPr>
                <w:rFonts w:cs="Arial"/>
                <w:sz w:val="20"/>
                <w:szCs w:val="20"/>
              </w:rPr>
              <w:t>SCE17CC012, Version 1 (August 30, 2018)</w:t>
            </w:r>
          </w:p>
          <w:p w14:paraId="5DBA10B4" w14:textId="75037937" w:rsidR="00155612" w:rsidRDefault="00155612">
            <w:pPr>
              <w:keepNext/>
              <w:keepLines/>
              <w:spacing w:before="20" w:after="20"/>
              <w:rPr>
                <w:rFonts w:cs="Arial"/>
                <w:sz w:val="20"/>
                <w:szCs w:val="20"/>
              </w:rPr>
            </w:pPr>
            <w:r>
              <w:rPr>
                <w:rFonts w:cs="Arial"/>
                <w:sz w:val="20"/>
                <w:szCs w:val="20"/>
              </w:rPr>
              <w:t>SCE17CC012, Version 0 (October 20, 2016)</w:t>
            </w:r>
          </w:p>
          <w:p w14:paraId="49DF3C69" w14:textId="214E34AF" w:rsidR="00155612" w:rsidRDefault="00155612" w:rsidP="004931B5">
            <w:pPr>
              <w:keepNext/>
              <w:keepLines/>
              <w:spacing w:before="20" w:after="20"/>
              <w:rPr>
                <w:rFonts w:cs="Arial"/>
                <w:sz w:val="20"/>
                <w:szCs w:val="20"/>
              </w:rPr>
            </w:pPr>
            <w:r>
              <w:rPr>
                <w:rFonts w:cs="Arial"/>
                <w:sz w:val="20"/>
                <w:szCs w:val="20"/>
              </w:rPr>
              <w:t>Consensus reached among Cal TF members</w:t>
            </w:r>
          </w:p>
        </w:tc>
      </w:tr>
      <w:tr w:rsidR="00155612" w14:paraId="6A9C9FF5" w14:textId="77777777" w:rsidTr="005F1E83">
        <w:trPr>
          <w:trHeight w:val="20"/>
        </w:trPr>
        <w:tc>
          <w:tcPr>
            <w:tcW w:w="504" w:type="pct"/>
            <w:vMerge/>
            <w:tcBorders>
              <w:left w:val="single" w:sz="4" w:space="0" w:color="A6A6A6" w:themeColor="background1" w:themeShade="A6"/>
              <w:right w:val="single" w:sz="4" w:space="0" w:color="A6A6A6" w:themeColor="background1" w:themeShade="A6"/>
            </w:tcBorders>
          </w:tcPr>
          <w:p w14:paraId="3DBFF630" w14:textId="7C28CD58" w:rsidR="00155612" w:rsidRDefault="00155612" w:rsidP="0015324D">
            <w:pPr>
              <w:keepNext/>
              <w:keepLines/>
              <w:spacing w:before="20" w:after="20"/>
              <w:rPr>
                <w:rFonts w:cs="Arial"/>
                <w:sz w:val="20"/>
                <w:szCs w:val="20"/>
              </w:rPr>
            </w:pPr>
          </w:p>
        </w:tc>
        <w:tc>
          <w:tcPr>
            <w:tcW w:w="77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B02280" w14:textId="77777777" w:rsidR="00155612" w:rsidRDefault="00155612" w:rsidP="0015324D">
            <w:pPr>
              <w:keepNext/>
              <w:keepLines/>
              <w:spacing w:before="20" w:after="20"/>
              <w:rPr>
                <w:rFonts w:cs="Arial"/>
                <w:sz w:val="20"/>
                <w:szCs w:val="20"/>
              </w:rPr>
            </w:pPr>
            <w:r>
              <w:rPr>
                <w:rFonts w:cs="Arial"/>
                <w:sz w:val="20"/>
                <w:szCs w:val="20"/>
              </w:rPr>
              <w:t>10/10/2018</w:t>
            </w:r>
          </w:p>
          <w:p w14:paraId="08546888" w14:textId="42511B10" w:rsidR="00155612" w:rsidRPr="004931B5" w:rsidRDefault="00155612" w:rsidP="0015324D">
            <w:pPr>
              <w:keepNext/>
              <w:keepLines/>
              <w:spacing w:before="20" w:after="20"/>
              <w:rPr>
                <w:rFonts w:cs="Arial"/>
                <w:sz w:val="20"/>
                <w:szCs w:val="20"/>
              </w:rPr>
            </w:pPr>
            <w:r>
              <w:rPr>
                <w:rFonts w:cs="Arial"/>
                <w:sz w:val="20"/>
                <w:szCs w:val="20"/>
              </w:rPr>
              <w:t>10/30/2018</w:t>
            </w:r>
          </w:p>
        </w:tc>
        <w:tc>
          <w:tcPr>
            <w:tcW w:w="8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50AFC97" w14:textId="77777777" w:rsidR="00155612" w:rsidRPr="00743373" w:rsidRDefault="00155612" w:rsidP="0015324D">
            <w:pPr>
              <w:keepNext/>
              <w:keepLines/>
              <w:spacing w:before="20" w:after="20"/>
              <w:rPr>
                <w:rFonts w:cs="Arial"/>
                <w:sz w:val="20"/>
                <w:szCs w:val="20"/>
              </w:rPr>
            </w:pPr>
            <w:r w:rsidRPr="00743373">
              <w:rPr>
                <w:rFonts w:cs="Arial"/>
                <w:sz w:val="20"/>
                <w:szCs w:val="20"/>
              </w:rPr>
              <w:t>Jennifer Holmes</w:t>
            </w:r>
          </w:p>
          <w:p w14:paraId="293ADBC3" w14:textId="41893201" w:rsidR="00155612" w:rsidRPr="004931B5" w:rsidRDefault="00155612" w:rsidP="0015324D">
            <w:pPr>
              <w:keepNext/>
              <w:keepLines/>
              <w:spacing w:before="20" w:after="20"/>
              <w:rPr>
                <w:rFonts w:cs="Arial"/>
                <w:sz w:val="20"/>
                <w:szCs w:val="20"/>
              </w:rPr>
            </w:pPr>
            <w:r w:rsidRPr="00743373">
              <w:rPr>
                <w:rFonts w:cs="Arial"/>
                <w:sz w:val="20"/>
                <w:szCs w:val="20"/>
              </w:rPr>
              <w:t>Cal TF Staff</w:t>
            </w:r>
          </w:p>
        </w:tc>
        <w:tc>
          <w:tcPr>
            <w:tcW w:w="282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0D7DB6" w14:textId="24DFBFEC" w:rsidR="00155612" w:rsidRDefault="00155612" w:rsidP="0015324D">
            <w:pPr>
              <w:keepNext/>
              <w:keepLines/>
              <w:spacing w:before="20" w:after="20"/>
              <w:rPr>
                <w:rFonts w:cs="Arial"/>
                <w:sz w:val="20"/>
                <w:szCs w:val="20"/>
              </w:rPr>
            </w:pPr>
            <w:r>
              <w:rPr>
                <w:rFonts w:cs="Arial"/>
                <w:sz w:val="20"/>
                <w:szCs w:val="20"/>
              </w:rPr>
              <w:t>Completed final revisions for submittal of version 01.</w:t>
            </w:r>
          </w:p>
        </w:tc>
      </w:tr>
      <w:tr w:rsidR="00155612" w14:paraId="3D515B7E" w14:textId="77777777" w:rsidTr="00911A9A">
        <w:trPr>
          <w:trHeight w:val="20"/>
        </w:trPr>
        <w:tc>
          <w:tcPr>
            <w:tcW w:w="504" w:type="pct"/>
            <w:vMerge/>
            <w:tcBorders>
              <w:left w:val="single" w:sz="4" w:space="0" w:color="A6A6A6" w:themeColor="background1" w:themeShade="A6"/>
              <w:right w:val="single" w:sz="4" w:space="0" w:color="A6A6A6" w:themeColor="background1" w:themeShade="A6"/>
            </w:tcBorders>
          </w:tcPr>
          <w:p w14:paraId="087FC3EC" w14:textId="77777777" w:rsidR="00155612" w:rsidRDefault="00155612" w:rsidP="0015324D">
            <w:pPr>
              <w:keepNext/>
              <w:keepLines/>
              <w:spacing w:before="20" w:after="20"/>
              <w:rPr>
                <w:rFonts w:cs="Arial"/>
                <w:sz w:val="20"/>
                <w:szCs w:val="20"/>
              </w:rPr>
            </w:pPr>
          </w:p>
        </w:tc>
        <w:tc>
          <w:tcPr>
            <w:tcW w:w="77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88BD900" w14:textId="61F09563" w:rsidR="00155612" w:rsidRDefault="00155612" w:rsidP="0015324D">
            <w:pPr>
              <w:keepNext/>
              <w:keepLines/>
              <w:spacing w:before="20" w:after="20"/>
              <w:rPr>
                <w:rFonts w:cs="Arial"/>
                <w:sz w:val="20"/>
                <w:szCs w:val="20"/>
              </w:rPr>
            </w:pPr>
            <w:r>
              <w:rPr>
                <w:rFonts w:cs="Arial"/>
                <w:sz w:val="20"/>
                <w:szCs w:val="20"/>
              </w:rPr>
              <w:t>04/27/2020</w:t>
            </w:r>
          </w:p>
        </w:tc>
        <w:tc>
          <w:tcPr>
            <w:tcW w:w="8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5BA3E94" w14:textId="77777777" w:rsidR="00155612" w:rsidRDefault="00155612" w:rsidP="0015324D">
            <w:pPr>
              <w:keepNext/>
              <w:keepLines/>
              <w:spacing w:before="20" w:after="20"/>
              <w:rPr>
                <w:rFonts w:cs="Arial"/>
                <w:sz w:val="20"/>
                <w:szCs w:val="20"/>
              </w:rPr>
            </w:pPr>
            <w:r>
              <w:rPr>
                <w:rFonts w:cs="Arial"/>
                <w:sz w:val="20"/>
                <w:szCs w:val="20"/>
              </w:rPr>
              <w:t>Jesse Manao</w:t>
            </w:r>
          </w:p>
          <w:p w14:paraId="1810AB8C" w14:textId="7EE2D7FC" w:rsidR="00155612" w:rsidRPr="00743373" w:rsidRDefault="00155612" w:rsidP="0015324D">
            <w:pPr>
              <w:keepNext/>
              <w:keepLines/>
              <w:spacing w:before="20" w:after="20"/>
              <w:rPr>
                <w:rFonts w:cs="Arial"/>
                <w:sz w:val="20"/>
                <w:szCs w:val="20"/>
              </w:rPr>
            </w:pPr>
            <w:r>
              <w:rPr>
                <w:rFonts w:cs="Arial"/>
                <w:sz w:val="20"/>
                <w:szCs w:val="20"/>
              </w:rPr>
              <w:t>SCE</w:t>
            </w:r>
          </w:p>
        </w:tc>
        <w:tc>
          <w:tcPr>
            <w:tcW w:w="282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D96E0C7" w14:textId="77777777" w:rsidR="00155612" w:rsidRPr="00B13B32" w:rsidRDefault="00155612" w:rsidP="00B13B32">
            <w:pPr>
              <w:pStyle w:val="ListParagraph"/>
              <w:keepNext/>
              <w:keepLines/>
              <w:numPr>
                <w:ilvl w:val="0"/>
                <w:numId w:val="14"/>
              </w:numPr>
              <w:spacing w:before="20" w:after="20"/>
              <w:ind w:left="421"/>
              <w:rPr>
                <w:rFonts w:cs="Arial"/>
                <w:sz w:val="20"/>
                <w:szCs w:val="20"/>
              </w:rPr>
            </w:pPr>
            <w:r w:rsidRPr="00B13B32">
              <w:rPr>
                <w:rFonts w:cs="Arial"/>
                <w:sz w:val="20"/>
                <w:szCs w:val="20"/>
              </w:rPr>
              <w:t xml:space="preserve">Split "Any" BT in the </w:t>
            </w:r>
            <w:proofErr w:type="spellStart"/>
            <w:r w:rsidRPr="00B13B32">
              <w:rPr>
                <w:rFonts w:cs="Arial"/>
                <w:sz w:val="20"/>
                <w:szCs w:val="20"/>
              </w:rPr>
              <w:t>EnergyImpactExAnte</w:t>
            </w:r>
            <w:proofErr w:type="spellEnd"/>
            <w:r w:rsidRPr="00B13B32">
              <w:rPr>
                <w:rFonts w:cs="Arial"/>
                <w:sz w:val="20"/>
                <w:szCs w:val="20"/>
              </w:rPr>
              <w:t>.</w:t>
            </w:r>
          </w:p>
          <w:p w14:paraId="503A253B" w14:textId="77777777" w:rsidR="00155612" w:rsidRPr="00B13B32" w:rsidRDefault="00155612" w:rsidP="00B13B32">
            <w:pPr>
              <w:pStyle w:val="ListParagraph"/>
              <w:keepNext/>
              <w:keepLines/>
              <w:numPr>
                <w:ilvl w:val="0"/>
                <w:numId w:val="14"/>
              </w:numPr>
              <w:spacing w:before="20" w:after="20"/>
              <w:ind w:left="421"/>
              <w:rPr>
                <w:rFonts w:cs="Arial"/>
                <w:sz w:val="20"/>
                <w:szCs w:val="20"/>
              </w:rPr>
            </w:pPr>
            <w:r w:rsidRPr="00B13B32">
              <w:rPr>
                <w:rFonts w:cs="Arial"/>
                <w:sz w:val="20"/>
                <w:szCs w:val="20"/>
              </w:rPr>
              <w:t>Removed Midstream Implementation IDs.</w:t>
            </w:r>
          </w:p>
          <w:p w14:paraId="5291C578" w14:textId="3BB471F7" w:rsidR="00155612" w:rsidRPr="00B13B32" w:rsidRDefault="00B13B32" w:rsidP="00B13B32">
            <w:pPr>
              <w:pStyle w:val="ListParagraph"/>
              <w:keepNext/>
              <w:keepLines/>
              <w:numPr>
                <w:ilvl w:val="0"/>
                <w:numId w:val="14"/>
              </w:numPr>
              <w:spacing w:before="20" w:after="20"/>
              <w:ind w:left="421"/>
              <w:rPr>
                <w:rFonts w:cs="Arial"/>
                <w:sz w:val="20"/>
                <w:szCs w:val="20"/>
              </w:rPr>
            </w:pPr>
            <w:r>
              <w:rPr>
                <w:rFonts w:cs="Arial"/>
                <w:sz w:val="20"/>
                <w:szCs w:val="20"/>
              </w:rPr>
              <w:t xml:space="preserve">Fixed incorrect </w:t>
            </w:r>
            <w:r w:rsidR="00155612" w:rsidRPr="00B13B32">
              <w:rPr>
                <w:rFonts w:cs="Arial"/>
                <w:sz w:val="20"/>
                <w:szCs w:val="20"/>
              </w:rPr>
              <w:t>Delivery Types.</w:t>
            </w:r>
          </w:p>
        </w:tc>
      </w:tr>
      <w:tr w:rsidR="004F41F6" w14:paraId="66DBB4CF" w14:textId="77777777" w:rsidTr="007F39D6">
        <w:trPr>
          <w:trHeight w:val="20"/>
        </w:trPr>
        <w:tc>
          <w:tcPr>
            <w:tcW w:w="504" w:type="pct"/>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48415938" w14:textId="410396B7" w:rsidR="004F41F6" w:rsidRDefault="004F41F6" w:rsidP="0015324D">
            <w:pPr>
              <w:keepNext/>
              <w:keepLines/>
              <w:spacing w:before="20" w:after="20"/>
              <w:rPr>
                <w:rFonts w:cs="Arial"/>
                <w:sz w:val="20"/>
                <w:szCs w:val="20"/>
              </w:rPr>
            </w:pPr>
            <w:r>
              <w:rPr>
                <w:rFonts w:cs="Arial"/>
                <w:sz w:val="20"/>
                <w:szCs w:val="20"/>
              </w:rPr>
              <w:t>02</w:t>
            </w:r>
          </w:p>
        </w:tc>
        <w:tc>
          <w:tcPr>
            <w:tcW w:w="77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E0893A3" w14:textId="3B0B3CEF" w:rsidR="004F41F6" w:rsidRDefault="00DF5B0B" w:rsidP="0015324D">
            <w:pPr>
              <w:keepNext/>
              <w:keepLines/>
              <w:spacing w:before="20" w:after="20"/>
              <w:rPr>
                <w:rFonts w:cs="Arial"/>
                <w:sz w:val="20"/>
                <w:szCs w:val="20"/>
              </w:rPr>
            </w:pPr>
            <w:r>
              <w:rPr>
                <w:rFonts w:cs="Arial"/>
                <w:sz w:val="20"/>
                <w:szCs w:val="20"/>
              </w:rPr>
              <w:t>12/08</w:t>
            </w:r>
            <w:r w:rsidR="004F41F6">
              <w:rPr>
                <w:rFonts w:cs="Arial"/>
                <w:sz w:val="20"/>
                <w:szCs w:val="20"/>
              </w:rPr>
              <w:t>/2020</w:t>
            </w:r>
          </w:p>
        </w:tc>
        <w:tc>
          <w:tcPr>
            <w:tcW w:w="8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1482F8" w14:textId="76A9DEFD" w:rsidR="004F41F6" w:rsidRDefault="004F41F6" w:rsidP="0015324D">
            <w:pPr>
              <w:keepNext/>
              <w:keepLines/>
              <w:spacing w:before="20" w:after="20"/>
              <w:rPr>
                <w:rFonts w:cs="Arial"/>
                <w:sz w:val="20"/>
                <w:szCs w:val="20"/>
              </w:rPr>
            </w:pPr>
            <w:r>
              <w:rPr>
                <w:rFonts w:cs="Arial"/>
                <w:sz w:val="20"/>
                <w:szCs w:val="20"/>
              </w:rPr>
              <w:t>Annie Hur, TRC</w:t>
            </w:r>
          </w:p>
        </w:tc>
        <w:tc>
          <w:tcPr>
            <w:tcW w:w="282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FC5385" w14:textId="77777777" w:rsidR="00872FB3" w:rsidRDefault="00872FB3" w:rsidP="00B13B32">
            <w:pPr>
              <w:pStyle w:val="ListParagraph"/>
              <w:keepNext/>
              <w:keepLines/>
              <w:numPr>
                <w:ilvl w:val="0"/>
                <w:numId w:val="14"/>
              </w:numPr>
              <w:spacing w:before="20" w:after="20"/>
              <w:ind w:left="421"/>
              <w:rPr>
                <w:rFonts w:cs="Arial"/>
                <w:sz w:val="20"/>
                <w:szCs w:val="20"/>
              </w:rPr>
            </w:pPr>
            <w:r>
              <w:rPr>
                <w:rFonts w:cs="Arial"/>
                <w:sz w:val="20"/>
                <w:szCs w:val="20"/>
              </w:rPr>
              <w:t>Updated Statewide ID version #</w:t>
            </w:r>
          </w:p>
          <w:p w14:paraId="0E4BE241" w14:textId="49CCD460" w:rsidR="004F41F6" w:rsidRDefault="004F41F6" w:rsidP="00B13B32">
            <w:pPr>
              <w:pStyle w:val="ListParagraph"/>
              <w:keepNext/>
              <w:keepLines/>
              <w:numPr>
                <w:ilvl w:val="0"/>
                <w:numId w:val="14"/>
              </w:numPr>
              <w:spacing w:before="20" w:after="20"/>
              <w:ind w:left="421"/>
              <w:rPr>
                <w:rFonts w:cs="Arial"/>
                <w:sz w:val="20"/>
                <w:szCs w:val="20"/>
              </w:rPr>
            </w:pPr>
            <w:r>
              <w:rPr>
                <w:rFonts w:cs="Arial"/>
                <w:sz w:val="20"/>
                <w:szCs w:val="20"/>
              </w:rPr>
              <w:t>Updated base and measure material and labor costs</w:t>
            </w:r>
          </w:p>
          <w:p w14:paraId="7FF14B1E" w14:textId="030E4C2B" w:rsidR="004F41F6" w:rsidRPr="00B13B32" w:rsidRDefault="004F41F6" w:rsidP="00B13B32">
            <w:pPr>
              <w:pStyle w:val="ListParagraph"/>
              <w:keepNext/>
              <w:keepLines/>
              <w:numPr>
                <w:ilvl w:val="0"/>
                <w:numId w:val="14"/>
              </w:numPr>
              <w:spacing w:before="20" w:after="20"/>
              <w:ind w:left="421"/>
              <w:rPr>
                <w:rFonts w:cs="Arial"/>
                <w:sz w:val="20"/>
                <w:szCs w:val="20"/>
              </w:rPr>
            </w:pPr>
            <w:r>
              <w:rPr>
                <w:rFonts w:cs="Arial"/>
                <w:sz w:val="20"/>
                <w:szCs w:val="20"/>
              </w:rPr>
              <w:t xml:space="preserve">Updated Delivery </w:t>
            </w:r>
            <w:proofErr w:type="gramStart"/>
            <w:r>
              <w:rPr>
                <w:rFonts w:cs="Arial"/>
                <w:sz w:val="20"/>
                <w:szCs w:val="20"/>
              </w:rPr>
              <w:t>Types</w:t>
            </w:r>
            <w:r w:rsidR="003F37CF">
              <w:rPr>
                <w:rFonts w:cs="Arial"/>
                <w:sz w:val="20"/>
                <w:szCs w:val="20"/>
              </w:rPr>
              <w:t>;</w:t>
            </w:r>
            <w:proofErr w:type="gramEnd"/>
            <w:r w:rsidR="003F37CF">
              <w:rPr>
                <w:rFonts w:cs="Arial"/>
                <w:sz w:val="20"/>
                <w:szCs w:val="20"/>
              </w:rPr>
              <w:t xml:space="preserve"> Delivery type names updated to current version</w:t>
            </w:r>
            <w:r w:rsidR="002D0C0C">
              <w:rPr>
                <w:rFonts w:cs="Arial"/>
                <w:sz w:val="20"/>
                <w:szCs w:val="20"/>
              </w:rPr>
              <w:t xml:space="preserve">. Direct install delivery type was removed from the workpaper. </w:t>
            </w:r>
          </w:p>
        </w:tc>
      </w:tr>
      <w:bookmarkEnd w:id="107"/>
      <w:bookmarkEnd w:id="108"/>
    </w:tbl>
    <w:p w14:paraId="4C7A78AE" w14:textId="77777777" w:rsidR="005E31EF" w:rsidRDefault="005E31EF" w:rsidP="005E31EF"/>
    <w:sectPr w:rsidR="005E31EF" w:rsidSect="003E638C">
      <w:headerReference w:type="default" r:id="rId9"/>
      <w:footerReference w:type="default" r:id="rId10"/>
      <w:headerReference w:type="first" r:id="rId11"/>
      <w:footerReference w:type="first" r:id="rId12"/>
      <w:endnotePr>
        <w:numFmt w:val="decimal"/>
      </w:end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BBB291" w14:textId="77777777" w:rsidR="00481226" w:rsidRDefault="00481226" w:rsidP="00A2690C">
      <w:r>
        <w:separator/>
      </w:r>
    </w:p>
    <w:p w14:paraId="6CBE3EBD" w14:textId="77777777" w:rsidR="00481226" w:rsidRDefault="00481226"/>
  </w:endnote>
  <w:endnote w:type="continuationSeparator" w:id="0">
    <w:p w14:paraId="2EAA5443" w14:textId="77777777" w:rsidR="00481226" w:rsidRDefault="00481226" w:rsidP="00A2690C">
      <w:r>
        <w:continuationSeparator/>
      </w:r>
    </w:p>
    <w:p w14:paraId="576F64A8" w14:textId="77777777" w:rsidR="00481226" w:rsidRDefault="004812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alibri"/>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C2DD9" w14:textId="77777777" w:rsidR="00481226" w:rsidRDefault="00481226" w:rsidP="003E638C">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9264" behindDoc="0" locked="0" layoutInCell="1" allowOverlap="1" wp14:anchorId="1E4D0598" wp14:editId="0BDC6D91">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7F7F54DE" w14:textId="226402E2" w:rsidR="00481226" w:rsidRPr="003E638C" w:rsidRDefault="00481226" w:rsidP="003E638C">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F5C35" w14:textId="77777777" w:rsidR="00481226" w:rsidRDefault="00481226" w:rsidP="003E638C">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1312" behindDoc="0" locked="0" layoutInCell="1" allowOverlap="1" wp14:anchorId="24DEFBCE" wp14:editId="196EE282">
          <wp:simplePos x="0" y="0"/>
          <wp:positionH relativeFrom="column">
            <wp:posOffset>2863850</wp:posOffset>
          </wp:positionH>
          <wp:positionV relativeFrom="paragraph">
            <wp:posOffset>-138781</wp:posOffset>
          </wp:positionV>
          <wp:extent cx="210820" cy="579335"/>
          <wp:effectExtent l="0" t="6350" r="11430" b="11430"/>
          <wp:wrapNone/>
          <wp:docPr id="1" name="Picture 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20A9A99A" w14:textId="4DF45271" w:rsidR="00481226" w:rsidRPr="003E638C" w:rsidRDefault="00481226" w:rsidP="003E638C">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F7CE4" w14:textId="77777777" w:rsidR="00481226" w:rsidRDefault="00481226" w:rsidP="00A2690C">
      <w:r>
        <w:separator/>
      </w:r>
    </w:p>
    <w:p w14:paraId="08D6F47F" w14:textId="77777777" w:rsidR="00481226" w:rsidRDefault="00481226"/>
  </w:footnote>
  <w:footnote w:type="continuationSeparator" w:id="0">
    <w:p w14:paraId="5D285B3F" w14:textId="77777777" w:rsidR="00481226" w:rsidRDefault="00481226" w:rsidP="00A2690C">
      <w:r>
        <w:continuationSeparator/>
      </w:r>
    </w:p>
    <w:p w14:paraId="70415AB2" w14:textId="77777777" w:rsidR="00481226" w:rsidRDefault="00481226"/>
  </w:footnote>
  <w:footnote w:id="1">
    <w:p w14:paraId="2D6E684E" w14:textId="4CB9440B" w:rsidR="00481226" w:rsidRDefault="00481226">
      <w:pPr>
        <w:pStyle w:val="FootnoteText"/>
      </w:pPr>
      <w:r>
        <w:rPr>
          <w:rStyle w:val="FootnoteReference"/>
        </w:rPr>
        <w:footnoteRef/>
      </w:r>
      <w:r>
        <w:t xml:space="preserve"> </w:t>
      </w:r>
      <w:r w:rsidRPr="00C66A2B">
        <w:t xml:space="preserve">American Society for Testing and Materials (ASTM). 2010. </w:t>
      </w:r>
      <w:r w:rsidRPr="00C66A2B">
        <w:rPr>
          <w:i/>
        </w:rPr>
        <w:t>ASTM F1965-99, Standard Test Method for the Performance of Deck Ovens.</w:t>
      </w:r>
      <w:r w:rsidRPr="00C66A2B">
        <w:t xml:space="preserve"> West Conshohocken (PA): ASTM International.</w:t>
      </w:r>
    </w:p>
  </w:footnote>
  <w:footnote w:id="2">
    <w:p w14:paraId="387D0915" w14:textId="2AA2C739" w:rsidR="00481226" w:rsidRDefault="00481226">
      <w:pPr>
        <w:pStyle w:val="FootnoteText"/>
      </w:pPr>
      <w:r>
        <w:rPr>
          <w:rStyle w:val="FootnoteReference"/>
        </w:rPr>
        <w:footnoteRef/>
      </w:r>
      <w:r>
        <w:t xml:space="preserve"> </w:t>
      </w:r>
      <w:r w:rsidRPr="005F2017">
        <w:rPr>
          <w:rStyle w:val="eTRMFootnoteTextChar"/>
        </w:rPr>
        <w:t xml:space="preserve">Spoor, C., D. </w:t>
      </w:r>
      <w:proofErr w:type="spellStart"/>
      <w:r w:rsidRPr="005F2017">
        <w:rPr>
          <w:rStyle w:val="eTRMFootnoteTextChar"/>
        </w:rPr>
        <w:t>Zabrowski</w:t>
      </w:r>
      <w:proofErr w:type="spellEnd"/>
      <w:r w:rsidRPr="005F2017">
        <w:rPr>
          <w:rStyle w:val="eTRMFootnoteTextChar"/>
        </w:rPr>
        <w:t xml:space="preserve">, and L. Mills. (Fisher-Nickel, Inc.) 2014. </w:t>
      </w:r>
      <w:r w:rsidRPr="000646BA">
        <w:rPr>
          <w:rStyle w:val="eTRMFootnoteTextChar"/>
          <w:i/>
        </w:rPr>
        <w:t>Characterizing the Energy Efficiency Potential of Gas-Fired Commercial Food Service Equipment.</w:t>
      </w:r>
      <w:r w:rsidRPr="005F2017">
        <w:rPr>
          <w:rStyle w:val="eTRMFootnoteTextChar"/>
        </w:rPr>
        <w:t xml:space="preserve"> Prepared for the California Energy Commission. CEC-500-2014-095</w:t>
      </w:r>
      <w:r w:rsidRPr="00FB0683">
        <w:rPr>
          <w:rStyle w:val="eTRMFootnoteTextChar"/>
        </w:rPr>
        <w:t>.</w:t>
      </w:r>
      <w:r w:rsidRPr="00222B06">
        <w:rPr>
          <w:rStyle w:val="eTRMFootnoteTextChar"/>
        </w:rPr>
        <w:t xml:space="preserve"> Pages 70-75.</w:t>
      </w:r>
    </w:p>
  </w:footnote>
  <w:footnote w:id="3">
    <w:p w14:paraId="72F72387" w14:textId="67EC9594" w:rsidR="00481226" w:rsidRDefault="00481226">
      <w:pPr>
        <w:pStyle w:val="FootnoteText"/>
      </w:pPr>
      <w:r>
        <w:rPr>
          <w:rStyle w:val="FootnoteReference"/>
        </w:rPr>
        <w:footnoteRef/>
      </w:r>
      <w:r>
        <w:t xml:space="preserve"> Southern California Edison (SCE). 2018. “</w:t>
      </w:r>
      <w:r w:rsidRPr="002D2939">
        <w:t>SCE17CC012.1 Deck Oven ISP Documentation.zip</w:t>
      </w:r>
      <w:r>
        <w:t>”</w:t>
      </w:r>
    </w:p>
  </w:footnote>
  <w:footnote w:id="4">
    <w:p w14:paraId="75C5C0E5" w14:textId="70F628E0" w:rsidR="00481226" w:rsidRDefault="00481226">
      <w:pPr>
        <w:pStyle w:val="FootnoteText"/>
      </w:pPr>
      <w:r>
        <w:rPr>
          <w:rStyle w:val="FootnoteReference"/>
        </w:rPr>
        <w:footnoteRef/>
      </w:r>
      <w:r>
        <w:t xml:space="preserve"> </w:t>
      </w:r>
      <w:r w:rsidRPr="00C66A2B">
        <w:t xml:space="preserve">American Society for Testing and Materials (ASTM). 2010. </w:t>
      </w:r>
      <w:r w:rsidRPr="00C66A2B">
        <w:rPr>
          <w:i/>
        </w:rPr>
        <w:t>ASTM F1965-99, Standard Test Method for the Performance of Deck Ovens.</w:t>
      </w:r>
      <w:r w:rsidRPr="00C66A2B">
        <w:t xml:space="preserve"> West Conshohocken (PA): ASTM International.</w:t>
      </w:r>
    </w:p>
  </w:footnote>
  <w:footnote w:id="5">
    <w:p w14:paraId="71690B49" w14:textId="77777777" w:rsidR="00481226" w:rsidRDefault="00481226" w:rsidP="00564E8F">
      <w:pPr>
        <w:pStyle w:val="FootnoteText"/>
      </w:pPr>
      <w:r>
        <w:rPr>
          <w:rStyle w:val="FootnoteReference"/>
        </w:rPr>
        <w:footnoteRef/>
      </w:r>
      <w:r>
        <w:t xml:space="preserve"> </w:t>
      </w:r>
      <w:r w:rsidRPr="00C66A2B">
        <w:t xml:space="preserve">American Society for Testing and Materials (ASTM). 2010. </w:t>
      </w:r>
      <w:r w:rsidRPr="00C66A2B">
        <w:rPr>
          <w:i/>
        </w:rPr>
        <w:t>ASTM F1965-99, Standard Test Method for the Performance of Deck Ovens.</w:t>
      </w:r>
      <w:r w:rsidRPr="00C66A2B">
        <w:t xml:space="preserve"> West Conshohocken (PA): ASTM International.</w:t>
      </w:r>
    </w:p>
  </w:footnote>
  <w:footnote w:id="6">
    <w:p w14:paraId="5D21125A" w14:textId="77777777" w:rsidR="00481226" w:rsidRDefault="00481226" w:rsidP="001E093D">
      <w:pPr>
        <w:pStyle w:val="FootnoteText"/>
      </w:pPr>
      <w:r>
        <w:rPr>
          <w:rStyle w:val="FootnoteReference"/>
        </w:rPr>
        <w:footnoteRef/>
      </w:r>
      <w:r>
        <w:t xml:space="preserve"> </w:t>
      </w:r>
      <w:r w:rsidRPr="00C66A2B">
        <w:t xml:space="preserve">American Society for Testing and Materials (ASTM). 2010. </w:t>
      </w:r>
      <w:r w:rsidRPr="00C66A2B">
        <w:rPr>
          <w:i/>
        </w:rPr>
        <w:t>ASTM F1965-99, Standard Test Method for the Performance of Deck Ovens.</w:t>
      </w:r>
      <w:r w:rsidRPr="00C66A2B">
        <w:t xml:space="preserve"> West Conshohocken (PA): ASTM International.</w:t>
      </w:r>
    </w:p>
  </w:footnote>
  <w:footnote w:id="7">
    <w:p w14:paraId="56FF704E" w14:textId="77777777" w:rsidR="00481226" w:rsidRDefault="00481226" w:rsidP="00C753ED">
      <w:pPr>
        <w:pStyle w:val="FootnoteText"/>
      </w:pPr>
      <w:r>
        <w:rPr>
          <w:rStyle w:val="FootnoteReference"/>
        </w:rPr>
        <w:footnoteRef/>
      </w:r>
      <w:r>
        <w:t xml:space="preserve"> </w:t>
      </w:r>
      <w:r w:rsidRPr="00461A0D">
        <w:rPr>
          <w:rStyle w:val="eTRMFootnoteTextChar"/>
        </w:rPr>
        <w:t xml:space="preserve">California Public Utilities Commission (CPUC). 2018. </w:t>
      </w:r>
      <w:r w:rsidRPr="004B7794">
        <w:rPr>
          <w:rStyle w:val="eTRMFootnoteTextChar"/>
          <w:i/>
        </w:rPr>
        <w:t>Resolution E-4952.</w:t>
      </w:r>
      <w:r w:rsidRPr="00461A0D">
        <w:rPr>
          <w:rStyle w:val="eTRMFootnoteTextChar"/>
        </w:rPr>
        <w:t xml:space="preserve"> October 11. </w:t>
      </w:r>
      <w:r>
        <w:rPr>
          <w:rStyle w:val="eTRMFootnoteTextChar"/>
        </w:rPr>
        <w:t>Op</w:t>
      </w:r>
      <w:r w:rsidRPr="00461A0D">
        <w:rPr>
          <w:rStyle w:val="eTRMFootnoteTextChar"/>
        </w:rPr>
        <w:t xml:space="preserve"> 1.</w:t>
      </w:r>
    </w:p>
  </w:footnote>
  <w:footnote w:id="8">
    <w:p w14:paraId="1CE467E7" w14:textId="6498547E" w:rsidR="00481226" w:rsidRDefault="00481226">
      <w:pPr>
        <w:pStyle w:val="FootnoteText"/>
      </w:pPr>
      <w:r>
        <w:rPr>
          <w:rStyle w:val="FootnoteReference"/>
        </w:rPr>
        <w:footnoteRef/>
      </w:r>
      <w:r>
        <w:t xml:space="preserve"> Southern California Edison (SCE). 2020. “</w:t>
      </w:r>
      <w:r w:rsidRPr="00791797">
        <w:t xml:space="preserve">SWFS009-02 </w:t>
      </w:r>
      <w:proofErr w:type="spellStart"/>
      <w:r w:rsidRPr="00791797">
        <w:t>MeasureDataSpec</w:t>
      </w:r>
      <w:proofErr w:type="spellEnd"/>
      <w:r w:rsidRPr="00791797">
        <w:t xml:space="preserve"> - Comm Deck Oven</w:t>
      </w:r>
      <w:r>
        <w:t xml:space="preserve">.xls” See Cost Data tab. </w:t>
      </w:r>
    </w:p>
  </w:footnote>
  <w:footnote w:id="9">
    <w:p w14:paraId="258CD4C9" w14:textId="77777777" w:rsidR="00481226" w:rsidRDefault="00481226" w:rsidP="00DE36FE">
      <w:pPr>
        <w:pStyle w:val="FootnoteText"/>
      </w:pPr>
      <w:r>
        <w:rPr>
          <w:rStyle w:val="FootnoteReference"/>
        </w:rPr>
        <w:footnoteRef/>
      </w:r>
      <w:r>
        <w:t xml:space="preserve"> </w:t>
      </w:r>
      <w:r w:rsidRPr="002C1AA6">
        <w:rPr>
          <w:rStyle w:val="eTRMFootnoteTextChar"/>
        </w:rPr>
        <w:t>Energy Solutions. 2017. "2016 IMC Analysis - For Cal TF (Energy Solutions).</w:t>
      </w:r>
      <w:proofErr w:type="spellStart"/>
      <w:r w:rsidRPr="002C1AA6">
        <w:rPr>
          <w:rStyle w:val="eTRMFootnoteTextChar"/>
        </w:rPr>
        <w:t>xls</w:t>
      </w:r>
      <w:proofErr w:type="spellEnd"/>
      <w:r w:rsidRPr="002C1AA6">
        <w:rPr>
          <w:rStyle w:val="eTRMFootnoteTextChar"/>
        </w:rPr>
        <w:t>."</w:t>
      </w:r>
    </w:p>
  </w:footnote>
  <w:footnote w:id="10">
    <w:p w14:paraId="768404C3" w14:textId="062C467C" w:rsidR="00481226" w:rsidRDefault="00481226">
      <w:pPr>
        <w:pStyle w:val="FootnoteText"/>
      </w:pPr>
      <w:r>
        <w:rPr>
          <w:rStyle w:val="FootnoteReference"/>
        </w:rPr>
        <w:footnoteRef/>
      </w:r>
      <w:r>
        <w:t xml:space="preserve"> Southern California Edison (SCE). 2020. “</w:t>
      </w:r>
      <w:r>
        <w:rPr>
          <w:rStyle w:val="eTRMFootnoteTextChar"/>
        </w:rPr>
        <w:t xml:space="preserve">SWFS009-02 </w:t>
      </w:r>
      <w:proofErr w:type="spellStart"/>
      <w:r>
        <w:rPr>
          <w:rStyle w:val="eTRMFootnoteTextChar"/>
        </w:rPr>
        <w:t>MeasureDataSpec</w:t>
      </w:r>
      <w:proofErr w:type="spellEnd"/>
      <w:r>
        <w:rPr>
          <w:rStyle w:val="eTRMFootnoteTextChar"/>
        </w:rPr>
        <w:t xml:space="preserve"> – Comm Deck Oven”, Cost Data tab.</w:t>
      </w:r>
    </w:p>
  </w:footnote>
  <w:footnote w:id="11">
    <w:p w14:paraId="5FB725FC" w14:textId="77777777" w:rsidR="00481226" w:rsidRDefault="00481226" w:rsidP="00DE36FE">
      <w:pPr>
        <w:pStyle w:val="FootnoteText"/>
      </w:pPr>
      <w:r>
        <w:rPr>
          <w:rStyle w:val="FootnoteReference"/>
        </w:rPr>
        <w:footnoteRef/>
      </w:r>
      <w:r>
        <w:t xml:space="preserve"> </w:t>
      </w:r>
      <w:r w:rsidRPr="002C1AA6">
        <w:rPr>
          <w:rStyle w:val="eTRMFootnoteTextChar"/>
        </w:rPr>
        <w:t>Energy Solutions. 2017. "2016 IMC Analysis - For Cal TF (Energy Solutions).</w:t>
      </w:r>
      <w:proofErr w:type="spellStart"/>
      <w:r w:rsidRPr="002C1AA6">
        <w:rPr>
          <w:rStyle w:val="eTRMFootnoteTextChar"/>
        </w:rPr>
        <w:t>xls</w:t>
      </w:r>
      <w:proofErr w:type="spellEnd"/>
      <w:r w:rsidRPr="002C1AA6">
        <w:rPr>
          <w:rStyle w:val="eTRMFootnoteTextChar"/>
        </w:rPr>
        <w:t>."</w:t>
      </w:r>
    </w:p>
  </w:footnote>
  <w:footnote w:id="12">
    <w:p w14:paraId="557D301C" w14:textId="5D88E8EC" w:rsidR="00481226" w:rsidRDefault="00481226" w:rsidP="00F62A99">
      <w:pPr>
        <w:pStyle w:val="FootnoteText"/>
      </w:pPr>
      <w:r>
        <w:rPr>
          <w:rStyle w:val="FootnoteReference"/>
        </w:rPr>
        <w:footnoteRef/>
      </w:r>
      <w:r>
        <w:t xml:space="preserve"> Southern California Edison (SCE). 2020. “</w:t>
      </w:r>
      <w:r>
        <w:rPr>
          <w:rStyle w:val="eTRMFootnoteTextChar"/>
        </w:rPr>
        <w:t xml:space="preserve">SWFS009-02 </w:t>
      </w:r>
      <w:proofErr w:type="spellStart"/>
      <w:r>
        <w:rPr>
          <w:rStyle w:val="eTRMFootnoteTextChar"/>
        </w:rPr>
        <w:t>MeasureDataSpec</w:t>
      </w:r>
      <w:proofErr w:type="spellEnd"/>
      <w:r>
        <w:rPr>
          <w:rStyle w:val="eTRMFootnoteTextChar"/>
        </w:rPr>
        <w:t xml:space="preserve"> – Comm Deck Oven”, Cost Data tab</w:t>
      </w:r>
      <w:r>
        <w:t>.</w:t>
      </w:r>
    </w:p>
  </w:footnote>
  <w:footnote w:id="13">
    <w:p w14:paraId="65106187" w14:textId="56F19F08" w:rsidR="00481226" w:rsidRDefault="00481226">
      <w:pPr>
        <w:pStyle w:val="FootnoteText"/>
      </w:pPr>
      <w:r>
        <w:rPr>
          <w:rStyle w:val="FootnoteReference"/>
        </w:rPr>
        <w:footnoteRef/>
      </w:r>
      <w:r>
        <w:t xml:space="preserve"> RS Means Online Database 2021 Labor Rates. </w:t>
      </w:r>
      <w:r w:rsidRPr="00723AD4">
        <w:t>https://www.rsmeansonline.com/References/LABORRATE/2-Year%202021%20Labor%20Rates/Open%20Shop%20Labor%20Rates.PDF</w:t>
      </w:r>
    </w:p>
  </w:footnote>
  <w:footnote w:id="14">
    <w:p w14:paraId="700DC723" w14:textId="4F52E12C" w:rsidR="00481226" w:rsidRDefault="00481226" w:rsidP="008747AA">
      <w:pPr>
        <w:pStyle w:val="FootnoteText"/>
      </w:pPr>
      <w:r>
        <w:rPr>
          <w:rStyle w:val="FootnoteReference"/>
        </w:rPr>
        <w:footnoteRef/>
      </w:r>
      <w:r>
        <w:t xml:space="preserve"> Southern California Edison (SCE). 2020. “</w:t>
      </w:r>
      <w:r>
        <w:rPr>
          <w:rStyle w:val="eTRMFootnoteTextChar"/>
        </w:rPr>
        <w:t xml:space="preserve">SWFS009-02 </w:t>
      </w:r>
      <w:proofErr w:type="spellStart"/>
      <w:r>
        <w:rPr>
          <w:rStyle w:val="eTRMFootnoteTextChar"/>
        </w:rPr>
        <w:t>MeasureDataSpec</w:t>
      </w:r>
      <w:proofErr w:type="spellEnd"/>
      <w:r>
        <w:rPr>
          <w:rStyle w:val="eTRMFootnoteTextChar"/>
        </w:rPr>
        <w:t xml:space="preserve"> – Comm Deck Oven”, Cost Data tab</w:t>
      </w:r>
      <w:r>
        <w:t>.</w:t>
      </w:r>
    </w:p>
  </w:footnote>
  <w:footnote w:id="15">
    <w:p w14:paraId="3E54FBA5" w14:textId="05A7EB94" w:rsidR="00481226" w:rsidRDefault="00481226">
      <w:pPr>
        <w:pStyle w:val="FootnoteText"/>
      </w:pPr>
      <w:r>
        <w:rPr>
          <w:rStyle w:val="FootnoteReference"/>
        </w:rPr>
        <w:footnoteRef/>
      </w:r>
      <w:r>
        <w:t xml:space="preserve"> RS Means Online Database 2021 Labor Rates. </w:t>
      </w:r>
      <w:r w:rsidRPr="00723AD4">
        <w:t>https://www.rsmeansonline.com/References/LABORRATE/2-Year%202021%20Labor%20Rates/Open%20Shop%20Labor%20Rates.PDF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9A31E" w14:textId="77AAB955" w:rsidR="00481226" w:rsidRDefault="00481226" w:rsidP="00DF13F5">
    <w:pPr>
      <w:pStyle w:val="Header"/>
    </w:pPr>
    <w:r>
      <w:rPr>
        <w:rFonts w:ascii="Calibri Light" w:hAnsi="Calibri Light"/>
      </w:rPr>
      <w:t xml:space="preserve">FOOD SERVICE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 xml:space="preserve">Commercial Deck Oven – Electric </w:t>
    </w:r>
  </w:p>
  <w:p w14:paraId="21D3B880" w14:textId="77777777" w:rsidR="00481226" w:rsidRDefault="004812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2628D" w14:textId="77777777" w:rsidR="00481226" w:rsidRDefault="00481226" w:rsidP="00840D26">
    <w:pPr>
      <w:jc w:val="center"/>
    </w:pPr>
  </w:p>
  <w:p w14:paraId="7869CB8A" w14:textId="479056FA" w:rsidR="00481226" w:rsidRDefault="00481226" w:rsidP="00840D26">
    <w:pPr>
      <w:jc w:val="center"/>
    </w:pPr>
    <w:r>
      <w:rPr>
        <w:noProof/>
      </w:rPr>
      <w:drawing>
        <wp:inline distT="0" distB="0" distL="0" distR="0" wp14:anchorId="0B363304" wp14:editId="394FDAF9">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FE55FB"/>
    <w:multiLevelType w:val="hybridMultilevel"/>
    <w:tmpl w:val="86804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7"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081C3C"/>
    <w:multiLevelType w:val="hybridMultilevel"/>
    <w:tmpl w:val="99F86178"/>
    <w:lvl w:ilvl="0" w:tplc="C008AC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0" w15:restartNumberingAfterBreak="0">
    <w:nsid w:val="5C6B35CD"/>
    <w:multiLevelType w:val="hybridMultilevel"/>
    <w:tmpl w:val="8044241E"/>
    <w:lvl w:ilvl="0" w:tplc="D43A3EDC">
      <w:start w:val="1"/>
      <w:numFmt w:val="bullet"/>
      <w:lvlText w:val="-"/>
      <w:lvlJc w:val="left"/>
      <w:pPr>
        <w:ind w:left="1440" w:hanging="360"/>
      </w:pPr>
      <w:rPr>
        <w:rFonts w:ascii="Courier New" w:hAnsi="Courier New" w:hint="default"/>
        <w:color w:val="404040" w:themeColor="accent3"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C07B80"/>
    <w:multiLevelType w:val="hybridMultilevel"/>
    <w:tmpl w:val="7ACA19CE"/>
    <w:lvl w:ilvl="0" w:tplc="7A9E6940">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3"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6"/>
  </w:num>
  <w:num w:numId="2">
    <w:abstractNumId w:val="12"/>
  </w:num>
  <w:num w:numId="3">
    <w:abstractNumId w:val="14"/>
  </w:num>
  <w:num w:numId="4">
    <w:abstractNumId w:val="14"/>
  </w:num>
  <w:num w:numId="5">
    <w:abstractNumId w:val="9"/>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2"/>
  </w:num>
  <w:num w:numId="8">
    <w:abstractNumId w:val="11"/>
  </w:num>
  <w:num w:numId="9">
    <w:abstractNumId w:val="0"/>
  </w:num>
  <w:num w:numId="10">
    <w:abstractNumId w:val="13"/>
  </w:num>
  <w:num w:numId="11">
    <w:abstractNumId w:val="3"/>
  </w:num>
  <w:num w:numId="12">
    <w:abstractNumId w:val="8"/>
  </w:num>
  <w:num w:numId="13">
    <w:abstractNumId w:val="10"/>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C41A08"/>
    <w:rsid w:val="00000A38"/>
    <w:rsid w:val="00001484"/>
    <w:rsid w:val="00005B06"/>
    <w:rsid w:val="000063B0"/>
    <w:rsid w:val="000110D9"/>
    <w:rsid w:val="000111AF"/>
    <w:rsid w:val="00016928"/>
    <w:rsid w:val="00020BBD"/>
    <w:rsid w:val="000220A0"/>
    <w:rsid w:val="0002389A"/>
    <w:rsid w:val="00026D58"/>
    <w:rsid w:val="000302DF"/>
    <w:rsid w:val="00031184"/>
    <w:rsid w:val="00037A06"/>
    <w:rsid w:val="00041054"/>
    <w:rsid w:val="00046BB0"/>
    <w:rsid w:val="00051DBB"/>
    <w:rsid w:val="00052469"/>
    <w:rsid w:val="00052C95"/>
    <w:rsid w:val="000574F0"/>
    <w:rsid w:val="000601E3"/>
    <w:rsid w:val="00060EDE"/>
    <w:rsid w:val="00061D34"/>
    <w:rsid w:val="00063BA9"/>
    <w:rsid w:val="000646BA"/>
    <w:rsid w:val="00065FC3"/>
    <w:rsid w:val="000672E5"/>
    <w:rsid w:val="00072536"/>
    <w:rsid w:val="00074E3E"/>
    <w:rsid w:val="000767E9"/>
    <w:rsid w:val="00077AAE"/>
    <w:rsid w:val="0008108C"/>
    <w:rsid w:val="00082838"/>
    <w:rsid w:val="000841AA"/>
    <w:rsid w:val="00090BBF"/>
    <w:rsid w:val="000910B7"/>
    <w:rsid w:val="00091581"/>
    <w:rsid w:val="00094517"/>
    <w:rsid w:val="00094D39"/>
    <w:rsid w:val="0009534A"/>
    <w:rsid w:val="00095D17"/>
    <w:rsid w:val="00096485"/>
    <w:rsid w:val="000978C8"/>
    <w:rsid w:val="000A09C6"/>
    <w:rsid w:val="000A16F8"/>
    <w:rsid w:val="000A41FB"/>
    <w:rsid w:val="000A4D3A"/>
    <w:rsid w:val="000A62EF"/>
    <w:rsid w:val="000A66B7"/>
    <w:rsid w:val="000A7058"/>
    <w:rsid w:val="000B3239"/>
    <w:rsid w:val="000B6004"/>
    <w:rsid w:val="000B64A2"/>
    <w:rsid w:val="000B676A"/>
    <w:rsid w:val="000B69DE"/>
    <w:rsid w:val="000C36B4"/>
    <w:rsid w:val="000C72C1"/>
    <w:rsid w:val="000D65DD"/>
    <w:rsid w:val="000E07C0"/>
    <w:rsid w:val="000E52F0"/>
    <w:rsid w:val="000E650C"/>
    <w:rsid w:val="000F1833"/>
    <w:rsid w:val="000F35BD"/>
    <w:rsid w:val="00103399"/>
    <w:rsid w:val="00104933"/>
    <w:rsid w:val="00110FC4"/>
    <w:rsid w:val="00111A53"/>
    <w:rsid w:val="00113476"/>
    <w:rsid w:val="0011498C"/>
    <w:rsid w:val="00115892"/>
    <w:rsid w:val="00115D63"/>
    <w:rsid w:val="00115F89"/>
    <w:rsid w:val="00120592"/>
    <w:rsid w:val="001217DF"/>
    <w:rsid w:val="0012187D"/>
    <w:rsid w:val="00124BFE"/>
    <w:rsid w:val="00126809"/>
    <w:rsid w:val="00126A40"/>
    <w:rsid w:val="00131C5A"/>
    <w:rsid w:val="00142D3C"/>
    <w:rsid w:val="001504EF"/>
    <w:rsid w:val="0015105A"/>
    <w:rsid w:val="00151B9F"/>
    <w:rsid w:val="00152CE6"/>
    <w:rsid w:val="0015324D"/>
    <w:rsid w:val="00153AD8"/>
    <w:rsid w:val="00154391"/>
    <w:rsid w:val="00155612"/>
    <w:rsid w:val="001564FC"/>
    <w:rsid w:val="00161DF1"/>
    <w:rsid w:val="001648F6"/>
    <w:rsid w:val="00171BB8"/>
    <w:rsid w:val="00174707"/>
    <w:rsid w:val="00180DAD"/>
    <w:rsid w:val="00181672"/>
    <w:rsid w:val="00181E01"/>
    <w:rsid w:val="00185207"/>
    <w:rsid w:val="001944A0"/>
    <w:rsid w:val="00195B03"/>
    <w:rsid w:val="00196649"/>
    <w:rsid w:val="001A151E"/>
    <w:rsid w:val="001A3FFF"/>
    <w:rsid w:val="001A471E"/>
    <w:rsid w:val="001A4BE1"/>
    <w:rsid w:val="001A7A21"/>
    <w:rsid w:val="001B1D23"/>
    <w:rsid w:val="001B79FA"/>
    <w:rsid w:val="001C24DE"/>
    <w:rsid w:val="001C2ACE"/>
    <w:rsid w:val="001C6C9B"/>
    <w:rsid w:val="001C7134"/>
    <w:rsid w:val="001D65A6"/>
    <w:rsid w:val="001E093D"/>
    <w:rsid w:val="001E19A3"/>
    <w:rsid w:val="001E25F4"/>
    <w:rsid w:val="001E4C3F"/>
    <w:rsid w:val="001F51B4"/>
    <w:rsid w:val="001F63EA"/>
    <w:rsid w:val="001F735E"/>
    <w:rsid w:val="002005A8"/>
    <w:rsid w:val="002006B6"/>
    <w:rsid w:val="002022F3"/>
    <w:rsid w:val="00205BAF"/>
    <w:rsid w:val="00206DFC"/>
    <w:rsid w:val="00207F85"/>
    <w:rsid w:val="00210E55"/>
    <w:rsid w:val="0021226A"/>
    <w:rsid w:val="002125AA"/>
    <w:rsid w:val="002156A3"/>
    <w:rsid w:val="00222B06"/>
    <w:rsid w:val="00222BA8"/>
    <w:rsid w:val="00225142"/>
    <w:rsid w:val="00227BDD"/>
    <w:rsid w:val="002318A4"/>
    <w:rsid w:val="002335FF"/>
    <w:rsid w:val="00233D87"/>
    <w:rsid w:val="0023666C"/>
    <w:rsid w:val="00236E0A"/>
    <w:rsid w:val="00237964"/>
    <w:rsid w:val="002434DE"/>
    <w:rsid w:val="00244F6F"/>
    <w:rsid w:val="00245AFF"/>
    <w:rsid w:val="00245DDC"/>
    <w:rsid w:val="0024628D"/>
    <w:rsid w:val="0024690E"/>
    <w:rsid w:val="00250FB9"/>
    <w:rsid w:val="00251ABC"/>
    <w:rsid w:val="002524CF"/>
    <w:rsid w:val="002535C4"/>
    <w:rsid w:val="00256400"/>
    <w:rsid w:val="00261EE9"/>
    <w:rsid w:val="002726BC"/>
    <w:rsid w:val="00276F9B"/>
    <w:rsid w:val="002832D8"/>
    <w:rsid w:val="002878CC"/>
    <w:rsid w:val="00293123"/>
    <w:rsid w:val="0029555D"/>
    <w:rsid w:val="0029781E"/>
    <w:rsid w:val="002A2471"/>
    <w:rsid w:val="002A2A94"/>
    <w:rsid w:val="002B107C"/>
    <w:rsid w:val="002B2C97"/>
    <w:rsid w:val="002B3BF4"/>
    <w:rsid w:val="002B48EE"/>
    <w:rsid w:val="002B51B6"/>
    <w:rsid w:val="002B6DED"/>
    <w:rsid w:val="002B6F2A"/>
    <w:rsid w:val="002C06FC"/>
    <w:rsid w:val="002C67DF"/>
    <w:rsid w:val="002D0036"/>
    <w:rsid w:val="002D0C0C"/>
    <w:rsid w:val="002D2939"/>
    <w:rsid w:val="002D29F8"/>
    <w:rsid w:val="002D40EE"/>
    <w:rsid w:val="002D4993"/>
    <w:rsid w:val="002D50E9"/>
    <w:rsid w:val="002D5CFA"/>
    <w:rsid w:val="002F4F77"/>
    <w:rsid w:val="002F569A"/>
    <w:rsid w:val="00302A82"/>
    <w:rsid w:val="00303378"/>
    <w:rsid w:val="003103FB"/>
    <w:rsid w:val="00313E1D"/>
    <w:rsid w:val="003159D1"/>
    <w:rsid w:val="00316993"/>
    <w:rsid w:val="003247FA"/>
    <w:rsid w:val="003309DA"/>
    <w:rsid w:val="0033304F"/>
    <w:rsid w:val="00333809"/>
    <w:rsid w:val="00336313"/>
    <w:rsid w:val="00337D1D"/>
    <w:rsid w:val="003409E3"/>
    <w:rsid w:val="0034276B"/>
    <w:rsid w:val="0035060F"/>
    <w:rsid w:val="00352864"/>
    <w:rsid w:val="00360DA1"/>
    <w:rsid w:val="00362F9E"/>
    <w:rsid w:val="00363BE8"/>
    <w:rsid w:val="00364DD8"/>
    <w:rsid w:val="00372F61"/>
    <w:rsid w:val="003735C3"/>
    <w:rsid w:val="00377DD9"/>
    <w:rsid w:val="003823D5"/>
    <w:rsid w:val="00385069"/>
    <w:rsid w:val="003907A8"/>
    <w:rsid w:val="00392097"/>
    <w:rsid w:val="00392684"/>
    <w:rsid w:val="0039622B"/>
    <w:rsid w:val="0039749C"/>
    <w:rsid w:val="003A639B"/>
    <w:rsid w:val="003B420C"/>
    <w:rsid w:val="003B7610"/>
    <w:rsid w:val="003C2817"/>
    <w:rsid w:val="003C2CC3"/>
    <w:rsid w:val="003C7721"/>
    <w:rsid w:val="003D1FB8"/>
    <w:rsid w:val="003D2026"/>
    <w:rsid w:val="003D7104"/>
    <w:rsid w:val="003E0112"/>
    <w:rsid w:val="003E5605"/>
    <w:rsid w:val="003E638C"/>
    <w:rsid w:val="003E7A7D"/>
    <w:rsid w:val="003F0BD1"/>
    <w:rsid w:val="003F269E"/>
    <w:rsid w:val="003F37CF"/>
    <w:rsid w:val="003F4964"/>
    <w:rsid w:val="003F65F3"/>
    <w:rsid w:val="004009F5"/>
    <w:rsid w:val="00401C43"/>
    <w:rsid w:val="004046FF"/>
    <w:rsid w:val="00410651"/>
    <w:rsid w:val="00410790"/>
    <w:rsid w:val="00411EF4"/>
    <w:rsid w:val="004133BB"/>
    <w:rsid w:val="004142EF"/>
    <w:rsid w:val="00420958"/>
    <w:rsid w:val="00420EF1"/>
    <w:rsid w:val="00421920"/>
    <w:rsid w:val="004249A0"/>
    <w:rsid w:val="004311D6"/>
    <w:rsid w:val="00432D49"/>
    <w:rsid w:val="004339EA"/>
    <w:rsid w:val="00433E8F"/>
    <w:rsid w:val="0044577B"/>
    <w:rsid w:val="004517F1"/>
    <w:rsid w:val="00461AE3"/>
    <w:rsid w:val="00464A63"/>
    <w:rsid w:val="00465611"/>
    <w:rsid w:val="00466DD6"/>
    <w:rsid w:val="00470670"/>
    <w:rsid w:val="00472286"/>
    <w:rsid w:val="00475A47"/>
    <w:rsid w:val="004762DC"/>
    <w:rsid w:val="00481226"/>
    <w:rsid w:val="00484536"/>
    <w:rsid w:val="00486585"/>
    <w:rsid w:val="004931B5"/>
    <w:rsid w:val="00497289"/>
    <w:rsid w:val="004A06AE"/>
    <w:rsid w:val="004A510D"/>
    <w:rsid w:val="004B06E3"/>
    <w:rsid w:val="004B35DC"/>
    <w:rsid w:val="004B5888"/>
    <w:rsid w:val="004C2232"/>
    <w:rsid w:val="004C2A36"/>
    <w:rsid w:val="004C3663"/>
    <w:rsid w:val="004C57EC"/>
    <w:rsid w:val="004C69F2"/>
    <w:rsid w:val="004D1461"/>
    <w:rsid w:val="004D3A71"/>
    <w:rsid w:val="004D3CE4"/>
    <w:rsid w:val="004D55CA"/>
    <w:rsid w:val="004D7E51"/>
    <w:rsid w:val="004E04EE"/>
    <w:rsid w:val="004E1B37"/>
    <w:rsid w:val="004E2704"/>
    <w:rsid w:val="004E4D01"/>
    <w:rsid w:val="004E70F1"/>
    <w:rsid w:val="004F41F6"/>
    <w:rsid w:val="004F470D"/>
    <w:rsid w:val="00500964"/>
    <w:rsid w:val="00500C66"/>
    <w:rsid w:val="00505B94"/>
    <w:rsid w:val="00512E0A"/>
    <w:rsid w:val="005130EC"/>
    <w:rsid w:val="005146E6"/>
    <w:rsid w:val="00517FC0"/>
    <w:rsid w:val="0052002E"/>
    <w:rsid w:val="00525834"/>
    <w:rsid w:val="00530E75"/>
    <w:rsid w:val="005355AF"/>
    <w:rsid w:val="00535A42"/>
    <w:rsid w:val="0053748E"/>
    <w:rsid w:val="005449C6"/>
    <w:rsid w:val="00546322"/>
    <w:rsid w:val="00564D77"/>
    <w:rsid w:val="00564E8F"/>
    <w:rsid w:val="00566B42"/>
    <w:rsid w:val="0057165C"/>
    <w:rsid w:val="005722C6"/>
    <w:rsid w:val="00574009"/>
    <w:rsid w:val="0057660A"/>
    <w:rsid w:val="00580FF8"/>
    <w:rsid w:val="00585C8D"/>
    <w:rsid w:val="005862CC"/>
    <w:rsid w:val="00587946"/>
    <w:rsid w:val="005911FE"/>
    <w:rsid w:val="0059312F"/>
    <w:rsid w:val="00593FF5"/>
    <w:rsid w:val="00595156"/>
    <w:rsid w:val="00595758"/>
    <w:rsid w:val="00596081"/>
    <w:rsid w:val="005A3943"/>
    <w:rsid w:val="005A51E6"/>
    <w:rsid w:val="005B7418"/>
    <w:rsid w:val="005B7C36"/>
    <w:rsid w:val="005C03A9"/>
    <w:rsid w:val="005C2BFC"/>
    <w:rsid w:val="005C324B"/>
    <w:rsid w:val="005C43E2"/>
    <w:rsid w:val="005C454A"/>
    <w:rsid w:val="005C74C9"/>
    <w:rsid w:val="005C7654"/>
    <w:rsid w:val="005D1B14"/>
    <w:rsid w:val="005D257B"/>
    <w:rsid w:val="005E08F8"/>
    <w:rsid w:val="005E1D5C"/>
    <w:rsid w:val="005E25DC"/>
    <w:rsid w:val="005E31EF"/>
    <w:rsid w:val="005E52AE"/>
    <w:rsid w:val="005E5607"/>
    <w:rsid w:val="005E567C"/>
    <w:rsid w:val="005F1E83"/>
    <w:rsid w:val="005F1E8D"/>
    <w:rsid w:val="005F2017"/>
    <w:rsid w:val="005F505E"/>
    <w:rsid w:val="006021FC"/>
    <w:rsid w:val="00602976"/>
    <w:rsid w:val="0060388D"/>
    <w:rsid w:val="00604231"/>
    <w:rsid w:val="00610C2F"/>
    <w:rsid w:val="0061557D"/>
    <w:rsid w:val="00623758"/>
    <w:rsid w:val="00625805"/>
    <w:rsid w:val="00626D3B"/>
    <w:rsid w:val="00627AC4"/>
    <w:rsid w:val="0063117E"/>
    <w:rsid w:val="0063253B"/>
    <w:rsid w:val="006363C8"/>
    <w:rsid w:val="00637AB8"/>
    <w:rsid w:val="00640D97"/>
    <w:rsid w:val="0064370D"/>
    <w:rsid w:val="00643771"/>
    <w:rsid w:val="00644946"/>
    <w:rsid w:val="00646AB8"/>
    <w:rsid w:val="00647BD9"/>
    <w:rsid w:val="00654A3E"/>
    <w:rsid w:val="006624A7"/>
    <w:rsid w:val="006628C0"/>
    <w:rsid w:val="0066515F"/>
    <w:rsid w:val="006668AF"/>
    <w:rsid w:val="00676D78"/>
    <w:rsid w:val="00686439"/>
    <w:rsid w:val="00691458"/>
    <w:rsid w:val="0069472A"/>
    <w:rsid w:val="006A5203"/>
    <w:rsid w:val="006A6051"/>
    <w:rsid w:val="006B31D9"/>
    <w:rsid w:val="006B53BA"/>
    <w:rsid w:val="006B672E"/>
    <w:rsid w:val="006B78D1"/>
    <w:rsid w:val="006C0102"/>
    <w:rsid w:val="006C07D4"/>
    <w:rsid w:val="006C416E"/>
    <w:rsid w:val="006C41AD"/>
    <w:rsid w:val="006C506A"/>
    <w:rsid w:val="006D04BD"/>
    <w:rsid w:val="006D7180"/>
    <w:rsid w:val="006E3360"/>
    <w:rsid w:val="006E433B"/>
    <w:rsid w:val="006E7899"/>
    <w:rsid w:val="006E7C78"/>
    <w:rsid w:val="006E7D36"/>
    <w:rsid w:val="006F06F6"/>
    <w:rsid w:val="006F27F4"/>
    <w:rsid w:val="006F2E23"/>
    <w:rsid w:val="006F7024"/>
    <w:rsid w:val="00703A7C"/>
    <w:rsid w:val="007076DA"/>
    <w:rsid w:val="00707860"/>
    <w:rsid w:val="007207BF"/>
    <w:rsid w:val="00723AD4"/>
    <w:rsid w:val="00725CB0"/>
    <w:rsid w:val="0073685C"/>
    <w:rsid w:val="00737CFF"/>
    <w:rsid w:val="00737EA5"/>
    <w:rsid w:val="007400AE"/>
    <w:rsid w:val="00741F3E"/>
    <w:rsid w:val="00743AA8"/>
    <w:rsid w:val="00746C15"/>
    <w:rsid w:val="00747208"/>
    <w:rsid w:val="00750840"/>
    <w:rsid w:val="007533DE"/>
    <w:rsid w:val="00757617"/>
    <w:rsid w:val="00763AD8"/>
    <w:rsid w:val="00764B16"/>
    <w:rsid w:val="00765016"/>
    <w:rsid w:val="0077100C"/>
    <w:rsid w:val="00776C39"/>
    <w:rsid w:val="007776D8"/>
    <w:rsid w:val="00781D00"/>
    <w:rsid w:val="007900F3"/>
    <w:rsid w:val="00791797"/>
    <w:rsid w:val="00791B69"/>
    <w:rsid w:val="0079498E"/>
    <w:rsid w:val="00796F10"/>
    <w:rsid w:val="007A6AB5"/>
    <w:rsid w:val="007B2B46"/>
    <w:rsid w:val="007B30F2"/>
    <w:rsid w:val="007B377F"/>
    <w:rsid w:val="007B4274"/>
    <w:rsid w:val="007B49AB"/>
    <w:rsid w:val="007B5117"/>
    <w:rsid w:val="007B599D"/>
    <w:rsid w:val="007B6A74"/>
    <w:rsid w:val="007C2DC8"/>
    <w:rsid w:val="007C6C11"/>
    <w:rsid w:val="007D097E"/>
    <w:rsid w:val="007D230B"/>
    <w:rsid w:val="007D254C"/>
    <w:rsid w:val="007D2D80"/>
    <w:rsid w:val="007D3681"/>
    <w:rsid w:val="007D3824"/>
    <w:rsid w:val="007D49A1"/>
    <w:rsid w:val="007D59DD"/>
    <w:rsid w:val="007E1F66"/>
    <w:rsid w:val="007E4C10"/>
    <w:rsid w:val="007E6501"/>
    <w:rsid w:val="007E6C25"/>
    <w:rsid w:val="007E732E"/>
    <w:rsid w:val="007E7468"/>
    <w:rsid w:val="007F32D7"/>
    <w:rsid w:val="007F39D6"/>
    <w:rsid w:val="007F40C4"/>
    <w:rsid w:val="007F7197"/>
    <w:rsid w:val="00801632"/>
    <w:rsid w:val="00803334"/>
    <w:rsid w:val="00803907"/>
    <w:rsid w:val="0080520B"/>
    <w:rsid w:val="00807B3E"/>
    <w:rsid w:val="00810D4A"/>
    <w:rsid w:val="00812F82"/>
    <w:rsid w:val="008146FD"/>
    <w:rsid w:val="00816AAB"/>
    <w:rsid w:val="00816C7E"/>
    <w:rsid w:val="00820402"/>
    <w:rsid w:val="008243B2"/>
    <w:rsid w:val="00824F08"/>
    <w:rsid w:val="008261E0"/>
    <w:rsid w:val="0083063E"/>
    <w:rsid w:val="008310DF"/>
    <w:rsid w:val="00831105"/>
    <w:rsid w:val="00832083"/>
    <w:rsid w:val="00833FFB"/>
    <w:rsid w:val="00835487"/>
    <w:rsid w:val="0084019E"/>
    <w:rsid w:val="00840271"/>
    <w:rsid w:val="00840D26"/>
    <w:rsid w:val="00844A4B"/>
    <w:rsid w:val="0085097F"/>
    <w:rsid w:val="00854676"/>
    <w:rsid w:val="00855429"/>
    <w:rsid w:val="00857100"/>
    <w:rsid w:val="0086052A"/>
    <w:rsid w:val="00862778"/>
    <w:rsid w:val="00865296"/>
    <w:rsid w:val="00867086"/>
    <w:rsid w:val="00872FB3"/>
    <w:rsid w:val="00874663"/>
    <w:rsid w:val="008747AA"/>
    <w:rsid w:val="00877084"/>
    <w:rsid w:val="00881B95"/>
    <w:rsid w:val="008831CA"/>
    <w:rsid w:val="00890A33"/>
    <w:rsid w:val="0089272A"/>
    <w:rsid w:val="00892AC5"/>
    <w:rsid w:val="00894890"/>
    <w:rsid w:val="00897247"/>
    <w:rsid w:val="008B08F0"/>
    <w:rsid w:val="008B262C"/>
    <w:rsid w:val="008B446A"/>
    <w:rsid w:val="008B6FC8"/>
    <w:rsid w:val="008C19E9"/>
    <w:rsid w:val="008C26E9"/>
    <w:rsid w:val="008C37E4"/>
    <w:rsid w:val="008C6290"/>
    <w:rsid w:val="008C774E"/>
    <w:rsid w:val="008C7887"/>
    <w:rsid w:val="008D2318"/>
    <w:rsid w:val="008D3A51"/>
    <w:rsid w:val="008D6D9D"/>
    <w:rsid w:val="008E1BA6"/>
    <w:rsid w:val="008E5B3A"/>
    <w:rsid w:val="008F1691"/>
    <w:rsid w:val="008F22E2"/>
    <w:rsid w:val="008F5698"/>
    <w:rsid w:val="008F639E"/>
    <w:rsid w:val="00901EF2"/>
    <w:rsid w:val="00903EB6"/>
    <w:rsid w:val="00906678"/>
    <w:rsid w:val="009079C9"/>
    <w:rsid w:val="009079D0"/>
    <w:rsid w:val="00911A9A"/>
    <w:rsid w:val="00913D0A"/>
    <w:rsid w:val="00920D9D"/>
    <w:rsid w:val="00924972"/>
    <w:rsid w:val="00925C8A"/>
    <w:rsid w:val="00932E1E"/>
    <w:rsid w:val="00934068"/>
    <w:rsid w:val="009363FD"/>
    <w:rsid w:val="00937854"/>
    <w:rsid w:val="009469E0"/>
    <w:rsid w:val="00947626"/>
    <w:rsid w:val="00951C4D"/>
    <w:rsid w:val="00952E03"/>
    <w:rsid w:val="009547E2"/>
    <w:rsid w:val="00956488"/>
    <w:rsid w:val="00956F5F"/>
    <w:rsid w:val="009610DC"/>
    <w:rsid w:val="0097154F"/>
    <w:rsid w:val="0098524A"/>
    <w:rsid w:val="0098560E"/>
    <w:rsid w:val="00985996"/>
    <w:rsid w:val="00986978"/>
    <w:rsid w:val="009923D4"/>
    <w:rsid w:val="00994F74"/>
    <w:rsid w:val="0099563A"/>
    <w:rsid w:val="009A13F4"/>
    <w:rsid w:val="009A3816"/>
    <w:rsid w:val="009A44BE"/>
    <w:rsid w:val="009A4D9E"/>
    <w:rsid w:val="009B029F"/>
    <w:rsid w:val="009B27F8"/>
    <w:rsid w:val="009B4A8B"/>
    <w:rsid w:val="009B74FB"/>
    <w:rsid w:val="009C0660"/>
    <w:rsid w:val="009C0BF6"/>
    <w:rsid w:val="009C4845"/>
    <w:rsid w:val="009C7314"/>
    <w:rsid w:val="009D0054"/>
    <w:rsid w:val="009D5D9F"/>
    <w:rsid w:val="009D784B"/>
    <w:rsid w:val="009E0FA2"/>
    <w:rsid w:val="009E2244"/>
    <w:rsid w:val="009E3E6A"/>
    <w:rsid w:val="009E5880"/>
    <w:rsid w:val="009F57FD"/>
    <w:rsid w:val="009F7F9F"/>
    <w:rsid w:val="00A01E02"/>
    <w:rsid w:val="00A02E26"/>
    <w:rsid w:val="00A05BA0"/>
    <w:rsid w:val="00A06349"/>
    <w:rsid w:val="00A06762"/>
    <w:rsid w:val="00A06C3B"/>
    <w:rsid w:val="00A12DCE"/>
    <w:rsid w:val="00A159C9"/>
    <w:rsid w:val="00A167FB"/>
    <w:rsid w:val="00A21087"/>
    <w:rsid w:val="00A21B70"/>
    <w:rsid w:val="00A21D02"/>
    <w:rsid w:val="00A21DDB"/>
    <w:rsid w:val="00A23CF6"/>
    <w:rsid w:val="00A24231"/>
    <w:rsid w:val="00A2690C"/>
    <w:rsid w:val="00A2792F"/>
    <w:rsid w:val="00A30970"/>
    <w:rsid w:val="00A315E4"/>
    <w:rsid w:val="00A31D96"/>
    <w:rsid w:val="00A31FEE"/>
    <w:rsid w:val="00A33C55"/>
    <w:rsid w:val="00A42875"/>
    <w:rsid w:val="00A44DC1"/>
    <w:rsid w:val="00A47A98"/>
    <w:rsid w:val="00A47EE7"/>
    <w:rsid w:val="00A50B43"/>
    <w:rsid w:val="00A51C87"/>
    <w:rsid w:val="00A54197"/>
    <w:rsid w:val="00A61821"/>
    <w:rsid w:val="00A67CA5"/>
    <w:rsid w:val="00A746C6"/>
    <w:rsid w:val="00A75CCD"/>
    <w:rsid w:val="00A80506"/>
    <w:rsid w:val="00A806AE"/>
    <w:rsid w:val="00A8118F"/>
    <w:rsid w:val="00A83458"/>
    <w:rsid w:val="00A86C41"/>
    <w:rsid w:val="00A90148"/>
    <w:rsid w:val="00A90ACA"/>
    <w:rsid w:val="00AA0D8C"/>
    <w:rsid w:val="00AA25BC"/>
    <w:rsid w:val="00AA3077"/>
    <w:rsid w:val="00AA46AF"/>
    <w:rsid w:val="00AB4E9E"/>
    <w:rsid w:val="00AB6C99"/>
    <w:rsid w:val="00AC11D5"/>
    <w:rsid w:val="00AC15E5"/>
    <w:rsid w:val="00AC22BB"/>
    <w:rsid w:val="00AC4080"/>
    <w:rsid w:val="00AC468A"/>
    <w:rsid w:val="00AC51AA"/>
    <w:rsid w:val="00AC5423"/>
    <w:rsid w:val="00AC5A6D"/>
    <w:rsid w:val="00AC5D73"/>
    <w:rsid w:val="00AC73AD"/>
    <w:rsid w:val="00AD2256"/>
    <w:rsid w:val="00AD495B"/>
    <w:rsid w:val="00AD705A"/>
    <w:rsid w:val="00AD78F9"/>
    <w:rsid w:val="00AE008D"/>
    <w:rsid w:val="00AE2CD7"/>
    <w:rsid w:val="00AE30E0"/>
    <w:rsid w:val="00AE346F"/>
    <w:rsid w:val="00AF2329"/>
    <w:rsid w:val="00AF2F7E"/>
    <w:rsid w:val="00AF3660"/>
    <w:rsid w:val="00AF60E1"/>
    <w:rsid w:val="00AF7A20"/>
    <w:rsid w:val="00B01312"/>
    <w:rsid w:val="00B02D98"/>
    <w:rsid w:val="00B06219"/>
    <w:rsid w:val="00B13B32"/>
    <w:rsid w:val="00B15D2F"/>
    <w:rsid w:val="00B16399"/>
    <w:rsid w:val="00B1760F"/>
    <w:rsid w:val="00B17B7E"/>
    <w:rsid w:val="00B222BE"/>
    <w:rsid w:val="00B2586D"/>
    <w:rsid w:val="00B25AE4"/>
    <w:rsid w:val="00B26909"/>
    <w:rsid w:val="00B27624"/>
    <w:rsid w:val="00B27664"/>
    <w:rsid w:val="00B31169"/>
    <w:rsid w:val="00B31828"/>
    <w:rsid w:val="00B40BFC"/>
    <w:rsid w:val="00B42BEE"/>
    <w:rsid w:val="00B452B7"/>
    <w:rsid w:val="00B458E3"/>
    <w:rsid w:val="00B518FF"/>
    <w:rsid w:val="00B54F17"/>
    <w:rsid w:val="00B55996"/>
    <w:rsid w:val="00B57D47"/>
    <w:rsid w:val="00B6210E"/>
    <w:rsid w:val="00B632E3"/>
    <w:rsid w:val="00B64DC8"/>
    <w:rsid w:val="00B70688"/>
    <w:rsid w:val="00B77091"/>
    <w:rsid w:val="00B837C1"/>
    <w:rsid w:val="00B841E0"/>
    <w:rsid w:val="00B860BA"/>
    <w:rsid w:val="00B865F5"/>
    <w:rsid w:val="00B91DFE"/>
    <w:rsid w:val="00B92BA6"/>
    <w:rsid w:val="00B966E9"/>
    <w:rsid w:val="00B97229"/>
    <w:rsid w:val="00BA08A3"/>
    <w:rsid w:val="00BA5477"/>
    <w:rsid w:val="00BA5AB3"/>
    <w:rsid w:val="00BA710C"/>
    <w:rsid w:val="00BB227E"/>
    <w:rsid w:val="00BB7E3D"/>
    <w:rsid w:val="00BC3CD1"/>
    <w:rsid w:val="00BC5CED"/>
    <w:rsid w:val="00BC5EC6"/>
    <w:rsid w:val="00BC5F0E"/>
    <w:rsid w:val="00BD2211"/>
    <w:rsid w:val="00BD221D"/>
    <w:rsid w:val="00BD3E65"/>
    <w:rsid w:val="00BD5934"/>
    <w:rsid w:val="00BD7785"/>
    <w:rsid w:val="00BE3573"/>
    <w:rsid w:val="00BE3B2E"/>
    <w:rsid w:val="00BE569F"/>
    <w:rsid w:val="00BF1CBD"/>
    <w:rsid w:val="00BF4693"/>
    <w:rsid w:val="00BF52C4"/>
    <w:rsid w:val="00BF54CA"/>
    <w:rsid w:val="00C006BE"/>
    <w:rsid w:val="00C033CF"/>
    <w:rsid w:val="00C05B8E"/>
    <w:rsid w:val="00C1063D"/>
    <w:rsid w:val="00C147B9"/>
    <w:rsid w:val="00C14DC3"/>
    <w:rsid w:val="00C1547D"/>
    <w:rsid w:val="00C15E0E"/>
    <w:rsid w:val="00C23FB5"/>
    <w:rsid w:val="00C24A1A"/>
    <w:rsid w:val="00C24DC1"/>
    <w:rsid w:val="00C27EE5"/>
    <w:rsid w:val="00C30345"/>
    <w:rsid w:val="00C331BB"/>
    <w:rsid w:val="00C41A08"/>
    <w:rsid w:val="00C422B9"/>
    <w:rsid w:val="00C4241E"/>
    <w:rsid w:val="00C50EFE"/>
    <w:rsid w:val="00C52B71"/>
    <w:rsid w:val="00C551E8"/>
    <w:rsid w:val="00C610D9"/>
    <w:rsid w:val="00C615A3"/>
    <w:rsid w:val="00C635DA"/>
    <w:rsid w:val="00C639E7"/>
    <w:rsid w:val="00C64DF2"/>
    <w:rsid w:val="00C659BE"/>
    <w:rsid w:val="00C66A2B"/>
    <w:rsid w:val="00C753ED"/>
    <w:rsid w:val="00C76ABA"/>
    <w:rsid w:val="00C80300"/>
    <w:rsid w:val="00C82307"/>
    <w:rsid w:val="00C8613B"/>
    <w:rsid w:val="00C92622"/>
    <w:rsid w:val="00C97228"/>
    <w:rsid w:val="00C97441"/>
    <w:rsid w:val="00C9780D"/>
    <w:rsid w:val="00CA02DA"/>
    <w:rsid w:val="00CA1A54"/>
    <w:rsid w:val="00CC1B12"/>
    <w:rsid w:val="00CC43B4"/>
    <w:rsid w:val="00CC46B2"/>
    <w:rsid w:val="00CC5718"/>
    <w:rsid w:val="00CC7251"/>
    <w:rsid w:val="00CD1352"/>
    <w:rsid w:val="00CD1CBE"/>
    <w:rsid w:val="00CD1E3E"/>
    <w:rsid w:val="00CD32E2"/>
    <w:rsid w:val="00CD4B0B"/>
    <w:rsid w:val="00CD6698"/>
    <w:rsid w:val="00CE0EC0"/>
    <w:rsid w:val="00CE1E5B"/>
    <w:rsid w:val="00CE2B8E"/>
    <w:rsid w:val="00CE5252"/>
    <w:rsid w:val="00CF1D92"/>
    <w:rsid w:val="00CF5D91"/>
    <w:rsid w:val="00CF636A"/>
    <w:rsid w:val="00CF7B9F"/>
    <w:rsid w:val="00D0025C"/>
    <w:rsid w:val="00D0662C"/>
    <w:rsid w:val="00D12172"/>
    <w:rsid w:val="00D12B8C"/>
    <w:rsid w:val="00D14DA0"/>
    <w:rsid w:val="00D16574"/>
    <w:rsid w:val="00D178DD"/>
    <w:rsid w:val="00D200F6"/>
    <w:rsid w:val="00D21646"/>
    <w:rsid w:val="00D37352"/>
    <w:rsid w:val="00D422D1"/>
    <w:rsid w:val="00D454F2"/>
    <w:rsid w:val="00D45F5B"/>
    <w:rsid w:val="00D47CE9"/>
    <w:rsid w:val="00D52995"/>
    <w:rsid w:val="00D72ADE"/>
    <w:rsid w:val="00D74A76"/>
    <w:rsid w:val="00D75233"/>
    <w:rsid w:val="00D7728F"/>
    <w:rsid w:val="00D77696"/>
    <w:rsid w:val="00D81CC4"/>
    <w:rsid w:val="00D8362D"/>
    <w:rsid w:val="00D8382F"/>
    <w:rsid w:val="00D8453E"/>
    <w:rsid w:val="00D87657"/>
    <w:rsid w:val="00D9101A"/>
    <w:rsid w:val="00D9765E"/>
    <w:rsid w:val="00DA1C17"/>
    <w:rsid w:val="00DA4591"/>
    <w:rsid w:val="00DA6430"/>
    <w:rsid w:val="00DB3AAF"/>
    <w:rsid w:val="00DB63DB"/>
    <w:rsid w:val="00DB7824"/>
    <w:rsid w:val="00DC308E"/>
    <w:rsid w:val="00DC7F73"/>
    <w:rsid w:val="00DE191A"/>
    <w:rsid w:val="00DE2CCB"/>
    <w:rsid w:val="00DE3123"/>
    <w:rsid w:val="00DE339F"/>
    <w:rsid w:val="00DE36FE"/>
    <w:rsid w:val="00DF13F5"/>
    <w:rsid w:val="00DF1535"/>
    <w:rsid w:val="00DF3337"/>
    <w:rsid w:val="00DF53F5"/>
    <w:rsid w:val="00DF5B0B"/>
    <w:rsid w:val="00DF61FD"/>
    <w:rsid w:val="00DF6D25"/>
    <w:rsid w:val="00DF6E87"/>
    <w:rsid w:val="00E03C6D"/>
    <w:rsid w:val="00E11EE3"/>
    <w:rsid w:val="00E135F9"/>
    <w:rsid w:val="00E14349"/>
    <w:rsid w:val="00E1444B"/>
    <w:rsid w:val="00E20C28"/>
    <w:rsid w:val="00E22A77"/>
    <w:rsid w:val="00E24B18"/>
    <w:rsid w:val="00E274B8"/>
    <w:rsid w:val="00E3016C"/>
    <w:rsid w:val="00E3432A"/>
    <w:rsid w:val="00E348BC"/>
    <w:rsid w:val="00E4318F"/>
    <w:rsid w:val="00E4392E"/>
    <w:rsid w:val="00E4557C"/>
    <w:rsid w:val="00E477C1"/>
    <w:rsid w:val="00E52007"/>
    <w:rsid w:val="00E54395"/>
    <w:rsid w:val="00E54741"/>
    <w:rsid w:val="00E55567"/>
    <w:rsid w:val="00E568E5"/>
    <w:rsid w:val="00E578E4"/>
    <w:rsid w:val="00E6447E"/>
    <w:rsid w:val="00E6453F"/>
    <w:rsid w:val="00E659EF"/>
    <w:rsid w:val="00E70CBD"/>
    <w:rsid w:val="00E717E8"/>
    <w:rsid w:val="00E73D81"/>
    <w:rsid w:val="00E75004"/>
    <w:rsid w:val="00E754F4"/>
    <w:rsid w:val="00E7659D"/>
    <w:rsid w:val="00E820B8"/>
    <w:rsid w:val="00E85CCB"/>
    <w:rsid w:val="00E96424"/>
    <w:rsid w:val="00EA2D3D"/>
    <w:rsid w:val="00EA5B84"/>
    <w:rsid w:val="00EB058E"/>
    <w:rsid w:val="00EB20F9"/>
    <w:rsid w:val="00EB24EB"/>
    <w:rsid w:val="00EB2B72"/>
    <w:rsid w:val="00ED06CC"/>
    <w:rsid w:val="00ED2C8E"/>
    <w:rsid w:val="00ED379E"/>
    <w:rsid w:val="00ED7680"/>
    <w:rsid w:val="00EE0424"/>
    <w:rsid w:val="00EE0D47"/>
    <w:rsid w:val="00EE5358"/>
    <w:rsid w:val="00EF1C55"/>
    <w:rsid w:val="00EF71E9"/>
    <w:rsid w:val="00EF767F"/>
    <w:rsid w:val="00F006D2"/>
    <w:rsid w:val="00F00BD1"/>
    <w:rsid w:val="00F01FD9"/>
    <w:rsid w:val="00F04B07"/>
    <w:rsid w:val="00F05BA8"/>
    <w:rsid w:val="00F102A4"/>
    <w:rsid w:val="00F16F13"/>
    <w:rsid w:val="00F23E9A"/>
    <w:rsid w:val="00F242D9"/>
    <w:rsid w:val="00F262E0"/>
    <w:rsid w:val="00F358DE"/>
    <w:rsid w:val="00F3715D"/>
    <w:rsid w:val="00F44B62"/>
    <w:rsid w:val="00F46A6A"/>
    <w:rsid w:val="00F5072C"/>
    <w:rsid w:val="00F5131F"/>
    <w:rsid w:val="00F51CBF"/>
    <w:rsid w:val="00F51F0B"/>
    <w:rsid w:val="00F5411D"/>
    <w:rsid w:val="00F56D2B"/>
    <w:rsid w:val="00F57D2D"/>
    <w:rsid w:val="00F62A49"/>
    <w:rsid w:val="00F62A99"/>
    <w:rsid w:val="00F62C3F"/>
    <w:rsid w:val="00F63109"/>
    <w:rsid w:val="00F64F0D"/>
    <w:rsid w:val="00F7026A"/>
    <w:rsid w:val="00F71826"/>
    <w:rsid w:val="00F72B45"/>
    <w:rsid w:val="00F73B00"/>
    <w:rsid w:val="00F75F2F"/>
    <w:rsid w:val="00F84737"/>
    <w:rsid w:val="00F87B69"/>
    <w:rsid w:val="00F90C95"/>
    <w:rsid w:val="00F90CA6"/>
    <w:rsid w:val="00F9103E"/>
    <w:rsid w:val="00F95923"/>
    <w:rsid w:val="00F96A39"/>
    <w:rsid w:val="00F97463"/>
    <w:rsid w:val="00FA1507"/>
    <w:rsid w:val="00FA4DC6"/>
    <w:rsid w:val="00FA5D99"/>
    <w:rsid w:val="00FB030E"/>
    <w:rsid w:val="00FB0683"/>
    <w:rsid w:val="00FB1CB2"/>
    <w:rsid w:val="00FB571F"/>
    <w:rsid w:val="00FB65F9"/>
    <w:rsid w:val="00FB73FB"/>
    <w:rsid w:val="00FC27B6"/>
    <w:rsid w:val="00FC42BA"/>
    <w:rsid w:val="00FC6166"/>
    <w:rsid w:val="00FD0242"/>
    <w:rsid w:val="00FD08C1"/>
    <w:rsid w:val="00FD792B"/>
    <w:rsid w:val="00FD7A7A"/>
    <w:rsid w:val="00FE10C1"/>
    <w:rsid w:val="00FE190E"/>
    <w:rsid w:val="00FE20A9"/>
    <w:rsid w:val="00FE48A9"/>
    <w:rsid w:val="00FF08B7"/>
    <w:rsid w:val="00FF12B8"/>
    <w:rsid w:val="00FF2C61"/>
    <w:rsid w:val="00FF5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CE58BB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222BA8"/>
    <w:pPr>
      <w:keepNext/>
      <w:keepLines/>
      <w:spacing w:before="280" w:after="80"/>
    </w:pPr>
    <w:rPr>
      <w:b/>
      <w:color w:val="000000"/>
      <w:sz w:val="20"/>
      <w:szCs w:val="18"/>
    </w:rPr>
  </w:style>
  <w:style w:type="character" w:customStyle="1" w:styleId="CaptionChar">
    <w:name w:val="Caption Char"/>
    <w:aliases w:val="eTRM Caption Char"/>
    <w:link w:val="Caption"/>
    <w:locked/>
    <w:rsid w:val="00222BA8"/>
    <w:rPr>
      <w:rFonts w:ascii="Calibri Light" w:hAnsi="Calibri Light"/>
      <w:b/>
      <w:color w:val="000000"/>
      <w:sz w:val="20"/>
      <w:szCs w:val="18"/>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b/>
      <w:color w:val="000000"/>
      <w:sz w:val="20"/>
      <w:szCs w:val="18"/>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5C7654"/>
  </w:style>
  <w:style w:type="character" w:customStyle="1" w:styleId="BodyTextChar">
    <w:name w:val="Body Text Char"/>
    <w:basedOn w:val="DefaultParagraphFont"/>
    <w:link w:val="BodyText"/>
    <w:uiPriority w:val="99"/>
    <w:rsid w:val="005C7654"/>
    <w:rPr>
      <w:rFonts w:ascii="Calibri Light" w:hAnsi="Calibri Light"/>
      <w:sz w:val="22"/>
    </w:rPr>
  </w:style>
  <w:style w:type="paragraph" w:customStyle="1" w:styleId="eTRMBulletedText">
    <w:name w:val="eTRM Bulleted Text"/>
    <w:basedOn w:val="Normal"/>
    <w:autoRedefine/>
    <w:qFormat/>
    <w:rsid w:val="009A4D9E"/>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0B69DE"/>
    <w:pPr>
      <w:keepNext/>
      <w:keepLines/>
      <w:spacing w:line="320" w:lineRule="exact"/>
      <w:contextualSpacing/>
      <w:jc w:val="center"/>
      <w:outlineLvl w:val="0"/>
    </w:pPr>
    <w:rPr>
      <w:rFonts w:ascii="Calibri" w:eastAsiaTheme="majorEastAsia" w:hAnsi="Calibri" w:cstheme="majorBidi"/>
      <w:b/>
      <w:caps/>
      <w:color w:val="FFFFFF" w:themeColor="background1"/>
      <w:spacing w:val="60"/>
      <w:sz w:val="28"/>
      <w:szCs w:val="40"/>
    </w:rPr>
  </w:style>
  <w:style w:type="character" w:customStyle="1" w:styleId="eTRMHeading1Char">
    <w:name w:val="eTRM Heading 1 Char"/>
    <w:basedOn w:val="DefaultParagraphFont"/>
    <w:link w:val="eTRMHeading1"/>
    <w:rsid w:val="000B69DE"/>
    <w:rPr>
      <w:rFonts w:ascii="Calibri" w:eastAsiaTheme="majorEastAsia" w:hAnsi="Calibri" w:cstheme="majorBidi"/>
      <w:b/>
      <w:caps/>
      <w:color w:val="FFFFFF" w:themeColor="background1"/>
      <w:spacing w:val="60"/>
      <w:sz w:val="28"/>
      <w:szCs w:val="40"/>
    </w:rPr>
  </w:style>
  <w:style w:type="paragraph" w:customStyle="1" w:styleId="eTRMHeading2">
    <w:name w:val="eTRM Heading 2"/>
    <w:basedOn w:val="Normal"/>
    <w:link w:val="eTRMHeading2Char"/>
    <w:autoRedefine/>
    <w:qFormat/>
    <w:rsid w:val="000B69DE"/>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0B69DE"/>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7533DE"/>
    <w:pPr>
      <w:spacing w:before="20" w:after="20" w:line="28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7533DE"/>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NoSpacing">
    <w:name w:val="No Spacing"/>
    <w:uiPriority w:val="1"/>
    <w:qFormat/>
    <w:rsid w:val="00465611"/>
    <w:rPr>
      <w:rFonts w:eastAsiaTheme="minorHAnsi"/>
      <w:sz w:val="22"/>
      <w:szCs w:val="22"/>
    </w:rPr>
  </w:style>
  <w:style w:type="paragraph" w:customStyle="1" w:styleId="Reminders">
    <w:name w:val="Reminders"/>
    <w:basedOn w:val="Normal"/>
    <w:link w:val="RemindersChar"/>
    <w:rsid w:val="00465611"/>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465611"/>
    <w:rPr>
      <w:rFonts w:ascii="Trebuchet MS" w:eastAsia="Times New Roman" w:hAnsi="Trebuchet MS" w:cs="Times New Roman"/>
      <w:i/>
      <w:color w:val="FF0000"/>
      <w:sz w:val="22"/>
    </w:rPr>
  </w:style>
  <w:style w:type="table" w:customStyle="1" w:styleId="TableGrid1">
    <w:name w:val="Table Grid1"/>
    <w:basedOn w:val="TableNormal"/>
    <w:next w:val="TableGrid"/>
    <w:rsid w:val="00465611"/>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78E4"/>
    <w:rPr>
      <w:sz w:val="18"/>
      <w:szCs w:val="18"/>
    </w:rPr>
  </w:style>
  <w:style w:type="paragraph" w:styleId="CommentText">
    <w:name w:val="annotation text"/>
    <w:basedOn w:val="Normal"/>
    <w:link w:val="CommentTextChar"/>
    <w:uiPriority w:val="99"/>
    <w:unhideWhenUsed/>
    <w:rsid w:val="00E578E4"/>
    <w:pPr>
      <w:spacing w:line="240" w:lineRule="auto"/>
    </w:pPr>
    <w:rPr>
      <w:sz w:val="24"/>
    </w:rPr>
  </w:style>
  <w:style w:type="character" w:customStyle="1" w:styleId="CommentTextChar">
    <w:name w:val="Comment Text Char"/>
    <w:basedOn w:val="DefaultParagraphFont"/>
    <w:link w:val="CommentText"/>
    <w:uiPriority w:val="99"/>
    <w:rsid w:val="00E578E4"/>
    <w:rPr>
      <w:rFonts w:ascii="Calibri Light" w:hAnsi="Calibri Light"/>
    </w:rPr>
  </w:style>
  <w:style w:type="paragraph" w:styleId="BalloonText">
    <w:name w:val="Balloon Text"/>
    <w:basedOn w:val="Normal"/>
    <w:link w:val="BalloonTextChar"/>
    <w:uiPriority w:val="99"/>
    <w:semiHidden/>
    <w:unhideWhenUsed/>
    <w:rsid w:val="00E578E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578E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6E7D36"/>
    <w:rPr>
      <w:b/>
      <w:bCs/>
      <w:sz w:val="20"/>
      <w:szCs w:val="20"/>
    </w:rPr>
  </w:style>
  <w:style w:type="character" w:customStyle="1" w:styleId="CommentSubjectChar">
    <w:name w:val="Comment Subject Char"/>
    <w:basedOn w:val="CommentTextChar"/>
    <w:link w:val="CommentSubject"/>
    <w:uiPriority w:val="99"/>
    <w:semiHidden/>
    <w:rsid w:val="006E7D36"/>
    <w:rPr>
      <w:rFonts w:ascii="Calibri Light" w:hAnsi="Calibri Light"/>
      <w:b/>
      <w:bCs/>
      <w:sz w:val="20"/>
      <w:szCs w:val="20"/>
    </w:rPr>
  </w:style>
  <w:style w:type="paragraph" w:styleId="DocumentMap">
    <w:name w:val="Document Map"/>
    <w:basedOn w:val="Normal"/>
    <w:link w:val="DocumentMapChar"/>
    <w:uiPriority w:val="99"/>
    <w:semiHidden/>
    <w:unhideWhenUsed/>
    <w:rsid w:val="002832D8"/>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2832D8"/>
    <w:rPr>
      <w:rFonts w:ascii="Times New Roman" w:hAnsi="Times New Roman" w:cs="Times New Roman"/>
    </w:rPr>
  </w:style>
  <w:style w:type="character" w:styleId="Strong">
    <w:name w:val="Strong"/>
    <w:basedOn w:val="DefaultParagraphFont"/>
    <w:uiPriority w:val="22"/>
    <w:qFormat/>
    <w:rsid w:val="00BE56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557418">
      <w:bodyDiv w:val="1"/>
      <w:marLeft w:val="0"/>
      <w:marRight w:val="0"/>
      <w:marTop w:val="0"/>
      <w:marBottom w:val="0"/>
      <w:divBdr>
        <w:top w:val="none" w:sz="0" w:space="0" w:color="auto"/>
        <w:left w:val="none" w:sz="0" w:space="0" w:color="auto"/>
        <w:bottom w:val="none" w:sz="0" w:space="0" w:color="auto"/>
        <w:right w:val="none" w:sz="0" w:space="0" w:color="auto"/>
      </w:divBdr>
    </w:div>
    <w:div w:id="728383185">
      <w:bodyDiv w:val="1"/>
      <w:marLeft w:val="0"/>
      <w:marRight w:val="0"/>
      <w:marTop w:val="0"/>
      <w:marBottom w:val="0"/>
      <w:divBdr>
        <w:top w:val="none" w:sz="0" w:space="0" w:color="auto"/>
        <w:left w:val="none" w:sz="0" w:space="0" w:color="auto"/>
        <w:bottom w:val="none" w:sz="0" w:space="0" w:color="auto"/>
        <w:right w:val="none" w:sz="0" w:space="0" w:color="auto"/>
      </w:divBdr>
    </w:div>
    <w:div w:id="941842203">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5794852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energywise.com/rebat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BD65D-C749-496F-81D7-BFF87CCBE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861</TotalTime>
  <Pages>13</Pages>
  <Words>3779</Words>
  <Characters>21543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Commercial Deck Oven, Electric SWFS009-01</vt:lpstr>
    </vt:vector>
  </TitlesOfParts>
  <Company>Hewlett-Packard</Company>
  <LinksUpToDate>false</LinksUpToDate>
  <CharactersWithSpaces>25272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Deck Oven, Electric SWFS009-01</dc:title>
  <dc:creator>Jennifer Holmes</dc:creator>
  <cp:lastModifiedBy>Jay Bhakta</cp:lastModifiedBy>
  <cp:revision>32</cp:revision>
  <cp:lastPrinted>2021-05-03T21:26:00Z</cp:lastPrinted>
  <dcterms:created xsi:type="dcterms:W3CDTF">2018-10-31T00:23:00Z</dcterms:created>
  <dcterms:modified xsi:type="dcterms:W3CDTF">2021-08-09T15:30:00Z</dcterms:modified>
</cp:coreProperties>
</file>