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42C81AAF" w14:textId="77777777" w:rsidTr="00BD221D">
        <w:trPr>
          <w:cantSplit/>
          <w:trHeight w:hRule="exact" w:val="1440"/>
          <w:jc w:val="right"/>
        </w:trPr>
        <w:tc>
          <w:tcPr>
            <w:tcW w:w="9000" w:type="dxa"/>
            <w:shd w:val="clear" w:color="auto" w:fill="8DC63F"/>
            <w:vAlign w:val="center"/>
          </w:tcPr>
          <w:p w14:paraId="527A4955" w14:textId="77777777" w:rsidR="00BD221D" w:rsidRPr="002920DC" w:rsidRDefault="00CD25B5" w:rsidP="00BD221D">
            <w:pPr>
              <w:pStyle w:val="eTRMHeading1"/>
              <w:jc w:val="center"/>
              <w:rPr>
                <w:sz w:val="28"/>
              </w:rPr>
            </w:pPr>
            <w:r w:rsidRPr="002920DC">
              <w:rPr>
                <w:sz w:val="28"/>
              </w:rPr>
              <w:t>Food Service</w:t>
            </w:r>
          </w:p>
          <w:p w14:paraId="526390A0" w14:textId="1EF3E800" w:rsidR="00BD221D" w:rsidRDefault="007F236A" w:rsidP="000110D9">
            <w:pPr>
              <w:pStyle w:val="eTRMHeading2"/>
              <w:rPr>
                <w:color w:val="FFFFFF" w:themeColor="background1"/>
                <w:spacing w:val="60"/>
                <w:sz w:val="32"/>
              </w:rPr>
            </w:pPr>
            <w:r>
              <w:rPr>
                <w:color w:val="FFFFFF" w:themeColor="background1"/>
                <w:spacing w:val="60"/>
                <w:sz w:val="32"/>
              </w:rPr>
              <w:t xml:space="preserve">Door Type </w:t>
            </w:r>
            <w:r w:rsidR="00CD25B5" w:rsidRPr="002920DC">
              <w:rPr>
                <w:color w:val="FFFFFF" w:themeColor="background1"/>
                <w:spacing w:val="60"/>
                <w:sz w:val="32"/>
              </w:rPr>
              <w:t>Dishwasher</w:t>
            </w:r>
            <w:r>
              <w:rPr>
                <w:color w:val="FFFFFF" w:themeColor="background1"/>
                <w:spacing w:val="60"/>
                <w:sz w:val="32"/>
              </w:rPr>
              <w:t>,</w:t>
            </w:r>
            <w:r w:rsidRPr="002920DC">
              <w:rPr>
                <w:color w:val="FFFFFF" w:themeColor="background1"/>
                <w:spacing w:val="60"/>
                <w:sz w:val="32"/>
              </w:rPr>
              <w:t xml:space="preserve"> Commercial</w:t>
            </w:r>
          </w:p>
          <w:p w14:paraId="385C2A1B" w14:textId="0B60FEE3" w:rsidR="002920DC" w:rsidRPr="002920DC" w:rsidRDefault="002920DC" w:rsidP="000110D9">
            <w:pPr>
              <w:pStyle w:val="eTRMHeading2"/>
              <w:rPr>
                <w:color w:val="FFFFFF" w:themeColor="background1"/>
                <w:spacing w:val="0"/>
              </w:rPr>
            </w:pPr>
            <w:r w:rsidRPr="002920DC">
              <w:rPr>
                <w:color w:val="FFFFFF" w:themeColor="background1"/>
                <w:spacing w:val="0"/>
                <w:sz w:val="28"/>
              </w:rPr>
              <w:t>SWFS002-0</w:t>
            </w:r>
            <w:r w:rsidR="00D2145E">
              <w:rPr>
                <w:color w:val="FFFFFF" w:themeColor="background1"/>
                <w:spacing w:val="0"/>
                <w:sz w:val="28"/>
              </w:rPr>
              <w:t>2</w:t>
            </w:r>
          </w:p>
        </w:tc>
      </w:tr>
    </w:tbl>
    <w:p w14:paraId="11B4935A" w14:textId="77777777" w:rsidR="00BD221D" w:rsidRDefault="00BD221D" w:rsidP="00BD221D"/>
    <w:p w14:paraId="5785AD20" w14:textId="77777777" w:rsidR="00D12B8C" w:rsidRPr="00E14349" w:rsidRDefault="007E1F66" w:rsidP="0053748E">
      <w:pPr>
        <w:jc w:val="center"/>
        <w:rPr>
          <w:spacing w:val="80"/>
          <w:sz w:val="28"/>
        </w:rPr>
      </w:pPr>
      <w:r w:rsidRPr="00E14349">
        <w:rPr>
          <w:spacing w:val="80"/>
          <w:sz w:val="28"/>
        </w:rPr>
        <w:t>CONTENTS</w:t>
      </w:r>
    </w:p>
    <w:p w14:paraId="3C274EF6" w14:textId="58AB28CA" w:rsidR="00132920" w:rsidRDefault="000212BA">
      <w:pPr>
        <w:pStyle w:val="TOC3"/>
        <w:rPr>
          <w:rFonts w:asciiTheme="minorHAnsi" w:hAnsiTheme="minorHAnsi"/>
          <w:noProof/>
          <w:szCs w:val="22"/>
        </w:rPr>
      </w:pPr>
      <w:r>
        <w:fldChar w:fldCharType="begin"/>
      </w:r>
      <w:r w:rsidR="001C6C9B">
        <w:instrText xml:space="preserve"> TOC \t "eTRM Heading 3,3" </w:instrText>
      </w:r>
      <w:r>
        <w:fldChar w:fldCharType="separate"/>
      </w:r>
      <w:r w:rsidR="00132920">
        <w:rPr>
          <w:noProof/>
        </w:rPr>
        <w:t>Measure Name</w:t>
      </w:r>
      <w:r w:rsidR="00132920">
        <w:rPr>
          <w:noProof/>
        </w:rPr>
        <w:tab/>
      </w:r>
      <w:r w:rsidR="00132920">
        <w:rPr>
          <w:noProof/>
        </w:rPr>
        <w:fldChar w:fldCharType="begin"/>
      </w:r>
      <w:r w:rsidR="00132920">
        <w:rPr>
          <w:noProof/>
        </w:rPr>
        <w:instrText xml:space="preserve"> PAGEREF _Toc528680016 \h </w:instrText>
      </w:r>
      <w:r w:rsidR="00132920">
        <w:rPr>
          <w:noProof/>
        </w:rPr>
      </w:r>
      <w:r w:rsidR="00132920">
        <w:rPr>
          <w:noProof/>
        </w:rPr>
        <w:fldChar w:fldCharType="separate"/>
      </w:r>
      <w:r w:rsidR="001A6E19">
        <w:rPr>
          <w:noProof/>
        </w:rPr>
        <w:t>2</w:t>
      </w:r>
      <w:r w:rsidR="00132920">
        <w:rPr>
          <w:noProof/>
        </w:rPr>
        <w:fldChar w:fldCharType="end"/>
      </w:r>
    </w:p>
    <w:p w14:paraId="4B0D0FD4" w14:textId="34077E96" w:rsidR="00132920" w:rsidRDefault="00132920">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_Toc528680017 \h </w:instrText>
      </w:r>
      <w:r>
        <w:rPr>
          <w:noProof/>
        </w:rPr>
      </w:r>
      <w:r>
        <w:rPr>
          <w:noProof/>
        </w:rPr>
        <w:fldChar w:fldCharType="separate"/>
      </w:r>
      <w:r w:rsidR="001A6E19">
        <w:rPr>
          <w:noProof/>
        </w:rPr>
        <w:t>2</w:t>
      </w:r>
      <w:r>
        <w:rPr>
          <w:noProof/>
        </w:rPr>
        <w:fldChar w:fldCharType="end"/>
      </w:r>
    </w:p>
    <w:p w14:paraId="4F251766" w14:textId="177D5581" w:rsidR="00132920" w:rsidRDefault="00132920">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_Toc528680018 \h </w:instrText>
      </w:r>
      <w:r>
        <w:rPr>
          <w:noProof/>
        </w:rPr>
      </w:r>
      <w:r>
        <w:rPr>
          <w:noProof/>
        </w:rPr>
        <w:fldChar w:fldCharType="separate"/>
      </w:r>
      <w:r w:rsidR="001A6E19">
        <w:rPr>
          <w:noProof/>
        </w:rPr>
        <w:t>2</w:t>
      </w:r>
      <w:r>
        <w:rPr>
          <w:noProof/>
        </w:rPr>
        <w:fldChar w:fldCharType="end"/>
      </w:r>
    </w:p>
    <w:p w14:paraId="5CFF86A9" w14:textId="1D54666A" w:rsidR="00132920" w:rsidRDefault="00132920">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_Toc528680019 \h </w:instrText>
      </w:r>
      <w:r>
        <w:rPr>
          <w:noProof/>
        </w:rPr>
      </w:r>
      <w:r>
        <w:rPr>
          <w:noProof/>
        </w:rPr>
        <w:fldChar w:fldCharType="separate"/>
      </w:r>
      <w:r w:rsidR="001A6E19">
        <w:rPr>
          <w:noProof/>
        </w:rPr>
        <w:t>3</w:t>
      </w:r>
      <w:r>
        <w:rPr>
          <w:noProof/>
        </w:rPr>
        <w:fldChar w:fldCharType="end"/>
      </w:r>
    </w:p>
    <w:p w14:paraId="51DDDCBB" w14:textId="262A6ADB" w:rsidR="00132920" w:rsidRDefault="00132920">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_Toc528680020 \h </w:instrText>
      </w:r>
      <w:r>
        <w:rPr>
          <w:noProof/>
        </w:rPr>
      </w:r>
      <w:r>
        <w:rPr>
          <w:noProof/>
        </w:rPr>
        <w:fldChar w:fldCharType="separate"/>
      </w:r>
      <w:r w:rsidR="001A6E19">
        <w:rPr>
          <w:noProof/>
        </w:rPr>
        <w:t>3</w:t>
      </w:r>
      <w:r>
        <w:rPr>
          <w:noProof/>
        </w:rPr>
        <w:fldChar w:fldCharType="end"/>
      </w:r>
    </w:p>
    <w:p w14:paraId="4769DBE2" w14:textId="1B7723D7" w:rsidR="00132920" w:rsidRDefault="00132920">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_Toc528680021 \h </w:instrText>
      </w:r>
      <w:r>
        <w:rPr>
          <w:noProof/>
        </w:rPr>
      </w:r>
      <w:r>
        <w:rPr>
          <w:noProof/>
        </w:rPr>
        <w:fldChar w:fldCharType="separate"/>
      </w:r>
      <w:r w:rsidR="001A6E19">
        <w:rPr>
          <w:noProof/>
        </w:rPr>
        <w:t>4</w:t>
      </w:r>
      <w:r>
        <w:rPr>
          <w:noProof/>
        </w:rPr>
        <w:fldChar w:fldCharType="end"/>
      </w:r>
    </w:p>
    <w:p w14:paraId="432540CC" w14:textId="476D432A" w:rsidR="00132920" w:rsidRDefault="00132920">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_Toc528680022 \h </w:instrText>
      </w:r>
      <w:r>
        <w:rPr>
          <w:noProof/>
        </w:rPr>
      </w:r>
      <w:r>
        <w:rPr>
          <w:noProof/>
        </w:rPr>
        <w:fldChar w:fldCharType="separate"/>
      </w:r>
      <w:r w:rsidR="001A6E19">
        <w:rPr>
          <w:noProof/>
        </w:rPr>
        <w:t>4</w:t>
      </w:r>
      <w:r>
        <w:rPr>
          <w:noProof/>
        </w:rPr>
        <w:fldChar w:fldCharType="end"/>
      </w:r>
    </w:p>
    <w:p w14:paraId="0733A7D5" w14:textId="0381AB3E" w:rsidR="00132920" w:rsidRDefault="00132920">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_Toc528680023 \h </w:instrText>
      </w:r>
      <w:r>
        <w:rPr>
          <w:noProof/>
        </w:rPr>
      </w:r>
      <w:r>
        <w:rPr>
          <w:noProof/>
        </w:rPr>
        <w:fldChar w:fldCharType="separate"/>
      </w:r>
      <w:r w:rsidR="001A6E19">
        <w:rPr>
          <w:noProof/>
        </w:rPr>
        <w:t>4</w:t>
      </w:r>
      <w:r>
        <w:rPr>
          <w:noProof/>
        </w:rPr>
        <w:fldChar w:fldCharType="end"/>
      </w:r>
    </w:p>
    <w:p w14:paraId="63BA420F" w14:textId="46E91961" w:rsidR="00132920" w:rsidRDefault="00132920">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_Toc528680024 \h </w:instrText>
      </w:r>
      <w:r>
        <w:rPr>
          <w:noProof/>
        </w:rPr>
      </w:r>
      <w:r>
        <w:rPr>
          <w:noProof/>
        </w:rPr>
        <w:fldChar w:fldCharType="separate"/>
      </w:r>
      <w:r w:rsidR="001A6E19">
        <w:rPr>
          <w:noProof/>
        </w:rPr>
        <w:t>5</w:t>
      </w:r>
      <w:r>
        <w:rPr>
          <w:noProof/>
        </w:rPr>
        <w:fldChar w:fldCharType="end"/>
      </w:r>
    </w:p>
    <w:p w14:paraId="7B8535AD" w14:textId="6FAFEEA0" w:rsidR="00132920" w:rsidRDefault="00132920">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_Toc528680025 \h </w:instrText>
      </w:r>
      <w:r>
        <w:rPr>
          <w:noProof/>
        </w:rPr>
      </w:r>
      <w:r>
        <w:rPr>
          <w:noProof/>
        </w:rPr>
        <w:fldChar w:fldCharType="separate"/>
      </w:r>
      <w:r w:rsidR="001A6E19">
        <w:rPr>
          <w:noProof/>
        </w:rPr>
        <w:t>6</w:t>
      </w:r>
      <w:r>
        <w:rPr>
          <w:noProof/>
        </w:rPr>
        <w:fldChar w:fldCharType="end"/>
      </w:r>
    </w:p>
    <w:p w14:paraId="40693432" w14:textId="18DE2AE3" w:rsidR="00132920" w:rsidRDefault="00132920">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_Toc528680026 \h </w:instrText>
      </w:r>
      <w:r>
        <w:rPr>
          <w:noProof/>
        </w:rPr>
      </w:r>
      <w:r>
        <w:rPr>
          <w:noProof/>
        </w:rPr>
        <w:fldChar w:fldCharType="separate"/>
      </w:r>
      <w:r w:rsidR="001A6E19">
        <w:rPr>
          <w:noProof/>
        </w:rPr>
        <w:t>6</w:t>
      </w:r>
      <w:r>
        <w:rPr>
          <w:noProof/>
        </w:rPr>
        <w:fldChar w:fldCharType="end"/>
      </w:r>
    </w:p>
    <w:p w14:paraId="1F042FDE" w14:textId="4F7059EF" w:rsidR="00132920" w:rsidRDefault="00132920">
      <w:pPr>
        <w:pStyle w:val="TOC3"/>
        <w:rPr>
          <w:rFonts w:asciiTheme="minorHAnsi" w:hAnsiTheme="minorHAnsi"/>
          <w:noProof/>
          <w:szCs w:val="22"/>
        </w:rPr>
      </w:pPr>
      <w:r>
        <w:rPr>
          <w:noProof/>
        </w:rPr>
        <w:t>Electric Savings (</w:t>
      </w:r>
      <w:r w:rsidRPr="00DF334D">
        <w:rPr>
          <w:noProof/>
        </w:rPr>
        <w:t>k</w:t>
      </w:r>
      <w:r>
        <w:rPr>
          <w:noProof/>
        </w:rPr>
        <w:t>W</w:t>
      </w:r>
      <w:r w:rsidRPr="00DF334D">
        <w:rPr>
          <w:noProof/>
        </w:rPr>
        <w:t>h</w:t>
      </w:r>
      <w:r>
        <w:rPr>
          <w:noProof/>
        </w:rPr>
        <w:t>)</w:t>
      </w:r>
      <w:r>
        <w:rPr>
          <w:noProof/>
        </w:rPr>
        <w:tab/>
      </w:r>
      <w:r>
        <w:rPr>
          <w:noProof/>
        </w:rPr>
        <w:fldChar w:fldCharType="begin"/>
      </w:r>
      <w:r>
        <w:rPr>
          <w:noProof/>
        </w:rPr>
        <w:instrText xml:space="preserve"> PAGEREF _Toc528680027 \h </w:instrText>
      </w:r>
      <w:r>
        <w:rPr>
          <w:noProof/>
        </w:rPr>
      </w:r>
      <w:r>
        <w:rPr>
          <w:noProof/>
        </w:rPr>
        <w:fldChar w:fldCharType="separate"/>
      </w:r>
      <w:r w:rsidR="001A6E19">
        <w:rPr>
          <w:noProof/>
        </w:rPr>
        <w:t>6</w:t>
      </w:r>
      <w:r>
        <w:rPr>
          <w:noProof/>
        </w:rPr>
        <w:fldChar w:fldCharType="end"/>
      </w:r>
    </w:p>
    <w:p w14:paraId="7EAD18FB" w14:textId="6C2ED79C" w:rsidR="00132920" w:rsidRDefault="00132920">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_Toc528680028 \h </w:instrText>
      </w:r>
      <w:r>
        <w:rPr>
          <w:noProof/>
        </w:rPr>
      </w:r>
      <w:r>
        <w:rPr>
          <w:noProof/>
        </w:rPr>
        <w:fldChar w:fldCharType="separate"/>
      </w:r>
      <w:r w:rsidR="001A6E19">
        <w:rPr>
          <w:noProof/>
        </w:rPr>
        <w:t>12</w:t>
      </w:r>
      <w:r>
        <w:rPr>
          <w:noProof/>
        </w:rPr>
        <w:fldChar w:fldCharType="end"/>
      </w:r>
    </w:p>
    <w:p w14:paraId="51A4645F" w14:textId="49F0CBAC" w:rsidR="00132920" w:rsidRDefault="00132920">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_Toc528680029 \h </w:instrText>
      </w:r>
      <w:r>
        <w:rPr>
          <w:noProof/>
        </w:rPr>
      </w:r>
      <w:r>
        <w:rPr>
          <w:noProof/>
        </w:rPr>
        <w:fldChar w:fldCharType="separate"/>
      </w:r>
      <w:r w:rsidR="001A6E19">
        <w:rPr>
          <w:noProof/>
        </w:rPr>
        <w:t>13</w:t>
      </w:r>
      <w:r>
        <w:rPr>
          <w:noProof/>
        </w:rPr>
        <w:fldChar w:fldCharType="end"/>
      </w:r>
    </w:p>
    <w:p w14:paraId="2AAB6ED9" w14:textId="7FC3C2CF" w:rsidR="00132920" w:rsidRDefault="00132920">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_Toc528680030 \h </w:instrText>
      </w:r>
      <w:r>
        <w:rPr>
          <w:noProof/>
        </w:rPr>
      </w:r>
      <w:r>
        <w:rPr>
          <w:noProof/>
        </w:rPr>
        <w:fldChar w:fldCharType="separate"/>
      </w:r>
      <w:r w:rsidR="001A6E19">
        <w:rPr>
          <w:noProof/>
        </w:rPr>
        <w:t>19</w:t>
      </w:r>
      <w:r>
        <w:rPr>
          <w:noProof/>
        </w:rPr>
        <w:fldChar w:fldCharType="end"/>
      </w:r>
    </w:p>
    <w:p w14:paraId="0DC8489C" w14:textId="1641558D" w:rsidR="00132920" w:rsidRDefault="00132920">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_Toc528680031 \h </w:instrText>
      </w:r>
      <w:r>
        <w:rPr>
          <w:noProof/>
        </w:rPr>
      </w:r>
      <w:r>
        <w:rPr>
          <w:noProof/>
        </w:rPr>
        <w:fldChar w:fldCharType="separate"/>
      </w:r>
      <w:r w:rsidR="001A6E19">
        <w:rPr>
          <w:noProof/>
        </w:rPr>
        <w:t>20</w:t>
      </w:r>
      <w:r>
        <w:rPr>
          <w:noProof/>
        </w:rPr>
        <w:fldChar w:fldCharType="end"/>
      </w:r>
    </w:p>
    <w:p w14:paraId="579650FA" w14:textId="1EC7E53E" w:rsidR="00132920" w:rsidRDefault="00132920">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_Toc528680032 \h </w:instrText>
      </w:r>
      <w:r>
        <w:rPr>
          <w:noProof/>
        </w:rPr>
      </w:r>
      <w:r>
        <w:rPr>
          <w:noProof/>
        </w:rPr>
        <w:fldChar w:fldCharType="separate"/>
      </w:r>
      <w:r w:rsidR="001A6E19">
        <w:rPr>
          <w:noProof/>
        </w:rPr>
        <w:t>20</w:t>
      </w:r>
      <w:r>
        <w:rPr>
          <w:noProof/>
        </w:rPr>
        <w:fldChar w:fldCharType="end"/>
      </w:r>
    </w:p>
    <w:p w14:paraId="3CAD6B86" w14:textId="4FE742FD" w:rsidR="00132920" w:rsidRDefault="00132920">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_Toc528680033 \h </w:instrText>
      </w:r>
      <w:r>
        <w:rPr>
          <w:noProof/>
        </w:rPr>
      </w:r>
      <w:r>
        <w:rPr>
          <w:noProof/>
        </w:rPr>
        <w:fldChar w:fldCharType="separate"/>
      </w:r>
      <w:r w:rsidR="001A6E19">
        <w:rPr>
          <w:noProof/>
        </w:rPr>
        <w:t>20</w:t>
      </w:r>
      <w:r>
        <w:rPr>
          <w:noProof/>
        </w:rPr>
        <w:fldChar w:fldCharType="end"/>
      </w:r>
    </w:p>
    <w:p w14:paraId="6402D250" w14:textId="3F43191B" w:rsidR="00132920" w:rsidRDefault="00132920">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_Toc528680034 \h </w:instrText>
      </w:r>
      <w:r>
        <w:rPr>
          <w:noProof/>
        </w:rPr>
      </w:r>
      <w:r>
        <w:rPr>
          <w:noProof/>
        </w:rPr>
        <w:fldChar w:fldCharType="separate"/>
      </w:r>
      <w:r w:rsidR="001A6E19">
        <w:rPr>
          <w:noProof/>
        </w:rPr>
        <w:t>20</w:t>
      </w:r>
      <w:r>
        <w:rPr>
          <w:noProof/>
        </w:rPr>
        <w:fldChar w:fldCharType="end"/>
      </w:r>
    </w:p>
    <w:p w14:paraId="5B4B30B6" w14:textId="5058EDBB" w:rsidR="00132920" w:rsidRDefault="00132920">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_Toc528680035 \h </w:instrText>
      </w:r>
      <w:r>
        <w:rPr>
          <w:noProof/>
        </w:rPr>
      </w:r>
      <w:r>
        <w:rPr>
          <w:noProof/>
        </w:rPr>
        <w:fldChar w:fldCharType="separate"/>
      </w:r>
      <w:r w:rsidR="001A6E19">
        <w:rPr>
          <w:noProof/>
        </w:rPr>
        <w:t>21</w:t>
      </w:r>
      <w:r>
        <w:rPr>
          <w:noProof/>
        </w:rPr>
        <w:fldChar w:fldCharType="end"/>
      </w:r>
    </w:p>
    <w:p w14:paraId="6E98944D" w14:textId="1CD9B3B8" w:rsidR="00132920" w:rsidRDefault="00132920">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_Toc528680036 \h </w:instrText>
      </w:r>
      <w:r>
        <w:rPr>
          <w:noProof/>
        </w:rPr>
      </w:r>
      <w:r>
        <w:rPr>
          <w:noProof/>
        </w:rPr>
        <w:fldChar w:fldCharType="separate"/>
      </w:r>
      <w:r w:rsidR="001A6E19">
        <w:rPr>
          <w:noProof/>
        </w:rPr>
        <w:t>21</w:t>
      </w:r>
      <w:r>
        <w:rPr>
          <w:noProof/>
        </w:rPr>
        <w:fldChar w:fldCharType="end"/>
      </w:r>
    </w:p>
    <w:p w14:paraId="6E7E342C" w14:textId="650CDC97" w:rsidR="00132920" w:rsidRDefault="00132920">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_Toc528680037 \h </w:instrText>
      </w:r>
      <w:r>
        <w:rPr>
          <w:noProof/>
        </w:rPr>
      </w:r>
      <w:r>
        <w:rPr>
          <w:noProof/>
        </w:rPr>
        <w:fldChar w:fldCharType="separate"/>
      </w:r>
      <w:r w:rsidR="001A6E19">
        <w:rPr>
          <w:noProof/>
        </w:rPr>
        <w:t>21</w:t>
      </w:r>
      <w:r>
        <w:rPr>
          <w:noProof/>
        </w:rPr>
        <w:fldChar w:fldCharType="end"/>
      </w:r>
    </w:p>
    <w:p w14:paraId="7AA472E4" w14:textId="380425CC" w:rsidR="00132920" w:rsidRDefault="00132920">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_Toc528680038 \h </w:instrText>
      </w:r>
      <w:r>
        <w:rPr>
          <w:noProof/>
        </w:rPr>
      </w:r>
      <w:r>
        <w:rPr>
          <w:noProof/>
        </w:rPr>
        <w:fldChar w:fldCharType="separate"/>
      </w:r>
      <w:r w:rsidR="001A6E19">
        <w:rPr>
          <w:noProof/>
        </w:rPr>
        <w:t>22</w:t>
      </w:r>
      <w:r>
        <w:rPr>
          <w:noProof/>
        </w:rPr>
        <w:fldChar w:fldCharType="end"/>
      </w:r>
    </w:p>
    <w:p w14:paraId="11D89F39" w14:textId="1148A981" w:rsidR="00132920" w:rsidRDefault="00132920">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_Toc528680039 \h </w:instrText>
      </w:r>
      <w:r>
        <w:rPr>
          <w:noProof/>
        </w:rPr>
      </w:r>
      <w:r>
        <w:rPr>
          <w:noProof/>
        </w:rPr>
        <w:fldChar w:fldCharType="separate"/>
      </w:r>
      <w:r w:rsidR="001A6E19">
        <w:rPr>
          <w:noProof/>
        </w:rPr>
        <w:t>22</w:t>
      </w:r>
      <w:r>
        <w:rPr>
          <w:noProof/>
        </w:rPr>
        <w:fldChar w:fldCharType="end"/>
      </w:r>
    </w:p>
    <w:p w14:paraId="3C71C232" w14:textId="4A446018" w:rsidR="001C6C9B" w:rsidRPr="00D12B8C" w:rsidRDefault="000212BA" w:rsidP="00D12B8C">
      <w:r>
        <w:fldChar w:fldCharType="end"/>
      </w:r>
    </w:p>
    <w:p w14:paraId="7333C869" w14:textId="77777777" w:rsidR="007E1F66" w:rsidRDefault="007E1F66" w:rsidP="001369D7">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771D8AC" w14:textId="77777777" w:rsidR="00573125" w:rsidRPr="007E1F66" w:rsidRDefault="00573125" w:rsidP="001369D7">
      <w:pPr>
        <w:pStyle w:val="eTRMHeading3"/>
      </w:pPr>
      <w:bookmarkStart w:id="0" w:name="_Toc486490839"/>
      <w:bookmarkStart w:id="1" w:name="_Toc486580912"/>
      <w:bookmarkStart w:id="2" w:name="_Toc528680016"/>
      <w:r w:rsidRPr="007E1F66">
        <w:lastRenderedPageBreak/>
        <w:t>Measure Name</w:t>
      </w:r>
      <w:bookmarkEnd w:id="0"/>
      <w:bookmarkEnd w:id="1"/>
      <w:bookmarkEnd w:id="2"/>
    </w:p>
    <w:p w14:paraId="25920645" w14:textId="416DBA86" w:rsidR="00573125" w:rsidRDefault="007F236A" w:rsidP="00A07827">
      <w:pPr>
        <w:spacing w:before="20" w:after="20" w:line="280" w:lineRule="exact"/>
      </w:pPr>
      <w:r>
        <w:t>Door-type</w:t>
      </w:r>
      <w:r w:rsidR="00573125">
        <w:t xml:space="preserve"> Dishwasher</w:t>
      </w:r>
      <w:r w:rsidR="004B6FD4">
        <w:t xml:space="preserve">, </w:t>
      </w:r>
      <w:r>
        <w:t>Commercial</w:t>
      </w:r>
    </w:p>
    <w:p w14:paraId="62A7DFB6" w14:textId="77777777" w:rsidR="00573125" w:rsidRPr="00401C43" w:rsidRDefault="00573125" w:rsidP="00A07827">
      <w:pPr>
        <w:spacing w:before="20" w:after="20" w:line="280" w:lineRule="exact"/>
      </w:pPr>
    </w:p>
    <w:p w14:paraId="6E0738FD" w14:textId="77777777" w:rsidR="00573125" w:rsidRPr="00074E3E" w:rsidRDefault="00573125" w:rsidP="001369D7">
      <w:pPr>
        <w:pStyle w:val="eTRMHeading3"/>
      </w:pPr>
      <w:bookmarkStart w:id="3" w:name="_Toc486490840"/>
      <w:bookmarkStart w:id="4" w:name="_Toc486580913"/>
      <w:bookmarkStart w:id="5" w:name="_Toc528680017"/>
      <w:r>
        <w:t>Statewide Measure ID</w:t>
      </w:r>
      <w:bookmarkEnd w:id="3"/>
      <w:bookmarkEnd w:id="4"/>
      <w:bookmarkEnd w:id="5"/>
    </w:p>
    <w:p w14:paraId="1E97BC0C" w14:textId="5CCD63A7" w:rsidR="00E51FD3" w:rsidRPr="00E51FD3" w:rsidRDefault="00E51FD3" w:rsidP="00E51FD3">
      <w:pPr>
        <w:rPr>
          <w:rFonts w:eastAsia="Times New Roman"/>
        </w:rPr>
      </w:pPr>
      <w:r w:rsidRPr="00E51FD3">
        <w:rPr>
          <w:rFonts w:eastAsia="Times New Roman"/>
        </w:rPr>
        <w:t>SWFS002</w:t>
      </w:r>
      <w:r w:rsidR="00342696">
        <w:rPr>
          <w:rFonts w:eastAsia="Times New Roman"/>
        </w:rPr>
        <w:t>-</w:t>
      </w:r>
      <w:r w:rsidR="00D2145E">
        <w:rPr>
          <w:rFonts w:eastAsia="Times New Roman"/>
        </w:rPr>
        <w:t>02</w:t>
      </w:r>
    </w:p>
    <w:p w14:paraId="31D32C97" w14:textId="77777777" w:rsidR="002B5255" w:rsidRPr="001369D7" w:rsidRDefault="002B5255" w:rsidP="002B5255"/>
    <w:p w14:paraId="666F1320" w14:textId="77777777" w:rsidR="00E70CBD" w:rsidRPr="00154391" w:rsidRDefault="00E70CBD" w:rsidP="001369D7">
      <w:pPr>
        <w:pStyle w:val="eTRMHeading3"/>
      </w:pPr>
      <w:bookmarkStart w:id="6" w:name="_Toc486490847"/>
      <w:bookmarkStart w:id="7" w:name="_Toc486580918"/>
      <w:bookmarkStart w:id="8" w:name="_Toc528680018"/>
      <w:r w:rsidRPr="00154391">
        <w:t>Technology Summary</w:t>
      </w:r>
      <w:bookmarkEnd w:id="6"/>
      <w:bookmarkEnd w:id="7"/>
      <w:bookmarkEnd w:id="8"/>
      <w:r w:rsidRPr="00154391">
        <w:t xml:space="preserve"> </w:t>
      </w:r>
    </w:p>
    <w:p w14:paraId="4E3D972E" w14:textId="580F8AD5" w:rsidR="00CD25B5" w:rsidRDefault="00CD25B5" w:rsidP="00CD25B5">
      <w:r w:rsidRPr="002C0C7D">
        <w:t xml:space="preserve">Commercial dishwashers are used in </w:t>
      </w:r>
      <w:r w:rsidR="000625D6">
        <w:t>many</w:t>
      </w:r>
      <w:r w:rsidRPr="002C0C7D">
        <w:t xml:space="preserve"> </w:t>
      </w:r>
      <w:r w:rsidR="000625D6">
        <w:t xml:space="preserve">commercial </w:t>
      </w:r>
      <w:r w:rsidRPr="002C0C7D">
        <w:t xml:space="preserve">establishments </w:t>
      </w:r>
      <w:r w:rsidR="00645C61">
        <w:t>to clean and sanitize</w:t>
      </w:r>
      <w:r w:rsidRPr="002C0C7D">
        <w:t xml:space="preserve"> non-disposable dishes, glassware, and utensils, such as restaurants, bars, schools, hospitals, nursing homes, churches, and institutional cafeterias. The commercial dishwasher </w:t>
      </w:r>
      <w:r>
        <w:t>cleans</w:t>
      </w:r>
      <w:r w:rsidRPr="002C0C7D">
        <w:t xml:space="preserve"> and sanitize</w:t>
      </w:r>
      <w:r>
        <w:t>s</w:t>
      </w:r>
      <w:r w:rsidRPr="002C0C7D">
        <w:t xml:space="preserve"> a </w:t>
      </w:r>
      <w:r w:rsidR="0092240C">
        <w:t>large</w:t>
      </w:r>
      <w:r w:rsidRPr="002C0C7D">
        <w:t xml:space="preserve"> quantity of kitchen wares in a short time by utilizing hot water, soap, rinse chemicals, and significant amounts of energy. Size requirements for commercial dishwashing machines </w:t>
      </w:r>
      <w:r w:rsidR="0092240C">
        <w:t>are</w:t>
      </w:r>
      <w:r w:rsidRPr="002C0C7D">
        <w:t xml:space="preserve"> calculated by estimating the number of individuals served by the food service establishment. This information is a key determinant of the type of dishwasher that is most suited for a</w:t>
      </w:r>
      <w:r w:rsidR="00A1085A">
        <w:t xml:space="preserve"> specific</w:t>
      </w:r>
      <w:r w:rsidRPr="002C0C7D">
        <w:t xml:space="preserve"> facility.</w:t>
      </w:r>
    </w:p>
    <w:p w14:paraId="47482F50" w14:textId="73D62DE8" w:rsidR="00C60DC7" w:rsidRDefault="00CD25B5" w:rsidP="00A03D6C">
      <w:pPr>
        <w:rPr>
          <w:rFonts w:cstheme="minorHAnsi"/>
          <w:szCs w:val="22"/>
        </w:rPr>
      </w:pPr>
      <w:r w:rsidRPr="00F84224">
        <w:t xml:space="preserve">This </w:t>
      </w:r>
      <w:r>
        <w:t>measure</w:t>
      </w:r>
      <w:r w:rsidRPr="00F84224">
        <w:t xml:space="preserve"> includes both low</w:t>
      </w:r>
      <w:r w:rsidR="00587EA8">
        <w:t>-</w:t>
      </w:r>
      <w:r w:rsidRPr="00F84224">
        <w:t>temperature and high</w:t>
      </w:r>
      <w:r w:rsidR="00587EA8">
        <w:t>-</w:t>
      </w:r>
      <w:r w:rsidRPr="00F84224">
        <w:t xml:space="preserve">temperature </w:t>
      </w:r>
      <w:r w:rsidR="005F3DB8">
        <w:t>Door-Type Dishwasher</w:t>
      </w:r>
      <w:r>
        <w:t xml:space="preserve"> </w:t>
      </w:r>
      <w:r w:rsidRPr="00F84224">
        <w:t>units.</w:t>
      </w:r>
      <w:r>
        <w:rPr>
          <w:rFonts w:cstheme="minorHAnsi"/>
          <w:szCs w:val="22"/>
        </w:rPr>
        <w:t xml:space="preserve"> </w:t>
      </w:r>
      <w:r w:rsidR="004B6FD4">
        <w:rPr>
          <w:rFonts w:cstheme="minorHAnsi"/>
          <w:szCs w:val="22"/>
        </w:rPr>
        <w:t>A l</w:t>
      </w:r>
      <w:r w:rsidR="00C60DC7">
        <w:t xml:space="preserve">ow-temperature commercial dishwasher </w:t>
      </w:r>
      <w:r w:rsidR="004B6FD4">
        <w:t>is intended to use</w:t>
      </w:r>
      <w:r w:rsidR="00C60DC7">
        <w:t xml:space="preserve"> water that is solely heated by an external gas or electric water heater </w:t>
      </w:r>
      <w:r w:rsidR="00C60DC7">
        <w:rPr>
          <w:rFonts w:cstheme="minorHAnsi"/>
          <w:szCs w:val="22"/>
        </w:rPr>
        <w:t>and must</w:t>
      </w:r>
      <w:r w:rsidRPr="002C01E3">
        <w:rPr>
          <w:rFonts w:cstheme="minorHAnsi"/>
          <w:szCs w:val="22"/>
        </w:rPr>
        <w:t xml:space="preserve"> meet the National Sanitation Foundation (NSF) mandated sanitation criteria via a final rinse chemical sanitizing solution that follows the wash cycle. </w:t>
      </w:r>
      <w:r w:rsidR="004B6FD4">
        <w:rPr>
          <w:rFonts w:cstheme="minorHAnsi"/>
          <w:szCs w:val="22"/>
        </w:rPr>
        <w:t>A h</w:t>
      </w:r>
      <w:r w:rsidR="00C60DC7">
        <w:rPr>
          <w:rFonts w:cstheme="minorHAnsi"/>
          <w:szCs w:val="22"/>
        </w:rPr>
        <w:t xml:space="preserve">igh-temperature </w:t>
      </w:r>
      <w:r w:rsidR="004B6FD4">
        <w:rPr>
          <w:rFonts w:cstheme="minorHAnsi"/>
          <w:szCs w:val="22"/>
        </w:rPr>
        <w:t>dishwasher</w:t>
      </w:r>
      <w:r w:rsidR="00C60DC7">
        <w:rPr>
          <w:rFonts w:cstheme="minorHAnsi"/>
          <w:szCs w:val="22"/>
        </w:rPr>
        <w:t xml:space="preserve"> reuse</w:t>
      </w:r>
      <w:r w:rsidR="004B6FD4">
        <w:rPr>
          <w:rFonts w:cstheme="minorHAnsi"/>
          <w:szCs w:val="22"/>
        </w:rPr>
        <w:t>s</w:t>
      </w:r>
      <w:r w:rsidR="00C60DC7">
        <w:rPr>
          <w:rFonts w:cstheme="minorHAnsi"/>
          <w:szCs w:val="22"/>
        </w:rPr>
        <w:t xml:space="preserve"> wash water from the dishwashing water tank for the wash cycle and then </w:t>
      </w:r>
      <w:r w:rsidR="00E5743C" w:rsidRPr="002C01E3">
        <w:rPr>
          <w:rFonts w:cstheme="minorHAnsi"/>
          <w:szCs w:val="22"/>
        </w:rPr>
        <w:t>sanitiz</w:t>
      </w:r>
      <w:r w:rsidR="00E5743C">
        <w:rPr>
          <w:rFonts w:cstheme="minorHAnsi"/>
          <w:szCs w:val="22"/>
        </w:rPr>
        <w:t>e</w:t>
      </w:r>
      <w:r w:rsidR="00E5743C" w:rsidRPr="002C01E3">
        <w:rPr>
          <w:rFonts w:cstheme="minorHAnsi"/>
          <w:szCs w:val="22"/>
        </w:rPr>
        <w:t xml:space="preserve"> via </w:t>
      </w:r>
      <w:r w:rsidR="00E5743C">
        <w:rPr>
          <w:rFonts w:cstheme="minorHAnsi"/>
          <w:szCs w:val="22"/>
        </w:rPr>
        <w:t>a gas or electric booster heater</w:t>
      </w:r>
      <w:r w:rsidR="00E5743C" w:rsidRPr="002C01E3">
        <w:rPr>
          <w:rFonts w:cstheme="minorHAnsi"/>
          <w:szCs w:val="22"/>
        </w:rPr>
        <w:t xml:space="preserve"> </w:t>
      </w:r>
      <w:r w:rsidR="00E5743C">
        <w:rPr>
          <w:rFonts w:cstheme="minorHAnsi"/>
          <w:szCs w:val="22"/>
        </w:rPr>
        <w:t xml:space="preserve">which </w:t>
      </w:r>
      <w:r w:rsidR="00A03D6C">
        <w:rPr>
          <w:rFonts w:cstheme="minorHAnsi"/>
          <w:szCs w:val="22"/>
        </w:rPr>
        <w:t>raises clean water for the rinse cycle to</w:t>
      </w:r>
      <w:r w:rsidR="00E5743C" w:rsidRPr="002C01E3">
        <w:rPr>
          <w:rFonts w:cstheme="minorHAnsi"/>
          <w:szCs w:val="22"/>
        </w:rPr>
        <w:t xml:space="preserve"> 180</w:t>
      </w:r>
      <w:r w:rsidR="00E5743C">
        <w:rPr>
          <w:rFonts w:cstheme="minorHAnsi"/>
          <w:szCs w:val="22"/>
        </w:rPr>
        <w:t xml:space="preserve"> </w:t>
      </w:r>
      <w:r w:rsidR="00E5743C" w:rsidRPr="002C01E3">
        <w:rPr>
          <w:rFonts w:cstheme="minorHAnsi"/>
          <w:szCs w:val="22"/>
        </w:rPr>
        <w:t>°F water for the final rinse</w:t>
      </w:r>
      <w:r w:rsidR="00A03D6C">
        <w:rPr>
          <w:rFonts w:cstheme="minorHAnsi"/>
          <w:szCs w:val="22"/>
        </w:rPr>
        <w:t xml:space="preserve">. </w:t>
      </w:r>
      <w:r w:rsidR="00C60DC7">
        <w:rPr>
          <w:rFonts w:cstheme="minorHAnsi"/>
          <w:szCs w:val="22"/>
        </w:rPr>
        <w:t>Rinse water is then collected and used to overflow the wash water tank providing heat recovery and a fresh water stream.</w:t>
      </w:r>
    </w:p>
    <w:p w14:paraId="6DF9D7AB" w14:textId="6D0BF7FF" w:rsidR="00CD25B5" w:rsidRDefault="004B6FD4" w:rsidP="00CD25B5">
      <w:pPr>
        <w:rPr>
          <w:rFonts w:cstheme="minorHAnsi"/>
          <w:szCs w:val="22"/>
        </w:rPr>
      </w:pPr>
      <w:r>
        <w:rPr>
          <w:rFonts w:cstheme="minorHAnsi"/>
          <w:szCs w:val="22"/>
        </w:rPr>
        <w:t>The d</w:t>
      </w:r>
      <w:r w:rsidR="00CD25B5" w:rsidRPr="002C01E3">
        <w:rPr>
          <w:rFonts w:cstheme="minorHAnsi"/>
          <w:szCs w:val="22"/>
        </w:rPr>
        <w:t xml:space="preserve">ifferences </w:t>
      </w:r>
      <w:r w:rsidR="00CD25B5">
        <w:rPr>
          <w:rFonts w:cstheme="minorHAnsi"/>
          <w:szCs w:val="22"/>
        </w:rPr>
        <w:t xml:space="preserve">between </w:t>
      </w:r>
      <w:r>
        <w:rPr>
          <w:rFonts w:cstheme="minorHAnsi"/>
          <w:szCs w:val="22"/>
        </w:rPr>
        <w:t xml:space="preserve">a </w:t>
      </w:r>
      <w:r w:rsidR="00CD25B5">
        <w:rPr>
          <w:rFonts w:cstheme="minorHAnsi"/>
          <w:szCs w:val="22"/>
        </w:rPr>
        <w:t>low- and high-temperature</w:t>
      </w:r>
      <w:r w:rsidR="00CD25B5" w:rsidRPr="002C01E3">
        <w:rPr>
          <w:rFonts w:cstheme="minorHAnsi"/>
          <w:szCs w:val="22"/>
        </w:rPr>
        <w:t xml:space="preserve"> </w:t>
      </w:r>
      <w:r w:rsidR="00CD25B5">
        <w:rPr>
          <w:rFonts w:cstheme="minorHAnsi"/>
          <w:szCs w:val="22"/>
        </w:rPr>
        <w:t>sanitization</w:t>
      </w:r>
      <w:r w:rsidR="00CD25B5" w:rsidRPr="002C01E3">
        <w:rPr>
          <w:rFonts w:cstheme="minorHAnsi"/>
          <w:szCs w:val="22"/>
        </w:rPr>
        <w:t xml:space="preserve"> method affect</w:t>
      </w:r>
      <w:r>
        <w:rPr>
          <w:rFonts w:cstheme="minorHAnsi"/>
          <w:szCs w:val="22"/>
        </w:rPr>
        <w:t>s</w:t>
      </w:r>
      <w:r w:rsidR="00CD25B5" w:rsidRPr="002C01E3">
        <w:rPr>
          <w:rFonts w:cstheme="minorHAnsi"/>
          <w:szCs w:val="22"/>
        </w:rPr>
        <w:t xml:space="preserve"> the </w:t>
      </w:r>
      <w:r w:rsidR="00CD25B5">
        <w:rPr>
          <w:rFonts w:cstheme="minorHAnsi"/>
          <w:szCs w:val="22"/>
        </w:rPr>
        <w:t xml:space="preserve">unit </w:t>
      </w:r>
      <w:r w:rsidR="00CD25B5" w:rsidRPr="002C01E3">
        <w:rPr>
          <w:rFonts w:cstheme="minorHAnsi"/>
          <w:szCs w:val="22"/>
        </w:rPr>
        <w:t>energy consumption</w:t>
      </w:r>
      <w:r>
        <w:rPr>
          <w:rFonts w:cstheme="minorHAnsi"/>
          <w:szCs w:val="22"/>
        </w:rPr>
        <w:t xml:space="preserve"> (UEC)</w:t>
      </w:r>
      <w:r w:rsidR="00CD25B5" w:rsidRPr="002C01E3">
        <w:rPr>
          <w:rFonts w:cstheme="minorHAnsi"/>
          <w:szCs w:val="22"/>
        </w:rPr>
        <w:t xml:space="preserve">. For </w:t>
      </w:r>
      <w:r>
        <w:rPr>
          <w:rFonts w:cstheme="minorHAnsi"/>
          <w:szCs w:val="22"/>
        </w:rPr>
        <w:t xml:space="preserve">a </w:t>
      </w:r>
      <w:r w:rsidR="00CD25B5" w:rsidRPr="002C01E3">
        <w:rPr>
          <w:rFonts w:cstheme="minorHAnsi"/>
          <w:szCs w:val="22"/>
        </w:rPr>
        <w:t>low</w:t>
      </w:r>
      <w:r w:rsidR="00CD25B5">
        <w:rPr>
          <w:rFonts w:cstheme="minorHAnsi"/>
          <w:szCs w:val="22"/>
        </w:rPr>
        <w:t>-</w:t>
      </w:r>
      <w:r w:rsidR="00CD25B5" w:rsidRPr="002C01E3">
        <w:rPr>
          <w:rFonts w:cstheme="minorHAnsi"/>
          <w:szCs w:val="22"/>
        </w:rPr>
        <w:t xml:space="preserve">temperature </w:t>
      </w:r>
      <w:r w:rsidR="00CD25B5">
        <w:rPr>
          <w:rFonts w:cstheme="minorHAnsi"/>
          <w:szCs w:val="22"/>
        </w:rPr>
        <w:t>unit</w:t>
      </w:r>
      <w:r w:rsidR="00CD25B5" w:rsidRPr="002C01E3">
        <w:rPr>
          <w:rFonts w:cstheme="minorHAnsi"/>
          <w:szCs w:val="22"/>
        </w:rPr>
        <w:t xml:space="preserve">, 90% of </w:t>
      </w:r>
      <w:r>
        <w:rPr>
          <w:rFonts w:cstheme="minorHAnsi"/>
          <w:szCs w:val="22"/>
        </w:rPr>
        <w:t xml:space="preserve">the </w:t>
      </w:r>
      <w:r w:rsidR="00CD25B5" w:rsidRPr="002C01E3">
        <w:rPr>
          <w:rFonts w:cstheme="minorHAnsi"/>
          <w:szCs w:val="22"/>
        </w:rPr>
        <w:t>energy used is associated with primary water heating, with the remaining 10% attributed to auxiliary c</w:t>
      </w:r>
      <w:r w:rsidR="00CD25B5">
        <w:rPr>
          <w:rFonts w:cstheme="minorHAnsi"/>
          <w:szCs w:val="22"/>
        </w:rPr>
        <w:t>omponents and standby energy.</w:t>
      </w:r>
      <w:r w:rsidR="001C00DE">
        <w:rPr>
          <w:rStyle w:val="FootnoteReference"/>
          <w:rFonts w:cstheme="minorHAnsi"/>
          <w:szCs w:val="22"/>
        </w:rPr>
        <w:footnoteReference w:id="1"/>
      </w:r>
      <w:r w:rsidR="00CD25B5">
        <w:rPr>
          <w:rFonts w:cstheme="minorHAnsi"/>
          <w:szCs w:val="22"/>
        </w:rPr>
        <w:t xml:space="preserve"> </w:t>
      </w:r>
      <w:r w:rsidR="00CD25B5" w:rsidRPr="007639F6">
        <w:rPr>
          <w:rFonts w:cstheme="minorHAnsi"/>
          <w:szCs w:val="22"/>
        </w:rPr>
        <w:t xml:space="preserve">For </w:t>
      </w:r>
      <w:r>
        <w:rPr>
          <w:rFonts w:cstheme="minorHAnsi"/>
          <w:szCs w:val="22"/>
        </w:rPr>
        <w:t xml:space="preserve">a </w:t>
      </w:r>
      <w:r w:rsidR="00CD25B5" w:rsidRPr="007639F6">
        <w:rPr>
          <w:rFonts w:cstheme="minorHAnsi"/>
          <w:szCs w:val="22"/>
        </w:rPr>
        <w:t xml:space="preserve">high-temperature </w:t>
      </w:r>
      <w:r w:rsidR="00CD25B5">
        <w:rPr>
          <w:rFonts w:cstheme="minorHAnsi"/>
          <w:szCs w:val="22"/>
        </w:rPr>
        <w:t>unit</w:t>
      </w:r>
      <w:r w:rsidR="00CD25B5" w:rsidRPr="007639F6">
        <w:rPr>
          <w:rFonts w:cstheme="minorHAnsi"/>
          <w:szCs w:val="22"/>
        </w:rPr>
        <w:t xml:space="preserve">, 64% of the total energy consumption is </w:t>
      </w:r>
      <w:r>
        <w:rPr>
          <w:rFonts w:cstheme="minorHAnsi"/>
          <w:szCs w:val="22"/>
        </w:rPr>
        <w:t xml:space="preserve">used </w:t>
      </w:r>
      <w:r w:rsidR="00CD25B5" w:rsidRPr="007639F6">
        <w:rPr>
          <w:rFonts w:cstheme="minorHAnsi"/>
          <w:szCs w:val="22"/>
        </w:rPr>
        <w:t>for primary water heating</w:t>
      </w:r>
      <w:r>
        <w:rPr>
          <w:rFonts w:cstheme="minorHAnsi"/>
          <w:szCs w:val="22"/>
        </w:rPr>
        <w:t>,</w:t>
      </w:r>
      <w:r w:rsidR="00CD25B5" w:rsidRPr="007639F6">
        <w:rPr>
          <w:rFonts w:cstheme="minorHAnsi"/>
          <w:szCs w:val="22"/>
        </w:rPr>
        <w:t xml:space="preserve"> 25% is for booster water heating, and the remaining 12% is attributed to the motor, wash tank heater, controls, and standby energy</w:t>
      </w:r>
      <w:r w:rsidR="00CD25B5" w:rsidRPr="00BE6063">
        <w:rPr>
          <w:rFonts w:cstheme="minorHAnsi"/>
          <w:szCs w:val="22"/>
        </w:rPr>
        <w:t>.</w:t>
      </w:r>
      <w:r w:rsidR="001C00DE">
        <w:rPr>
          <w:rStyle w:val="FootnoteReference"/>
          <w:rFonts w:cstheme="minorHAnsi"/>
          <w:szCs w:val="22"/>
        </w:rPr>
        <w:footnoteReference w:id="2"/>
      </w:r>
      <w:r w:rsidR="00CD25B5" w:rsidRPr="00BE6063">
        <w:rPr>
          <w:rFonts w:cstheme="minorHAnsi"/>
          <w:szCs w:val="22"/>
        </w:rPr>
        <w:t xml:space="preserve"> It is assumed</w:t>
      </w:r>
      <w:r w:rsidR="00CD25B5" w:rsidRPr="002C01E3">
        <w:rPr>
          <w:rFonts w:cstheme="minorHAnsi"/>
          <w:szCs w:val="22"/>
        </w:rPr>
        <w:t xml:space="preserve"> that the motors and controls components do not vary significantly between standard and hig</w:t>
      </w:r>
      <w:r w:rsidR="00CD25B5">
        <w:rPr>
          <w:rFonts w:cstheme="minorHAnsi"/>
          <w:szCs w:val="22"/>
        </w:rPr>
        <w:t xml:space="preserve">h-efficiency </w:t>
      </w:r>
      <w:r w:rsidR="00BE6063">
        <w:rPr>
          <w:rFonts w:cstheme="minorHAnsi"/>
          <w:szCs w:val="22"/>
        </w:rPr>
        <w:t>models</w:t>
      </w:r>
      <w:r w:rsidR="00CD25B5">
        <w:rPr>
          <w:rFonts w:cstheme="minorHAnsi"/>
          <w:szCs w:val="22"/>
        </w:rPr>
        <w:t xml:space="preserve">. </w:t>
      </w:r>
    </w:p>
    <w:p w14:paraId="24D3BEEC" w14:textId="1D2F01BD" w:rsidR="00CD25B5" w:rsidRDefault="00CD25B5" w:rsidP="00CD25B5">
      <w:pPr>
        <w:rPr>
          <w:rFonts w:cstheme="minorHAnsi"/>
          <w:b/>
          <w:szCs w:val="22"/>
        </w:rPr>
      </w:pPr>
      <w:r>
        <w:rPr>
          <w:rFonts w:cstheme="minorHAnsi"/>
          <w:szCs w:val="22"/>
        </w:rPr>
        <w:t>W</w:t>
      </w:r>
      <w:r w:rsidRPr="002C01E3">
        <w:rPr>
          <w:rFonts w:cstheme="minorHAnsi"/>
          <w:szCs w:val="22"/>
        </w:rPr>
        <w:t>ater consumption</w:t>
      </w:r>
      <w:r>
        <w:rPr>
          <w:rFonts w:cstheme="minorHAnsi"/>
          <w:szCs w:val="22"/>
        </w:rPr>
        <w:t xml:space="preserve">, and </w:t>
      </w:r>
      <w:r w:rsidRPr="002C01E3">
        <w:rPr>
          <w:rFonts w:cstheme="minorHAnsi"/>
          <w:szCs w:val="22"/>
        </w:rPr>
        <w:t>therefore water heating requirements</w:t>
      </w:r>
      <w:r>
        <w:rPr>
          <w:rFonts w:cstheme="minorHAnsi"/>
          <w:szCs w:val="22"/>
        </w:rPr>
        <w:t>, varies</w:t>
      </w:r>
      <w:r w:rsidRPr="002C01E3">
        <w:rPr>
          <w:rFonts w:cstheme="minorHAnsi"/>
          <w:szCs w:val="22"/>
        </w:rPr>
        <w:t xml:space="preserve"> significantly between </w:t>
      </w:r>
      <w:r w:rsidR="004B6FD4">
        <w:rPr>
          <w:rFonts w:cstheme="minorHAnsi"/>
          <w:szCs w:val="22"/>
        </w:rPr>
        <w:t xml:space="preserve">a </w:t>
      </w:r>
      <w:r w:rsidRPr="002C01E3">
        <w:rPr>
          <w:rFonts w:cstheme="minorHAnsi"/>
          <w:szCs w:val="22"/>
        </w:rPr>
        <w:t xml:space="preserve">standard and high-efficiency unit and </w:t>
      </w:r>
      <w:r>
        <w:rPr>
          <w:rFonts w:cstheme="minorHAnsi"/>
          <w:szCs w:val="22"/>
        </w:rPr>
        <w:t>is the primary contributor of</w:t>
      </w:r>
      <w:r w:rsidRPr="003245C4">
        <w:rPr>
          <w:rFonts w:cstheme="minorHAnsi"/>
          <w:szCs w:val="22"/>
        </w:rPr>
        <w:t xml:space="preserve"> the </w:t>
      </w:r>
      <w:r w:rsidR="004B6FD4">
        <w:rPr>
          <w:rFonts w:cstheme="minorHAnsi"/>
          <w:szCs w:val="22"/>
        </w:rPr>
        <w:t>unit</w:t>
      </w:r>
      <w:r w:rsidRPr="003245C4">
        <w:rPr>
          <w:rFonts w:cstheme="minorHAnsi"/>
          <w:szCs w:val="22"/>
        </w:rPr>
        <w:t xml:space="preserve"> energy savings</w:t>
      </w:r>
      <w:r w:rsidR="004B6FD4">
        <w:rPr>
          <w:rFonts w:cstheme="minorHAnsi"/>
          <w:szCs w:val="22"/>
        </w:rPr>
        <w:t xml:space="preserve"> (UES)</w:t>
      </w:r>
      <w:r w:rsidRPr="003245C4">
        <w:rPr>
          <w:rFonts w:cstheme="minorHAnsi"/>
          <w:szCs w:val="22"/>
        </w:rPr>
        <w:t>.</w:t>
      </w:r>
      <w:r>
        <w:rPr>
          <w:rFonts w:cstheme="minorHAnsi"/>
          <w:szCs w:val="22"/>
        </w:rPr>
        <w:t xml:space="preserve"> </w:t>
      </w:r>
      <w:r w:rsidR="004B6FD4">
        <w:rPr>
          <w:rFonts w:cstheme="minorHAnsi"/>
          <w:szCs w:val="22"/>
        </w:rPr>
        <w:t>A h</w:t>
      </w:r>
      <w:r w:rsidRPr="002C01E3">
        <w:rPr>
          <w:rFonts w:cstheme="minorHAnsi"/>
          <w:szCs w:val="22"/>
        </w:rPr>
        <w:t>igh</w:t>
      </w:r>
      <w:r>
        <w:rPr>
          <w:rFonts w:cstheme="minorHAnsi"/>
          <w:szCs w:val="22"/>
        </w:rPr>
        <w:t>-</w:t>
      </w:r>
      <w:r w:rsidRPr="002C01E3">
        <w:rPr>
          <w:rFonts w:cstheme="minorHAnsi"/>
          <w:szCs w:val="22"/>
        </w:rPr>
        <w:t>efficiency commercial dishwasher reduce</w:t>
      </w:r>
      <w:r w:rsidR="004B6FD4">
        <w:rPr>
          <w:rFonts w:cstheme="minorHAnsi"/>
          <w:szCs w:val="22"/>
        </w:rPr>
        <w:t>s</w:t>
      </w:r>
      <w:r w:rsidRPr="002C01E3">
        <w:rPr>
          <w:rFonts w:cstheme="minorHAnsi"/>
          <w:szCs w:val="22"/>
        </w:rPr>
        <w:t xml:space="preserve"> water heating requirements while maintaining cleaning performance by reducing heat losses, improving mechanical soil removal, and/or inc</w:t>
      </w:r>
      <w:r>
        <w:rPr>
          <w:rFonts w:cstheme="minorHAnsi"/>
          <w:szCs w:val="22"/>
        </w:rPr>
        <w:t>reasing component efficiencies.</w:t>
      </w:r>
      <w:r w:rsidRPr="002C01E3">
        <w:rPr>
          <w:rFonts w:cstheme="minorHAnsi"/>
          <w:szCs w:val="22"/>
        </w:rPr>
        <w:t xml:space="preserve"> By using strategies such as waste air heat recovery, drain heat recovery, rinse water re-use, double-walled insulated construction, high</w:t>
      </w:r>
      <w:r>
        <w:rPr>
          <w:rFonts w:cstheme="minorHAnsi"/>
          <w:szCs w:val="22"/>
        </w:rPr>
        <w:t>-</w:t>
      </w:r>
      <w:r w:rsidRPr="002C01E3">
        <w:rPr>
          <w:rFonts w:cstheme="minorHAnsi"/>
          <w:szCs w:val="22"/>
        </w:rPr>
        <w:t xml:space="preserve">efficiency anti-clogging nozzles, continuous filtering, and efficient boost heaters, water consumption can be reduced from as high as </w:t>
      </w:r>
      <w:r w:rsidR="003B341F">
        <w:rPr>
          <w:rFonts w:cstheme="minorHAnsi"/>
          <w:szCs w:val="22"/>
        </w:rPr>
        <w:t>four</w:t>
      </w:r>
      <w:r w:rsidRPr="002C01E3">
        <w:rPr>
          <w:rFonts w:cstheme="minorHAnsi"/>
          <w:szCs w:val="22"/>
        </w:rPr>
        <w:t xml:space="preserve"> </w:t>
      </w:r>
      <w:r>
        <w:rPr>
          <w:rFonts w:cstheme="minorHAnsi"/>
          <w:szCs w:val="22"/>
        </w:rPr>
        <w:t>to</w:t>
      </w:r>
      <w:r w:rsidRPr="002C01E3">
        <w:rPr>
          <w:rFonts w:cstheme="minorHAnsi"/>
          <w:szCs w:val="22"/>
        </w:rPr>
        <w:t xml:space="preserve"> </w:t>
      </w:r>
      <w:r w:rsidR="003B341F">
        <w:rPr>
          <w:rFonts w:cstheme="minorHAnsi"/>
          <w:szCs w:val="22"/>
        </w:rPr>
        <w:t>five</w:t>
      </w:r>
      <w:r>
        <w:rPr>
          <w:rFonts w:cstheme="minorHAnsi"/>
          <w:szCs w:val="22"/>
        </w:rPr>
        <w:t xml:space="preserve"> gallons per </w:t>
      </w:r>
      <w:r w:rsidRPr="002C01E3">
        <w:rPr>
          <w:rFonts w:cstheme="minorHAnsi"/>
          <w:szCs w:val="22"/>
        </w:rPr>
        <w:t>rack</w:t>
      </w:r>
      <w:r>
        <w:rPr>
          <w:rFonts w:cstheme="minorHAnsi"/>
          <w:szCs w:val="22"/>
        </w:rPr>
        <w:t xml:space="preserve"> (GPR)</w:t>
      </w:r>
      <w:r w:rsidRPr="002C01E3">
        <w:rPr>
          <w:rFonts w:cstheme="minorHAnsi"/>
          <w:szCs w:val="22"/>
        </w:rPr>
        <w:t xml:space="preserve"> to less than </w:t>
      </w:r>
      <w:r w:rsidR="003B341F">
        <w:rPr>
          <w:rFonts w:cstheme="minorHAnsi"/>
          <w:szCs w:val="22"/>
        </w:rPr>
        <w:t>one-half</w:t>
      </w:r>
      <w:r w:rsidRPr="002C01E3">
        <w:rPr>
          <w:rFonts w:cstheme="minorHAnsi"/>
          <w:szCs w:val="22"/>
        </w:rPr>
        <w:t xml:space="preserve"> </w:t>
      </w:r>
      <w:r>
        <w:rPr>
          <w:rFonts w:cstheme="minorHAnsi"/>
          <w:szCs w:val="22"/>
        </w:rPr>
        <w:t>GPR</w:t>
      </w:r>
      <w:r w:rsidRPr="002C01E3">
        <w:rPr>
          <w:rFonts w:cstheme="minorHAnsi"/>
          <w:szCs w:val="22"/>
        </w:rPr>
        <w:t>, depending on the type of dishwasher</w:t>
      </w:r>
      <w:r>
        <w:rPr>
          <w:rFonts w:cstheme="minorHAnsi"/>
          <w:szCs w:val="22"/>
        </w:rPr>
        <w:t>.</w:t>
      </w:r>
      <w:r w:rsidRPr="002C01E3">
        <w:rPr>
          <w:rFonts w:cstheme="minorHAnsi"/>
          <w:b/>
          <w:szCs w:val="22"/>
        </w:rPr>
        <w:t xml:space="preserve"> </w:t>
      </w:r>
    </w:p>
    <w:p w14:paraId="2082A2AB" w14:textId="1067182E" w:rsidR="008C7F82" w:rsidRDefault="004B6FD4" w:rsidP="003F5052">
      <w:r>
        <w:lastRenderedPageBreak/>
        <w:t xml:space="preserve">An </w:t>
      </w:r>
      <w:r w:rsidR="008C7F82">
        <w:t xml:space="preserve">ENERGY STAR®-qualified commercial dishwasher </w:t>
      </w:r>
      <w:r>
        <w:t>is</w:t>
      </w:r>
      <w:r w:rsidR="008C7F82">
        <w:t xml:space="preserve"> on average 40% more energy efficient and 40% </w:t>
      </w:r>
      <w:r w:rsidR="008C7F82" w:rsidRPr="00CC4C58">
        <w:t xml:space="preserve">more water efficient than </w:t>
      </w:r>
      <w:r>
        <w:t xml:space="preserve">a </w:t>
      </w:r>
      <w:r w:rsidR="008C7F82" w:rsidRPr="00CC4C58">
        <w:t>standard model.</w:t>
      </w:r>
      <w:r w:rsidR="008E2624">
        <w:rPr>
          <w:rStyle w:val="FootnoteReference"/>
        </w:rPr>
        <w:footnoteReference w:id="3"/>
      </w:r>
      <w:r w:rsidR="008E2624">
        <w:t xml:space="preserve"> </w:t>
      </w:r>
      <w:r w:rsidR="006C6498">
        <w:t>ENERGY STAR-</w:t>
      </w:r>
      <w:r w:rsidR="00CF278C" w:rsidRPr="00CC4C58">
        <w:t>q</w:t>
      </w:r>
      <w:r w:rsidR="008C7F82" w:rsidRPr="00CC4C58">
        <w:t xml:space="preserve">ualified models </w:t>
      </w:r>
      <w:r w:rsidR="00CC4C58" w:rsidRPr="00CC4C58">
        <w:t xml:space="preserve">include both low- and high-temperature models and </w:t>
      </w:r>
      <w:r w:rsidR="008C7F82" w:rsidRPr="00CC4C58">
        <w:t>must meet maximum water consumption requirements and use less energy</w:t>
      </w:r>
      <w:r w:rsidR="008C7F82" w:rsidRPr="000C63B7">
        <w:t xml:space="preserve"> while idling between wash cycles.</w:t>
      </w:r>
    </w:p>
    <w:p w14:paraId="07BB3D3F" w14:textId="77777777" w:rsidR="008E2624" w:rsidRPr="00AB6C99" w:rsidRDefault="008E2624" w:rsidP="00AB6C99"/>
    <w:p w14:paraId="4EA72FD8" w14:textId="77777777" w:rsidR="007D230B" w:rsidRPr="004B06E3" w:rsidRDefault="007D230B" w:rsidP="001369D7">
      <w:pPr>
        <w:pStyle w:val="eTRMHeading3"/>
      </w:pPr>
      <w:bookmarkStart w:id="9" w:name="_Toc486490848"/>
      <w:bookmarkStart w:id="10" w:name="_Toc486580919"/>
      <w:bookmarkStart w:id="11" w:name="_Toc528680019"/>
      <w:r w:rsidRPr="004B06E3">
        <w:t>Measure Case Description</w:t>
      </w:r>
      <w:bookmarkEnd w:id="9"/>
      <w:bookmarkEnd w:id="10"/>
      <w:bookmarkEnd w:id="11"/>
    </w:p>
    <w:p w14:paraId="758E2ED3" w14:textId="233C9B04" w:rsidR="00C535F4" w:rsidRDefault="00C535F4" w:rsidP="003B08E9">
      <w:r>
        <w:t xml:space="preserve">The measure case specification is based upon the ENERGY STAR® </w:t>
      </w:r>
      <w:r w:rsidR="008336CC">
        <w:t xml:space="preserve">Commercial Dishwasher Version 3.0 </w:t>
      </w:r>
      <w:r>
        <w:t>specification for</w:t>
      </w:r>
      <w:r w:rsidR="005E1BBE">
        <w:t xml:space="preserve"> high- and low- temperature</w:t>
      </w:r>
      <w:r>
        <w:t xml:space="preserve"> door-type commercial dishwashers</w:t>
      </w:r>
      <w:r w:rsidR="008F51C8">
        <w:t xml:space="preserve">. Tier 2 is </w:t>
      </w:r>
      <w:r w:rsidR="004B6FD4">
        <w:t>b</w:t>
      </w:r>
      <w:r w:rsidR="001C00DE" w:rsidRPr="00A246F9">
        <w:t xml:space="preserve">ased on </w:t>
      </w:r>
      <w:r w:rsidR="008F51C8">
        <w:t xml:space="preserve">water usage </w:t>
      </w:r>
      <w:r w:rsidR="001C00DE" w:rsidRPr="00A246F9">
        <w:t>15% below the ENERGY STAR Commercial Dishwashers</w:t>
      </w:r>
      <w:r w:rsidR="001C00DE">
        <w:t xml:space="preserve">, Version </w:t>
      </w:r>
      <w:r w:rsidR="008F51C8">
        <w:t>3</w:t>
      </w:r>
      <w:r w:rsidR="001C00DE">
        <w:t>.0.</w:t>
      </w:r>
    </w:p>
    <w:p w14:paraId="1F1D0DC0" w14:textId="6DBAD879" w:rsidR="00CD25B5" w:rsidRPr="00540636" w:rsidRDefault="00CD25B5" w:rsidP="00694410">
      <w:pPr>
        <w:pStyle w:val="Caption"/>
      </w:pPr>
      <w:r w:rsidRPr="00540636">
        <w:t>Measure Case Specification</w:t>
      </w:r>
      <w:r w:rsidR="00F55960">
        <w:t xml:space="preserve"> </w:t>
      </w:r>
    </w:p>
    <w:tbl>
      <w:tblPr>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170"/>
        <w:gridCol w:w="2250"/>
        <w:gridCol w:w="1350"/>
        <w:gridCol w:w="1170"/>
        <w:gridCol w:w="990"/>
        <w:gridCol w:w="2430"/>
      </w:tblGrid>
      <w:tr w:rsidR="005A2D1F" w:rsidRPr="00154391" w14:paraId="1F4D8F01" w14:textId="77777777" w:rsidTr="00827FB4">
        <w:tc>
          <w:tcPr>
            <w:tcW w:w="1170" w:type="dxa"/>
            <w:shd w:val="clear" w:color="auto" w:fill="F2F2F2" w:themeFill="background1" w:themeFillShade="F2"/>
            <w:vAlign w:val="bottom"/>
          </w:tcPr>
          <w:p w14:paraId="7AD21943" w14:textId="4FD2EACA" w:rsidR="005A2D1F" w:rsidRPr="00154391" w:rsidRDefault="004F7EC0" w:rsidP="004F7EC0">
            <w:pPr>
              <w:keepNext/>
              <w:keepLines/>
              <w:spacing w:before="20" w:after="20"/>
              <w:jc w:val="center"/>
              <w:rPr>
                <w:b/>
                <w:sz w:val="20"/>
                <w:szCs w:val="20"/>
              </w:rPr>
            </w:pPr>
            <w:r w:rsidRPr="00635E4A">
              <w:rPr>
                <w:b/>
                <w:sz w:val="20"/>
                <w:szCs w:val="20"/>
              </w:rPr>
              <w:t>Statewide Measure Offering ID</w:t>
            </w:r>
          </w:p>
        </w:tc>
        <w:tc>
          <w:tcPr>
            <w:tcW w:w="2250" w:type="dxa"/>
            <w:shd w:val="clear" w:color="auto" w:fill="F2F2F2" w:themeFill="background1" w:themeFillShade="F2"/>
            <w:vAlign w:val="bottom"/>
          </w:tcPr>
          <w:p w14:paraId="01A36C2D" w14:textId="7F699022" w:rsidR="005A2D1F" w:rsidRDefault="005A2D1F" w:rsidP="005A2D1F">
            <w:pPr>
              <w:keepNext/>
              <w:keepLines/>
              <w:spacing w:before="20" w:after="20"/>
              <w:jc w:val="center"/>
              <w:rPr>
                <w:b/>
                <w:sz w:val="20"/>
                <w:szCs w:val="20"/>
              </w:rPr>
            </w:pPr>
            <w:r w:rsidRPr="00540636">
              <w:rPr>
                <w:b/>
                <w:sz w:val="20"/>
                <w:szCs w:val="20"/>
              </w:rPr>
              <w:t>Sanitization</w:t>
            </w:r>
            <w:r>
              <w:rPr>
                <w:b/>
                <w:sz w:val="20"/>
                <w:szCs w:val="20"/>
              </w:rPr>
              <w:t xml:space="preserve"> </w:t>
            </w:r>
            <w:r w:rsidRPr="00540636">
              <w:rPr>
                <w:b/>
                <w:sz w:val="20"/>
                <w:szCs w:val="20"/>
              </w:rPr>
              <w:t>Temperature</w:t>
            </w:r>
          </w:p>
        </w:tc>
        <w:tc>
          <w:tcPr>
            <w:tcW w:w="1350" w:type="dxa"/>
            <w:shd w:val="clear" w:color="auto" w:fill="F2F2F2" w:themeFill="background1" w:themeFillShade="F2"/>
            <w:vAlign w:val="bottom"/>
          </w:tcPr>
          <w:p w14:paraId="69200F35" w14:textId="002AB662" w:rsidR="005A2D1F" w:rsidRPr="00154391" w:rsidRDefault="005A2D1F" w:rsidP="005A2D1F">
            <w:pPr>
              <w:keepNext/>
              <w:keepLines/>
              <w:spacing w:before="20" w:after="20"/>
              <w:jc w:val="center"/>
              <w:rPr>
                <w:b/>
                <w:sz w:val="20"/>
                <w:szCs w:val="20"/>
              </w:rPr>
            </w:pPr>
            <w:r>
              <w:rPr>
                <w:b/>
                <w:sz w:val="20"/>
                <w:szCs w:val="20"/>
              </w:rPr>
              <w:t xml:space="preserve">Max. </w:t>
            </w:r>
            <w:r w:rsidRPr="00540636">
              <w:rPr>
                <w:b/>
                <w:sz w:val="20"/>
                <w:szCs w:val="20"/>
              </w:rPr>
              <w:t>Water Consumption (</w:t>
            </w:r>
            <w:r>
              <w:rPr>
                <w:b/>
                <w:sz w:val="20"/>
                <w:szCs w:val="20"/>
              </w:rPr>
              <w:t>GPR</w:t>
            </w:r>
            <w:r w:rsidRPr="00540636">
              <w:rPr>
                <w:b/>
                <w:sz w:val="20"/>
                <w:szCs w:val="20"/>
              </w:rPr>
              <w:t>)</w:t>
            </w:r>
            <w:r>
              <w:rPr>
                <w:b/>
                <w:sz w:val="20"/>
                <w:szCs w:val="20"/>
              </w:rPr>
              <w:t xml:space="preserve"> </w:t>
            </w:r>
          </w:p>
        </w:tc>
        <w:tc>
          <w:tcPr>
            <w:tcW w:w="1170" w:type="dxa"/>
            <w:shd w:val="clear" w:color="auto" w:fill="F2F2F2" w:themeFill="background1" w:themeFillShade="F2"/>
            <w:vAlign w:val="bottom"/>
          </w:tcPr>
          <w:p w14:paraId="2E37C483" w14:textId="1741DA38" w:rsidR="005A2D1F" w:rsidRDefault="005A2D1F" w:rsidP="005A2D1F">
            <w:pPr>
              <w:keepNext/>
              <w:keepLines/>
              <w:spacing w:before="20" w:after="20"/>
              <w:jc w:val="center"/>
              <w:rPr>
                <w:b/>
                <w:sz w:val="20"/>
                <w:szCs w:val="20"/>
              </w:rPr>
            </w:pPr>
            <w:r>
              <w:rPr>
                <w:b/>
                <w:sz w:val="20"/>
                <w:szCs w:val="20"/>
              </w:rPr>
              <w:t>Max. Washing Energy</w:t>
            </w:r>
            <w:r w:rsidRPr="00540636">
              <w:rPr>
                <w:b/>
                <w:sz w:val="20"/>
                <w:szCs w:val="20"/>
              </w:rPr>
              <w:t xml:space="preserve"> (kW</w:t>
            </w:r>
            <w:r>
              <w:rPr>
                <w:b/>
                <w:sz w:val="20"/>
                <w:szCs w:val="20"/>
              </w:rPr>
              <w:t>h/rack</w:t>
            </w:r>
            <w:r w:rsidRPr="00540636">
              <w:rPr>
                <w:b/>
                <w:sz w:val="20"/>
                <w:szCs w:val="20"/>
              </w:rPr>
              <w:t>)</w:t>
            </w:r>
            <w:r>
              <w:rPr>
                <w:b/>
                <w:sz w:val="20"/>
                <w:szCs w:val="20"/>
              </w:rPr>
              <w:t xml:space="preserve"> </w:t>
            </w:r>
          </w:p>
        </w:tc>
        <w:tc>
          <w:tcPr>
            <w:tcW w:w="990" w:type="dxa"/>
            <w:shd w:val="clear" w:color="auto" w:fill="F2F2F2" w:themeFill="background1" w:themeFillShade="F2"/>
            <w:vAlign w:val="bottom"/>
          </w:tcPr>
          <w:p w14:paraId="0DF44570" w14:textId="51E08AC0" w:rsidR="005A2D1F" w:rsidRDefault="005A2D1F" w:rsidP="005A2D1F">
            <w:pPr>
              <w:keepNext/>
              <w:keepLines/>
              <w:spacing w:before="20" w:after="20"/>
              <w:jc w:val="center"/>
              <w:rPr>
                <w:b/>
                <w:sz w:val="20"/>
                <w:szCs w:val="20"/>
              </w:rPr>
            </w:pPr>
            <w:r>
              <w:rPr>
                <w:b/>
                <w:sz w:val="20"/>
                <w:szCs w:val="20"/>
              </w:rPr>
              <w:t xml:space="preserve">Max. </w:t>
            </w:r>
            <w:r w:rsidRPr="00540636">
              <w:rPr>
                <w:b/>
                <w:sz w:val="20"/>
                <w:szCs w:val="20"/>
              </w:rPr>
              <w:t>Idle Energy Rate (kW)</w:t>
            </w:r>
            <w:r>
              <w:rPr>
                <w:b/>
                <w:sz w:val="20"/>
                <w:szCs w:val="20"/>
              </w:rPr>
              <w:t xml:space="preserve"> </w:t>
            </w:r>
          </w:p>
        </w:tc>
        <w:tc>
          <w:tcPr>
            <w:tcW w:w="2430" w:type="dxa"/>
            <w:shd w:val="clear" w:color="auto" w:fill="F2F2F2" w:themeFill="background1" w:themeFillShade="F2"/>
            <w:vAlign w:val="bottom"/>
          </w:tcPr>
          <w:p w14:paraId="6F18A3B7" w14:textId="77777777" w:rsidR="005A2D1F" w:rsidRPr="00540636" w:rsidRDefault="005A2D1F" w:rsidP="005A2D1F">
            <w:pPr>
              <w:keepNext/>
              <w:keepLines/>
              <w:spacing w:before="20" w:after="20"/>
              <w:jc w:val="center"/>
              <w:rPr>
                <w:b/>
                <w:sz w:val="20"/>
                <w:szCs w:val="20"/>
              </w:rPr>
            </w:pPr>
            <w:r>
              <w:rPr>
                <w:b/>
                <w:sz w:val="20"/>
                <w:szCs w:val="20"/>
              </w:rPr>
              <w:t>Source</w:t>
            </w:r>
          </w:p>
        </w:tc>
      </w:tr>
      <w:tr w:rsidR="005A2D1F" w:rsidRPr="00FB030E" w14:paraId="61508AFD" w14:textId="77777777" w:rsidTr="00827FB4">
        <w:trPr>
          <w:trHeight w:hRule="exact" w:val="712"/>
        </w:trPr>
        <w:tc>
          <w:tcPr>
            <w:tcW w:w="1170" w:type="dxa"/>
            <w:shd w:val="clear" w:color="auto" w:fill="auto"/>
            <w:vAlign w:val="center"/>
          </w:tcPr>
          <w:p w14:paraId="7D73E603" w14:textId="455BEA38" w:rsidR="005A2D1F" w:rsidRPr="00FB030E" w:rsidRDefault="005A2D1F" w:rsidP="005A2D1F">
            <w:pPr>
              <w:keepNext/>
              <w:keepLines/>
              <w:spacing w:before="20" w:after="20"/>
              <w:rPr>
                <w:sz w:val="20"/>
                <w:szCs w:val="20"/>
              </w:rPr>
            </w:pPr>
            <w:r>
              <w:rPr>
                <w:sz w:val="20"/>
                <w:szCs w:val="20"/>
              </w:rPr>
              <w:t>SWFS002A</w:t>
            </w:r>
          </w:p>
        </w:tc>
        <w:tc>
          <w:tcPr>
            <w:tcW w:w="2250" w:type="dxa"/>
            <w:vAlign w:val="center"/>
          </w:tcPr>
          <w:p w14:paraId="34D60921" w14:textId="54F9DFCA" w:rsidR="005A2D1F" w:rsidRPr="00C138AD" w:rsidRDefault="005A2D1F" w:rsidP="005A2D1F">
            <w:pPr>
              <w:keepNext/>
              <w:keepLines/>
              <w:spacing w:before="20" w:after="20"/>
              <w:jc w:val="center"/>
              <w:rPr>
                <w:sz w:val="20"/>
                <w:szCs w:val="20"/>
              </w:rPr>
            </w:pPr>
            <w:r w:rsidRPr="00F55960">
              <w:rPr>
                <w:sz w:val="20"/>
                <w:szCs w:val="20"/>
              </w:rPr>
              <w:t>High Temperature</w:t>
            </w:r>
            <w:r>
              <w:rPr>
                <w:sz w:val="20"/>
                <w:szCs w:val="20"/>
              </w:rPr>
              <w:t>, Tier 2</w:t>
            </w:r>
          </w:p>
        </w:tc>
        <w:tc>
          <w:tcPr>
            <w:tcW w:w="1350" w:type="dxa"/>
            <w:shd w:val="clear" w:color="auto" w:fill="auto"/>
            <w:vAlign w:val="center"/>
          </w:tcPr>
          <w:p w14:paraId="624BFA52" w14:textId="58AE6142" w:rsidR="005A2D1F" w:rsidRPr="00C138AD" w:rsidRDefault="005A2D1F" w:rsidP="005A2D1F">
            <w:pPr>
              <w:keepNext/>
              <w:keepLines/>
              <w:spacing w:before="20" w:after="20"/>
              <w:jc w:val="center"/>
              <w:rPr>
                <w:sz w:val="20"/>
                <w:szCs w:val="20"/>
              </w:rPr>
            </w:pPr>
            <w:r w:rsidRPr="00C138AD">
              <w:rPr>
                <w:sz w:val="20"/>
                <w:szCs w:val="20"/>
              </w:rPr>
              <w:t>0.76</w:t>
            </w:r>
          </w:p>
        </w:tc>
        <w:tc>
          <w:tcPr>
            <w:tcW w:w="1170" w:type="dxa"/>
            <w:vAlign w:val="center"/>
          </w:tcPr>
          <w:p w14:paraId="739DEB70" w14:textId="73C54BB7" w:rsidR="005A2D1F" w:rsidRPr="00C138AD" w:rsidRDefault="005A2D1F" w:rsidP="005A2D1F">
            <w:pPr>
              <w:keepNext/>
              <w:keepLines/>
              <w:spacing w:before="20" w:after="20"/>
              <w:jc w:val="center"/>
              <w:rPr>
                <w:sz w:val="20"/>
                <w:szCs w:val="20"/>
              </w:rPr>
            </w:pPr>
            <w:r w:rsidRPr="00C138AD">
              <w:rPr>
                <w:sz w:val="20"/>
                <w:szCs w:val="20"/>
              </w:rPr>
              <w:t>0.</w:t>
            </w:r>
            <w:r>
              <w:rPr>
                <w:sz w:val="20"/>
                <w:szCs w:val="20"/>
              </w:rPr>
              <w:t>35</w:t>
            </w:r>
          </w:p>
        </w:tc>
        <w:tc>
          <w:tcPr>
            <w:tcW w:w="990" w:type="dxa"/>
            <w:vAlign w:val="center"/>
          </w:tcPr>
          <w:p w14:paraId="17CF1819" w14:textId="70973374" w:rsidR="005A2D1F" w:rsidRPr="00C138AD" w:rsidRDefault="005A2D1F" w:rsidP="005A2D1F">
            <w:pPr>
              <w:keepNext/>
              <w:keepLines/>
              <w:spacing w:before="20" w:after="20"/>
              <w:jc w:val="center"/>
              <w:rPr>
                <w:sz w:val="20"/>
                <w:szCs w:val="20"/>
              </w:rPr>
            </w:pPr>
            <w:r w:rsidRPr="00C138AD">
              <w:rPr>
                <w:sz w:val="20"/>
                <w:szCs w:val="20"/>
              </w:rPr>
              <w:t>0.</w:t>
            </w:r>
            <w:r>
              <w:rPr>
                <w:sz w:val="20"/>
                <w:szCs w:val="20"/>
              </w:rPr>
              <w:t>55</w:t>
            </w:r>
          </w:p>
        </w:tc>
        <w:tc>
          <w:tcPr>
            <w:tcW w:w="2430" w:type="dxa"/>
            <w:vMerge w:val="restart"/>
            <w:vAlign w:val="center"/>
          </w:tcPr>
          <w:p w14:paraId="1C64229F" w14:textId="77777777" w:rsidR="005A2D1F" w:rsidRDefault="005A2D1F" w:rsidP="005A2D1F">
            <w:pPr>
              <w:keepNext/>
              <w:keepLines/>
              <w:spacing w:before="20" w:after="20"/>
              <w:rPr>
                <w:sz w:val="18"/>
                <w:szCs w:val="20"/>
              </w:rPr>
            </w:pPr>
            <w:r w:rsidRPr="00E42B54">
              <w:rPr>
                <w:sz w:val="18"/>
                <w:szCs w:val="20"/>
              </w:rPr>
              <w:t>ENERGY STAR. 20</w:t>
            </w:r>
            <w:r>
              <w:rPr>
                <w:sz w:val="18"/>
                <w:szCs w:val="20"/>
              </w:rPr>
              <w:t>20</w:t>
            </w:r>
            <w:r w:rsidRPr="00E42B54">
              <w:rPr>
                <w:sz w:val="18"/>
                <w:szCs w:val="20"/>
              </w:rPr>
              <w:t>. “ENERGY STAR Program Requirements for Commercial Dishwashers. Eligibility Criteria (</w:t>
            </w:r>
            <w:r>
              <w:rPr>
                <w:sz w:val="18"/>
                <w:szCs w:val="20"/>
              </w:rPr>
              <w:t>October</w:t>
            </w:r>
            <w:r w:rsidRPr="00E42B54">
              <w:rPr>
                <w:sz w:val="18"/>
                <w:szCs w:val="20"/>
              </w:rPr>
              <w:t xml:space="preserve"> 20</w:t>
            </w:r>
            <w:r>
              <w:rPr>
                <w:sz w:val="18"/>
                <w:szCs w:val="20"/>
              </w:rPr>
              <w:t>20</w:t>
            </w:r>
            <w:r w:rsidRPr="00E42B54">
              <w:rPr>
                <w:sz w:val="18"/>
                <w:szCs w:val="20"/>
              </w:rPr>
              <w:t xml:space="preserve">) Version </w:t>
            </w:r>
            <w:r>
              <w:rPr>
                <w:sz w:val="18"/>
                <w:szCs w:val="20"/>
              </w:rPr>
              <w:t>3</w:t>
            </w:r>
            <w:r w:rsidRPr="00E42B54">
              <w:rPr>
                <w:sz w:val="18"/>
                <w:szCs w:val="20"/>
              </w:rPr>
              <w:t xml:space="preserve">.0.” Effective </w:t>
            </w:r>
            <w:r w:rsidRPr="000334AB">
              <w:rPr>
                <w:sz w:val="18"/>
                <w:szCs w:val="20"/>
              </w:rPr>
              <w:t>July 27, 2021.</w:t>
            </w:r>
          </w:p>
          <w:p w14:paraId="7EDC37AB" w14:textId="6F6F5030" w:rsidR="005A2D1F" w:rsidRPr="00EF1D57" w:rsidRDefault="005A2D1F" w:rsidP="005A2D1F">
            <w:pPr>
              <w:keepNext/>
              <w:keepLines/>
              <w:spacing w:before="20" w:after="20"/>
              <w:rPr>
                <w:sz w:val="18"/>
                <w:szCs w:val="20"/>
              </w:rPr>
            </w:pPr>
          </w:p>
        </w:tc>
      </w:tr>
      <w:tr w:rsidR="005A2D1F" w:rsidRPr="00FB030E" w14:paraId="2C02929C" w14:textId="77777777" w:rsidTr="00827FB4">
        <w:trPr>
          <w:trHeight w:hRule="exact" w:val="631"/>
        </w:trPr>
        <w:tc>
          <w:tcPr>
            <w:tcW w:w="1170" w:type="dxa"/>
            <w:shd w:val="clear" w:color="auto" w:fill="auto"/>
            <w:vAlign w:val="center"/>
          </w:tcPr>
          <w:p w14:paraId="69F0ED17" w14:textId="3E8565C4" w:rsidR="005A2D1F" w:rsidRPr="00FB030E" w:rsidRDefault="005A2D1F" w:rsidP="005A2D1F">
            <w:pPr>
              <w:keepNext/>
              <w:keepLines/>
              <w:spacing w:before="20" w:after="20"/>
              <w:rPr>
                <w:sz w:val="20"/>
                <w:szCs w:val="20"/>
              </w:rPr>
            </w:pPr>
            <w:r>
              <w:rPr>
                <w:sz w:val="20"/>
                <w:szCs w:val="20"/>
              </w:rPr>
              <w:t>SWFS002B</w:t>
            </w:r>
          </w:p>
        </w:tc>
        <w:tc>
          <w:tcPr>
            <w:tcW w:w="2250" w:type="dxa"/>
            <w:vAlign w:val="center"/>
          </w:tcPr>
          <w:p w14:paraId="2790D9CF" w14:textId="73FE8CEF" w:rsidR="005A2D1F" w:rsidRPr="00C138AD" w:rsidRDefault="005A2D1F" w:rsidP="005A2D1F">
            <w:pPr>
              <w:keepNext/>
              <w:keepLines/>
              <w:spacing w:before="20" w:after="20"/>
              <w:jc w:val="center"/>
              <w:rPr>
                <w:sz w:val="20"/>
                <w:szCs w:val="20"/>
              </w:rPr>
            </w:pPr>
            <w:r w:rsidRPr="00F55960">
              <w:rPr>
                <w:sz w:val="20"/>
                <w:szCs w:val="20"/>
              </w:rPr>
              <w:t>Low Temperature</w:t>
            </w:r>
            <w:r>
              <w:rPr>
                <w:sz w:val="20"/>
                <w:szCs w:val="20"/>
              </w:rPr>
              <w:t>, Tier 2</w:t>
            </w:r>
          </w:p>
        </w:tc>
        <w:tc>
          <w:tcPr>
            <w:tcW w:w="1350" w:type="dxa"/>
            <w:shd w:val="clear" w:color="auto" w:fill="auto"/>
            <w:vAlign w:val="center"/>
          </w:tcPr>
          <w:p w14:paraId="5AC47BBF" w14:textId="0681406A" w:rsidR="005A2D1F" w:rsidRPr="00C138AD" w:rsidRDefault="005A2D1F" w:rsidP="005A2D1F">
            <w:pPr>
              <w:keepNext/>
              <w:keepLines/>
              <w:spacing w:before="20" w:after="20"/>
              <w:jc w:val="center"/>
              <w:rPr>
                <w:sz w:val="20"/>
                <w:szCs w:val="20"/>
              </w:rPr>
            </w:pPr>
            <w:r w:rsidRPr="00C138AD">
              <w:rPr>
                <w:sz w:val="20"/>
                <w:szCs w:val="20"/>
              </w:rPr>
              <w:t>1.00</w:t>
            </w:r>
          </w:p>
        </w:tc>
        <w:tc>
          <w:tcPr>
            <w:tcW w:w="1170" w:type="dxa"/>
            <w:vAlign w:val="center"/>
          </w:tcPr>
          <w:p w14:paraId="4F4C7FF7" w14:textId="090C8433" w:rsidR="005A2D1F" w:rsidRPr="00C138AD" w:rsidRDefault="005A2D1F" w:rsidP="005A2D1F">
            <w:pPr>
              <w:keepNext/>
              <w:keepLines/>
              <w:spacing w:before="20" w:after="20"/>
              <w:jc w:val="center"/>
              <w:rPr>
                <w:sz w:val="20"/>
                <w:szCs w:val="20"/>
              </w:rPr>
            </w:pPr>
            <w:r w:rsidRPr="00C138AD">
              <w:rPr>
                <w:sz w:val="20"/>
                <w:szCs w:val="20"/>
              </w:rPr>
              <w:t>0.</w:t>
            </w:r>
            <w:r>
              <w:rPr>
                <w:sz w:val="20"/>
                <w:szCs w:val="20"/>
              </w:rPr>
              <w:t>15</w:t>
            </w:r>
          </w:p>
        </w:tc>
        <w:tc>
          <w:tcPr>
            <w:tcW w:w="990" w:type="dxa"/>
            <w:vAlign w:val="center"/>
          </w:tcPr>
          <w:p w14:paraId="3ECC39E9" w14:textId="34B999C2" w:rsidR="005A2D1F" w:rsidRPr="00C138AD" w:rsidRDefault="005A2D1F" w:rsidP="005A2D1F">
            <w:pPr>
              <w:keepNext/>
              <w:keepLines/>
              <w:spacing w:before="20" w:after="20"/>
              <w:jc w:val="center"/>
              <w:rPr>
                <w:sz w:val="20"/>
                <w:szCs w:val="20"/>
              </w:rPr>
            </w:pPr>
            <w:r w:rsidRPr="00C138AD">
              <w:rPr>
                <w:sz w:val="20"/>
                <w:szCs w:val="20"/>
              </w:rPr>
              <w:t>0.</w:t>
            </w:r>
            <w:r>
              <w:rPr>
                <w:sz w:val="20"/>
                <w:szCs w:val="20"/>
              </w:rPr>
              <w:t>30</w:t>
            </w:r>
          </w:p>
        </w:tc>
        <w:tc>
          <w:tcPr>
            <w:tcW w:w="2430" w:type="dxa"/>
            <w:vMerge/>
            <w:vAlign w:val="center"/>
          </w:tcPr>
          <w:p w14:paraId="3BD66C39" w14:textId="77777777" w:rsidR="005A2D1F" w:rsidRPr="00B86F5D" w:rsidRDefault="005A2D1F" w:rsidP="005A2D1F">
            <w:pPr>
              <w:keepNext/>
              <w:keepLines/>
              <w:spacing w:before="20" w:after="20"/>
              <w:jc w:val="center"/>
              <w:rPr>
                <w:color w:val="FF0000"/>
                <w:sz w:val="20"/>
                <w:szCs w:val="20"/>
              </w:rPr>
            </w:pPr>
          </w:p>
        </w:tc>
      </w:tr>
    </w:tbl>
    <w:p w14:paraId="6257042C" w14:textId="77777777" w:rsidR="00BE46D8" w:rsidRDefault="00BE46D8" w:rsidP="00EF1D57"/>
    <w:p w14:paraId="6462FFA8" w14:textId="2AEEA4AE" w:rsidR="00C535F4" w:rsidRPr="00C26AF1" w:rsidRDefault="00C535F4" w:rsidP="00C535F4">
      <w:pPr>
        <w:rPr>
          <w:bCs/>
        </w:rPr>
      </w:pPr>
      <w:r w:rsidRPr="00C26AF1">
        <w:t xml:space="preserve">The </w:t>
      </w:r>
      <w:r>
        <w:t>ENERGY STAR</w:t>
      </w:r>
      <w:r w:rsidRPr="00C26AF1">
        <w:t xml:space="preserve"> Test Method for Commercial Dishwashers </w:t>
      </w:r>
      <w:r>
        <w:t>follows</w:t>
      </w:r>
      <w:r w:rsidRPr="00C26AF1">
        <w:t xml:space="preserve"> the </w:t>
      </w:r>
      <w:r>
        <w:t>American Society for Testing and Materials (</w:t>
      </w:r>
      <w:r w:rsidRPr="00C26AF1">
        <w:t>ASTM</w:t>
      </w:r>
      <w:r>
        <w:t>)</w:t>
      </w:r>
      <w:r w:rsidRPr="00C26AF1">
        <w:t xml:space="preserve"> F1</w:t>
      </w:r>
      <w:r>
        <w:t>696</w:t>
      </w:r>
      <w:r w:rsidRPr="00C26AF1">
        <w:t>-07 Standard Test Method for Energy Performance Single-Rack, Door-Type Commercial Dishwashing Machines</w:t>
      </w:r>
      <w:r>
        <w:rPr>
          <w:rStyle w:val="FootnoteReference"/>
        </w:rPr>
        <w:footnoteReference w:id="4"/>
      </w:r>
      <w:r>
        <w:t xml:space="preserve"> </w:t>
      </w:r>
      <w:r w:rsidRPr="00C26AF1">
        <w:t xml:space="preserve">to estimate the energy and water consumption of </w:t>
      </w:r>
      <w:r>
        <w:t xml:space="preserve">ENERGY STAR-qualified units. </w:t>
      </w:r>
    </w:p>
    <w:p w14:paraId="63A091C0" w14:textId="77777777" w:rsidR="00EF1D57" w:rsidRPr="004B06E3" w:rsidRDefault="00EF1D57" w:rsidP="00EF1D57"/>
    <w:p w14:paraId="11A98CD4" w14:textId="77777777" w:rsidR="00E70CBD" w:rsidRPr="00171BB8" w:rsidRDefault="00E70CBD" w:rsidP="001369D7">
      <w:pPr>
        <w:pStyle w:val="eTRMHeading3"/>
      </w:pPr>
      <w:bookmarkStart w:id="12" w:name="_Toc486490849"/>
      <w:bookmarkStart w:id="13" w:name="_Toc486580920"/>
      <w:bookmarkStart w:id="14" w:name="_Toc528680020"/>
      <w:r w:rsidRPr="004B06E3">
        <w:t>Base Case Description</w:t>
      </w:r>
      <w:bookmarkEnd w:id="12"/>
      <w:bookmarkEnd w:id="13"/>
      <w:bookmarkEnd w:id="14"/>
      <w:r w:rsidRPr="00171BB8">
        <w:t xml:space="preserve"> </w:t>
      </w:r>
    </w:p>
    <w:p w14:paraId="308C6799" w14:textId="6156AF64" w:rsidR="00CD25B5" w:rsidRDefault="00CD25B5" w:rsidP="00CD25B5">
      <w:r>
        <w:t xml:space="preserve">The base case commercial door-type dishwasher is </w:t>
      </w:r>
      <w:r w:rsidR="00C535F4">
        <w:t xml:space="preserve">defined as </w:t>
      </w:r>
      <w:r>
        <w:t>the existing door-type commercial dishwasher</w:t>
      </w:r>
      <w:r w:rsidR="00F55960">
        <w:t>,</w:t>
      </w:r>
      <w:r>
        <w:t xml:space="preserve"> considered </w:t>
      </w:r>
      <w:r w:rsidR="00C535F4">
        <w:t xml:space="preserve">to be </w:t>
      </w:r>
      <w:r>
        <w:t>the industry standard practice. The</w:t>
      </w:r>
      <w:r w:rsidRPr="00F71470">
        <w:t xml:space="preserve"> base case </w:t>
      </w:r>
      <w:r w:rsidR="00245131">
        <w:t xml:space="preserve">specifications </w:t>
      </w:r>
      <w:r w:rsidRPr="00F71470">
        <w:t>for this measure</w:t>
      </w:r>
      <w:r w:rsidR="00F55960">
        <w:t xml:space="preserve"> </w:t>
      </w:r>
      <w:r w:rsidR="00245131">
        <w:t>were</w:t>
      </w:r>
      <w:r w:rsidRPr="00F71470">
        <w:t xml:space="preserve"> </w:t>
      </w:r>
      <w:r w:rsidR="00C535F4">
        <w:t>derived</w:t>
      </w:r>
      <w:r w:rsidRPr="00F71470">
        <w:t xml:space="preserve"> </w:t>
      </w:r>
      <w:r w:rsidR="00F55960">
        <w:t>as</w:t>
      </w:r>
      <w:r w:rsidRPr="00F71470">
        <w:t xml:space="preserve"> </w:t>
      </w:r>
      <w:r w:rsidR="00F55960">
        <w:t>the average of f</w:t>
      </w:r>
      <w:r w:rsidRPr="00F71470">
        <w:t>ield data collected from five different commercial food service sites</w:t>
      </w:r>
      <w:r w:rsidR="00A07827">
        <w:t xml:space="preserve"> </w:t>
      </w:r>
      <w:r w:rsidR="00B57618">
        <w:t>and</w:t>
      </w:r>
      <w:r w:rsidRPr="00F71470">
        <w:t xml:space="preserve"> the minimum ENERGY STAR commercial door-type dishwasher specificatio</w:t>
      </w:r>
      <w:r w:rsidR="00245131">
        <w:t>n.</w:t>
      </w:r>
      <w:r w:rsidRPr="00F84224">
        <w:t xml:space="preserve"> </w:t>
      </w:r>
    </w:p>
    <w:p w14:paraId="156F3678" w14:textId="145E7AFA" w:rsidR="006B2000" w:rsidRDefault="006B2000" w:rsidP="00694410">
      <w:pPr>
        <w:pStyle w:val="Caption"/>
      </w:pPr>
      <w:bookmarkStart w:id="15" w:name="_Toc410659556"/>
      <w:r w:rsidRPr="00F84224">
        <w:lastRenderedPageBreak/>
        <w:t>Base Case</w:t>
      </w:r>
      <w:r w:rsidR="00F55960">
        <w:t xml:space="preserve"> Specification</w:t>
      </w:r>
      <w:r w:rsidRPr="00F84224">
        <w:t xml:space="preserve"> </w:t>
      </w:r>
      <w:bookmarkEnd w:id="15"/>
    </w:p>
    <w:tbl>
      <w:tblPr>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50"/>
        <w:gridCol w:w="1350"/>
        <w:gridCol w:w="1350"/>
        <w:gridCol w:w="4410"/>
      </w:tblGrid>
      <w:tr w:rsidR="0063347D" w:rsidRPr="00F55960" w14:paraId="66D35ACB" w14:textId="5FE54145" w:rsidTr="00827FB4">
        <w:trPr>
          <w:trHeight w:val="20"/>
        </w:trPr>
        <w:tc>
          <w:tcPr>
            <w:tcW w:w="2250" w:type="dxa"/>
            <w:shd w:val="clear" w:color="auto" w:fill="F2F2F2" w:themeFill="background1" w:themeFillShade="F2"/>
            <w:vAlign w:val="bottom"/>
          </w:tcPr>
          <w:p w14:paraId="668963EC" w14:textId="4D815C6E" w:rsidR="00FA0118" w:rsidRPr="00F55960" w:rsidRDefault="00FA0118" w:rsidP="001767D9">
            <w:pPr>
              <w:keepNext/>
              <w:keepLines/>
              <w:spacing w:before="20" w:after="20"/>
              <w:rPr>
                <w:b/>
                <w:sz w:val="20"/>
                <w:szCs w:val="20"/>
              </w:rPr>
            </w:pPr>
            <w:r w:rsidRPr="00F55960">
              <w:rPr>
                <w:b/>
                <w:sz w:val="20"/>
                <w:szCs w:val="20"/>
              </w:rPr>
              <w:t>Sanitization</w:t>
            </w:r>
            <w:r w:rsidR="001767D9">
              <w:rPr>
                <w:b/>
                <w:sz w:val="20"/>
                <w:szCs w:val="20"/>
              </w:rPr>
              <w:t xml:space="preserve"> </w:t>
            </w:r>
            <w:r w:rsidRPr="00F55960">
              <w:rPr>
                <w:b/>
                <w:sz w:val="20"/>
                <w:szCs w:val="20"/>
              </w:rPr>
              <w:t>Temperature</w:t>
            </w:r>
          </w:p>
        </w:tc>
        <w:tc>
          <w:tcPr>
            <w:tcW w:w="1350" w:type="dxa"/>
            <w:shd w:val="clear" w:color="auto" w:fill="F2F2F2" w:themeFill="background1" w:themeFillShade="F2"/>
            <w:vAlign w:val="bottom"/>
          </w:tcPr>
          <w:p w14:paraId="3FCB35C4" w14:textId="07A07961" w:rsidR="00FA0118" w:rsidRPr="00F55960" w:rsidRDefault="001C00DE" w:rsidP="0054501E">
            <w:pPr>
              <w:keepNext/>
              <w:keepLines/>
              <w:spacing w:before="20" w:after="20"/>
              <w:jc w:val="center"/>
              <w:rPr>
                <w:b/>
                <w:sz w:val="20"/>
                <w:szCs w:val="20"/>
              </w:rPr>
            </w:pPr>
            <w:r>
              <w:rPr>
                <w:b/>
                <w:sz w:val="20"/>
                <w:szCs w:val="20"/>
              </w:rPr>
              <w:t xml:space="preserve">Max. </w:t>
            </w:r>
            <w:r w:rsidR="00FA0118" w:rsidRPr="00F55960">
              <w:rPr>
                <w:b/>
                <w:sz w:val="20"/>
                <w:szCs w:val="20"/>
              </w:rPr>
              <w:t xml:space="preserve">Water Consumption (GPR) </w:t>
            </w:r>
          </w:p>
        </w:tc>
        <w:tc>
          <w:tcPr>
            <w:tcW w:w="1350" w:type="dxa"/>
            <w:shd w:val="clear" w:color="auto" w:fill="F2F2F2" w:themeFill="background1" w:themeFillShade="F2"/>
            <w:vAlign w:val="bottom"/>
          </w:tcPr>
          <w:p w14:paraId="71DA82A8" w14:textId="3D3655DF" w:rsidR="00FA0118" w:rsidRPr="00F55960" w:rsidRDefault="001C00DE" w:rsidP="003B341F">
            <w:pPr>
              <w:keepNext/>
              <w:keepLines/>
              <w:spacing w:before="20" w:after="20"/>
              <w:jc w:val="center"/>
              <w:rPr>
                <w:b/>
                <w:sz w:val="20"/>
                <w:szCs w:val="20"/>
              </w:rPr>
            </w:pPr>
            <w:r>
              <w:rPr>
                <w:b/>
                <w:sz w:val="20"/>
                <w:szCs w:val="20"/>
              </w:rPr>
              <w:t xml:space="preserve">Max. </w:t>
            </w:r>
            <w:r w:rsidR="00FA0118" w:rsidRPr="00F55960">
              <w:rPr>
                <w:b/>
                <w:sz w:val="20"/>
                <w:szCs w:val="20"/>
              </w:rPr>
              <w:t xml:space="preserve">Idle Energy Rate (kW) </w:t>
            </w:r>
          </w:p>
        </w:tc>
        <w:tc>
          <w:tcPr>
            <w:tcW w:w="4410" w:type="dxa"/>
            <w:shd w:val="clear" w:color="auto" w:fill="F2F2F2" w:themeFill="background1" w:themeFillShade="F2"/>
            <w:vAlign w:val="bottom"/>
          </w:tcPr>
          <w:p w14:paraId="7905E32F" w14:textId="4CF338A9" w:rsidR="00FA0118" w:rsidRPr="00F55960" w:rsidRDefault="00FA0118" w:rsidP="00F55960">
            <w:pPr>
              <w:keepNext/>
              <w:keepLines/>
              <w:spacing w:before="20" w:after="20"/>
              <w:jc w:val="center"/>
              <w:rPr>
                <w:b/>
                <w:sz w:val="20"/>
                <w:szCs w:val="20"/>
              </w:rPr>
            </w:pPr>
            <w:r>
              <w:rPr>
                <w:b/>
                <w:sz w:val="20"/>
                <w:szCs w:val="20"/>
              </w:rPr>
              <w:t>Source</w:t>
            </w:r>
          </w:p>
        </w:tc>
      </w:tr>
      <w:tr w:rsidR="0063347D" w:rsidRPr="00F55960" w14:paraId="7DF563A1" w14:textId="71E96A39" w:rsidTr="00CA1A51">
        <w:trPr>
          <w:trHeight w:val="602"/>
        </w:trPr>
        <w:tc>
          <w:tcPr>
            <w:tcW w:w="2250" w:type="dxa"/>
            <w:shd w:val="clear" w:color="auto" w:fill="auto"/>
            <w:vAlign w:val="center"/>
          </w:tcPr>
          <w:p w14:paraId="554F1003" w14:textId="77777777" w:rsidR="00B36960" w:rsidRPr="00F55960" w:rsidRDefault="00B36960" w:rsidP="00150986">
            <w:pPr>
              <w:keepNext/>
              <w:keepLines/>
              <w:spacing w:before="20" w:after="20"/>
              <w:rPr>
                <w:sz w:val="20"/>
                <w:szCs w:val="20"/>
              </w:rPr>
            </w:pPr>
            <w:r w:rsidRPr="00F55960">
              <w:rPr>
                <w:sz w:val="20"/>
                <w:szCs w:val="20"/>
              </w:rPr>
              <w:t>High Temperature</w:t>
            </w:r>
          </w:p>
        </w:tc>
        <w:tc>
          <w:tcPr>
            <w:tcW w:w="1350" w:type="dxa"/>
            <w:shd w:val="clear" w:color="auto" w:fill="auto"/>
            <w:vAlign w:val="center"/>
          </w:tcPr>
          <w:p w14:paraId="55261D01" w14:textId="6889319D" w:rsidR="00B36960" w:rsidRPr="00C138AD" w:rsidRDefault="00B36960" w:rsidP="00CA2810">
            <w:pPr>
              <w:keepNext/>
              <w:keepLines/>
              <w:spacing w:before="20" w:after="20"/>
              <w:jc w:val="center"/>
              <w:rPr>
                <w:sz w:val="20"/>
                <w:szCs w:val="20"/>
              </w:rPr>
            </w:pPr>
            <w:r w:rsidRPr="00C138AD">
              <w:rPr>
                <w:sz w:val="20"/>
                <w:szCs w:val="20"/>
              </w:rPr>
              <w:t>1.0</w:t>
            </w:r>
            <w:r w:rsidR="00526AAC" w:rsidRPr="00C138AD">
              <w:rPr>
                <w:sz w:val="20"/>
                <w:szCs w:val="20"/>
              </w:rPr>
              <w:t>7</w:t>
            </w:r>
          </w:p>
        </w:tc>
        <w:tc>
          <w:tcPr>
            <w:tcW w:w="1350" w:type="dxa"/>
            <w:vAlign w:val="center"/>
          </w:tcPr>
          <w:p w14:paraId="32338801" w14:textId="4F70C059" w:rsidR="00B36960" w:rsidRPr="00C138AD" w:rsidRDefault="00B36960" w:rsidP="00CA2810">
            <w:pPr>
              <w:keepNext/>
              <w:keepLines/>
              <w:spacing w:before="20" w:after="20"/>
              <w:jc w:val="center"/>
              <w:rPr>
                <w:sz w:val="20"/>
                <w:szCs w:val="20"/>
              </w:rPr>
            </w:pPr>
            <w:r w:rsidRPr="00C138AD">
              <w:rPr>
                <w:sz w:val="20"/>
                <w:szCs w:val="20"/>
              </w:rPr>
              <w:t>0.70</w:t>
            </w:r>
          </w:p>
        </w:tc>
        <w:tc>
          <w:tcPr>
            <w:tcW w:w="4410" w:type="dxa"/>
            <w:vMerge w:val="restart"/>
            <w:vAlign w:val="center"/>
          </w:tcPr>
          <w:p w14:paraId="1E6670B6" w14:textId="00BEF61B" w:rsidR="000E0A60" w:rsidRDefault="000E0A60" w:rsidP="0045479B">
            <w:pPr>
              <w:keepNext/>
              <w:keepLines/>
              <w:spacing w:before="20" w:after="20"/>
              <w:rPr>
                <w:sz w:val="18"/>
                <w:szCs w:val="20"/>
              </w:rPr>
            </w:pPr>
            <w:r w:rsidRPr="000E0A60">
              <w:rPr>
                <w:sz w:val="18"/>
                <w:szCs w:val="20"/>
              </w:rPr>
              <w:t>ENERGY STAR. 2012. “ENERGY STAR Program Requirements for Commercial Dishwashers. Eligibility Criteria (Rev. July 2012) Version 2.0.” Effective February 1, 2013.</w:t>
            </w:r>
          </w:p>
          <w:p w14:paraId="229CF921" w14:textId="48CFE406" w:rsidR="00245131" w:rsidRPr="00E42B54" w:rsidRDefault="00D00139" w:rsidP="0045479B">
            <w:pPr>
              <w:keepNext/>
              <w:keepLines/>
              <w:spacing w:before="20" w:after="20"/>
              <w:rPr>
                <w:sz w:val="18"/>
                <w:szCs w:val="20"/>
              </w:rPr>
            </w:pPr>
            <w:r w:rsidRPr="00D00139">
              <w:rPr>
                <w:sz w:val="18"/>
                <w:szCs w:val="20"/>
              </w:rPr>
              <w:t>SoCalGas (SCG). 2021"Dishmachine Calcs 03152021.xls."</w:t>
            </w:r>
          </w:p>
        </w:tc>
      </w:tr>
      <w:tr w:rsidR="0063347D" w:rsidRPr="00F55960" w14:paraId="0D0E6589" w14:textId="7B0E3A88" w:rsidTr="00827FB4">
        <w:trPr>
          <w:trHeight w:val="20"/>
        </w:trPr>
        <w:tc>
          <w:tcPr>
            <w:tcW w:w="2250" w:type="dxa"/>
            <w:shd w:val="clear" w:color="auto" w:fill="auto"/>
            <w:vAlign w:val="center"/>
          </w:tcPr>
          <w:p w14:paraId="49FC0C73" w14:textId="77777777" w:rsidR="00B36960" w:rsidRPr="00F55960" w:rsidRDefault="00B36960" w:rsidP="00150986">
            <w:pPr>
              <w:keepNext/>
              <w:keepLines/>
              <w:spacing w:before="20" w:after="20"/>
              <w:rPr>
                <w:sz w:val="20"/>
                <w:szCs w:val="20"/>
              </w:rPr>
            </w:pPr>
            <w:r w:rsidRPr="00F55960">
              <w:rPr>
                <w:sz w:val="20"/>
                <w:szCs w:val="20"/>
              </w:rPr>
              <w:t>Low Temperature</w:t>
            </w:r>
          </w:p>
        </w:tc>
        <w:tc>
          <w:tcPr>
            <w:tcW w:w="1350" w:type="dxa"/>
            <w:shd w:val="clear" w:color="auto" w:fill="auto"/>
            <w:vAlign w:val="center"/>
          </w:tcPr>
          <w:p w14:paraId="65768672" w14:textId="4B4A27DF" w:rsidR="00B36960" w:rsidRPr="00C138AD" w:rsidRDefault="00B36960" w:rsidP="00CA2810">
            <w:pPr>
              <w:keepNext/>
              <w:keepLines/>
              <w:spacing w:before="20" w:after="20"/>
              <w:jc w:val="center"/>
              <w:rPr>
                <w:sz w:val="20"/>
                <w:szCs w:val="20"/>
              </w:rPr>
            </w:pPr>
            <w:r w:rsidRPr="00C138AD">
              <w:rPr>
                <w:sz w:val="20"/>
                <w:szCs w:val="20"/>
              </w:rPr>
              <w:t>1.50</w:t>
            </w:r>
          </w:p>
        </w:tc>
        <w:tc>
          <w:tcPr>
            <w:tcW w:w="1350" w:type="dxa"/>
            <w:vAlign w:val="center"/>
          </w:tcPr>
          <w:p w14:paraId="0F10A81F" w14:textId="349312EF" w:rsidR="00B36960" w:rsidRPr="00C138AD" w:rsidRDefault="00B36960" w:rsidP="00CA2810">
            <w:pPr>
              <w:keepNext/>
              <w:keepLines/>
              <w:spacing w:before="20" w:after="20"/>
              <w:jc w:val="center"/>
              <w:rPr>
                <w:sz w:val="20"/>
                <w:szCs w:val="20"/>
              </w:rPr>
            </w:pPr>
            <w:r w:rsidRPr="00C138AD">
              <w:rPr>
                <w:sz w:val="20"/>
                <w:szCs w:val="20"/>
              </w:rPr>
              <w:t>0.60</w:t>
            </w:r>
          </w:p>
        </w:tc>
        <w:tc>
          <w:tcPr>
            <w:tcW w:w="4410" w:type="dxa"/>
            <w:vMerge/>
            <w:vAlign w:val="center"/>
          </w:tcPr>
          <w:p w14:paraId="6BE8618C" w14:textId="77777777" w:rsidR="00B36960" w:rsidRPr="00B86F5D" w:rsidRDefault="00B36960" w:rsidP="0054501E">
            <w:pPr>
              <w:keepNext/>
              <w:keepLines/>
              <w:spacing w:before="20" w:after="20"/>
              <w:jc w:val="center"/>
              <w:rPr>
                <w:color w:val="FF0000"/>
                <w:sz w:val="20"/>
                <w:szCs w:val="20"/>
              </w:rPr>
            </w:pPr>
          </w:p>
        </w:tc>
      </w:tr>
    </w:tbl>
    <w:p w14:paraId="1521B90A" w14:textId="77777777" w:rsidR="00DF2A96" w:rsidRDefault="00DF2A96" w:rsidP="00DF2A96">
      <w:bookmarkStart w:id="16" w:name="_Toc486490850"/>
      <w:bookmarkStart w:id="17" w:name="_Toc486580921"/>
    </w:p>
    <w:p w14:paraId="3DE3D458" w14:textId="77777777" w:rsidR="007D230B" w:rsidRPr="00171BB8" w:rsidRDefault="007D230B" w:rsidP="00E508AC">
      <w:pPr>
        <w:pStyle w:val="eTRMHeading3"/>
        <w:keepNext w:val="0"/>
        <w:keepLines w:val="0"/>
      </w:pPr>
      <w:bookmarkStart w:id="18" w:name="_Toc528680021"/>
      <w:r w:rsidRPr="004B06E3">
        <w:t>Code Requirements</w:t>
      </w:r>
      <w:bookmarkEnd w:id="16"/>
      <w:bookmarkEnd w:id="17"/>
      <w:bookmarkEnd w:id="18"/>
    </w:p>
    <w:p w14:paraId="68560B7C" w14:textId="3A941ECF" w:rsidR="008C7F82" w:rsidRPr="00393ECE" w:rsidRDefault="008C7F82" w:rsidP="00E508AC">
      <w:pPr>
        <w:rPr>
          <w:rFonts w:cs="Arial"/>
          <w:szCs w:val="22"/>
        </w:rPr>
      </w:pPr>
      <w:r w:rsidRPr="00393ECE">
        <w:rPr>
          <w:rFonts w:cs="Arial"/>
          <w:szCs w:val="22"/>
        </w:rPr>
        <w:t>This measure is not governed by either state or federal codes and standards</w:t>
      </w:r>
      <w:r w:rsidR="00E12370">
        <w:rPr>
          <w:rFonts w:cs="Arial"/>
          <w:szCs w:val="22"/>
        </w:rPr>
        <w:t xml:space="preserve">. </w:t>
      </w:r>
    </w:p>
    <w:p w14:paraId="480373E1" w14:textId="5F6ED12D" w:rsidR="008C7F82" w:rsidRDefault="008C7F82" w:rsidP="00E508AC">
      <w:pPr>
        <w:pStyle w:val="Caption"/>
        <w:keepNext w:val="0"/>
        <w:keepLines w:val="0"/>
      </w:pPr>
      <w:r>
        <w:t xml:space="preserve">Applicable State and Federal </w:t>
      </w:r>
      <w:r w:rsidRPr="00CD6698">
        <w:t>Code</w:t>
      </w:r>
      <w:r>
        <w:t>s and Standards</w:t>
      </w:r>
      <w:r w:rsidRPr="002C39E3">
        <w:t xml:space="preserve"> </w:t>
      </w:r>
    </w:p>
    <w:tbl>
      <w:tblPr>
        <w:tblW w:w="924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70"/>
        <w:gridCol w:w="2430"/>
        <w:gridCol w:w="2047"/>
      </w:tblGrid>
      <w:tr w:rsidR="00B8540E" w:rsidRPr="00154391" w14:paraId="547AA78A" w14:textId="77777777" w:rsidTr="00B078E9">
        <w:trPr>
          <w:cantSplit/>
          <w:trHeight w:val="20"/>
        </w:trPr>
        <w:tc>
          <w:tcPr>
            <w:tcW w:w="4770" w:type="dxa"/>
            <w:shd w:val="clear" w:color="auto" w:fill="F2F2F2" w:themeFill="background1" w:themeFillShade="F2"/>
          </w:tcPr>
          <w:p w14:paraId="478164CA" w14:textId="77777777" w:rsidR="008C7F82" w:rsidRPr="00154391" w:rsidRDefault="008C7F82" w:rsidP="00E508AC">
            <w:pPr>
              <w:spacing w:before="20" w:after="20"/>
              <w:rPr>
                <w:b/>
                <w:sz w:val="20"/>
                <w:szCs w:val="20"/>
              </w:rPr>
            </w:pPr>
            <w:r w:rsidRPr="0079498E">
              <w:rPr>
                <w:b/>
                <w:sz w:val="20"/>
              </w:rPr>
              <w:t>Code</w:t>
            </w:r>
          </w:p>
        </w:tc>
        <w:tc>
          <w:tcPr>
            <w:tcW w:w="2430" w:type="dxa"/>
            <w:shd w:val="clear" w:color="auto" w:fill="F2F2F2" w:themeFill="background1" w:themeFillShade="F2"/>
          </w:tcPr>
          <w:p w14:paraId="4A04825B" w14:textId="77777777" w:rsidR="008C7F82" w:rsidRPr="00154391" w:rsidRDefault="008C7F82" w:rsidP="00E508AC">
            <w:pPr>
              <w:spacing w:before="20" w:after="20"/>
              <w:jc w:val="center"/>
              <w:rPr>
                <w:b/>
                <w:sz w:val="20"/>
                <w:szCs w:val="20"/>
              </w:rPr>
            </w:pPr>
            <w:r w:rsidRPr="0079498E">
              <w:rPr>
                <w:b/>
                <w:sz w:val="20"/>
              </w:rPr>
              <w:t>Applicable Code Reference</w:t>
            </w:r>
          </w:p>
        </w:tc>
        <w:tc>
          <w:tcPr>
            <w:tcW w:w="2047" w:type="dxa"/>
            <w:shd w:val="clear" w:color="auto" w:fill="F2F2F2" w:themeFill="background1" w:themeFillShade="F2"/>
          </w:tcPr>
          <w:p w14:paraId="2A09C942" w14:textId="77777777" w:rsidR="008C7F82" w:rsidRPr="00154391" w:rsidRDefault="008C7F82" w:rsidP="00E508AC">
            <w:pPr>
              <w:spacing w:before="20" w:after="20"/>
              <w:jc w:val="center"/>
              <w:rPr>
                <w:b/>
                <w:sz w:val="20"/>
                <w:szCs w:val="20"/>
              </w:rPr>
            </w:pPr>
            <w:r w:rsidRPr="0079498E">
              <w:rPr>
                <w:b/>
                <w:sz w:val="20"/>
              </w:rPr>
              <w:t>Effective Date</w:t>
            </w:r>
          </w:p>
        </w:tc>
      </w:tr>
      <w:tr w:rsidR="00B8540E" w:rsidRPr="00FB030E" w14:paraId="6ADD438D" w14:textId="77777777" w:rsidTr="00B078E9">
        <w:trPr>
          <w:cantSplit/>
          <w:trHeight w:val="20"/>
        </w:trPr>
        <w:tc>
          <w:tcPr>
            <w:tcW w:w="4770" w:type="dxa"/>
            <w:shd w:val="clear" w:color="auto" w:fill="auto"/>
          </w:tcPr>
          <w:p w14:paraId="007A4CAD" w14:textId="77777777" w:rsidR="008C7F82" w:rsidRPr="00BD6838" w:rsidRDefault="008C7F82" w:rsidP="00E508AC">
            <w:pPr>
              <w:spacing w:before="20" w:after="20"/>
              <w:rPr>
                <w:sz w:val="20"/>
                <w:szCs w:val="20"/>
              </w:rPr>
            </w:pPr>
            <w:r w:rsidRPr="00BD6838">
              <w:rPr>
                <w:sz w:val="20"/>
              </w:rPr>
              <w:t>CA Appliance Efficiency Regulations – Title 20 (2014)</w:t>
            </w:r>
          </w:p>
        </w:tc>
        <w:tc>
          <w:tcPr>
            <w:tcW w:w="2430" w:type="dxa"/>
            <w:shd w:val="clear" w:color="auto" w:fill="auto"/>
          </w:tcPr>
          <w:p w14:paraId="6EDC3FC4" w14:textId="0EA1EE56" w:rsidR="008C7F82" w:rsidRPr="00FB030E" w:rsidRDefault="008C7F82" w:rsidP="00E508AC">
            <w:pPr>
              <w:spacing w:before="20" w:after="20"/>
              <w:jc w:val="center"/>
              <w:rPr>
                <w:sz w:val="20"/>
                <w:szCs w:val="20"/>
              </w:rPr>
            </w:pPr>
            <w:r>
              <w:rPr>
                <w:sz w:val="20"/>
              </w:rPr>
              <w:t>None.</w:t>
            </w:r>
          </w:p>
        </w:tc>
        <w:tc>
          <w:tcPr>
            <w:tcW w:w="2047" w:type="dxa"/>
            <w:shd w:val="clear" w:color="auto" w:fill="auto"/>
          </w:tcPr>
          <w:p w14:paraId="128747E1" w14:textId="77777777" w:rsidR="008C7F82" w:rsidRPr="00FB030E" w:rsidRDefault="008C7F82" w:rsidP="00E508AC">
            <w:pPr>
              <w:spacing w:before="20" w:after="20"/>
              <w:jc w:val="center"/>
              <w:rPr>
                <w:sz w:val="20"/>
                <w:szCs w:val="20"/>
              </w:rPr>
            </w:pPr>
            <w:r>
              <w:rPr>
                <w:sz w:val="20"/>
              </w:rPr>
              <w:t>n/a</w:t>
            </w:r>
          </w:p>
        </w:tc>
      </w:tr>
      <w:tr w:rsidR="00B8540E" w:rsidRPr="00FB030E" w14:paraId="05F37249" w14:textId="77777777" w:rsidTr="00B078E9">
        <w:trPr>
          <w:cantSplit/>
          <w:trHeight w:val="20"/>
        </w:trPr>
        <w:tc>
          <w:tcPr>
            <w:tcW w:w="4770" w:type="dxa"/>
            <w:shd w:val="clear" w:color="auto" w:fill="auto"/>
          </w:tcPr>
          <w:p w14:paraId="457556A2" w14:textId="77777777" w:rsidR="008C7F82" w:rsidRPr="00BD6838" w:rsidRDefault="008C7F82" w:rsidP="00E508AC">
            <w:pPr>
              <w:spacing w:before="20" w:after="20"/>
              <w:rPr>
                <w:sz w:val="20"/>
                <w:szCs w:val="20"/>
              </w:rPr>
            </w:pPr>
            <w:r w:rsidRPr="00BD6838">
              <w:rPr>
                <w:sz w:val="20"/>
              </w:rPr>
              <w:t>CA Building Energy Efficiency Standards – Title 24 (2013)</w:t>
            </w:r>
          </w:p>
        </w:tc>
        <w:tc>
          <w:tcPr>
            <w:tcW w:w="2430" w:type="dxa"/>
            <w:shd w:val="clear" w:color="auto" w:fill="auto"/>
          </w:tcPr>
          <w:p w14:paraId="41895998" w14:textId="77777777" w:rsidR="008C7F82" w:rsidRPr="00FB030E" w:rsidRDefault="008C7F82" w:rsidP="00E508AC">
            <w:pPr>
              <w:spacing w:before="20" w:after="20"/>
              <w:jc w:val="center"/>
              <w:rPr>
                <w:sz w:val="20"/>
                <w:szCs w:val="20"/>
              </w:rPr>
            </w:pPr>
            <w:r>
              <w:rPr>
                <w:sz w:val="20"/>
              </w:rPr>
              <w:t>None.</w:t>
            </w:r>
          </w:p>
        </w:tc>
        <w:tc>
          <w:tcPr>
            <w:tcW w:w="2047" w:type="dxa"/>
            <w:shd w:val="clear" w:color="auto" w:fill="auto"/>
          </w:tcPr>
          <w:p w14:paraId="4D3F06C4" w14:textId="77777777" w:rsidR="008C7F82" w:rsidRPr="00FB030E" w:rsidRDefault="008C7F82" w:rsidP="00E508AC">
            <w:pPr>
              <w:spacing w:before="20" w:after="20"/>
              <w:jc w:val="center"/>
              <w:rPr>
                <w:sz w:val="20"/>
                <w:szCs w:val="20"/>
              </w:rPr>
            </w:pPr>
            <w:r>
              <w:rPr>
                <w:sz w:val="20"/>
              </w:rPr>
              <w:t>n/a</w:t>
            </w:r>
          </w:p>
        </w:tc>
      </w:tr>
      <w:tr w:rsidR="00B8540E" w:rsidRPr="00FB030E" w14:paraId="3B9F0D07" w14:textId="77777777" w:rsidTr="00B078E9">
        <w:trPr>
          <w:cantSplit/>
          <w:trHeight w:val="20"/>
        </w:trPr>
        <w:tc>
          <w:tcPr>
            <w:tcW w:w="4770" w:type="dxa"/>
            <w:shd w:val="clear" w:color="auto" w:fill="auto"/>
          </w:tcPr>
          <w:p w14:paraId="67740F44" w14:textId="77777777" w:rsidR="008C7F82" w:rsidRPr="00BD6838" w:rsidRDefault="008C7F82" w:rsidP="00E508AC">
            <w:pPr>
              <w:spacing w:before="20" w:after="20"/>
              <w:rPr>
                <w:sz w:val="20"/>
                <w:szCs w:val="20"/>
              </w:rPr>
            </w:pPr>
            <w:r w:rsidRPr="00BD6838">
              <w:rPr>
                <w:sz w:val="20"/>
              </w:rPr>
              <w:t>Federal Standards</w:t>
            </w:r>
          </w:p>
        </w:tc>
        <w:tc>
          <w:tcPr>
            <w:tcW w:w="2430" w:type="dxa"/>
            <w:shd w:val="clear" w:color="auto" w:fill="auto"/>
          </w:tcPr>
          <w:p w14:paraId="6A7A9F1C" w14:textId="77777777" w:rsidR="008C7F82" w:rsidRPr="00FB030E" w:rsidRDefault="008C7F82" w:rsidP="00E508AC">
            <w:pPr>
              <w:spacing w:before="20" w:after="20"/>
              <w:jc w:val="center"/>
              <w:rPr>
                <w:sz w:val="20"/>
                <w:szCs w:val="20"/>
              </w:rPr>
            </w:pPr>
            <w:r>
              <w:rPr>
                <w:sz w:val="20"/>
              </w:rPr>
              <w:t>None.</w:t>
            </w:r>
          </w:p>
        </w:tc>
        <w:tc>
          <w:tcPr>
            <w:tcW w:w="2047" w:type="dxa"/>
            <w:shd w:val="clear" w:color="auto" w:fill="auto"/>
          </w:tcPr>
          <w:p w14:paraId="7D36D53A" w14:textId="77777777" w:rsidR="008C7F82" w:rsidRPr="00FB030E" w:rsidRDefault="008C7F82" w:rsidP="00E508AC">
            <w:pPr>
              <w:spacing w:before="20" w:after="20"/>
              <w:jc w:val="center"/>
              <w:rPr>
                <w:sz w:val="20"/>
                <w:szCs w:val="20"/>
              </w:rPr>
            </w:pPr>
            <w:r>
              <w:rPr>
                <w:sz w:val="20"/>
              </w:rPr>
              <w:t>n/a</w:t>
            </w:r>
          </w:p>
        </w:tc>
      </w:tr>
    </w:tbl>
    <w:p w14:paraId="5FC3A23A" w14:textId="77777777" w:rsidR="007D230B" w:rsidRDefault="007D230B" w:rsidP="0011498C"/>
    <w:p w14:paraId="6F337F5B" w14:textId="47C803E9" w:rsidR="00FA1406" w:rsidRPr="00C26AF1" w:rsidRDefault="00B8540E" w:rsidP="00150986">
      <w:pPr>
        <w:rPr>
          <w:bCs/>
        </w:rPr>
      </w:pPr>
      <w:r w:rsidRPr="00C26AF1">
        <w:t xml:space="preserve">The </w:t>
      </w:r>
      <w:r>
        <w:t>ENERGY STAR</w:t>
      </w:r>
      <w:r w:rsidRPr="00C26AF1">
        <w:t xml:space="preserve"> Test Method for Commercial Dishwashers uses the </w:t>
      </w:r>
      <w:r>
        <w:t>American Society for Testing and Materials (</w:t>
      </w:r>
      <w:r w:rsidRPr="00C26AF1">
        <w:t>ASTM</w:t>
      </w:r>
      <w:r>
        <w:t>)</w:t>
      </w:r>
      <w:r w:rsidRPr="00C26AF1">
        <w:t xml:space="preserve"> F1</w:t>
      </w:r>
      <w:r>
        <w:t>696</w:t>
      </w:r>
      <w:r w:rsidRPr="00C26AF1">
        <w:t>-07 Standard Test Method for Energy Performance Single-Rack, Door-Type Commercial Dishwashing Machines</w:t>
      </w:r>
      <w:r>
        <w:rPr>
          <w:rStyle w:val="FootnoteReference"/>
        </w:rPr>
        <w:footnoteReference w:id="5"/>
      </w:r>
      <w:r>
        <w:t xml:space="preserve"> </w:t>
      </w:r>
      <w:r w:rsidRPr="00C26AF1">
        <w:t>to estimate the energy and water consumption of both the base and measure case</w:t>
      </w:r>
      <w:r w:rsidR="00A96E5D">
        <w:t xml:space="preserve"> models</w:t>
      </w:r>
      <w:r w:rsidRPr="00C26AF1">
        <w:t>.</w:t>
      </w:r>
    </w:p>
    <w:p w14:paraId="25A9C2AB" w14:textId="77777777" w:rsidR="00FA1406" w:rsidRDefault="00FA1406" w:rsidP="0011498C"/>
    <w:p w14:paraId="7C9DD04A" w14:textId="77777777" w:rsidR="007D230B" w:rsidRPr="00171BB8" w:rsidRDefault="007D230B" w:rsidP="001369D7">
      <w:pPr>
        <w:pStyle w:val="eTRMHeading3"/>
      </w:pPr>
      <w:bookmarkStart w:id="19" w:name="_Toc486490851"/>
      <w:bookmarkStart w:id="20" w:name="_Toc486580922"/>
      <w:bookmarkStart w:id="21" w:name="_Toc528680022"/>
      <w:r w:rsidRPr="00A83458">
        <w:t>Normalizing</w:t>
      </w:r>
      <w:r w:rsidRPr="00171BB8">
        <w:t xml:space="preserve"> Unit</w:t>
      </w:r>
      <w:bookmarkEnd w:id="19"/>
      <w:bookmarkEnd w:id="20"/>
      <w:bookmarkEnd w:id="21"/>
    </w:p>
    <w:p w14:paraId="4D4CB399" w14:textId="23EBEA7C" w:rsidR="007D230B" w:rsidRDefault="00C731CE" w:rsidP="00486585">
      <w:r>
        <w:t>Each</w:t>
      </w:r>
      <w:r w:rsidR="00B078E9">
        <w:t>.</w:t>
      </w:r>
      <w:r>
        <w:t xml:space="preserve"> </w:t>
      </w:r>
    </w:p>
    <w:p w14:paraId="1292D338" w14:textId="77777777" w:rsidR="00C731CE" w:rsidRPr="007D230B" w:rsidRDefault="00C731CE" w:rsidP="00486585"/>
    <w:p w14:paraId="25BDCEA2" w14:textId="77777777" w:rsidR="007D230B" w:rsidRPr="004B06E3" w:rsidRDefault="007D230B" w:rsidP="00E51FD3">
      <w:pPr>
        <w:pStyle w:val="eTRMHeading3"/>
      </w:pPr>
      <w:bookmarkStart w:id="22" w:name="_Toc486490852"/>
      <w:bookmarkStart w:id="23" w:name="_Toc486580923"/>
      <w:bookmarkStart w:id="24" w:name="_Toc528680023"/>
      <w:r w:rsidRPr="004B06E3">
        <w:t>Program Requirements</w:t>
      </w:r>
      <w:bookmarkEnd w:id="22"/>
      <w:bookmarkEnd w:id="23"/>
      <w:bookmarkEnd w:id="24"/>
      <w:r w:rsidRPr="004B06E3">
        <w:t xml:space="preserve"> </w:t>
      </w:r>
    </w:p>
    <w:p w14:paraId="128D2E64" w14:textId="77777777" w:rsidR="00A54F11" w:rsidRDefault="00A54F11" w:rsidP="00A54F11">
      <w:pPr>
        <w:pStyle w:val="eTRMHeading5"/>
        <w:keepNext/>
        <w:keepLines/>
      </w:pPr>
      <w:r>
        <w:t>Measure Implementation Eligibility</w:t>
      </w:r>
    </w:p>
    <w:p w14:paraId="4D397DEE" w14:textId="77777777" w:rsidR="00A54F11" w:rsidRDefault="00A54F11" w:rsidP="00A54F11">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36692E3B" w14:textId="77777777" w:rsidR="00714AAE" w:rsidRPr="00CC4643" w:rsidRDefault="00714AAE" w:rsidP="00714AAE">
      <w:pPr>
        <w:rPr>
          <w:i/>
        </w:rPr>
      </w:pPr>
      <w:r w:rsidRPr="00CC4643">
        <w:rPr>
          <w:i/>
        </w:rPr>
        <w:lastRenderedPageBreak/>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0751C26A" w14:textId="77777777" w:rsidR="00A54F11" w:rsidRDefault="00A54F11" w:rsidP="00A54F11">
      <w:pPr>
        <w:pStyle w:val="Caption"/>
        <w:keepNext w:val="0"/>
        <w:keepLines w:val="0"/>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A54F11" w14:paraId="35450B19" w14:textId="77777777" w:rsidTr="00634922">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669C09EA" w14:textId="77777777" w:rsidR="00A54F11" w:rsidRPr="00830614" w:rsidRDefault="00A54F11" w:rsidP="00634922">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0B3532B3" w14:textId="77777777" w:rsidR="00A54F11" w:rsidRPr="00830614" w:rsidRDefault="00A54F11" w:rsidP="00634922">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2E6A498" w14:textId="77777777" w:rsidR="00A54F11" w:rsidRPr="00830614" w:rsidRDefault="00A54F11" w:rsidP="00634922">
            <w:pPr>
              <w:spacing w:before="0" w:after="0" w:line="240" w:lineRule="exact"/>
              <w:rPr>
                <w:b/>
                <w:bCs/>
                <w:sz w:val="20"/>
                <w:szCs w:val="20"/>
              </w:rPr>
            </w:pPr>
            <w:r w:rsidRPr="00830614">
              <w:rPr>
                <w:b/>
                <w:bCs/>
                <w:sz w:val="20"/>
                <w:szCs w:val="20"/>
              </w:rPr>
              <w:t>Sector</w:t>
            </w:r>
          </w:p>
        </w:tc>
      </w:tr>
      <w:tr w:rsidR="007B1AAB" w14:paraId="01765EE1" w14:textId="77777777" w:rsidTr="00C9466F">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E8FFF1" w14:textId="77777777" w:rsidR="007B1AAB" w:rsidRPr="00830614" w:rsidRDefault="007B1AAB" w:rsidP="007B1AAB">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1DAFB07F" w14:textId="1910CC89" w:rsidR="007B1AAB" w:rsidRPr="007B1AAB" w:rsidRDefault="007B1AAB" w:rsidP="007B1AAB">
            <w:pPr>
              <w:spacing w:before="0" w:after="0" w:line="240" w:lineRule="exact"/>
              <w:rPr>
                <w:sz w:val="20"/>
                <w:szCs w:val="20"/>
              </w:rPr>
            </w:pPr>
            <w:r w:rsidRPr="007B1AAB">
              <w:rPr>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12B9FF" w14:textId="77777777" w:rsidR="007B1AAB" w:rsidRPr="00830614" w:rsidRDefault="007B1AAB" w:rsidP="007B1AAB">
            <w:pPr>
              <w:spacing w:before="0" w:after="0" w:line="240" w:lineRule="exact"/>
              <w:rPr>
                <w:color w:val="000000"/>
                <w:sz w:val="20"/>
                <w:szCs w:val="20"/>
              </w:rPr>
            </w:pPr>
            <w:r w:rsidRPr="00830614">
              <w:rPr>
                <w:rFonts w:cs="Calibri Light"/>
                <w:color w:val="000000"/>
                <w:sz w:val="20"/>
                <w:szCs w:val="20"/>
              </w:rPr>
              <w:t>Ag</w:t>
            </w:r>
          </w:p>
        </w:tc>
      </w:tr>
      <w:tr w:rsidR="007B1AAB" w14:paraId="13662BF2" w14:textId="77777777" w:rsidTr="00C9466F">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229F4D" w14:textId="77777777" w:rsidR="007B1AAB" w:rsidRPr="00830614" w:rsidRDefault="007B1AAB" w:rsidP="007B1AAB">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0C462458" w14:textId="3134D557" w:rsidR="007B1AAB" w:rsidRPr="007B1AAB" w:rsidRDefault="007B1AAB" w:rsidP="007B1AAB">
            <w:pPr>
              <w:spacing w:before="0" w:after="0" w:line="240" w:lineRule="exact"/>
              <w:rPr>
                <w:sz w:val="20"/>
                <w:szCs w:val="20"/>
              </w:rPr>
            </w:pPr>
            <w:r w:rsidRPr="007B1AAB">
              <w:rPr>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9ECFB00" w14:textId="77777777" w:rsidR="007B1AAB" w:rsidRPr="00830614" w:rsidRDefault="007B1AAB" w:rsidP="007B1AAB">
            <w:pPr>
              <w:spacing w:before="0" w:after="0" w:line="240" w:lineRule="exact"/>
              <w:rPr>
                <w:color w:val="000000"/>
                <w:sz w:val="20"/>
                <w:szCs w:val="20"/>
              </w:rPr>
            </w:pPr>
            <w:r w:rsidRPr="00830614">
              <w:rPr>
                <w:rFonts w:cs="Calibri Light"/>
                <w:color w:val="000000"/>
                <w:sz w:val="20"/>
                <w:szCs w:val="20"/>
              </w:rPr>
              <w:t>Ind</w:t>
            </w:r>
          </w:p>
        </w:tc>
      </w:tr>
      <w:tr w:rsidR="007B1AAB" w14:paraId="159053B5" w14:textId="77777777" w:rsidTr="00C9466F">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1B0A53A" w14:textId="77777777" w:rsidR="007B1AAB" w:rsidRPr="00830614" w:rsidRDefault="007B1AAB" w:rsidP="007B1AAB">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00BF7266" w14:textId="578996E4" w:rsidR="007B1AAB" w:rsidRPr="007B1AAB" w:rsidRDefault="007B1AAB" w:rsidP="007B1AAB">
            <w:pPr>
              <w:spacing w:before="0" w:after="0" w:line="240" w:lineRule="exact"/>
              <w:rPr>
                <w:sz w:val="20"/>
                <w:szCs w:val="20"/>
              </w:rPr>
            </w:pPr>
            <w:r w:rsidRPr="007B1AAB">
              <w:rPr>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B945BBE" w14:textId="77777777" w:rsidR="007B1AAB" w:rsidRPr="00830614" w:rsidRDefault="007B1AAB" w:rsidP="007B1AAB">
            <w:pPr>
              <w:spacing w:before="0" w:after="0" w:line="240" w:lineRule="exact"/>
              <w:rPr>
                <w:color w:val="000000"/>
                <w:sz w:val="20"/>
                <w:szCs w:val="20"/>
              </w:rPr>
            </w:pPr>
            <w:r w:rsidRPr="00830614">
              <w:rPr>
                <w:rFonts w:cs="Calibri Light"/>
                <w:color w:val="000000"/>
                <w:sz w:val="20"/>
                <w:szCs w:val="20"/>
              </w:rPr>
              <w:t>Com</w:t>
            </w:r>
          </w:p>
        </w:tc>
      </w:tr>
      <w:tr w:rsidR="007B1AAB" w14:paraId="48910D68" w14:textId="77777777" w:rsidTr="00DA6B99">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CE7F0DD"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9102B45" w14:textId="024BBF9C" w:rsidR="007B1AAB" w:rsidRPr="007B1AAB" w:rsidRDefault="007B1AAB" w:rsidP="007B1AAB">
            <w:pPr>
              <w:spacing w:before="0" w:after="0" w:line="240" w:lineRule="exact"/>
              <w:rPr>
                <w:sz w:val="20"/>
                <w:szCs w:val="20"/>
              </w:rPr>
            </w:pPr>
            <w:r w:rsidRPr="007B1AAB">
              <w:rPr>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C58DFDE"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Ag</w:t>
            </w:r>
          </w:p>
        </w:tc>
      </w:tr>
      <w:tr w:rsidR="007B1AAB" w14:paraId="790B59CD" w14:textId="77777777" w:rsidTr="00DA6B99">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FBC2CBD"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710D4651" w14:textId="099C8145" w:rsidR="007B1AAB" w:rsidRPr="007B1AAB" w:rsidRDefault="007B1AAB" w:rsidP="007B1AAB">
            <w:pPr>
              <w:spacing w:before="0" w:after="0" w:line="240" w:lineRule="exact"/>
              <w:rPr>
                <w:sz w:val="20"/>
                <w:szCs w:val="20"/>
              </w:rPr>
            </w:pPr>
            <w:r w:rsidRPr="007B1AAB">
              <w:rPr>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54F94C7"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Ind</w:t>
            </w:r>
          </w:p>
        </w:tc>
      </w:tr>
      <w:tr w:rsidR="007B1AAB" w14:paraId="1ACDD47F" w14:textId="77777777" w:rsidTr="00DA6B99">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810090"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6FF6E27" w14:textId="36E37119" w:rsidR="007B1AAB" w:rsidRPr="007B1AAB" w:rsidRDefault="007B1AAB" w:rsidP="007B1AAB">
            <w:pPr>
              <w:spacing w:before="0" w:after="0" w:line="240" w:lineRule="exact"/>
              <w:rPr>
                <w:sz w:val="20"/>
                <w:szCs w:val="20"/>
              </w:rPr>
            </w:pPr>
            <w:r w:rsidRPr="007B1AAB">
              <w:rPr>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0319FD7"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Com</w:t>
            </w:r>
          </w:p>
        </w:tc>
      </w:tr>
      <w:tr w:rsidR="007B1AAB" w14:paraId="72877A0D" w14:textId="77777777" w:rsidTr="00125DC8">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5DDA5C"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5C8EED89" w14:textId="549AFE52" w:rsidR="007B1AAB" w:rsidRPr="007B1AAB" w:rsidRDefault="007B1AAB" w:rsidP="007B1AAB">
            <w:pPr>
              <w:spacing w:before="0" w:after="0" w:line="240" w:lineRule="exact"/>
              <w:rPr>
                <w:sz w:val="20"/>
                <w:szCs w:val="20"/>
              </w:rPr>
            </w:pPr>
            <w:r w:rsidRPr="007B1AAB">
              <w:rPr>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3B931B"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Ag</w:t>
            </w:r>
          </w:p>
        </w:tc>
      </w:tr>
      <w:tr w:rsidR="007B1AAB" w14:paraId="2AB137ED" w14:textId="77777777" w:rsidTr="00125DC8">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2623FAE"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1E31D2E6" w14:textId="0D598406" w:rsidR="007B1AAB" w:rsidRPr="007B1AAB" w:rsidRDefault="007B1AAB" w:rsidP="007B1AAB">
            <w:pPr>
              <w:spacing w:before="0" w:after="0" w:line="240" w:lineRule="exact"/>
              <w:rPr>
                <w:sz w:val="20"/>
                <w:szCs w:val="20"/>
              </w:rPr>
            </w:pPr>
            <w:r w:rsidRPr="007B1AAB">
              <w:rPr>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748F7A"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Ind</w:t>
            </w:r>
          </w:p>
        </w:tc>
      </w:tr>
      <w:tr w:rsidR="007B1AAB" w14:paraId="52E27F54" w14:textId="77777777" w:rsidTr="00125DC8">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BB5BA2"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0DB73C35" w14:textId="020D71C2" w:rsidR="007B1AAB" w:rsidRPr="007B1AAB" w:rsidRDefault="007B1AAB" w:rsidP="007B1AAB">
            <w:pPr>
              <w:spacing w:before="0" w:after="0" w:line="240" w:lineRule="exact"/>
              <w:rPr>
                <w:sz w:val="20"/>
                <w:szCs w:val="20"/>
              </w:rPr>
            </w:pPr>
            <w:r w:rsidRPr="007B1AAB">
              <w:rPr>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98D7586"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Com</w:t>
            </w:r>
          </w:p>
        </w:tc>
      </w:tr>
      <w:tr w:rsidR="007B1AAB" w14:paraId="265EDDBE" w14:textId="77777777" w:rsidTr="00E40373">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5856886" w14:textId="77777777" w:rsidR="007B1AAB" w:rsidRPr="00830614" w:rsidRDefault="007B1AAB" w:rsidP="007B1AAB">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2A07BB04" w14:textId="57292F22" w:rsidR="007B1AAB" w:rsidRPr="007B1AAB" w:rsidRDefault="007B1AAB" w:rsidP="007B1AAB">
            <w:pPr>
              <w:spacing w:before="0" w:after="0" w:line="240" w:lineRule="exact"/>
              <w:rPr>
                <w:sz w:val="20"/>
                <w:szCs w:val="20"/>
              </w:rPr>
            </w:pPr>
            <w:r w:rsidRPr="007B1AAB">
              <w:rPr>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59E563C"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Ag</w:t>
            </w:r>
          </w:p>
        </w:tc>
      </w:tr>
      <w:tr w:rsidR="007B1AAB" w14:paraId="32D5F481" w14:textId="77777777" w:rsidTr="00E40373">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06D805E" w14:textId="77777777" w:rsidR="007B1AAB" w:rsidRPr="00830614" w:rsidRDefault="007B1AAB" w:rsidP="007B1AAB">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23E24E6C" w14:textId="0379BB56" w:rsidR="007B1AAB" w:rsidRPr="007B1AAB" w:rsidRDefault="007B1AAB" w:rsidP="007B1AAB">
            <w:pPr>
              <w:spacing w:before="0" w:after="0" w:line="240" w:lineRule="exact"/>
              <w:rPr>
                <w:sz w:val="20"/>
                <w:szCs w:val="20"/>
              </w:rPr>
            </w:pPr>
            <w:r w:rsidRPr="007B1AAB">
              <w:rPr>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BE74885"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Ind</w:t>
            </w:r>
          </w:p>
        </w:tc>
      </w:tr>
      <w:tr w:rsidR="007B1AAB" w14:paraId="0E0E42C2" w14:textId="77777777" w:rsidTr="00E40373">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511B8B4" w14:textId="77777777" w:rsidR="007B1AAB" w:rsidRPr="00830614" w:rsidRDefault="007B1AAB" w:rsidP="007B1AAB">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23E7A1F1" w14:textId="5E2F9774" w:rsidR="007B1AAB" w:rsidRPr="007B1AAB" w:rsidRDefault="007B1AAB" w:rsidP="007B1AAB">
            <w:pPr>
              <w:spacing w:before="0" w:after="0" w:line="240" w:lineRule="exact"/>
              <w:rPr>
                <w:sz w:val="20"/>
                <w:szCs w:val="20"/>
              </w:rPr>
            </w:pPr>
            <w:r w:rsidRPr="007B1AAB">
              <w:rPr>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83C5825"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Com</w:t>
            </w:r>
          </w:p>
        </w:tc>
      </w:tr>
      <w:tr w:rsidR="007B1AAB" w14:paraId="442C9E01" w14:textId="77777777" w:rsidTr="008117A4">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423D29C" w14:textId="77777777" w:rsidR="007B1AAB" w:rsidRPr="00830614" w:rsidRDefault="007B1AAB" w:rsidP="007B1AAB">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7D53851B" w14:textId="40DF52E9" w:rsidR="007B1AAB" w:rsidRPr="007B1AAB" w:rsidRDefault="007B1AAB" w:rsidP="007B1AAB">
            <w:pPr>
              <w:spacing w:before="0" w:after="0" w:line="240" w:lineRule="exact"/>
              <w:rPr>
                <w:sz w:val="20"/>
                <w:szCs w:val="20"/>
              </w:rPr>
            </w:pPr>
            <w:r w:rsidRPr="007B1AAB">
              <w:rPr>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826663B"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Ag</w:t>
            </w:r>
          </w:p>
        </w:tc>
      </w:tr>
      <w:tr w:rsidR="007B1AAB" w14:paraId="669EF8E1" w14:textId="77777777" w:rsidTr="008117A4">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EB66B85" w14:textId="77777777" w:rsidR="007B1AAB" w:rsidRPr="00830614" w:rsidRDefault="007B1AAB" w:rsidP="007B1AAB">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3747C162" w14:textId="0F40AEF3" w:rsidR="007B1AAB" w:rsidRPr="007B1AAB" w:rsidRDefault="007B1AAB" w:rsidP="007B1AAB">
            <w:pPr>
              <w:spacing w:before="0" w:after="0" w:line="240" w:lineRule="exact"/>
              <w:rPr>
                <w:sz w:val="20"/>
                <w:szCs w:val="20"/>
              </w:rPr>
            </w:pPr>
            <w:r w:rsidRPr="007B1AAB">
              <w:rPr>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6D28E03"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Ind</w:t>
            </w:r>
          </w:p>
        </w:tc>
      </w:tr>
      <w:tr w:rsidR="007B1AAB" w14:paraId="103593DD" w14:textId="77777777" w:rsidTr="008117A4">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BBED03D" w14:textId="77777777" w:rsidR="007B1AAB" w:rsidRPr="00830614" w:rsidRDefault="007B1AAB" w:rsidP="007B1AAB">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6247A1B4" w14:textId="51463387" w:rsidR="007B1AAB" w:rsidRPr="007B1AAB" w:rsidRDefault="007B1AAB" w:rsidP="007B1AAB">
            <w:pPr>
              <w:spacing w:before="0" w:after="0" w:line="240" w:lineRule="exact"/>
              <w:rPr>
                <w:sz w:val="20"/>
                <w:szCs w:val="20"/>
              </w:rPr>
            </w:pPr>
            <w:r w:rsidRPr="007B1AAB">
              <w:rPr>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11365CE"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Com</w:t>
            </w:r>
          </w:p>
        </w:tc>
      </w:tr>
      <w:tr w:rsidR="007B1AAB" w14:paraId="37EC34D4" w14:textId="77777777" w:rsidTr="00E52BC4">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763ADB" w14:textId="77777777" w:rsidR="007B1AAB" w:rsidRPr="00830614" w:rsidRDefault="007B1AAB" w:rsidP="007B1AAB">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3CBCDEE4" w14:textId="2660E879" w:rsidR="007B1AAB" w:rsidRPr="007B1AAB" w:rsidRDefault="007B1AAB" w:rsidP="007B1AAB">
            <w:pPr>
              <w:spacing w:before="0" w:after="0" w:line="240" w:lineRule="exact"/>
              <w:rPr>
                <w:sz w:val="20"/>
                <w:szCs w:val="20"/>
              </w:rPr>
            </w:pPr>
            <w:r w:rsidRPr="007B1AAB">
              <w:rPr>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4BFAA12"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Ag</w:t>
            </w:r>
          </w:p>
        </w:tc>
      </w:tr>
      <w:tr w:rsidR="007B1AAB" w14:paraId="1C2A7210" w14:textId="77777777" w:rsidTr="00E52BC4">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BB37D02" w14:textId="77777777" w:rsidR="007B1AAB" w:rsidRPr="00830614" w:rsidRDefault="007B1AAB" w:rsidP="007B1AAB">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2FCFA752" w14:textId="503E469F" w:rsidR="007B1AAB" w:rsidRPr="007B1AAB" w:rsidRDefault="007B1AAB" w:rsidP="007B1AAB">
            <w:pPr>
              <w:spacing w:before="0" w:after="0" w:line="240" w:lineRule="exact"/>
              <w:rPr>
                <w:sz w:val="20"/>
                <w:szCs w:val="20"/>
              </w:rPr>
            </w:pPr>
            <w:r w:rsidRPr="007B1AAB">
              <w:rPr>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C52B65A"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Ind</w:t>
            </w:r>
          </w:p>
        </w:tc>
      </w:tr>
      <w:tr w:rsidR="007B1AAB" w14:paraId="06C4CE5F" w14:textId="77777777" w:rsidTr="00E52BC4">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366A1B6" w14:textId="77777777" w:rsidR="007B1AAB" w:rsidRPr="00830614" w:rsidRDefault="007B1AAB" w:rsidP="007B1AAB">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33568B0D" w14:textId="200D99B8" w:rsidR="007B1AAB" w:rsidRPr="007B1AAB" w:rsidRDefault="007B1AAB" w:rsidP="007B1AAB">
            <w:pPr>
              <w:spacing w:before="0" w:after="0" w:line="240" w:lineRule="exact"/>
              <w:rPr>
                <w:sz w:val="20"/>
                <w:szCs w:val="20"/>
              </w:rPr>
            </w:pPr>
            <w:r w:rsidRPr="007B1AAB">
              <w:rPr>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A213396" w14:textId="77777777" w:rsidR="007B1AAB" w:rsidRPr="00830614" w:rsidRDefault="007B1AAB" w:rsidP="007B1AAB">
            <w:pPr>
              <w:spacing w:before="0" w:after="0" w:line="240" w:lineRule="exact"/>
              <w:rPr>
                <w:rFonts w:cs="Calibri Light"/>
                <w:color w:val="000000"/>
                <w:sz w:val="20"/>
                <w:szCs w:val="20"/>
              </w:rPr>
            </w:pPr>
            <w:r w:rsidRPr="00830614">
              <w:rPr>
                <w:rFonts w:cs="Calibri Light"/>
                <w:color w:val="000000"/>
                <w:sz w:val="20"/>
                <w:szCs w:val="20"/>
              </w:rPr>
              <w:t>Com</w:t>
            </w:r>
          </w:p>
        </w:tc>
      </w:tr>
    </w:tbl>
    <w:p w14:paraId="472DD3ED" w14:textId="77777777" w:rsidR="00A54F11" w:rsidRDefault="00A54F11" w:rsidP="00A54F11"/>
    <w:p w14:paraId="7DACD4AB" w14:textId="780EA845" w:rsidR="00AA46AF" w:rsidRDefault="00196649" w:rsidP="00154391">
      <w:pPr>
        <w:pStyle w:val="eTRMHeading5"/>
      </w:pPr>
      <w:r>
        <w:t>Eligible Products</w:t>
      </w:r>
    </w:p>
    <w:p w14:paraId="6A67B0AF" w14:textId="0FD03F6E" w:rsidR="00CD25B5" w:rsidRDefault="00CD25B5" w:rsidP="00CD25B5">
      <w:r w:rsidRPr="002C01E3">
        <w:t>This meas</w:t>
      </w:r>
      <w:r>
        <w:t>ure includes new commercial low- and high-</w:t>
      </w:r>
      <w:r w:rsidRPr="002C01E3">
        <w:t xml:space="preserve">temperature </w:t>
      </w:r>
      <w:r w:rsidRPr="00E42194">
        <w:t xml:space="preserve">door-type dishwashers that meet the efficiency requirements </w:t>
      </w:r>
      <w:r w:rsidR="00B8540E">
        <w:t>presented</w:t>
      </w:r>
      <w:r w:rsidRPr="00E42194">
        <w:t xml:space="preserve"> in </w:t>
      </w:r>
      <w:r w:rsidR="001C00DE">
        <w:t>the Measure Case Description</w:t>
      </w:r>
      <w:r w:rsidRPr="00E42194">
        <w:t>.</w:t>
      </w:r>
    </w:p>
    <w:p w14:paraId="431E1E5A" w14:textId="77777777" w:rsidR="00342696" w:rsidRPr="00E42194" w:rsidRDefault="00342696" w:rsidP="00CD25B5"/>
    <w:p w14:paraId="54C796F8" w14:textId="753BA80F" w:rsidR="007B6A74" w:rsidRDefault="007B6A74" w:rsidP="00401C43">
      <w:pPr>
        <w:pStyle w:val="eTRMHeading5"/>
      </w:pPr>
      <w:r w:rsidRPr="00401C43">
        <w:t>Eligible Building Types</w:t>
      </w:r>
      <w:r w:rsidR="008D5D55">
        <w:t xml:space="preserve"> and Vintages</w:t>
      </w:r>
    </w:p>
    <w:p w14:paraId="07F77B1E" w14:textId="757F2FCB" w:rsidR="00CD25B5" w:rsidRDefault="00CD25B5" w:rsidP="00CD25B5">
      <w:r w:rsidRPr="002C01E3">
        <w:t xml:space="preserve">This measure is applicable </w:t>
      </w:r>
      <w:r w:rsidR="00E508AC">
        <w:t>for</w:t>
      </w:r>
      <w:r w:rsidRPr="002C01E3">
        <w:t xml:space="preserve"> any</w:t>
      </w:r>
      <w:r w:rsidR="00A51F16">
        <w:t xml:space="preserve"> nonresidential</w:t>
      </w:r>
      <w:r w:rsidRPr="002C01E3">
        <w:t xml:space="preserve"> </w:t>
      </w:r>
      <w:r>
        <w:t xml:space="preserve">building </w:t>
      </w:r>
      <w:r w:rsidR="0001166E">
        <w:t xml:space="preserve">type </w:t>
      </w:r>
      <w:r w:rsidR="00A51F16">
        <w:t>of</w:t>
      </w:r>
      <w:r w:rsidR="0001166E">
        <w:t xml:space="preserve"> any vintage.</w:t>
      </w:r>
    </w:p>
    <w:p w14:paraId="2B597B6E" w14:textId="77777777" w:rsidR="00342696" w:rsidRDefault="00342696" w:rsidP="00CD25B5"/>
    <w:p w14:paraId="3B60607A" w14:textId="77777777" w:rsidR="007B6A74" w:rsidRPr="004B06E3" w:rsidRDefault="00196649" w:rsidP="00154391">
      <w:pPr>
        <w:pStyle w:val="eTRMHeading5"/>
      </w:pPr>
      <w:r>
        <w:t>Eligible Climate Zones</w:t>
      </w:r>
    </w:p>
    <w:p w14:paraId="7B61FAD0" w14:textId="156248F7" w:rsidR="006C41AD" w:rsidRDefault="00CD25B5" w:rsidP="004B06E3">
      <w:r w:rsidRPr="002C01E3">
        <w:t xml:space="preserve">This measure is applicable </w:t>
      </w:r>
      <w:r w:rsidR="00A51F16">
        <w:t>in</w:t>
      </w:r>
      <w:r w:rsidRPr="002C01E3">
        <w:t xml:space="preserve"> any </w:t>
      </w:r>
      <w:r w:rsidR="00C731CE">
        <w:t xml:space="preserve">California </w:t>
      </w:r>
      <w:r>
        <w:t>climate zone.</w:t>
      </w:r>
    </w:p>
    <w:p w14:paraId="78DFFD3D" w14:textId="77777777" w:rsidR="002035D6" w:rsidRPr="004B06E3" w:rsidRDefault="002035D6" w:rsidP="004B06E3"/>
    <w:p w14:paraId="4402FAC8" w14:textId="77777777" w:rsidR="007D230B" w:rsidRPr="004B06E3" w:rsidRDefault="007D230B" w:rsidP="001369D7">
      <w:pPr>
        <w:pStyle w:val="eTRMHeading3"/>
      </w:pPr>
      <w:bookmarkStart w:id="27" w:name="_Toc486490853"/>
      <w:bookmarkStart w:id="28" w:name="_Toc486580924"/>
      <w:bookmarkStart w:id="29" w:name="_Toc528680024"/>
      <w:r w:rsidRPr="004B06E3">
        <w:t>Program Exclusions</w:t>
      </w:r>
      <w:bookmarkEnd w:id="27"/>
      <w:bookmarkEnd w:id="28"/>
      <w:bookmarkEnd w:id="29"/>
      <w:r w:rsidRPr="004B06E3">
        <w:t xml:space="preserve"> </w:t>
      </w:r>
    </w:p>
    <w:p w14:paraId="72E26AB1" w14:textId="77777777" w:rsidR="0091424F" w:rsidRDefault="00823E36" w:rsidP="00823E36">
      <w:r w:rsidRPr="002C01E3">
        <w:t>Used or rebuilt equipment</w:t>
      </w:r>
    </w:p>
    <w:p w14:paraId="79256195" w14:textId="4C73F0BA" w:rsidR="0054565A" w:rsidRPr="0054565A" w:rsidRDefault="0091424F" w:rsidP="00823E36">
      <w:pPr>
        <w:rPr>
          <w:i/>
        </w:rPr>
      </w:pPr>
      <w:r>
        <w:t>O</w:t>
      </w:r>
      <w:r w:rsidR="00823E36">
        <w:t xml:space="preserve">ther dishwasher types (conveyor, under-counter, flight-type) are not eligible. </w:t>
      </w:r>
    </w:p>
    <w:p w14:paraId="28ACDE06" w14:textId="77777777" w:rsidR="007B6A74" w:rsidRPr="004B06E3" w:rsidRDefault="007B6A74" w:rsidP="004B06E3"/>
    <w:p w14:paraId="0ACE4F65" w14:textId="77777777" w:rsidR="007D230B" w:rsidRPr="004B06E3" w:rsidRDefault="007D230B" w:rsidP="001369D7">
      <w:pPr>
        <w:pStyle w:val="eTRMHeading3"/>
      </w:pPr>
      <w:bookmarkStart w:id="30" w:name="_Toc486490854"/>
      <w:bookmarkStart w:id="31" w:name="_Toc486580925"/>
      <w:bookmarkStart w:id="32" w:name="_Toc528680025"/>
      <w:r w:rsidRPr="004B06E3">
        <w:t>Data Collection Requirements</w:t>
      </w:r>
      <w:bookmarkEnd w:id="30"/>
      <w:bookmarkEnd w:id="31"/>
      <w:bookmarkEnd w:id="32"/>
      <w:r w:rsidRPr="004B06E3">
        <w:t xml:space="preserve"> </w:t>
      </w:r>
    </w:p>
    <w:p w14:paraId="2C8F6C77" w14:textId="7D545480" w:rsidR="00B078E9" w:rsidRDefault="00E508AC" w:rsidP="00B078E9">
      <w:r>
        <w:t>Data collection requirements are to be determined.</w:t>
      </w:r>
    </w:p>
    <w:p w14:paraId="273ABE78" w14:textId="77777777" w:rsidR="00E508AC" w:rsidRPr="00B078E9" w:rsidRDefault="00E508AC" w:rsidP="00B078E9"/>
    <w:p w14:paraId="67438A57" w14:textId="77777777" w:rsidR="007D230B" w:rsidRPr="004B06E3" w:rsidRDefault="007D230B" w:rsidP="001369D7">
      <w:pPr>
        <w:pStyle w:val="eTRMHeading3"/>
      </w:pPr>
      <w:bookmarkStart w:id="33" w:name="_Toc486490855"/>
      <w:bookmarkStart w:id="34" w:name="_Toc486580926"/>
      <w:bookmarkStart w:id="35" w:name="_Toc528680026"/>
      <w:r w:rsidRPr="004B06E3">
        <w:lastRenderedPageBreak/>
        <w:t>Use Category</w:t>
      </w:r>
      <w:bookmarkEnd w:id="33"/>
      <w:bookmarkEnd w:id="34"/>
      <w:bookmarkEnd w:id="35"/>
    </w:p>
    <w:p w14:paraId="3CB398DD" w14:textId="77777777" w:rsidR="00B6678C" w:rsidRDefault="00B6678C" w:rsidP="00B6678C">
      <w:r>
        <w:t>Food Service (FoodServ)</w:t>
      </w:r>
    </w:p>
    <w:p w14:paraId="33FC88A3" w14:textId="4D5F8905" w:rsidR="004142EF" w:rsidRPr="004B06E3" w:rsidRDefault="004142EF" w:rsidP="004B06E3"/>
    <w:p w14:paraId="65F97A5A" w14:textId="77777777" w:rsidR="008F21AB" w:rsidRDefault="008F21AB" w:rsidP="008F21AB">
      <w:pPr>
        <w:pStyle w:val="eTRMHeading3"/>
      </w:pPr>
      <w:bookmarkStart w:id="36" w:name="_Toc506890113"/>
      <w:bookmarkStart w:id="37" w:name="_Toc528680027"/>
      <w:bookmarkStart w:id="38" w:name="_Toc517178421"/>
      <w:r w:rsidRPr="004B06E3">
        <w:t>Electric Savings (</w:t>
      </w:r>
      <w:r w:rsidRPr="007D2355">
        <w:rPr>
          <w:caps w:val="0"/>
        </w:rPr>
        <w:t>k</w:t>
      </w:r>
      <w:r w:rsidRPr="004B06E3">
        <w:t>W</w:t>
      </w:r>
      <w:r w:rsidRPr="00851FDC">
        <w:rPr>
          <w:caps w:val="0"/>
        </w:rPr>
        <w:t>h</w:t>
      </w:r>
      <w:r w:rsidRPr="004B06E3">
        <w:t>)</w:t>
      </w:r>
      <w:bookmarkEnd w:id="36"/>
      <w:bookmarkEnd w:id="37"/>
    </w:p>
    <w:bookmarkEnd w:id="38"/>
    <w:p w14:paraId="654D5ACB" w14:textId="40400875" w:rsidR="0054501E" w:rsidRPr="00F84224" w:rsidRDefault="0054501E" w:rsidP="0054501E">
      <w:r w:rsidRPr="00F84224">
        <w:t xml:space="preserve">The basis for </w:t>
      </w:r>
      <w:r w:rsidR="00C60ACD">
        <w:t xml:space="preserve">electric </w:t>
      </w:r>
      <w:r w:rsidR="00942462">
        <w:t xml:space="preserve">unit </w:t>
      </w:r>
      <w:r w:rsidRPr="00F84224">
        <w:t xml:space="preserve">energy savings </w:t>
      </w:r>
      <w:r w:rsidR="00942462">
        <w:t xml:space="preserve">(UES) </w:t>
      </w:r>
      <w:r w:rsidRPr="00F84224">
        <w:t xml:space="preserve">is the difference between the water heating </w:t>
      </w:r>
      <w:r w:rsidR="00942462">
        <w:t xml:space="preserve">unit </w:t>
      </w:r>
      <w:r w:rsidRPr="00F84224">
        <w:t xml:space="preserve">energy </w:t>
      </w:r>
      <w:r w:rsidR="00942462">
        <w:t>consumption (UEC) of</w:t>
      </w:r>
      <w:r w:rsidRPr="00F84224">
        <w:t xml:space="preserve"> the base case </w:t>
      </w:r>
      <w:r w:rsidR="00B8540E">
        <w:t>and</w:t>
      </w:r>
      <w:r w:rsidRPr="00F84224">
        <w:t xml:space="preserve"> </w:t>
      </w:r>
      <w:r w:rsidR="00357E33">
        <w:t>measure case</w:t>
      </w:r>
      <w:r w:rsidR="00A96E5D">
        <w:t xml:space="preserve"> dishwasher models</w:t>
      </w:r>
      <w:r w:rsidR="00357E33">
        <w:t xml:space="preserve">. </w:t>
      </w:r>
      <w:r w:rsidR="00942462">
        <w:t>Because energy-</w:t>
      </w:r>
      <w:r w:rsidRPr="00F84224">
        <w:t xml:space="preserve">efficient units </w:t>
      </w:r>
      <w:r w:rsidR="00B8540E">
        <w:t>require</w:t>
      </w:r>
      <w:r w:rsidRPr="00F84224">
        <w:t xml:space="preserve"> considerably less water, less energy </w:t>
      </w:r>
      <w:r w:rsidR="00B8540E">
        <w:t>is</w:t>
      </w:r>
      <w:r w:rsidRPr="00F84224">
        <w:t xml:space="preserve"> required </w:t>
      </w:r>
      <w:r w:rsidR="00B8540E">
        <w:t>for water heating</w:t>
      </w:r>
      <w:r w:rsidRPr="00F84224">
        <w:t>. For both low</w:t>
      </w:r>
      <w:r w:rsidR="00357E33">
        <w:t>-</w:t>
      </w:r>
      <w:r w:rsidRPr="00F84224">
        <w:t xml:space="preserve"> and high</w:t>
      </w:r>
      <w:r w:rsidR="00357E33">
        <w:t>-</w:t>
      </w:r>
      <w:r w:rsidRPr="00F84224">
        <w:t xml:space="preserve">temperature machines, </w:t>
      </w:r>
      <w:r w:rsidR="00B8540E">
        <w:t xml:space="preserve">the </w:t>
      </w:r>
      <w:r w:rsidRPr="00F84224">
        <w:t xml:space="preserve">base case </w:t>
      </w:r>
      <w:r w:rsidR="008128A6">
        <w:t>UEC</w:t>
      </w:r>
      <w:r w:rsidRPr="00F84224">
        <w:t xml:space="preserve"> is based on the energy required to heat water for the dishwashing and sanitizing cycles. The high</w:t>
      </w:r>
      <w:r w:rsidR="003B08E9">
        <w:t>-</w:t>
      </w:r>
      <w:r w:rsidRPr="00F84224">
        <w:t>temperature unit water heating energy components</w:t>
      </w:r>
      <w:r w:rsidR="0042300F">
        <w:t xml:space="preserve"> are</w:t>
      </w:r>
      <w:r w:rsidRPr="00F84224">
        <w:t xml:space="preserve"> further split into </w:t>
      </w:r>
      <w:r w:rsidRPr="00186649">
        <w:rPr>
          <w:i/>
        </w:rPr>
        <w:t>primary</w:t>
      </w:r>
      <w:r w:rsidRPr="00F84224">
        <w:t xml:space="preserve"> and </w:t>
      </w:r>
      <w:r w:rsidRPr="00186649">
        <w:rPr>
          <w:i/>
        </w:rPr>
        <w:t>booster</w:t>
      </w:r>
      <w:r w:rsidRPr="00F84224">
        <w:t xml:space="preserve"> water heating.</w:t>
      </w:r>
    </w:p>
    <w:p w14:paraId="4D55FC74" w14:textId="13EA43A5" w:rsidR="00C60DC7" w:rsidRPr="001C00DE" w:rsidRDefault="008128A6" w:rsidP="0054501E">
      <w:pPr>
        <w:rPr>
          <w:sz w:val="28"/>
        </w:rPr>
      </w:pPr>
      <w:r>
        <w:t xml:space="preserve">The calculation of the annual electric UEC is </w:t>
      </w:r>
      <w:r w:rsidR="00A200EC">
        <w:t xml:space="preserve">calculated as the difference between the </w:t>
      </w:r>
      <w:r w:rsidR="00790675">
        <w:t>baseline</w:t>
      </w:r>
      <w:r w:rsidR="00A200EC">
        <w:t xml:space="preserve"> UEC and the measure case UEC. </w:t>
      </w:r>
      <w:r w:rsidR="001C00DE" w:rsidRPr="001C00DE">
        <w:rPr>
          <w:rStyle w:val="eTRMFootnoteTextChar"/>
          <w:sz w:val="22"/>
        </w:rPr>
        <w:t xml:space="preserve">Note that motor energy and standby losses are assumed to be the same for both the base case and the measure case and are therefore not </w:t>
      </w:r>
      <w:r w:rsidR="00A200EC">
        <w:rPr>
          <w:rStyle w:val="eTRMFootnoteTextChar"/>
          <w:sz w:val="22"/>
        </w:rPr>
        <w:t>presented</w:t>
      </w:r>
      <w:r w:rsidR="001C00DE" w:rsidRPr="001C00DE">
        <w:rPr>
          <w:rStyle w:val="eTRMFootnoteTextChar"/>
          <w:sz w:val="22"/>
        </w:rPr>
        <w:t xml:space="preserve"> in the energy savings calculations.</w:t>
      </w:r>
    </w:p>
    <w:p w14:paraId="3757FFD3" w14:textId="46AC408A" w:rsidR="00CF4CBA" w:rsidRPr="00CF4CBA" w:rsidRDefault="00790675" w:rsidP="00CF4CBA">
      <w:pPr>
        <w:ind w:left="720"/>
        <w:rPr>
          <w:bCs/>
          <w:sz w:val="18"/>
          <w:szCs w:val="18"/>
        </w:rPr>
      </w:pPr>
      <m:oMathPara>
        <m:oMathParaPr>
          <m:jc m:val="left"/>
        </m:oMathParaPr>
        <m:oMath>
          <m:r>
            <w:rPr>
              <w:rFonts w:ascii="Cambria Math" w:hAnsi="Cambria Math"/>
              <w:sz w:val="18"/>
              <w:szCs w:val="18"/>
            </w:rPr>
            <m:t>UEC_YEAR=Electric Water Heater Energy+Booster Water Heater Energy+Idle Energy</m:t>
          </m:r>
        </m:oMath>
      </m:oMathPara>
    </w:p>
    <w:p w14:paraId="57F6F7FE" w14:textId="57BA14FC" w:rsidR="00790675" w:rsidRDefault="00790675" w:rsidP="0054501E"/>
    <w:p w14:paraId="18C3FE63" w14:textId="46EABB89" w:rsidR="00790675" w:rsidRDefault="00790675" w:rsidP="0054501E">
      <w:r>
        <w:t>Each term in the UEC calculation is detailed below, followed by all inputs and assumptions.</w:t>
      </w:r>
    </w:p>
    <w:p w14:paraId="39A05A6F" w14:textId="77777777" w:rsidR="00790675" w:rsidRDefault="00790675" w:rsidP="0054501E"/>
    <w:p w14:paraId="22EC5BE1" w14:textId="7EAE1F8E" w:rsidR="008F5B1B" w:rsidRDefault="008F5B1B" w:rsidP="00186649">
      <w:pPr>
        <w:pStyle w:val="eTRMHeading4"/>
      </w:pPr>
      <w:r>
        <w:t>Electric Water Heater Energy</w:t>
      </w:r>
      <w:r w:rsidR="008128A6">
        <w:t xml:space="preserve"> Use</w:t>
      </w:r>
    </w:p>
    <w:p w14:paraId="157748A3" w14:textId="27CF031C" w:rsidR="008F5B1B" w:rsidRDefault="00186649" w:rsidP="008F5B1B">
      <w:r>
        <w:t>Electric</w:t>
      </w:r>
      <w:r w:rsidR="008F5B1B">
        <w:t xml:space="preserve"> water heater energy use is a function of water consumption (GPR), the number of racks washed per year, the UEC per gallon of water</w:t>
      </w:r>
      <w:r w:rsidR="008A1E29">
        <w:t xml:space="preserve">, </w:t>
      </w:r>
      <w:r w:rsidR="00E92644">
        <w:t xml:space="preserve">and </w:t>
      </w:r>
      <w:r w:rsidR="008A1E29">
        <w:t>market penetration</w:t>
      </w:r>
      <w:r w:rsidR="00E92644">
        <w:t xml:space="preserve"> of electric water heating and booster heating.</w:t>
      </w:r>
    </w:p>
    <w:p w14:paraId="788E8012" w14:textId="4CF9EA5A" w:rsidR="00186649" w:rsidRPr="000A5F61" w:rsidRDefault="00186649" w:rsidP="00790675">
      <w:pPr>
        <w:ind w:left="720"/>
        <w:jc w:val="both"/>
        <w:rPr>
          <w:sz w:val="18"/>
          <w:szCs w:val="18"/>
        </w:rPr>
      </w:pPr>
      <m:oMathPara>
        <m:oMathParaPr>
          <m:jc m:val="left"/>
        </m:oMathParaPr>
        <m:oMath>
          <m:r>
            <w:rPr>
              <w:rFonts w:ascii="Cambria Math" w:hAnsi="Cambria Math"/>
              <w:sz w:val="18"/>
              <w:szCs w:val="18"/>
            </w:rPr>
            <m:t>Electric  Water Heater Energy=GPR×RACKS×EDAYS×UECGAL×</m:t>
          </m:r>
          <m:sSub>
            <m:sSubPr>
              <m:ctrlPr>
                <w:rPr>
                  <w:rFonts w:ascii="Cambria Math" w:hAnsi="Cambria Math"/>
                  <w:i/>
                  <w:sz w:val="18"/>
                  <w:szCs w:val="18"/>
                </w:rPr>
              </m:ctrlPr>
            </m:sSubPr>
            <m:e>
              <m:r>
                <w:rPr>
                  <w:rFonts w:ascii="Cambria Math" w:hAnsi="Cambria Math"/>
                  <w:sz w:val="18"/>
                  <w:szCs w:val="18"/>
                </w:rPr>
                <m:t>MktPen</m:t>
              </m:r>
            </m:e>
            <m:sub>
              <m:r>
                <w:rPr>
                  <w:rFonts w:ascii="Cambria Math" w:hAnsi="Cambria Math"/>
                  <w:sz w:val="18"/>
                  <w:szCs w:val="18"/>
                </w:rPr>
                <m:t>elec</m:t>
              </m:r>
            </m:sub>
          </m:sSub>
        </m:oMath>
      </m:oMathPara>
    </w:p>
    <w:p w14:paraId="6B98B03C" w14:textId="0A89ACC8" w:rsidR="00790675" w:rsidRPr="00E51FD3" w:rsidRDefault="00E51FD3" w:rsidP="00655379">
      <w:pPr>
        <w:spacing w:before="20" w:after="20"/>
        <w:ind w:left="1440"/>
        <w:rPr>
          <w:rFonts w:ascii="Cambria Math" w:hAnsi="Cambria Math"/>
          <w:i/>
          <w:sz w:val="18"/>
        </w:rPr>
      </w:pPr>
      <w:r w:rsidRPr="00E51FD3">
        <w:rPr>
          <w:rFonts w:ascii="Cambria Math" w:hAnsi="Cambria Math"/>
          <w:i/>
          <w:sz w:val="18"/>
        </w:rPr>
        <w:t xml:space="preserve">GPR = Water consumption (GPR) </w:t>
      </w:r>
    </w:p>
    <w:p w14:paraId="5EB63877" w14:textId="4A6267E6" w:rsidR="00E51FD3" w:rsidRDefault="00E51FD3" w:rsidP="00655379">
      <w:pPr>
        <w:spacing w:before="20" w:after="20"/>
        <w:ind w:left="1440"/>
        <w:rPr>
          <w:rFonts w:ascii="Cambria Math" w:hAnsi="Cambria Math"/>
          <w:i/>
          <w:sz w:val="18"/>
        </w:rPr>
      </w:pPr>
      <w:r w:rsidRPr="00E51FD3">
        <w:rPr>
          <w:rFonts w:ascii="Cambria Math" w:hAnsi="Cambria Math"/>
          <w:i/>
          <w:sz w:val="18"/>
        </w:rPr>
        <w:t>RACK</w:t>
      </w:r>
      <w:r>
        <w:rPr>
          <w:rFonts w:ascii="Cambria Math" w:hAnsi="Cambria Math"/>
          <w:i/>
          <w:sz w:val="18"/>
        </w:rPr>
        <w:t>S</w:t>
      </w:r>
      <w:r w:rsidRPr="00E51FD3">
        <w:rPr>
          <w:rFonts w:ascii="Cambria Math" w:hAnsi="Cambria Math"/>
          <w:i/>
          <w:sz w:val="18"/>
        </w:rPr>
        <w:t xml:space="preserve"> = Number of racks washed per </w:t>
      </w:r>
      <w:r w:rsidR="002B5363">
        <w:rPr>
          <w:rFonts w:ascii="Cambria Math" w:hAnsi="Cambria Math"/>
          <w:i/>
          <w:sz w:val="18"/>
        </w:rPr>
        <w:t>day</w:t>
      </w:r>
      <w:r w:rsidRPr="00E51FD3">
        <w:rPr>
          <w:rFonts w:ascii="Cambria Math" w:hAnsi="Cambria Math"/>
          <w:i/>
          <w:sz w:val="18"/>
        </w:rPr>
        <w:t xml:space="preserve"> (</w:t>
      </w:r>
      <w:r w:rsidR="006867CD">
        <w:rPr>
          <w:rFonts w:ascii="Cambria Math" w:hAnsi="Cambria Math"/>
          <w:i/>
          <w:sz w:val="18"/>
        </w:rPr>
        <w:t>racks/day</w:t>
      </w:r>
      <w:r w:rsidRPr="00E51FD3">
        <w:rPr>
          <w:rFonts w:ascii="Cambria Math" w:hAnsi="Cambria Math"/>
          <w:i/>
          <w:sz w:val="18"/>
        </w:rPr>
        <w:t>)</w:t>
      </w:r>
    </w:p>
    <w:p w14:paraId="638E3BA8" w14:textId="62BFB482" w:rsidR="00D74DFD" w:rsidRPr="00E51FD3" w:rsidRDefault="00D74DFD" w:rsidP="00655379">
      <w:pPr>
        <w:spacing w:before="20" w:after="20"/>
        <w:ind w:left="1440"/>
        <w:rPr>
          <w:rFonts w:ascii="Cambria Math" w:hAnsi="Cambria Math"/>
          <w:i/>
          <w:sz w:val="18"/>
        </w:rPr>
      </w:pPr>
      <w:r>
        <w:rPr>
          <w:rFonts w:ascii="Cambria Math" w:hAnsi="Cambria Math"/>
          <w:i/>
          <w:sz w:val="18"/>
        </w:rPr>
        <w:t>EDAYS = Operating days per year (days</w:t>
      </w:r>
      <w:r w:rsidR="006867CD">
        <w:rPr>
          <w:rFonts w:ascii="Cambria Math" w:hAnsi="Cambria Math"/>
          <w:i/>
          <w:sz w:val="18"/>
        </w:rPr>
        <w:t>/year</w:t>
      </w:r>
      <w:r>
        <w:rPr>
          <w:rFonts w:ascii="Cambria Math" w:hAnsi="Cambria Math"/>
          <w:i/>
          <w:sz w:val="18"/>
        </w:rPr>
        <w:t>)</w:t>
      </w:r>
    </w:p>
    <w:p w14:paraId="7CE8E9A6" w14:textId="6DA03B68" w:rsidR="00E51FD3" w:rsidRPr="00E51FD3" w:rsidRDefault="00E51FD3" w:rsidP="00655379">
      <w:pPr>
        <w:spacing w:before="20" w:after="20"/>
        <w:ind w:left="1440"/>
        <w:rPr>
          <w:rFonts w:ascii="Cambria Math" w:hAnsi="Cambria Math"/>
          <w:i/>
          <w:sz w:val="18"/>
        </w:rPr>
      </w:pPr>
      <w:r w:rsidRPr="00E51FD3">
        <w:rPr>
          <w:rFonts w:ascii="Cambria Math" w:hAnsi="Cambria Math"/>
          <w:i/>
          <w:sz w:val="18"/>
        </w:rPr>
        <w:t>UECGAL = UEC per gallon of water</w:t>
      </w:r>
      <w:r>
        <w:rPr>
          <w:rFonts w:ascii="Cambria Math" w:hAnsi="Cambria Math"/>
          <w:i/>
          <w:sz w:val="18"/>
        </w:rPr>
        <w:t xml:space="preserve"> (kWh)</w:t>
      </w:r>
    </w:p>
    <w:p w14:paraId="21BDC1D8" w14:textId="6C5DB16C" w:rsidR="00E51FD3" w:rsidRPr="00E51FD3" w:rsidRDefault="00E51FD3" w:rsidP="00655379">
      <w:pPr>
        <w:spacing w:before="20" w:after="20"/>
        <w:ind w:left="1440"/>
        <w:rPr>
          <w:rFonts w:ascii="Cambria Math" w:hAnsi="Cambria Math"/>
          <w:i/>
          <w:sz w:val="18"/>
        </w:rPr>
      </w:pPr>
      <w:r w:rsidRPr="00E51FD3">
        <w:rPr>
          <w:rFonts w:ascii="Cambria Math" w:hAnsi="Cambria Math"/>
          <w:i/>
          <w:sz w:val="18"/>
        </w:rPr>
        <w:t xml:space="preserve">MktPen = Market penetration of electric water heating </w:t>
      </w:r>
      <w:r>
        <w:rPr>
          <w:rFonts w:ascii="Cambria Math" w:hAnsi="Cambria Math"/>
          <w:i/>
          <w:sz w:val="18"/>
        </w:rPr>
        <w:t>(%, decimal)</w:t>
      </w:r>
    </w:p>
    <w:p w14:paraId="16E58ABE" w14:textId="77777777" w:rsidR="00E51FD3" w:rsidRDefault="00E51FD3" w:rsidP="008F5B1B"/>
    <w:p w14:paraId="0E6E2FA9" w14:textId="4CA8DAC3" w:rsidR="004021C4" w:rsidRDefault="004021C4" w:rsidP="004021C4">
      <w:r>
        <w:rPr>
          <w:b/>
        </w:rPr>
        <w:t xml:space="preserve">Water Consumption (GPR) </w:t>
      </w:r>
      <w:r w:rsidRPr="00F84224">
        <w:t xml:space="preserve">The </w:t>
      </w:r>
      <w:r>
        <w:t>water consumption in gallons per rack was calculated as the maximum allowable consumption as shown in the Measure Offering table. T</w:t>
      </w:r>
      <w:r w:rsidR="00E41073">
        <w:t xml:space="preserve">ier 2 units were determined to have water consumption 15% below ENERGY STAR maximum performance </w:t>
      </w:r>
      <w:r w:rsidRPr="00F84224">
        <w:t>criteria</w:t>
      </w:r>
      <w:r>
        <w:rPr>
          <w:rStyle w:val="FootnoteReference"/>
        </w:rPr>
        <w:footnoteReference w:id="6"/>
      </w:r>
      <w:r>
        <w:t>.</w:t>
      </w:r>
    </w:p>
    <w:p w14:paraId="33D343B3" w14:textId="7255E944" w:rsidR="0054501E" w:rsidRDefault="0085503F" w:rsidP="00A26CA5">
      <w:r w:rsidRPr="00F84224">
        <w:rPr>
          <w:b/>
        </w:rPr>
        <w:t xml:space="preserve">Racks per </w:t>
      </w:r>
      <w:r>
        <w:rPr>
          <w:b/>
        </w:rPr>
        <w:t>Day</w:t>
      </w:r>
      <w:r w:rsidR="000A5F61">
        <w:rPr>
          <w:b/>
        </w:rPr>
        <w:t xml:space="preserve">. </w:t>
      </w:r>
      <w:r w:rsidR="0054501E" w:rsidRPr="00F84224">
        <w:t xml:space="preserve">The </w:t>
      </w:r>
      <w:r w:rsidR="00942462">
        <w:t xml:space="preserve">number of </w:t>
      </w:r>
      <w:r w:rsidR="0054501E" w:rsidRPr="00F84224">
        <w:t>racks</w:t>
      </w:r>
      <w:r w:rsidR="00105DED">
        <w:t xml:space="preserve"> </w:t>
      </w:r>
      <w:r w:rsidR="0054501E" w:rsidRPr="00F84224">
        <w:t>per</w:t>
      </w:r>
      <w:r w:rsidR="00105DED">
        <w:t xml:space="preserve"> </w:t>
      </w:r>
      <w:r w:rsidR="0054501E" w:rsidRPr="00F84224">
        <w:t xml:space="preserve">day is based on monitored data from five different restaurant sites </w:t>
      </w:r>
      <w:r w:rsidR="00A26CA5">
        <w:t>(</w:t>
      </w:r>
      <w:r w:rsidR="00A26CA5" w:rsidRPr="00F84224">
        <w:t>fast casual, fine dining, cafes, and quick service restaurants</w:t>
      </w:r>
      <w:r w:rsidR="00A26CA5">
        <w:t>)</w:t>
      </w:r>
      <w:r w:rsidR="00A26CA5" w:rsidRPr="00F84224">
        <w:t xml:space="preserve"> </w:t>
      </w:r>
      <w:r w:rsidR="0054501E" w:rsidRPr="00F84224">
        <w:t xml:space="preserve">and dishwasher leasing companies </w:t>
      </w:r>
      <w:r w:rsidR="00357E33">
        <w:t>that</w:t>
      </w:r>
      <w:r w:rsidR="0054501E" w:rsidRPr="00F84224">
        <w:t xml:space="preserve"> </w:t>
      </w:r>
      <w:r w:rsidR="0054501E" w:rsidRPr="00F84224">
        <w:lastRenderedPageBreak/>
        <w:t>track the racks</w:t>
      </w:r>
      <w:r w:rsidR="00A26CA5">
        <w:t xml:space="preserve"> per month as part of the equipment lease agreements</w:t>
      </w:r>
      <w:r w:rsidR="0054501E" w:rsidRPr="00F84224">
        <w:t xml:space="preserve">. </w:t>
      </w:r>
      <w:r w:rsidR="00A26CA5">
        <w:t>The monitored</w:t>
      </w:r>
      <w:r w:rsidR="0054501E" w:rsidRPr="00F84224">
        <w:t xml:space="preserve"> data</w:t>
      </w:r>
      <w:r>
        <w:t xml:space="preserve"> was </w:t>
      </w:r>
      <w:r w:rsidR="00A26CA5">
        <w:t>provided by the Food Service Technology Center (FSTC)</w:t>
      </w:r>
      <w:r w:rsidR="00676033">
        <w:t>.</w:t>
      </w:r>
      <w:r w:rsidR="00A26CA5">
        <w:rPr>
          <w:rStyle w:val="FootnoteReference"/>
        </w:rPr>
        <w:footnoteReference w:id="7"/>
      </w:r>
      <w:r w:rsidR="0054501E" w:rsidRPr="00F84224">
        <w:t xml:space="preserve"> </w:t>
      </w:r>
    </w:p>
    <w:p w14:paraId="03D3B518" w14:textId="59C529B4" w:rsidR="00EF47EB" w:rsidRDefault="00B40FC3" w:rsidP="00EF47EB">
      <w:pPr>
        <w:rPr>
          <w:rFonts w:eastAsia="Times New Roman" w:cs="Times New Roman"/>
          <w:szCs w:val="22"/>
        </w:rPr>
      </w:pPr>
      <w:r>
        <w:rPr>
          <w:b/>
        </w:rPr>
        <w:t xml:space="preserve">Operating Days per Year </w:t>
      </w:r>
      <w:r w:rsidR="00EF47EB" w:rsidRPr="001146D0">
        <w:t xml:space="preserve">The commercial dishwasher hours and days per year of operation was derived </w:t>
      </w:r>
      <w:r w:rsidR="00EF47EB" w:rsidRPr="001146D0">
        <w:rPr>
          <w:szCs w:val="22"/>
        </w:rPr>
        <w:t xml:space="preserve">from an independent </w:t>
      </w:r>
      <w:r w:rsidR="00EF47EB" w:rsidRPr="001146D0">
        <w:rPr>
          <w:rFonts w:eastAsia="Times New Roman" w:cs="Times New Roman"/>
          <w:szCs w:val="22"/>
        </w:rPr>
        <w:t>survey of 54 food service establishments conducted by Navigant Consulting.</w:t>
      </w:r>
      <w:r w:rsidR="00EF47EB" w:rsidRPr="001146D0">
        <w:rPr>
          <w:rStyle w:val="FootnoteReference"/>
          <w:rFonts w:eastAsia="Times New Roman" w:cs="Times New Roman"/>
          <w:szCs w:val="22"/>
        </w:rPr>
        <w:footnoteReference w:id="8"/>
      </w:r>
      <w:r w:rsidR="00EF47EB" w:rsidRPr="001146D0">
        <w:rPr>
          <w:rFonts w:eastAsia="Times New Roman" w:cs="Times New Roman"/>
          <w:szCs w:val="22"/>
        </w:rPr>
        <w:t xml:space="preserve"> </w:t>
      </w:r>
      <w:r w:rsidR="00EF47EB">
        <w:rPr>
          <w:rFonts w:eastAsia="Times New Roman" w:cs="Times New Roman"/>
          <w:szCs w:val="22"/>
        </w:rPr>
        <w:t>The survey sample included independent restaurants, casual concept (big chain) restaurants, and fast food chains. These assumed hours and days of operation align with assumptions for many other food service measures drawn from a food service equipment market potential study conducted for the California Energy Commission (CEC) by Fisher-Nickel, Inc.</w:t>
      </w:r>
      <w:r w:rsidR="00EF47EB">
        <w:rPr>
          <w:rStyle w:val="FootnoteReference"/>
          <w:rFonts w:eastAsia="Times New Roman" w:cs="Times New Roman"/>
          <w:szCs w:val="22"/>
        </w:rPr>
        <w:footnoteReference w:id="9"/>
      </w:r>
    </w:p>
    <w:p w14:paraId="7552B9FF" w14:textId="77777777" w:rsidR="00266A42" w:rsidRDefault="00266A42" w:rsidP="00266A42">
      <w:pPr>
        <w:rPr>
          <w:color w:val="FF0000"/>
        </w:rPr>
      </w:pPr>
      <w:r w:rsidRPr="00186649">
        <w:rPr>
          <w:b/>
        </w:rPr>
        <w:t xml:space="preserve">Market Penetration of </w:t>
      </w:r>
      <w:r>
        <w:rPr>
          <w:b/>
        </w:rPr>
        <w:t xml:space="preserve">Water </w:t>
      </w:r>
      <w:r w:rsidRPr="00186649">
        <w:rPr>
          <w:b/>
        </w:rPr>
        <w:t>Heating Fuel Types</w:t>
      </w:r>
      <w:r>
        <w:t xml:space="preserve"> </w:t>
      </w:r>
      <w:r w:rsidRPr="00F26D9F">
        <w:t xml:space="preserve">Electric </w:t>
      </w:r>
      <w:r>
        <w:t xml:space="preserve">and gas </w:t>
      </w:r>
      <w:r w:rsidRPr="00F26D9F">
        <w:t xml:space="preserve">water heater fuel saturation </w:t>
      </w:r>
      <w:r>
        <w:t xml:space="preserve">was </w:t>
      </w:r>
      <w:r w:rsidRPr="00F26D9F">
        <w:t>derived from CEUS 2006 data.</w:t>
      </w:r>
    </w:p>
    <w:p w14:paraId="01B674C2" w14:textId="77777777" w:rsidR="00266A42" w:rsidRDefault="00266A42" w:rsidP="00266A42">
      <w:pPr>
        <w:pStyle w:val="Caption"/>
      </w:pPr>
      <w:r>
        <w:t xml:space="preserve">Market </w:t>
      </w:r>
      <w:r w:rsidRPr="00F84224">
        <w:t xml:space="preserve">Penetration of Primary Water Heating </w:t>
      </w:r>
      <w:r>
        <w:t>Fuel</w:t>
      </w:r>
    </w:p>
    <w:tbl>
      <w:tblPr>
        <w:tblW w:w="957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900"/>
        <w:gridCol w:w="1530"/>
        <w:gridCol w:w="4140"/>
      </w:tblGrid>
      <w:tr w:rsidR="00266A42" w:rsidRPr="00A45720" w14:paraId="18D50FD7" w14:textId="77777777" w:rsidTr="00D37A2A">
        <w:trPr>
          <w:cantSplit/>
          <w:trHeight w:val="20"/>
        </w:trPr>
        <w:tc>
          <w:tcPr>
            <w:tcW w:w="3900" w:type="dxa"/>
            <w:shd w:val="clear" w:color="auto" w:fill="F2F2F2" w:themeFill="background1" w:themeFillShade="F2"/>
            <w:noWrap/>
            <w:vAlign w:val="bottom"/>
          </w:tcPr>
          <w:p w14:paraId="4FA9F989" w14:textId="77777777" w:rsidR="00266A42" w:rsidRPr="00A45720" w:rsidRDefault="00266A42" w:rsidP="00D37A2A">
            <w:pPr>
              <w:keepNext/>
              <w:keepLines/>
              <w:spacing w:before="20" w:after="20"/>
              <w:rPr>
                <w:b/>
                <w:sz w:val="20"/>
              </w:rPr>
            </w:pPr>
            <w:r>
              <w:rPr>
                <w:b/>
                <w:sz w:val="20"/>
              </w:rPr>
              <w:t>Primary/Booster Fuel Combination</w:t>
            </w:r>
          </w:p>
        </w:tc>
        <w:tc>
          <w:tcPr>
            <w:tcW w:w="1530" w:type="dxa"/>
            <w:shd w:val="clear" w:color="auto" w:fill="F2F2F2" w:themeFill="background1" w:themeFillShade="F2"/>
            <w:noWrap/>
            <w:vAlign w:val="bottom"/>
          </w:tcPr>
          <w:p w14:paraId="46D6EC6A" w14:textId="77777777" w:rsidR="00266A42" w:rsidRPr="00A45720" w:rsidRDefault="00266A42" w:rsidP="00D37A2A">
            <w:pPr>
              <w:keepNext/>
              <w:keepLines/>
              <w:spacing w:before="20" w:after="20"/>
              <w:jc w:val="center"/>
              <w:rPr>
                <w:b/>
                <w:sz w:val="20"/>
              </w:rPr>
            </w:pPr>
            <w:r>
              <w:rPr>
                <w:b/>
                <w:sz w:val="20"/>
              </w:rPr>
              <w:t>Penetration (%)</w:t>
            </w:r>
          </w:p>
        </w:tc>
        <w:tc>
          <w:tcPr>
            <w:tcW w:w="4140" w:type="dxa"/>
            <w:shd w:val="clear" w:color="auto" w:fill="F2F2F2" w:themeFill="background1" w:themeFillShade="F2"/>
          </w:tcPr>
          <w:p w14:paraId="3E3881B7" w14:textId="77777777" w:rsidR="00266A42" w:rsidRDefault="00266A42" w:rsidP="00D37A2A">
            <w:pPr>
              <w:keepNext/>
              <w:keepLines/>
              <w:spacing w:before="20" w:after="20"/>
              <w:jc w:val="center"/>
              <w:rPr>
                <w:b/>
                <w:sz w:val="20"/>
              </w:rPr>
            </w:pPr>
            <w:r>
              <w:rPr>
                <w:b/>
                <w:sz w:val="20"/>
              </w:rPr>
              <w:t>Source</w:t>
            </w:r>
          </w:p>
        </w:tc>
      </w:tr>
      <w:tr w:rsidR="00266A42" w:rsidRPr="00A45720" w14:paraId="2F7166B5" w14:textId="77777777" w:rsidTr="00D37A2A">
        <w:trPr>
          <w:cantSplit/>
          <w:trHeight w:val="305"/>
        </w:trPr>
        <w:tc>
          <w:tcPr>
            <w:tcW w:w="3900" w:type="dxa"/>
            <w:noWrap/>
            <w:vAlign w:val="bottom"/>
            <w:hideMark/>
          </w:tcPr>
          <w:p w14:paraId="40CD7416" w14:textId="77777777" w:rsidR="00266A42" w:rsidRPr="00A45720" w:rsidRDefault="00266A42" w:rsidP="00D37A2A">
            <w:pPr>
              <w:keepNext/>
              <w:keepLines/>
              <w:spacing w:before="20" w:after="20"/>
              <w:rPr>
                <w:sz w:val="20"/>
              </w:rPr>
            </w:pPr>
            <w:r>
              <w:rPr>
                <w:sz w:val="20"/>
              </w:rPr>
              <w:t>Electric</w:t>
            </w:r>
          </w:p>
        </w:tc>
        <w:tc>
          <w:tcPr>
            <w:tcW w:w="1530" w:type="dxa"/>
            <w:noWrap/>
            <w:vAlign w:val="bottom"/>
          </w:tcPr>
          <w:p w14:paraId="24EB46B0" w14:textId="77777777" w:rsidR="00266A42" w:rsidRPr="006B0FA1" w:rsidRDefault="00266A42" w:rsidP="00D37A2A">
            <w:pPr>
              <w:keepNext/>
              <w:keepLines/>
              <w:spacing w:before="20" w:after="20"/>
              <w:ind w:right="474"/>
              <w:jc w:val="right"/>
              <w:rPr>
                <w:sz w:val="20"/>
              </w:rPr>
            </w:pPr>
            <w:r w:rsidRPr="006B0FA1">
              <w:rPr>
                <w:sz w:val="20"/>
              </w:rPr>
              <w:t>3%</w:t>
            </w:r>
          </w:p>
        </w:tc>
        <w:tc>
          <w:tcPr>
            <w:tcW w:w="4140" w:type="dxa"/>
            <w:vMerge w:val="restart"/>
            <w:vAlign w:val="center"/>
          </w:tcPr>
          <w:p w14:paraId="7103877B" w14:textId="77777777" w:rsidR="00266A42" w:rsidRPr="004912D4" w:rsidRDefault="00266A42" w:rsidP="00D37A2A">
            <w:pPr>
              <w:keepNext/>
              <w:keepLines/>
              <w:spacing w:before="20" w:after="20"/>
              <w:rPr>
                <w:sz w:val="18"/>
              </w:rPr>
            </w:pPr>
            <w:r w:rsidRPr="004912D4">
              <w:rPr>
                <w:rStyle w:val="eTRMFootnoteTextChar"/>
              </w:rPr>
              <w:t>Itron, Inc. 2006. California Commercial End Use Survey. Prepared for the California Energy Commission. CEC-400-2006-005.  Table E-1.</w:t>
            </w:r>
          </w:p>
        </w:tc>
      </w:tr>
      <w:tr w:rsidR="00266A42" w:rsidRPr="00A45720" w14:paraId="5C5817D6" w14:textId="77777777" w:rsidTr="00D37A2A">
        <w:trPr>
          <w:cantSplit/>
          <w:trHeight w:val="260"/>
        </w:trPr>
        <w:tc>
          <w:tcPr>
            <w:tcW w:w="3900" w:type="dxa"/>
            <w:noWrap/>
            <w:vAlign w:val="bottom"/>
            <w:hideMark/>
          </w:tcPr>
          <w:p w14:paraId="2C7DEC52" w14:textId="77777777" w:rsidR="00266A42" w:rsidRPr="00A45720" w:rsidRDefault="00266A42" w:rsidP="00D37A2A">
            <w:pPr>
              <w:spacing w:before="20" w:after="20"/>
              <w:rPr>
                <w:sz w:val="20"/>
              </w:rPr>
            </w:pPr>
            <w:r>
              <w:rPr>
                <w:sz w:val="20"/>
              </w:rPr>
              <w:t>Gas</w:t>
            </w:r>
          </w:p>
        </w:tc>
        <w:tc>
          <w:tcPr>
            <w:tcW w:w="1530" w:type="dxa"/>
            <w:noWrap/>
            <w:vAlign w:val="bottom"/>
          </w:tcPr>
          <w:p w14:paraId="75DFD2F6" w14:textId="77777777" w:rsidR="00266A42" w:rsidRPr="006B0FA1" w:rsidRDefault="00266A42" w:rsidP="00D37A2A">
            <w:pPr>
              <w:spacing w:before="20" w:after="20"/>
              <w:ind w:right="474"/>
              <w:jc w:val="right"/>
              <w:rPr>
                <w:sz w:val="20"/>
              </w:rPr>
            </w:pPr>
            <w:r>
              <w:rPr>
                <w:sz w:val="20"/>
              </w:rPr>
              <w:t>97</w:t>
            </w:r>
            <w:r w:rsidRPr="006B0FA1">
              <w:rPr>
                <w:sz w:val="20"/>
              </w:rPr>
              <w:t>%</w:t>
            </w:r>
          </w:p>
        </w:tc>
        <w:tc>
          <w:tcPr>
            <w:tcW w:w="4140" w:type="dxa"/>
            <w:vMerge/>
          </w:tcPr>
          <w:p w14:paraId="26AD2B05" w14:textId="77777777" w:rsidR="00266A42" w:rsidRDefault="00266A42" w:rsidP="00D37A2A">
            <w:pPr>
              <w:spacing w:before="20" w:after="20"/>
              <w:jc w:val="center"/>
              <w:rPr>
                <w:color w:val="FF0000"/>
                <w:sz w:val="20"/>
              </w:rPr>
            </w:pPr>
          </w:p>
        </w:tc>
      </w:tr>
    </w:tbl>
    <w:p w14:paraId="7BDDB17C" w14:textId="77777777" w:rsidR="00D06E63" w:rsidRDefault="00D06E63" w:rsidP="00EF47EB">
      <w:pPr>
        <w:rPr>
          <w:rFonts w:eastAsia="Times New Roman" w:cs="Times New Roman"/>
          <w:szCs w:val="22"/>
        </w:rPr>
      </w:pPr>
    </w:p>
    <w:p w14:paraId="53269597" w14:textId="37551EA1" w:rsidR="0054501E" w:rsidRDefault="008F5B1B" w:rsidP="00EF47EB">
      <w:r>
        <w:rPr>
          <w:b/>
        </w:rPr>
        <w:t>UEC</w:t>
      </w:r>
      <w:r w:rsidR="0054501E" w:rsidRPr="00F84224">
        <w:rPr>
          <w:b/>
        </w:rPr>
        <w:t xml:space="preserve"> per Gallon</w:t>
      </w:r>
      <w:r w:rsidR="00942462">
        <w:rPr>
          <w:b/>
        </w:rPr>
        <w:t xml:space="preserve"> of Water</w:t>
      </w:r>
      <w:r w:rsidR="000A5F61">
        <w:rPr>
          <w:b/>
        </w:rPr>
        <w:t xml:space="preserve">. </w:t>
      </w:r>
      <w:r w:rsidR="0054501E" w:rsidRPr="00F84224">
        <w:t xml:space="preserve">The </w:t>
      </w:r>
      <w:r>
        <w:t>UEC</w:t>
      </w:r>
      <w:r w:rsidR="0054501E" w:rsidRPr="00F84224">
        <w:t xml:space="preserve"> per gallon of water</w:t>
      </w:r>
      <w:r w:rsidR="003B08E9">
        <w:t xml:space="preserve"> </w:t>
      </w:r>
      <w:r w:rsidR="0054501E" w:rsidRPr="00F84224">
        <w:t>is based on the increase in water temperature required for a wash cycle, the specific heat of water</w:t>
      </w:r>
      <w:r w:rsidR="0085503F">
        <w:t>,</w:t>
      </w:r>
      <w:r w:rsidR="0054501E" w:rsidRPr="00F84224">
        <w:t xml:space="preserve"> the </w:t>
      </w:r>
      <w:r w:rsidR="002364BC">
        <w:t>density</w:t>
      </w:r>
      <w:r w:rsidR="0054501E" w:rsidRPr="00F84224">
        <w:t xml:space="preserve"> of water, and the </w:t>
      </w:r>
      <w:r w:rsidR="0085503F">
        <w:t xml:space="preserve">heating </w:t>
      </w:r>
      <w:r w:rsidR="0054501E" w:rsidRPr="00F84224">
        <w:t>equipment efficiency.</w:t>
      </w:r>
    </w:p>
    <w:p w14:paraId="2DCA2256" w14:textId="6700ADAF" w:rsidR="0054501E" w:rsidRPr="00A92C95" w:rsidRDefault="00E51FD3" w:rsidP="00DF6E5D">
      <w:pPr>
        <w:keepNext/>
        <w:keepLines/>
        <w:ind w:left="720"/>
        <w:rPr>
          <w:sz w:val="18"/>
          <w:szCs w:val="18"/>
        </w:rPr>
      </w:pPr>
      <m:oMathPara>
        <m:oMathParaPr>
          <m:jc m:val="left"/>
        </m:oMathParaPr>
        <m:oMath>
          <m:r>
            <w:rPr>
              <w:rFonts w:ascii="Cambria Math" w:hAnsi="Cambria Math"/>
              <w:sz w:val="18"/>
              <w:szCs w:val="18"/>
            </w:rPr>
            <m:t>UECGAL=</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∆T×C×ρ</m:t>
                  </m:r>
                </m:num>
                <m:den>
                  <m:r>
                    <w:rPr>
                      <w:rFonts w:ascii="Cambria Math" w:hAnsi="Cambria Math"/>
                      <w:sz w:val="18"/>
                      <w:szCs w:val="18"/>
                    </w:rPr>
                    <m:t>η</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Btu</m:t>
              </m:r>
            </m:den>
          </m:f>
        </m:oMath>
      </m:oMathPara>
    </w:p>
    <w:p w14:paraId="4F667368" w14:textId="62CE30B5" w:rsidR="0054501E" w:rsidRPr="00CB5624" w:rsidRDefault="0090041C" w:rsidP="00CB5624">
      <w:pPr>
        <w:tabs>
          <w:tab w:val="left" w:pos="1980"/>
          <w:tab w:val="left" w:pos="2880"/>
        </w:tabs>
        <w:spacing w:before="20" w:after="20"/>
        <w:ind w:left="2880" w:hanging="1440"/>
        <w:rPr>
          <w:rFonts w:ascii="Cambria Math" w:hAnsi="Cambria Math" w:cs="Arial"/>
          <w:i/>
          <w:sz w:val="18"/>
          <w:szCs w:val="20"/>
        </w:rPr>
      </w:pPr>
      <m:oMath>
        <m:r>
          <w:rPr>
            <w:rFonts w:ascii="Cambria Math" w:hAnsi="Cambria Math"/>
            <w:sz w:val="18"/>
            <w:szCs w:val="18"/>
          </w:rPr>
          <m:t>∆T</m:t>
        </m:r>
        <m:r>
          <w:rPr>
            <w:rFonts w:ascii="Cambria Math" w:hAnsi="Cambria Math" w:cs="Arial"/>
            <w:sz w:val="18"/>
            <w:szCs w:val="20"/>
          </w:rPr>
          <m:t>=</m:t>
        </m:r>
      </m:oMath>
      <w:r w:rsidR="0054501E" w:rsidRPr="00CB5624">
        <w:rPr>
          <w:rFonts w:ascii="Cambria Math" w:hAnsi="Cambria Math" w:cs="Arial"/>
          <w:i/>
          <w:sz w:val="18"/>
          <w:szCs w:val="20"/>
        </w:rPr>
        <w:t xml:space="preserve">Temperature </w:t>
      </w:r>
      <w:r w:rsidR="005A3AA7" w:rsidRPr="00CB5624">
        <w:rPr>
          <w:rFonts w:ascii="Cambria Math" w:hAnsi="Cambria Math" w:cs="Arial"/>
          <w:i/>
          <w:sz w:val="18"/>
          <w:szCs w:val="20"/>
        </w:rPr>
        <w:t>r</w:t>
      </w:r>
      <w:r w:rsidR="0054501E" w:rsidRPr="00CB5624">
        <w:rPr>
          <w:rFonts w:ascii="Cambria Math" w:hAnsi="Cambria Math" w:cs="Arial"/>
          <w:i/>
          <w:sz w:val="18"/>
          <w:szCs w:val="20"/>
        </w:rPr>
        <w:t>ise (°F)</w:t>
      </w:r>
    </w:p>
    <w:p w14:paraId="79FF8B5D" w14:textId="77777777" w:rsidR="00351EBB" w:rsidRPr="0090041C" w:rsidRDefault="00351EBB" w:rsidP="00351EBB">
      <w:pPr>
        <w:spacing w:before="0" w:after="0"/>
        <w:ind w:left="1440"/>
        <w:rPr>
          <w:rFonts w:ascii="Cambria Math" w:hAnsi="Cambria Math"/>
          <w:i/>
          <w:sz w:val="18"/>
          <w:szCs w:val="18"/>
        </w:rPr>
      </w:pPr>
      <m:oMath>
        <m:r>
          <w:rPr>
            <w:rFonts w:ascii="Cambria Math" w:hAnsi="Cambria Math"/>
            <w:sz w:val="18"/>
            <w:szCs w:val="18"/>
          </w:rPr>
          <m:t>C=</m:t>
        </m:r>
      </m:oMath>
      <w:r w:rsidRPr="0090041C">
        <w:rPr>
          <w:rFonts w:ascii="Cambria Math" w:hAnsi="Cambria Math"/>
          <w:i/>
          <w:sz w:val="18"/>
          <w:szCs w:val="18"/>
        </w:rPr>
        <w:t xml:space="preserve"> </w:t>
      </w:r>
      <w:r w:rsidRPr="00C60ACD">
        <w:rPr>
          <w:rFonts w:ascii="Cambria Math" w:hAnsi="Cambria Math"/>
          <w:i/>
          <w:sz w:val="18"/>
          <w:szCs w:val="18"/>
        </w:rPr>
        <w:t xml:space="preserve">Specific heat of water, constant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Btu</m:t>
                </m:r>
              </m:num>
              <m:den>
                <m:r>
                  <w:rPr>
                    <w:rFonts w:ascii="Cambria Math" w:hAnsi="Cambria Math"/>
                    <w:sz w:val="18"/>
                    <w:szCs w:val="18"/>
                  </w:rPr>
                  <m:t>lb-°F</m:t>
                </m:r>
              </m:den>
            </m:f>
          </m:e>
        </m:d>
      </m:oMath>
    </w:p>
    <w:p w14:paraId="7718E319" w14:textId="0F5365EC" w:rsidR="0054501E" w:rsidRPr="00CB5624" w:rsidRDefault="0090041C" w:rsidP="00CB5624">
      <w:pPr>
        <w:tabs>
          <w:tab w:val="left" w:pos="1980"/>
          <w:tab w:val="left" w:pos="2880"/>
        </w:tabs>
        <w:spacing w:before="20" w:after="20"/>
        <w:ind w:left="2880" w:hanging="1440"/>
        <w:rPr>
          <w:rFonts w:ascii="Cambria Math" w:hAnsi="Cambria Math" w:cs="Arial"/>
          <w:i/>
          <w:sz w:val="18"/>
          <w:szCs w:val="20"/>
        </w:rPr>
      </w:pPr>
      <m:oMath>
        <m:r>
          <w:rPr>
            <w:rFonts w:ascii="Cambria Math" w:hAnsi="Cambria Math" w:cs="Arial"/>
            <w:sz w:val="18"/>
            <w:szCs w:val="20"/>
          </w:rPr>
          <m:t>ρ=</m:t>
        </m:r>
      </m:oMath>
      <w:r w:rsidR="0054501E" w:rsidRPr="00CB5624">
        <w:rPr>
          <w:rFonts w:ascii="Cambria Math" w:hAnsi="Cambria Math" w:cs="Arial"/>
          <w:i/>
          <w:sz w:val="18"/>
          <w:szCs w:val="20"/>
        </w:rPr>
        <w:t>Density</w:t>
      </w:r>
      <w:r w:rsidR="00790675" w:rsidRPr="00CB5624">
        <w:rPr>
          <w:rFonts w:ascii="Cambria Math" w:hAnsi="Cambria Math" w:cs="Arial"/>
          <w:i/>
          <w:sz w:val="18"/>
          <w:szCs w:val="20"/>
        </w:rPr>
        <w:t xml:space="preserve"> of water, constant </w:t>
      </w:r>
      <m:oMath>
        <m:d>
          <m:dPr>
            <m:ctrlPr>
              <w:rPr>
                <w:rFonts w:ascii="Cambria Math" w:hAnsi="Cambria Math" w:cs="Arial"/>
                <w:i/>
                <w:sz w:val="18"/>
                <w:szCs w:val="20"/>
              </w:rPr>
            </m:ctrlPr>
          </m:dPr>
          <m:e>
            <m:f>
              <m:fPr>
                <m:ctrlPr>
                  <w:rPr>
                    <w:rFonts w:ascii="Cambria Math" w:hAnsi="Cambria Math" w:cs="Arial"/>
                    <w:i/>
                    <w:sz w:val="18"/>
                    <w:szCs w:val="20"/>
                  </w:rPr>
                </m:ctrlPr>
              </m:fPr>
              <m:num>
                <m:r>
                  <w:rPr>
                    <w:rFonts w:ascii="Cambria Math" w:hAnsi="Cambria Math" w:cs="Arial"/>
                    <w:sz w:val="18"/>
                    <w:szCs w:val="20"/>
                  </w:rPr>
                  <m:t>lbs</m:t>
                </m:r>
              </m:num>
              <m:den>
                <m:r>
                  <w:rPr>
                    <w:rFonts w:ascii="Cambria Math" w:hAnsi="Cambria Math" w:cs="Arial"/>
                    <w:sz w:val="18"/>
                    <w:szCs w:val="20"/>
                  </w:rPr>
                  <m:t>gal</m:t>
                </m:r>
              </m:den>
            </m:f>
          </m:e>
        </m:d>
      </m:oMath>
    </w:p>
    <w:p w14:paraId="10CD3B62" w14:textId="4F4A6A80" w:rsidR="0054501E" w:rsidRPr="00CB5624" w:rsidRDefault="0090041C" w:rsidP="00CB5624">
      <w:pPr>
        <w:tabs>
          <w:tab w:val="left" w:pos="1980"/>
          <w:tab w:val="left" w:pos="2880"/>
        </w:tabs>
        <w:spacing w:before="20" w:after="20"/>
        <w:ind w:left="2880" w:hanging="1440"/>
        <w:rPr>
          <w:rFonts w:ascii="Cambria Math" w:hAnsi="Cambria Math" w:cs="Arial"/>
          <w:i/>
          <w:sz w:val="18"/>
          <w:szCs w:val="20"/>
        </w:rPr>
      </w:pPr>
      <m:oMath>
        <m:r>
          <w:rPr>
            <w:rFonts w:ascii="Cambria Math" w:hAnsi="Cambria Math" w:cs="Arial"/>
            <w:sz w:val="18"/>
            <w:szCs w:val="20"/>
          </w:rPr>
          <m:t>η=</m:t>
        </m:r>
      </m:oMath>
      <w:r w:rsidR="0054501E" w:rsidRPr="00CB5624">
        <w:rPr>
          <w:rFonts w:ascii="Cambria Math" w:hAnsi="Cambria Math" w:cs="Arial"/>
          <w:i/>
          <w:sz w:val="18"/>
          <w:szCs w:val="20"/>
        </w:rPr>
        <w:t xml:space="preserve"> </w:t>
      </w:r>
      <w:r w:rsidR="006D46B3" w:rsidRPr="00CB5624">
        <w:rPr>
          <w:rFonts w:ascii="Cambria Math" w:hAnsi="Cambria Math" w:cs="Arial"/>
          <w:i/>
          <w:sz w:val="18"/>
          <w:szCs w:val="20"/>
        </w:rPr>
        <w:t xml:space="preserve">Electric </w:t>
      </w:r>
      <w:r w:rsidR="00790675" w:rsidRPr="00CB5624">
        <w:rPr>
          <w:rFonts w:ascii="Cambria Math" w:hAnsi="Cambria Math" w:cs="Arial"/>
          <w:i/>
          <w:sz w:val="18"/>
          <w:szCs w:val="20"/>
        </w:rPr>
        <w:t>h</w:t>
      </w:r>
      <w:r w:rsidR="0054501E" w:rsidRPr="00CB5624">
        <w:rPr>
          <w:rFonts w:ascii="Cambria Math" w:hAnsi="Cambria Math" w:cs="Arial"/>
          <w:i/>
          <w:sz w:val="18"/>
          <w:szCs w:val="20"/>
        </w:rPr>
        <w:t xml:space="preserve">eating </w:t>
      </w:r>
      <w:r w:rsidR="00790675" w:rsidRPr="00CB5624">
        <w:rPr>
          <w:rFonts w:ascii="Cambria Math" w:hAnsi="Cambria Math" w:cs="Arial"/>
          <w:i/>
          <w:sz w:val="18"/>
          <w:szCs w:val="20"/>
        </w:rPr>
        <w:t>e</w:t>
      </w:r>
      <w:r w:rsidR="0054501E" w:rsidRPr="00CB5624">
        <w:rPr>
          <w:rFonts w:ascii="Cambria Math" w:hAnsi="Cambria Math" w:cs="Arial"/>
          <w:i/>
          <w:sz w:val="18"/>
          <w:szCs w:val="20"/>
        </w:rPr>
        <w:t xml:space="preserve">quipment </w:t>
      </w:r>
      <w:r w:rsidR="00790675" w:rsidRPr="00CB5624">
        <w:rPr>
          <w:rFonts w:ascii="Cambria Math" w:hAnsi="Cambria Math" w:cs="Arial"/>
          <w:i/>
          <w:sz w:val="18"/>
          <w:szCs w:val="20"/>
        </w:rPr>
        <w:t>e</w:t>
      </w:r>
      <w:r w:rsidR="0054501E" w:rsidRPr="00CB5624">
        <w:rPr>
          <w:rFonts w:ascii="Cambria Math" w:hAnsi="Cambria Math" w:cs="Arial"/>
          <w:i/>
          <w:sz w:val="18"/>
          <w:szCs w:val="20"/>
        </w:rPr>
        <w:t>fficiency</w:t>
      </w:r>
    </w:p>
    <w:p w14:paraId="74E494AE" w14:textId="56404632" w:rsidR="00C60ACD" w:rsidRPr="00CB5624" w:rsidRDefault="00C60ACD" w:rsidP="00CB5624">
      <w:pPr>
        <w:tabs>
          <w:tab w:val="left" w:pos="1980"/>
          <w:tab w:val="left" w:pos="2880"/>
        </w:tabs>
        <w:spacing w:before="20" w:after="20"/>
        <w:ind w:left="2880" w:hanging="1440"/>
        <w:rPr>
          <w:rFonts w:ascii="Cambria Math" w:hAnsi="Cambria Math" w:cs="Arial"/>
          <w:i/>
          <w:sz w:val="18"/>
          <w:szCs w:val="20"/>
        </w:rPr>
      </w:pPr>
      <w:r w:rsidRPr="00CB5624">
        <w:rPr>
          <w:rFonts w:ascii="Cambria Math" w:hAnsi="Cambria Math" w:cs="Arial"/>
          <w:i/>
          <w:sz w:val="18"/>
          <w:szCs w:val="20"/>
        </w:rPr>
        <w:t>kWh/Btu = Btu to kWh conversion factor</w:t>
      </w:r>
    </w:p>
    <w:p w14:paraId="5CD5F545" w14:textId="77777777" w:rsidR="008F5B1B" w:rsidRDefault="008F5B1B" w:rsidP="0054501E"/>
    <w:p w14:paraId="4F47B731" w14:textId="093E7C5C" w:rsidR="0054501E" w:rsidRPr="00F84224" w:rsidRDefault="0090041C" w:rsidP="00266A42">
      <w:r w:rsidRPr="005751D7">
        <w:rPr>
          <w:b/>
        </w:rPr>
        <w:t xml:space="preserve">Temperature </w:t>
      </w:r>
      <w:r w:rsidR="00790675">
        <w:rPr>
          <w:b/>
        </w:rPr>
        <w:t>r</w:t>
      </w:r>
      <w:r w:rsidR="00DF6E5D" w:rsidRPr="005751D7">
        <w:rPr>
          <w:b/>
        </w:rPr>
        <w:t>ise</w:t>
      </w:r>
      <w:r w:rsidR="005751D7" w:rsidRPr="005751D7">
        <w:rPr>
          <w:b/>
        </w:rPr>
        <w:t xml:space="preserve"> (°F)</w:t>
      </w:r>
      <w:r w:rsidR="00DF6E5D" w:rsidRPr="00DF6E5D">
        <w:rPr>
          <w:b/>
        </w:rPr>
        <w:t xml:space="preserve"> </w:t>
      </w:r>
      <w:r w:rsidR="00CF4CBA">
        <w:rPr>
          <w:b/>
        </w:rPr>
        <w:t xml:space="preserve">– </w:t>
      </w:r>
      <w:r w:rsidR="001A0E1E">
        <w:t>Average groundwater temperature data for each climate zone is used as the inlet temperature which</w:t>
      </w:r>
      <w:r w:rsidR="001A0E1E" w:rsidRPr="00F84224">
        <w:t xml:space="preserve"> needs to be raised to 140</w:t>
      </w:r>
      <w:r w:rsidR="001A0E1E">
        <w:t xml:space="preserve"> </w:t>
      </w:r>
      <w:r w:rsidR="001A0E1E" w:rsidRPr="00F84224">
        <w:t xml:space="preserve">°F to meet the minimum supply water temperature at the dishwasher. </w:t>
      </w:r>
      <w:r w:rsidR="001A0E1E">
        <w:t>Groundwater temperature data was retrieved from the 2010 climate zone weather data files for the 2013 Building Energy Efficiency Standards (Title 24).</w:t>
      </w:r>
      <w:r w:rsidR="001A0E1E">
        <w:rPr>
          <w:rStyle w:val="FootnoteReference"/>
        </w:rPr>
        <w:footnoteReference w:id="10"/>
      </w:r>
      <w:r w:rsidR="001A0E1E">
        <w:t xml:space="preserve"> </w:t>
      </w:r>
      <w:r w:rsidR="001A0E1E" w:rsidRPr="00F84224">
        <w:t xml:space="preserve">This water heating </w:t>
      </w:r>
      <w:r w:rsidR="001A0E1E">
        <w:t xml:space="preserve">requirement </w:t>
      </w:r>
      <w:r w:rsidR="001A0E1E" w:rsidRPr="00F84224">
        <w:t>applies to both low</w:t>
      </w:r>
      <w:r w:rsidR="001A0E1E">
        <w:t>-</w:t>
      </w:r>
      <w:r w:rsidR="001A0E1E" w:rsidRPr="00F84224">
        <w:t xml:space="preserve"> </w:t>
      </w:r>
      <w:r w:rsidR="001A0E1E">
        <w:t>and high-temperature machines.</w:t>
      </w:r>
    </w:p>
    <w:p w14:paraId="07B6EA54" w14:textId="36AB8C50" w:rsidR="00186649" w:rsidRDefault="00790675" w:rsidP="00DD1EA5">
      <w:r>
        <w:rPr>
          <w:b/>
        </w:rPr>
        <w:lastRenderedPageBreak/>
        <w:t>Electric h</w:t>
      </w:r>
      <w:r w:rsidR="0054501E" w:rsidRPr="00DF6E5D">
        <w:rPr>
          <w:b/>
        </w:rPr>
        <w:t xml:space="preserve">eating </w:t>
      </w:r>
      <w:r>
        <w:rPr>
          <w:b/>
        </w:rPr>
        <w:t>e</w:t>
      </w:r>
      <w:r w:rsidR="0054501E" w:rsidRPr="00DF6E5D">
        <w:rPr>
          <w:b/>
        </w:rPr>
        <w:t xml:space="preserve">quipment </w:t>
      </w:r>
      <w:r>
        <w:rPr>
          <w:b/>
        </w:rPr>
        <w:t>e</w:t>
      </w:r>
      <w:r w:rsidR="0054501E" w:rsidRPr="00DF6E5D">
        <w:rPr>
          <w:b/>
        </w:rPr>
        <w:t>fficiency</w:t>
      </w:r>
      <w:r w:rsidR="005751D7">
        <w:rPr>
          <w:b/>
        </w:rPr>
        <w:t xml:space="preserve"> (%)</w:t>
      </w:r>
      <w:r w:rsidR="0054501E" w:rsidRPr="00F84224">
        <w:t xml:space="preserve"> </w:t>
      </w:r>
      <w:r w:rsidR="00CF4CBA">
        <w:t xml:space="preserve">– </w:t>
      </w:r>
      <w:r w:rsidR="008C15FC" w:rsidRPr="00F84224">
        <w:t>Heating equipment efficiency varies between electric and gas units, as well as between external primary water heating and internal booster heating.  The efficiency of a building electric water heater is assumed to be 9</w:t>
      </w:r>
      <w:r w:rsidR="008C15FC">
        <w:t>8</w:t>
      </w:r>
      <w:r w:rsidR="008C15FC" w:rsidRPr="00F84224">
        <w:t>%, while gas water heaters are assumed to have a</w:t>
      </w:r>
      <w:r w:rsidR="008C15FC">
        <w:t xml:space="preserve"> recovery</w:t>
      </w:r>
      <w:r w:rsidR="008C15FC" w:rsidRPr="00F84224">
        <w:t xml:space="preserve"> efficiency of 77%</w:t>
      </w:r>
      <w:r w:rsidR="008C15FC">
        <w:t>.</w:t>
      </w:r>
      <w:r w:rsidR="008C15FC" w:rsidRPr="00F84224">
        <w:rPr>
          <w:vertAlign w:val="superscript"/>
        </w:rPr>
        <w:footnoteReference w:id="11"/>
      </w:r>
      <w:r w:rsidR="008C15FC" w:rsidRPr="00F84224">
        <w:t xml:space="preserve"> These efficiencies are used to determine energy consumption of the primary water heating in both low and high temperature units.</w:t>
      </w:r>
    </w:p>
    <w:p w14:paraId="6E32BD04" w14:textId="77777777" w:rsidR="00A9449A" w:rsidRPr="00F84224" w:rsidRDefault="00A9449A" w:rsidP="00DD1EA5"/>
    <w:p w14:paraId="7CDEAD39" w14:textId="6E6EB804" w:rsidR="00BE2A6F" w:rsidRPr="00F84224" w:rsidRDefault="00186649" w:rsidP="00186649">
      <w:pPr>
        <w:pStyle w:val="eTRMHeading4"/>
      </w:pPr>
      <w:r>
        <w:t xml:space="preserve">Electric </w:t>
      </w:r>
      <w:r w:rsidR="00BE2A6F">
        <w:t>Booster Water Heater Energy</w:t>
      </w:r>
    </w:p>
    <w:p w14:paraId="20F321EC" w14:textId="4A9D5F03" w:rsidR="00A45720" w:rsidRDefault="00A45720" w:rsidP="0054501E">
      <w:bookmarkStart w:id="39" w:name="OLE_LINK2"/>
      <w:bookmarkStart w:id="40" w:name="OLE_LINK1"/>
      <w:r>
        <w:t>For</w:t>
      </w:r>
      <w:r w:rsidR="0054501E" w:rsidRPr="00F84224">
        <w:t xml:space="preserve"> a high</w:t>
      </w:r>
      <w:r>
        <w:t>-</w:t>
      </w:r>
      <w:r w:rsidR="0054501E" w:rsidRPr="00F84224">
        <w:t>temperature unit using a higher</w:t>
      </w:r>
      <w:r>
        <w:t>-</w:t>
      </w:r>
      <w:r w:rsidR="0054501E" w:rsidRPr="00F84224">
        <w:t xml:space="preserve">temperature sanitizing rinse, the methodology </w:t>
      </w:r>
      <w:r w:rsidR="00D6490C">
        <w:t>was</w:t>
      </w:r>
      <w:r w:rsidR="0054501E" w:rsidRPr="00F84224">
        <w:t xml:space="preserve"> used to determine the additional energy required for the booster water heating</w:t>
      </w:r>
      <w:r w:rsidR="000A5F61">
        <w:t xml:space="preserve"> as was followed for the Electric Water Heater Energy</w:t>
      </w:r>
      <w:r w:rsidR="0054501E" w:rsidRPr="00F84224">
        <w:t>. The booster heater</w:t>
      </w:r>
      <w:r w:rsidR="000A5F61">
        <w:t>, however,</w:t>
      </w:r>
      <w:r w:rsidR="0054501E" w:rsidRPr="00F84224">
        <w:t xml:space="preserve"> </w:t>
      </w:r>
      <w:r w:rsidR="00D6490C">
        <w:t>is</w:t>
      </w:r>
      <w:r w:rsidR="0054501E" w:rsidRPr="00F84224">
        <w:t xml:space="preserve"> needed to increase 100% of the water from a temperature of 140</w:t>
      </w:r>
      <w:r w:rsidR="00E12370">
        <w:t xml:space="preserve"> </w:t>
      </w:r>
      <w:r w:rsidR="0054501E" w:rsidRPr="00F84224">
        <w:t>°F to 180</w:t>
      </w:r>
      <w:r w:rsidR="00E12370">
        <w:t xml:space="preserve"> </w:t>
      </w:r>
      <w:r w:rsidR="0054501E" w:rsidRPr="00F84224">
        <w:t xml:space="preserve">°F. </w:t>
      </w:r>
    </w:p>
    <w:p w14:paraId="1252C2BF" w14:textId="4F3C9B4D" w:rsidR="0050175E" w:rsidRPr="0050175E" w:rsidRDefault="0050175E" w:rsidP="0050175E">
      <w:pPr>
        <w:spacing w:before="0" w:after="0" w:line="240" w:lineRule="auto"/>
        <w:rPr>
          <w:rFonts w:asciiTheme="minorHAnsi" w:hAnsiTheme="minorHAnsi" w:cs="Times New Roman"/>
          <w:sz w:val="20"/>
          <w:szCs w:val="20"/>
        </w:rPr>
      </w:pPr>
      <w:r>
        <w:t>N</w:t>
      </w:r>
      <w:r w:rsidRPr="00170722">
        <w:t xml:space="preserve">ote that </w:t>
      </w:r>
      <w:r>
        <w:t xml:space="preserve">a </w:t>
      </w:r>
      <w:r w:rsidRPr="00170722">
        <w:t>low-temperature dishwasher will not have booster heater energy as part of the calculation and this term will equal zero</w:t>
      </w:r>
      <w:r>
        <w:t xml:space="preserve"> for the low-temperature model</w:t>
      </w:r>
      <w:r w:rsidRPr="00170722">
        <w:t xml:space="preserve">. </w:t>
      </w:r>
    </w:p>
    <w:p w14:paraId="6C1C4AA7" w14:textId="34C98B44" w:rsidR="00186649" w:rsidRPr="00B86DBF" w:rsidRDefault="00186649" w:rsidP="00313237">
      <w:pPr>
        <w:ind w:left="720"/>
        <w:jc w:val="both"/>
        <w:rPr>
          <w:sz w:val="18"/>
          <w:szCs w:val="18"/>
        </w:rPr>
      </w:pPr>
      <m:oMathPara>
        <m:oMathParaPr>
          <m:jc m:val="left"/>
        </m:oMathParaPr>
        <m:oMath>
          <m:r>
            <w:rPr>
              <w:rFonts w:ascii="Cambria Math" w:hAnsi="Cambria Math"/>
              <w:sz w:val="18"/>
              <w:szCs w:val="18"/>
            </w:rPr>
            <m:t>Electric  Booster Heater Energy=GPR×RACKS×EDAYS×UECGAL×</m:t>
          </m:r>
          <m:sSub>
            <m:sSubPr>
              <m:ctrlPr>
                <w:rPr>
                  <w:rFonts w:ascii="Cambria Math" w:hAnsi="Cambria Math"/>
                  <w:i/>
                  <w:sz w:val="18"/>
                  <w:szCs w:val="18"/>
                </w:rPr>
              </m:ctrlPr>
            </m:sSubPr>
            <m:e>
              <m:r>
                <w:rPr>
                  <w:rFonts w:ascii="Cambria Math" w:hAnsi="Cambria Math"/>
                  <w:sz w:val="18"/>
                  <w:szCs w:val="18"/>
                </w:rPr>
                <m:t>MktPen</m:t>
              </m:r>
            </m:e>
            <m:sub>
              <m:r>
                <w:rPr>
                  <w:rFonts w:ascii="Cambria Math" w:hAnsi="Cambria Math"/>
                  <w:sz w:val="18"/>
                  <w:szCs w:val="18"/>
                </w:rPr>
                <m:t>booster,elec</m:t>
              </m:r>
            </m:sub>
          </m:sSub>
        </m:oMath>
      </m:oMathPara>
    </w:p>
    <w:p w14:paraId="5DE88A79" w14:textId="77777777" w:rsidR="00E51FD3" w:rsidRPr="00E51FD3" w:rsidRDefault="00E51FD3" w:rsidP="00A57CBF">
      <w:pPr>
        <w:spacing w:before="0" w:after="0"/>
        <w:ind w:left="1440"/>
        <w:rPr>
          <w:rFonts w:ascii="Cambria Math" w:hAnsi="Cambria Math"/>
          <w:i/>
          <w:sz w:val="18"/>
        </w:rPr>
      </w:pPr>
      <w:r w:rsidRPr="00E51FD3">
        <w:rPr>
          <w:rFonts w:ascii="Cambria Math" w:hAnsi="Cambria Math"/>
          <w:i/>
          <w:sz w:val="18"/>
        </w:rPr>
        <w:t xml:space="preserve">GPR = Water consumption (GPR) </w:t>
      </w:r>
    </w:p>
    <w:p w14:paraId="3D152C42" w14:textId="22D104F0" w:rsidR="00E51FD3" w:rsidRDefault="00E51FD3" w:rsidP="00535EFD">
      <w:pPr>
        <w:spacing w:before="0" w:after="0"/>
        <w:ind w:left="1440"/>
        <w:rPr>
          <w:rFonts w:ascii="Cambria Math" w:hAnsi="Cambria Math"/>
          <w:i/>
          <w:sz w:val="18"/>
        </w:rPr>
      </w:pPr>
      <w:r w:rsidRPr="00E51FD3">
        <w:rPr>
          <w:rFonts w:ascii="Cambria Math" w:hAnsi="Cambria Math"/>
          <w:i/>
          <w:sz w:val="18"/>
        </w:rPr>
        <w:t>RACK</w:t>
      </w:r>
      <w:r>
        <w:rPr>
          <w:rFonts w:ascii="Cambria Math" w:hAnsi="Cambria Math"/>
          <w:i/>
          <w:sz w:val="18"/>
        </w:rPr>
        <w:t>S</w:t>
      </w:r>
      <w:r w:rsidRPr="00E51FD3">
        <w:rPr>
          <w:rFonts w:ascii="Cambria Math" w:hAnsi="Cambria Math"/>
          <w:i/>
          <w:sz w:val="18"/>
        </w:rPr>
        <w:t xml:space="preserve"> = Number of racks washed per year (</w:t>
      </w:r>
      <w:r w:rsidR="006867CD">
        <w:rPr>
          <w:rFonts w:ascii="Cambria Math" w:hAnsi="Cambria Math"/>
          <w:i/>
          <w:sz w:val="18"/>
        </w:rPr>
        <w:t>racks/day</w:t>
      </w:r>
      <w:r w:rsidRPr="00E51FD3">
        <w:rPr>
          <w:rFonts w:ascii="Cambria Math" w:hAnsi="Cambria Math"/>
          <w:i/>
          <w:sz w:val="18"/>
        </w:rPr>
        <w:t>)</w:t>
      </w:r>
    </w:p>
    <w:p w14:paraId="5C0B38C9" w14:textId="77777777" w:rsidR="006867CD" w:rsidRPr="00E51FD3" w:rsidRDefault="006867CD" w:rsidP="006867CD">
      <w:pPr>
        <w:spacing w:before="20" w:after="20"/>
        <w:ind w:left="1440"/>
        <w:rPr>
          <w:rFonts w:ascii="Cambria Math" w:hAnsi="Cambria Math"/>
          <w:i/>
          <w:sz w:val="18"/>
        </w:rPr>
      </w:pPr>
      <w:r>
        <w:rPr>
          <w:rFonts w:ascii="Cambria Math" w:hAnsi="Cambria Math"/>
          <w:i/>
          <w:sz w:val="18"/>
        </w:rPr>
        <w:t>EDAYS = Operating days per year (days/year)</w:t>
      </w:r>
    </w:p>
    <w:p w14:paraId="704FB3D2" w14:textId="77777777" w:rsidR="00E51FD3" w:rsidRPr="00E51FD3" w:rsidRDefault="00E51FD3" w:rsidP="00535EFD">
      <w:pPr>
        <w:spacing w:before="0" w:after="0"/>
        <w:ind w:left="1440"/>
        <w:rPr>
          <w:rFonts w:ascii="Cambria Math" w:hAnsi="Cambria Math"/>
          <w:i/>
          <w:sz w:val="18"/>
        </w:rPr>
      </w:pPr>
      <w:r w:rsidRPr="00E51FD3">
        <w:rPr>
          <w:rFonts w:ascii="Cambria Math" w:hAnsi="Cambria Math"/>
          <w:i/>
          <w:sz w:val="18"/>
        </w:rPr>
        <w:t>UECGAL = UEC per gallon of water</w:t>
      </w:r>
      <w:r>
        <w:rPr>
          <w:rFonts w:ascii="Cambria Math" w:hAnsi="Cambria Math"/>
          <w:i/>
          <w:sz w:val="18"/>
        </w:rPr>
        <w:t xml:space="preserve"> (kWh)</w:t>
      </w:r>
    </w:p>
    <w:p w14:paraId="1443397B" w14:textId="77777777" w:rsidR="00CB5624" w:rsidRPr="00E51FD3" w:rsidRDefault="00CB5624" w:rsidP="00CB5624">
      <w:pPr>
        <w:spacing w:before="0" w:after="0"/>
        <w:ind w:left="1440"/>
        <w:rPr>
          <w:rFonts w:ascii="Cambria Math" w:hAnsi="Cambria Math"/>
          <w:i/>
          <w:sz w:val="18"/>
        </w:rPr>
      </w:pPr>
      <w:r w:rsidRPr="00E51FD3">
        <w:rPr>
          <w:rFonts w:ascii="Cambria Math" w:hAnsi="Cambria Math"/>
          <w:i/>
          <w:sz w:val="18"/>
        </w:rPr>
        <w:t xml:space="preserve">MktPen = Market penetration of electric </w:t>
      </w:r>
      <w:r>
        <w:rPr>
          <w:rFonts w:ascii="Cambria Math" w:hAnsi="Cambria Math"/>
          <w:i/>
          <w:sz w:val="18"/>
        </w:rPr>
        <w:t>booster water</w:t>
      </w:r>
      <w:r w:rsidRPr="00E51FD3">
        <w:rPr>
          <w:rFonts w:ascii="Cambria Math" w:hAnsi="Cambria Math"/>
          <w:i/>
          <w:sz w:val="18"/>
        </w:rPr>
        <w:t xml:space="preserve"> heating </w:t>
      </w:r>
      <w:r>
        <w:rPr>
          <w:rFonts w:ascii="Cambria Math" w:hAnsi="Cambria Math"/>
          <w:i/>
          <w:sz w:val="18"/>
        </w:rPr>
        <w:t>(%, decimal)</w:t>
      </w:r>
    </w:p>
    <w:p w14:paraId="754CE48F" w14:textId="77777777" w:rsidR="002D4D01" w:rsidRDefault="002D4D01" w:rsidP="007D5CB9">
      <w:pPr>
        <w:rPr>
          <w:b/>
        </w:rPr>
      </w:pPr>
    </w:p>
    <w:p w14:paraId="0D5CD117" w14:textId="0C42AF54" w:rsidR="007D5CB9" w:rsidRDefault="007D5CB9" w:rsidP="007D5CB9">
      <w:pPr>
        <w:rPr>
          <w:rStyle w:val="eTRMFootnoteTextChar"/>
          <w:sz w:val="22"/>
          <w:szCs w:val="22"/>
        </w:rPr>
      </w:pPr>
      <w:r>
        <w:rPr>
          <w:b/>
        </w:rPr>
        <w:t xml:space="preserve">Water Consumption (GPR) </w:t>
      </w:r>
      <w:r>
        <w:t xml:space="preserve">Same as </w:t>
      </w:r>
      <w:r w:rsidRPr="00B61B11">
        <w:t>Electric Water Heater Energy Use</w:t>
      </w:r>
      <w:r>
        <w:t xml:space="preserve"> (above)</w:t>
      </w:r>
    </w:p>
    <w:p w14:paraId="3CCE1980" w14:textId="77777777" w:rsidR="007D5CB9" w:rsidRDefault="007D5CB9" w:rsidP="007D5CB9">
      <w:r w:rsidRPr="00F84224">
        <w:rPr>
          <w:b/>
        </w:rPr>
        <w:t xml:space="preserve">Racks per </w:t>
      </w:r>
      <w:r>
        <w:rPr>
          <w:b/>
        </w:rPr>
        <w:t xml:space="preserve">Day </w:t>
      </w:r>
      <w:r>
        <w:t xml:space="preserve">Same as </w:t>
      </w:r>
      <w:r w:rsidRPr="00B61B11">
        <w:t>Electric Water Heater Energy Use</w:t>
      </w:r>
      <w:r>
        <w:t xml:space="preserve"> (above)</w:t>
      </w:r>
    </w:p>
    <w:p w14:paraId="49B51B8A" w14:textId="77777777" w:rsidR="007D5CB9" w:rsidRPr="00B61B11" w:rsidRDefault="007D5CB9" w:rsidP="007D5CB9">
      <w:pPr>
        <w:rPr>
          <w:szCs w:val="22"/>
        </w:rPr>
      </w:pPr>
      <w:r>
        <w:rPr>
          <w:b/>
        </w:rPr>
        <w:t xml:space="preserve">Operating Days per Year </w:t>
      </w:r>
      <w:r>
        <w:t xml:space="preserve">Same as </w:t>
      </w:r>
      <w:r w:rsidRPr="00B61B11">
        <w:t>Electric Water Heater Energy Use</w:t>
      </w:r>
      <w:r>
        <w:t xml:space="preserve"> (above)</w:t>
      </w:r>
    </w:p>
    <w:p w14:paraId="43EE6762" w14:textId="77777777" w:rsidR="007D5CB9" w:rsidRDefault="007D5CB9" w:rsidP="007D5CB9">
      <w:r>
        <w:rPr>
          <w:b/>
        </w:rPr>
        <w:t>UEC</w:t>
      </w:r>
      <w:r w:rsidRPr="00F84224">
        <w:rPr>
          <w:b/>
        </w:rPr>
        <w:t xml:space="preserve"> per Gallon</w:t>
      </w:r>
      <w:r>
        <w:rPr>
          <w:b/>
        </w:rPr>
        <w:t xml:space="preserve"> of Water </w:t>
      </w:r>
      <w:r w:rsidRPr="00F84224">
        <w:t xml:space="preserve">The </w:t>
      </w:r>
      <w:r>
        <w:t>UEC</w:t>
      </w:r>
      <w:r w:rsidRPr="00F84224">
        <w:t xml:space="preserve"> per gallon of water</w:t>
      </w:r>
      <w:r>
        <w:t xml:space="preserve"> </w:t>
      </w:r>
      <w:r w:rsidRPr="00F84224">
        <w:t>is based on the increase in water temperature required for a wash cycle, the specific heat of water</w:t>
      </w:r>
      <w:r>
        <w:t>,</w:t>
      </w:r>
      <w:r w:rsidRPr="00F84224">
        <w:t xml:space="preserve"> the</w:t>
      </w:r>
      <w:r>
        <w:t xml:space="preserve"> density</w:t>
      </w:r>
      <w:r w:rsidRPr="00F84224">
        <w:t xml:space="preserve"> of water, and the </w:t>
      </w:r>
      <w:r>
        <w:t xml:space="preserve">heating </w:t>
      </w:r>
      <w:r w:rsidRPr="00F84224">
        <w:t>equipment efficiency.</w:t>
      </w:r>
    </w:p>
    <w:p w14:paraId="2C00E3CF" w14:textId="77777777" w:rsidR="007D5CB9" w:rsidRPr="00A92C95" w:rsidRDefault="001F3D36" w:rsidP="007D5CB9">
      <w:pPr>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Booster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∆T×C×ρ</m:t>
                  </m:r>
                </m:num>
                <m:den>
                  <m:r>
                    <w:rPr>
                      <w:rFonts w:ascii="Cambria Math" w:hAnsi="Cambria Math"/>
                      <w:sz w:val="18"/>
                      <w:szCs w:val="18"/>
                    </w:rPr>
                    <m:t>η</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Btu</m:t>
              </m:r>
            </m:den>
          </m:f>
        </m:oMath>
      </m:oMathPara>
    </w:p>
    <w:p w14:paraId="3930416F" w14:textId="77777777" w:rsidR="007D5CB9" w:rsidRPr="0090041C" w:rsidRDefault="007D5CB9" w:rsidP="007D5CB9">
      <w:pPr>
        <w:spacing w:before="0" w:after="0"/>
        <w:ind w:left="1440"/>
        <w:rPr>
          <w:rFonts w:ascii="Cambria Math" w:hAnsi="Cambria Math"/>
          <w:i/>
          <w:sz w:val="18"/>
          <w:szCs w:val="18"/>
        </w:rPr>
      </w:pPr>
      <m:oMath>
        <m:r>
          <w:rPr>
            <w:rFonts w:ascii="Cambria Math" w:hAnsi="Cambria Math"/>
            <w:sz w:val="18"/>
            <w:szCs w:val="18"/>
          </w:rPr>
          <m:t>∆T=</m:t>
        </m:r>
      </m:oMath>
      <w:r>
        <w:rPr>
          <w:rFonts w:ascii="Cambria Math" w:hAnsi="Cambria Math"/>
          <w:i/>
          <w:sz w:val="18"/>
          <w:szCs w:val="18"/>
        </w:rPr>
        <w:t>Temperature r</w:t>
      </w:r>
      <w:r w:rsidRPr="0090041C">
        <w:rPr>
          <w:rFonts w:ascii="Cambria Math" w:hAnsi="Cambria Math"/>
          <w:i/>
          <w:sz w:val="18"/>
          <w:szCs w:val="18"/>
        </w:rPr>
        <w:t>ise (°F)</w:t>
      </w:r>
    </w:p>
    <w:p w14:paraId="242D93B4" w14:textId="77777777" w:rsidR="00516EA3" w:rsidRPr="0090041C" w:rsidRDefault="00516EA3" w:rsidP="00516EA3">
      <w:pPr>
        <w:spacing w:before="0" w:after="0"/>
        <w:ind w:left="1440"/>
        <w:rPr>
          <w:rFonts w:ascii="Cambria Math" w:hAnsi="Cambria Math"/>
          <w:i/>
          <w:sz w:val="18"/>
          <w:szCs w:val="18"/>
        </w:rPr>
      </w:pPr>
      <m:oMath>
        <m:r>
          <w:rPr>
            <w:rFonts w:ascii="Cambria Math" w:hAnsi="Cambria Math"/>
            <w:sz w:val="18"/>
            <w:szCs w:val="18"/>
          </w:rPr>
          <m:t>C=</m:t>
        </m:r>
      </m:oMath>
      <w:r w:rsidRPr="0090041C">
        <w:rPr>
          <w:rFonts w:ascii="Cambria Math" w:hAnsi="Cambria Math"/>
          <w:i/>
          <w:sz w:val="18"/>
          <w:szCs w:val="18"/>
        </w:rPr>
        <w:t xml:space="preserve"> </w:t>
      </w:r>
      <w:r w:rsidRPr="00C60ACD">
        <w:rPr>
          <w:rFonts w:ascii="Cambria Math" w:hAnsi="Cambria Math"/>
          <w:i/>
          <w:sz w:val="18"/>
          <w:szCs w:val="18"/>
        </w:rPr>
        <w:t xml:space="preserve">Specific heat of water, constant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Btu</m:t>
                </m:r>
              </m:num>
              <m:den>
                <m:r>
                  <w:rPr>
                    <w:rFonts w:ascii="Cambria Math" w:hAnsi="Cambria Math"/>
                    <w:sz w:val="18"/>
                    <w:szCs w:val="18"/>
                  </w:rPr>
                  <m:t>lb-°F</m:t>
                </m:r>
              </m:den>
            </m:f>
          </m:e>
        </m:d>
      </m:oMath>
    </w:p>
    <w:p w14:paraId="5A1FBCCB" w14:textId="77777777" w:rsidR="007D5CB9" w:rsidRPr="0090041C" w:rsidRDefault="007D5CB9" w:rsidP="007D5CB9">
      <w:pPr>
        <w:spacing w:before="0" w:after="0"/>
        <w:ind w:left="1440"/>
        <w:rPr>
          <w:rFonts w:ascii="Cambria Math" w:hAnsi="Cambria Math"/>
          <w:i/>
          <w:sz w:val="18"/>
          <w:szCs w:val="18"/>
        </w:rPr>
      </w:pPr>
      <m:oMath>
        <m:r>
          <w:rPr>
            <w:rFonts w:ascii="Cambria Math" w:hAnsi="Cambria Math"/>
            <w:sz w:val="18"/>
            <w:szCs w:val="18"/>
          </w:rPr>
          <m:t>ρ=</m:t>
        </m:r>
      </m:oMath>
      <w:r w:rsidRPr="0090041C">
        <w:rPr>
          <w:rFonts w:ascii="Cambria Math" w:hAnsi="Cambria Math"/>
          <w:i/>
          <w:sz w:val="18"/>
          <w:szCs w:val="18"/>
        </w:rPr>
        <w:t>Density</w:t>
      </w:r>
      <w:r>
        <w:rPr>
          <w:rFonts w:ascii="Cambria Math" w:hAnsi="Cambria Math"/>
          <w:i/>
          <w:sz w:val="18"/>
          <w:szCs w:val="18"/>
        </w:rPr>
        <w:t xml:space="preserve"> of water, constant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lbs</m:t>
                </m:r>
              </m:num>
              <m:den>
                <m:r>
                  <w:rPr>
                    <w:rFonts w:ascii="Cambria Math" w:hAnsi="Cambria Math"/>
                    <w:sz w:val="18"/>
                    <w:szCs w:val="18"/>
                  </w:rPr>
                  <m:t>gal</m:t>
                </m:r>
              </m:den>
            </m:f>
          </m:e>
        </m:d>
      </m:oMath>
    </w:p>
    <w:p w14:paraId="0E9A920A" w14:textId="77777777" w:rsidR="007D5CB9" w:rsidRDefault="007D5CB9" w:rsidP="007D5CB9">
      <w:pPr>
        <w:spacing w:before="0" w:after="0"/>
        <w:ind w:left="1440"/>
        <w:rPr>
          <w:rFonts w:ascii="Cambria Math" w:hAnsi="Cambria Math"/>
          <w:i/>
          <w:sz w:val="18"/>
          <w:szCs w:val="18"/>
        </w:rPr>
      </w:pPr>
      <m:oMath>
        <m:r>
          <w:rPr>
            <w:rFonts w:ascii="Cambria Math" w:hAnsi="Cambria Math"/>
            <w:sz w:val="18"/>
            <w:szCs w:val="18"/>
          </w:rPr>
          <m:t>η=</m:t>
        </m:r>
      </m:oMath>
      <w:r w:rsidRPr="006D46B3">
        <w:rPr>
          <w:rFonts w:ascii="Cambria Math" w:hAnsi="Cambria Math"/>
          <w:i/>
          <w:sz w:val="18"/>
          <w:szCs w:val="18"/>
        </w:rPr>
        <w:t xml:space="preserve"> </w:t>
      </w:r>
      <w:r>
        <w:rPr>
          <w:rFonts w:ascii="Cambria Math" w:hAnsi="Cambria Math"/>
          <w:i/>
          <w:sz w:val="18"/>
          <w:szCs w:val="18"/>
        </w:rPr>
        <w:t>Booster</w:t>
      </w:r>
      <w:r w:rsidRPr="006D46B3">
        <w:rPr>
          <w:rFonts w:ascii="Cambria Math" w:hAnsi="Cambria Math"/>
          <w:i/>
          <w:sz w:val="18"/>
          <w:szCs w:val="18"/>
        </w:rPr>
        <w:t xml:space="preserve"> </w:t>
      </w:r>
      <w:r>
        <w:rPr>
          <w:rFonts w:ascii="Cambria Math" w:hAnsi="Cambria Math"/>
          <w:i/>
          <w:sz w:val="18"/>
          <w:szCs w:val="18"/>
        </w:rPr>
        <w:t>e</w:t>
      </w:r>
      <w:r w:rsidRPr="006D46B3">
        <w:rPr>
          <w:rFonts w:ascii="Cambria Math" w:hAnsi="Cambria Math"/>
          <w:i/>
          <w:sz w:val="18"/>
          <w:szCs w:val="18"/>
        </w:rPr>
        <w:t xml:space="preserve">quipment </w:t>
      </w:r>
      <w:r>
        <w:rPr>
          <w:rFonts w:ascii="Cambria Math" w:hAnsi="Cambria Math"/>
          <w:i/>
          <w:sz w:val="18"/>
          <w:szCs w:val="18"/>
        </w:rPr>
        <w:t>e</w:t>
      </w:r>
      <w:r w:rsidRPr="006D46B3">
        <w:rPr>
          <w:rFonts w:ascii="Cambria Math" w:hAnsi="Cambria Math"/>
          <w:i/>
          <w:sz w:val="18"/>
          <w:szCs w:val="18"/>
        </w:rPr>
        <w:t>fficiency</w:t>
      </w:r>
    </w:p>
    <w:p w14:paraId="5AE13863" w14:textId="77777777" w:rsidR="007D5CB9" w:rsidRPr="0090041C" w:rsidRDefault="007D5CB9" w:rsidP="007D5CB9">
      <w:pPr>
        <w:spacing w:before="0" w:after="0"/>
        <w:ind w:left="1440"/>
        <w:rPr>
          <w:rFonts w:ascii="Cambria Math" w:hAnsi="Cambria Math"/>
          <w:i/>
          <w:sz w:val="18"/>
          <w:szCs w:val="18"/>
        </w:rPr>
      </w:pPr>
      <w:r>
        <w:rPr>
          <w:rFonts w:ascii="Cambria Math" w:hAnsi="Cambria Math"/>
          <w:i/>
          <w:sz w:val="18"/>
          <w:szCs w:val="18"/>
        </w:rPr>
        <w:t>kWh/Btu = Btu to kWh conversion factor</w:t>
      </w:r>
    </w:p>
    <w:p w14:paraId="0D3D14FF" w14:textId="77777777" w:rsidR="007D5CB9" w:rsidRDefault="007D5CB9" w:rsidP="007D5CB9"/>
    <w:p w14:paraId="282C5E33" w14:textId="77777777" w:rsidR="00B0302B" w:rsidRPr="00F938B9" w:rsidRDefault="00B0302B" w:rsidP="00B0302B">
      <w:r w:rsidRPr="005751D7">
        <w:rPr>
          <w:b/>
        </w:rPr>
        <w:t xml:space="preserve">Temperature </w:t>
      </w:r>
      <w:r>
        <w:rPr>
          <w:b/>
        </w:rPr>
        <w:t>r</w:t>
      </w:r>
      <w:r w:rsidRPr="005751D7">
        <w:rPr>
          <w:b/>
        </w:rPr>
        <w:t>ise (°F)</w:t>
      </w:r>
      <w:r w:rsidRPr="00DF6E5D">
        <w:rPr>
          <w:b/>
        </w:rPr>
        <w:t xml:space="preserve"> </w:t>
      </w:r>
      <w:r>
        <w:rPr>
          <w:b/>
        </w:rPr>
        <w:t>–</w:t>
      </w:r>
      <w:r>
        <w:t xml:space="preserve"> </w:t>
      </w:r>
      <w:r w:rsidRPr="00F84224">
        <w:t>For high</w:t>
      </w:r>
      <w:r>
        <w:t>-</w:t>
      </w:r>
      <w:r w:rsidRPr="00F84224">
        <w:t xml:space="preserve">temperature machines, there is an extra sanitizing rinse that increases the water temperature via a dishwasher booster water heater </w:t>
      </w:r>
      <w:r>
        <w:t>an additional</w:t>
      </w:r>
      <w:r w:rsidRPr="00F84224">
        <w:t xml:space="preserve"> 40</w:t>
      </w:r>
      <w:r>
        <w:t xml:space="preserve"> </w:t>
      </w:r>
      <w:r w:rsidRPr="00F84224">
        <w:t>°F, to 180</w:t>
      </w:r>
      <w:r>
        <w:t xml:space="preserve"> </w:t>
      </w:r>
      <w:r w:rsidRPr="00F84224">
        <w:t xml:space="preserve">°F to meet the </w:t>
      </w:r>
      <w:r w:rsidRPr="002C01E3">
        <w:rPr>
          <w:rFonts w:cstheme="minorHAnsi"/>
          <w:szCs w:val="22"/>
        </w:rPr>
        <w:lastRenderedPageBreak/>
        <w:t>National Sanitation Foundation (NSF) mandated sanitation criteria</w:t>
      </w:r>
      <w:r>
        <w:t>. (The low-</w:t>
      </w:r>
      <w:r w:rsidRPr="00F84224">
        <w:t xml:space="preserve">temperature machines meet this standard via a chemical rinse). </w:t>
      </w:r>
    </w:p>
    <w:p w14:paraId="1645BB09" w14:textId="077384F1" w:rsidR="003E57B8" w:rsidRPr="00710285" w:rsidRDefault="00B0302B" w:rsidP="00710285">
      <w:r w:rsidRPr="0033768C">
        <w:rPr>
          <w:b/>
        </w:rPr>
        <w:t>Booster heating unit efficiency</w:t>
      </w:r>
      <w:r w:rsidRPr="00F84224">
        <w:t xml:space="preserve"> </w:t>
      </w:r>
      <w:r>
        <w:t>is</w:t>
      </w:r>
      <w:r w:rsidRPr="00F84224">
        <w:t xml:space="preserve"> used to determine the additional energy consumption of the booster water heating in </w:t>
      </w:r>
      <w:r w:rsidRPr="00CF4CBA">
        <w:t xml:space="preserve">high temperature units. </w:t>
      </w:r>
      <w:r w:rsidRPr="00F84224">
        <w:t xml:space="preserve">Electric booster heating units are assumed to have an efficiency of </w:t>
      </w:r>
      <w:r>
        <w:t>98</w:t>
      </w:r>
      <w:r w:rsidRPr="00F84224">
        <w:t xml:space="preserve">%, and gas booster heating units are assumed to have an efficiency of 80%.  These efficiencies are used to determine the additional energy consumption of the booster water heating in high temperature units. These engineering assumptions are consistent with those used by </w:t>
      </w:r>
      <w:r>
        <w:t>ENERGY STAR</w:t>
      </w:r>
      <w:r w:rsidRPr="00F84224">
        <w:t>.</w:t>
      </w:r>
      <w:r w:rsidR="00733D7A" w:rsidRPr="00CF4CBA">
        <w:rPr>
          <w:rStyle w:val="FootnoteReference"/>
        </w:rPr>
        <w:footnoteReference w:id="12"/>
      </w:r>
      <w:bookmarkEnd w:id="39"/>
      <w:bookmarkEnd w:id="40"/>
    </w:p>
    <w:p w14:paraId="684DB922" w14:textId="74CF3DF1" w:rsidR="00521EF1" w:rsidRPr="00F84224" w:rsidRDefault="008F5B1B" w:rsidP="00186649">
      <w:pPr>
        <w:rPr>
          <w:i/>
        </w:rPr>
      </w:pPr>
      <w:r w:rsidRPr="00186649">
        <w:rPr>
          <w:b/>
        </w:rPr>
        <w:t xml:space="preserve">Market Penetration </w:t>
      </w:r>
      <w:r w:rsidR="008A1E29" w:rsidRPr="00186649">
        <w:rPr>
          <w:b/>
        </w:rPr>
        <w:t>of Booster Heating</w:t>
      </w:r>
      <w:r w:rsidR="009A7FC7" w:rsidRPr="00186649">
        <w:rPr>
          <w:b/>
        </w:rPr>
        <w:t xml:space="preserve"> Fuel Types</w:t>
      </w:r>
      <w:r w:rsidR="00186649" w:rsidRPr="00186649">
        <w:rPr>
          <w:b/>
        </w:rPr>
        <w:t>.</w:t>
      </w:r>
      <w:r w:rsidR="00186649">
        <w:t xml:space="preserve"> A h</w:t>
      </w:r>
      <w:r w:rsidR="0054501E" w:rsidRPr="00F84224">
        <w:t>igh</w:t>
      </w:r>
      <w:r w:rsidR="001254EB">
        <w:t>-</w:t>
      </w:r>
      <w:r w:rsidR="0054501E" w:rsidRPr="00F84224">
        <w:t xml:space="preserve">temperature unit </w:t>
      </w:r>
      <w:r w:rsidR="00D6490C">
        <w:t>achieve</w:t>
      </w:r>
      <w:r w:rsidR="00186649">
        <w:t>s</w:t>
      </w:r>
      <w:r w:rsidR="0054501E" w:rsidRPr="00F84224">
        <w:t xml:space="preserve"> energy savings via primary water hea</w:t>
      </w:r>
      <w:r w:rsidR="001254EB">
        <w:t xml:space="preserve">ting </w:t>
      </w:r>
      <w:r w:rsidR="008A1E29">
        <w:t>as well as</w:t>
      </w:r>
      <w:r w:rsidR="001254EB">
        <w:t xml:space="preserve"> booster water heating.</w:t>
      </w:r>
      <w:r w:rsidR="0054501E" w:rsidRPr="00F84224">
        <w:t xml:space="preserve"> It is assumed that restaurants with electric primary heating will only install electric dishwashers </w:t>
      </w:r>
      <w:r w:rsidR="001254EB">
        <w:t xml:space="preserve">with electric booster heating. </w:t>
      </w:r>
      <w:r w:rsidR="0054501E" w:rsidRPr="00F84224">
        <w:t xml:space="preserve">While </w:t>
      </w:r>
      <w:r w:rsidR="00521EF1">
        <w:t>most</w:t>
      </w:r>
      <w:r w:rsidR="0054501E" w:rsidRPr="00F84224">
        <w:t xml:space="preserve"> restaurants with gas primary water heating </w:t>
      </w:r>
      <w:r w:rsidR="00186649">
        <w:t xml:space="preserve">are more likely to </w:t>
      </w:r>
      <w:r w:rsidR="0054501E" w:rsidRPr="00F84224">
        <w:t xml:space="preserve">install </w:t>
      </w:r>
      <w:r w:rsidR="00186649">
        <w:t xml:space="preserve">an </w:t>
      </w:r>
      <w:r w:rsidR="0054501E" w:rsidRPr="00F84224">
        <w:t xml:space="preserve">electric dishwasher with electric booster heating, gas booster heating is available and is installed </w:t>
      </w:r>
      <w:r w:rsidR="001254EB">
        <w:t xml:space="preserve">in </w:t>
      </w:r>
      <w:r w:rsidR="0054501E" w:rsidRPr="00F84224">
        <w:t xml:space="preserve">a small percentage of </w:t>
      </w:r>
      <w:r w:rsidR="001254EB">
        <w:t>restaurants</w:t>
      </w:r>
      <w:r w:rsidR="009A7FC7">
        <w:t xml:space="preserve">. </w:t>
      </w:r>
      <w:r w:rsidR="0054501E" w:rsidRPr="00DA59FC">
        <w:t xml:space="preserve">The </w:t>
      </w:r>
      <w:r w:rsidR="006B418B">
        <w:t xml:space="preserve">assumed </w:t>
      </w:r>
      <w:r w:rsidR="0054501E" w:rsidRPr="00DA59FC">
        <w:t>percentages</w:t>
      </w:r>
      <w:r w:rsidR="009A7FC7">
        <w:t xml:space="preserve"> of market penetration</w:t>
      </w:r>
      <w:r w:rsidR="0054501E" w:rsidRPr="00DA59FC">
        <w:t xml:space="preserve"> for each </w:t>
      </w:r>
      <w:r w:rsidR="009A7FC7">
        <w:t xml:space="preserve">primary/booster fuel </w:t>
      </w:r>
      <w:r w:rsidR="005F3FA4">
        <w:t>combination</w:t>
      </w:r>
      <w:r w:rsidR="0054501E" w:rsidRPr="00DA59FC">
        <w:t xml:space="preserve"> are </w:t>
      </w:r>
      <w:r w:rsidR="00186649">
        <w:t>provided below</w:t>
      </w:r>
      <w:r w:rsidR="0054501E" w:rsidRPr="00DA59FC">
        <w:t>.</w:t>
      </w:r>
      <w:r w:rsidR="00521EF1">
        <w:t xml:space="preserve"> </w:t>
      </w:r>
      <w:r w:rsidR="00521EF1" w:rsidRPr="00F84224">
        <w:t xml:space="preserve">These percentages were applied to the primary water heating energy savings </w:t>
      </w:r>
      <w:r w:rsidR="00521EF1">
        <w:t>for low- and high-</w:t>
      </w:r>
      <w:r w:rsidR="00521EF1" w:rsidRPr="00F84224">
        <w:t>temperature units</w:t>
      </w:r>
      <w:r w:rsidR="00521EF1">
        <w:t>.</w:t>
      </w:r>
    </w:p>
    <w:p w14:paraId="08C4488A" w14:textId="674CCDAD" w:rsidR="001254EB" w:rsidRDefault="00186649" w:rsidP="003E57B8">
      <w:pPr>
        <w:pStyle w:val="Caption"/>
      </w:pPr>
      <w:r>
        <w:t xml:space="preserve">Market </w:t>
      </w:r>
      <w:r w:rsidR="001254EB" w:rsidRPr="00F84224">
        <w:t>Penetration of Primary Water Heating and Booster Water Heating Fuel Combinations</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780"/>
        <w:gridCol w:w="1530"/>
        <w:gridCol w:w="4140"/>
      </w:tblGrid>
      <w:tr w:rsidR="008A1E29" w:rsidRPr="00A45720" w14:paraId="0EFE4E32" w14:textId="23F9A2CD" w:rsidTr="005751D7">
        <w:trPr>
          <w:cantSplit/>
          <w:trHeight w:val="20"/>
        </w:trPr>
        <w:tc>
          <w:tcPr>
            <w:tcW w:w="3780" w:type="dxa"/>
            <w:shd w:val="clear" w:color="auto" w:fill="F2F2F2" w:themeFill="background1" w:themeFillShade="F2"/>
            <w:noWrap/>
            <w:vAlign w:val="bottom"/>
          </w:tcPr>
          <w:p w14:paraId="161ECE99" w14:textId="16E6E0BA" w:rsidR="008A1E29" w:rsidRPr="00A45720" w:rsidRDefault="008A576E" w:rsidP="00342696">
            <w:pPr>
              <w:spacing w:before="20" w:after="20"/>
              <w:rPr>
                <w:b/>
                <w:sz w:val="20"/>
              </w:rPr>
            </w:pPr>
            <w:r>
              <w:rPr>
                <w:b/>
                <w:sz w:val="20"/>
              </w:rPr>
              <w:t>Primary/</w:t>
            </w:r>
            <w:r w:rsidR="008A1E29">
              <w:rPr>
                <w:b/>
                <w:sz w:val="20"/>
              </w:rPr>
              <w:t>Booster Fuel Combination</w:t>
            </w:r>
          </w:p>
        </w:tc>
        <w:tc>
          <w:tcPr>
            <w:tcW w:w="1530" w:type="dxa"/>
            <w:shd w:val="clear" w:color="auto" w:fill="F2F2F2" w:themeFill="background1" w:themeFillShade="F2"/>
            <w:noWrap/>
            <w:vAlign w:val="bottom"/>
          </w:tcPr>
          <w:p w14:paraId="36E875DC" w14:textId="4220D5F1" w:rsidR="008A1E29" w:rsidRPr="00A45720" w:rsidRDefault="008A1E29" w:rsidP="00342696">
            <w:pPr>
              <w:spacing w:before="20" w:after="20"/>
              <w:jc w:val="center"/>
              <w:rPr>
                <w:b/>
                <w:sz w:val="20"/>
              </w:rPr>
            </w:pPr>
            <w:r>
              <w:rPr>
                <w:b/>
                <w:sz w:val="20"/>
              </w:rPr>
              <w:t>Penetration (%)</w:t>
            </w:r>
          </w:p>
        </w:tc>
        <w:tc>
          <w:tcPr>
            <w:tcW w:w="4140" w:type="dxa"/>
            <w:shd w:val="clear" w:color="auto" w:fill="F2F2F2" w:themeFill="background1" w:themeFillShade="F2"/>
          </w:tcPr>
          <w:p w14:paraId="3AE74B0B" w14:textId="6228D61C" w:rsidR="008A1E29" w:rsidRDefault="008A1E29" w:rsidP="00342696">
            <w:pPr>
              <w:spacing w:before="20" w:after="20"/>
              <w:jc w:val="center"/>
              <w:rPr>
                <w:b/>
                <w:sz w:val="20"/>
              </w:rPr>
            </w:pPr>
            <w:r>
              <w:rPr>
                <w:b/>
                <w:sz w:val="20"/>
              </w:rPr>
              <w:t>Source</w:t>
            </w:r>
          </w:p>
        </w:tc>
      </w:tr>
      <w:tr w:rsidR="008A1E29" w:rsidRPr="00A45720" w14:paraId="6357150A" w14:textId="5636C427" w:rsidTr="005751D7">
        <w:trPr>
          <w:cantSplit/>
          <w:trHeight w:val="20"/>
        </w:trPr>
        <w:tc>
          <w:tcPr>
            <w:tcW w:w="3780" w:type="dxa"/>
            <w:noWrap/>
            <w:vAlign w:val="bottom"/>
            <w:hideMark/>
          </w:tcPr>
          <w:p w14:paraId="4D0A7C66" w14:textId="4DC594BE" w:rsidR="008A1E29" w:rsidRPr="00A45720" w:rsidRDefault="008A1E29" w:rsidP="00342696">
            <w:pPr>
              <w:spacing w:before="20" w:after="20"/>
              <w:rPr>
                <w:sz w:val="20"/>
              </w:rPr>
            </w:pPr>
            <w:r>
              <w:rPr>
                <w:sz w:val="20"/>
              </w:rPr>
              <w:t>Electric/Electric</w:t>
            </w:r>
          </w:p>
        </w:tc>
        <w:tc>
          <w:tcPr>
            <w:tcW w:w="1530" w:type="dxa"/>
            <w:noWrap/>
            <w:vAlign w:val="bottom"/>
          </w:tcPr>
          <w:p w14:paraId="265343A7" w14:textId="4DCD05CB" w:rsidR="008A1E29" w:rsidRPr="006B0FA1" w:rsidRDefault="008A1E29" w:rsidP="00342696">
            <w:pPr>
              <w:spacing w:before="20" w:after="20"/>
              <w:ind w:right="474"/>
              <w:jc w:val="right"/>
              <w:rPr>
                <w:sz w:val="20"/>
              </w:rPr>
            </w:pPr>
            <w:r w:rsidRPr="006B0FA1">
              <w:rPr>
                <w:sz w:val="20"/>
              </w:rPr>
              <w:t>3%</w:t>
            </w:r>
          </w:p>
        </w:tc>
        <w:tc>
          <w:tcPr>
            <w:tcW w:w="4140" w:type="dxa"/>
            <w:vMerge w:val="restart"/>
            <w:vAlign w:val="center"/>
          </w:tcPr>
          <w:p w14:paraId="0E10003C" w14:textId="2E2A2F58" w:rsidR="008A1E29" w:rsidRPr="00ED6DB9" w:rsidRDefault="00A200EC" w:rsidP="00342696">
            <w:pPr>
              <w:spacing w:before="20" w:after="20"/>
              <w:rPr>
                <w:sz w:val="20"/>
              </w:rPr>
            </w:pPr>
            <w:r w:rsidRPr="00ED6DB9">
              <w:rPr>
                <w:rStyle w:val="eTRMFootnoteTextChar"/>
              </w:rPr>
              <w:t>The source of this data is unknown.</w:t>
            </w:r>
          </w:p>
        </w:tc>
      </w:tr>
      <w:tr w:rsidR="008A1E29" w:rsidRPr="00A45720" w14:paraId="5544C3DE" w14:textId="16E5BF23" w:rsidTr="005751D7">
        <w:trPr>
          <w:cantSplit/>
          <w:trHeight w:val="20"/>
        </w:trPr>
        <w:tc>
          <w:tcPr>
            <w:tcW w:w="3780" w:type="dxa"/>
            <w:noWrap/>
            <w:vAlign w:val="bottom"/>
            <w:hideMark/>
          </w:tcPr>
          <w:p w14:paraId="1ECF0364" w14:textId="7800D417" w:rsidR="008A1E29" w:rsidRPr="00A45720" w:rsidRDefault="008A1E29" w:rsidP="00342696">
            <w:pPr>
              <w:spacing w:before="20" w:after="20"/>
              <w:rPr>
                <w:sz w:val="20"/>
              </w:rPr>
            </w:pPr>
            <w:r>
              <w:rPr>
                <w:sz w:val="20"/>
              </w:rPr>
              <w:t>Gas/Gas</w:t>
            </w:r>
          </w:p>
        </w:tc>
        <w:tc>
          <w:tcPr>
            <w:tcW w:w="1530" w:type="dxa"/>
            <w:noWrap/>
            <w:vAlign w:val="bottom"/>
          </w:tcPr>
          <w:p w14:paraId="06C1D63E" w14:textId="4D641AC8" w:rsidR="008A1E29" w:rsidRPr="006B0FA1" w:rsidRDefault="008A1E29" w:rsidP="00342696">
            <w:pPr>
              <w:spacing w:before="20" w:after="20"/>
              <w:ind w:right="474"/>
              <w:jc w:val="right"/>
              <w:rPr>
                <w:sz w:val="20"/>
              </w:rPr>
            </w:pPr>
            <w:r w:rsidRPr="006B0FA1">
              <w:rPr>
                <w:sz w:val="20"/>
              </w:rPr>
              <w:t>5%</w:t>
            </w:r>
          </w:p>
        </w:tc>
        <w:tc>
          <w:tcPr>
            <w:tcW w:w="4140" w:type="dxa"/>
            <w:vMerge/>
          </w:tcPr>
          <w:p w14:paraId="06E2642E" w14:textId="77777777" w:rsidR="008A1E29" w:rsidRDefault="008A1E29" w:rsidP="00342696">
            <w:pPr>
              <w:spacing w:before="20" w:after="20"/>
              <w:jc w:val="center"/>
              <w:rPr>
                <w:color w:val="FF0000"/>
                <w:sz w:val="20"/>
              </w:rPr>
            </w:pPr>
          </w:p>
        </w:tc>
      </w:tr>
      <w:tr w:rsidR="008A1E29" w:rsidRPr="00A45720" w14:paraId="01B1CCE5" w14:textId="3629F09C" w:rsidTr="005751D7">
        <w:trPr>
          <w:cantSplit/>
          <w:trHeight w:val="20"/>
        </w:trPr>
        <w:tc>
          <w:tcPr>
            <w:tcW w:w="3780" w:type="dxa"/>
            <w:noWrap/>
            <w:vAlign w:val="bottom"/>
            <w:hideMark/>
          </w:tcPr>
          <w:p w14:paraId="4A1AF018" w14:textId="5F57FE8B" w:rsidR="008A1E29" w:rsidRPr="00A45720" w:rsidRDefault="008A1E29" w:rsidP="00342696">
            <w:pPr>
              <w:spacing w:before="20" w:after="20"/>
              <w:rPr>
                <w:sz w:val="20"/>
              </w:rPr>
            </w:pPr>
            <w:r>
              <w:rPr>
                <w:sz w:val="20"/>
              </w:rPr>
              <w:t>Gas/Electric</w:t>
            </w:r>
          </w:p>
        </w:tc>
        <w:tc>
          <w:tcPr>
            <w:tcW w:w="1530" w:type="dxa"/>
            <w:noWrap/>
            <w:vAlign w:val="bottom"/>
          </w:tcPr>
          <w:p w14:paraId="06799766" w14:textId="146442ED" w:rsidR="008A1E29" w:rsidRPr="006B0FA1" w:rsidRDefault="008A1E29" w:rsidP="00342696">
            <w:pPr>
              <w:spacing w:before="20" w:after="20"/>
              <w:ind w:right="474"/>
              <w:jc w:val="right"/>
              <w:rPr>
                <w:sz w:val="20"/>
              </w:rPr>
            </w:pPr>
            <w:r w:rsidRPr="006B0FA1">
              <w:rPr>
                <w:sz w:val="20"/>
              </w:rPr>
              <w:t>92%</w:t>
            </w:r>
          </w:p>
        </w:tc>
        <w:tc>
          <w:tcPr>
            <w:tcW w:w="4140" w:type="dxa"/>
            <w:vMerge/>
          </w:tcPr>
          <w:p w14:paraId="0200577C" w14:textId="77777777" w:rsidR="008A1E29" w:rsidRDefault="008A1E29" w:rsidP="00342696">
            <w:pPr>
              <w:spacing w:before="20" w:after="20"/>
              <w:jc w:val="center"/>
              <w:rPr>
                <w:color w:val="FF0000"/>
                <w:sz w:val="20"/>
              </w:rPr>
            </w:pPr>
          </w:p>
        </w:tc>
      </w:tr>
    </w:tbl>
    <w:p w14:paraId="1802B4E5" w14:textId="77777777" w:rsidR="008A1E29" w:rsidRDefault="008A1E29" w:rsidP="008A1E29"/>
    <w:p w14:paraId="2A8AFB48" w14:textId="5BD41908" w:rsidR="00AD09D9" w:rsidRDefault="00AD09D9" w:rsidP="00186649">
      <w:pPr>
        <w:pStyle w:val="eTRMHeading4"/>
      </w:pPr>
      <w:r>
        <w:t xml:space="preserve">Annual Idle Energy </w:t>
      </w:r>
    </w:p>
    <w:p w14:paraId="6170CDCD" w14:textId="0D6D55C8" w:rsidR="00186649" w:rsidRDefault="00186649" w:rsidP="008A1E29">
      <w:r>
        <w:t>Annual</w:t>
      </w:r>
      <w:r w:rsidR="000147E1">
        <w:t xml:space="preserve"> idle energy use is a function of operating hours, wash time, idle energy rate, and the market penetration of primary and b</w:t>
      </w:r>
      <w:r w:rsidR="00170722">
        <w:t xml:space="preserve">ooster water heating fuel types. </w:t>
      </w:r>
    </w:p>
    <w:p w14:paraId="3F940BC3" w14:textId="142436D5" w:rsidR="00186649" w:rsidRPr="00B86DBF" w:rsidRDefault="00186649" w:rsidP="00313237">
      <w:pPr>
        <w:ind w:left="720"/>
        <w:jc w:val="both"/>
        <w:rPr>
          <w:sz w:val="18"/>
          <w:szCs w:val="18"/>
        </w:rPr>
      </w:pPr>
      <m:oMath>
        <m:r>
          <w:rPr>
            <w:rFonts w:ascii="Cambria Math" w:hAnsi="Cambria Math"/>
            <w:sz w:val="18"/>
            <w:szCs w:val="18"/>
          </w:rPr>
          <m:t>Annual Idle Energy=</m:t>
        </m:r>
      </m:oMath>
      <w:r>
        <w:rPr>
          <w:rFonts w:asciiTheme="minorHAnsi" w:hAnsiTheme="minorHAnsi" w:cs="Times New Roman"/>
          <w:sz w:val="18"/>
          <w:szCs w:val="18"/>
        </w:rPr>
        <w:t xml:space="preserve"> </w:t>
      </w:r>
      <m:oMath>
        <m:r>
          <w:rPr>
            <w:rFonts w:ascii="Cambria Math" w:hAnsi="Cambria Math"/>
            <w:sz w:val="18"/>
            <w:szCs w:val="18"/>
          </w:rPr>
          <m:t>EDAYS ×</m:t>
        </m:r>
        <m:d>
          <m:dPr>
            <m:ctrlPr>
              <w:rPr>
                <w:rFonts w:ascii="Cambria Math" w:hAnsi="Cambria Math"/>
                <w:i/>
                <w:sz w:val="18"/>
                <w:szCs w:val="18"/>
              </w:rPr>
            </m:ctrlPr>
          </m:dPr>
          <m:e>
            <m:r>
              <w:rPr>
                <w:rFonts w:ascii="Cambria Math" w:hAnsi="Cambria Math"/>
                <w:sz w:val="18"/>
                <w:szCs w:val="18"/>
              </w:rPr>
              <m:t>EHOURS-</m:t>
            </m:r>
            <m:f>
              <m:fPr>
                <m:ctrlPr>
                  <w:rPr>
                    <w:rFonts w:ascii="Cambria Math" w:hAnsi="Cambria Math"/>
                    <w:i/>
                    <w:sz w:val="18"/>
                    <w:szCs w:val="18"/>
                  </w:rPr>
                </m:ctrlPr>
              </m:fPr>
              <m:num>
                <m:r>
                  <w:rPr>
                    <w:rFonts w:ascii="Cambria Math" w:hAnsi="Cambria Math"/>
                    <w:sz w:val="18"/>
                    <w:szCs w:val="18"/>
                  </w:rPr>
                  <m:t>TWASH</m:t>
                </m:r>
              </m:num>
              <m:den>
                <m:r>
                  <w:rPr>
                    <w:rFonts w:ascii="Cambria Math" w:hAnsi="Cambria Math"/>
                    <w:sz w:val="18"/>
                    <w:szCs w:val="18"/>
                  </w:rPr>
                  <m:t>MIN</m:t>
                </m:r>
              </m:den>
            </m:f>
          </m:e>
        </m:d>
        <m:r>
          <w:rPr>
            <w:rFonts w:ascii="Cambria Math" w:hAnsi="Cambria Math"/>
            <w:sz w:val="18"/>
            <w:szCs w:val="18"/>
          </w:rPr>
          <m:t>× IDLERATE</m:t>
        </m:r>
      </m:oMath>
    </w:p>
    <w:p w14:paraId="2FF03B29" w14:textId="77777777" w:rsidR="00313237" w:rsidRDefault="00313237" w:rsidP="00313237">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31E7F269" w14:textId="26613BE1" w:rsidR="00313237" w:rsidRDefault="00313237" w:rsidP="00313237">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(hrs)</w:t>
      </w:r>
    </w:p>
    <w:p w14:paraId="31B09AAA" w14:textId="77777777" w:rsidR="00D74DFD" w:rsidRDefault="00313237" w:rsidP="00313237">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TWASH = </w:t>
      </w:r>
      <w:r>
        <w:rPr>
          <w:rFonts w:ascii="Cambria Math" w:hAnsi="Cambria Math" w:cs="Arial"/>
          <w:i/>
          <w:sz w:val="18"/>
          <w:szCs w:val="20"/>
        </w:rPr>
        <w:tab/>
        <w:t>Estimated wash time</w:t>
      </w:r>
      <w:r w:rsidR="000C156B">
        <w:rPr>
          <w:rFonts w:ascii="Cambria Math" w:hAnsi="Cambria Math" w:cs="Arial"/>
          <w:i/>
          <w:sz w:val="18"/>
          <w:szCs w:val="20"/>
        </w:rPr>
        <w:t xml:space="preserve"> per rack (min)</w:t>
      </w:r>
    </w:p>
    <w:p w14:paraId="5F2A4632" w14:textId="77777777" w:rsidR="00D74DFD" w:rsidRDefault="00D74DFD" w:rsidP="00D74DFD">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MIN = </w:t>
      </w:r>
      <w:r>
        <w:rPr>
          <w:rFonts w:ascii="Cambria Math" w:hAnsi="Cambria Math" w:cs="Arial"/>
          <w:i/>
          <w:sz w:val="18"/>
          <w:szCs w:val="20"/>
        </w:rPr>
        <w:tab/>
        <w:t>Constant minutes per hour (min)</w:t>
      </w:r>
    </w:p>
    <w:p w14:paraId="1591B474" w14:textId="2DF106FA" w:rsidR="000C156B" w:rsidRDefault="000C156B" w:rsidP="00313237">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IDLERATE = </w:t>
      </w:r>
      <w:r>
        <w:rPr>
          <w:rFonts w:ascii="Cambria Math" w:hAnsi="Cambria Math" w:cs="Arial"/>
          <w:i/>
          <w:sz w:val="18"/>
          <w:szCs w:val="20"/>
        </w:rPr>
        <w:tab/>
        <w:t>Measured idle energy rate (kW)</w:t>
      </w:r>
    </w:p>
    <w:p w14:paraId="2D85A3FC" w14:textId="77777777" w:rsidR="00186649" w:rsidRDefault="00186649" w:rsidP="008A1E29"/>
    <w:p w14:paraId="77AF9072" w14:textId="02E251DE" w:rsidR="00A92E76" w:rsidRDefault="00153DA5" w:rsidP="00A92E76">
      <w:pPr>
        <w:spacing w:before="0" w:after="0" w:line="240" w:lineRule="auto"/>
        <w:rPr>
          <w:rFonts w:eastAsia="Times New Roman" w:cs="Times New Roman"/>
          <w:szCs w:val="22"/>
        </w:rPr>
      </w:pPr>
      <w:r w:rsidRPr="00A92E76">
        <w:rPr>
          <w:b/>
        </w:rPr>
        <w:t>Operating Hours per Day</w:t>
      </w:r>
      <w:r w:rsidR="00A92E76">
        <w:t xml:space="preserve"> and </w:t>
      </w:r>
      <w:r w:rsidRPr="00A92E76">
        <w:rPr>
          <w:b/>
        </w:rPr>
        <w:t>Operating Days per Year.</w:t>
      </w:r>
      <w:r w:rsidR="00A92E76">
        <w:t xml:space="preserve"> The commercial dishwasher hours and days per year of operation was derived </w:t>
      </w:r>
      <w:r w:rsidR="00A92E76" w:rsidRPr="00A92E76">
        <w:rPr>
          <w:szCs w:val="22"/>
        </w:rPr>
        <w:t>from a</w:t>
      </w:r>
      <w:r w:rsidR="00A92E76">
        <w:rPr>
          <w:szCs w:val="22"/>
        </w:rPr>
        <w:t>n independent</w:t>
      </w:r>
      <w:r w:rsidR="00A92E76" w:rsidRPr="00A92E76">
        <w:rPr>
          <w:szCs w:val="22"/>
        </w:rPr>
        <w:t xml:space="preserve"> </w:t>
      </w:r>
      <w:r w:rsidR="00A92E76" w:rsidRPr="00A92E76">
        <w:rPr>
          <w:rFonts w:eastAsia="Times New Roman" w:cs="Times New Roman"/>
          <w:szCs w:val="22"/>
        </w:rPr>
        <w:t>survey of 54 food service establishments conducted by Navigant Consulting.</w:t>
      </w:r>
      <w:r w:rsidR="00853279">
        <w:rPr>
          <w:rStyle w:val="FootnoteReference"/>
          <w:rFonts w:eastAsia="Times New Roman" w:cs="Times New Roman"/>
          <w:szCs w:val="22"/>
        </w:rPr>
        <w:footnoteReference w:id="13"/>
      </w:r>
      <w:r w:rsidR="001565B7">
        <w:rPr>
          <w:rFonts w:eastAsia="Times New Roman" w:cs="Times New Roman"/>
          <w:szCs w:val="22"/>
        </w:rPr>
        <w:t xml:space="preserve"> The survey sample include</w:t>
      </w:r>
      <w:r w:rsidR="00344424">
        <w:rPr>
          <w:rFonts w:eastAsia="Times New Roman" w:cs="Times New Roman"/>
          <w:szCs w:val="22"/>
        </w:rPr>
        <w:t>d</w:t>
      </w:r>
      <w:r w:rsidR="001565B7">
        <w:rPr>
          <w:rFonts w:eastAsia="Times New Roman" w:cs="Times New Roman"/>
          <w:szCs w:val="22"/>
        </w:rPr>
        <w:t xml:space="preserve"> independent restaurants, casual concept (big chain) restaurants, and fast food chains.</w:t>
      </w:r>
      <w:r w:rsidR="00D07459">
        <w:rPr>
          <w:rFonts w:eastAsia="Times New Roman" w:cs="Times New Roman"/>
          <w:szCs w:val="22"/>
        </w:rPr>
        <w:t xml:space="preserve"> </w:t>
      </w:r>
      <w:r w:rsidR="00DD1649">
        <w:rPr>
          <w:rFonts w:eastAsia="Times New Roman" w:cs="Times New Roman"/>
          <w:szCs w:val="22"/>
        </w:rPr>
        <w:t xml:space="preserve">These assumed hours and days of operation align with assumptions for </w:t>
      </w:r>
      <w:r w:rsidR="00DD1649">
        <w:rPr>
          <w:rFonts w:eastAsia="Times New Roman" w:cs="Times New Roman"/>
          <w:szCs w:val="22"/>
        </w:rPr>
        <w:lastRenderedPageBreak/>
        <w:t>many other food service measures drawn from a food service equipment market potential study conducted for the California Energy Commission (CEC) by Fisher-Nickel, Inc.</w:t>
      </w:r>
      <w:r w:rsidR="00DD1649">
        <w:rPr>
          <w:rStyle w:val="FootnoteReference"/>
          <w:rFonts w:eastAsia="Times New Roman" w:cs="Times New Roman"/>
          <w:szCs w:val="22"/>
        </w:rPr>
        <w:footnoteReference w:id="14"/>
      </w:r>
    </w:p>
    <w:p w14:paraId="3F6B5CBC" w14:textId="473C96E1" w:rsidR="00ED6C98" w:rsidRPr="00ED6C98" w:rsidRDefault="00ED6C98" w:rsidP="00ED6C98">
      <w:r>
        <w:rPr>
          <w:b/>
        </w:rPr>
        <w:t xml:space="preserve">Wash Time per Rack </w:t>
      </w:r>
      <w:r>
        <w:t xml:space="preserve">The time it takes to complete one wash cycle is assumed to be </w:t>
      </w:r>
      <w:r w:rsidR="00636C1B">
        <w:t>1</w:t>
      </w:r>
      <w:r>
        <w:t xml:space="preserve"> minutes per rack.</w:t>
      </w:r>
    </w:p>
    <w:p w14:paraId="74CE0A2B" w14:textId="112BE546" w:rsidR="00153DA5" w:rsidRDefault="00170722" w:rsidP="008A1E29">
      <w:r w:rsidRPr="00170722">
        <w:rPr>
          <w:b/>
        </w:rPr>
        <w:t>Idle Energy Rate</w:t>
      </w:r>
      <w:r>
        <w:rPr>
          <w:b/>
        </w:rPr>
        <w:t xml:space="preserve">. </w:t>
      </w:r>
      <w:r w:rsidR="00CE1F6C">
        <w:t xml:space="preserve">The idle energy rate for high-temperature and low-temperature machines is based upon the ENERGY STAR eligibility requirements </w:t>
      </w:r>
      <w:r w:rsidR="00361321">
        <w:t>in the Measure Case Description</w:t>
      </w:r>
      <w:r w:rsidR="00CE1F6C">
        <w:t>.</w:t>
      </w:r>
      <w:r w:rsidR="003E57B8" w:rsidRPr="003E57B8">
        <w:t xml:space="preserve"> </w:t>
      </w:r>
      <w:r w:rsidR="003E57B8" w:rsidRPr="001860E1">
        <w:t>Due to lack of research data, the idle energy rate is assumed to be the same for both the base and measure case</w:t>
      </w:r>
      <w:r w:rsidR="003E57B8">
        <w:t>.</w:t>
      </w:r>
    </w:p>
    <w:p w14:paraId="1A205F70" w14:textId="77777777" w:rsidR="00790675" w:rsidRDefault="00790675" w:rsidP="00186649"/>
    <w:p w14:paraId="1401BEBE" w14:textId="77777777" w:rsidR="00790675" w:rsidRDefault="00790675" w:rsidP="00790675">
      <w:pPr>
        <w:pStyle w:val="eTRMHeading4"/>
      </w:pPr>
      <w:bookmarkStart w:id="41" w:name="_Hlk526524900"/>
      <w:r>
        <w:t>Annual Electric Unit Energy Savings</w:t>
      </w:r>
    </w:p>
    <w:p w14:paraId="21FF43CF" w14:textId="77777777" w:rsidR="00790675" w:rsidRDefault="00790675" w:rsidP="00790675">
      <w:bookmarkStart w:id="42" w:name="_Hlk526524922"/>
      <w:bookmarkEnd w:id="41"/>
      <w:r>
        <w:t xml:space="preserve">The </w:t>
      </w:r>
      <w:r>
        <w:rPr>
          <w:b/>
        </w:rPr>
        <w:t>annual</w:t>
      </w:r>
      <w:r w:rsidRPr="00ED4D0D">
        <w:rPr>
          <w:b/>
        </w:rPr>
        <w:t xml:space="preserve"> UES</w:t>
      </w:r>
      <w:r>
        <w:t xml:space="preserve"> is calculated as the difference between the baseline and measure case annual UEC.  </w:t>
      </w:r>
    </w:p>
    <w:p w14:paraId="196F0307" w14:textId="281BC71B" w:rsidR="000C156B" w:rsidRPr="00FD02A1" w:rsidRDefault="000C156B" w:rsidP="000C156B">
      <w:pPr>
        <w:tabs>
          <w:tab w:val="left" w:pos="720"/>
        </w:tabs>
        <w:ind w:left="720"/>
        <w:rPr>
          <w:sz w:val="18"/>
          <w:szCs w:val="18"/>
        </w:rPr>
      </w:pPr>
      <w:bookmarkStart w:id="43" w:name="_Hlk522370366"/>
      <w:bookmarkEnd w:id="42"/>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YEAR</m:t>
              </m:r>
            </m:sub>
          </m:sSub>
          <m:r>
            <w:rPr>
              <w:rFonts w:ascii="Cambria Math" w:hAnsi="Cambria Math"/>
              <w:sz w:val="18"/>
              <w:szCs w:val="18"/>
            </w:rPr>
            <m:t>=</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bookmarkEnd w:id="43"/>
    <w:p w14:paraId="209F3DFF" w14:textId="147BD0F8" w:rsidR="003E57B8" w:rsidRDefault="003E57B8" w:rsidP="008A1E29"/>
    <w:p w14:paraId="6D0C8505" w14:textId="76A8BE25" w:rsidR="00186649" w:rsidRPr="00170722" w:rsidRDefault="00186649" w:rsidP="00186649">
      <w:pPr>
        <w:pStyle w:val="eTRMHeading4"/>
      </w:pPr>
      <w:r>
        <w:t>Inputs and Assumptions</w:t>
      </w:r>
    </w:p>
    <w:p w14:paraId="7C6B541B" w14:textId="685367BD" w:rsidR="00C278A9" w:rsidRDefault="00186649" w:rsidP="00C278A9">
      <w:r>
        <w:t>T</w:t>
      </w:r>
      <w:r w:rsidR="00F1621A">
        <w:t xml:space="preserve">he inputs for the calculation of </w:t>
      </w:r>
      <w:r w:rsidR="0026027C">
        <w:t xml:space="preserve">the </w:t>
      </w:r>
      <w:r w:rsidR="000147E1">
        <w:t xml:space="preserve">annual </w:t>
      </w:r>
      <w:r w:rsidR="0026027C">
        <w:t>electric</w:t>
      </w:r>
      <w:r w:rsidR="000147E1">
        <w:t xml:space="preserve"> UEC </w:t>
      </w:r>
      <w:r w:rsidR="00C278A9" w:rsidRPr="00F84224">
        <w:t>for both low</w:t>
      </w:r>
      <w:r w:rsidR="00C278A9">
        <w:t>-</w:t>
      </w:r>
      <w:r w:rsidR="00C278A9" w:rsidRPr="00F84224">
        <w:t xml:space="preserve"> and high</w:t>
      </w:r>
      <w:r w:rsidR="00C278A9">
        <w:t>-</w:t>
      </w:r>
      <w:r w:rsidR="00C278A9" w:rsidRPr="00F84224">
        <w:t>temperature door-type units</w:t>
      </w:r>
      <w:r>
        <w:t xml:space="preserve"> are specified below</w:t>
      </w:r>
      <w:r w:rsidR="00C278A9" w:rsidRPr="00F84224">
        <w:t xml:space="preserve">. </w:t>
      </w:r>
    </w:p>
    <w:p w14:paraId="3C868EBD" w14:textId="2FCF7126" w:rsidR="00C278A9" w:rsidRDefault="00C278A9" w:rsidP="00C278A9">
      <w:pPr>
        <w:pStyle w:val="Caption"/>
      </w:pPr>
      <w:bookmarkStart w:id="44" w:name="_Toc410659565"/>
      <w:bookmarkStart w:id="45" w:name="_Toc233702650"/>
      <w:r w:rsidRPr="00F84224">
        <w:t xml:space="preserve">Electric </w:t>
      </w:r>
      <w:r w:rsidR="00186649">
        <w:t xml:space="preserve">UEC Inputs – </w:t>
      </w:r>
      <w:r w:rsidRPr="00F84224">
        <w:t>High</w:t>
      </w:r>
      <w:r>
        <w:t>-</w:t>
      </w:r>
      <w:r w:rsidRPr="00F84224">
        <w:t xml:space="preserve">Temperature Door-Type Dishwasher </w:t>
      </w:r>
      <w:bookmarkEnd w:id="44"/>
    </w:p>
    <w:tbl>
      <w:tblPr>
        <w:tblW w:w="9805"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20"/>
        <w:gridCol w:w="1080"/>
        <w:gridCol w:w="1197"/>
        <w:gridCol w:w="3208"/>
      </w:tblGrid>
      <w:tr w:rsidR="00201EA7" w:rsidRPr="0026027C" w14:paraId="609AF13E" w14:textId="77D2B0C8" w:rsidTr="00E8056E">
        <w:trPr>
          <w:cantSplit/>
          <w:trHeight w:val="645"/>
          <w:tblHeader/>
        </w:trPr>
        <w:tc>
          <w:tcPr>
            <w:tcW w:w="4320" w:type="dxa"/>
            <w:tcBorders>
              <w:bottom w:val="single" w:sz="4" w:space="0" w:color="A6A6A6" w:themeColor="background1" w:themeShade="A6"/>
            </w:tcBorders>
            <w:shd w:val="clear" w:color="auto" w:fill="F2F2F2" w:themeFill="background1" w:themeFillShade="F2"/>
            <w:noWrap/>
            <w:vAlign w:val="bottom"/>
            <w:hideMark/>
          </w:tcPr>
          <w:p w14:paraId="596DE0CB" w14:textId="02AF6B39" w:rsidR="0026027C" w:rsidRPr="0026027C" w:rsidRDefault="0026027C" w:rsidP="0026027C">
            <w:pPr>
              <w:spacing w:before="0" w:after="0" w:line="240" w:lineRule="auto"/>
              <w:rPr>
                <w:rFonts w:eastAsia="Times New Roman" w:cs="Times New Roman"/>
                <w:b/>
                <w:color w:val="000000"/>
                <w:sz w:val="20"/>
                <w:szCs w:val="20"/>
              </w:rPr>
            </w:pPr>
            <w:r>
              <w:rPr>
                <w:rFonts w:eastAsia="Times New Roman" w:cs="Times New Roman"/>
                <w:b/>
                <w:color w:val="000000"/>
                <w:sz w:val="20"/>
                <w:szCs w:val="20"/>
              </w:rPr>
              <w:t>Parameter</w:t>
            </w:r>
          </w:p>
        </w:tc>
        <w:tc>
          <w:tcPr>
            <w:tcW w:w="1080" w:type="dxa"/>
            <w:tcBorders>
              <w:bottom w:val="single" w:sz="4" w:space="0" w:color="A6A6A6" w:themeColor="background1" w:themeShade="A6"/>
            </w:tcBorders>
            <w:shd w:val="clear" w:color="auto" w:fill="F2F2F2" w:themeFill="background1" w:themeFillShade="F2"/>
            <w:noWrap/>
            <w:vAlign w:val="bottom"/>
            <w:hideMark/>
          </w:tcPr>
          <w:p w14:paraId="6755A343" w14:textId="03B2D35D" w:rsidR="0026027C" w:rsidRPr="005D77C8" w:rsidRDefault="0026027C" w:rsidP="0026027C">
            <w:pPr>
              <w:spacing w:before="0" w:after="0" w:line="240" w:lineRule="auto"/>
              <w:jc w:val="center"/>
              <w:rPr>
                <w:rFonts w:eastAsia="Times New Roman" w:cs="Times New Roman"/>
                <w:b/>
                <w:color w:val="000000"/>
                <w:sz w:val="20"/>
                <w:szCs w:val="20"/>
              </w:rPr>
            </w:pPr>
            <w:r w:rsidRPr="005D77C8">
              <w:rPr>
                <w:rFonts w:eastAsia="Times New Roman" w:cs="Times New Roman"/>
                <w:b/>
                <w:color w:val="000000"/>
                <w:sz w:val="20"/>
                <w:szCs w:val="20"/>
              </w:rPr>
              <w:t>Base Case</w:t>
            </w:r>
            <w:r w:rsidR="00877AF5" w:rsidRPr="005D77C8">
              <w:rPr>
                <w:rFonts w:eastAsia="Times New Roman" w:cs="Times New Roman"/>
                <w:b/>
                <w:color w:val="000000"/>
                <w:sz w:val="20"/>
                <w:szCs w:val="20"/>
              </w:rPr>
              <w:t xml:space="preserve"> Model</w:t>
            </w:r>
          </w:p>
        </w:tc>
        <w:tc>
          <w:tcPr>
            <w:tcW w:w="1197" w:type="dxa"/>
            <w:tcBorders>
              <w:bottom w:val="single" w:sz="4" w:space="0" w:color="A6A6A6" w:themeColor="background1" w:themeShade="A6"/>
            </w:tcBorders>
            <w:shd w:val="clear" w:color="auto" w:fill="F2F2F2" w:themeFill="background1" w:themeFillShade="F2"/>
            <w:vAlign w:val="bottom"/>
            <w:hideMark/>
          </w:tcPr>
          <w:p w14:paraId="51B67B09" w14:textId="7E634516" w:rsidR="0026027C" w:rsidRPr="005D77C8" w:rsidRDefault="0026027C" w:rsidP="00883E33">
            <w:pPr>
              <w:spacing w:before="0" w:after="0" w:line="240" w:lineRule="auto"/>
              <w:jc w:val="center"/>
              <w:rPr>
                <w:rFonts w:eastAsia="Times New Roman" w:cs="Times New Roman"/>
                <w:b/>
                <w:color w:val="000000"/>
                <w:sz w:val="20"/>
                <w:szCs w:val="20"/>
              </w:rPr>
            </w:pPr>
            <w:r w:rsidRPr="005D77C8">
              <w:rPr>
                <w:rFonts w:eastAsia="Times New Roman" w:cs="Times New Roman"/>
                <w:b/>
                <w:color w:val="000000"/>
                <w:sz w:val="20"/>
                <w:szCs w:val="20"/>
              </w:rPr>
              <w:t xml:space="preserve">Measure Case </w:t>
            </w:r>
            <w:r w:rsidR="00877AF5" w:rsidRPr="005D77C8">
              <w:rPr>
                <w:rFonts w:eastAsia="Times New Roman" w:cs="Times New Roman"/>
                <w:b/>
                <w:color w:val="000000"/>
                <w:sz w:val="20"/>
                <w:szCs w:val="20"/>
              </w:rPr>
              <w:t>Model</w:t>
            </w:r>
          </w:p>
        </w:tc>
        <w:tc>
          <w:tcPr>
            <w:tcW w:w="3208" w:type="dxa"/>
            <w:tcBorders>
              <w:bottom w:val="single" w:sz="4" w:space="0" w:color="A6A6A6" w:themeColor="background1" w:themeShade="A6"/>
            </w:tcBorders>
            <w:shd w:val="clear" w:color="auto" w:fill="F2F2F2" w:themeFill="background1" w:themeFillShade="F2"/>
            <w:vAlign w:val="bottom"/>
          </w:tcPr>
          <w:p w14:paraId="68D4D6F3" w14:textId="736010F8" w:rsidR="0026027C" w:rsidRPr="0026027C" w:rsidRDefault="0026027C" w:rsidP="00924492">
            <w:pPr>
              <w:spacing w:before="0" w:after="0" w:line="240" w:lineRule="auto"/>
              <w:jc w:val="center"/>
              <w:rPr>
                <w:rFonts w:eastAsia="Times New Roman" w:cs="Times New Roman"/>
                <w:b/>
                <w:color w:val="000000"/>
                <w:sz w:val="20"/>
                <w:szCs w:val="20"/>
              </w:rPr>
            </w:pPr>
            <w:r w:rsidRPr="0026027C">
              <w:rPr>
                <w:rFonts w:eastAsia="Times New Roman" w:cs="Times New Roman"/>
                <w:b/>
                <w:color w:val="000000"/>
                <w:sz w:val="20"/>
                <w:szCs w:val="20"/>
              </w:rPr>
              <w:t>Source</w:t>
            </w:r>
          </w:p>
        </w:tc>
      </w:tr>
      <w:tr w:rsidR="006E1846" w:rsidRPr="00883E33" w14:paraId="31A90169" w14:textId="77777777" w:rsidTr="00E8056E">
        <w:trPr>
          <w:cantSplit/>
          <w:trHeight w:val="20"/>
        </w:trPr>
        <w:tc>
          <w:tcPr>
            <w:tcW w:w="4320" w:type="dxa"/>
            <w:shd w:val="clear" w:color="auto" w:fill="auto"/>
            <w:vAlign w:val="center"/>
          </w:tcPr>
          <w:p w14:paraId="61FCFA24" w14:textId="1B6FAE95" w:rsidR="006E1846" w:rsidRPr="00883E33" w:rsidRDefault="006E1846" w:rsidP="00201EA7">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Specific heat of Water (Btu/lb/°F)</w:t>
            </w:r>
          </w:p>
        </w:tc>
        <w:tc>
          <w:tcPr>
            <w:tcW w:w="1080" w:type="dxa"/>
            <w:shd w:val="clear" w:color="auto" w:fill="auto"/>
            <w:vAlign w:val="center"/>
          </w:tcPr>
          <w:p w14:paraId="411531E3" w14:textId="568A7A14" w:rsidR="006E1846" w:rsidRPr="005D77C8" w:rsidRDefault="006E1846" w:rsidP="0026027C">
            <w:pPr>
              <w:spacing w:before="0" w:after="0" w:line="240" w:lineRule="auto"/>
              <w:jc w:val="right"/>
              <w:rPr>
                <w:rFonts w:eastAsia="Times New Roman" w:cs="Arial"/>
                <w:sz w:val="20"/>
                <w:szCs w:val="20"/>
              </w:rPr>
            </w:pPr>
            <w:r w:rsidRPr="005D77C8">
              <w:rPr>
                <w:rFonts w:eastAsia="Times New Roman" w:cs="Arial"/>
                <w:sz w:val="20"/>
                <w:szCs w:val="20"/>
              </w:rPr>
              <w:t>1</w:t>
            </w:r>
          </w:p>
        </w:tc>
        <w:tc>
          <w:tcPr>
            <w:tcW w:w="1197" w:type="dxa"/>
            <w:shd w:val="clear" w:color="auto" w:fill="auto"/>
            <w:vAlign w:val="center"/>
          </w:tcPr>
          <w:p w14:paraId="6527A023" w14:textId="440FF304" w:rsidR="006E1846" w:rsidRPr="005D77C8" w:rsidRDefault="006E1846" w:rsidP="0026027C">
            <w:pPr>
              <w:spacing w:before="0" w:after="0" w:line="240" w:lineRule="auto"/>
              <w:jc w:val="right"/>
              <w:rPr>
                <w:rFonts w:eastAsia="Times New Roman" w:cs="Arial"/>
                <w:sz w:val="20"/>
                <w:szCs w:val="20"/>
              </w:rPr>
            </w:pPr>
            <w:r w:rsidRPr="005D77C8">
              <w:rPr>
                <w:rFonts w:eastAsia="Times New Roman" w:cs="Arial"/>
                <w:sz w:val="20"/>
                <w:szCs w:val="20"/>
              </w:rPr>
              <w:t>1</w:t>
            </w:r>
          </w:p>
        </w:tc>
        <w:tc>
          <w:tcPr>
            <w:tcW w:w="3208" w:type="dxa"/>
            <w:vAlign w:val="center"/>
          </w:tcPr>
          <w:p w14:paraId="3C375447" w14:textId="049E5222" w:rsidR="006E1846" w:rsidRPr="00877AF5" w:rsidRDefault="00022134" w:rsidP="00924492">
            <w:pPr>
              <w:spacing w:before="0" w:after="0" w:line="240" w:lineRule="auto"/>
              <w:rPr>
                <w:rFonts w:eastAsia="Times New Roman" w:cs="Arial"/>
                <w:color w:val="000000"/>
                <w:sz w:val="18"/>
                <w:szCs w:val="18"/>
              </w:rPr>
            </w:pPr>
            <w:r>
              <w:rPr>
                <w:rFonts w:eastAsia="Times New Roman" w:cs="Arial"/>
                <w:color w:val="000000"/>
                <w:sz w:val="18"/>
                <w:szCs w:val="18"/>
              </w:rPr>
              <w:t>Given</w:t>
            </w:r>
          </w:p>
        </w:tc>
      </w:tr>
      <w:tr w:rsidR="006E1846" w:rsidRPr="00883E33" w14:paraId="3F6609EA" w14:textId="77777777" w:rsidTr="00E8056E">
        <w:trPr>
          <w:cantSplit/>
          <w:trHeight w:val="20"/>
        </w:trPr>
        <w:tc>
          <w:tcPr>
            <w:tcW w:w="4320" w:type="dxa"/>
            <w:shd w:val="clear" w:color="auto" w:fill="auto"/>
            <w:vAlign w:val="center"/>
          </w:tcPr>
          <w:p w14:paraId="7FD907BA" w14:textId="26895C67" w:rsidR="006E1846" w:rsidRPr="00883E33" w:rsidRDefault="006E1846" w:rsidP="00201EA7">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Density of Water (lb/gal)</w:t>
            </w:r>
          </w:p>
        </w:tc>
        <w:tc>
          <w:tcPr>
            <w:tcW w:w="1080" w:type="dxa"/>
            <w:shd w:val="clear" w:color="auto" w:fill="auto"/>
            <w:vAlign w:val="center"/>
          </w:tcPr>
          <w:p w14:paraId="440A6C7F" w14:textId="130D01BE" w:rsidR="006E1846" w:rsidRPr="005D77C8" w:rsidRDefault="006E1846" w:rsidP="0026027C">
            <w:pPr>
              <w:spacing w:before="0" w:after="0" w:line="240" w:lineRule="auto"/>
              <w:jc w:val="right"/>
              <w:rPr>
                <w:rFonts w:eastAsia="Times New Roman" w:cs="Arial"/>
                <w:sz w:val="20"/>
                <w:szCs w:val="20"/>
              </w:rPr>
            </w:pPr>
            <w:r w:rsidRPr="005D77C8">
              <w:rPr>
                <w:rFonts w:eastAsia="Times New Roman" w:cs="Arial"/>
                <w:sz w:val="20"/>
                <w:szCs w:val="20"/>
              </w:rPr>
              <w:t>8.</w:t>
            </w:r>
            <w:r w:rsidR="00CB5624">
              <w:rPr>
                <w:rFonts w:eastAsia="Times New Roman" w:cs="Arial"/>
                <w:sz w:val="20"/>
                <w:szCs w:val="20"/>
              </w:rPr>
              <w:t>34</w:t>
            </w:r>
          </w:p>
        </w:tc>
        <w:tc>
          <w:tcPr>
            <w:tcW w:w="1197" w:type="dxa"/>
            <w:shd w:val="clear" w:color="auto" w:fill="auto"/>
            <w:vAlign w:val="center"/>
          </w:tcPr>
          <w:p w14:paraId="5EF11CC6" w14:textId="620F0278" w:rsidR="006E1846" w:rsidRPr="005D77C8" w:rsidRDefault="006E1846" w:rsidP="0026027C">
            <w:pPr>
              <w:spacing w:before="0" w:after="0" w:line="240" w:lineRule="auto"/>
              <w:jc w:val="right"/>
              <w:rPr>
                <w:rFonts w:eastAsia="Times New Roman" w:cs="Arial"/>
                <w:sz w:val="20"/>
                <w:szCs w:val="20"/>
              </w:rPr>
            </w:pPr>
            <w:r w:rsidRPr="005D77C8">
              <w:rPr>
                <w:rFonts w:eastAsia="Times New Roman" w:cs="Arial"/>
                <w:sz w:val="20"/>
                <w:szCs w:val="20"/>
              </w:rPr>
              <w:t>8.</w:t>
            </w:r>
            <w:r w:rsidR="00CB5624">
              <w:rPr>
                <w:rFonts w:eastAsia="Times New Roman" w:cs="Arial"/>
                <w:sz w:val="20"/>
                <w:szCs w:val="20"/>
              </w:rPr>
              <w:t>34</w:t>
            </w:r>
          </w:p>
        </w:tc>
        <w:tc>
          <w:tcPr>
            <w:tcW w:w="3208" w:type="dxa"/>
            <w:vAlign w:val="center"/>
          </w:tcPr>
          <w:p w14:paraId="62E9D38F" w14:textId="09CD2ED4" w:rsidR="006E1846" w:rsidRPr="00877AF5" w:rsidRDefault="00022134" w:rsidP="00924492">
            <w:pPr>
              <w:spacing w:before="0" w:after="0" w:line="240" w:lineRule="auto"/>
              <w:rPr>
                <w:rFonts w:eastAsia="Times New Roman" w:cs="Arial"/>
                <w:color w:val="000000"/>
                <w:sz w:val="18"/>
                <w:szCs w:val="18"/>
              </w:rPr>
            </w:pPr>
            <w:r>
              <w:rPr>
                <w:rFonts w:eastAsia="Times New Roman" w:cs="Arial"/>
                <w:color w:val="000000"/>
                <w:sz w:val="18"/>
                <w:szCs w:val="18"/>
              </w:rPr>
              <w:t>Given</w:t>
            </w:r>
          </w:p>
        </w:tc>
      </w:tr>
      <w:tr w:rsidR="00201EA7" w:rsidRPr="00883E33" w14:paraId="4B51F6C2" w14:textId="77777777" w:rsidTr="00E8056E">
        <w:trPr>
          <w:cantSplit/>
          <w:trHeight w:val="20"/>
        </w:trPr>
        <w:tc>
          <w:tcPr>
            <w:tcW w:w="4320" w:type="dxa"/>
            <w:shd w:val="clear" w:color="auto" w:fill="auto"/>
            <w:vAlign w:val="center"/>
          </w:tcPr>
          <w:p w14:paraId="34CCB73F" w14:textId="1BE51456" w:rsidR="00695697" w:rsidRPr="00883E33" w:rsidRDefault="00695697" w:rsidP="00E92644">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Inlet water Temperature (°F)</w:t>
            </w:r>
            <w:r w:rsidR="0026323A">
              <w:rPr>
                <w:rFonts w:eastAsia="Times New Roman" w:cs="Arial"/>
                <w:color w:val="000000"/>
                <w:sz w:val="20"/>
                <w:szCs w:val="20"/>
              </w:rPr>
              <w:t xml:space="preserve"> </w:t>
            </w:r>
          </w:p>
        </w:tc>
        <w:tc>
          <w:tcPr>
            <w:tcW w:w="1080" w:type="dxa"/>
            <w:shd w:val="clear" w:color="auto" w:fill="auto"/>
            <w:vAlign w:val="center"/>
          </w:tcPr>
          <w:p w14:paraId="2C9EB372" w14:textId="0F19E606" w:rsidR="00695697" w:rsidRPr="005D77C8" w:rsidRDefault="00CB5624" w:rsidP="00CB5624">
            <w:pPr>
              <w:spacing w:before="0" w:after="0" w:line="240" w:lineRule="auto"/>
              <w:jc w:val="center"/>
              <w:rPr>
                <w:rFonts w:eastAsia="Times New Roman" w:cs="Arial"/>
                <w:sz w:val="20"/>
                <w:szCs w:val="20"/>
              </w:rPr>
            </w:pPr>
            <w:r>
              <w:rPr>
                <w:rFonts w:eastAsia="Times New Roman" w:cs="Arial"/>
                <w:sz w:val="20"/>
                <w:szCs w:val="20"/>
              </w:rPr>
              <w:t>Varies</w:t>
            </w:r>
          </w:p>
        </w:tc>
        <w:tc>
          <w:tcPr>
            <w:tcW w:w="1197" w:type="dxa"/>
            <w:shd w:val="clear" w:color="auto" w:fill="auto"/>
            <w:vAlign w:val="center"/>
          </w:tcPr>
          <w:p w14:paraId="5F56E1CC" w14:textId="67A3EAA4" w:rsidR="00695697" w:rsidRPr="005D77C8" w:rsidRDefault="00CB5624" w:rsidP="00CB5624">
            <w:pPr>
              <w:spacing w:before="0" w:after="0" w:line="240" w:lineRule="auto"/>
              <w:jc w:val="center"/>
              <w:rPr>
                <w:rFonts w:eastAsia="Times New Roman" w:cs="Arial"/>
                <w:sz w:val="20"/>
                <w:szCs w:val="20"/>
              </w:rPr>
            </w:pPr>
            <w:r>
              <w:rPr>
                <w:rFonts w:eastAsia="Times New Roman" w:cs="Arial"/>
                <w:sz w:val="20"/>
                <w:szCs w:val="20"/>
              </w:rPr>
              <w:t>Varies</w:t>
            </w:r>
          </w:p>
        </w:tc>
        <w:tc>
          <w:tcPr>
            <w:tcW w:w="3208" w:type="dxa"/>
            <w:vAlign w:val="center"/>
          </w:tcPr>
          <w:p w14:paraId="23213098" w14:textId="3C7FF138" w:rsidR="00695697" w:rsidRPr="00ED6DB9" w:rsidRDefault="004C68BD" w:rsidP="00924492">
            <w:pPr>
              <w:spacing w:before="0" w:after="0" w:line="240" w:lineRule="auto"/>
              <w:rPr>
                <w:rFonts w:eastAsia="Times New Roman" w:cs="Arial"/>
                <w:color w:val="000000"/>
                <w:sz w:val="18"/>
                <w:szCs w:val="18"/>
              </w:rPr>
            </w:pPr>
            <w:r w:rsidRPr="00A816A7">
              <w:rPr>
                <w:rStyle w:val="eTRMFootnoteTextChar"/>
                <w:rFonts w:cs="Calibri Light"/>
                <w:szCs w:val="18"/>
              </w:rPr>
              <w:t>Reeves, P. (Consultant to California Public Utilities Commission, Energy Division). 2013. "Comparison-of-Ground-Temperatures-v2_byPaulReeves.xlsx."</w:t>
            </w:r>
          </w:p>
        </w:tc>
      </w:tr>
      <w:tr w:rsidR="00F1066F" w:rsidRPr="00883E33" w14:paraId="2807A3DF" w14:textId="77777777" w:rsidTr="00E8056E">
        <w:trPr>
          <w:cantSplit/>
          <w:trHeight w:val="20"/>
        </w:trPr>
        <w:tc>
          <w:tcPr>
            <w:tcW w:w="4320" w:type="dxa"/>
            <w:shd w:val="clear" w:color="auto" w:fill="auto"/>
            <w:vAlign w:val="center"/>
          </w:tcPr>
          <w:p w14:paraId="73C32233" w14:textId="72C25BA2" w:rsidR="00F1066F" w:rsidRPr="00883E33" w:rsidRDefault="00F1066F" w:rsidP="00F1066F">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Setpoint Hot Water Temperature (°F)</w:t>
            </w:r>
          </w:p>
        </w:tc>
        <w:tc>
          <w:tcPr>
            <w:tcW w:w="1080" w:type="dxa"/>
            <w:shd w:val="clear" w:color="auto" w:fill="auto"/>
            <w:vAlign w:val="center"/>
          </w:tcPr>
          <w:p w14:paraId="2003E987" w14:textId="6E4947ED" w:rsidR="00F1066F" w:rsidRPr="005D77C8" w:rsidRDefault="00F1066F" w:rsidP="00F1066F">
            <w:pPr>
              <w:spacing w:before="0" w:after="0" w:line="240" w:lineRule="auto"/>
              <w:jc w:val="right"/>
              <w:rPr>
                <w:rFonts w:eastAsia="Times New Roman" w:cs="Arial"/>
                <w:sz w:val="20"/>
                <w:szCs w:val="20"/>
              </w:rPr>
            </w:pPr>
            <w:r w:rsidRPr="005D77C8">
              <w:rPr>
                <w:rFonts w:eastAsia="Times New Roman" w:cs="Arial"/>
                <w:sz w:val="20"/>
                <w:szCs w:val="20"/>
              </w:rPr>
              <w:t>140 °F</w:t>
            </w:r>
          </w:p>
        </w:tc>
        <w:tc>
          <w:tcPr>
            <w:tcW w:w="1197" w:type="dxa"/>
            <w:shd w:val="clear" w:color="auto" w:fill="auto"/>
            <w:vAlign w:val="center"/>
          </w:tcPr>
          <w:p w14:paraId="5122A234" w14:textId="0C595466" w:rsidR="00F1066F" w:rsidRPr="005D77C8" w:rsidRDefault="00F1066F" w:rsidP="00F1066F">
            <w:pPr>
              <w:spacing w:before="0" w:after="0" w:line="240" w:lineRule="auto"/>
              <w:jc w:val="right"/>
              <w:rPr>
                <w:rFonts w:eastAsia="Times New Roman" w:cs="Arial"/>
                <w:sz w:val="20"/>
                <w:szCs w:val="20"/>
              </w:rPr>
            </w:pPr>
            <w:r w:rsidRPr="005D77C8">
              <w:rPr>
                <w:rFonts w:eastAsia="Times New Roman" w:cs="Arial"/>
                <w:sz w:val="20"/>
                <w:szCs w:val="20"/>
              </w:rPr>
              <w:t>140 °F</w:t>
            </w:r>
          </w:p>
        </w:tc>
        <w:tc>
          <w:tcPr>
            <w:tcW w:w="3208" w:type="dxa"/>
            <w:vAlign w:val="center"/>
          </w:tcPr>
          <w:p w14:paraId="38B58DA4" w14:textId="2EB015EA" w:rsidR="00F1066F" w:rsidRPr="00ED6DB9" w:rsidRDefault="00F1066F" w:rsidP="00F1066F">
            <w:pPr>
              <w:spacing w:before="0" w:after="0" w:line="240" w:lineRule="auto"/>
              <w:rPr>
                <w:rFonts w:eastAsia="Times New Roman" w:cs="Arial"/>
                <w:color w:val="000000"/>
                <w:sz w:val="18"/>
                <w:szCs w:val="18"/>
              </w:rPr>
            </w:pPr>
            <w:r>
              <w:rPr>
                <w:sz w:val="18"/>
                <w:szCs w:val="18"/>
              </w:rPr>
              <w:t>Engineering Judgement</w:t>
            </w:r>
          </w:p>
        </w:tc>
      </w:tr>
      <w:tr w:rsidR="00877AF5" w:rsidRPr="00883E33" w14:paraId="49CB1F5F" w14:textId="77777777" w:rsidTr="00E8056E">
        <w:trPr>
          <w:cantSplit/>
          <w:trHeight w:val="20"/>
        </w:trPr>
        <w:tc>
          <w:tcPr>
            <w:tcW w:w="4320" w:type="dxa"/>
            <w:shd w:val="clear" w:color="auto" w:fill="auto"/>
            <w:vAlign w:val="center"/>
          </w:tcPr>
          <w:p w14:paraId="5EF71921" w14:textId="0C2515E6" w:rsidR="00877AF5" w:rsidRPr="00883E33" w:rsidRDefault="00877AF5" w:rsidP="00201EA7">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Booster Heater Water Temperature Rise (°F)</w:t>
            </w:r>
            <w:r w:rsidRPr="00F84ACD">
              <w:rPr>
                <w:rFonts w:eastAsia="Times New Roman" w:cs="Arial"/>
                <w:color w:val="000000"/>
                <w:sz w:val="20"/>
                <w:szCs w:val="20"/>
                <w:vertAlign w:val="superscript"/>
              </w:rPr>
              <w:t xml:space="preserve"> </w:t>
            </w:r>
          </w:p>
        </w:tc>
        <w:tc>
          <w:tcPr>
            <w:tcW w:w="1080" w:type="dxa"/>
            <w:shd w:val="clear" w:color="auto" w:fill="auto"/>
            <w:vAlign w:val="center"/>
          </w:tcPr>
          <w:p w14:paraId="488BEC84" w14:textId="5A0785ED" w:rsidR="00877AF5" w:rsidRPr="005D77C8" w:rsidRDefault="00877AF5" w:rsidP="0026027C">
            <w:pPr>
              <w:spacing w:before="0" w:after="0" w:line="240" w:lineRule="auto"/>
              <w:jc w:val="right"/>
              <w:rPr>
                <w:rFonts w:eastAsia="Times New Roman" w:cs="Arial"/>
                <w:sz w:val="20"/>
                <w:szCs w:val="20"/>
              </w:rPr>
            </w:pPr>
            <w:r w:rsidRPr="005D77C8">
              <w:rPr>
                <w:rFonts w:eastAsia="Times New Roman" w:cs="Arial"/>
                <w:sz w:val="20"/>
                <w:szCs w:val="20"/>
              </w:rPr>
              <w:t>40 °F</w:t>
            </w:r>
          </w:p>
        </w:tc>
        <w:tc>
          <w:tcPr>
            <w:tcW w:w="1197" w:type="dxa"/>
            <w:shd w:val="clear" w:color="auto" w:fill="auto"/>
            <w:vAlign w:val="center"/>
          </w:tcPr>
          <w:p w14:paraId="3AFD6283" w14:textId="6DA9A9C4" w:rsidR="00877AF5" w:rsidRPr="005D77C8" w:rsidRDefault="00877AF5" w:rsidP="0026027C">
            <w:pPr>
              <w:spacing w:before="0" w:after="0" w:line="240" w:lineRule="auto"/>
              <w:jc w:val="right"/>
              <w:rPr>
                <w:rFonts w:eastAsia="Times New Roman" w:cs="Arial"/>
                <w:sz w:val="20"/>
                <w:szCs w:val="20"/>
              </w:rPr>
            </w:pPr>
            <w:r w:rsidRPr="005D77C8">
              <w:rPr>
                <w:rFonts w:eastAsia="Times New Roman" w:cs="Arial"/>
                <w:sz w:val="20"/>
                <w:szCs w:val="20"/>
              </w:rPr>
              <w:t>40 °F</w:t>
            </w:r>
          </w:p>
        </w:tc>
        <w:tc>
          <w:tcPr>
            <w:tcW w:w="3208" w:type="dxa"/>
            <w:vAlign w:val="center"/>
          </w:tcPr>
          <w:p w14:paraId="25B91E46" w14:textId="5586FFD3" w:rsidR="00877AF5" w:rsidRPr="00ED6DB9" w:rsidRDefault="00877AF5" w:rsidP="00924492">
            <w:pPr>
              <w:spacing w:before="0" w:after="0" w:line="240" w:lineRule="auto"/>
              <w:rPr>
                <w:rFonts w:eastAsia="Times New Roman" w:cs="Arial"/>
                <w:color w:val="000000"/>
                <w:sz w:val="18"/>
                <w:szCs w:val="18"/>
              </w:rPr>
            </w:pPr>
            <w:r w:rsidRPr="00ED6DB9">
              <w:rPr>
                <w:sz w:val="18"/>
                <w:szCs w:val="18"/>
              </w:rPr>
              <w:t>National Sanitation Foundation (NSF). (n.d.) NSF/ANSI 3 - Com</w:t>
            </w:r>
            <w:r w:rsidR="00FE336F" w:rsidRPr="00ED6DB9">
              <w:rPr>
                <w:sz w:val="18"/>
                <w:szCs w:val="18"/>
              </w:rPr>
              <w:t xml:space="preserve">mercial Warewashing Equipment. </w:t>
            </w:r>
            <w:r w:rsidRPr="00ED6DB9">
              <w:rPr>
                <w:sz w:val="18"/>
                <w:szCs w:val="18"/>
              </w:rPr>
              <w:t>"Com Dishwashers NSF Energy Star.xlsx."</w:t>
            </w:r>
          </w:p>
        </w:tc>
      </w:tr>
      <w:tr w:rsidR="000D402D" w:rsidRPr="00883E33" w14:paraId="61EF7AD9" w14:textId="77777777" w:rsidTr="00E8056E">
        <w:trPr>
          <w:cantSplit/>
          <w:trHeight w:val="20"/>
        </w:trPr>
        <w:tc>
          <w:tcPr>
            <w:tcW w:w="4320" w:type="dxa"/>
            <w:shd w:val="clear" w:color="auto" w:fill="auto"/>
            <w:vAlign w:val="center"/>
          </w:tcPr>
          <w:p w14:paraId="0AFE1272" w14:textId="4A321BEB" w:rsidR="000D402D" w:rsidRPr="00883E33" w:rsidRDefault="000D402D" w:rsidP="000D402D">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Electric Water Heater Efficiency (%)</w:t>
            </w:r>
          </w:p>
        </w:tc>
        <w:tc>
          <w:tcPr>
            <w:tcW w:w="1080" w:type="dxa"/>
            <w:shd w:val="clear" w:color="auto" w:fill="auto"/>
            <w:vAlign w:val="center"/>
          </w:tcPr>
          <w:p w14:paraId="50164D45" w14:textId="0EEB7D86"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9</w:t>
            </w:r>
            <w:r w:rsidR="00D85E6B">
              <w:rPr>
                <w:rFonts w:eastAsia="Times New Roman" w:cs="Arial"/>
                <w:sz w:val="20"/>
                <w:szCs w:val="20"/>
              </w:rPr>
              <w:t>8</w:t>
            </w:r>
            <w:r w:rsidRPr="005D77C8">
              <w:rPr>
                <w:rFonts w:eastAsia="Times New Roman" w:cs="Arial"/>
                <w:sz w:val="20"/>
                <w:szCs w:val="20"/>
              </w:rPr>
              <w:t>%</w:t>
            </w:r>
          </w:p>
        </w:tc>
        <w:tc>
          <w:tcPr>
            <w:tcW w:w="1197" w:type="dxa"/>
            <w:shd w:val="clear" w:color="auto" w:fill="auto"/>
            <w:vAlign w:val="center"/>
          </w:tcPr>
          <w:p w14:paraId="029F3034" w14:textId="77639522"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9</w:t>
            </w:r>
            <w:r w:rsidR="00D85E6B">
              <w:rPr>
                <w:rFonts w:eastAsia="Times New Roman" w:cs="Arial"/>
                <w:sz w:val="20"/>
                <w:szCs w:val="20"/>
              </w:rPr>
              <w:t>8</w:t>
            </w:r>
            <w:r w:rsidRPr="005D77C8">
              <w:rPr>
                <w:rFonts w:eastAsia="Times New Roman" w:cs="Arial"/>
                <w:sz w:val="20"/>
                <w:szCs w:val="20"/>
              </w:rPr>
              <w:t>%</w:t>
            </w:r>
          </w:p>
        </w:tc>
        <w:tc>
          <w:tcPr>
            <w:tcW w:w="3208" w:type="dxa"/>
            <w:vMerge w:val="restart"/>
            <w:vAlign w:val="center"/>
          </w:tcPr>
          <w:p w14:paraId="1D268749" w14:textId="77777777" w:rsidR="00845EF9" w:rsidRPr="00845EF9" w:rsidRDefault="00845EF9" w:rsidP="00845EF9">
            <w:pPr>
              <w:spacing w:before="0" w:after="0" w:line="240" w:lineRule="auto"/>
              <w:rPr>
                <w:sz w:val="18"/>
                <w:szCs w:val="18"/>
              </w:rPr>
            </w:pPr>
            <w:r w:rsidRPr="00845EF9">
              <w:rPr>
                <w:sz w:val="18"/>
                <w:szCs w:val="18"/>
              </w:rPr>
              <w:t>California Public Utilities Commission (CPUC), Energy Division, Ex Ante Review Team. 2014. “DEER2015 Measure Summary Water Heater Energy Factor.xls.”</w:t>
            </w:r>
          </w:p>
          <w:p w14:paraId="3008F017" w14:textId="6A20AE8B" w:rsidR="000D402D" w:rsidRPr="00ED6DB9" w:rsidRDefault="00845EF9" w:rsidP="00202DA3">
            <w:pPr>
              <w:pStyle w:val="FootnoteText"/>
              <w:rPr>
                <w:rFonts w:eastAsia="Times New Roman" w:cs="Arial"/>
                <w:color w:val="000000"/>
                <w:szCs w:val="18"/>
              </w:rPr>
            </w:pPr>
            <w:r w:rsidRPr="00202DA3">
              <w:t>ENERGY</w:t>
            </w:r>
            <w:r w:rsidRPr="00845EF9">
              <w:rPr>
                <w:szCs w:val="18"/>
              </w:rPr>
              <w:t xml:space="preserve"> STAR. 2015. “Savings Calculator for ENERGY STAR Certified Commercial Kitchen Equipment.” Updated February 2015.</w:t>
            </w:r>
          </w:p>
        </w:tc>
      </w:tr>
      <w:tr w:rsidR="000D402D" w:rsidRPr="00883E33" w14:paraId="24FE4665" w14:textId="77777777" w:rsidTr="00E8056E">
        <w:trPr>
          <w:cantSplit/>
          <w:trHeight w:val="20"/>
        </w:trPr>
        <w:tc>
          <w:tcPr>
            <w:tcW w:w="4320" w:type="dxa"/>
            <w:shd w:val="clear" w:color="auto" w:fill="auto"/>
            <w:vAlign w:val="center"/>
          </w:tcPr>
          <w:p w14:paraId="680BC5E3" w14:textId="7F65E5E7" w:rsidR="000D402D" w:rsidRPr="00883E33" w:rsidRDefault="000D402D" w:rsidP="000D402D">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Electric Water Booster Heater Efficiency (%)</w:t>
            </w:r>
          </w:p>
        </w:tc>
        <w:tc>
          <w:tcPr>
            <w:tcW w:w="1080" w:type="dxa"/>
            <w:shd w:val="clear" w:color="auto" w:fill="auto"/>
            <w:vAlign w:val="center"/>
          </w:tcPr>
          <w:p w14:paraId="26B38C3A" w14:textId="2A076FA0"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9</w:t>
            </w:r>
            <w:r w:rsidR="00D85E6B">
              <w:rPr>
                <w:rFonts w:eastAsia="Times New Roman" w:cs="Arial"/>
                <w:sz w:val="20"/>
                <w:szCs w:val="20"/>
              </w:rPr>
              <w:t>8</w:t>
            </w:r>
            <w:r w:rsidRPr="005D77C8">
              <w:rPr>
                <w:rFonts w:eastAsia="Times New Roman" w:cs="Arial"/>
                <w:sz w:val="20"/>
                <w:szCs w:val="20"/>
              </w:rPr>
              <w:t>%</w:t>
            </w:r>
          </w:p>
        </w:tc>
        <w:tc>
          <w:tcPr>
            <w:tcW w:w="1197" w:type="dxa"/>
            <w:shd w:val="clear" w:color="auto" w:fill="auto"/>
            <w:vAlign w:val="center"/>
          </w:tcPr>
          <w:p w14:paraId="51176316" w14:textId="3B04368B"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9</w:t>
            </w:r>
            <w:r w:rsidR="00D85E6B">
              <w:rPr>
                <w:rFonts w:eastAsia="Times New Roman" w:cs="Arial"/>
                <w:sz w:val="20"/>
                <w:szCs w:val="20"/>
              </w:rPr>
              <w:t>8</w:t>
            </w:r>
            <w:r w:rsidRPr="005D77C8">
              <w:rPr>
                <w:rFonts w:eastAsia="Times New Roman" w:cs="Arial"/>
                <w:sz w:val="20"/>
                <w:szCs w:val="20"/>
              </w:rPr>
              <w:t>%</w:t>
            </w:r>
          </w:p>
        </w:tc>
        <w:tc>
          <w:tcPr>
            <w:tcW w:w="3208" w:type="dxa"/>
            <w:vMerge/>
            <w:vAlign w:val="center"/>
          </w:tcPr>
          <w:p w14:paraId="094130EA" w14:textId="77777777" w:rsidR="000D402D" w:rsidRPr="00ED6DB9" w:rsidRDefault="000D402D" w:rsidP="000D402D">
            <w:pPr>
              <w:spacing w:before="0" w:after="0" w:line="240" w:lineRule="auto"/>
              <w:rPr>
                <w:rFonts w:eastAsia="Times New Roman" w:cs="Arial"/>
                <w:color w:val="000000"/>
                <w:sz w:val="18"/>
                <w:szCs w:val="18"/>
              </w:rPr>
            </w:pPr>
          </w:p>
        </w:tc>
      </w:tr>
      <w:tr w:rsidR="000D402D" w:rsidRPr="0026027C" w14:paraId="5BCA6811" w14:textId="4F88A209" w:rsidTr="00E8056E">
        <w:trPr>
          <w:cantSplit/>
          <w:trHeight w:val="20"/>
        </w:trPr>
        <w:tc>
          <w:tcPr>
            <w:tcW w:w="4320" w:type="dxa"/>
            <w:shd w:val="clear" w:color="auto" w:fill="auto"/>
            <w:vAlign w:val="center"/>
            <w:hideMark/>
          </w:tcPr>
          <w:p w14:paraId="00F87652" w14:textId="77777777"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lastRenderedPageBreak/>
              <w:t>Number of Racks per day (racks/day)</w:t>
            </w:r>
          </w:p>
        </w:tc>
        <w:tc>
          <w:tcPr>
            <w:tcW w:w="1080" w:type="dxa"/>
            <w:shd w:val="clear" w:color="auto" w:fill="auto"/>
            <w:vAlign w:val="center"/>
            <w:hideMark/>
          </w:tcPr>
          <w:p w14:paraId="56DFE41B" w14:textId="391B65F8"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140.5</w:t>
            </w:r>
          </w:p>
        </w:tc>
        <w:tc>
          <w:tcPr>
            <w:tcW w:w="1197" w:type="dxa"/>
            <w:shd w:val="clear" w:color="auto" w:fill="auto"/>
            <w:vAlign w:val="center"/>
            <w:hideMark/>
          </w:tcPr>
          <w:p w14:paraId="10A9C3D4" w14:textId="1332EB30"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140.5</w:t>
            </w:r>
          </w:p>
        </w:tc>
        <w:tc>
          <w:tcPr>
            <w:tcW w:w="3208" w:type="dxa"/>
            <w:vAlign w:val="center"/>
          </w:tcPr>
          <w:p w14:paraId="47BD20D1" w14:textId="0A41D050" w:rsidR="000D402D" w:rsidRPr="00ED6DB9" w:rsidRDefault="00D00139" w:rsidP="000D402D">
            <w:pPr>
              <w:spacing w:before="0" w:after="0" w:line="240" w:lineRule="auto"/>
              <w:rPr>
                <w:rFonts w:eastAsia="Times New Roman" w:cs="Arial"/>
                <w:color w:val="000000"/>
                <w:sz w:val="18"/>
                <w:szCs w:val="18"/>
              </w:rPr>
            </w:pPr>
            <w:r w:rsidRPr="00D00139">
              <w:rPr>
                <w:sz w:val="18"/>
                <w:szCs w:val="18"/>
              </w:rPr>
              <w:t>SoCalGas (SCG). 2021. "Dishmachine Calcs 03152021.xls."</w:t>
            </w:r>
            <w:r>
              <w:rPr>
                <w:sz w:val="18"/>
                <w:szCs w:val="18"/>
              </w:rPr>
              <w:t xml:space="preserve"> </w:t>
            </w:r>
            <w:r w:rsidR="000D402D" w:rsidRPr="00ED6DB9">
              <w:rPr>
                <w:sz w:val="18"/>
                <w:szCs w:val="18"/>
              </w:rPr>
              <w:t>See “Monitored Data + GPR” tab.</w:t>
            </w:r>
          </w:p>
        </w:tc>
      </w:tr>
      <w:tr w:rsidR="000D402D" w:rsidRPr="0026027C" w14:paraId="38ECC17A" w14:textId="7096C279" w:rsidTr="00E8056E">
        <w:trPr>
          <w:cantSplit/>
          <w:trHeight w:val="20"/>
        </w:trPr>
        <w:tc>
          <w:tcPr>
            <w:tcW w:w="4320" w:type="dxa"/>
            <w:shd w:val="clear" w:color="auto" w:fill="auto"/>
            <w:vAlign w:val="center"/>
            <w:hideMark/>
          </w:tcPr>
          <w:p w14:paraId="6D83AE7D" w14:textId="77777777"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Water Consumption (Gal/Rack)</w:t>
            </w:r>
          </w:p>
        </w:tc>
        <w:tc>
          <w:tcPr>
            <w:tcW w:w="1080" w:type="dxa"/>
            <w:shd w:val="clear" w:color="auto" w:fill="auto"/>
            <w:vAlign w:val="center"/>
            <w:hideMark/>
          </w:tcPr>
          <w:p w14:paraId="6FC9DAC2" w14:textId="77777777" w:rsidR="000D402D" w:rsidRPr="008A185E" w:rsidRDefault="000D402D" w:rsidP="000D402D">
            <w:pPr>
              <w:spacing w:before="0" w:after="0" w:line="240" w:lineRule="auto"/>
              <w:jc w:val="right"/>
              <w:rPr>
                <w:rFonts w:eastAsia="Times New Roman" w:cs="Arial"/>
                <w:sz w:val="20"/>
                <w:szCs w:val="20"/>
              </w:rPr>
            </w:pPr>
            <w:r w:rsidRPr="008A185E">
              <w:rPr>
                <w:rFonts w:eastAsia="Times New Roman" w:cs="Arial"/>
                <w:sz w:val="20"/>
                <w:szCs w:val="20"/>
              </w:rPr>
              <w:t>1.06</w:t>
            </w:r>
          </w:p>
        </w:tc>
        <w:tc>
          <w:tcPr>
            <w:tcW w:w="1197" w:type="dxa"/>
            <w:shd w:val="clear" w:color="auto" w:fill="auto"/>
            <w:vAlign w:val="center"/>
            <w:hideMark/>
          </w:tcPr>
          <w:p w14:paraId="2608C14F" w14:textId="69D0578E" w:rsidR="000D402D" w:rsidRPr="008A185E" w:rsidRDefault="000D402D" w:rsidP="000D402D">
            <w:pPr>
              <w:spacing w:before="0" w:after="0" w:line="240" w:lineRule="auto"/>
              <w:jc w:val="right"/>
              <w:rPr>
                <w:rFonts w:eastAsia="Times New Roman" w:cs="Arial"/>
                <w:sz w:val="20"/>
                <w:szCs w:val="20"/>
              </w:rPr>
            </w:pPr>
            <w:r w:rsidRPr="008A185E">
              <w:rPr>
                <w:rFonts w:eastAsia="Times New Roman" w:cs="Arial"/>
                <w:sz w:val="20"/>
                <w:szCs w:val="20"/>
              </w:rPr>
              <w:t>0.63</w:t>
            </w:r>
          </w:p>
        </w:tc>
        <w:tc>
          <w:tcPr>
            <w:tcW w:w="3208" w:type="dxa"/>
            <w:vAlign w:val="center"/>
          </w:tcPr>
          <w:p w14:paraId="62AF889A" w14:textId="6BC1A1F7" w:rsidR="000D402D" w:rsidRPr="00EB7AC2" w:rsidRDefault="00EB7AC2" w:rsidP="000D402D">
            <w:pPr>
              <w:spacing w:before="0" w:after="0" w:line="240" w:lineRule="auto"/>
              <w:rPr>
                <w:rFonts w:eastAsia="Times New Roman" w:cs="Arial"/>
                <w:color w:val="000000"/>
                <w:sz w:val="18"/>
                <w:szCs w:val="18"/>
                <w:highlight w:val="yellow"/>
              </w:rPr>
            </w:pPr>
            <w:r w:rsidRPr="00E42B54">
              <w:rPr>
                <w:sz w:val="18"/>
                <w:szCs w:val="20"/>
              </w:rPr>
              <w:t>ENERGY STAR. 20</w:t>
            </w:r>
            <w:r>
              <w:rPr>
                <w:sz w:val="18"/>
                <w:szCs w:val="20"/>
              </w:rPr>
              <w:t>20</w:t>
            </w:r>
            <w:r w:rsidRPr="00E42B54">
              <w:rPr>
                <w:sz w:val="18"/>
                <w:szCs w:val="20"/>
              </w:rPr>
              <w:t>. “ENERGY STAR Program Requirements for Commercial Dishwashers. Eligibility Criteria (</w:t>
            </w:r>
            <w:r>
              <w:rPr>
                <w:sz w:val="18"/>
                <w:szCs w:val="20"/>
              </w:rPr>
              <w:t>October</w:t>
            </w:r>
            <w:r w:rsidRPr="00E42B54">
              <w:rPr>
                <w:sz w:val="18"/>
                <w:szCs w:val="20"/>
              </w:rPr>
              <w:t xml:space="preserve"> 20</w:t>
            </w:r>
            <w:r>
              <w:rPr>
                <w:sz w:val="18"/>
                <w:szCs w:val="20"/>
              </w:rPr>
              <w:t>20</w:t>
            </w:r>
            <w:r w:rsidRPr="00E42B54">
              <w:rPr>
                <w:sz w:val="18"/>
                <w:szCs w:val="20"/>
              </w:rPr>
              <w:t xml:space="preserve">) Version </w:t>
            </w:r>
            <w:r>
              <w:rPr>
                <w:sz w:val="18"/>
                <w:szCs w:val="20"/>
              </w:rPr>
              <w:t>3</w:t>
            </w:r>
            <w:r w:rsidRPr="00E42B54">
              <w:rPr>
                <w:sz w:val="18"/>
                <w:szCs w:val="20"/>
              </w:rPr>
              <w:t xml:space="preserve">.0.” Effective </w:t>
            </w:r>
            <w:r w:rsidRPr="000334AB">
              <w:rPr>
                <w:sz w:val="18"/>
                <w:szCs w:val="20"/>
              </w:rPr>
              <w:t>July 27, 2021.</w:t>
            </w:r>
          </w:p>
        </w:tc>
      </w:tr>
      <w:tr w:rsidR="00D85E6B" w:rsidRPr="0026027C" w14:paraId="4159D2DD" w14:textId="7DED936A" w:rsidTr="00E8056E">
        <w:trPr>
          <w:cantSplit/>
          <w:trHeight w:val="20"/>
        </w:trPr>
        <w:tc>
          <w:tcPr>
            <w:tcW w:w="4320" w:type="dxa"/>
            <w:shd w:val="clear" w:color="auto" w:fill="auto"/>
            <w:vAlign w:val="center"/>
            <w:hideMark/>
          </w:tcPr>
          <w:p w14:paraId="0205126C" w14:textId="77777777" w:rsidR="00D85E6B" w:rsidRPr="0026027C" w:rsidRDefault="00D85E6B" w:rsidP="00D85E6B">
            <w:pPr>
              <w:spacing w:before="0" w:after="0" w:line="240" w:lineRule="auto"/>
              <w:rPr>
                <w:rFonts w:eastAsia="Times New Roman" w:cs="Arial"/>
                <w:color w:val="000000"/>
                <w:sz w:val="20"/>
                <w:szCs w:val="20"/>
              </w:rPr>
            </w:pPr>
            <w:r w:rsidRPr="0026027C">
              <w:rPr>
                <w:rFonts w:eastAsia="Times New Roman" w:cs="Arial"/>
                <w:color w:val="000000"/>
                <w:sz w:val="20"/>
                <w:szCs w:val="20"/>
              </w:rPr>
              <w:t>Wash time per rack (min/rack)</w:t>
            </w:r>
          </w:p>
        </w:tc>
        <w:tc>
          <w:tcPr>
            <w:tcW w:w="1080" w:type="dxa"/>
            <w:shd w:val="clear" w:color="auto" w:fill="auto"/>
            <w:vAlign w:val="center"/>
            <w:hideMark/>
          </w:tcPr>
          <w:p w14:paraId="17A07268" w14:textId="77777777" w:rsidR="00D85E6B" w:rsidRPr="005D77C8" w:rsidRDefault="00D85E6B" w:rsidP="00D85E6B">
            <w:pPr>
              <w:spacing w:before="0" w:after="0" w:line="240" w:lineRule="auto"/>
              <w:jc w:val="right"/>
              <w:rPr>
                <w:rFonts w:eastAsia="Times New Roman" w:cs="Arial"/>
                <w:sz w:val="20"/>
                <w:szCs w:val="20"/>
              </w:rPr>
            </w:pPr>
            <w:r w:rsidRPr="005D77C8">
              <w:rPr>
                <w:rFonts w:eastAsia="Times New Roman" w:cs="Arial"/>
                <w:sz w:val="20"/>
                <w:szCs w:val="20"/>
              </w:rPr>
              <w:t>1</w:t>
            </w:r>
          </w:p>
        </w:tc>
        <w:tc>
          <w:tcPr>
            <w:tcW w:w="1197" w:type="dxa"/>
            <w:shd w:val="clear" w:color="auto" w:fill="auto"/>
            <w:vAlign w:val="center"/>
            <w:hideMark/>
          </w:tcPr>
          <w:p w14:paraId="39BDCC77" w14:textId="77777777" w:rsidR="00D85E6B" w:rsidRPr="005D77C8" w:rsidRDefault="00D85E6B" w:rsidP="00D85E6B">
            <w:pPr>
              <w:spacing w:before="0" w:after="0" w:line="240" w:lineRule="auto"/>
              <w:jc w:val="right"/>
              <w:rPr>
                <w:rFonts w:eastAsia="Times New Roman" w:cs="Arial"/>
                <w:sz w:val="20"/>
                <w:szCs w:val="20"/>
              </w:rPr>
            </w:pPr>
            <w:r w:rsidRPr="005D77C8">
              <w:rPr>
                <w:rFonts w:eastAsia="Times New Roman" w:cs="Arial"/>
                <w:sz w:val="20"/>
                <w:szCs w:val="20"/>
              </w:rPr>
              <w:t>1</w:t>
            </w:r>
          </w:p>
        </w:tc>
        <w:tc>
          <w:tcPr>
            <w:tcW w:w="3208" w:type="dxa"/>
            <w:vAlign w:val="center"/>
          </w:tcPr>
          <w:p w14:paraId="1E3D322F" w14:textId="17F59949" w:rsidR="00D85E6B" w:rsidRPr="00ED6DB9" w:rsidRDefault="00D85E6B" w:rsidP="00D85E6B">
            <w:pPr>
              <w:spacing w:before="0" w:after="0" w:line="240" w:lineRule="auto"/>
              <w:rPr>
                <w:rFonts w:eastAsia="Times New Roman" w:cs="Arial"/>
                <w:color w:val="000000"/>
                <w:sz w:val="18"/>
                <w:szCs w:val="18"/>
              </w:rPr>
            </w:pPr>
            <w:r>
              <w:rPr>
                <w:sz w:val="18"/>
                <w:szCs w:val="18"/>
              </w:rPr>
              <w:t>Engineering Judgement</w:t>
            </w:r>
          </w:p>
        </w:tc>
      </w:tr>
      <w:tr w:rsidR="000D402D" w:rsidRPr="0026027C" w14:paraId="46861265" w14:textId="2CBB0579" w:rsidTr="00E8056E">
        <w:trPr>
          <w:cantSplit/>
          <w:trHeight w:val="20"/>
        </w:trPr>
        <w:tc>
          <w:tcPr>
            <w:tcW w:w="4320" w:type="dxa"/>
            <w:shd w:val="clear" w:color="auto" w:fill="auto"/>
            <w:vAlign w:val="center"/>
            <w:hideMark/>
          </w:tcPr>
          <w:p w14:paraId="2DFB413A" w14:textId="181A31B0"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Idle Energy Rate (kW)</w:t>
            </w:r>
            <w:r>
              <w:rPr>
                <w:rFonts w:eastAsia="Times New Roman" w:cs="Arial"/>
                <w:color w:val="000000"/>
                <w:sz w:val="20"/>
                <w:szCs w:val="20"/>
              </w:rPr>
              <w:t xml:space="preserve"> </w:t>
            </w:r>
          </w:p>
        </w:tc>
        <w:tc>
          <w:tcPr>
            <w:tcW w:w="1080" w:type="dxa"/>
            <w:shd w:val="clear" w:color="auto" w:fill="auto"/>
            <w:vAlign w:val="center"/>
            <w:hideMark/>
          </w:tcPr>
          <w:p w14:paraId="1B0218DA" w14:textId="77777777" w:rsidR="000D402D" w:rsidRPr="008A185E" w:rsidRDefault="000D402D" w:rsidP="000D402D">
            <w:pPr>
              <w:spacing w:before="0" w:after="0" w:line="240" w:lineRule="auto"/>
              <w:jc w:val="right"/>
              <w:rPr>
                <w:rFonts w:eastAsia="Times New Roman" w:cs="Arial"/>
                <w:sz w:val="20"/>
                <w:szCs w:val="20"/>
              </w:rPr>
            </w:pPr>
            <w:r w:rsidRPr="008A185E">
              <w:rPr>
                <w:rFonts w:eastAsia="Times New Roman" w:cs="Arial"/>
                <w:sz w:val="20"/>
                <w:szCs w:val="20"/>
              </w:rPr>
              <w:t>0.7</w:t>
            </w:r>
          </w:p>
        </w:tc>
        <w:tc>
          <w:tcPr>
            <w:tcW w:w="1197" w:type="dxa"/>
            <w:shd w:val="clear" w:color="auto" w:fill="auto"/>
            <w:vAlign w:val="center"/>
            <w:hideMark/>
          </w:tcPr>
          <w:p w14:paraId="608AC3CA" w14:textId="1BCEFBDB" w:rsidR="000D402D" w:rsidRPr="008A185E" w:rsidRDefault="000D402D" w:rsidP="000D402D">
            <w:pPr>
              <w:spacing w:before="0" w:after="0" w:line="240" w:lineRule="auto"/>
              <w:jc w:val="right"/>
              <w:rPr>
                <w:rFonts w:eastAsia="Times New Roman" w:cs="Arial"/>
                <w:sz w:val="20"/>
                <w:szCs w:val="20"/>
              </w:rPr>
            </w:pPr>
            <w:r w:rsidRPr="008A185E">
              <w:rPr>
                <w:rFonts w:eastAsia="Times New Roman" w:cs="Arial"/>
                <w:sz w:val="20"/>
                <w:szCs w:val="20"/>
              </w:rPr>
              <w:t>0.44</w:t>
            </w:r>
          </w:p>
        </w:tc>
        <w:tc>
          <w:tcPr>
            <w:tcW w:w="3208" w:type="dxa"/>
            <w:vAlign w:val="center"/>
          </w:tcPr>
          <w:p w14:paraId="1DCDC8FA" w14:textId="7DF472C0" w:rsidR="000D402D" w:rsidRPr="00D00139" w:rsidRDefault="00D00139" w:rsidP="00D00139">
            <w:pPr>
              <w:keepNext/>
              <w:keepLines/>
              <w:spacing w:before="20" w:after="20"/>
              <w:rPr>
                <w:sz w:val="18"/>
                <w:szCs w:val="20"/>
              </w:rPr>
            </w:pPr>
            <w:r w:rsidRPr="00E42B54">
              <w:rPr>
                <w:sz w:val="18"/>
                <w:szCs w:val="20"/>
              </w:rPr>
              <w:t>ENERGY STAR. 20</w:t>
            </w:r>
            <w:r>
              <w:rPr>
                <w:sz w:val="18"/>
                <w:szCs w:val="20"/>
              </w:rPr>
              <w:t>20</w:t>
            </w:r>
            <w:r w:rsidRPr="00E42B54">
              <w:rPr>
                <w:sz w:val="18"/>
                <w:szCs w:val="20"/>
              </w:rPr>
              <w:t>. “ENERGY STAR Program Requirements for Commercial Dishwashers. Eligibility Criteria (</w:t>
            </w:r>
            <w:r>
              <w:rPr>
                <w:sz w:val="18"/>
                <w:szCs w:val="20"/>
              </w:rPr>
              <w:t>October</w:t>
            </w:r>
            <w:r w:rsidRPr="00E42B54">
              <w:rPr>
                <w:sz w:val="18"/>
                <w:szCs w:val="20"/>
              </w:rPr>
              <w:t xml:space="preserve"> 20</w:t>
            </w:r>
            <w:r>
              <w:rPr>
                <w:sz w:val="18"/>
                <w:szCs w:val="20"/>
              </w:rPr>
              <w:t>20</w:t>
            </w:r>
            <w:r w:rsidRPr="00E42B54">
              <w:rPr>
                <w:sz w:val="18"/>
                <w:szCs w:val="20"/>
              </w:rPr>
              <w:t xml:space="preserve">) Version </w:t>
            </w:r>
            <w:r>
              <w:rPr>
                <w:sz w:val="18"/>
                <w:szCs w:val="20"/>
              </w:rPr>
              <w:t>3</w:t>
            </w:r>
            <w:r w:rsidRPr="00E42B54">
              <w:rPr>
                <w:sz w:val="18"/>
                <w:szCs w:val="20"/>
              </w:rPr>
              <w:t xml:space="preserve">.0.” Effective </w:t>
            </w:r>
            <w:r w:rsidRPr="000334AB">
              <w:rPr>
                <w:sz w:val="18"/>
                <w:szCs w:val="20"/>
              </w:rPr>
              <w:t>July 27, 2021.</w:t>
            </w:r>
          </w:p>
        </w:tc>
      </w:tr>
      <w:tr w:rsidR="000D402D" w:rsidRPr="0026027C" w14:paraId="32230899" w14:textId="7AA3E660" w:rsidTr="00E8056E">
        <w:trPr>
          <w:cantSplit/>
          <w:trHeight w:val="674"/>
        </w:trPr>
        <w:tc>
          <w:tcPr>
            <w:tcW w:w="4320" w:type="dxa"/>
            <w:shd w:val="clear" w:color="auto" w:fill="auto"/>
            <w:vAlign w:val="center"/>
            <w:hideMark/>
          </w:tcPr>
          <w:p w14:paraId="207C89C1" w14:textId="73EF1DA5"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Operating Days</w:t>
            </w:r>
            <w:r>
              <w:rPr>
                <w:rFonts w:eastAsia="Times New Roman" w:cs="Arial"/>
                <w:color w:val="000000"/>
                <w:sz w:val="20"/>
                <w:szCs w:val="20"/>
              </w:rPr>
              <w:t xml:space="preserve"> per </w:t>
            </w:r>
            <w:r w:rsidRPr="0026027C">
              <w:rPr>
                <w:rFonts w:eastAsia="Times New Roman" w:cs="Arial"/>
                <w:color w:val="000000"/>
                <w:sz w:val="20"/>
                <w:szCs w:val="20"/>
              </w:rPr>
              <w:t>Year</w:t>
            </w:r>
          </w:p>
        </w:tc>
        <w:tc>
          <w:tcPr>
            <w:tcW w:w="1080" w:type="dxa"/>
            <w:shd w:val="clear" w:color="auto" w:fill="auto"/>
            <w:vAlign w:val="center"/>
            <w:hideMark/>
          </w:tcPr>
          <w:p w14:paraId="64BD7B84" w14:textId="77777777"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365</w:t>
            </w:r>
          </w:p>
        </w:tc>
        <w:tc>
          <w:tcPr>
            <w:tcW w:w="1197" w:type="dxa"/>
            <w:shd w:val="clear" w:color="auto" w:fill="auto"/>
            <w:vAlign w:val="center"/>
            <w:hideMark/>
          </w:tcPr>
          <w:p w14:paraId="119F94FA" w14:textId="77777777"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365</w:t>
            </w:r>
          </w:p>
        </w:tc>
        <w:tc>
          <w:tcPr>
            <w:tcW w:w="3208" w:type="dxa"/>
            <w:vMerge w:val="restart"/>
            <w:vAlign w:val="center"/>
          </w:tcPr>
          <w:p w14:paraId="7CC9DC9E" w14:textId="5410D52C" w:rsidR="000D402D" w:rsidRPr="00ED6DB9" w:rsidRDefault="00D031B0" w:rsidP="000D402D">
            <w:pPr>
              <w:spacing w:before="0" w:after="0" w:line="240" w:lineRule="auto"/>
              <w:rPr>
                <w:rFonts w:eastAsia="Times New Roman" w:cs="Arial"/>
                <w:color w:val="000000"/>
                <w:sz w:val="18"/>
                <w:szCs w:val="18"/>
              </w:rPr>
            </w:pPr>
            <w:r w:rsidRPr="001146D0">
              <w:rPr>
                <w:rStyle w:val="eTRMFootnoteTextChar"/>
              </w:rPr>
              <w:t xml:space="preserve">Spoor, C., D. Zabrowski, and L. Mills. (Fisher-Nickel, Inc.) 2014. </w:t>
            </w:r>
            <w:r w:rsidRPr="001146D0">
              <w:rPr>
                <w:rStyle w:val="eTRMFootnoteTextChar"/>
                <w:i/>
              </w:rPr>
              <w:t xml:space="preserve">Characterizing the Energy Efficiency Potential of Gas-Fired Commercial Food Service Equipment. </w:t>
            </w:r>
            <w:r w:rsidRPr="001146D0">
              <w:rPr>
                <w:rStyle w:val="eTRMFootnoteTextChar"/>
              </w:rPr>
              <w:t>Prepared for the California Energy Commission. CEC-500-2014-095. </w:t>
            </w:r>
          </w:p>
        </w:tc>
      </w:tr>
      <w:tr w:rsidR="000D402D" w:rsidRPr="0026027C" w14:paraId="7692FD64" w14:textId="6721A164" w:rsidTr="00E8056E">
        <w:trPr>
          <w:cantSplit/>
          <w:trHeight w:val="20"/>
        </w:trPr>
        <w:tc>
          <w:tcPr>
            <w:tcW w:w="4320" w:type="dxa"/>
            <w:shd w:val="clear" w:color="auto" w:fill="auto"/>
            <w:vAlign w:val="center"/>
            <w:hideMark/>
          </w:tcPr>
          <w:p w14:paraId="050D9DE4" w14:textId="416CFF73"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Operating Hours</w:t>
            </w:r>
            <w:r>
              <w:rPr>
                <w:rFonts w:eastAsia="Times New Roman" w:cs="Arial"/>
                <w:color w:val="000000"/>
                <w:sz w:val="20"/>
                <w:szCs w:val="20"/>
              </w:rPr>
              <w:t xml:space="preserve"> per </w:t>
            </w:r>
            <w:r w:rsidRPr="0026027C">
              <w:rPr>
                <w:rFonts w:eastAsia="Times New Roman" w:cs="Arial"/>
                <w:color w:val="000000"/>
                <w:sz w:val="20"/>
                <w:szCs w:val="20"/>
              </w:rPr>
              <w:t>Day</w:t>
            </w:r>
          </w:p>
        </w:tc>
        <w:tc>
          <w:tcPr>
            <w:tcW w:w="1080" w:type="dxa"/>
            <w:shd w:val="clear" w:color="auto" w:fill="auto"/>
            <w:vAlign w:val="center"/>
            <w:hideMark/>
          </w:tcPr>
          <w:p w14:paraId="766EF22A" w14:textId="77777777"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12</w:t>
            </w:r>
          </w:p>
        </w:tc>
        <w:tc>
          <w:tcPr>
            <w:tcW w:w="1197" w:type="dxa"/>
            <w:shd w:val="clear" w:color="auto" w:fill="auto"/>
            <w:vAlign w:val="center"/>
            <w:hideMark/>
          </w:tcPr>
          <w:p w14:paraId="42C0B956" w14:textId="77777777" w:rsidR="000D402D" w:rsidRPr="005D77C8" w:rsidRDefault="000D402D" w:rsidP="000D402D">
            <w:pPr>
              <w:spacing w:before="0" w:after="0" w:line="240" w:lineRule="auto"/>
              <w:jc w:val="right"/>
              <w:rPr>
                <w:rFonts w:eastAsia="Times New Roman" w:cs="Arial"/>
                <w:sz w:val="20"/>
                <w:szCs w:val="20"/>
              </w:rPr>
            </w:pPr>
            <w:r w:rsidRPr="005D77C8">
              <w:rPr>
                <w:rFonts w:eastAsia="Times New Roman" w:cs="Arial"/>
                <w:sz w:val="20"/>
                <w:szCs w:val="20"/>
              </w:rPr>
              <w:t>12</w:t>
            </w:r>
          </w:p>
        </w:tc>
        <w:tc>
          <w:tcPr>
            <w:tcW w:w="3208" w:type="dxa"/>
            <w:vMerge/>
            <w:vAlign w:val="center"/>
          </w:tcPr>
          <w:p w14:paraId="10396D3F" w14:textId="77777777" w:rsidR="000D402D" w:rsidRPr="00ED6DB9" w:rsidRDefault="000D402D" w:rsidP="000D402D">
            <w:pPr>
              <w:spacing w:before="0" w:after="0" w:line="240" w:lineRule="auto"/>
              <w:rPr>
                <w:rFonts w:eastAsia="Times New Roman" w:cs="Arial"/>
                <w:color w:val="000000"/>
                <w:sz w:val="18"/>
                <w:szCs w:val="18"/>
              </w:rPr>
            </w:pPr>
          </w:p>
        </w:tc>
      </w:tr>
      <w:tr w:rsidR="004F781F" w:rsidRPr="0026027C" w14:paraId="19EF3FD3" w14:textId="724D95AF" w:rsidTr="00E8056E">
        <w:trPr>
          <w:cantSplit/>
          <w:trHeight w:val="20"/>
        </w:trPr>
        <w:tc>
          <w:tcPr>
            <w:tcW w:w="4320" w:type="dxa"/>
            <w:shd w:val="clear" w:color="auto" w:fill="auto"/>
            <w:vAlign w:val="center"/>
            <w:hideMark/>
          </w:tcPr>
          <w:p w14:paraId="510AFF03" w14:textId="77777777" w:rsidR="004F781F" w:rsidRPr="0026027C" w:rsidRDefault="004F781F" w:rsidP="004F781F">
            <w:pPr>
              <w:spacing w:before="0" w:after="0" w:line="240" w:lineRule="auto"/>
              <w:rPr>
                <w:rFonts w:eastAsia="Times New Roman" w:cs="Arial"/>
                <w:color w:val="000000"/>
                <w:sz w:val="20"/>
                <w:szCs w:val="20"/>
              </w:rPr>
            </w:pPr>
            <w:r w:rsidRPr="0026027C">
              <w:rPr>
                <w:rFonts w:eastAsia="Times New Roman" w:cs="Arial"/>
                <w:color w:val="000000"/>
                <w:sz w:val="20"/>
                <w:szCs w:val="20"/>
              </w:rPr>
              <w:t>Market Penetration of Electric Water Heaters (%)</w:t>
            </w:r>
          </w:p>
        </w:tc>
        <w:tc>
          <w:tcPr>
            <w:tcW w:w="1080" w:type="dxa"/>
            <w:shd w:val="clear" w:color="auto" w:fill="auto"/>
            <w:vAlign w:val="center"/>
            <w:hideMark/>
          </w:tcPr>
          <w:p w14:paraId="2DE5FD6B" w14:textId="0FE7CC50" w:rsidR="004F781F" w:rsidRPr="005D77C8" w:rsidRDefault="004F781F" w:rsidP="004F781F">
            <w:pPr>
              <w:spacing w:before="0" w:after="0" w:line="240" w:lineRule="auto"/>
              <w:jc w:val="right"/>
              <w:rPr>
                <w:rFonts w:eastAsia="Times New Roman" w:cs="Arial"/>
                <w:sz w:val="20"/>
                <w:szCs w:val="20"/>
              </w:rPr>
            </w:pPr>
            <w:r w:rsidRPr="005D77C8">
              <w:rPr>
                <w:rFonts w:eastAsia="Times New Roman" w:cs="Arial"/>
                <w:sz w:val="20"/>
                <w:szCs w:val="20"/>
              </w:rPr>
              <w:t>3%</w:t>
            </w:r>
          </w:p>
        </w:tc>
        <w:tc>
          <w:tcPr>
            <w:tcW w:w="1197" w:type="dxa"/>
            <w:shd w:val="clear" w:color="auto" w:fill="auto"/>
            <w:vAlign w:val="center"/>
            <w:hideMark/>
          </w:tcPr>
          <w:p w14:paraId="5395190F" w14:textId="73723229" w:rsidR="004F781F" w:rsidRPr="005D77C8" w:rsidRDefault="004F781F" w:rsidP="004F781F">
            <w:pPr>
              <w:spacing w:before="0" w:after="0" w:line="240" w:lineRule="auto"/>
              <w:jc w:val="right"/>
              <w:rPr>
                <w:rFonts w:eastAsia="Times New Roman" w:cs="Arial"/>
                <w:sz w:val="20"/>
                <w:szCs w:val="20"/>
              </w:rPr>
            </w:pPr>
            <w:r w:rsidRPr="005D77C8">
              <w:rPr>
                <w:rFonts w:eastAsia="Times New Roman" w:cs="Arial"/>
                <w:sz w:val="20"/>
                <w:szCs w:val="20"/>
              </w:rPr>
              <w:t>3%</w:t>
            </w:r>
          </w:p>
        </w:tc>
        <w:tc>
          <w:tcPr>
            <w:tcW w:w="3208" w:type="dxa"/>
            <w:vAlign w:val="center"/>
          </w:tcPr>
          <w:p w14:paraId="257450E3" w14:textId="6D7A0F89" w:rsidR="004F781F" w:rsidRPr="00ED6DB9" w:rsidRDefault="004F781F" w:rsidP="004F781F">
            <w:pPr>
              <w:spacing w:before="0" w:after="0" w:line="240" w:lineRule="auto"/>
              <w:rPr>
                <w:rFonts w:eastAsia="Times New Roman" w:cs="Arial"/>
                <w:color w:val="000000"/>
                <w:sz w:val="18"/>
                <w:szCs w:val="18"/>
              </w:rPr>
            </w:pPr>
            <w:r w:rsidRPr="005859DB">
              <w:rPr>
                <w:rFonts w:cs="Calibri Light"/>
                <w:sz w:val="18"/>
                <w:szCs w:val="18"/>
              </w:rPr>
              <w:t>See Market Penetration of</w:t>
            </w:r>
            <w:r>
              <w:rPr>
                <w:rFonts w:cs="Calibri Light"/>
                <w:sz w:val="18"/>
                <w:szCs w:val="18"/>
              </w:rPr>
              <w:t xml:space="preserve"> Primary Water</w:t>
            </w:r>
            <w:r w:rsidRPr="005859DB">
              <w:rPr>
                <w:rFonts w:cs="Calibri Light"/>
                <w:sz w:val="18"/>
                <w:szCs w:val="18"/>
              </w:rPr>
              <w:t xml:space="preserve"> Heating Fuel Types</w:t>
            </w:r>
          </w:p>
        </w:tc>
      </w:tr>
      <w:tr w:rsidR="004F781F" w:rsidRPr="0026027C" w14:paraId="738D4F9E" w14:textId="7A4FE71C" w:rsidTr="00E8056E">
        <w:trPr>
          <w:cantSplit/>
          <w:trHeight w:val="20"/>
        </w:trPr>
        <w:tc>
          <w:tcPr>
            <w:tcW w:w="4320" w:type="dxa"/>
            <w:shd w:val="clear" w:color="auto" w:fill="auto"/>
            <w:vAlign w:val="center"/>
            <w:hideMark/>
          </w:tcPr>
          <w:p w14:paraId="0A70404C" w14:textId="77777777" w:rsidR="004F781F" w:rsidRPr="0026027C" w:rsidRDefault="004F781F" w:rsidP="004F781F">
            <w:pPr>
              <w:spacing w:before="0" w:after="0" w:line="240" w:lineRule="auto"/>
              <w:rPr>
                <w:rFonts w:eastAsia="Times New Roman" w:cs="Arial"/>
                <w:color w:val="000000"/>
                <w:sz w:val="20"/>
                <w:szCs w:val="20"/>
              </w:rPr>
            </w:pPr>
            <w:r w:rsidRPr="0026027C">
              <w:rPr>
                <w:rFonts w:eastAsia="Times New Roman" w:cs="Arial"/>
                <w:color w:val="000000"/>
                <w:sz w:val="20"/>
                <w:szCs w:val="20"/>
              </w:rPr>
              <w:t>Market Penetration of Electric Booster Heaters (%)</w:t>
            </w:r>
          </w:p>
        </w:tc>
        <w:tc>
          <w:tcPr>
            <w:tcW w:w="1080" w:type="dxa"/>
            <w:shd w:val="clear" w:color="auto" w:fill="auto"/>
            <w:vAlign w:val="center"/>
            <w:hideMark/>
          </w:tcPr>
          <w:p w14:paraId="0F5F5165" w14:textId="4A95E4AA" w:rsidR="004F781F" w:rsidRPr="005D77C8" w:rsidRDefault="004F781F" w:rsidP="004F781F">
            <w:pPr>
              <w:spacing w:before="0" w:after="0" w:line="240" w:lineRule="auto"/>
              <w:jc w:val="right"/>
              <w:rPr>
                <w:rFonts w:eastAsia="Times New Roman" w:cs="Arial"/>
                <w:sz w:val="20"/>
                <w:szCs w:val="20"/>
              </w:rPr>
            </w:pPr>
            <w:r w:rsidRPr="005D77C8">
              <w:rPr>
                <w:rFonts w:eastAsia="Times New Roman" w:cs="Arial"/>
                <w:sz w:val="20"/>
                <w:szCs w:val="20"/>
              </w:rPr>
              <w:t>95%</w:t>
            </w:r>
          </w:p>
        </w:tc>
        <w:tc>
          <w:tcPr>
            <w:tcW w:w="1197" w:type="dxa"/>
            <w:shd w:val="clear" w:color="auto" w:fill="auto"/>
            <w:vAlign w:val="center"/>
            <w:hideMark/>
          </w:tcPr>
          <w:p w14:paraId="757DBB74" w14:textId="7EFB3804" w:rsidR="004F781F" w:rsidRPr="005D77C8" w:rsidRDefault="004F781F" w:rsidP="004F781F">
            <w:pPr>
              <w:spacing w:before="0" w:after="0" w:line="240" w:lineRule="auto"/>
              <w:jc w:val="right"/>
              <w:rPr>
                <w:rFonts w:eastAsia="Times New Roman" w:cs="Arial"/>
                <w:sz w:val="20"/>
                <w:szCs w:val="20"/>
              </w:rPr>
            </w:pPr>
            <w:r w:rsidRPr="005D77C8">
              <w:rPr>
                <w:rFonts w:eastAsia="Times New Roman" w:cs="Arial"/>
                <w:sz w:val="20"/>
                <w:szCs w:val="20"/>
              </w:rPr>
              <w:t>95%</w:t>
            </w:r>
          </w:p>
        </w:tc>
        <w:tc>
          <w:tcPr>
            <w:tcW w:w="3208" w:type="dxa"/>
            <w:vAlign w:val="center"/>
          </w:tcPr>
          <w:p w14:paraId="6662046C" w14:textId="325BBF54" w:rsidR="004F781F" w:rsidRPr="00ED6DB9" w:rsidRDefault="004F781F" w:rsidP="004F781F">
            <w:pPr>
              <w:spacing w:before="0" w:after="0" w:line="240" w:lineRule="auto"/>
              <w:rPr>
                <w:rFonts w:eastAsia="Times New Roman" w:cs="Arial"/>
                <w:color w:val="000000"/>
                <w:sz w:val="18"/>
                <w:szCs w:val="18"/>
              </w:rPr>
            </w:pPr>
            <w:r w:rsidRPr="005859DB">
              <w:rPr>
                <w:rFonts w:cs="Calibri Light"/>
                <w:sz w:val="18"/>
                <w:szCs w:val="18"/>
              </w:rPr>
              <w:t>See Market Penetration of Booster Heating Fuel Types</w:t>
            </w:r>
          </w:p>
        </w:tc>
      </w:tr>
    </w:tbl>
    <w:p w14:paraId="2EB90227" w14:textId="023154F3" w:rsidR="00C278A9" w:rsidRPr="00F84224" w:rsidRDefault="00186649" w:rsidP="00C278A9">
      <w:pPr>
        <w:pStyle w:val="Caption"/>
      </w:pPr>
      <w:bookmarkStart w:id="46" w:name="_Toc410659566"/>
      <w:bookmarkEnd w:id="45"/>
      <w:r w:rsidRPr="00F84224">
        <w:t xml:space="preserve">Electric </w:t>
      </w:r>
      <w:r>
        <w:t xml:space="preserve">UEC Inputs – </w:t>
      </w:r>
      <w:r w:rsidR="00C278A9" w:rsidRPr="00F84224">
        <w:t>Low</w:t>
      </w:r>
      <w:r w:rsidR="00C278A9">
        <w:t>-</w:t>
      </w:r>
      <w:r w:rsidR="00C278A9" w:rsidRPr="00F84224">
        <w:t>Temperature Door-Type Dishwasher</w:t>
      </w:r>
      <w:r w:rsidR="00C278A9">
        <w:t xml:space="preserve"> </w:t>
      </w:r>
      <w:bookmarkEnd w:id="46"/>
    </w:p>
    <w:tbl>
      <w:tblPr>
        <w:tblW w:w="9805"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20"/>
        <w:gridCol w:w="1080"/>
        <w:gridCol w:w="1197"/>
        <w:gridCol w:w="3208"/>
      </w:tblGrid>
      <w:tr w:rsidR="006E1846" w:rsidRPr="0026027C" w14:paraId="28EE474C" w14:textId="77777777" w:rsidTr="00E8056E">
        <w:trPr>
          <w:cantSplit/>
          <w:trHeight w:val="645"/>
          <w:tblHeader/>
        </w:trPr>
        <w:tc>
          <w:tcPr>
            <w:tcW w:w="4320" w:type="dxa"/>
            <w:tcBorders>
              <w:bottom w:val="single" w:sz="4" w:space="0" w:color="A6A6A6" w:themeColor="background1" w:themeShade="A6"/>
            </w:tcBorders>
            <w:shd w:val="clear" w:color="auto" w:fill="F2F2F2" w:themeFill="background1" w:themeFillShade="F2"/>
            <w:noWrap/>
            <w:vAlign w:val="bottom"/>
            <w:hideMark/>
          </w:tcPr>
          <w:p w14:paraId="74384A37" w14:textId="77777777" w:rsidR="006E1846" w:rsidRPr="0026027C" w:rsidRDefault="006E1846" w:rsidP="00AE16F9">
            <w:pPr>
              <w:spacing w:before="0" w:after="0" w:line="240" w:lineRule="auto"/>
              <w:rPr>
                <w:rFonts w:eastAsia="Times New Roman" w:cs="Times New Roman"/>
                <w:b/>
                <w:color w:val="000000"/>
                <w:sz w:val="20"/>
                <w:szCs w:val="20"/>
              </w:rPr>
            </w:pPr>
            <w:r>
              <w:rPr>
                <w:rFonts w:eastAsia="Times New Roman" w:cs="Times New Roman"/>
                <w:b/>
                <w:color w:val="000000"/>
                <w:sz w:val="20"/>
                <w:szCs w:val="20"/>
              </w:rPr>
              <w:t>Parameter</w:t>
            </w:r>
          </w:p>
        </w:tc>
        <w:tc>
          <w:tcPr>
            <w:tcW w:w="1080" w:type="dxa"/>
            <w:tcBorders>
              <w:bottom w:val="single" w:sz="4" w:space="0" w:color="A6A6A6" w:themeColor="background1" w:themeShade="A6"/>
            </w:tcBorders>
            <w:shd w:val="clear" w:color="auto" w:fill="F2F2F2" w:themeFill="background1" w:themeFillShade="F2"/>
            <w:noWrap/>
            <w:vAlign w:val="bottom"/>
            <w:hideMark/>
          </w:tcPr>
          <w:p w14:paraId="2E8417A4" w14:textId="77777777" w:rsidR="006E1846" w:rsidRPr="005D77C8" w:rsidRDefault="006E1846" w:rsidP="00AE16F9">
            <w:pPr>
              <w:spacing w:before="0" w:after="0" w:line="240" w:lineRule="auto"/>
              <w:jc w:val="center"/>
              <w:rPr>
                <w:rFonts w:eastAsia="Times New Roman" w:cs="Times New Roman"/>
                <w:b/>
                <w:color w:val="000000"/>
                <w:sz w:val="20"/>
                <w:szCs w:val="20"/>
              </w:rPr>
            </w:pPr>
            <w:r w:rsidRPr="005D77C8">
              <w:rPr>
                <w:rFonts w:eastAsia="Times New Roman" w:cs="Times New Roman"/>
                <w:b/>
                <w:color w:val="000000"/>
                <w:sz w:val="20"/>
                <w:szCs w:val="20"/>
              </w:rPr>
              <w:t>Base Case</w:t>
            </w:r>
          </w:p>
        </w:tc>
        <w:tc>
          <w:tcPr>
            <w:tcW w:w="1197" w:type="dxa"/>
            <w:tcBorders>
              <w:bottom w:val="single" w:sz="4" w:space="0" w:color="A6A6A6" w:themeColor="background1" w:themeShade="A6"/>
            </w:tcBorders>
            <w:shd w:val="clear" w:color="auto" w:fill="F2F2F2" w:themeFill="background1" w:themeFillShade="F2"/>
            <w:vAlign w:val="bottom"/>
            <w:hideMark/>
          </w:tcPr>
          <w:p w14:paraId="1C8BCB91" w14:textId="6E489133" w:rsidR="006E1846" w:rsidRPr="005D77C8" w:rsidRDefault="006E1846" w:rsidP="00AE16F9">
            <w:pPr>
              <w:spacing w:before="0" w:after="0" w:line="240" w:lineRule="auto"/>
              <w:jc w:val="center"/>
              <w:rPr>
                <w:rFonts w:eastAsia="Times New Roman" w:cs="Times New Roman"/>
                <w:b/>
                <w:color w:val="000000"/>
                <w:sz w:val="20"/>
                <w:szCs w:val="20"/>
              </w:rPr>
            </w:pPr>
            <w:r w:rsidRPr="005D77C8">
              <w:rPr>
                <w:rFonts w:eastAsia="Times New Roman" w:cs="Times New Roman"/>
                <w:b/>
                <w:color w:val="000000"/>
                <w:sz w:val="20"/>
                <w:szCs w:val="20"/>
              </w:rPr>
              <w:t xml:space="preserve">Low-Temp Measure Case </w:t>
            </w:r>
          </w:p>
        </w:tc>
        <w:tc>
          <w:tcPr>
            <w:tcW w:w="3208" w:type="dxa"/>
            <w:tcBorders>
              <w:bottom w:val="single" w:sz="4" w:space="0" w:color="A6A6A6" w:themeColor="background1" w:themeShade="A6"/>
            </w:tcBorders>
            <w:shd w:val="clear" w:color="auto" w:fill="F2F2F2" w:themeFill="background1" w:themeFillShade="F2"/>
          </w:tcPr>
          <w:p w14:paraId="3A0D3D1D" w14:textId="77777777" w:rsidR="006E1846" w:rsidRPr="0026027C" w:rsidRDefault="006E1846" w:rsidP="00AE16F9">
            <w:pPr>
              <w:spacing w:before="0" w:after="0" w:line="240" w:lineRule="auto"/>
              <w:jc w:val="center"/>
              <w:rPr>
                <w:rFonts w:eastAsia="Times New Roman" w:cs="Times New Roman"/>
                <w:b/>
                <w:color w:val="000000"/>
                <w:sz w:val="20"/>
                <w:szCs w:val="20"/>
              </w:rPr>
            </w:pPr>
            <w:r w:rsidRPr="0026027C">
              <w:rPr>
                <w:rFonts w:eastAsia="Times New Roman" w:cs="Times New Roman"/>
                <w:b/>
                <w:color w:val="000000"/>
                <w:sz w:val="20"/>
                <w:szCs w:val="20"/>
              </w:rPr>
              <w:t>Source</w:t>
            </w:r>
          </w:p>
        </w:tc>
      </w:tr>
      <w:tr w:rsidR="00FE336F" w:rsidRPr="00883E33" w14:paraId="7D5301F3" w14:textId="77777777" w:rsidTr="00E8056E">
        <w:trPr>
          <w:cantSplit/>
          <w:trHeight w:val="300"/>
        </w:trPr>
        <w:tc>
          <w:tcPr>
            <w:tcW w:w="4320" w:type="dxa"/>
            <w:shd w:val="clear" w:color="auto" w:fill="auto"/>
            <w:vAlign w:val="center"/>
          </w:tcPr>
          <w:p w14:paraId="5831E634" w14:textId="77777777" w:rsidR="00FE336F" w:rsidRPr="00883E33" w:rsidRDefault="00FE336F" w:rsidP="00AE16F9">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Specific heat of Water (Btu/lb/°F)</w:t>
            </w:r>
          </w:p>
        </w:tc>
        <w:tc>
          <w:tcPr>
            <w:tcW w:w="1080" w:type="dxa"/>
            <w:shd w:val="clear" w:color="auto" w:fill="auto"/>
            <w:vAlign w:val="center"/>
          </w:tcPr>
          <w:p w14:paraId="0D59508E" w14:textId="77777777" w:rsidR="00FE336F" w:rsidRPr="005D77C8" w:rsidRDefault="00FE336F" w:rsidP="00AE16F9">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p>
        </w:tc>
        <w:tc>
          <w:tcPr>
            <w:tcW w:w="1197" w:type="dxa"/>
            <w:shd w:val="clear" w:color="auto" w:fill="auto"/>
            <w:vAlign w:val="center"/>
          </w:tcPr>
          <w:p w14:paraId="36740E22" w14:textId="77777777" w:rsidR="00FE336F" w:rsidRPr="005D77C8" w:rsidRDefault="00FE336F" w:rsidP="00AE16F9">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p>
        </w:tc>
        <w:tc>
          <w:tcPr>
            <w:tcW w:w="3208" w:type="dxa"/>
            <w:vAlign w:val="center"/>
          </w:tcPr>
          <w:p w14:paraId="1D4F112F" w14:textId="3DC5803B" w:rsidR="00FE336F" w:rsidRPr="00883E33" w:rsidRDefault="00022134" w:rsidP="00AE16F9">
            <w:pPr>
              <w:spacing w:before="0" w:after="0" w:line="240" w:lineRule="auto"/>
              <w:rPr>
                <w:rFonts w:eastAsia="Times New Roman" w:cs="Arial"/>
                <w:color w:val="000000"/>
                <w:sz w:val="20"/>
                <w:szCs w:val="20"/>
              </w:rPr>
            </w:pPr>
            <w:r>
              <w:rPr>
                <w:rFonts w:eastAsia="Times New Roman" w:cs="Arial"/>
                <w:color w:val="000000"/>
                <w:sz w:val="20"/>
                <w:szCs w:val="20"/>
              </w:rPr>
              <w:t>Given</w:t>
            </w:r>
          </w:p>
        </w:tc>
      </w:tr>
      <w:tr w:rsidR="00FE336F" w:rsidRPr="00883E33" w14:paraId="2FF471A9" w14:textId="77777777" w:rsidTr="00E8056E">
        <w:trPr>
          <w:cantSplit/>
          <w:trHeight w:val="300"/>
        </w:trPr>
        <w:tc>
          <w:tcPr>
            <w:tcW w:w="4320" w:type="dxa"/>
            <w:shd w:val="clear" w:color="auto" w:fill="auto"/>
            <w:vAlign w:val="center"/>
          </w:tcPr>
          <w:p w14:paraId="747ECB39" w14:textId="77777777" w:rsidR="00FE336F" w:rsidRPr="00883E33" w:rsidRDefault="00FE336F" w:rsidP="00AE16F9">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Density of Water (lb/gal)</w:t>
            </w:r>
          </w:p>
        </w:tc>
        <w:tc>
          <w:tcPr>
            <w:tcW w:w="1080" w:type="dxa"/>
            <w:shd w:val="clear" w:color="auto" w:fill="auto"/>
            <w:vAlign w:val="center"/>
          </w:tcPr>
          <w:p w14:paraId="3F4744F7" w14:textId="06F64CE0" w:rsidR="00FE336F" w:rsidRPr="005D77C8" w:rsidRDefault="00FE336F" w:rsidP="00AE16F9">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8.</w:t>
            </w:r>
            <w:r w:rsidR="00CB5624">
              <w:rPr>
                <w:rFonts w:eastAsia="Times New Roman" w:cs="Arial"/>
                <w:color w:val="000000"/>
                <w:sz w:val="20"/>
                <w:szCs w:val="20"/>
              </w:rPr>
              <w:t>34</w:t>
            </w:r>
          </w:p>
        </w:tc>
        <w:tc>
          <w:tcPr>
            <w:tcW w:w="1197" w:type="dxa"/>
            <w:shd w:val="clear" w:color="auto" w:fill="auto"/>
            <w:vAlign w:val="center"/>
          </w:tcPr>
          <w:p w14:paraId="2C2D89EE" w14:textId="090E88D8" w:rsidR="00FE336F" w:rsidRPr="005D77C8" w:rsidRDefault="00FE336F" w:rsidP="00AE16F9">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8.</w:t>
            </w:r>
            <w:r w:rsidR="00CB5624">
              <w:rPr>
                <w:rFonts w:eastAsia="Times New Roman" w:cs="Arial"/>
                <w:color w:val="000000"/>
                <w:sz w:val="20"/>
                <w:szCs w:val="20"/>
              </w:rPr>
              <w:t>34</w:t>
            </w:r>
          </w:p>
        </w:tc>
        <w:tc>
          <w:tcPr>
            <w:tcW w:w="3208" w:type="dxa"/>
            <w:vAlign w:val="center"/>
          </w:tcPr>
          <w:p w14:paraId="6A112CE6" w14:textId="65A351E7" w:rsidR="00FE336F" w:rsidRPr="00883E33" w:rsidRDefault="00022134" w:rsidP="00AE16F9">
            <w:pPr>
              <w:spacing w:before="0" w:after="0" w:line="240" w:lineRule="auto"/>
              <w:rPr>
                <w:rFonts w:eastAsia="Times New Roman" w:cs="Arial"/>
                <w:color w:val="000000"/>
                <w:sz w:val="20"/>
                <w:szCs w:val="20"/>
              </w:rPr>
            </w:pPr>
            <w:r>
              <w:rPr>
                <w:rFonts w:eastAsia="Times New Roman" w:cs="Arial"/>
                <w:color w:val="000000"/>
                <w:sz w:val="20"/>
                <w:szCs w:val="20"/>
              </w:rPr>
              <w:t>Given</w:t>
            </w:r>
          </w:p>
        </w:tc>
      </w:tr>
      <w:tr w:rsidR="00CB5624" w:rsidRPr="00883E33" w14:paraId="4C5A463A" w14:textId="77777777" w:rsidTr="00E8056E">
        <w:trPr>
          <w:cantSplit/>
          <w:trHeight w:val="300"/>
        </w:trPr>
        <w:tc>
          <w:tcPr>
            <w:tcW w:w="4320" w:type="dxa"/>
            <w:shd w:val="clear" w:color="auto" w:fill="auto"/>
            <w:vAlign w:val="center"/>
          </w:tcPr>
          <w:p w14:paraId="4FB92EC5" w14:textId="77777777" w:rsidR="00CB5624" w:rsidRPr="00883E33" w:rsidRDefault="00CB5624" w:rsidP="00CB5624">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Inlet water Temperature (°F)</w:t>
            </w:r>
            <w:r>
              <w:rPr>
                <w:rFonts w:eastAsia="Times New Roman" w:cs="Arial"/>
                <w:color w:val="000000"/>
                <w:sz w:val="20"/>
                <w:szCs w:val="20"/>
              </w:rPr>
              <w:t xml:space="preserve"> </w:t>
            </w:r>
          </w:p>
        </w:tc>
        <w:tc>
          <w:tcPr>
            <w:tcW w:w="1080" w:type="dxa"/>
            <w:shd w:val="clear" w:color="auto" w:fill="auto"/>
            <w:vAlign w:val="center"/>
          </w:tcPr>
          <w:p w14:paraId="0E441542" w14:textId="58678116" w:rsidR="00CB5624" w:rsidRPr="005D77C8" w:rsidRDefault="00CB5624" w:rsidP="00CB5624">
            <w:pPr>
              <w:spacing w:before="0" w:after="0" w:line="240" w:lineRule="auto"/>
              <w:jc w:val="right"/>
              <w:rPr>
                <w:rFonts w:eastAsia="Times New Roman" w:cs="Arial"/>
                <w:color w:val="000000"/>
                <w:sz w:val="20"/>
                <w:szCs w:val="20"/>
              </w:rPr>
            </w:pPr>
            <w:r>
              <w:rPr>
                <w:rFonts w:eastAsia="Times New Roman" w:cs="Arial"/>
                <w:sz w:val="20"/>
                <w:szCs w:val="20"/>
              </w:rPr>
              <w:t>Varies</w:t>
            </w:r>
          </w:p>
        </w:tc>
        <w:tc>
          <w:tcPr>
            <w:tcW w:w="1197" w:type="dxa"/>
            <w:shd w:val="clear" w:color="auto" w:fill="auto"/>
            <w:vAlign w:val="center"/>
          </w:tcPr>
          <w:p w14:paraId="64F048B6" w14:textId="69CFA29D" w:rsidR="00CB5624" w:rsidRPr="005D77C8" w:rsidRDefault="00CB5624" w:rsidP="00CB5624">
            <w:pPr>
              <w:spacing w:before="0" w:after="0" w:line="240" w:lineRule="auto"/>
              <w:jc w:val="right"/>
              <w:rPr>
                <w:rFonts w:eastAsia="Times New Roman" w:cs="Arial"/>
                <w:color w:val="000000"/>
                <w:sz w:val="20"/>
                <w:szCs w:val="20"/>
              </w:rPr>
            </w:pPr>
            <w:r>
              <w:rPr>
                <w:rFonts w:eastAsia="Times New Roman" w:cs="Arial"/>
                <w:sz w:val="20"/>
                <w:szCs w:val="20"/>
              </w:rPr>
              <w:t>Varies</w:t>
            </w:r>
          </w:p>
        </w:tc>
        <w:tc>
          <w:tcPr>
            <w:tcW w:w="3208" w:type="dxa"/>
            <w:vAlign w:val="center"/>
          </w:tcPr>
          <w:p w14:paraId="71224FBF" w14:textId="14399CFF" w:rsidR="00CB5624" w:rsidRPr="0026323A" w:rsidRDefault="004C68BD" w:rsidP="00CB5624">
            <w:pPr>
              <w:spacing w:before="0" w:after="0" w:line="240" w:lineRule="auto"/>
              <w:rPr>
                <w:rFonts w:eastAsia="Times New Roman" w:cs="Arial"/>
                <w:color w:val="000000"/>
                <w:sz w:val="18"/>
                <w:szCs w:val="18"/>
              </w:rPr>
            </w:pPr>
            <w:r w:rsidRPr="00A816A7">
              <w:rPr>
                <w:rStyle w:val="eTRMFootnoteTextChar"/>
                <w:rFonts w:cs="Calibri Light"/>
                <w:szCs w:val="18"/>
              </w:rPr>
              <w:t>Reeves, P. (Consultant to California Public Utilities Commission, Energy Division). 2013. "Comparison-of-Ground-Temperatures-v2_byPaulReeves.xlsx."</w:t>
            </w:r>
          </w:p>
        </w:tc>
      </w:tr>
      <w:tr w:rsidR="00F1066F" w:rsidRPr="00883E33" w14:paraId="3E9EBDD8" w14:textId="77777777" w:rsidTr="00E8056E">
        <w:trPr>
          <w:cantSplit/>
          <w:trHeight w:val="300"/>
        </w:trPr>
        <w:tc>
          <w:tcPr>
            <w:tcW w:w="4320" w:type="dxa"/>
            <w:shd w:val="clear" w:color="auto" w:fill="auto"/>
            <w:vAlign w:val="center"/>
          </w:tcPr>
          <w:p w14:paraId="3E44F204" w14:textId="77777777" w:rsidR="00F1066F" w:rsidRPr="00883E33" w:rsidRDefault="00F1066F" w:rsidP="00F1066F">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Setpoint Hot Water Temperature (°F)</w:t>
            </w:r>
          </w:p>
        </w:tc>
        <w:tc>
          <w:tcPr>
            <w:tcW w:w="1080" w:type="dxa"/>
            <w:shd w:val="clear" w:color="auto" w:fill="auto"/>
            <w:vAlign w:val="center"/>
          </w:tcPr>
          <w:p w14:paraId="76056036" w14:textId="77777777" w:rsidR="00F1066F" w:rsidRPr="005D77C8" w:rsidRDefault="00F1066F" w:rsidP="00F1066F">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 °F</w:t>
            </w:r>
          </w:p>
        </w:tc>
        <w:tc>
          <w:tcPr>
            <w:tcW w:w="1197" w:type="dxa"/>
            <w:shd w:val="clear" w:color="auto" w:fill="auto"/>
            <w:vAlign w:val="center"/>
          </w:tcPr>
          <w:p w14:paraId="4748F2E0" w14:textId="77777777" w:rsidR="00F1066F" w:rsidRPr="005D77C8" w:rsidRDefault="00F1066F" w:rsidP="00F1066F">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 °F</w:t>
            </w:r>
          </w:p>
        </w:tc>
        <w:tc>
          <w:tcPr>
            <w:tcW w:w="3208" w:type="dxa"/>
            <w:vAlign w:val="center"/>
          </w:tcPr>
          <w:p w14:paraId="549A4D92" w14:textId="4B8CFD2A" w:rsidR="00F1066F" w:rsidRPr="00ED6DB9" w:rsidRDefault="00F1066F" w:rsidP="00F1066F">
            <w:pPr>
              <w:spacing w:before="0" w:after="0" w:line="240" w:lineRule="auto"/>
              <w:rPr>
                <w:rFonts w:eastAsia="Times New Roman" w:cs="Arial"/>
                <w:color w:val="000000"/>
                <w:sz w:val="20"/>
                <w:szCs w:val="20"/>
              </w:rPr>
            </w:pPr>
            <w:r>
              <w:rPr>
                <w:sz w:val="18"/>
                <w:szCs w:val="18"/>
              </w:rPr>
              <w:t>Engineering Judgement</w:t>
            </w:r>
          </w:p>
        </w:tc>
      </w:tr>
      <w:tr w:rsidR="000D402D" w:rsidRPr="00883E33" w14:paraId="02617AC3" w14:textId="77777777" w:rsidTr="00E8056E">
        <w:trPr>
          <w:cantSplit/>
          <w:trHeight w:val="300"/>
        </w:trPr>
        <w:tc>
          <w:tcPr>
            <w:tcW w:w="4320" w:type="dxa"/>
            <w:shd w:val="clear" w:color="auto" w:fill="auto"/>
            <w:vAlign w:val="center"/>
          </w:tcPr>
          <w:p w14:paraId="73BEDE2A" w14:textId="77777777" w:rsidR="000D402D" w:rsidRPr="00883E33" w:rsidRDefault="000D402D" w:rsidP="000D402D">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Electric Water Heater Efficiency (%)</w:t>
            </w:r>
          </w:p>
        </w:tc>
        <w:tc>
          <w:tcPr>
            <w:tcW w:w="1080" w:type="dxa"/>
            <w:shd w:val="clear" w:color="auto" w:fill="auto"/>
            <w:vAlign w:val="center"/>
          </w:tcPr>
          <w:p w14:paraId="7C5DE35F" w14:textId="6DD19A7C" w:rsidR="000D402D" w:rsidRPr="000B641E" w:rsidRDefault="000D402D" w:rsidP="000D402D">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9</w:t>
            </w:r>
            <w:r w:rsidR="002F4C36">
              <w:rPr>
                <w:rFonts w:eastAsia="Times New Roman" w:cs="Arial"/>
                <w:color w:val="000000"/>
                <w:sz w:val="20"/>
                <w:szCs w:val="20"/>
              </w:rPr>
              <w:t>8</w:t>
            </w:r>
            <w:r w:rsidRPr="000B641E">
              <w:rPr>
                <w:rFonts w:eastAsia="Times New Roman" w:cs="Arial"/>
                <w:color w:val="000000"/>
                <w:sz w:val="20"/>
                <w:szCs w:val="20"/>
              </w:rPr>
              <w:t>%</w:t>
            </w:r>
          </w:p>
        </w:tc>
        <w:tc>
          <w:tcPr>
            <w:tcW w:w="1197" w:type="dxa"/>
            <w:shd w:val="clear" w:color="auto" w:fill="auto"/>
            <w:vAlign w:val="center"/>
          </w:tcPr>
          <w:p w14:paraId="38E8A5EE" w14:textId="024DC6E2" w:rsidR="000D402D" w:rsidRPr="000B641E" w:rsidRDefault="000D402D" w:rsidP="000D402D">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9</w:t>
            </w:r>
            <w:r w:rsidR="002F4C36">
              <w:rPr>
                <w:rFonts w:eastAsia="Times New Roman" w:cs="Arial"/>
                <w:color w:val="000000"/>
                <w:sz w:val="20"/>
                <w:szCs w:val="20"/>
              </w:rPr>
              <w:t>8</w:t>
            </w:r>
            <w:r w:rsidRPr="000B641E">
              <w:rPr>
                <w:rFonts w:eastAsia="Times New Roman" w:cs="Arial"/>
                <w:color w:val="000000"/>
                <w:sz w:val="20"/>
                <w:szCs w:val="20"/>
              </w:rPr>
              <w:t>%</w:t>
            </w:r>
          </w:p>
        </w:tc>
        <w:tc>
          <w:tcPr>
            <w:tcW w:w="3208" w:type="dxa"/>
            <w:vAlign w:val="center"/>
          </w:tcPr>
          <w:p w14:paraId="5C128D0B" w14:textId="77777777" w:rsidR="000D402D" w:rsidRPr="001B02B2" w:rsidRDefault="000D402D" w:rsidP="000D402D">
            <w:pPr>
              <w:pStyle w:val="FootnoteText"/>
              <w:rPr>
                <w:rStyle w:val="eTRMFootnoteTextChar"/>
                <w:szCs w:val="18"/>
              </w:rPr>
            </w:pPr>
            <w:r w:rsidRPr="001B02B2">
              <w:rPr>
                <w:rStyle w:val="eTRMFootnoteTextChar"/>
                <w:szCs w:val="18"/>
              </w:rPr>
              <w:t>California Public Utilities Commission (CPUC), Energy Division. 2013. “Workpaper Disposition for Water Fixtures.” February 22.</w:t>
            </w:r>
          </w:p>
          <w:p w14:paraId="3727868C" w14:textId="6507D894" w:rsidR="000D402D" w:rsidRPr="001B02B2" w:rsidRDefault="000D402D" w:rsidP="000D402D">
            <w:pPr>
              <w:spacing w:before="0" w:after="0" w:line="240" w:lineRule="auto"/>
              <w:rPr>
                <w:rFonts w:eastAsia="Times New Roman" w:cs="Arial"/>
                <w:color w:val="000000"/>
                <w:sz w:val="20"/>
                <w:szCs w:val="20"/>
              </w:rPr>
            </w:pPr>
            <w:r w:rsidRPr="001B02B2">
              <w:rPr>
                <w:rStyle w:val="eTRMFootnoteTextChar"/>
                <w:szCs w:val="18"/>
              </w:rPr>
              <w:t>California Public Utilities Commission (CPUC), Energy Division. "DEER-WaterHeater-Calculator-v</w:t>
            </w:r>
            <w:r w:rsidR="00D00139">
              <w:rPr>
                <w:rStyle w:val="eTRMFootnoteTextChar"/>
                <w:szCs w:val="18"/>
              </w:rPr>
              <w:t>4.2</w:t>
            </w:r>
            <w:r w:rsidRPr="001B02B2">
              <w:rPr>
                <w:rStyle w:val="eTRMFootnoteTextChar"/>
                <w:szCs w:val="18"/>
              </w:rPr>
              <w:t>.xlsm."</w:t>
            </w:r>
          </w:p>
        </w:tc>
      </w:tr>
      <w:tr w:rsidR="000D402D" w:rsidRPr="0026027C" w14:paraId="3D8353FF" w14:textId="77777777" w:rsidTr="00E8056E">
        <w:trPr>
          <w:cantSplit/>
          <w:trHeight w:val="300"/>
        </w:trPr>
        <w:tc>
          <w:tcPr>
            <w:tcW w:w="4320" w:type="dxa"/>
            <w:shd w:val="clear" w:color="auto" w:fill="auto"/>
            <w:vAlign w:val="center"/>
            <w:hideMark/>
          </w:tcPr>
          <w:p w14:paraId="2A75D99B" w14:textId="77777777"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Number of Racks per day (racks/day)</w:t>
            </w:r>
          </w:p>
        </w:tc>
        <w:tc>
          <w:tcPr>
            <w:tcW w:w="1080" w:type="dxa"/>
            <w:shd w:val="clear" w:color="auto" w:fill="auto"/>
            <w:vAlign w:val="center"/>
          </w:tcPr>
          <w:p w14:paraId="0629CF87" w14:textId="40948262" w:rsidR="000D402D" w:rsidRPr="000B641E" w:rsidRDefault="000D402D" w:rsidP="000D402D">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140.5</w:t>
            </w:r>
          </w:p>
        </w:tc>
        <w:tc>
          <w:tcPr>
            <w:tcW w:w="1197" w:type="dxa"/>
            <w:shd w:val="clear" w:color="auto" w:fill="auto"/>
            <w:vAlign w:val="center"/>
          </w:tcPr>
          <w:p w14:paraId="0D0B14B6" w14:textId="1C5ACADC" w:rsidR="000D402D" w:rsidRPr="000B641E" w:rsidRDefault="000D402D" w:rsidP="000D402D">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140.5</w:t>
            </w:r>
          </w:p>
        </w:tc>
        <w:tc>
          <w:tcPr>
            <w:tcW w:w="3208" w:type="dxa"/>
            <w:vAlign w:val="center"/>
          </w:tcPr>
          <w:p w14:paraId="7D263319" w14:textId="5C5AA577" w:rsidR="000D402D" w:rsidRPr="00F06AE6" w:rsidRDefault="00D00139" w:rsidP="000D402D">
            <w:pPr>
              <w:spacing w:before="0" w:after="0" w:line="240" w:lineRule="auto"/>
              <w:rPr>
                <w:rFonts w:eastAsia="Times New Roman" w:cs="Arial"/>
                <w:color w:val="000000"/>
                <w:sz w:val="20"/>
                <w:szCs w:val="20"/>
              </w:rPr>
            </w:pPr>
            <w:r w:rsidRPr="00D00139">
              <w:rPr>
                <w:sz w:val="18"/>
                <w:szCs w:val="18"/>
              </w:rPr>
              <w:t>SoCalGas (SCG). 2021. "Dishmachine Calcs 03152021.xls."</w:t>
            </w:r>
            <w:r>
              <w:rPr>
                <w:sz w:val="18"/>
                <w:szCs w:val="18"/>
              </w:rPr>
              <w:t xml:space="preserve"> </w:t>
            </w:r>
            <w:r w:rsidR="000D402D" w:rsidRPr="00F06AE6">
              <w:rPr>
                <w:sz w:val="18"/>
                <w:szCs w:val="18"/>
              </w:rPr>
              <w:t>See “Monitored Data + GPR” tab.</w:t>
            </w:r>
          </w:p>
        </w:tc>
      </w:tr>
      <w:tr w:rsidR="000D402D" w:rsidRPr="0026027C" w14:paraId="0115FCB4" w14:textId="77777777" w:rsidTr="00E8056E">
        <w:trPr>
          <w:cantSplit/>
          <w:trHeight w:val="300"/>
        </w:trPr>
        <w:tc>
          <w:tcPr>
            <w:tcW w:w="4320" w:type="dxa"/>
            <w:shd w:val="clear" w:color="auto" w:fill="auto"/>
            <w:vAlign w:val="center"/>
            <w:hideMark/>
          </w:tcPr>
          <w:p w14:paraId="19E7B7DC" w14:textId="71F3E0F1"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Water Consumption (</w:t>
            </w:r>
            <w:r>
              <w:rPr>
                <w:rFonts w:eastAsia="Times New Roman" w:cs="Arial"/>
                <w:color w:val="000000"/>
                <w:sz w:val="20"/>
                <w:szCs w:val="20"/>
              </w:rPr>
              <w:t>gal/rack</w:t>
            </w:r>
            <w:r w:rsidRPr="0026027C">
              <w:rPr>
                <w:rFonts w:eastAsia="Times New Roman" w:cs="Arial"/>
                <w:color w:val="000000"/>
                <w:sz w:val="20"/>
                <w:szCs w:val="20"/>
              </w:rPr>
              <w:t>)</w:t>
            </w:r>
          </w:p>
        </w:tc>
        <w:tc>
          <w:tcPr>
            <w:tcW w:w="1080" w:type="dxa"/>
            <w:shd w:val="clear" w:color="auto" w:fill="auto"/>
            <w:vAlign w:val="center"/>
            <w:hideMark/>
          </w:tcPr>
          <w:p w14:paraId="6985445E" w14:textId="153B1187" w:rsidR="000D402D" w:rsidRPr="000B641E" w:rsidRDefault="000D402D" w:rsidP="000D402D">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1.50</w:t>
            </w:r>
          </w:p>
        </w:tc>
        <w:tc>
          <w:tcPr>
            <w:tcW w:w="1197" w:type="dxa"/>
            <w:shd w:val="clear" w:color="auto" w:fill="auto"/>
            <w:vAlign w:val="center"/>
            <w:hideMark/>
          </w:tcPr>
          <w:p w14:paraId="389CB4FF" w14:textId="39D7662A" w:rsidR="000D402D" w:rsidRPr="000B641E" w:rsidRDefault="000D402D" w:rsidP="000D402D">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0.88</w:t>
            </w:r>
          </w:p>
        </w:tc>
        <w:tc>
          <w:tcPr>
            <w:tcW w:w="3208" w:type="dxa"/>
            <w:vAlign w:val="center"/>
          </w:tcPr>
          <w:p w14:paraId="6ED87539" w14:textId="4F898221" w:rsidR="000D402D" w:rsidRPr="0026027C" w:rsidRDefault="009744FF" w:rsidP="000D402D">
            <w:pPr>
              <w:spacing w:before="0" w:after="0" w:line="240" w:lineRule="auto"/>
              <w:rPr>
                <w:rFonts w:eastAsia="Times New Roman" w:cs="Arial"/>
                <w:color w:val="000000"/>
                <w:sz w:val="20"/>
                <w:szCs w:val="20"/>
              </w:rPr>
            </w:pPr>
            <w:r w:rsidRPr="00E42B54">
              <w:rPr>
                <w:sz w:val="18"/>
                <w:szCs w:val="20"/>
              </w:rPr>
              <w:t>ENERGY STAR. 20</w:t>
            </w:r>
            <w:r>
              <w:rPr>
                <w:sz w:val="18"/>
                <w:szCs w:val="20"/>
              </w:rPr>
              <w:t>20</w:t>
            </w:r>
            <w:r w:rsidRPr="00E42B54">
              <w:rPr>
                <w:sz w:val="18"/>
                <w:szCs w:val="20"/>
              </w:rPr>
              <w:t>. “ENERGY STAR Program Requirements for Commercial Dishwashers. Eligibility Criteria (</w:t>
            </w:r>
            <w:r>
              <w:rPr>
                <w:sz w:val="18"/>
                <w:szCs w:val="20"/>
              </w:rPr>
              <w:t>October</w:t>
            </w:r>
            <w:r w:rsidRPr="00E42B54">
              <w:rPr>
                <w:sz w:val="18"/>
                <w:szCs w:val="20"/>
              </w:rPr>
              <w:t xml:space="preserve"> 20</w:t>
            </w:r>
            <w:r>
              <w:rPr>
                <w:sz w:val="18"/>
                <w:szCs w:val="20"/>
              </w:rPr>
              <w:t>20</w:t>
            </w:r>
            <w:r w:rsidRPr="00E42B54">
              <w:rPr>
                <w:sz w:val="18"/>
                <w:szCs w:val="20"/>
              </w:rPr>
              <w:t xml:space="preserve">) Version </w:t>
            </w:r>
            <w:r>
              <w:rPr>
                <w:sz w:val="18"/>
                <w:szCs w:val="20"/>
              </w:rPr>
              <w:t>3</w:t>
            </w:r>
            <w:r w:rsidRPr="00E42B54">
              <w:rPr>
                <w:sz w:val="18"/>
                <w:szCs w:val="20"/>
              </w:rPr>
              <w:t xml:space="preserve">.0.” Effective </w:t>
            </w:r>
            <w:r w:rsidRPr="000334AB">
              <w:rPr>
                <w:sz w:val="18"/>
                <w:szCs w:val="20"/>
              </w:rPr>
              <w:t>July 27, 2021.</w:t>
            </w:r>
          </w:p>
        </w:tc>
      </w:tr>
      <w:tr w:rsidR="00D85E6B" w:rsidRPr="0026027C" w14:paraId="435A5689" w14:textId="77777777" w:rsidTr="00E8056E">
        <w:trPr>
          <w:cantSplit/>
          <w:trHeight w:val="345"/>
        </w:trPr>
        <w:tc>
          <w:tcPr>
            <w:tcW w:w="4320" w:type="dxa"/>
            <w:shd w:val="clear" w:color="auto" w:fill="auto"/>
            <w:vAlign w:val="center"/>
            <w:hideMark/>
          </w:tcPr>
          <w:p w14:paraId="08D88C1D" w14:textId="77777777" w:rsidR="00D85E6B" w:rsidRPr="0026027C" w:rsidRDefault="00D85E6B" w:rsidP="00D85E6B">
            <w:pPr>
              <w:spacing w:before="0" w:after="0" w:line="240" w:lineRule="auto"/>
              <w:rPr>
                <w:rFonts w:eastAsia="Times New Roman" w:cs="Arial"/>
                <w:color w:val="000000"/>
                <w:sz w:val="20"/>
                <w:szCs w:val="20"/>
              </w:rPr>
            </w:pPr>
            <w:r w:rsidRPr="0026027C">
              <w:rPr>
                <w:rFonts w:eastAsia="Times New Roman" w:cs="Arial"/>
                <w:color w:val="000000"/>
                <w:sz w:val="20"/>
                <w:szCs w:val="20"/>
              </w:rPr>
              <w:lastRenderedPageBreak/>
              <w:t>Wash time per rack (min/rack)</w:t>
            </w:r>
          </w:p>
        </w:tc>
        <w:tc>
          <w:tcPr>
            <w:tcW w:w="1080" w:type="dxa"/>
            <w:shd w:val="clear" w:color="auto" w:fill="auto"/>
            <w:vAlign w:val="center"/>
            <w:hideMark/>
          </w:tcPr>
          <w:p w14:paraId="7683E636" w14:textId="77777777" w:rsidR="00D85E6B" w:rsidRPr="000B641E" w:rsidRDefault="00D85E6B" w:rsidP="00D85E6B">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1</w:t>
            </w:r>
          </w:p>
        </w:tc>
        <w:tc>
          <w:tcPr>
            <w:tcW w:w="1197" w:type="dxa"/>
            <w:shd w:val="clear" w:color="auto" w:fill="auto"/>
            <w:vAlign w:val="center"/>
            <w:hideMark/>
          </w:tcPr>
          <w:p w14:paraId="3D238FDE" w14:textId="77777777" w:rsidR="00D85E6B" w:rsidRPr="000B641E" w:rsidRDefault="00D85E6B" w:rsidP="00D85E6B">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1</w:t>
            </w:r>
          </w:p>
        </w:tc>
        <w:tc>
          <w:tcPr>
            <w:tcW w:w="3208" w:type="dxa"/>
            <w:vAlign w:val="center"/>
          </w:tcPr>
          <w:p w14:paraId="18530102" w14:textId="20F3F8C9" w:rsidR="00D85E6B" w:rsidRPr="00ED6DB9" w:rsidRDefault="00D85E6B" w:rsidP="00D85E6B">
            <w:pPr>
              <w:spacing w:before="0" w:after="0" w:line="240" w:lineRule="auto"/>
              <w:rPr>
                <w:rFonts w:eastAsia="Times New Roman" w:cs="Arial"/>
                <w:color w:val="000000"/>
                <w:sz w:val="20"/>
                <w:szCs w:val="20"/>
              </w:rPr>
            </w:pPr>
            <w:r>
              <w:rPr>
                <w:sz w:val="18"/>
                <w:szCs w:val="18"/>
              </w:rPr>
              <w:t>Engineering Judgement</w:t>
            </w:r>
          </w:p>
        </w:tc>
      </w:tr>
      <w:tr w:rsidR="000D402D" w:rsidRPr="0026027C" w14:paraId="76412B78" w14:textId="77777777" w:rsidTr="00E8056E">
        <w:trPr>
          <w:cantSplit/>
          <w:trHeight w:val="405"/>
        </w:trPr>
        <w:tc>
          <w:tcPr>
            <w:tcW w:w="4320" w:type="dxa"/>
            <w:shd w:val="clear" w:color="auto" w:fill="auto"/>
            <w:vAlign w:val="center"/>
            <w:hideMark/>
          </w:tcPr>
          <w:p w14:paraId="7BB69112" w14:textId="08AE4109"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Idle Energy Rate (kW)</w:t>
            </w:r>
            <w:r>
              <w:rPr>
                <w:rFonts w:eastAsia="Times New Roman" w:cs="Arial"/>
                <w:color w:val="000000"/>
                <w:sz w:val="20"/>
                <w:szCs w:val="20"/>
              </w:rPr>
              <w:t xml:space="preserve"> </w:t>
            </w:r>
          </w:p>
        </w:tc>
        <w:tc>
          <w:tcPr>
            <w:tcW w:w="1080" w:type="dxa"/>
            <w:shd w:val="clear" w:color="auto" w:fill="auto"/>
            <w:vAlign w:val="center"/>
            <w:hideMark/>
          </w:tcPr>
          <w:p w14:paraId="25E84E6F" w14:textId="1D7C926D" w:rsidR="000D402D" w:rsidRPr="000B641E" w:rsidRDefault="000D402D" w:rsidP="000D402D">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0</w:t>
            </w:r>
          </w:p>
        </w:tc>
        <w:tc>
          <w:tcPr>
            <w:tcW w:w="1197" w:type="dxa"/>
            <w:shd w:val="clear" w:color="auto" w:fill="auto"/>
            <w:vAlign w:val="center"/>
            <w:hideMark/>
          </w:tcPr>
          <w:p w14:paraId="5C15CB91" w14:textId="503E36CB" w:rsidR="000D402D" w:rsidRPr="000B641E" w:rsidRDefault="000D402D" w:rsidP="000D402D">
            <w:pPr>
              <w:spacing w:before="0" w:after="0" w:line="240" w:lineRule="auto"/>
              <w:jc w:val="right"/>
              <w:rPr>
                <w:rFonts w:eastAsia="Times New Roman" w:cs="Arial"/>
                <w:color w:val="000000"/>
                <w:sz w:val="20"/>
                <w:szCs w:val="20"/>
              </w:rPr>
            </w:pPr>
            <w:r w:rsidRPr="000B641E">
              <w:rPr>
                <w:rFonts w:eastAsia="Times New Roman" w:cs="Arial"/>
                <w:color w:val="000000"/>
                <w:sz w:val="20"/>
                <w:szCs w:val="20"/>
              </w:rPr>
              <w:t>0</w:t>
            </w:r>
          </w:p>
        </w:tc>
        <w:tc>
          <w:tcPr>
            <w:tcW w:w="3208" w:type="dxa"/>
            <w:vAlign w:val="center"/>
          </w:tcPr>
          <w:p w14:paraId="4B2F724F" w14:textId="1CA561DA" w:rsidR="000D402D" w:rsidRPr="00ED6DB9" w:rsidRDefault="000D402D" w:rsidP="000D402D">
            <w:pPr>
              <w:spacing w:before="0" w:after="0" w:line="240" w:lineRule="auto"/>
              <w:rPr>
                <w:rFonts w:eastAsia="Times New Roman" w:cs="Arial"/>
                <w:color w:val="000000"/>
                <w:sz w:val="20"/>
                <w:szCs w:val="20"/>
              </w:rPr>
            </w:pPr>
            <w:r w:rsidRPr="00ED6DB9">
              <w:rPr>
                <w:sz w:val="18"/>
                <w:szCs w:val="20"/>
              </w:rPr>
              <w:t>ENERGY STAR. 20</w:t>
            </w:r>
            <w:r w:rsidR="00D00139">
              <w:rPr>
                <w:sz w:val="18"/>
                <w:szCs w:val="20"/>
              </w:rPr>
              <w:t>20</w:t>
            </w:r>
            <w:r w:rsidRPr="00ED6DB9">
              <w:rPr>
                <w:sz w:val="18"/>
                <w:szCs w:val="20"/>
              </w:rPr>
              <w:t xml:space="preserve">. “ENERGY STAR Program Requirements for Commercial Dishwashers. Eligibility Criteria (Rev. July 2012) Version </w:t>
            </w:r>
            <w:r w:rsidR="00D00139">
              <w:rPr>
                <w:sz w:val="18"/>
                <w:szCs w:val="20"/>
              </w:rPr>
              <w:t>3</w:t>
            </w:r>
            <w:r w:rsidRPr="00ED6DB9">
              <w:rPr>
                <w:sz w:val="18"/>
                <w:szCs w:val="20"/>
              </w:rPr>
              <w:t xml:space="preserve">.0.” Effective </w:t>
            </w:r>
            <w:r w:rsidR="00D00139">
              <w:rPr>
                <w:sz w:val="18"/>
                <w:szCs w:val="20"/>
              </w:rPr>
              <w:t>July 27</w:t>
            </w:r>
            <w:r w:rsidRPr="00ED6DB9">
              <w:rPr>
                <w:sz w:val="18"/>
                <w:szCs w:val="20"/>
              </w:rPr>
              <w:t>, 20</w:t>
            </w:r>
            <w:r w:rsidR="00D00139">
              <w:rPr>
                <w:sz w:val="18"/>
                <w:szCs w:val="20"/>
              </w:rPr>
              <w:t>21</w:t>
            </w:r>
            <w:r w:rsidRPr="00ED6DB9">
              <w:rPr>
                <w:sz w:val="18"/>
                <w:szCs w:val="20"/>
              </w:rPr>
              <w:t>.</w:t>
            </w:r>
          </w:p>
        </w:tc>
      </w:tr>
      <w:tr w:rsidR="000D402D" w:rsidRPr="0026027C" w14:paraId="474E9959" w14:textId="77777777" w:rsidTr="00E8056E">
        <w:trPr>
          <w:cantSplit/>
          <w:trHeight w:val="300"/>
        </w:trPr>
        <w:tc>
          <w:tcPr>
            <w:tcW w:w="4320" w:type="dxa"/>
            <w:shd w:val="clear" w:color="auto" w:fill="auto"/>
            <w:vAlign w:val="center"/>
            <w:hideMark/>
          </w:tcPr>
          <w:p w14:paraId="3D2D9494" w14:textId="449E267B"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Operating Days</w:t>
            </w:r>
            <w:r>
              <w:rPr>
                <w:rFonts w:eastAsia="Times New Roman" w:cs="Arial"/>
                <w:color w:val="000000"/>
                <w:sz w:val="20"/>
                <w:szCs w:val="20"/>
              </w:rPr>
              <w:t xml:space="preserve"> per </w:t>
            </w:r>
            <w:r w:rsidRPr="0026027C">
              <w:rPr>
                <w:rFonts w:eastAsia="Times New Roman" w:cs="Arial"/>
                <w:color w:val="000000"/>
                <w:sz w:val="20"/>
                <w:szCs w:val="20"/>
              </w:rPr>
              <w:t>Year</w:t>
            </w:r>
          </w:p>
        </w:tc>
        <w:tc>
          <w:tcPr>
            <w:tcW w:w="1080" w:type="dxa"/>
            <w:shd w:val="clear" w:color="auto" w:fill="auto"/>
            <w:vAlign w:val="center"/>
            <w:hideMark/>
          </w:tcPr>
          <w:p w14:paraId="18A9C085" w14:textId="7777777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365</w:t>
            </w:r>
          </w:p>
        </w:tc>
        <w:tc>
          <w:tcPr>
            <w:tcW w:w="1197" w:type="dxa"/>
            <w:shd w:val="clear" w:color="auto" w:fill="auto"/>
            <w:vAlign w:val="center"/>
            <w:hideMark/>
          </w:tcPr>
          <w:p w14:paraId="434B5E1F" w14:textId="7777777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365</w:t>
            </w:r>
          </w:p>
        </w:tc>
        <w:tc>
          <w:tcPr>
            <w:tcW w:w="3208" w:type="dxa"/>
            <w:vMerge w:val="restart"/>
            <w:vAlign w:val="center"/>
          </w:tcPr>
          <w:p w14:paraId="07C262A2" w14:textId="74884B02" w:rsidR="000D402D" w:rsidRPr="00ED6DB9" w:rsidRDefault="00D031B0" w:rsidP="000D402D">
            <w:pPr>
              <w:spacing w:before="0" w:after="0" w:line="240" w:lineRule="auto"/>
              <w:rPr>
                <w:rFonts w:eastAsia="Times New Roman" w:cs="Arial"/>
                <w:color w:val="000000"/>
                <w:sz w:val="20"/>
                <w:szCs w:val="20"/>
              </w:rPr>
            </w:pPr>
            <w:r w:rsidRPr="001146D0">
              <w:rPr>
                <w:rStyle w:val="eTRMFootnoteTextChar"/>
              </w:rPr>
              <w:t xml:space="preserve">Spoor, C., D. Zabrowski, and L. Mills. (Fisher-Nickel, Inc.) 2014. </w:t>
            </w:r>
            <w:r w:rsidRPr="001146D0">
              <w:rPr>
                <w:rStyle w:val="eTRMFootnoteTextChar"/>
                <w:i/>
              </w:rPr>
              <w:t xml:space="preserve">Characterizing the Energy Efficiency Potential of Gas-Fired Commercial Food Service Equipment. </w:t>
            </w:r>
            <w:r w:rsidRPr="001146D0">
              <w:rPr>
                <w:rStyle w:val="eTRMFootnoteTextChar"/>
              </w:rPr>
              <w:t>Prepared for the California Energy Commission. CEC-500-2014-095. </w:t>
            </w:r>
          </w:p>
        </w:tc>
      </w:tr>
      <w:tr w:rsidR="000D402D" w:rsidRPr="0026027C" w14:paraId="2DE48501" w14:textId="77777777" w:rsidTr="00E8056E">
        <w:trPr>
          <w:cantSplit/>
          <w:trHeight w:val="465"/>
        </w:trPr>
        <w:tc>
          <w:tcPr>
            <w:tcW w:w="4320" w:type="dxa"/>
            <w:shd w:val="clear" w:color="auto" w:fill="auto"/>
            <w:vAlign w:val="center"/>
            <w:hideMark/>
          </w:tcPr>
          <w:p w14:paraId="2D5DC386" w14:textId="2E77ACEE"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Operating Hours</w:t>
            </w:r>
            <w:r>
              <w:rPr>
                <w:rFonts w:eastAsia="Times New Roman" w:cs="Arial"/>
                <w:color w:val="000000"/>
                <w:sz w:val="20"/>
                <w:szCs w:val="20"/>
              </w:rPr>
              <w:t xml:space="preserve"> per </w:t>
            </w:r>
            <w:r w:rsidRPr="0026027C">
              <w:rPr>
                <w:rFonts w:eastAsia="Times New Roman" w:cs="Arial"/>
                <w:color w:val="000000"/>
                <w:sz w:val="20"/>
                <w:szCs w:val="20"/>
              </w:rPr>
              <w:t>Day</w:t>
            </w:r>
          </w:p>
        </w:tc>
        <w:tc>
          <w:tcPr>
            <w:tcW w:w="1080" w:type="dxa"/>
            <w:shd w:val="clear" w:color="auto" w:fill="auto"/>
            <w:vAlign w:val="center"/>
            <w:hideMark/>
          </w:tcPr>
          <w:p w14:paraId="0122BD81" w14:textId="7777777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12</w:t>
            </w:r>
          </w:p>
        </w:tc>
        <w:tc>
          <w:tcPr>
            <w:tcW w:w="1197" w:type="dxa"/>
            <w:shd w:val="clear" w:color="auto" w:fill="auto"/>
            <w:vAlign w:val="center"/>
            <w:hideMark/>
          </w:tcPr>
          <w:p w14:paraId="2CCCBED4" w14:textId="7777777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12</w:t>
            </w:r>
          </w:p>
        </w:tc>
        <w:tc>
          <w:tcPr>
            <w:tcW w:w="3208" w:type="dxa"/>
            <w:vMerge/>
          </w:tcPr>
          <w:p w14:paraId="45C19100" w14:textId="77777777" w:rsidR="000D402D" w:rsidRPr="00ED6DB9" w:rsidRDefault="000D402D" w:rsidP="000D402D">
            <w:pPr>
              <w:spacing w:before="0" w:after="0" w:line="240" w:lineRule="auto"/>
              <w:rPr>
                <w:rFonts w:eastAsia="Times New Roman" w:cs="Arial"/>
                <w:color w:val="000000"/>
                <w:sz w:val="20"/>
                <w:szCs w:val="20"/>
              </w:rPr>
            </w:pPr>
          </w:p>
        </w:tc>
      </w:tr>
      <w:tr w:rsidR="004F781F" w:rsidRPr="0026027C" w14:paraId="7F9BB285" w14:textId="77777777" w:rsidTr="00E8056E">
        <w:trPr>
          <w:cantSplit/>
          <w:trHeight w:val="300"/>
        </w:trPr>
        <w:tc>
          <w:tcPr>
            <w:tcW w:w="4320" w:type="dxa"/>
            <w:shd w:val="clear" w:color="auto" w:fill="auto"/>
            <w:vAlign w:val="center"/>
            <w:hideMark/>
          </w:tcPr>
          <w:p w14:paraId="32CF4AFC" w14:textId="77777777" w:rsidR="004F781F" w:rsidRPr="0026027C" w:rsidRDefault="004F781F" w:rsidP="004F781F">
            <w:pPr>
              <w:spacing w:before="0" w:after="0" w:line="240" w:lineRule="auto"/>
              <w:rPr>
                <w:rFonts w:eastAsia="Times New Roman" w:cs="Arial"/>
                <w:color w:val="000000"/>
                <w:sz w:val="20"/>
                <w:szCs w:val="20"/>
              </w:rPr>
            </w:pPr>
            <w:r w:rsidRPr="0026027C">
              <w:rPr>
                <w:rFonts w:eastAsia="Times New Roman" w:cs="Arial"/>
                <w:color w:val="000000"/>
                <w:sz w:val="20"/>
                <w:szCs w:val="20"/>
              </w:rPr>
              <w:t>Market Penetration of Electric Water Heaters (%)</w:t>
            </w:r>
          </w:p>
        </w:tc>
        <w:tc>
          <w:tcPr>
            <w:tcW w:w="1080" w:type="dxa"/>
            <w:shd w:val="clear" w:color="auto" w:fill="auto"/>
            <w:vAlign w:val="center"/>
            <w:hideMark/>
          </w:tcPr>
          <w:p w14:paraId="557C744C" w14:textId="77777777" w:rsidR="004F781F" w:rsidRPr="005D77C8" w:rsidRDefault="004F781F" w:rsidP="004F781F">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3%</w:t>
            </w:r>
          </w:p>
        </w:tc>
        <w:tc>
          <w:tcPr>
            <w:tcW w:w="1197" w:type="dxa"/>
            <w:shd w:val="clear" w:color="auto" w:fill="auto"/>
            <w:vAlign w:val="center"/>
            <w:hideMark/>
          </w:tcPr>
          <w:p w14:paraId="22865DC7" w14:textId="77777777" w:rsidR="004F781F" w:rsidRPr="005D77C8" w:rsidRDefault="004F781F" w:rsidP="004F781F">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3%</w:t>
            </w:r>
          </w:p>
        </w:tc>
        <w:tc>
          <w:tcPr>
            <w:tcW w:w="3208" w:type="dxa"/>
            <w:vAlign w:val="center"/>
          </w:tcPr>
          <w:p w14:paraId="17C870CA" w14:textId="32C19B1F" w:rsidR="004F781F" w:rsidRPr="00ED6DB9" w:rsidRDefault="004F781F" w:rsidP="004F781F">
            <w:pPr>
              <w:spacing w:before="0" w:after="0" w:line="240" w:lineRule="auto"/>
              <w:rPr>
                <w:rFonts w:eastAsia="Times New Roman" w:cs="Arial"/>
                <w:color w:val="000000"/>
                <w:sz w:val="20"/>
                <w:szCs w:val="20"/>
              </w:rPr>
            </w:pPr>
            <w:r w:rsidRPr="005859DB">
              <w:rPr>
                <w:rFonts w:cs="Calibri Light"/>
                <w:sz w:val="18"/>
                <w:szCs w:val="18"/>
              </w:rPr>
              <w:t>See Market Penetration of</w:t>
            </w:r>
            <w:r>
              <w:rPr>
                <w:rFonts w:cs="Calibri Light"/>
                <w:sz w:val="18"/>
                <w:szCs w:val="18"/>
              </w:rPr>
              <w:t xml:space="preserve"> Primary Water</w:t>
            </w:r>
            <w:r w:rsidRPr="005859DB">
              <w:rPr>
                <w:rFonts w:cs="Calibri Light"/>
                <w:sz w:val="18"/>
                <w:szCs w:val="18"/>
              </w:rPr>
              <w:t xml:space="preserve"> Heating Fuel Types</w:t>
            </w:r>
          </w:p>
        </w:tc>
      </w:tr>
      <w:tr w:rsidR="004F781F" w:rsidRPr="0026027C" w14:paraId="70D4DFCF" w14:textId="77777777" w:rsidTr="00E8056E">
        <w:trPr>
          <w:cantSplit/>
          <w:trHeight w:val="300"/>
        </w:trPr>
        <w:tc>
          <w:tcPr>
            <w:tcW w:w="4320" w:type="dxa"/>
            <w:shd w:val="clear" w:color="auto" w:fill="auto"/>
            <w:vAlign w:val="center"/>
            <w:hideMark/>
          </w:tcPr>
          <w:p w14:paraId="131CA0EA" w14:textId="77777777" w:rsidR="004F781F" w:rsidRPr="0026027C" w:rsidRDefault="004F781F" w:rsidP="004F781F">
            <w:pPr>
              <w:spacing w:before="0" w:after="0" w:line="240" w:lineRule="auto"/>
              <w:rPr>
                <w:rFonts w:eastAsia="Times New Roman" w:cs="Arial"/>
                <w:color w:val="000000"/>
                <w:sz w:val="20"/>
                <w:szCs w:val="20"/>
              </w:rPr>
            </w:pPr>
            <w:r w:rsidRPr="0026027C">
              <w:rPr>
                <w:rFonts w:eastAsia="Times New Roman" w:cs="Arial"/>
                <w:color w:val="000000"/>
                <w:sz w:val="20"/>
                <w:szCs w:val="20"/>
              </w:rPr>
              <w:t>Market Penetration of Electric Booster Heaters (%)</w:t>
            </w:r>
          </w:p>
        </w:tc>
        <w:tc>
          <w:tcPr>
            <w:tcW w:w="1080" w:type="dxa"/>
            <w:shd w:val="clear" w:color="auto" w:fill="auto"/>
            <w:vAlign w:val="center"/>
          </w:tcPr>
          <w:p w14:paraId="4C55E994" w14:textId="34F8DF7F" w:rsidR="004F781F" w:rsidRPr="005D77C8" w:rsidRDefault="004F781F" w:rsidP="004F781F">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n/a</w:t>
            </w:r>
          </w:p>
        </w:tc>
        <w:tc>
          <w:tcPr>
            <w:tcW w:w="1197" w:type="dxa"/>
            <w:shd w:val="clear" w:color="auto" w:fill="auto"/>
            <w:vAlign w:val="center"/>
          </w:tcPr>
          <w:p w14:paraId="16EEB1ED" w14:textId="4AA2E9FF" w:rsidR="004F781F" w:rsidRPr="005D77C8" w:rsidRDefault="004F781F" w:rsidP="004F781F">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n/a</w:t>
            </w:r>
          </w:p>
        </w:tc>
        <w:tc>
          <w:tcPr>
            <w:tcW w:w="3208" w:type="dxa"/>
            <w:vAlign w:val="center"/>
          </w:tcPr>
          <w:p w14:paraId="5E2C9ECC" w14:textId="42C0189C" w:rsidR="004F781F" w:rsidRPr="00ED6DB9" w:rsidRDefault="004F781F" w:rsidP="004F781F">
            <w:pPr>
              <w:spacing w:before="0" w:after="0" w:line="240" w:lineRule="auto"/>
              <w:rPr>
                <w:rFonts w:eastAsia="Times New Roman" w:cs="Arial"/>
                <w:color w:val="000000"/>
                <w:sz w:val="20"/>
                <w:szCs w:val="20"/>
              </w:rPr>
            </w:pPr>
            <w:r>
              <w:rPr>
                <w:rFonts w:cs="Calibri Light"/>
                <w:sz w:val="18"/>
                <w:szCs w:val="18"/>
              </w:rPr>
              <w:t>-</w:t>
            </w:r>
          </w:p>
        </w:tc>
      </w:tr>
    </w:tbl>
    <w:p w14:paraId="76190409" w14:textId="77777777" w:rsidR="00C278A9" w:rsidRDefault="00C278A9" w:rsidP="00C278A9"/>
    <w:p w14:paraId="7EA21987" w14:textId="77777777" w:rsidR="00E26744" w:rsidRDefault="00E26744" w:rsidP="00E26744">
      <w:pPr>
        <w:pStyle w:val="eTRMHeading4"/>
      </w:pPr>
      <w:r>
        <w:t>Sample Calculation</w:t>
      </w:r>
    </w:p>
    <w:p w14:paraId="2F6E655B" w14:textId="5A444F34" w:rsidR="0054501E" w:rsidRDefault="00C278A9" w:rsidP="0054501E">
      <w:r>
        <w:t>A sample</w:t>
      </w:r>
      <w:r w:rsidR="0054501E" w:rsidRPr="00F84224">
        <w:t xml:space="preserve"> </w:t>
      </w:r>
      <w:r w:rsidR="00D6490C">
        <w:t xml:space="preserve">calculation of annual </w:t>
      </w:r>
      <w:r w:rsidR="00BE2A6F">
        <w:t>UEC</w:t>
      </w:r>
      <w:r w:rsidR="00D6490C">
        <w:t xml:space="preserve"> of</w:t>
      </w:r>
      <w:r w:rsidR="0054501E" w:rsidRPr="00F84224">
        <w:t xml:space="preserve"> a </w:t>
      </w:r>
      <w:r w:rsidR="00FB021E">
        <w:t xml:space="preserve">base case </w:t>
      </w:r>
      <w:r w:rsidR="0054501E" w:rsidRPr="00F84224">
        <w:t>high</w:t>
      </w:r>
      <w:r w:rsidR="005F3FA4">
        <w:t>-</w:t>
      </w:r>
      <w:r w:rsidR="0054501E" w:rsidRPr="00F84224">
        <w:t>temperature electric door-type dishwasher in a commercial food service</w:t>
      </w:r>
      <w:r w:rsidR="001F2179">
        <w:t xml:space="preserve"> application</w:t>
      </w:r>
      <w:r w:rsidR="0054501E" w:rsidRPr="00F84224">
        <w:t xml:space="preserve"> that uses elec</w:t>
      </w:r>
      <w:r w:rsidR="005F3FA4">
        <w:t>tric primary water heating</w:t>
      </w:r>
      <w:r w:rsidR="00B86DBF">
        <w:t xml:space="preserve"> is shown </w:t>
      </w:r>
      <w:r w:rsidR="00F70F03">
        <w:t>below</w:t>
      </w:r>
      <w:r w:rsidR="005F3FA4">
        <w:t xml:space="preserve">. </w:t>
      </w:r>
    </w:p>
    <w:p w14:paraId="099F6C0A" w14:textId="4AE76622" w:rsidR="00A55CC3" w:rsidRPr="00F84224" w:rsidRDefault="00A55CC3" w:rsidP="00A55CC3">
      <w:pPr>
        <w:pStyle w:val="eTRMHeading5"/>
      </w:pPr>
      <w:r w:rsidRPr="00624BB1">
        <w:t>Electric Water Heater Energy Use</w:t>
      </w:r>
    </w:p>
    <w:p w14:paraId="72B377CA" w14:textId="77777777" w:rsidR="00E479DD" w:rsidRPr="00265FDC" w:rsidRDefault="001F3D36" w:rsidP="00E479DD">
      <w:pPr>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Water Heater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∆T×C×ρ</m:t>
                  </m:r>
                </m:num>
                <m:den>
                  <m:r>
                    <w:rPr>
                      <w:rFonts w:ascii="Cambria Math" w:hAnsi="Cambria Math"/>
                      <w:sz w:val="18"/>
                      <w:szCs w:val="18"/>
                    </w:rPr>
                    <m:t>η</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Btu</m:t>
              </m:r>
            </m:den>
          </m:f>
        </m:oMath>
      </m:oMathPara>
    </w:p>
    <w:p w14:paraId="6A076D2D" w14:textId="77777777" w:rsidR="00E479DD" w:rsidRPr="00A92C95" w:rsidRDefault="001F3D36" w:rsidP="00E479DD">
      <w:pPr>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Water Heater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d>
                    <m:dPr>
                      <m:ctrlPr>
                        <w:rPr>
                          <w:rFonts w:ascii="Cambria Math" w:hAnsi="Cambria Math"/>
                          <w:i/>
                          <w:sz w:val="18"/>
                          <w:szCs w:val="18"/>
                        </w:rPr>
                      </m:ctrlPr>
                    </m:dPr>
                    <m:e>
                      <m:r>
                        <w:rPr>
                          <w:rFonts w:ascii="Cambria Math" w:hAnsi="Cambria Math"/>
                          <w:sz w:val="18"/>
                          <w:szCs w:val="18"/>
                        </w:rPr>
                        <m:t>140 °F-61 °F</m:t>
                      </m:r>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1.0Btu</m:t>
                      </m:r>
                    </m:num>
                    <m:den>
                      <m:r>
                        <w:rPr>
                          <w:rFonts w:ascii="Cambria Math" w:hAnsi="Cambria Math"/>
                          <w:sz w:val="18"/>
                          <w:szCs w:val="18"/>
                        </w:rPr>
                        <m:t>Lb×F</m:t>
                      </m:r>
                    </m:den>
                  </m:f>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8.34Lb</m:t>
                      </m:r>
                    </m:num>
                    <m:den>
                      <m:r>
                        <w:rPr>
                          <w:rFonts w:ascii="Cambria Math" w:hAnsi="Cambria Math"/>
                          <w:sz w:val="18"/>
                          <w:szCs w:val="18"/>
                        </w:rPr>
                        <m:t>gal</m:t>
                      </m:r>
                    </m:den>
                  </m:f>
                </m:num>
                <m:den>
                  <m:r>
                    <w:rPr>
                      <w:rFonts w:ascii="Cambria Math" w:hAnsi="Cambria Math"/>
                      <w:sz w:val="18"/>
                      <w:szCs w:val="18"/>
                    </w:rPr>
                    <m:t>0.98</m:t>
                  </m:r>
                </m:den>
              </m:f>
            </m:e>
          </m:d>
          <m:r>
            <w:rPr>
              <w:rFonts w:ascii="Cambria Math" w:hAnsi="Cambria Math"/>
              <w:sz w:val="18"/>
              <w:szCs w:val="18"/>
            </w:rPr>
            <m:t>×0.0002931</m:t>
          </m:r>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Btu</m:t>
              </m:r>
            </m:den>
          </m:f>
          <m:r>
            <w:rPr>
              <w:rFonts w:ascii="Cambria Math" w:hAnsi="Cambria Math"/>
              <w:sz w:val="18"/>
              <w:szCs w:val="18"/>
            </w:rPr>
            <m:t>=0.197</m:t>
          </m:r>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gal</m:t>
              </m:r>
            </m:den>
          </m:f>
          <m:r>
            <w:rPr>
              <w:rFonts w:ascii="Cambria Math" w:hAnsi="Cambria Math"/>
              <w:sz w:val="18"/>
              <w:szCs w:val="18"/>
            </w:rPr>
            <m:t xml:space="preserve"> </m:t>
          </m:r>
        </m:oMath>
      </m:oMathPara>
    </w:p>
    <w:p w14:paraId="799CCFB7" w14:textId="77777777" w:rsidR="00E8487C" w:rsidRPr="000A5F61" w:rsidRDefault="00E8487C" w:rsidP="00E8487C">
      <w:pPr>
        <w:ind w:left="720"/>
        <w:jc w:val="both"/>
        <w:rPr>
          <w:sz w:val="18"/>
          <w:szCs w:val="18"/>
        </w:rPr>
      </w:pPr>
      <m:oMathPara>
        <m:oMathParaPr>
          <m:jc m:val="left"/>
        </m:oMathParaPr>
        <m:oMath>
          <m:r>
            <w:rPr>
              <w:rFonts w:ascii="Cambria Math" w:hAnsi="Cambria Math"/>
              <w:sz w:val="18"/>
              <w:szCs w:val="18"/>
            </w:rPr>
            <m:t>Electric  Water Heater Energy=GPR×RACKS×EDAYS×</m:t>
          </m:r>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Water Heater</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MktPen</m:t>
              </m:r>
            </m:e>
            <m:sub>
              <m:r>
                <w:rPr>
                  <w:rFonts w:ascii="Cambria Math" w:hAnsi="Cambria Math"/>
                  <w:sz w:val="18"/>
                  <w:szCs w:val="18"/>
                </w:rPr>
                <m:t>elec</m:t>
              </m:r>
            </m:sub>
          </m:sSub>
        </m:oMath>
      </m:oMathPara>
    </w:p>
    <w:p w14:paraId="4F17AD23" w14:textId="7CFF5B64" w:rsidR="00AB7677" w:rsidRPr="00E415B4" w:rsidRDefault="00AB7677" w:rsidP="00AB7677">
      <w:pPr>
        <w:ind w:left="1440"/>
        <w:rPr>
          <w:rFonts w:ascii="Cambria Math" w:hAnsi="Cambria Math"/>
          <w:i/>
          <w:sz w:val="18"/>
          <w:szCs w:val="18"/>
        </w:rPr>
      </w:pPr>
      <m:oMathPara>
        <m:oMathParaPr>
          <m:jc m:val="left"/>
        </m:oMathParaPr>
        <m:oMath>
          <m:r>
            <w:rPr>
              <w:rFonts w:ascii="Cambria Math" w:hAnsi="Cambria Math"/>
              <w:sz w:val="18"/>
              <w:szCs w:val="18"/>
            </w:rPr>
            <m:t xml:space="preserve">=1.07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Gal</m:t>
                  </m:r>
                </m:num>
                <m:den>
                  <m:r>
                    <w:rPr>
                      <w:rFonts w:ascii="Cambria Math" w:hAnsi="Cambria Math"/>
                      <w:sz w:val="18"/>
                      <w:szCs w:val="18"/>
                    </w:rPr>
                    <m:t>Rack</m:t>
                  </m:r>
                </m:den>
              </m:f>
            </m:e>
          </m:d>
          <m:r>
            <w:rPr>
              <w:rFonts w:ascii="Cambria Math" w:hAnsi="Cambria Math"/>
              <w:sz w:val="18"/>
              <w:szCs w:val="18"/>
            </w:rPr>
            <m:t xml:space="preserve">×140.5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Racks</m:t>
                  </m:r>
                </m:num>
                <m:den>
                  <m:r>
                    <w:rPr>
                      <w:rFonts w:ascii="Cambria Math" w:hAnsi="Cambria Math"/>
                      <w:sz w:val="18"/>
                      <w:szCs w:val="18"/>
                    </w:rPr>
                    <m:t>Day</m:t>
                  </m:r>
                </m:den>
              </m:f>
            </m:e>
          </m:d>
          <m:r>
            <w:rPr>
              <w:rFonts w:ascii="Cambria Math" w:hAnsi="Cambria Math"/>
              <w:sz w:val="18"/>
              <w:szCs w:val="18"/>
            </w:rPr>
            <m:t>×365</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Day</m:t>
                  </m:r>
                </m:num>
                <m:den>
                  <m:r>
                    <w:rPr>
                      <w:rFonts w:ascii="Cambria Math" w:hAnsi="Cambria Math"/>
                      <w:sz w:val="18"/>
                      <w:szCs w:val="18"/>
                    </w:rPr>
                    <m:t>Yr</m:t>
                  </m:r>
                </m:den>
              </m:f>
            </m:e>
          </m:d>
          <m:r>
            <w:rPr>
              <w:rFonts w:ascii="Cambria Math" w:hAnsi="Cambria Math"/>
              <w:sz w:val="18"/>
              <w:szCs w:val="18"/>
            </w:rPr>
            <m:t>×0.197</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Gal</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3</m:t>
              </m:r>
            </m:num>
            <m:den>
              <m:r>
                <w:rPr>
                  <w:rFonts w:ascii="Cambria Math" w:hAnsi="Cambria Math"/>
                  <w:sz w:val="18"/>
                  <w:szCs w:val="18"/>
                </w:rPr>
                <m:t>100</m:t>
              </m:r>
            </m:den>
          </m:f>
          <m:r>
            <w:rPr>
              <w:rFonts w:ascii="Cambria Math" w:hAnsi="Cambria Math"/>
              <w:sz w:val="18"/>
              <w:szCs w:val="18"/>
            </w:rPr>
            <m:t>=324.4 kWh</m:t>
          </m:r>
        </m:oMath>
      </m:oMathPara>
    </w:p>
    <w:p w14:paraId="1276E43F" w14:textId="77777777" w:rsidR="007D036E" w:rsidRPr="00E415B4" w:rsidRDefault="007D036E" w:rsidP="007D036E">
      <w:pPr>
        <w:pStyle w:val="eTRMHeading5"/>
        <w:rPr>
          <w:sz w:val="24"/>
          <w:szCs w:val="22"/>
        </w:rPr>
      </w:pPr>
      <w:r>
        <w:t>Electric Booster Water Heater Energy</w:t>
      </w:r>
    </w:p>
    <w:p w14:paraId="3023338D" w14:textId="77777777" w:rsidR="006867CD" w:rsidRPr="00A92C95" w:rsidRDefault="001F3D36" w:rsidP="006867CD">
      <w:pPr>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Booster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∆T×C×ρ</m:t>
                  </m:r>
                </m:num>
                <m:den>
                  <m:r>
                    <w:rPr>
                      <w:rFonts w:ascii="Cambria Math" w:hAnsi="Cambria Math"/>
                      <w:sz w:val="18"/>
                      <w:szCs w:val="18"/>
                    </w:rPr>
                    <m:t>η</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Btu</m:t>
              </m:r>
            </m:den>
          </m:f>
        </m:oMath>
      </m:oMathPara>
    </w:p>
    <w:p w14:paraId="2B3B9DD8" w14:textId="77777777" w:rsidR="0089692E" w:rsidRPr="00A92C95" w:rsidRDefault="001F3D36" w:rsidP="0089692E">
      <w:pPr>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Water Heater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d>
                    <m:dPr>
                      <m:ctrlPr>
                        <w:rPr>
                          <w:rFonts w:ascii="Cambria Math" w:hAnsi="Cambria Math"/>
                          <w:i/>
                          <w:sz w:val="18"/>
                          <w:szCs w:val="18"/>
                        </w:rPr>
                      </m:ctrlPr>
                    </m:dPr>
                    <m:e>
                      <m:r>
                        <w:rPr>
                          <w:rFonts w:ascii="Cambria Math" w:hAnsi="Cambria Math"/>
                          <w:sz w:val="18"/>
                          <w:szCs w:val="18"/>
                        </w:rPr>
                        <m:t>40 °F</m:t>
                      </m:r>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1.0Btu</m:t>
                      </m:r>
                    </m:num>
                    <m:den>
                      <m:r>
                        <w:rPr>
                          <w:rFonts w:ascii="Cambria Math" w:hAnsi="Cambria Math"/>
                          <w:sz w:val="18"/>
                          <w:szCs w:val="18"/>
                        </w:rPr>
                        <m:t>Lb×F</m:t>
                      </m:r>
                    </m:den>
                  </m:f>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8.34Lb</m:t>
                      </m:r>
                    </m:num>
                    <m:den>
                      <m:r>
                        <w:rPr>
                          <w:rFonts w:ascii="Cambria Math" w:hAnsi="Cambria Math"/>
                          <w:sz w:val="18"/>
                          <w:szCs w:val="18"/>
                        </w:rPr>
                        <m:t>gal</m:t>
                      </m:r>
                    </m:den>
                  </m:f>
                </m:num>
                <m:den>
                  <m:r>
                    <w:rPr>
                      <w:rFonts w:ascii="Cambria Math" w:hAnsi="Cambria Math"/>
                      <w:sz w:val="18"/>
                      <w:szCs w:val="18"/>
                    </w:rPr>
                    <m:t>0.98</m:t>
                  </m:r>
                </m:den>
              </m:f>
            </m:e>
          </m:d>
          <m:r>
            <w:rPr>
              <w:rFonts w:ascii="Cambria Math" w:hAnsi="Cambria Math"/>
              <w:sz w:val="18"/>
              <w:szCs w:val="18"/>
            </w:rPr>
            <m:t>×0.0002931</m:t>
          </m:r>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Btu</m:t>
              </m:r>
            </m:den>
          </m:f>
          <m:r>
            <w:rPr>
              <w:rFonts w:ascii="Cambria Math" w:hAnsi="Cambria Math"/>
              <w:sz w:val="18"/>
              <w:szCs w:val="18"/>
            </w:rPr>
            <m:t>=0.100</m:t>
          </m:r>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gal</m:t>
              </m:r>
            </m:den>
          </m:f>
          <m:r>
            <w:rPr>
              <w:rFonts w:ascii="Cambria Math" w:hAnsi="Cambria Math"/>
              <w:sz w:val="18"/>
              <w:szCs w:val="18"/>
            </w:rPr>
            <m:t xml:space="preserve"> </m:t>
          </m:r>
        </m:oMath>
      </m:oMathPara>
    </w:p>
    <w:p w14:paraId="11876744" w14:textId="77777777" w:rsidR="00C237A6" w:rsidRPr="00B86DBF" w:rsidRDefault="00C237A6" w:rsidP="00C237A6">
      <w:pPr>
        <w:ind w:left="720"/>
        <w:jc w:val="both"/>
        <w:rPr>
          <w:sz w:val="18"/>
          <w:szCs w:val="18"/>
        </w:rPr>
      </w:pPr>
      <m:oMathPara>
        <m:oMathParaPr>
          <m:jc m:val="left"/>
        </m:oMathParaPr>
        <m:oMath>
          <m:r>
            <w:rPr>
              <w:rFonts w:ascii="Cambria Math" w:hAnsi="Cambria Math"/>
              <w:sz w:val="18"/>
              <w:szCs w:val="18"/>
            </w:rPr>
            <m:t>Electric  Booster Heater Energy=GPR×RACKS×</m:t>
          </m:r>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Booster</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MktPen</m:t>
              </m:r>
            </m:e>
            <m:sub>
              <m:r>
                <w:rPr>
                  <w:rFonts w:ascii="Cambria Math" w:hAnsi="Cambria Math"/>
                  <w:sz w:val="18"/>
                  <w:szCs w:val="18"/>
                </w:rPr>
                <m:t>booster,elec</m:t>
              </m:r>
            </m:sub>
          </m:sSub>
        </m:oMath>
      </m:oMathPara>
    </w:p>
    <w:p w14:paraId="1BB18F36" w14:textId="4B7BACDC" w:rsidR="00116C98" w:rsidRPr="00E415B4" w:rsidRDefault="00116C98" w:rsidP="00116C98">
      <w:pPr>
        <w:ind w:left="1440"/>
        <w:rPr>
          <w:sz w:val="18"/>
          <w:szCs w:val="18"/>
        </w:rPr>
      </w:pPr>
      <m:oMathPara>
        <m:oMathParaPr>
          <m:jc m:val="left"/>
        </m:oMathParaPr>
        <m:oMath>
          <m:r>
            <w:rPr>
              <w:rFonts w:ascii="Cambria Math" w:hAnsi="Cambria Math"/>
              <w:sz w:val="18"/>
              <w:szCs w:val="18"/>
            </w:rPr>
            <m:t>=1.07</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Gal</m:t>
                  </m:r>
                </m:num>
                <m:den>
                  <m:r>
                    <w:rPr>
                      <w:rFonts w:ascii="Cambria Math" w:hAnsi="Cambria Math"/>
                      <w:sz w:val="18"/>
                      <w:szCs w:val="18"/>
                    </w:rPr>
                    <m:t>Rack</m:t>
                  </m:r>
                </m:den>
              </m:f>
            </m:e>
          </m:d>
          <m:r>
            <w:rPr>
              <w:rFonts w:ascii="Cambria Math" w:hAnsi="Cambria Math"/>
              <w:sz w:val="18"/>
              <w:szCs w:val="18"/>
            </w:rPr>
            <m:t xml:space="preserve">×140.5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Racks</m:t>
                  </m:r>
                </m:num>
                <m:den>
                  <m:r>
                    <w:rPr>
                      <w:rFonts w:ascii="Cambria Math" w:hAnsi="Cambria Math"/>
                      <w:sz w:val="18"/>
                      <w:szCs w:val="18"/>
                    </w:rPr>
                    <m:t>Day</m:t>
                  </m:r>
                </m:den>
              </m:f>
            </m:e>
          </m:d>
          <m:r>
            <w:rPr>
              <w:rFonts w:ascii="Cambria Math" w:hAnsi="Cambria Math"/>
              <w:sz w:val="18"/>
              <w:szCs w:val="18"/>
            </w:rPr>
            <m:t>×365</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Day</m:t>
                  </m:r>
                </m:num>
                <m:den>
                  <m:r>
                    <w:rPr>
                      <w:rFonts w:ascii="Cambria Math" w:hAnsi="Cambria Math"/>
                      <w:sz w:val="18"/>
                      <w:szCs w:val="18"/>
                    </w:rPr>
                    <m:t>Yr</m:t>
                  </m:r>
                </m:den>
              </m:f>
            </m:e>
          </m:d>
          <m:r>
            <w:rPr>
              <w:rFonts w:ascii="Cambria Math" w:hAnsi="Cambria Math"/>
              <w:sz w:val="18"/>
              <w:szCs w:val="18"/>
            </w:rPr>
            <m:t>×0.100</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Gal</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95</m:t>
              </m:r>
            </m:num>
            <m:den>
              <m:r>
                <w:rPr>
                  <w:rFonts w:ascii="Cambria Math" w:hAnsi="Cambria Math"/>
                  <w:sz w:val="18"/>
                  <w:szCs w:val="18"/>
                </w:rPr>
                <m:t>100</m:t>
              </m:r>
            </m:den>
          </m:f>
          <m:r>
            <w:rPr>
              <w:rFonts w:ascii="Cambria Math" w:hAnsi="Cambria Math"/>
              <w:sz w:val="18"/>
              <w:szCs w:val="18"/>
            </w:rPr>
            <m:t>=5,200.6 kWh</m:t>
          </m:r>
        </m:oMath>
      </m:oMathPara>
    </w:p>
    <w:p w14:paraId="6CDCAEC7" w14:textId="77777777" w:rsidR="007A232B" w:rsidRPr="00DB09D6" w:rsidRDefault="007A232B" w:rsidP="007A232B">
      <w:pPr>
        <w:rPr>
          <w:sz w:val="18"/>
          <w:szCs w:val="18"/>
        </w:rPr>
      </w:pPr>
      <w:r w:rsidRPr="00E415B4">
        <w:rPr>
          <w:i/>
          <w:color w:val="5F5F5F"/>
        </w:rPr>
        <w:t>Annual Idle Energy</w:t>
      </w:r>
    </w:p>
    <w:p w14:paraId="6065E965" w14:textId="40B7B35D" w:rsidR="00AF3BBD" w:rsidRPr="002B5FAC" w:rsidRDefault="00AF3BBD" w:rsidP="00265A07">
      <w:pPr>
        <w:ind w:left="720"/>
        <w:rPr>
          <w:sz w:val="18"/>
          <w:szCs w:val="18"/>
        </w:rPr>
      </w:pPr>
      <m:oMathPara>
        <m:oMathParaPr>
          <m:jc m:val="left"/>
        </m:oMathParaPr>
        <m:oMath>
          <m:r>
            <w:rPr>
              <w:rFonts w:ascii="Cambria Math" w:hAnsi="Cambria Math"/>
              <w:sz w:val="18"/>
              <w:szCs w:val="18"/>
            </w:rPr>
            <m:t>Annual Idle Energy=EDAYS ×</m:t>
          </m:r>
          <m:d>
            <m:dPr>
              <m:ctrlPr>
                <w:rPr>
                  <w:rFonts w:ascii="Cambria Math" w:hAnsi="Cambria Math"/>
                  <w:i/>
                  <w:sz w:val="18"/>
                  <w:szCs w:val="18"/>
                </w:rPr>
              </m:ctrlPr>
            </m:dPr>
            <m:e>
              <m:r>
                <w:rPr>
                  <w:rFonts w:ascii="Cambria Math" w:hAnsi="Cambria Math"/>
                  <w:sz w:val="18"/>
                  <w:szCs w:val="18"/>
                </w:rPr>
                <m:t>EHOURS-RACKS×</m:t>
              </m:r>
              <m:f>
                <m:fPr>
                  <m:ctrlPr>
                    <w:rPr>
                      <w:rFonts w:ascii="Cambria Math" w:hAnsi="Cambria Math"/>
                      <w:i/>
                      <w:sz w:val="18"/>
                      <w:szCs w:val="18"/>
                    </w:rPr>
                  </m:ctrlPr>
                </m:fPr>
                <m:num>
                  <m:r>
                    <w:rPr>
                      <w:rFonts w:ascii="Cambria Math" w:hAnsi="Cambria Math"/>
                      <w:sz w:val="18"/>
                      <w:szCs w:val="18"/>
                    </w:rPr>
                    <m:t>TWASH</m:t>
                  </m:r>
                </m:num>
                <m:den>
                  <m:r>
                    <w:rPr>
                      <w:rFonts w:ascii="Cambria Math" w:hAnsi="Cambria Math"/>
                      <w:sz w:val="18"/>
                      <w:szCs w:val="18"/>
                    </w:rPr>
                    <m:t>MIN</m:t>
                  </m:r>
                </m:den>
              </m:f>
            </m:e>
          </m:d>
          <m:r>
            <w:rPr>
              <w:rFonts w:ascii="Cambria Math" w:hAnsi="Cambria Math"/>
              <w:sz w:val="18"/>
              <w:szCs w:val="18"/>
            </w:rPr>
            <m:t>× IDLERATE</m:t>
          </m:r>
        </m:oMath>
      </m:oMathPara>
    </w:p>
    <w:p w14:paraId="540A66FC" w14:textId="0A24C193" w:rsidR="002B5363" w:rsidRPr="00B86DBF" w:rsidRDefault="002B5363" w:rsidP="002B5363">
      <w:pPr>
        <w:ind w:left="2160"/>
        <w:jc w:val="both"/>
        <w:rPr>
          <w:sz w:val="18"/>
          <w:szCs w:val="18"/>
        </w:rPr>
      </w:pPr>
      <m:oMathPara>
        <m:oMathParaPr>
          <m:jc m:val="left"/>
        </m:oMathParaPr>
        <m:oMath>
          <m:r>
            <w:rPr>
              <w:rFonts w:ascii="Cambria Math" w:hAnsi="Cambria Math"/>
              <w:sz w:val="18"/>
              <w:szCs w:val="18"/>
            </w:rPr>
            <w:lastRenderedPageBreak/>
            <m:t>=365 ×</m:t>
          </m:r>
          <m:d>
            <m:dPr>
              <m:ctrlPr>
                <w:rPr>
                  <w:rFonts w:ascii="Cambria Math" w:hAnsi="Cambria Math"/>
                  <w:i/>
                  <w:sz w:val="18"/>
                  <w:szCs w:val="18"/>
                </w:rPr>
              </m:ctrlPr>
            </m:dPr>
            <m:e>
              <m:r>
                <w:rPr>
                  <w:rFonts w:ascii="Cambria Math" w:hAnsi="Cambria Math"/>
                  <w:sz w:val="18"/>
                  <w:szCs w:val="18"/>
                </w:rPr>
                <m:t>12</m:t>
              </m:r>
              <m:f>
                <m:fPr>
                  <m:ctrlPr>
                    <w:rPr>
                      <w:rFonts w:ascii="Cambria Math" w:hAnsi="Cambria Math"/>
                      <w:i/>
                      <w:sz w:val="18"/>
                      <w:szCs w:val="18"/>
                    </w:rPr>
                  </m:ctrlPr>
                </m:fPr>
                <m:num>
                  <m:r>
                    <w:rPr>
                      <w:rFonts w:ascii="Cambria Math" w:hAnsi="Cambria Math"/>
                      <w:sz w:val="18"/>
                      <w:szCs w:val="18"/>
                    </w:rPr>
                    <m:t>hours</m:t>
                  </m:r>
                </m:num>
                <m:den>
                  <m:r>
                    <w:rPr>
                      <w:rFonts w:ascii="Cambria Math" w:hAnsi="Cambria Math"/>
                      <w:sz w:val="18"/>
                      <w:szCs w:val="18"/>
                    </w:rPr>
                    <m:t>day</m:t>
                  </m:r>
                </m:den>
              </m:f>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140.5 Racks</m:t>
                      </m:r>
                    </m:num>
                    <m:den>
                      <m:r>
                        <w:rPr>
                          <w:rFonts w:ascii="Cambria Math" w:hAnsi="Cambria Math"/>
                          <w:sz w:val="18"/>
                          <w:szCs w:val="18"/>
                        </w:rPr>
                        <m:t>day</m:t>
                      </m:r>
                    </m:den>
                  </m:f>
                </m:e>
              </m:d>
              <m:r>
                <w:rPr>
                  <w:rFonts w:ascii="Cambria Math" w:hAnsi="Cambria Math"/>
                  <w:sz w:val="18"/>
                  <w:szCs w:val="18"/>
                </w:rPr>
                <m:t>x</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1 min</m:t>
                      </m:r>
                    </m:num>
                    <m:den>
                      <m:r>
                        <w:rPr>
                          <w:rFonts w:ascii="Cambria Math" w:hAnsi="Cambria Math"/>
                          <w:sz w:val="18"/>
                          <w:szCs w:val="18"/>
                        </w:rPr>
                        <m:t>rack</m:t>
                      </m:r>
                    </m:den>
                  </m:f>
                </m:e>
              </m:d>
              <m:r>
                <w:rPr>
                  <w:rFonts w:ascii="Cambria Math" w:hAnsi="Cambria Math"/>
                  <w:sz w:val="18"/>
                  <w:szCs w:val="18"/>
                </w:rPr>
                <m:t>x</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 xml:space="preserve">1 </m:t>
                      </m:r>
                      <m:r>
                        <w:rPr>
                          <w:rFonts w:ascii="Cambria Math" w:hAnsi="Cambria Math"/>
                          <w:sz w:val="18"/>
                          <w:szCs w:val="18"/>
                        </w:rPr>
                        <m:t>hour</m:t>
                      </m:r>
                    </m:num>
                    <m:den>
                      <m:r>
                        <w:rPr>
                          <w:rFonts w:ascii="Cambria Math" w:hAnsi="Cambria Math"/>
                          <w:sz w:val="18"/>
                          <w:szCs w:val="18"/>
                        </w:rPr>
                        <m:t>60 min</m:t>
                      </m:r>
                    </m:den>
                  </m:f>
                </m:e>
              </m:d>
            </m:e>
          </m:d>
          <m:r>
            <w:rPr>
              <w:rFonts w:ascii="Cambria Math" w:hAnsi="Cambria Math"/>
              <w:sz w:val="18"/>
              <w:szCs w:val="18"/>
            </w:rPr>
            <m:t>× 0.7kW = 2,467.7  kWh</m:t>
          </m:r>
        </m:oMath>
      </m:oMathPara>
    </w:p>
    <w:p w14:paraId="7A971A3F" w14:textId="77777777" w:rsidR="00697645" w:rsidRPr="00E415B4" w:rsidRDefault="00697645" w:rsidP="00697645">
      <w:pPr>
        <w:rPr>
          <w:sz w:val="18"/>
          <w:szCs w:val="18"/>
        </w:rPr>
      </w:pPr>
      <w:r w:rsidRPr="00E415B4">
        <w:rPr>
          <w:i/>
          <w:color w:val="5F5F5F"/>
        </w:rPr>
        <w:t xml:space="preserve">Annual </w:t>
      </w:r>
      <w:r>
        <w:rPr>
          <w:i/>
          <w:color w:val="5F5F5F"/>
        </w:rPr>
        <w:t>Unit Energy Consumption</w:t>
      </w:r>
    </w:p>
    <w:p w14:paraId="19D726ED" w14:textId="77777777" w:rsidR="00624BB1" w:rsidRPr="002B5FAC" w:rsidRDefault="00624BB1" w:rsidP="00624BB1">
      <w:pPr>
        <w:ind w:left="720"/>
        <w:rPr>
          <w:sz w:val="18"/>
          <w:szCs w:val="18"/>
        </w:rPr>
      </w:pPr>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YEAR</m:t>
              </m:r>
            </m:sub>
          </m:sSub>
          <m:r>
            <w:rPr>
              <w:rFonts w:ascii="Cambria Math" w:hAnsi="Cambria Math"/>
              <w:sz w:val="18"/>
              <w:szCs w:val="18"/>
            </w:rPr>
            <m:t>=Electric Water Heater Energy+Booster Water Heater Energy+Idle Energy</m:t>
          </m:r>
        </m:oMath>
      </m:oMathPara>
    </w:p>
    <w:p w14:paraId="6DFD221E" w14:textId="7A89CDF0" w:rsidR="00624BB1" w:rsidRPr="00DB09D6" w:rsidRDefault="00624BB1" w:rsidP="00624BB1">
      <w:pPr>
        <w:rPr>
          <w:rFonts w:ascii="Cambria Math" w:hAnsi="Cambria Math"/>
          <w:i/>
          <w:sz w:val="18"/>
          <w:szCs w:val="18"/>
        </w:rPr>
      </w:pPr>
      <w:r>
        <w:rPr>
          <w:rFonts w:ascii="Cambria Math" w:hAnsi="Cambria Math"/>
          <w:i/>
          <w:sz w:val="18"/>
          <w:szCs w:val="18"/>
        </w:rPr>
        <w:tab/>
      </w: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YEAR</m:t>
            </m:r>
          </m:sub>
        </m:sSub>
        <m:r>
          <w:rPr>
            <w:rFonts w:ascii="Cambria Math" w:hAnsi="Cambria Math"/>
            <w:sz w:val="18"/>
            <w:szCs w:val="18"/>
          </w:rPr>
          <m:t>=324.4 kWh+5,200.6 kWh+2,467.7  kWh kWh=7,992.7 kWh</m:t>
        </m:r>
      </m:oMath>
    </w:p>
    <w:p w14:paraId="29F235C5" w14:textId="77777777" w:rsidR="0054501E" w:rsidRDefault="0054501E" w:rsidP="0054501E"/>
    <w:p w14:paraId="279A7CC5" w14:textId="77777777" w:rsidR="00BE2A6F" w:rsidRPr="004B06E3" w:rsidRDefault="00BE2A6F" w:rsidP="00BE2A6F">
      <w:pPr>
        <w:pStyle w:val="eTRMHeading3"/>
      </w:pPr>
      <w:bookmarkStart w:id="47" w:name="_Toc486490856"/>
      <w:bookmarkStart w:id="48" w:name="_Toc486580927"/>
      <w:bookmarkStart w:id="49" w:name="_Toc528680028"/>
      <w:r w:rsidRPr="004B06E3">
        <w:t>Peak Electric Demand Reduction (kW)</w:t>
      </w:r>
      <w:bookmarkEnd w:id="47"/>
      <w:bookmarkEnd w:id="48"/>
      <w:bookmarkEnd w:id="49"/>
    </w:p>
    <w:p w14:paraId="6CB167BB" w14:textId="11DA3386" w:rsidR="00BE2A6F" w:rsidRDefault="00BE2A6F" w:rsidP="00BE2A6F">
      <w:r>
        <w:t>The</w:t>
      </w:r>
      <w:r w:rsidR="007F5CCC">
        <w:t xml:space="preserve"> actual</w:t>
      </w:r>
      <w:r w:rsidRPr="00F84224">
        <w:t xml:space="preserve"> contribution to </w:t>
      </w:r>
      <w:r>
        <w:t>building</w:t>
      </w:r>
      <w:r w:rsidRPr="00F84224">
        <w:t xml:space="preserve"> peak demand </w:t>
      </w:r>
      <w:r>
        <w:t>can</w:t>
      </w:r>
      <w:r w:rsidRPr="00F84224">
        <w:t xml:space="preserve"> vary significantly depending on </w:t>
      </w:r>
      <w:r>
        <w:t>the dishwasher</w:t>
      </w:r>
      <w:r w:rsidRPr="00F84224">
        <w:t xml:space="preserve"> usage pattern in relation to that of other electric equipment in the facility (operating schedule, appliance </w:t>
      </w:r>
      <w:r w:rsidR="007F5CCC">
        <w:t>ON</w:t>
      </w:r>
      <w:r w:rsidRPr="00F84224">
        <w:t xml:space="preserve"> time, etc.). </w:t>
      </w:r>
    </w:p>
    <w:p w14:paraId="6E375578" w14:textId="77777777" w:rsidR="00085F3E" w:rsidRDefault="00085F3E" w:rsidP="00BE2A6F"/>
    <w:p w14:paraId="11C18D84" w14:textId="00EBB3F2" w:rsidR="00085F3E" w:rsidRDefault="00A17F49" w:rsidP="00085F3E">
      <w:pPr>
        <w:pStyle w:val="eTRMHeading4"/>
      </w:pPr>
      <w:bookmarkStart w:id="50" w:name="_Hlk526868217"/>
      <w:r>
        <w:t xml:space="preserve">Average </w:t>
      </w:r>
      <w:r w:rsidR="00085F3E">
        <w:t>Peak Demand Reduction Calculation</w:t>
      </w:r>
    </w:p>
    <w:bookmarkEnd w:id="50"/>
    <w:p w14:paraId="78CAB35A" w14:textId="7CA3B4A5" w:rsidR="000E6DCE" w:rsidRDefault="000E6DCE" w:rsidP="000E6DCE">
      <w:pPr>
        <w:rPr>
          <w:shd w:val="clear" w:color="auto" w:fill="FFFFFF"/>
        </w:rPr>
      </w:pPr>
      <w:r>
        <w:rPr>
          <w:shd w:val="clear" w:color="auto" w:fill="FFFFFF"/>
        </w:rPr>
        <w:t xml:space="preserve">The </w:t>
      </w:r>
      <w:r w:rsidRPr="00A17F49">
        <w:rPr>
          <w:b/>
          <w:shd w:val="clear" w:color="auto" w:fill="FFFFFF"/>
        </w:rPr>
        <w:t xml:space="preserve">average </w:t>
      </w:r>
      <w:r w:rsidR="00950303" w:rsidRPr="00A17F49">
        <w:rPr>
          <w:b/>
          <w:shd w:val="clear" w:color="auto" w:fill="FFFFFF"/>
        </w:rPr>
        <w:t xml:space="preserve">peak </w:t>
      </w:r>
      <w:r w:rsidRPr="00A17F49">
        <w:rPr>
          <w:b/>
          <w:shd w:val="clear" w:color="auto" w:fill="FFFFFF"/>
        </w:rPr>
        <w:t>demand</w:t>
      </w:r>
      <w:r w:rsidR="0081143A">
        <w:rPr>
          <w:shd w:val="clear" w:color="auto" w:fill="FFFFFF"/>
        </w:rPr>
        <w:t xml:space="preserve"> (baseline or measure case), or the average demand during the peak period, </w:t>
      </w:r>
      <w:r>
        <w:rPr>
          <w:shd w:val="clear" w:color="auto" w:fill="FFFFFF"/>
        </w:rPr>
        <w:t xml:space="preserve">is </w:t>
      </w:r>
      <w:r w:rsidR="0081143A">
        <w:rPr>
          <w:shd w:val="clear" w:color="auto" w:fill="FFFFFF"/>
        </w:rPr>
        <w:t>a function of the unit energy consumption (UEC), the number of hours during the peak period, and the assumed percent of total usage during the peak period</w:t>
      </w:r>
      <w:r w:rsidR="005A3AA7">
        <w:rPr>
          <w:shd w:val="clear" w:color="auto" w:fill="FFFFFF"/>
        </w:rPr>
        <w:t>.</w:t>
      </w:r>
      <w:r w:rsidR="0081143A">
        <w:rPr>
          <w:shd w:val="clear" w:color="auto" w:fill="FFFFFF"/>
        </w:rPr>
        <w:t xml:space="preserve"> </w:t>
      </w:r>
    </w:p>
    <w:p w14:paraId="56AD1AA4" w14:textId="76ADDAF1" w:rsidR="00BE2A6F" w:rsidRPr="00C731CE" w:rsidRDefault="000E6DCE" w:rsidP="00BE2A6F">
      <w:pPr>
        <w:ind w:left="720"/>
        <w:rPr>
          <w:i/>
          <w:sz w:val="18"/>
        </w:rPr>
      </w:pPr>
      <w:r>
        <w:rPr>
          <w:rFonts w:ascii="Helvetica" w:hAnsi="Helvetica"/>
          <w:color w:val="292929"/>
          <w:sz w:val="27"/>
          <w:szCs w:val="27"/>
          <w:shd w:val="clear" w:color="auto" w:fill="FFFFFF"/>
        </w:rPr>
        <w:t> </w:t>
      </w:r>
      <m:oMath>
        <m:sSub>
          <m:sSubPr>
            <m:ctrlPr>
              <w:rPr>
                <w:rFonts w:ascii="Cambria Math" w:hAnsi="Cambria Math"/>
                <w:i/>
                <w:sz w:val="18"/>
              </w:rPr>
            </m:ctrlPr>
          </m:sSubPr>
          <m:e>
            <m:r>
              <w:rPr>
                <w:rFonts w:ascii="Cambria Math" w:hAnsi="Cambria Math"/>
                <w:sz w:val="18"/>
              </w:rPr>
              <m:t xml:space="preserve">PeakDemand </m:t>
            </m:r>
          </m:e>
          <m:sub>
            <m:r>
              <w:rPr>
                <w:rFonts w:ascii="Cambria Math" w:hAnsi="Cambria Math"/>
                <w:sz w:val="18"/>
              </w:rPr>
              <m:t>avg</m:t>
            </m:r>
          </m:sub>
        </m:sSub>
        <m:r>
          <w:rPr>
            <w:rFonts w:ascii="Cambria Math" w:hAnsi="Cambria Math"/>
            <w:sz w:val="18"/>
          </w:rPr>
          <m:t>=</m:t>
        </m:r>
        <m:d>
          <m:dPr>
            <m:ctrlPr>
              <w:rPr>
                <w:rFonts w:ascii="Cambria Math" w:hAnsi="Cambria Math"/>
                <w:i/>
                <w:sz w:val="18"/>
              </w:rPr>
            </m:ctrlPr>
          </m:dPr>
          <m:e>
            <m:f>
              <m:fPr>
                <m:ctrlPr>
                  <w:rPr>
                    <w:rFonts w:ascii="Cambria Math" w:hAnsi="Cambria Math"/>
                    <w:i/>
                    <w:sz w:val="18"/>
                  </w:rPr>
                </m:ctrlPr>
              </m:fPr>
              <m:num>
                <m:r>
                  <w:rPr>
                    <w:rFonts w:ascii="Cambria Math" w:hAnsi="Cambria Math"/>
                    <w:sz w:val="18"/>
                  </w:rPr>
                  <m:t>UEC_YEAR</m:t>
                </m:r>
              </m:num>
              <m:den>
                <m:r>
                  <w:rPr>
                    <w:rFonts w:ascii="Cambria Math" w:hAnsi="Cambria Math"/>
                    <w:sz w:val="18"/>
                  </w:rPr>
                  <m:t>EDAYS</m:t>
                </m:r>
              </m:den>
            </m:f>
          </m:e>
        </m:d>
        <m:r>
          <w:rPr>
            <w:rFonts w:ascii="Cambria Math" w:hAnsi="Cambria Math"/>
            <w:sz w:val="18"/>
          </w:rPr>
          <m:t>×PeakUsePerc÷PeakHOURS</m:t>
        </m:r>
      </m:oMath>
    </w:p>
    <w:p w14:paraId="33F240F5" w14:textId="4038047A" w:rsidR="0081143A" w:rsidRPr="0081143A" w:rsidRDefault="0081143A" w:rsidP="00C075D3">
      <w:pPr>
        <w:spacing w:before="0" w:after="0"/>
        <w:ind w:left="1440"/>
        <w:rPr>
          <w:rFonts w:ascii="Cambria Math" w:hAnsi="Cambria Math"/>
          <w:i/>
          <w:sz w:val="18"/>
        </w:rPr>
      </w:pPr>
      <w:r w:rsidRPr="0081143A">
        <w:rPr>
          <w:rFonts w:ascii="Cambria Math" w:hAnsi="Cambria Math"/>
          <w:i/>
          <w:sz w:val="18"/>
        </w:rPr>
        <w:t xml:space="preserve">UEC_YEAR = </w:t>
      </w:r>
      <w:r>
        <w:rPr>
          <w:rFonts w:ascii="Cambria Math" w:hAnsi="Cambria Math"/>
          <w:i/>
          <w:sz w:val="18"/>
        </w:rPr>
        <w:tab/>
      </w:r>
      <w:r w:rsidRPr="0081143A">
        <w:rPr>
          <w:rFonts w:ascii="Cambria Math" w:hAnsi="Cambria Math"/>
          <w:i/>
          <w:sz w:val="18"/>
        </w:rPr>
        <w:t>Annual unit energy consumption (kWh)</w:t>
      </w:r>
    </w:p>
    <w:p w14:paraId="4C188CDF" w14:textId="40109EDA" w:rsidR="0081143A" w:rsidRDefault="0081143A" w:rsidP="00C075D3">
      <w:pPr>
        <w:tabs>
          <w:tab w:val="left" w:pos="2880"/>
        </w:tabs>
        <w:spacing w:before="0" w:after="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58AAE590" w14:textId="52E4DD13" w:rsidR="0081143A" w:rsidRDefault="0081143A" w:rsidP="00C075D3">
      <w:pPr>
        <w:tabs>
          <w:tab w:val="left" w:pos="2880"/>
        </w:tabs>
        <w:spacing w:before="0" w:after="0"/>
        <w:ind w:left="2880" w:hanging="1440"/>
        <w:rPr>
          <w:rFonts w:ascii="Cambria Math" w:hAnsi="Cambria Math" w:cs="Calibri Light"/>
          <w:i/>
          <w:sz w:val="18"/>
          <w:szCs w:val="20"/>
        </w:rPr>
      </w:pPr>
      <w:r>
        <w:rPr>
          <w:rFonts w:ascii="Cambria Math" w:hAnsi="Cambria Math" w:cs="Calibri Light"/>
          <w:i/>
          <w:sz w:val="18"/>
          <w:szCs w:val="20"/>
        </w:rPr>
        <w:t xml:space="preserve">PeakHOURS = </w:t>
      </w:r>
      <w:r>
        <w:rPr>
          <w:rFonts w:ascii="Cambria Math" w:hAnsi="Cambria Math" w:cs="Calibri Light"/>
          <w:i/>
          <w:sz w:val="18"/>
          <w:szCs w:val="20"/>
        </w:rPr>
        <w:tab/>
        <w:t>Number of hours in the peak period (hours)</w:t>
      </w:r>
    </w:p>
    <w:p w14:paraId="31020136" w14:textId="71BE964B" w:rsidR="0081143A" w:rsidRDefault="00C075D3" w:rsidP="00C075D3">
      <w:pPr>
        <w:tabs>
          <w:tab w:val="left" w:pos="2880"/>
        </w:tabs>
        <w:spacing w:before="0" w:after="0"/>
        <w:ind w:left="2880" w:hanging="1440"/>
        <w:rPr>
          <w:rFonts w:ascii="Cambria Math" w:hAnsi="Cambria Math" w:cs="Calibri Light"/>
          <w:i/>
          <w:sz w:val="18"/>
          <w:szCs w:val="20"/>
        </w:rPr>
      </w:pPr>
      <w:r>
        <w:rPr>
          <w:rFonts w:ascii="Cambria Math" w:hAnsi="Cambria Math" w:cs="Calibri Light"/>
          <w:i/>
          <w:sz w:val="18"/>
          <w:szCs w:val="20"/>
        </w:rPr>
        <w:t>PeakUsePerc</w:t>
      </w:r>
      <w:r w:rsidR="0081143A">
        <w:rPr>
          <w:rFonts w:ascii="Cambria Math" w:hAnsi="Cambria Math" w:cs="Calibri Light"/>
          <w:i/>
          <w:sz w:val="18"/>
          <w:szCs w:val="20"/>
        </w:rPr>
        <w:t>=</w:t>
      </w:r>
      <w:r w:rsidR="0081143A">
        <w:rPr>
          <w:rFonts w:ascii="Cambria Math" w:hAnsi="Cambria Math" w:cs="Calibri Light"/>
          <w:i/>
          <w:sz w:val="18"/>
          <w:szCs w:val="20"/>
        </w:rPr>
        <w:tab/>
        <w:t>Percent of total usage during peak period (%, decimal)</w:t>
      </w:r>
    </w:p>
    <w:p w14:paraId="38B26F46" w14:textId="2838E695" w:rsidR="0081143A" w:rsidRDefault="0081143A" w:rsidP="005A3AA7"/>
    <w:p w14:paraId="49E3E749" w14:textId="177E071A" w:rsidR="00BE2A6F" w:rsidRDefault="005A3AA7" w:rsidP="005A3AA7">
      <w:r w:rsidRPr="00F84224">
        <w:t xml:space="preserve">The </w:t>
      </w:r>
      <w:r w:rsidRPr="007F5CCC">
        <w:rPr>
          <w:i/>
        </w:rPr>
        <w:t>End-use Water Demand Profile</w:t>
      </w:r>
      <w:r w:rsidRPr="00F84224">
        <w:t xml:space="preserve"> study conducted </w:t>
      </w:r>
      <w:r>
        <w:t>by Aquacraft, Inc.</w:t>
      </w:r>
      <w:r w:rsidRPr="00F84224">
        <w:t xml:space="preserve"> for the </w:t>
      </w:r>
      <w:r>
        <w:t>California Public Utilities Commission</w:t>
      </w:r>
      <w:r w:rsidRPr="00F84224">
        <w:t xml:space="preserve"> </w:t>
      </w:r>
      <w:r>
        <w:t>(CPUC)</w:t>
      </w:r>
      <w:r>
        <w:rPr>
          <w:rStyle w:val="FootnoteReference"/>
        </w:rPr>
        <w:footnoteReference w:id="15"/>
      </w:r>
      <w:r>
        <w:t xml:space="preserve"> </w:t>
      </w:r>
      <w:r w:rsidRPr="00F84224">
        <w:t>document</w:t>
      </w:r>
      <w:r w:rsidR="00F74D76">
        <w:t>s</w:t>
      </w:r>
      <w:r w:rsidRPr="00F84224">
        <w:t xml:space="preserve"> </w:t>
      </w:r>
      <w:r>
        <w:t xml:space="preserve">the </w:t>
      </w:r>
      <w:r w:rsidRPr="00F84224">
        <w:t>hourly hot water demand</w:t>
      </w:r>
      <w:r>
        <w:t xml:space="preserve"> of </w:t>
      </w:r>
      <w:r w:rsidR="00F74D76">
        <w:t xml:space="preserve">seven different </w:t>
      </w:r>
      <w:r>
        <w:t>restaurants</w:t>
      </w:r>
      <w:r w:rsidRPr="00F84224">
        <w:t>.</w:t>
      </w:r>
      <w:bookmarkStart w:id="51" w:name="_Ref411247369"/>
      <w:r>
        <w:t xml:space="preserve"> </w:t>
      </w:r>
      <w:bookmarkEnd w:id="51"/>
      <w:r w:rsidR="00F74D76" w:rsidRPr="00EF492E">
        <w:t>Analysis of the study data reveals</w:t>
      </w:r>
      <w:r w:rsidRPr="00EF492E">
        <w:t xml:space="preserve"> that </w:t>
      </w:r>
      <w:r w:rsidR="005E0D02" w:rsidRPr="00EF492E">
        <w:t>3</w:t>
      </w:r>
      <w:r w:rsidR="00FA40C1">
        <w:t>9.35</w:t>
      </w:r>
      <w:r w:rsidRPr="00EF492E">
        <w:t xml:space="preserve">% of total daily energy use occurs during the peak demand period between </w:t>
      </w:r>
      <w:r w:rsidR="00F74D76" w:rsidRPr="00EF492E">
        <w:t>4</w:t>
      </w:r>
      <w:r w:rsidRPr="00EF492E">
        <w:t xml:space="preserve">:00 p.m. and </w:t>
      </w:r>
      <w:r w:rsidR="00F74D76" w:rsidRPr="00EF492E">
        <w:t>9</w:t>
      </w:r>
      <w:r w:rsidRPr="00EF492E">
        <w:t>:00 p.m.</w:t>
      </w:r>
      <w:r w:rsidR="00EF492E" w:rsidRPr="00EF492E">
        <w:rPr>
          <w:rStyle w:val="FootnoteReference"/>
        </w:rPr>
        <w:footnoteReference w:id="16"/>
      </w:r>
      <w:r w:rsidRPr="00EF492E">
        <w:t xml:space="preserve"> Therefore, </w:t>
      </w:r>
      <w:r w:rsidR="00FE54AE" w:rsidRPr="00EF492E">
        <w:t>it</w:t>
      </w:r>
      <w:r w:rsidRPr="00EF492E">
        <w:t xml:space="preserve"> is assumed that the probable contribution to building peak demand is equal to the dishwasher average demand during the peak period.</w:t>
      </w:r>
    </w:p>
    <w:p w14:paraId="52A922C0" w14:textId="77777777" w:rsidR="00A17F49" w:rsidRDefault="00A17F49" w:rsidP="005A3AA7"/>
    <w:p w14:paraId="0A7E0BBA" w14:textId="28A9EE02" w:rsidR="00A17F49" w:rsidRDefault="00A17F49" w:rsidP="00A17F49">
      <w:pPr>
        <w:pStyle w:val="eTRMHeading4"/>
        <w:rPr>
          <w:shd w:val="clear" w:color="auto" w:fill="FFFFFF"/>
        </w:rPr>
      </w:pPr>
      <w:r>
        <w:rPr>
          <w:shd w:val="clear" w:color="auto" w:fill="FFFFFF"/>
        </w:rPr>
        <w:t>Peak Demand Reduction</w:t>
      </w:r>
    </w:p>
    <w:p w14:paraId="2E99EBD1" w14:textId="2A32F54C" w:rsidR="008311B9" w:rsidRPr="00F84224" w:rsidRDefault="008311B9" w:rsidP="008311B9">
      <w:r>
        <w:t>Peak demand reduction was calculated as the difference between base case and measure case average peak demand.</w:t>
      </w:r>
      <w:r>
        <w:rPr>
          <w:rStyle w:val="FootnoteReference"/>
        </w:rPr>
        <w:footnoteReference w:id="17"/>
      </w:r>
      <w:r>
        <w:t xml:space="preserve"> </w:t>
      </w:r>
      <w:r w:rsidRPr="00F84224">
        <w:t xml:space="preserve">The </w:t>
      </w:r>
      <w:r>
        <w:t xml:space="preserve">average peak </w:t>
      </w:r>
      <w:r w:rsidRPr="00F84224">
        <w:t xml:space="preserve">demand </w:t>
      </w:r>
      <w:r>
        <w:t>(base or measure case) was</w:t>
      </w:r>
      <w:r w:rsidRPr="00F84224">
        <w:t xml:space="preserve"> </w:t>
      </w:r>
      <w:r>
        <w:t xml:space="preserve">calculated as the </w:t>
      </w:r>
      <w:r w:rsidR="000C5EE1">
        <w:t xml:space="preserve">daily </w:t>
      </w:r>
      <w:r>
        <w:t>unit</w:t>
      </w:r>
      <w:r w:rsidRPr="00F84224">
        <w:t xml:space="preserve"> energy </w:t>
      </w:r>
      <w:r w:rsidRPr="00F84224">
        <w:lastRenderedPageBreak/>
        <w:t>consumption</w:t>
      </w:r>
      <w:r w:rsidR="00026D6D">
        <w:t xml:space="preserve"> during the </w:t>
      </w:r>
      <w:r w:rsidR="000C5EE1">
        <w:t>peak period</w:t>
      </w:r>
      <w:r w:rsidRPr="00F84224">
        <w:t xml:space="preserve"> divided </w:t>
      </w:r>
      <w:r>
        <w:t>by</w:t>
      </w:r>
      <w:r w:rsidRPr="00F84224">
        <w:t xml:space="preserve"> the </w:t>
      </w:r>
      <w:r>
        <w:t xml:space="preserve">number of hours during the </w:t>
      </w:r>
      <w:r w:rsidRPr="00F84224">
        <w:t xml:space="preserve">peak </w:t>
      </w:r>
      <w:r>
        <w:t>period of 4:00 p.m. to 9:00 p.m</w:t>
      </w:r>
      <w:r w:rsidRPr="00F84224">
        <w:t>.</w:t>
      </w:r>
      <w:r>
        <w:rPr>
          <w:rStyle w:val="FootnoteReference"/>
        </w:rPr>
        <w:footnoteReference w:id="18"/>
      </w:r>
      <w:r w:rsidRPr="00F84224">
        <w:t xml:space="preserve"> </w:t>
      </w:r>
    </w:p>
    <w:p w14:paraId="76C2D00D" w14:textId="0AFC4CB9" w:rsidR="00E7797C" w:rsidRPr="00AB04D4" w:rsidRDefault="00E7797C" w:rsidP="00E7797C">
      <w:pPr>
        <w:ind w:left="720"/>
      </w:pPr>
      <m:oMathPara>
        <m:oMathParaPr>
          <m:jc m:val="left"/>
        </m:oMathParaPr>
        <m:oMath>
          <m:r>
            <w:rPr>
              <w:rFonts w:ascii="Cambria Math" w:hAnsi="Cambria Math"/>
              <w:sz w:val="18"/>
            </w:rPr>
            <m:t>PeakDemandReduction=</m:t>
          </m:r>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PeakDemand</m:t>
                  </m:r>
                </m:e>
                <m:sub>
                  <m:r>
                    <w:rPr>
                      <w:rFonts w:ascii="Cambria Math" w:hAnsi="Cambria Math"/>
                      <w:sz w:val="18"/>
                    </w:rPr>
                    <m:t>avg, 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PeakDemand</m:t>
                  </m:r>
                </m:e>
                <m:sub>
                  <m:r>
                    <w:rPr>
                      <w:rFonts w:ascii="Cambria Math" w:hAnsi="Cambria Math"/>
                      <w:sz w:val="18"/>
                    </w:rPr>
                    <m:t>avg, measure</m:t>
                  </m:r>
                </m:sub>
              </m:sSub>
              <m:r>
                <w:rPr>
                  <w:rFonts w:ascii="Cambria Math" w:hAnsi="Cambria Math"/>
                  <w:sz w:val="18"/>
                </w:rPr>
                <m:t xml:space="preserve"> </m:t>
              </m:r>
            </m:e>
          </m:d>
        </m:oMath>
      </m:oMathPara>
    </w:p>
    <w:p w14:paraId="6CF16645" w14:textId="1004CB8D" w:rsidR="00221A7D" w:rsidRDefault="00221A7D" w:rsidP="0050110B">
      <w:pPr>
        <w:tabs>
          <w:tab w:val="left" w:pos="2880"/>
        </w:tabs>
        <w:spacing w:before="0" w:after="0"/>
        <w:ind w:left="2880" w:hanging="1440"/>
        <w:rPr>
          <w:rFonts w:ascii="Cambria Math" w:hAnsi="Cambria Math"/>
          <w:i/>
          <w:sz w:val="18"/>
          <w:szCs w:val="18"/>
        </w:rPr>
      </w:pPr>
      <w:r w:rsidRPr="00585C27">
        <w:rPr>
          <w:rFonts w:ascii="Cambria Math" w:hAnsi="Cambria Math" w:cs="Calibri Light"/>
          <w:i/>
          <w:sz w:val="18"/>
          <w:szCs w:val="20"/>
        </w:rPr>
        <w:t>PeakDemand</w:t>
      </w:r>
      <w:r w:rsidRPr="00585C27">
        <w:rPr>
          <w:rFonts w:ascii="Cambria Math" w:hAnsi="Cambria Math" w:cs="Calibri Light"/>
          <w:i/>
          <w:sz w:val="18"/>
          <w:szCs w:val="20"/>
          <w:vertAlign w:val="subscript"/>
        </w:rPr>
        <w:t>avg</w:t>
      </w:r>
      <w:r w:rsidRPr="00221A7D">
        <w:rPr>
          <w:rFonts w:ascii="Cambria Math" w:hAnsi="Cambria Math"/>
          <w:i/>
          <w:sz w:val="18"/>
          <w:szCs w:val="18"/>
        </w:rPr>
        <w:t xml:space="preserve"> = </w:t>
      </w:r>
      <w:r w:rsidRPr="00221A7D">
        <w:rPr>
          <w:rFonts w:ascii="Cambria Math" w:hAnsi="Cambria Math"/>
          <w:i/>
          <w:sz w:val="18"/>
          <w:szCs w:val="18"/>
        </w:rPr>
        <w:tab/>
        <w:t>Average peak demand, baseline or measure (kW)</w:t>
      </w:r>
    </w:p>
    <w:p w14:paraId="72AFF55B" w14:textId="77777777" w:rsidR="00221A7D" w:rsidRPr="00221A7D" w:rsidRDefault="00221A7D" w:rsidP="00221A7D"/>
    <w:p w14:paraId="00861D0C" w14:textId="77777777" w:rsidR="007F5CCC" w:rsidRDefault="007F5CCC" w:rsidP="007F5CCC">
      <w:pPr>
        <w:pStyle w:val="eTRMHeading4"/>
      </w:pPr>
      <w:r>
        <w:t>Inputs and Assumptions</w:t>
      </w:r>
    </w:p>
    <w:p w14:paraId="0FBA7E25" w14:textId="3C73FD8B" w:rsidR="007F5CCC" w:rsidRPr="00694410" w:rsidRDefault="007F5CCC" w:rsidP="007F5CCC">
      <w:pPr>
        <w:rPr>
          <w:sz w:val="18"/>
          <w:szCs w:val="18"/>
        </w:rPr>
      </w:pPr>
      <w:r>
        <w:t>The table below provides the inputs for the calculation of peak demand reduction of a commercial door-type dishwasher (high- and low-temperature models).</w:t>
      </w:r>
    </w:p>
    <w:p w14:paraId="4109D1D7" w14:textId="6654EE0D" w:rsidR="00BE2A6F" w:rsidRDefault="001C39BB" w:rsidP="001C39BB">
      <w:pPr>
        <w:pStyle w:val="Caption"/>
      </w:pPr>
      <w:r>
        <w:t xml:space="preserve">Demand Reduction </w:t>
      </w:r>
      <w:r w:rsidR="007F5CCC">
        <w:t>Inputs</w:t>
      </w:r>
    </w:p>
    <w:tbl>
      <w:tblPr>
        <w:tblW w:w="9540"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330"/>
        <w:gridCol w:w="1080"/>
        <w:gridCol w:w="5130"/>
      </w:tblGrid>
      <w:tr w:rsidR="00FE54AE" w:rsidRPr="0026027C" w14:paraId="7562D138" w14:textId="77777777" w:rsidTr="00FE54AE">
        <w:trPr>
          <w:trHeight w:val="645"/>
        </w:trPr>
        <w:tc>
          <w:tcPr>
            <w:tcW w:w="3330" w:type="dxa"/>
            <w:tcBorders>
              <w:bottom w:val="single" w:sz="4" w:space="0" w:color="A6A6A6" w:themeColor="background1" w:themeShade="A6"/>
            </w:tcBorders>
            <w:shd w:val="clear" w:color="auto" w:fill="F2F2F2" w:themeFill="background1" w:themeFillShade="F2"/>
            <w:noWrap/>
            <w:vAlign w:val="bottom"/>
            <w:hideMark/>
          </w:tcPr>
          <w:p w14:paraId="76F1F4D1" w14:textId="77777777" w:rsidR="00FE54AE" w:rsidRPr="0026027C" w:rsidRDefault="00FE54AE" w:rsidP="00AE16F9">
            <w:pPr>
              <w:spacing w:before="0" w:after="0" w:line="240" w:lineRule="auto"/>
              <w:rPr>
                <w:rFonts w:eastAsia="Times New Roman" w:cs="Times New Roman"/>
                <w:b/>
                <w:color w:val="000000"/>
                <w:sz w:val="20"/>
                <w:szCs w:val="20"/>
              </w:rPr>
            </w:pPr>
            <w:r>
              <w:rPr>
                <w:rFonts w:eastAsia="Times New Roman" w:cs="Times New Roman"/>
                <w:b/>
                <w:color w:val="000000"/>
                <w:sz w:val="20"/>
                <w:szCs w:val="20"/>
              </w:rPr>
              <w:t>Parameter</w:t>
            </w:r>
          </w:p>
        </w:tc>
        <w:tc>
          <w:tcPr>
            <w:tcW w:w="1080" w:type="dxa"/>
            <w:tcBorders>
              <w:bottom w:val="single" w:sz="4" w:space="0" w:color="A6A6A6" w:themeColor="background1" w:themeShade="A6"/>
            </w:tcBorders>
            <w:shd w:val="clear" w:color="auto" w:fill="F2F2F2" w:themeFill="background1" w:themeFillShade="F2"/>
            <w:noWrap/>
            <w:vAlign w:val="bottom"/>
            <w:hideMark/>
          </w:tcPr>
          <w:p w14:paraId="3B49FDEC" w14:textId="58082D2F" w:rsidR="00FE54AE" w:rsidRPr="0026027C" w:rsidRDefault="00FE54AE" w:rsidP="00AE16F9">
            <w:pPr>
              <w:spacing w:before="0" w:after="0" w:line="240" w:lineRule="auto"/>
              <w:jc w:val="center"/>
              <w:rPr>
                <w:rFonts w:eastAsia="Times New Roman" w:cs="Times New Roman"/>
                <w:b/>
                <w:color w:val="000000"/>
                <w:sz w:val="20"/>
                <w:szCs w:val="20"/>
              </w:rPr>
            </w:pPr>
            <w:r>
              <w:rPr>
                <w:rFonts w:eastAsia="Times New Roman" w:cs="Times New Roman"/>
                <w:b/>
                <w:color w:val="000000"/>
                <w:sz w:val="20"/>
                <w:szCs w:val="20"/>
              </w:rPr>
              <w:t>Value</w:t>
            </w:r>
          </w:p>
        </w:tc>
        <w:tc>
          <w:tcPr>
            <w:tcW w:w="5130" w:type="dxa"/>
            <w:tcBorders>
              <w:bottom w:val="single" w:sz="4" w:space="0" w:color="A6A6A6" w:themeColor="background1" w:themeShade="A6"/>
            </w:tcBorders>
            <w:shd w:val="clear" w:color="auto" w:fill="F2F2F2" w:themeFill="background1" w:themeFillShade="F2"/>
          </w:tcPr>
          <w:p w14:paraId="11DA0E49" w14:textId="77777777" w:rsidR="00FE54AE" w:rsidRPr="0026027C" w:rsidRDefault="00FE54AE" w:rsidP="00AE16F9">
            <w:pPr>
              <w:spacing w:before="0" w:after="0" w:line="240" w:lineRule="auto"/>
              <w:jc w:val="center"/>
              <w:rPr>
                <w:rFonts w:eastAsia="Times New Roman" w:cs="Times New Roman"/>
                <w:b/>
                <w:color w:val="000000"/>
                <w:sz w:val="20"/>
                <w:szCs w:val="20"/>
              </w:rPr>
            </w:pPr>
            <w:r w:rsidRPr="0026027C">
              <w:rPr>
                <w:rFonts w:eastAsia="Times New Roman" w:cs="Times New Roman"/>
                <w:b/>
                <w:color w:val="000000"/>
                <w:sz w:val="20"/>
                <w:szCs w:val="20"/>
              </w:rPr>
              <w:t>Source</w:t>
            </w:r>
          </w:p>
        </w:tc>
      </w:tr>
      <w:tr w:rsidR="00FE54AE" w:rsidRPr="0026027C" w14:paraId="49A85592" w14:textId="77777777" w:rsidTr="00FE54AE">
        <w:trPr>
          <w:trHeight w:val="300"/>
        </w:trPr>
        <w:tc>
          <w:tcPr>
            <w:tcW w:w="3330" w:type="dxa"/>
            <w:shd w:val="clear" w:color="auto" w:fill="auto"/>
            <w:vAlign w:val="center"/>
          </w:tcPr>
          <w:p w14:paraId="7F25F644" w14:textId="2001B06B" w:rsidR="00FE54AE" w:rsidRPr="0026027C" w:rsidRDefault="00FE54AE" w:rsidP="00AE16F9">
            <w:pPr>
              <w:spacing w:before="0" w:after="0" w:line="240" w:lineRule="auto"/>
              <w:rPr>
                <w:rFonts w:eastAsia="Times New Roman" w:cs="Arial"/>
                <w:color w:val="000000"/>
                <w:sz w:val="20"/>
                <w:szCs w:val="20"/>
              </w:rPr>
            </w:pPr>
            <w:r>
              <w:rPr>
                <w:rFonts w:eastAsia="Times New Roman" w:cs="Arial"/>
                <w:color w:val="000000"/>
                <w:sz w:val="20"/>
                <w:szCs w:val="20"/>
              </w:rPr>
              <w:t xml:space="preserve">Percent of Total Daily Usage During Peak Period </w:t>
            </w:r>
          </w:p>
        </w:tc>
        <w:tc>
          <w:tcPr>
            <w:tcW w:w="1080" w:type="dxa"/>
            <w:shd w:val="clear" w:color="auto" w:fill="auto"/>
            <w:vAlign w:val="center"/>
          </w:tcPr>
          <w:p w14:paraId="6E659100" w14:textId="137E13BF" w:rsidR="00FE54AE" w:rsidRPr="0026027C" w:rsidRDefault="00FE54AE" w:rsidP="0017356B">
            <w:pPr>
              <w:spacing w:before="0" w:after="0" w:line="240" w:lineRule="auto"/>
              <w:jc w:val="center"/>
              <w:rPr>
                <w:rFonts w:eastAsia="Times New Roman" w:cs="Arial"/>
                <w:color w:val="000000"/>
                <w:sz w:val="20"/>
                <w:szCs w:val="20"/>
              </w:rPr>
            </w:pPr>
            <w:r>
              <w:rPr>
                <w:rFonts w:eastAsia="Times New Roman" w:cs="Arial"/>
                <w:color w:val="000000"/>
                <w:sz w:val="20"/>
                <w:szCs w:val="20"/>
              </w:rPr>
              <w:t>0.</w:t>
            </w:r>
            <w:r w:rsidR="00BE4E75">
              <w:rPr>
                <w:rFonts w:eastAsia="Times New Roman" w:cs="Arial"/>
                <w:color w:val="000000"/>
                <w:sz w:val="20"/>
                <w:szCs w:val="20"/>
              </w:rPr>
              <w:t>3</w:t>
            </w:r>
            <w:r w:rsidR="00D02155">
              <w:rPr>
                <w:rFonts w:eastAsia="Times New Roman" w:cs="Arial"/>
                <w:color w:val="000000"/>
                <w:sz w:val="20"/>
                <w:szCs w:val="20"/>
              </w:rPr>
              <w:t>9</w:t>
            </w:r>
          </w:p>
        </w:tc>
        <w:tc>
          <w:tcPr>
            <w:tcW w:w="5130" w:type="dxa"/>
            <w:vAlign w:val="center"/>
          </w:tcPr>
          <w:p w14:paraId="34E17DEA" w14:textId="02003484" w:rsidR="00FE54AE" w:rsidRPr="007F72AF" w:rsidRDefault="00FE54AE" w:rsidP="00AE16F9">
            <w:pPr>
              <w:spacing w:before="0" w:after="0" w:line="240" w:lineRule="auto"/>
              <w:rPr>
                <w:bCs/>
                <w:sz w:val="18"/>
                <w:szCs w:val="20"/>
              </w:rPr>
            </w:pPr>
            <w:r w:rsidRPr="007F72AF">
              <w:rPr>
                <w:sz w:val="18"/>
              </w:rPr>
              <w:t xml:space="preserve">Aquacraft, Inc. 2011. </w:t>
            </w:r>
            <w:r w:rsidRPr="007F72AF">
              <w:rPr>
                <w:i/>
                <w:sz w:val="18"/>
              </w:rPr>
              <w:t>Embedded Energy in Water Studies. Study 3: End-use Water Demand Profiles.</w:t>
            </w:r>
            <w:r w:rsidRPr="007F72AF">
              <w:rPr>
                <w:sz w:val="18"/>
              </w:rPr>
              <w:t xml:space="preserve"> Prepared for the California Public Utilities Commission. CALMAC Study ID: CPU0052.</w:t>
            </w:r>
          </w:p>
        </w:tc>
      </w:tr>
      <w:tr w:rsidR="00FE54AE" w:rsidRPr="0026027C" w14:paraId="5788CFB3" w14:textId="77777777" w:rsidTr="00FE54AE">
        <w:trPr>
          <w:trHeight w:val="300"/>
        </w:trPr>
        <w:tc>
          <w:tcPr>
            <w:tcW w:w="3330" w:type="dxa"/>
            <w:shd w:val="clear" w:color="auto" w:fill="auto"/>
            <w:vAlign w:val="center"/>
          </w:tcPr>
          <w:p w14:paraId="046A7E16" w14:textId="1437B3CE" w:rsidR="00FE54AE" w:rsidRDefault="00FE54AE" w:rsidP="00AE16F9">
            <w:pPr>
              <w:spacing w:before="0" w:after="0" w:line="240" w:lineRule="auto"/>
              <w:rPr>
                <w:rFonts w:eastAsia="Times New Roman" w:cs="Arial"/>
                <w:color w:val="000000"/>
                <w:sz w:val="20"/>
                <w:szCs w:val="20"/>
              </w:rPr>
            </w:pPr>
            <w:r>
              <w:rPr>
                <w:rFonts w:eastAsia="Times New Roman" w:cs="Arial"/>
                <w:color w:val="000000"/>
                <w:sz w:val="20"/>
                <w:szCs w:val="20"/>
              </w:rPr>
              <w:t>Number of Hours in Peak Period</w:t>
            </w:r>
          </w:p>
        </w:tc>
        <w:tc>
          <w:tcPr>
            <w:tcW w:w="1080" w:type="dxa"/>
            <w:shd w:val="clear" w:color="auto" w:fill="auto"/>
            <w:vAlign w:val="center"/>
          </w:tcPr>
          <w:p w14:paraId="0473D488" w14:textId="131E3224" w:rsidR="00FE54AE" w:rsidRDefault="008C747E" w:rsidP="0017356B">
            <w:pPr>
              <w:spacing w:before="0" w:after="0" w:line="240" w:lineRule="auto"/>
              <w:jc w:val="center"/>
              <w:rPr>
                <w:rFonts w:eastAsia="Times New Roman" w:cs="Arial"/>
                <w:color w:val="000000"/>
                <w:sz w:val="20"/>
                <w:szCs w:val="20"/>
              </w:rPr>
            </w:pPr>
            <w:r>
              <w:rPr>
                <w:rFonts w:eastAsia="Times New Roman" w:cs="Arial"/>
                <w:color w:val="000000"/>
                <w:sz w:val="20"/>
                <w:szCs w:val="20"/>
              </w:rPr>
              <w:t>5</w:t>
            </w:r>
          </w:p>
        </w:tc>
        <w:tc>
          <w:tcPr>
            <w:tcW w:w="5130" w:type="dxa"/>
            <w:vAlign w:val="center"/>
          </w:tcPr>
          <w:p w14:paraId="0F55541F" w14:textId="15D352F5" w:rsidR="00FE54AE" w:rsidRPr="0020495F" w:rsidRDefault="0020495F" w:rsidP="00AE16F9">
            <w:pPr>
              <w:spacing w:before="0" w:after="0" w:line="240" w:lineRule="auto"/>
              <w:rPr>
                <w:sz w:val="18"/>
              </w:rPr>
            </w:pPr>
            <w:r w:rsidRPr="0020495F">
              <w:rPr>
                <w:sz w:val="18"/>
              </w:rPr>
              <w:t xml:space="preserve">California Public Utilities Commission (CPUC). 2006. </w:t>
            </w:r>
            <w:r w:rsidRPr="0020495F">
              <w:rPr>
                <w:i/>
                <w:sz w:val="18"/>
              </w:rPr>
              <w:t>D 06-06-063 in the Order Instituting Rulemaking to Promote Consistency in Methodology and Input Assumptions in Commission Applications of Short-Run and Long-Run Avoided Costs, Including Pricing for Qualifying Facilities. (R.04-04-025).</w:t>
            </w:r>
            <w:r w:rsidRPr="0020495F">
              <w:rPr>
                <w:sz w:val="18"/>
              </w:rPr>
              <w:t xml:space="preserve"> June 29.</w:t>
            </w:r>
          </w:p>
        </w:tc>
      </w:tr>
    </w:tbl>
    <w:p w14:paraId="56C77CEC" w14:textId="77777777" w:rsidR="007F72AF" w:rsidRDefault="007F72AF" w:rsidP="00BE2A6F"/>
    <w:p w14:paraId="68165289" w14:textId="77777777" w:rsidR="007D230B" w:rsidRPr="004B06E3" w:rsidRDefault="007D230B" w:rsidP="001369D7">
      <w:pPr>
        <w:pStyle w:val="eTRMHeading3"/>
      </w:pPr>
      <w:bookmarkStart w:id="52" w:name="_Toc486490858"/>
      <w:bookmarkStart w:id="53" w:name="_Toc486580929"/>
      <w:bookmarkStart w:id="54" w:name="_Toc528680029"/>
      <w:r w:rsidRPr="004B06E3">
        <w:t>Gas Savings</w:t>
      </w:r>
      <w:r w:rsidR="00245AFF" w:rsidRPr="004B06E3">
        <w:t xml:space="preserve"> (Therms)</w:t>
      </w:r>
      <w:bookmarkEnd w:id="52"/>
      <w:bookmarkEnd w:id="53"/>
      <w:bookmarkEnd w:id="54"/>
    </w:p>
    <w:p w14:paraId="57F81D61" w14:textId="42A863DF" w:rsidR="00C60ACD" w:rsidRPr="00F84224" w:rsidRDefault="00C60ACD" w:rsidP="00C60ACD">
      <w:r w:rsidRPr="00F84224">
        <w:t xml:space="preserve">The basis for </w:t>
      </w:r>
      <w:r>
        <w:t xml:space="preserve">gas unit </w:t>
      </w:r>
      <w:r w:rsidRPr="00F84224">
        <w:t xml:space="preserve">energy savings </w:t>
      </w:r>
      <w:r>
        <w:t xml:space="preserve">(UES) </w:t>
      </w:r>
      <w:r w:rsidRPr="00F84224">
        <w:t xml:space="preserve">is the difference between the water heating </w:t>
      </w:r>
      <w:r>
        <w:t xml:space="preserve">unit </w:t>
      </w:r>
      <w:r w:rsidRPr="00F84224">
        <w:t xml:space="preserve">energy </w:t>
      </w:r>
      <w:r>
        <w:t>consumption (UEC) of</w:t>
      </w:r>
      <w:r w:rsidRPr="00F84224">
        <w:t xml:space="preserve"> the base case </w:t>
      </w:r>
      <w:r>
        <w:t>and</w:t>
      </w:r>
      <w:r w:rsidRPr="00F84224">
        <w:t xml:space="preserve"> </w:t>
      </w:r>
      <w:r>
        <w:t>measure case dishwasher models. Because energy-</w:t>
      </w:r>
      <w:r w:rsidRPr="00F84224">
        <w:t xml:space="preserve">efficient units </w:t>
      </w:r>
      <w:r>
        <w:t>require</w:t>
      </w:r>
      <w:r w:rsidRPr="00F84224">
        <w:t xml:space="preserve"> considerably less water, less energy </w:t>
      </w:r>
      <w:r>
        <w:t>is</w:t>
      </w:r>
      <w:r w:rsidRPr="00F84224">
        <w:t xml:space="preserve"> required </w:t>
      </w:r>
      <w:r>
        <w:t>for water heating</w:t>
      </w:r>
      <w:r w:rsidRPr="00F84224">
        <w:t>. For both low</w:t>
      </w:r>
      <w:r>
        <w:t>-</w:t>
      </w:r>
      <w:r w:rsidRPr="00F84224">
        <w:t xml:space="preserve"> and high</w:t>
      </w:r>
      <w:r>
        <w:t>-</w:t>
      </w:r>
      <w:r w:rsidRPr="00F84224">
        <w:t xml:space="preserve">temperature machines, </w:t>
      </w:r>
      <w:r>
        <w:t xml:space="preserve">the </w:t>
      </w:r>
      <w:r w:rsidRPr="00F84224">
        <w:t xml:space="preserve">base case </w:t>
      </w:r>
      <w:r>
        <w:t>UEC</w:t>
      </w:r>
      <w:r w:rsidRPr="00F84224">
        <w:t xml:space="preserve"> is based on the energy required to heat water for the dishwashing and sanitizing cycles. The high</w:t>
      </w:r>
      <w:r>
        <w:t>-</w:t>
      </w:r>
      <w:r w:rsidRPr="00F84224">
        <w:t>temperature unit water heating energy components</w:t>
      </w:r>
      <w:r>
        <w:t xml:space="preserve"> are</w:t>
      </w:r>
      <w:r w:rsidRPr="00F84224">
        <w:t xml:space="preserve"> further split into </w:t>
      </w:r>
      <w:r w:rsidRPr="00186649">
        <w:rPr>
          <w:i/>
        </w:rPr>
        <w:t>primary</w:t>
      </w:r>
      <w:r w:rsidRPr="00F84224">
        <w:t xml:space="preserve"> and </w:t>
      </w:r>
      <w:r w:rsidRPr="00186649">
        <w:rPr>
          <w:i/>
        </w:rPr>
        <w:t>booster</w:t>
      </w:r>
      <w:r w:rsidRPr="00F84224">
        <w:t xml:space="preserve"> water heating.</w:t>
      </w:r>
    </w:p>
    <w:p w14:paraId="648BF332" w14:textId="765D25D7" w:rsidR="00C60ACD" w:rsidRPr="001C00DE" w:rsidRDefault="00C60ACD" w:rsidP="00C60ACD">
      <w:pPr>
        <w:rPr>
          <w:sz w:val="28"/>
        </w:rPr>
      </w:pPr>
      <w:r>
        <w:t xml:space="preserve">The calculation of the annual gas UEC is calculated as the difference between the baseline UEC and the measure case UEC. </w:t>
      </w:r>
      <w:r w:rsidRPr="001C00DE">
        <w:rPr>
          <w:rStyle w:val="eTRMFootnoteTextChar"/>
          <w:sz w:val="22"/>
        </w:rPr>
        <w:t xml:space="preserve">Note that motor energy and standby losses are assumed to be the same for both the base case and the measure case and are therefore not </w:t>
      </w:r>
      <w:r>
        <w:rPr>
          <w:rStyle w:val="eTRMFootnoteTextChar"/>
          <w:sz w:val="22"/>
        </w:rPr>
        <w:t>presented</w:t>
      </w:r>
      <w:r w:rsidRPr="001C00DE">
        <w:rPr>
          <w:rStyle w:val="eTRMFootnoteTextChar"/>
          <w:sz w:val="22"/>
        </w:rPr>
        <w:t xml:space="preserve"> in the energy savings calculations.</w:t>
      </w:r>
    </w:p>
    <w:p w14:paraId="67FDA0A6" w14:textId="6465E682" w:rsidR="00C60ACD" w:rsidRPr="00CF4CBA" w:rsidRDefault="007413C9" w:rsidP="00C60ACD">
      <w:pPr>
        <w:ind w:left="720"/>
        <w:rPr>
          <w:bCs/>
          <w:sz w:val="18"/>
          <w:szCs w:val="18"/>
        </w:rPr>
      </w:pPr>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YEAR</m:t>
              </m:r>
            </m:sub>
          </m:sSub>
          <m:r>
            <w:rPr>
              <w:rFonts w:ascii="Cambria Math" w:hAnsi="Cambria Math"/>
              <w:sz w:val="18"/>
              <w:szCs w:val="18"/>
            </w:rPr>
            <m:t>=Gas Water Heater Energy+GasBooster Water Heater Energy+Idle Energy</m:t>
          </m:r>
        </m:oMath>
      </m:oMathPara>
    </w:p>
    <w:p w14:paraId="0808F832" w14:textId="77777777" w:rsidR="00C60ACD" w:rsidRDefault="00C60ACD" w:rsidP="00C60ACD"/>
    <w:p w14:paraId="5B263B41" w14:textId="77777777" w:rsidR="00C60ACD" w:rsidRDefault="00C60ACD" w:rsidP="00C60ACD">
      <w:r>
        <w:t>Each term in the UEC calculation is detailed below, followed by all inputs and assumptions.</w:t>
      </w:r>
    </w:p>
    <w:p w14:paraId="77C6A89F" w14:textId="77777777" w:rsidR="00D27887" w:rsidRDefault="00D27887" w:rsidP="004A0D70"/>
    <w:p w14:paraId="1F716A50" w14:textId="2DDC7E95" w:rsidR="004A0D70" w:rsidRDefault="006D46B3" w:rsidP="00C60ACD">
      <w:pPr>
        <w:pStyle w:val="eTRMHeading4"/>
      </w:pPr>
      <w:r>
        <w:lastRenderedPageBreak/>
        <w:t>Gas</w:t>
      </w:r>
      <w:r w:rsidR="004A0D70">
        <w:t xml:space="preserve"> Water Heater Energy Use</w:t>
      </w:r>
    </w:p>
    <w:p w14:paraId="5D083742" w14:textId="59A24850" w:rsidR="004A0D70" w:rsidRDefault="00C60ACD" w:rsidP="004A0D70">
      <w:r>
        <w:t>W</w:t>
      </w:r>
      <w:r w:rsidR="004A0D70">
        <w:t>ater heater energy use is a function of water consumption (GPR), the number of racks washed per year, the UEC per gallon of water, and market penetration of electric water heating and booster heating.</w:t>
      </w:r>
    </w:p>
    <w:p w14:paraId="0EF842A4" w14:textId="479F739D" w:rsidR="00C60ACD" w:rsidRPr="000A5F61" w:rsidRDefault="00C60ACD" w:rsidP="00C60ACD">
      <w:pPr>
        <w:ind w:left="810"/>
        <w:jc w:val="both"/>
        <w:rPr>
          <w:sz w:val="18"/>
          <w:szCs w:val="18"/>
        </w:rPr>
      </w:pPr>
      <m:oMathPara>
        <m:oMathParaPr>
          <m:jc m:val="left"/>
        </m:oMathParaPr>
        <m:oMath>
          <m:r>
            <w:rPr>
              <w:rFonts w:ascii="Cambria Math" w:hAnsi="Cambria Math"/>
              <w:sz w:val="18"/>
              <w:szCs w:val="18"/>
            </w:rPr>
            <m:t>Gas  Water Heater Energy=GPR×RACKS×EDAYS×</m:t>
          </m:r>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Water Heater</m:t>
              </m:r>
            </m:sub>
          </m:sSub>
          <m:r>
            <w:rPr>
              <w:rFonts w:ascii="Cambria Math" w:hAnsi="Cambria Math"/>
              <w:sz w:val="18"/>
              <w:szCs w:val="18"/>
            </w:rPr>
            <m:t>×MktPen</m:t>
          </m:r>
        </m:oMath>
      </m:oMathPara>
    </w:p>
    <w:p w14:paraId="6E15C1A1" w14:textId="77777777" w:rsidR="00D74DFD" w:rsidRPr="00E51FD3" w:rsidRDefault="00D74DFD" w:rsidP="00D74DFD">
      <w:pPr>
        <w:spacing w:before="0" w:after="0"/>
        <w:ind w:left="1440"/>
        <w:rPr>
          <w:rFonts w:ascii="Cambria Math" w:hAnsi="Cambria Math"/>
          <w:i/>
          <w:sz w:val="18"/>
        </w:rPr>
      </w:pPr>
      <w:r w:rsidRPr="00E51FD3">
        <w:rPr>
          <w:rFonts w:ascii="Cambria Math" w:hAnsi="Cambria Math"/>
          <w:i/>
          <w:sz w:val="18"/>
        </w:rPr>
        <w:t xml:space="preserve">GPR = Water consumption (GPR) </w:t>
      </w:r>
    </w:p>
    <w:p w14:paraId="53B2403D" w14:textId="194675ED" w:rsidR="00D74DFD" w:rsidRDefault="00D74DFD" w:rsidP="00D74DFD">
      <w:pPr>
        <w:spacing w:before="0" w:after="0"/>
        <w:ind w:left="1440"/>
        <w:rPr>
          <w:rFonts w:ascii="Cambria Math" w:hAnsi="Cambria Math"/>
          <w:i/>
          <w:sz w:val="18"/>
        </w:rPr>
      </w:pPr>
      <w:r w:rsidRPr="00E51FD3">
        <w:rPr>
          <w:rFonts w:ascii="Cambria Math" w:hAnsi="Cambria Math"/>
          <w:i/>
          <w:sz w:val="18"/>
        </w:rPr>
        <w:t>RACK</w:t>
      </w:r>
      <w:r>
        <w:rPr>
          <w:rFonts w:ascii="Cambria Math" w:hAnsi="Cambria Math"/>
          <w:i/>
          <w:sz w:val="18"/>
        </w:rPr>
        <w:t>S</w:t>
      </w:r>
      <w:r w:rsidRPr="00E51FD3">
        <w:rPr>
          <w:rFonts w:ascii="Cambria Math" w:hAnsi="Cambria Math"/>
          <w:i/>
          <w:sz w:val="18"/>
        </w:rPr>
        <w:t xml:space="preserve"> = Number of racks washed per </w:t>
      </w:r>
      <w:r>
        <w:rPr>
          <w:rFonts w:ascii="Cambria Math" w:hAnsi="Cambria Math"/>
          <w:i/>
          <w:sz w:val="18"/>
        </w:rPr>
        <w:t>day</w:t>
      </w:r>
      <w:r w:rsidRPr="00E51FD3">
        <w:rPr>
          <w:rFonts w:ascii="Cambria Math" w:hAnsi="Cambria Math"/>
          <w:i/>
          <w:sz w:val="18"/>
        </w:rPr>
        <w:t xml:space="preserve"> (</w:t>
      </w:r>
      <w:r w:rsidR="0073582E">
        <w:rPr>
          <w:rFonts w:ascii="Cambria Math" w:hAnsi="Cambria Math"/>
          <w:i/>
          <w:sz w:val="18"/>
        </w:rPr>
        <w:t>rack/day</w:t>
      </w:r>
      <w:r w:rsidRPr="00E51FD3">
        <w:rPr>
          <w:rFonts w:ascii="Cambria Math" w:hAnsi="Cambria Math"/>
          <w:i/>
          <w:sz w:val="18"/>
        </w:rPr>
        <w:t>)</w:t>
      </w:r>
    </w:p>
    <w:p w14:paraId="78573CA6" w14:textId="77777777" w:rsidR="00D74DFD" w:rsidRPr="00E51FD3" w:rsidRDefault="00D74DFD" w:rsidP="00D74DFD">
      <w:pPr>
        <w:spacing w:before="0" w:after="0"/>
        <w:ind w:left="1440"/>
        <w:rPr>
          <w:rFonts w:ascii="Cambria Math" w:hAnsi="Cambria Math"/>
          <w:i/>
          <w:sz w:val="18"/>
        </w:rPr>
      </w:pPr>
      <w:r>
        <w:rPr>
          <w:rFonts w:ascii="Cambria Math" w:hAnsi="Cambria Math"/>
          <w:i/>
          <w:sz w:val="18"/>
        </w:rPr>
        <w:t>EDAYS = Operating days per year (days)</w:t>
      </w:r>
    </w:p>
    <w:p w14:paraId="45BE9A00" w14:textId="085919D0" w:rsidR="00D74DFD" w:rsidRPr="00E51FD3" w:rsidRDefault="00D74DFD" w:rsidP="00D74DFD">
      <w:pPr>
        <w:spacing w:before="0" w:after="0"/>
        <w:ind w:left="1440"/>
        <w:rPr>
          <w:rFonts w:ascii="Cambria Math" w:hAnsi="Cambria Math"/>
          <w:i/>
          <w:sz w:val="18"/>
        </w:rPr>
      </w:pPr>
      <w:r w:rsidRPr="00E51FD3">
        <w:rPr>
          <w:rFonts w:ascii="Cambria Math" w:hAnsi="Cambria Math"/>
          <w:i/>
          <w:sz w:val="18"/>
        </w:rPr>
        <w:t>UECGAL = UEC per gallon of water</w:t>
      </w:r>
      <w:r>
        <w:rPr>
          <w:rFonts w:ascii="Cambria Math" w:hAnsi="Cambria Math"/>
          <w:i/>
          <w:sz w:val="18"/>
        </w:rPr>
        <w:t xml:space="preserve"> (Therms)</w:t>
      </w:r>
    </w:p>
    <w:p w14:paraId="3C26C8D8" w14:textId="6F5227FE" w:rsidR="00D74DFD" w:rsidRPr="00E51FD3" w:rsidRDefault="00D74DFD" w:rsidP="00D74DFD">
      <w:pPr>
        <w:spacing w:before="0" w:after="0"/>
        <w:ind w:left="1440"/>
        <w:rPr>
          <w:rFonts w:ascii="Cambria Math" w:hAnsi="Cambria Math"/>
          <w:i/>
          <w:sz w:val="18"/>
        </w:rPr>
      </w:pPr>
      <w:r w:rsidRPr="00E51FD3">
        <w:rPr>
          <w:rFonts w:ascii="Cambria Math" w:hAnsi="Cambria Math"/>
          <w:i/>
          <w:sz w:val="18"/>
        </w:rPr>
        <w:t xml:space="preserve">MktPen = Market penetration of </w:t>
      </w:r>
      <w:r>
        <w:rPr>
          <w:rFonts w:ascii="Cambria Math" w:hAnsi="Cambria Math"/>
          <w:i/>
          <w:sz w:val="18"/>
        </w:rPr>
        <w:t>gas</w:t>
      </w:r>
      <w:r w:rsidRPr="00E51FD3">
        <w:rPr>
          <w:rFonts w:ascii="Cambria Math" w:hAnsi="Cambria Math"/>
          <w:i/>
          <w:sz w:val="18"/>
        </w:rPr>
        <w:t xml:space="preserve"> water heating </w:t>
      </w:r>
      <w:r>
        <w:rPr>
          <w:rFonts w:ascii="Cambria Math" w:hAnsi="Cambria Math"/>
          <w:i/>
          <w:sz w:val="18"/>
        </w:rPr>
        <w:t>(%, decimal)</w:t>
      </w:r>
    </w:p>
    <w:p w14:paraId="41BD1C6C" w14:textId="77777777" w:rsidR="00C60ACD" w:rsidRDefault="00C60ACD" w:rsidP="004A0D70"/>
    <w:p w14:paraId="55A7FAB4" w14:textId="77777777" w:rsidR="00313160" w:rsidRDefault="00313160" w:rsidP="00313160">
      <w:r>
        <w:rPr>
          <w:b/>
        </w:rPr>
        <w:t xml:space="preserve">Water Consumption (GPR) </w:t>
      </w:r>
      <w:r w:rsidRPr="00F84224">
        <w:t xml:space="preserve">The </w:t>
      </w:r>
      <w:r>
        <w:t xml:space="preserve">water consumption in gallons per rack was calculated as the maximum allowable consumption as shown in the Measure Offering table. Tier 2 units were determined to have water consumption 15% below ENERGY STAR maximum performance </w:t>
      </w:r>
      <w:r w:rsidRPr="00F84224">
        <w:t>criteria</w:t>
      </w:r>
      <w:r>
        <w:rPr>
          <w:rStyle w:val="FootnoteReference"/>
        </w:rPr>
        <w:footnoteReference w:id="19"/>
      </w:r>
      <w:r>
        <w:t>.</w:t>
      </w:r>
    </w:p>
    <w:p w14:paraId="68477FD8" w14:textId="69A84CBC" w:rsidR="0017356B" w:rsidRDefault="0017356B" w:rsidP="0017356B">
      <w:r w:rsidRPr="00F84224">
        <w:rPr>
          <w:b/>
        </w:rPr>
        <w:t xml:space="preserve">Racks per </w:t>
      </w:r>
      <w:r>
        <w:rPr>
          <w:b/>
        </w:rPr>
        <w:t xml:space="preserve">Day. </w:t>
      </w:r>
      <w:r w:rsidRPr="00F84224">
        <w:t xml:space="preserve">The </w:t>
      </w:r>
      <w:r>
        <w:t xml:space="preserve">number of </w:t>
      </w:r>
      <w:r w:rsidRPr="00F84224">
        <w:t>racks</w:t>
      </w:r>
      <w:r w:rsidR="00105DED">
        <w:t xml:space="preserve"> </w:t>
      </w:r>
      <w:r w:rsidRPr="00F84224">
        <w:t>per</w:t>
      </w:r>
      <w:r w:rsidR="00105DED">
        <w:t xml:space="preserve"> </w:t>
      </w:r>
      <w:r w:rsidRPr="00F84224">
        <w:t xml:space="preserve">day is based on monitored data from five different restaurant sites </w:t>
      </w:r>
      <w:r>
        <w:t>(</w:t>
      </w:r>
      <w:r w:rsidRPr="00F84224">
        <w:t>fast casual, fine dining, cafes, and quick service restaurants</w:t>
      </w:r>
      <w:r>
        <w:t>)</w:t>
      </w:r>
      <w:r w:rsidRPr="00F84224">
        <w:t xml:space="preserve"> and dishwasher leasing companies </w:t>
      </w:r>
      <w:r>
        <w:t>that</w:t>
      </w:r>
      <w:r w:rsidRPr="00F84224">
        <w:t xml:space="preserve"> track the racks</w:t>
      </w:r>
      <w:r>
        <w:t xml:space="preserve"> per month as part of the equipment lease agreements</w:t>
      </w:r>
      <w:r w:rsidRPr="00F84224">
        <w:t xml:space="preserve">. </w:t>
      </w:r>
      <w:r>
        <w:t>The monitored</w:t>
      </w:r>
      <w:r w:rsidRPr="00F84224">
        <w:t xml:space="preserve"> data</w:t>
      </w:r>
      <w:r>
        <w:t xml:space="preserve"> was provided by the Food Service Technology Center (FSTC).</w:t>
      </w:r>
      <w:r>
        <w:rPr>
          <w:rStyle w:val="FootnoteReference"/>
        </w:rPr>
        <w:footnoteReference w:id="20"/>
      </w:r>
      <w:r w:rsidRPr="00F84224">
        <w:t xml:space="preserve"> </w:t>
      </w:r>
    </w:p>
    <w:p w14:paraId="7894B457" w14:textId="5EE71D6D" w:rsidR="00313160" w:rsidRDefault="00313160" w:rsidP="0017356B">
      <w:pPr>
        <w:rPr>
          <w:rFonts w:eastAsia="Times New Roman" w:cs="Times New Roman"/>
          <w:szCs w:val="22"/>
        </w:rPr>
      </w:pPr>
      <w:r>
        <w:rPr>
          <w:b/>
        </w:rPr>
        <w:t xml:space="preserve">Operating Days per Year </w:t>
      </w:r>
      <w:r w:rsidRPr="001146D0">
        <w:t xml:space="preserve">The commercial dishwasher hours and days per year of operation was derived </w:t>
      </w:r>
      <w:r w:rsidRPr="001146D0">
        <w:rPr>
          <w:szCs w:val="22"/>
        </w:rPr>
        <w:t xml:space="preserve">from an independent </w:t>
      </w:r>
      <w:r w:rsidRPr="001146D0">
        <w:rPr>
          <w:rFonts w:eastAsia="Times New Roman" w:cs="Times New Roman"/>
          <w:szCs w:val="22"/>
        </w:rPr>
        <w:t>survey of 54 food service establishments conducted by Navigant Consulting.</w:t>
      </w:r>
      <w:r w:rsidRPr="001146D0">
        <w:rPr>
          <w:rStyle w:val="FootnoteReference"/>
          <w:rFonts w:eastAsia="Times New Roman" w:cs="Times New Roman"/>
          <w:szCs w:val="22"/>
        </w:rPr>
        <w:footnoteReference w:id="21"/>
      </w:r>
      <w:r w:rsidRPr="001146D0">
        <w:rPr>
          <w:rFonts w:eastAsia="Times New Roman" w:cs="Times New Roman"/>
          <w:szCs w:val="22"/>
        </w:rPr>
        <w:t xml:space="preserve"> </w:t>
      </w:r>
      <w:r>
        <w:rPr>
          <w:rFonts w:eastAsia="Times New Roman" w:cs="Times New Roman"/>
          <w:szCs w:val="22"/>
        </w:rPr>
        <w:t>The survey sample included independent restaurants, casual concept (big chain) restaurants, and fast food chains. These assumed hours and days of operation align with assumptions for many other food service measures drawn from a food service equipment market potential study conducted for the California Energy Commission (CEC) by Fisher-Nickel, Inc.</w:t>
      </w:r>
      <w:r>
        <w:rPr>
          <w:rStyle w:val="FootnoteReference"/>
          <w:rFonts w:eastAsia="Times New Roman" w:cs="Times New Roman"/>
          <w:szCs w:val="22"/>
        </w:rPr>
        <w:footnoteReference w:id="22"/>
      </w:r>
    </w:p>
    <w:p w14:paraId="12597DCD" w14:textId="77777777" w:rsidR="00B942FB" w:rsidRDefault="00B942FB" w:rsidP="00B942FB">
      <w:pPr>
        <w:rPr>
          <w:color w:val="FF0000"/>
        </w:rPr>
      </w:pPr>
      <w:r w:rsidRPr="00186649">
        <w:rPr>
          <w:b/>
        </w:rPr>
        <w:t xml:space="preserve">Market Penetration of </w:t>
      </w:r>
      <w:r>
        <w:rPr>
          <w:b/>
        </w:rPr>
        <w:t xml:space="preserve">Water </w:t>
      </w:r>
      <w:r w:rsidRPr="00186649">
        <w:rPr>
          <w:b/>
        </w:rPr>
        <w:t>Heating Fuel Types</w:t>
      </w:r>
      <w:r>
        <w:t xml:space="preserve"> </w:t>
      </w:r>
      <w:r w:rsidRPr="00F26D9F">
        <w:t xml:space="preserve">Electric </w:t>
      </w:r>
      <w:r>
        <w:t xml:space="preserve">and gas </w:t>
      </w:r>
      <w:r w:rsidRPr="00F26D9F">
        <w:t xml:space="preserve">water heater fuel saturation </w:t>
      </w:r>
      <w:r>
        <w:t xml:space="preserve">was </w:t>
      </w:r>
      <w:r w:rsidRPr="00F26D9F">
        <w:t>derived from CEUS 2006 data.</w:t>
      </w:r>
    </w:p>
    <w:p w14:paraId="0E3BD16E" w14:textId="77777777" w:rsidR="00B942FB" w:rsidRDefault="00B942FB" w:rsidP="00B942FB">
      <w:pPr>
        <w:pStyle w:val="Caption"/>
      </w:pPr>
      <w:r>
        <w:t xml:space="preserve">Market </w:t>
      </w:r>
      <w:r w:rsidRPr="00F84224">
        <w:t xml:space="preserve">Penetration of Primary Water Heating </w:t>
      </w:r>
      <w:r>
        <w:t>Fuel</w:t>
      </w:r>
    </w:p>
    <w:tbl>
      <w:tblPr>
        <w:tblW w:w="957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900"/>
        <w:gridCol w:w="1530"/>
        <w:gridCol w:w="4140"/>
      </w:tblGrid>
      <w:tr w:rsidR="00B942FB" w:rsidRPr="00A45720" w14:paraId="7A3363BD" w14:textId="77777777" w:rsidTr="00D37A2A">
        <w:trPr>
          <w:cantSplit/>
          <w:trHeight w:val="20"/>
        </w:trPr>
        <w:tc>
          <w:tcPr>
            <w:tcW w:w="3900" w:type="dxa"/>
            <w:shd w:val="clear" w:color="auto" w:fill="F2F2F2" w:themeFill="background1" w:themeFillShade="F2"/>
            <w:noWrap/>
            <w:vAlign w:val="bottom"/>
          </w:tcPr>
          <w:p w14:paraId="27DE2608" w14:textId="77777777" w:rsidR="00B942FB" w:rsidRPr="00A45720" w:rsidRDefault="00B942FB" w:rsidP="00D37A2A">
            <w:pPr>
              <w:keepNext/>
              <w:keepLines/>
              <w:spacing w:before="20" w:after="20"/>
              <w:rPr>
                <w:b/>
                <w:sz w:val="20"/>
              </w:rPr>
            </w:pPr>
            <w:r>
              <w:rPr>
                <w:b/>
                <w:sz w:val="20"/>
              </w:rPr>
              <w:t>Primary/Booster Fuel Combination</w:t>
            </w:r>
          </w:p>
        </w:tc>
        <w:tc>
          <w:tcPr>
            <w:tcW w:w="1530" w:type="dxa"/>
            <w:shd w:val="clear" w:color="auto" w:fill="F2F2F2" w:themeFill="background1" w:themeFillShade="F2"/>
            <w:noWrap/>
            <w:vAlign w:val="bottom"/>
          </w:tcPr>
          <w:p w14:paraId="1065B5CF" w14:textId="77777777" w:rsidR="00B942FB" w:rsidRPr="00A45720" w:rsidRDefault="00B942FB" w:rsidP="00D37A2A">
            <w:pPr>
              <w:keepNext/>
              <w:keepLines/>
              <w:spacing w:before="20" w:after="20"/>
              <w:jc w:val="center"/>
              <w:rPr>
                <w:b/>
                <w:sz w:val="20"/>
              </w:rPr>
            </w:pPr>
            <w:r>
              <w:rPr>
                <w:b/>
                <w:sz w:val="20"/>
              </w:rPr>
              <w:t>Penetration (%)</w:t>
            </w:r>
          </w:p>
        </w:tc>
        <w:tc>
          <w:tcPr>
            <w:tcW w:w="4140" w:type="dxa"/>
            <w:shd w:val="clear" w:color="auto" w:fill="F2F2F2" w:themeFill="background1" w:themeFillShade="F2"/>
          </w:tcPr>
          <w:p w14:paraId="28FC82D1" w14:textId="77777777" w:rsidR="00B942FB" w:rsidRDefault="00B942FB" w:rsidP="00D37A2A">
            <w:pPr>
              <w:keepNext/>
              <w:keepLines/>
              <w:spacing w:before="20" w:after="20"/>
              <w:jc w:val="center"/>
              <w:rPr>
                <w:b/>
                <w:sz w:val="20"/>
              </w:rPr>
            </w:pPr>
            <w:r>
              <w:rPr>
                <w:b/>
                <w:sz w:val="20"/>
              </w:rPr>
              <w:t>Source</w:t>
            </w:r>
          </w:p>
        </w:tc>
      </w:tr>
      <w:tr w:rsidR="00B942FB" w:rsidRPr="00A45720" w14:paraId="480BF2A4" w14:textId="77777777" w:rsidTr="00D37A2A">
        <w:trPr>
          <w:cantSplit/>
          <w:trHeight w:val="305"/>
        </w:trPr>
        <w:tc>
          <w:tcPr>
            <w:tcW w:w="3900" w:type="dxa"/>
            <w:noWrap/>
            <w:vAlign w:val="bottom"/>
            <w:hideMark/>
          </w:tcPr>
          <w:p w14:paraId="2086455E" w14:textId="77777777" w:rsidR="00B942FB" w:rsidRPr="00A45720" w:rsidRDefault="00B942FB" w:rsidP="00D37A2A">
            <w:pPr>
              <w:keepNext/>
              <w:keepLines/>
              <w:spacing w:before="20" w:after="20"/>
              <w:rPr>
                <w:sz w:val="20"/>
              </w:rPr>
            </w:pPr>
            <w:r>
              <w:rPr>
                <w:sz w:val="20"/>
              </w:rPr>
              <w:t>Electric</w:t>
            </w:r>
          </w:p>
        </w:tc>
        <w:tc>
          <w:tcPr>
            <w:tcW w:w="1530" w:type="dxa"/>
            <w:noWrap/>
            <w:vAlign w:val="bottom"/>
          </w:tcPr>
          <w:p w14:paraId="5A1FFCCA" w14:textId="77777777" w:rsidR="00B942FB" w:rsidRPr="006B0FA1" w:rsidRDefault="00B942FB" w:rsidP="00D37A2A">
            <w:pPr>
              <w:keepNext/>
              <w:keepLines/>
              <w:spacing w:before="20" w:after="20"/>
              <w:ind w:right="474"/>
              <w:jc w:val="right"/>
              <w:rPr>
                <w:sz w:val="20"/>
              </w:rPr>
            </w:pPr>
            <w:r w:rsidRPr="006B0FA1">
              <w:rPr>
                <w:sz w:val="20"/>
              </w:rPr>
              <w:t>3%</w:t>
            </w:r>
          </w:p>
        </w:tc>
        <w:tc>
          <w:tcPr>
            <w:tcW w:w="4140" w:type="dxa"/>
            <w:vMerge w:val="restart"/>
            <w:vAlign w:val="center"/>
          </w:tcPr>
          <w:p w14:paraId="1831C2D4" w14:textId="77777777" w:rsidR="00B942FB" w:rsidRPr="004912D4" w:rsidRDefault="00B942FB" w:rsidP="00D37A2A">
            <w:pPr>
              <w:keepNext/>
              <w:keepLines/>
              <w:spacing w:before="20" w:after="20"/>
              <w:rPr>
                <w:sz w:val="18"/>
              </w:rPr>
            </w:pPr>
            <w:r w:rsidRPr="004912D4">
              <w:rPr>
                <w:rStyle w:val="eTRMFootnoteTextChar"/>
              </w:rPr>
              <w:t>Itron, Inc. 2006. California Commercial End Use Survey. Prepared for the California Energy Commission. CEC-400-2006-005.  Table E-1.</w:t>
            </w:r>
          </w:p>
        </w:tc>
      </w:tr>
      <w:tr w:rsidR="00B942FB" w:rsidRPr="00A45720" w14:paraId="2CA7A874" w14:textId="77777777" w:rsidTr="00D37A2A">
        <w:trPr>
          <w:cantSplit/>
          <w:trHeight w:val="260"/>
        </w:trPr>
        <w:tc>
          <w:tcPr>
            <w:tcW w:w="3900" w:type="dxa"/>
            <w:noWrap/>
            <w:vAlign w:val="bottom"/>
            <w:hideMark/>
          </w:tcPr>
          <w:p w14:paraId="0D685D31" w14:textId="77777777" w:rsidR="00B942FB" w:rsidRPr="00A45720" w:rsidRDefault="00B942FB" w:rsidP="00D37A2A">
            <w:pPr>
              <w:spacing w:before="20" w:after="20"/>
              <w:rPr>
                <w:sz w:val="20"/>
              </w:rPr>
            </w:pPr>
            <w:r>
              <w:rPr>
                <w:sz w:val="20"/>
              </w:rPr>
              <w:t>Gas</w:t>
            </w:r>
          </w:p>
        </w:tc>
        <w:tc>
          <w:tcPr>
            <w:tcW w:w="1530" w:type="dxa"/>
            <w:noWrap/>
            <w:vAlign w:val="bottom"/>
          </w:tcPr>
          <w:p w14:paraId="77CBCB95" w14:textId="77777777" w:rsidR="00B942FB" w:rsidRPr="006B0FA1" w:rsidRDefault="00B942FB" w:rsidP="00D37A2A">
            <w:pPr>
              <w:spacing w:before="20" w:after="20"/>
              <w:ind w:right="474"/>
              <w:jc w:val="right"/>
              <w:rPr>
                <w:sz w:val="20"/>
              </w:rPr>
            </w:pPr>
            <w:r>
              <w:rPr>
                <w:sz w:val="20"/>
              </w:rPr>
              <w:t>97</w:t>
            </w:r>
            <w:r w:rsidRPr="006B0FA1">
              <w:rPr>
                <w:sz w:val="20"/>
              </w:rPr>
              <w:t>%</w:t>
            </w:r>
          </w:p>
        </w:tc>
        <w:tc>
          <w:tcPr>
            <w:tcW w:w="4140" w:type="dxa"/>
            <w:vMerge/>
          </w:tcPr>
          <w:p w14:paraId="604E0877" w14:textId="77777777" w:rsidR="00B942FB" w:rsidRDefault="00B942FB" w:rsidP="00D37A2A">
            <w:pPr>
              <w:spacing w:before="20" w:after="20"/>
              <w:jc w:val="center"/>
              <w:rPr>
                <w:color w:val="FF0000"/>
                <w:sz w:val="20"/>
              </w:rPr>
            </w:pPr>
          </w:p>
        </w:tc>
      </w:tr>
    </w:tbl>
    <w:p w14:paraId="6360C459" w14:textId="77777777" w:rsidR="00B942FB" w:rsidRPr="00313160" w:rsidRDefault="00B942FB" w:rsidP="0017356B">
      <w:pPr>
        <w:rPr>
          <w:rFonts w:eastAsia="Times New Roman" w:cs="Times New Roman"/>
          <w:szCs w:val="22"/>
        </w:rPr>
      </w:pPr>
    </w:p>
    <w:p w14:paraId="083017B0" w14:textId="3BAE0EE4" w:rsidR="004A0D70" w:rsidRDefault="004A0D70" w:rsidP="004A0D70">
      <w:pPr>
        <w:keepNext/>
        <w:keepLines/>
      </w:pPr>
      <w:r>
        <w:rPr>
          <w:b/>
        </w:rPr>
        <w:lastRenderedPageBreak/>
        <w:t>UEC</w:t>
      </w:r>
      <w:r w:rsidRPr="00F84224">
        <w:rPr>
          <w:b/>
        </w:rPr>
        <w:t xml:space="preserve"> per Gallon</w:t>
      </w:r>
      <w:r>
        <w:rPr>
          <w:b/>
        </w:rPr>
        <w:t xml:space="preserve"> of Water. </w:t>
      </w:r>
      <w:r w:rsidRPr="00F84224">
        <w:t xml:space="preserve">The </w:t>
      </w:r>
      <w:r>
        <w:t>UEC</w:t>
      </w:r>
      <w:r w:rsidRPr="00F84224">
        <w:t xml:space="preserve"> per gallon of water</w:t>
      </w:r>
      <w:r>
        <w:t xml:space="preserve"> </w:t>
      </w:r>
      <w:r w:rsidRPr="00F84224">
        <w:t>is based on the increase in water temperature required for a wash cycle, the specific heat of water</w:t>
      </w:r>
      <w:r>
        <w:t>,</w:t>
      </w:r>
      <w:r w:rsidRPr="00F84224">
        <w:t xml:space="preserve"> the </w:t>
      </w:r>
      <w:r w:rsidR="00313160">
        <w:t>density</w:t>
      </w:r>
      <w:r w:rsidRPr="00F84224">
        <w:t xml:space="preserve"> of water, and the </w:t>
      </w:r>
      <w:r>
        <w:t xml:space="preserve">heating </w:t>
      </w:r>
      <w:r w:rsidRPr="00F84224">
        <w:t>equipment efficiency.</w:t>
      </w:r>
    </w:p>
    <w:p w14:paraId="5CC6AB36" w14:textId="477B45BD" w:rsidR="004A0D70" w:rsidRPr="00A92C95" w:rsidRDefault="001F3D36" w:rsidP="004A0D70">
      <w:pPr>
        <w:keepNext/>
        <w:keepLines/>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Water Heater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∆T×C×ρ</m:t>
                  </m:r>
                </m:num>
                <m:den>
                  <m:r>
                    <w:rPr>
                      <w:rFonts w:ascii="Cambria Math" w:hAnsi="Cambria Math"/>
                      <w:sz w:val="18"/>
                      <w:szCs w:val="18"/>
                    </w:rPr>
                    <m:t>η</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Therm</m:t>
              </m:r>
            </m:num>
            <m:den>
              <m:r>
                <w:rPr>
                  <w:rFonts w:ascii="Cambria Math" w:hAnsi="Cambria Math"/>
                  <w:sz w:val="18"/>
                  <w:szCs w:val="18"/>
                </w:rPr>
                <m:t>Btu</m:t>
              </m:r>
            </m:den>
          </m:f>
        </m:oMath>
      </m:oMathPara>
    </w:p>
    <w:p w14:paraId="2B9AB20D" w14:textId="064BAE60" w:rsidR="004A0D70" w:rsidRPr="005C0B14" w:rsidRDefault="004A0D70" w:rsidP="00313160">
      <w:pPr>
        <w:spacing w:before="0" w:after="0"/>
        <w:ind w:left="1440"/>
        <w:rPr>
          <w:rFonts w:ascii="Cambria Math" w:hAnsi="Cambria Math"/>
          <w:i/>
          <w:sz w:val="18"/>
        </w:rPr>
      </w:pPr>
      <m:oMath>
        <m:r>
          <w:rPr>
            <w:rFonts w:ascii="Cambria Math" w:hAnsi="Cambria Math"/>
            <w:sz w:val="18"/>
          </w:rPr>
          <m:t>∆T=</m:t>
        </m:r>
      </m:oMath>
      <w:r w:rsidRPr="005C0B14">
        <w:rPr>
          <w:rFonts w:ascii="Cambria Math" w:hAnsi="Cambria Math"/>
          <w:i/>
          <w:sz w:val="18"/>
        </w:rPr>
        <w:t xml:space="preserve">Temperature </w:t>
      </w:r>
      <w:r w:rsidR="005A3AA7" w:rsidRPr="005C0B14">
        <w:rPr>
          <w:rFonts w:ascii="Cambria Math" w:hAnsi="Cambria Math"/>
          <w:i/>
          <w:sz w:val="18"/>
        </w:rPr>
        <w:t>r</w:t>
      </w:r>
      <w:r w:rsidRPr="005C0B14">
        <w:rPr>
          <w:rFonts w:ascii="Cambria Math" w:hAnsi="Cambria Math"/>
          <w:i/>
          <w:sz w:val="18"/>
        </w:rPr>
        <w:t>ise (°F)</w:t>
      </w:r>
    </w:p>
    <w:p w14:paraId="0EE8D170" w14:textId="77777777" w:rsidR="00A9449A" w:rsidRPr="005C0B14" w:rsidRDefault="00A9449A" w:rsidP="00A9449A">
      <w:pPr>
        <w:spacing w:before="0" w:after="0"/>
        <w:ind w:left="1440"/>
        <w:rPr>
          <w:rFonts w:ascii="Cambria Math" w:hAnsi="Cambria Math"/>
          <w:i/>
          <w:sz w:val="18"/>
        </w:rPr>
      </w:pPr>
      <m:oMath>
        <m:r>
          <w:rPr>
            <w:rFonts w:ascii="Cambria Math" w:hAnsi="Cambria Math"/>
            <w:sz w:val="18"/>
          </w:rPr>
          <m:t>C=</m:t>
        </m:r>
      </m:oMath>
      <w:r w:rsidRPr="005C0B14">
        <w:rPr>
          <w:rFonts w:ascii="Cambria Math" w:hAnsi="Cambria Math"/>
          <w:i/>
          <w:sz w:val="18"/>
        </w:rPr>
        <w:t xml:space="preserve"> Specific heat of water, constant </w:t>
      </w:r>
      <m:oMath>
        <m:d>
          <m:dPr>
            <m:ctrlPr>
              <w:rPr>
                <w:rFonts w:ascii="Cambria Math" w:hAnsi="Cambria Math"/>
                <w:i/>
                <w:sz w:val="18"/>
              </w:rPr>
            </m:ctrlPr>
          </m:dPr>
          <m:e>
            <m:f>
              <m:fPr>
                <m:ctrlPr>
                  <w:rPr>
                    <w:rFonts w:ascii="Cambria Math" w:hAnsi="Cambria Math"/>
                    <w:i/>
                    <w:sz w:val="18"/>
                  </w:rPr>
                </m:ctrlPr>
              </m:fPr>
              <m:num>
                <m:r>
                  <w:rPr>
                    <w:rFonts w:ascii="Cambria Math" w:hAnsi="Cambria Math"/>
                    <w:sz w:val="18"/>
                  </w:rPr>
                  <m:t>Btu</m:t>
                </m:r>
              </m:num>
              <m:den>
                <m:r>
                  <w:rPr>
                    <w:rFonts w:ascii="Cambria Math" w:hAnsi="Cambria Math"/>
                    <w:sz w:val="18"/>
                  </w:rPr>
                  <m:t>lb-°F</m:t>
                </m:r>
              </m:den>
            </m:f>
          </m:e>
        </m:d>
      </m:oMath>
    </w:p>
    <w:p w14:paraId="431A9DAD" w14:textId="3FEAA012" w:rsidR="00C60ACD" w:rsidRPr="005C0B14" w:rsidRDefault="00C60ACD" w:rsidP="00313160">
      <w:pPr>
        <w:spacing w:before="0" w:after="0"/>
        <w:ind w:left="1440"/>
        <w:rPr>
          <w:rFonts w:ascii="Cambria Math" w:hAnsi="Cambria Math"/>
          <w:i/>
          <w:sz w:val="18"/>
        </w:rPr>
      </w:pPr>
      <m:oMath>
        <m:r>
          <w:rPr>
            <w:rFonts w:ascii="Cambria Math" w:hAnsi="Cambria Math"/>
            <w:sz w:val="18"/>
          </w:rPr>
          <m:t>ρ=</m:t>
        </m:r>
      </m:oMath>
      <w:r w:rsidRPr="005C0B14">
        <w:rPr>
          <w:rFonts w:ascii="Cambria Math" w:hAnsi="Cambria Math"/>
          <w:i/>
          <w:sz w:val="18"/>
        </w:rPr>
        <w:t xml:space="preserve">Density of water, constant </w:t>
      </w:r>
      <m:oMath>
        <m:d>
          <m:dPr>
            <m:ctrlPr>
              <w:rPr>
                <w:rFonts w:ascii="Cambria Math" w:hAnsi="Cambria Math"/>
                <w:i/>
                <w:sz w:val="18"/>
              </w:rPr>
            </m:ctrlPr>
          </m:dPr>
          <m:e>
            <m:f>
              <m:fPr>
                <m:ctrlPr>
                  <w:rPr>
                    <w:rFonts w:ascii="Cambria Math" w:hAnsi="Cambria Math"/>
                    <w:i/>
                    <w:sz w:val="18"/>
                  </w:rPr>
                </m:ctrlPr>
              </m:fPr>
              <m:num>
                <m:r>
                  <w:rPr>
                    <w:rFonts w:ascii="Cambria Math" w:hAnsi="Cambria Math"/>
                    <w:sz w:val="18"/>
                  </w:rPr>
                  <m:t>lbs</m:t>
                </m:r>
              </m:num>
              <m:den>
                <m:r>
                  <w:rPr>
                    <w:rFonts w:ascii="Cambria Math" w:hAnsi="Cambria Math"/>
                    <w:sz w:val="18"/>
                  </w:rPr>
                  <m:t>gal</m:t>
                </m:r>
              </m:den>
            </m:f>
          </m:e>
        </m:d>
      </m:oMath>
    </w:p>
    <w:p w14:paraId="4AE0EF5C" w14:textId="48ECA182" w:rsidR="004A0D70" w:rsidRPr="005C0B14" w:rsidRDefault="004A0D70" w:rsidP="00313160">
      <w:pPr>
        <w:spacing w:before="0" w:after="0"/>
        <w:ind w:left="1440"/>
        <w:rPr>
          <w:rFonts w:ascii="Cambria Math" w:hAnsi="Cambria Math"/>
          <w:i/>
          <w:sz w:val="18"/>
        </w:rPr>
      </w:pPr>
      <m:oMath>
        <m:r>
          <w:rPr>
            <w:rFonts w:ascii="Cambria Math" w:hAnsi="Cambria Math"/>
            <w:sz w:val="18"/>
          </w:rPr>
          <m:t>η=</m:t>
        </m:r>
      </m:oMath>
      <w:r w:rsidRPr="005C0B14">
        <w:rPr>
          <w:rFonts w:ascii="Cambria Math" w:hAnsi="Cambria Math"/>
          <w:i/>
          <w:sz w:val="18"/>
        </w:rPr>
        <w:t xml:space="preserve"> </w:t>
      </w:r>
      <w:r w:rsidR="006D46B3" w:rsidRPr="005C0B14">
        <w:rPr>
          <w:rFonts w:ascii="Cambria Math" w:hAnsi="Cambria Math"/>
          <w:i/>
          <w:sz w:val="18"/>
        </w:rPr>
        <w:t xml:space="preserve">Gas </w:t>
      </w:r>
      <w:r w:rsidR="00C60ACD" w:rsidRPr="005C0B14">
        <w:rPr>
          <w:rFonts w:ascii="Cambria Math" w:hAnsi="Cambria Math"/>
          <w:i/>
          <w:sz w:val="18"/>
        </w:rPr>
        <w:t>h</w:t>
      </w:r>
      <w:r w:rsidRPr="005C0B14">
        <w:rPr>
          <w:rFonts w:ascii="Cambria Math" w:hAnsi="Cambria Math"/>
          <w:i/>
          <w:sz w:val="18"/>
        </w:rPr>
        <w:t xml:space="preserve">eating </w:t>
      </w:r>
      <w:r w:rsidR="00C60ACD" w:rsidRPr="005C0B14">
        <w:rPr>
          <w:rFonts w:ascii="Cambria Math" w:hAnsi="Cambria Math"/>
          <w:i/>
          <w:sz w:val="18"/>
        </w:rPr>
        <w:t>e</w:t>
      </w:r>
      <w:r w:rsidRPr="005C0B14">
        <w:rPr>
          <w:rFonts w:ascii="Cambria Math" w:hAnsi="Cambria Math"/>
          <w:i/>
          <w:sz w:val="18"/>
        </w:rPr>
        <w:t xml:space="preserve">quipment </w:t>
      </w:r>
      <w:r w:rsidR="00C60ACD" w:rsidRPr="005C0B14">
        <w:rPr>
          <w:rFonts w:ascii="Cambria Math" w:hAnsi="Cambria Math"/>
          <w:i/>
          <w:sz w:val="18"/>
        </w:rPr>
        <w:t>e</w:t>
      </w:r>
      <w:r w:rsidRPr="005C0B14">
        <w:rPr>
          <w:rFonts w:ascii="Cambria Math" w:hAnsi="Cambria Math"/>
          <w:i/>
          <w:sz w:val="18"/>
        </w:rPr>
        <w:t>fficiency</w:t>
      </w:r>
    </w:p>
    <w:p w14:paraId="38FCE253" w14:textId="5ACC34A4" w:rsidR="00C60ACD" w:rsidRPr="005C0B14" w:rsidRDefault="00C60ACD" w:rsidP="00313160">
      <w:pPr>
        <w:spacing w:before="0" w:after="0"/>
        <w:ind w:left="1440"/>
        <w:rPr>
          <w:rFonts w:ascii="Cambria Math" w:hAnsi="Cambria Math"/>
          <w:i/>
          <w:sz w:val="18"/>
        </w:rPr>
      </w:pPr>
      <w:r w:rsidRPr="005C0B14">
        <w:rPr>
          <w:rFonts w:ascii="Cambria Math" w:hAnsi="Cambria Math"/>
          <w:i/>
          <w:sz w:val="18"/>
        </w:rPr>
        <w:t>Therm/Btu = Btu to therm conversion factor</w:t>
      </w:r>
    </w:p>
    <w:p w14:paraId="4EC5C328" w14:textId="77777777" w:rsidR="001F2C5A" w:rsidRDefault="001F2C5A" w:rsidP="001F2C5A"/>
    <w:p w14:paraId="70AA7B2F" w14:textId="36B95A2F" w:rsidR="004A0D70" w:rsidRPr="00F84224" w:rsidRDefault="004A0D70" w:rsidP="00313160">
      <w:r w:rsidRPr="005751D7">
        <w:rPr>
          <w:b/>
        </w:rPr>
        <w:t>Temperature Rise (°F)</w:t>
      </w:r>
      <w:r w:rsidRPr="00DF6E5D">
        <w:rPr>
          <w:b/>
        </w:rPr>
        <w:t xml:space="preserve"> </w:t>
      </w:r>
      <w:r>
        <w:rPr>
          <w:b/>
        </w:rPr>
        <w:t xml:space="preserve">– </w:t>
      </w:r>
      <w:r w:rsidR="001A0E1E">
        <w:t>Average groundwater temperature data for each climate zone is used as the inlet temperature which</w:t>
      </w:r>
      <w:r w:rsidR="001A0E1E" w:rsidRPr="00F84224">
        <w:t xml:space="preserve"> needs to be raised to 140</w:t>
      </w:r>
      <w:r w:rsidR="001A0E1E">
        <w:t xml:space="preserve"> </w:t>
      </w:r>
      <w:r w:rsidR="001A0E1E" w:rsidRPr="00F84224">
        <w:t xml:space="preserve">°F to meet the minimum supply water temperature at the dishwasher. </w:t>
      </w:r>
      <w:r w:rsidR="001A0E1E">
        <w:t>Groundwater temperature data was retrieved from the 2010 climate zone weather data files for the 2013 Building Energy Efficiency Standards (Title 24).</w:t>
      </w:r>
      <w:r w:rsidR="001A0E1E">
        <w:rPr>
          <w:rStyle w:val="FootnoteReference"/>
        </w:rPr>
        <w:footnoteReference w:id="23"/>
      </w:r>
      <w:r w:rsidR="001A0E1E">
        <w:t xml:space="preserve"> </w:t>
      </w:r>
      <w:r w:rsidR="001A0E1E" w:rsidRPr="00F84224">
        <w:t xml:space="preserve">This water heating </w:t>
      </w:r>
      <w:r w:rsidR="001A0E1E">
        <w:t xml:space="preserve">requirement </w:t>
      </w:r>
      <w:r w:rsidR="001A0E1E" w:rsidRPr="00F84224">
        <w:t>applies to both low</w:t>
      </w:r>
      <w:r w:rsidR="001A0E1E">
        <w:t>-</w:t>
      </w:r>
      <w:r w:rsidR="001A0E1E" w:rsidRPr="00F84224">
        <w:t xml:space="preserve"> </w:t>
      </w:r>
      <w:r w:rsidR="001A0E1E">
        <w:t>and high-temperature machines.</w:t>
      </w:r>
    </w:p>
    <w:p w14:paraId="404C3883" w14:textId="77777777" w:rsidR="008C15FC" w:rsidRDefault="003672EF" w:rsidP="008C15FC">
      <w:r w:rsidRPr="00DF6E5D">
        <w:rPr>
          <w:b/>
        </w:rPr>
        <w:t xml:space="preserve">Heating </w:t>
      </w:r>
      <w:r>
        <w:rPr>
          <w:b/>
        </w:rPr>
        <w:t>E</w:t>
      </w:r>
      <w:r w:rsidRPr="00DF6E5D">
        <w:rPr>
          <w:b/>
        </w:rPr>
        <w:t xml:space="preserve">quipment </w:t>
      </w:r>
      <w:r>
        <w:rPr>
          <w:b/>
        </w:rPr>
        <w:t>E</w:t>
      </w:r>
      <w:r w:rsidRPr="00DF6E5D">
        <w:rPr>
          <w:b/>
        </w:rPr>
        <w:t>fficiency</w:t>
      </w:r>
      <w:r>
        <w:rPr>
          <w:b/>
        </w:rPr>
        <w:t xml:space="preserve"> (%)</w:t>
      </w:r>
      <w:r w:rsidRPr="00F84224">
        <w:t xml:space="preserve"> </w:t>
      </w:r>
      <w:r>
        <w:t xml:space="preserve">– </w:t>
      </w:r>
      <w:r w:rsidR="008C15FC" w:rsidRPr="00F84224">
        <w:t>Heating equipment efficiency varies between electric and gas units, as well as between external primary water heating and internal booster heating.  The efficiency of a building electric water heater is assumed to be 9</w:t>
      </w:r>
      <w:r w:rsidR="008C15FC">
        <w:t>8</w:t>
      </w:r>
      <w:r w:rsidR="008C15FC" w:rsidRPr="00F84224">
        <w:t>%, while gas water heaters are assumed to have a</w:t>
      </w:r>
      <w:r w:rsidR="008C15FC">
        <w:t xml:space="preserve"> recovery</w:t>
      </w:r>
      <w:r w:rsidR="008C15FC" w:rsidRPr="00F84224">
        <w:t xml:space="preserve"> efficiency of 77%</w:t>
      </w:r>
      <w:r w:rsidR="008C15FC">
        <w:t>.</w:t>
      </w:r>
      <w:r w:rsidR="008C15FC" w:rsidRPr="00F84224">
        <w:rPr>
          <w:vertAlign w:val="superscript"/>
        </w:rPr>
        <w:footnoteReference w:id="24"/>
      </w:r>
      <w:r w:rsidR="008C15FC" w:rsidRPr="00F84224">
        <w:t xml:space="preserve"> These efficiencies are used to determine energy consumption of the primary water heating in both low and high temperature units.</w:t>
      </w:r>
    </w:p>
    <w:p w14:paraId="2AC40AAC" w14:textId="77777777" w:rsidR="00D27887" w:rsidRPr="00F84224" w:rsidRDefault="00D27887" w:rsidP="00DD1EA5"/>
    <w:p w14:paraId="221D903A" w14:textId="3E6681A5" w:rsidR="004A0D70" w:rsidRPr="00F84224" w:rsidRDefault="00194977" w:rsidP="0046758E">
      <w:pPr>
        <w:pStyle w:val="eTRMHeading4"/>
      </w:pPr>
      <w:r>
        <w:t xml:space="preserve">Gas </w:t>
      </w:r>
      <w:r w:rsidR="004A0D70">
        <w:t>Booster Water Heater Energy</w:t>
      </w:r>
    </w:p>
    <w:p w14:paraId="2FA35E3A" w14:textId="4344453C" w:rsidR="004A0D70" w:rsidRDefault="00DD1EA5" w:rsidP="004A0D70">
      <w:r>
        <w:t xml:space="preserve">The methodology to derive the booster gas water heating UEC followed the same </w:t>
      </w:r>
      <w:r w:rsidR="004A0D70" w:rsidRPr="00F84224">
        <w:t xml:space="preserve">methodology </w:t>
      </w:r>
      <w:r w:rsidR="000A2593">
        <w:t xml:space="preserve">to </w:t>
      </w:r>
      <w:r w:rsidR="000A2593" w:rsidRPr="00962D85">
        <w:t>calculate</w:t>
      </w:r>
      <w:r w:rsidR="004A0D70" w:rsidRPr="00962D85">
        <w:t xml:space="preserve"> the </w:t>
      </w:r>
      <w:r w:rsidR="006D46B3" w:rsidRPr="00962D85">
        <w:t>Gas</w:t>
      </w:r>
      <w:r w:rsidR="004A0D70" w:rsidRPr="00962D85">
        <w:t xml:space="preserve"> Water Heater Energy. The booster heater, however, is needed to</w:t>
      </w:r>
      <w:r w:rsidR="004A0D70" w:rsidRPr="00F84224">
        <w:t xml:space="preserve"> increase 100% of the water from a temperature of 140</w:t>
      </w:r>
      <w:r w:rsidR="004A0D70">
        <w:t xml:space="preserve"> </w:t>
      </w:r>
      <w:r w:rsidR="004A0D70" w:rsidRPr="00F84224">
        <w:t>°F to 180</w:t>
      </w:r>
      <w:r w:rsidR="004A0D70">
        <w:t xml:space="preserve"> </w:t>
      </w:r>
      <w:r w:rsidR="004A0D70" w:rsidRPr="00F84224">
        <w:t xml:space="preserve">°F. </w:t>
      </w:r>
    </w:p>
    <w:p w14:paraId="2D20DBAD" w14:textId="64B75571" w:rsidR="00C66DC3" w:rsidRDefault="00C66DC3" w:rsidP="00C66DC3">
      <w:pPr>
        <w:spacing w:before="0" w:after="0" w:line="240" w:lineRule="auto"/>
      </w:pPr>
      <w:r>
        <w:t>N</w:t>
      </w:r>
      <w:r w:rsidRPr="00170722">
        <w:t xml:space="preserve">ote that </w:t>
      </w:r>
      <w:r>
        <w:t xml:space="preserve">a </w:t>
      </w:r>
      <w:r w:rsidRPr="00170722">
        <w:t>low-temperature dishwasher will not have booster heater energy as part of the calculation and this term will equal zero</w:t>
      </w:r>
      <w:r>
        <w:t xml:space="preserve"> for the low-temperature model</w:t>
      </w:r>
      <w:r w:rsidRPr="00170722">
        <w:t xml:space="preserve">. </w:t>
      </w:r>
    </w:p>
    <w:p w14:paraId="7FEA3FFC" w14:textId="6829105A" w:rsidR="00194977" w:rsidRPr="00B86DBF" w:rsidRDefault="00194977" w:rsidP="00194977">
      <w:pPr>
        <w:ind w:left="720"/>
        <w:jc w:val="both"/>
        <w:rPr>
          <w:sz w:val="18"/>
          <w:szCs w:val="18"/>
        </w:rPr>
      </w:pPr>
      <m:oMathPara>
        <m:oMathParaPr>
          <m:jc m:val="left"/>
        </m:oMathParaPr>
        <m:oMath>
          <m:r>
            <w:rPr>
              <w:rFonts w:ascii="Cambria Math" w:hAnsi="Cambria Math"/>
              <w:sz w:val="18"/>
              <w:szCs w:val="18"/>
            </w:rPr>
            <m:t>Gas  Booster Heater Energy=GPR×RACKS×EDAYS×</m:t>
          </m:r>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Booster</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MktPen</m:t>
              </m:r>
            </m:e>
            <m:sub>
              <m:r>
                <w:rPr>
                  <w:rFonts w:ascii="Cambria Math" w:hAnsi="Cambria Math"/>
                  <w:sz w:val="18"/>
                  <w:szCs w:val="18"/>
                </w:rPr>
                <m:t>booster gas</m:t>
              </m:r>
            </m:sub>
          </m:sSub>
        </m:oMath>
      </m:oMathPara>
    </w:p>
    <w:p w14:paraId="464C8D38" w14:textId="77777777" w:rsidR="002B5363" w:rsidRPr="004B393C" w:rsidRDefault="002B5363" w:rsidP="004B393C">
      <w:pPr>
        <w:spacing w:before="0" w:after="0"/>
        <w:ind w:left="1440"/>
        <w:rPr>
          <w:rFonts w:ascii="Cambria Math" w:hAnsi="Cambria Math"/>
          <w:i/>
          <w:sz w:val="18"/>
          <w:szCs w:val="18"/>
        </w:rPr>
      </w:pPr>
      <w:r w:rsidRPr="00E51FD3">
        <w:rPr>
          <w:rFonts w:ascii="Cambria Math" w:hAnsi="Cambria Math"/>
          <w:i/>
          <w:sz w:val="18"/>
        </w:rPr>
        <w:t xml:space="preserve">GPR = </w:t>
      </w:r>
      <w:r w:rsidRPr="004B393C">
        <w:rPr>
          <w:rFonts w:ascii="Cambria Math" w:hAnsi="Cambria Math"/>
          <w:i/>
          <w:sz w:val="18"/>
          <w:szCs w:val="18"/>
        </w:rPr>
        <w:t>Water</w:t>
      </w:r>
      <w:r w:rsidRPr="00E51FD3">
        <w:rPr>
          <w:rFonts w:ascii="Cambria Math" w:hAnsi="Cambria Math"/>
          <w:i/>
          <w:sz w:val="18"/>
        </w:rPr>
        <w:t xml:space="preserve"> </w:t>
      </w:r>
      <w:r w:rsidRPr="004B393C">
        <w:rPr>
          <w:rFonts w:ascii="Cambria Math" w:hAnsi="Cambria Math"/>
          <w:i/>
          <w:sz w:val="18"/>
          <w:szCs w:val="18"/>
        </w:rPr>
        <w:t xml:space="preserve">consumption (GPR) </w:t>
      </w:r>
    </w:p>
    <w:p w14:paraId="01D264C1" w14:textId="13485CDD" w:rsidR="002B5363" w:rsidRDefault="002B5363" w:rsidP="004B393C">
      <w:pPr>
        <w:spacing w:before="0" w:after="0"/>
        <w:ind w:left="1440"/>
        <w:rPr>
          <w:rFonts w:ascii="Cambria Math" w:hAnsi="Cambria Math"/>
          <w:i/>
          <w:sz w:val="18"/>
          <w:szCs w:val="18"/>
        </w:rPr>
      </w:pPr>
      <w:r w:rsidRPr="004B393C">
        <w:rPr>
          <w:rFonts w:ascii="Cambria Math" w:hAnsi="Cambria Math"/>
          <w:i/>
          <w:sz w:val="18"/>
          <w:szCs w:val="18"/>
        </w:rPr>
        <w:t>RACKS = Number of racks washed per year (</w:t>
      </w:r>
      <w:r w:rsidR="00FE5B14">
        <w:rPr>
          <w:rFonts w:ascii="Cambria Math" w:hAnsi="Cambria Math"/>
          <w:i/>
          <w:sz w:val="18"/>
          <w:szCs w:val="18"/>
        </w:rPr>
        <w:t>racks/day)</w:t>
      </w:r>
    </w:p>
    <w:p w14:paraId="5A71437C" w14:textId="7CEA5E45" w:rsidR="00FE5B14" w:rsidRPr="00FE5B14" w:rsidRDefault="00FE5B14" w:rsidP="00FE5B14">
      <w:pPr>
        <w:spacing w:before="20" w:after="20"/>
        <w:ind w:left="1440"/>
        <w:rPr>
          <w:rFonts w:ascii="Cambria Math" w:hAnsi="Cambria Math"/>
          <w:i/>
          <w:sz w:val="18"/>
        </w:rPr>
      </w:pPr>
      <w:r>
        <w:rPr>
          <w:rFonts w:ascii="Cambria Math" w:hAnsi="Cambria Math"/>
          <w:i/>
          <w:sz w:val="18"/>
        </w:rPr>
        <w:t>EDAYS = Operating days per year (days/y</w:t>
      </w:r>
      <w:r w:rsidR="0073582E">
        <w:rPr>
          <w:rFonts w:ascii="Cambria Math" w:hAnsi="Cambria Math"/>
          <w:i/>
          <w:sz w:val="18"/>
        </w:rPr>
        <w:t>ea</w:t>
      </w:r>
      <w:r>
        <w:rPr>
          <w:rFonts w:ascii="Cambria Math" w:hAnsi="Cambria Math"/>
          <w:i/>
          <w:sz w:val="18"/>
        </w:rPr>
        <w:t>r)</w:t>
      </w:r>
    </w:p>
    <w:p w14:paraId="7F6FF78F" w14:textId="68356416" w:rsidR="002B5363" w:rsidRPr="004B393C" w:rsidRDefault="002B5363" w:rsidP="004B393C">
      <w:pPr>
        <w:spacing w:before="0" w:after="0"/>
        <w:ind w:left="1440"/>
        <w:rPr>
          <w:rFonts w:ascii="Cambria Math" w:hAnsi="Cambria Math"/>
          <w:i/>
          <w:sz w:val="18"/>
          <w:szCs w:val="18"/>
        </w:rPr>
      </w:pPr>
      <w:r w:rsidRPr="004B393C">
        <w:rPr>
          <w:rFonts w:ascii="Cambria Math" w:hAnsi="Cambria Math"/>
          <w:i/>
          <w:sz w:val="18"/>
          <w:szCs w:val="18"/>
        </w:rPr>
        <w:t>UECGAL = UEC per gallon of water (Btu)</w:t>
      </w:r>
    </w:p>
    <w:p w14:paraId="5E94721A" w14:textId="7B88B459" w:rsidR="00194977" w:rsidRPr="00E45780" w:rsidRDefault="002B5363" w:rsidP="00E45780">
      <w:pPr>
        <w:spacing w:before="0" w:after="0"/>
        <w:ind w:left="1440"/>
        <w:rPr>
          <w:rFonts w:ascii="Cambria Math" w:hAnsi="Cambria Math"/>
          <w:i/>
          <w:sz w:val="18"/>
        </w:rPr>
      </w:pPr>
      <w:r w:rsidRPr="004B393C">
        <w:rPr>
          <w:rFonts w:ascii="Cambria Math" w:hAnsi="Cambria Math"/>
          <w:i/>
          <w:sz w:val="18"/>
          <w:szCs w:val="18"/>
        </w:rPr>
        <w:t>MktPen = Market penetration</w:t>
      </w:r>
      <w:r w:rsidRPr="00E51FD3">
        <w:rPr>
          <w:rFonts w:ascii="Cambria Math" w:hAnsi="Cambria Math"/>
          <w:i/>
          <w:sz w:val="18"/>
        </w:rPr>
        <w:t xml:space="preserve"> of </w:t>
      </w:r>
      <w:r>
        <w:rPr>
          <w:rFonts w:ascii="Cambria Math" w:hAnsi="Cambria Math"/>
          <w:i/>
          <w:sz w:val="18"/>
        </w:rPr>
        <w:t>gas</w:t>
      </w:r>
      <w:r w:rsidRPr="00E51FD3">
        <w:rPr>
          <w:rFonts w:ascii="Cambria Math" w:hAnsi="Cambria Math"/>
          <w:i/>
          <w:sz w:val="18"/>
        </w:rPr>
        <w:t xml:space="preserve"> </w:t>
      </w:r>
      <w:r>
        <w:rPr>
          <w:rFonts w:ascii="Cambria Math" w:hAnsi="Cambria Math"/>
          <w:i/>
          <w:sz w:val="18"/>
        </w:rPr>
        <w:t>booster water</w:t>
      </w:r>
      <w:r w:rsidRPr="00E51FD3">
        <w:rPr>
          <w:rFonts w:ascii="Cambria Math" w:hAnsi="Cambria Math"/>
          <w:i/>
          <w:sz w:val="18"/>
        </w:rPr>
        <w:t xml:space="preserve"> heating </w:t>
      </w:r>
      <w:r>
        <w:rPr>
          <w:rFonts w:ascii="Cambria Math" w:hAnsi="Cambria Math"/>
          <w:i/>
          <w:sz w:val="18"/>
        </w:rPr>
        <w:t>(%, decimal)</w:t>
      </w:r>
    </w:p>
    <w:p w14:paraId="437A9962" w14:textId="77777777" w:rsidR="0073582E" w:rsidRPr="0073582E" w:rsidRDefault="0073582E" w:rsidP="00C66DC3">
      <w:pPr>
        <w:rPr>
          <w:bCs/>
        </w:rPr>
      </w:pPr>
    </w:p>
    <w:p w14:paraId="5A4FC3AA" w14:textId="3931B85D" w:rsidR="00C66DC3" w:rsidRDefault="00C66DC3" w:rsidP="00C66DC3">
      <w:pPr>
        <w:rPr>
          <w:rStyle w:val="eTRMFootnoteTextChar"/>
          <w:sz w:val="22"/>
          <w:szCs w:val="22"/>
        </w:rPr>
      </w:pPr>
      <w:r>
        <w:rPr>
          <w:b/>
        </w:rPr>
        <w:lastRenderedPageBreak/>
        <w:t xml:space="preserve">Water Consumption (GPR) </w:t>
      </w:r>
      <w:r>
        <w:t xml:space="preserve">Same as </w:t>
      </w:r>
      <w:r w:rsidR="00C10B9A">
        <w:t>Gas</w:t>
      </w:r>
      <w:r w:rsidRPr="00B61B11">
        <w:t xml:space="preserve"> Water Heater Energy Use</w:t>
      </w:r>
      <w:r>
        <w:t xml:space="preserve"> (above)</w:t>
      </w:r>
    </w:p>
    <w:p w14:paraId="41122FC4" w14:textId="17EEEEE4" w:rsidR="00C66DC3" w:rsidRDefault="00C66DC3" w:rsidP="00C66DC3">
      <w:r w:rsidRPr="00F84224">
        <w:rPr>
          <w:b/>
        </w:rPr>
        <w:t xml:space="preserve">Racks per </w:t>
      </w:r>
      <w:r>
        <w:rPr>
          <w:b/>
        </w:rPr>
        <w:t xml:space="preserve">Day </w:t>
      </w:r>
      <w:r>
        <w:t xml:space="preserve">Same as </w:t>
      </w:r>
      <w:r w:rsidR="00C10B9A">
        <w:t>Gas</w:t>
      </w:r>
      <w:r w:rsidRPr="00B61B11">
        <w:t xml:space="preserve"> Water Heater Energy Use</w:t>
      </w:r>
      <w:r>
        <w:t xml:space="preserve"> (above)</w:t>
      </w:r>
    </w:p>
    <w:p w14:paraId="71BF5854" w14:textId="6F456E9F" w:rsidR="00C66DC3" w:rsidRDefault="00C66DC3" w:rsidP="00C66DC3">
      <w:r>
        <w:rPr>
          <w:b/>
        </w:rPr>
        <w:t xml:space="preserve">Operating Days per Year </w:t>
      </w:r>
      <w:r>
        <w:t xml:space="preserve">Same as </w:t>
      </w:r>
      <w:r w:rsidR="00C10B9A">
        <w:t>Gas</w:t>
      </w:r>
      <w:r w:rsidRPr="00B61B11">
        <w:t xml:space="preserve"> Water Heater Energy Use</w:t>
      </w:r>
      <w:r>
        <w:t xml:space="preserve"> (above)</w:t>
      </w:r>
    </w:p>
    <w:p w14:paraId="37A30DCC" w14:textId="65C1CFC9" w:rsidR="00530EEC" w:rsidRPr="00530EEC" w:rsidRDefault="00530EEC" w:rsidP="00C66DC3">
      <w:r>
        <w:rPr>
          <w:b/>
        </w:rPr>
        <w:t>UEC</w:t>
      </w:r>
      <w:r w:rsidRPr="00F84224">
        <w:rPr>
          <w:b/>
        </w:rPr>
        <w:t xml:space="preserve"> per Gallon</w:t>
      </w:r>
      <w:r>
        <w:rPr>
          <w:b/>
        </w:rPr>
        <w:t xml:space="preserve"> of Water </w:t>
      </w:r>
      <w:r w:rsidRPr="00F84224">
        <w:t xml:space="preserve">The </w:t>
      </w:r>
      <w:r>
        <w:t>UEC</w:t>
      </w:r>
      <w:r w:rsidRPr="00F84224">
        <w:t xml:space="preserve"> per gallon of water</w:t>
      </w:r>
      <w:r>
        <w:t xml:space="preserve"> </w:t>
      </w:r>
      <w:r w:rsidRPr="00F84224">
        <w:t>is based on the increase in water temperature required for a wash cycle, the specific heat of water</w:t>
      </w:r>
      <w:r>
        <w:t>,</w:t>
      </w:r>
      <w:r w:rsidRPr="00F84224">
        <w:t xml:space="preserve"> the</w:t>
      </w:r>
      <w:r>
        <w:t xml:space="preserve"> density</w:t>
      </w:r>
      <w:r w:rsidRPr="00F84224">
        <w:t xml:space="preserve"> of water, and the </w:t>
      </w:r>
      <w:r>
        <w:t xml:space="preserve">heating </w:t>
      </w:r>
      <w:r w:rsidRPr="00F84224">
        <w:t>equipment efficiency.</w:t>
      </w:r>
    </w:p>
    <w:p w14:paraId="5ABACCDF" w14:textId="0BF362FE" w:rsidR="00F45640" w:rsidRPr="00A92C95" w:rsidRDefault="001F3D36" w:rsidP="00F45640">
      <w:pPr>
        <w:keepNext/>
        <w:keepLines/>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Booster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∆T×C×ρ</m:t>
                  </m:r>
                </m:num>
                <m:den>
                  <m:r>
                    <w:rPr>
                      <w:rFonts w:ascii="Cambria Math" w:hAnsi="Cambria Math"/>
                      <w:sz w:val="18"/>
                      <w:szCs w:val="18"/>
                    </w:rPr>
                    <m:t>η</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Therm</m:t>
              </m:r>
            </m:num>
            <m:den>
              <m:r>
                <w:rPr>
                  <w:rFonts w:ascii="Cambria Math" w:hAnsi="Cambria Math"/>
                  <w:sz w:val="18"/>
                  <w:szCs w:val="18"/>
                </w:rPr>
                <m:t>Btu</m:t>
              </m:r>
            </m:den>
          </m:f>
        </m:oMath>
      </m:oMathPara>
    </w:p>
    <w:p w14:paraId="4B526D70" w14:textId="77777777" w:rsidR="00F45640" w:rsidRPr="0090041C" w:rsidRDefault="00F45640" w:rsidP="00F45640">
      <w:pPr>
        <w:spacing w:before="0" w:after="0"/>
        <w:ind w:left="1440"/>
        <w:rPr>
          <w:rFonts w:ascii="Cambria Math" w:hAnsi="Cambria Math"/>
          <w:i/>
          <w:sz w:val="18"/>
          <w:szCs w:val="18"/>
        </w:rPr>
      </w:pPr>
      <m:oMath>
        <m:r>
          <w:rPr>
            <w:rFonts w:ascii="Cambria Math" w:hAnsi="Cambria Math"/>
            <w:sz w:val="18"/>
            <w:szCs w:val="18"/>
          </w:rPr>
          <m:t>∆T=</m:t>
        </m:r>
      </m:oMath>
      <w:r w:rsidRPr="0090041C">
        <w:rPr>
          <w:rFonts w:ascii="Cambria Math" w:hAnsi="Cambria Math"/>
          <w:i/>
          <w:sz w:val="18"/>
          <w:szCs w:val="18"/>
        </w:rPr>
        <w:t xml:space="preserve">Temperature </w:t>
      </w:r>
      <w:r>
        <w:rPr>
          <w:rFonts w:ascii="Cambria Math" w:hAnsi="Cambria Math"/>
          <w:i/>
          <w:sz w:val="18"/>
          <w:szCs w:val="18"/>
        </w:rPr>
        <w:t>r</w:t>
      </w:r>
      <w:r w:rsidRPr="0090041C">
        <w:rPr>
          <w:rFonts w:ascii="Cambria Math" w:hAnsi="Cambria Math"/>
          <w:i/>
          <w:sz w:val="18"/>
          <w:szCs w:val="18"/>
        </w:rPr>
        <w:t>ise (°F)</w:t>
      </w:r>
    </w:p>
    <w:p w14:paraId="343D4724" w14:textId="77777777" w:rsidR="00F45640" w:rsidRPr="0090041C" w:rsidRDefault="00F45640" w:rsidP="00F45640">
      <w:pPr>
        <w:spacing w:before="0" w:after="0"/>
        <w:ind w:left="1440"/>
        <w:rPr>
          <w:rFonts w:ascii="Cambria Math" w:hAnsi="Cambria Math"/>
          <w:i/>
          <w:sz w:val="18"/>
          <w:szCs w:val="18"/>
        </w:rPr>
      </w:pPr>
      <m:oMath>
        <m:r>
          <w:rPr>
            <w:rFonts w:ascii="Cambria Math" w:hAnsi="Cambria Math"/>
            <w:sz w:val="18"/>
            <w:szCs w:val="18"/>
          </w:rPr>
          <m:t>C=</m:t>
        </m:r>
      </m:oMath>
      <w:r w:rsidRPr="0090041C">
        <w:rPr>
          <w:rFonts w:ascii="Cambria Math" w:hAnsi="Cambria Math"/>
          <w:i/>
          <w:sz w:val="18"/>
          <w:szCs w:val="18"/>
        </w:rPr>
        <w:t xml:space="preserve"> </w:t>
      </w:r>
      <w:r w:rsidRPr="00C60ACD">
        <w:rPr>
          <w:rFonts w:ascii="Cambria Math" w:hAnsi="Cambria Math"/>
          <w:i/>
          <w:sz w:val="18"/>
          <w:szCs w:val="18"/>
        </w:rPr>
        <w:t xml:space="preserve">Specific heat of water, constant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Btu</m:t>
                </m:r>
              </m:num>
              <m:den>
                <m:r>
                  <w:rPr>
                    <w:rFonts w:ascii="Cambria Math" w:hAnsi="Cambria Math"/>
                    <w:sz w:val="18"/>
                    <w:szCs w:val="18"/>
                  </w:rPr>
                  <m:t>lb-°F</m:t>
                </m:r>
              </m:den>
            </m:f>
          </m:e>
        </m:d>
      </m:oMath>
    </w:p>
    <w:p w14:paraId="2DDF07AC" w14:textId="77777777" w:rsidR="00F45640" w:rsidRPr="0090041C" w:rsidRDefault="00F45640" w:rsidP="00F45640">
      <w:pPr>
        <w:spacing w:before="0" w:after="0"/>
        <w:ind w:left="1440"/>
        <w:rPr>
          <w:rFonts w:ascii="Cambria Math" w:hAnsi="Cambria Math"/>
          <w:i/>
          <w:sz w:val="18"/>
          <w:szCs w:val="18"/>
        </w:rPr>
      </w:pPr>
      <m:oMath>
        <m:r>
          <w:rPr>
            <w:rFonts w:ascii="Cambria Math" w:hAnsi="Cambria Math"/>
            <w:sz w:val="18"/>
            <w:szCs w:val="18"/>
          </w:rPr>
          <m:t>ρ=</m:t>
        </m:r>
      </m:oMath>
      <w:r w:rsidRPr="0090041C">
        <w:rPr>
          <w:rFonts w:ascii="Cambria Math" w:hAnsi="Cambria Math"/>
          <w:i/>
          <w:sz w:val="18"/>
          <w:szCs w:val="18"/>
        </w:rPr>
        <w:t>Density</w:t>
      </w:r>
      <w:r>
        <w:rPr>
          <w:rFonts w:ascii="Cambria Math" w:hAnsi="Cambria Math"/>
          <w:i/>
          <w:sz w:val="18"/>
          <w:szCs w:val="18"/>
        </w:rPr>
        <w:t xml:space="preserve"> of water, constant </w:t>
      </w:r>
      <m:oMath>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lbs</m:t>
                </m:r>
              </m:num>
              <m:den>
                <m:r>
                  <w:rPr>
                    <w:rFonts w:ascii="Cambria Math" w:hAnsi="Cambria Math"/>
                    <w:sz w:val="18"/>
                    <w:szCs w:val="18"/>
                  </w:rPr>
                  <m:t>gal</m:t>
                </m:r>
              </m:den>
            </m:f>
          </m:e>
        </m:d>
      </m:oMath>
    </w:p>
    <w:p w14:paraId="6621D86B" w14:textId="77777777" w:rsidR="00794359" w:rsidRDefault="00794359" w:rsidP="00794359">
      <w:pPr>
        <w:spacing w:before="0" w:after="0"/>
        <w:ind w:left="1440"/>
        <w:rPr>
          <w:rFonts w:ascii="Cambria Math" w:hAnsi="Cambria Math"/>
          <w:i/>
          <w:sz w:val="18"/>
          <w:szCs w:val="18"/>
        </w:rPr>
      </w:pPr>
      <m:oMath>
        <m:r>
          <w:rPr>
            <w:rFonts w:ascii="Cambria Math" w:hAnsi="Cambria Math"/>
            <w:sz w:val="18"/>
            <w:szCs w:val="18"/>
          </w:rPr>
          <m:t>η=</m:t>
        </m:r>
      </m:oMath>
      <w:r w:rsidRPr="006D46B3">
        <w:rPr>
          <w:rFonts w:ascii="Cambria Math" w:hAnsi="Cambria Math"/>
          <w:i/>
          <w:sz w:val="18"/>
          <w:szCs w:val="18"/>
        </w:rPr>
        <w:t xml:space="preserve"> </w:t>
      </w:r>
      <w:r>
        <w:rPr>
          <w:rFonts w:ascii="Cambria Math" w:hAnsi="Cambria Math"/>
          <w:i/>
          <w:sz w:val="18"/>
          <w:szCs w:val="18"/>
        </w:rPr>
        <w:t>Booster</w:t>
      </w:r>
      <w:r w:rsidRPr="006D46B3">
        <w:rPr>
          <w:rFonts w:ascii="Cambria Math" w:hAnsi="Cambria Math"/>
          <w:i/>
          <w:sz w:val="18"/>
          <w:szCs w:val="18"/>
        </w:rPr>
        <w:t xml:space="preserve"> </w:t>
      </w:r>
      <w:r>
        <w:rPr>
          <w:rFonts w:ascii="Cambria Math" w:hAnsi="Cambria Math"/>
          <w:i/>
          <w:sz w:val="18"/>
          <w:szCs w:val="18"/>
        </w:rPr>
        <w:t>e</w:t>
      </w:r>
      <w:r w:rsidRPr="006D46B3">
        <w:rPr>
          <w:rFonts w:ascii="Cambria Math" w:hAnsi="Cambria Math"/>
          <w:i/>
          <w:sz w:val="18"/>
          <w:szCs w:val="18"/>
        </w:rPr>
        <w:t xml:space="preserve">quipment </w:t>
      </w:r>
      <w:r>
        <w:rPr>
          <w:rFonts w:ascii="Cambria Math" w:hAnsi="Cambria Math"/>
          <w:i/>
          <w:sz w:val="18"/>
          <w:szCs w:val="18"/>
        </w:rPr>
        <w:t>e</w:t>
      </w:r>
      <w:r w:rsidRPr="006D46B3">
        <w:rPr>
          <w:rFonts w:ascii="Cambria Math" w:hAnsi="Cambria Math"/>
          <w:i/>
          <w:sz w:val="18"/>
          <w:szCs w:val="18"/>
        </w:rPr>
        <w:t>fficiency</w:t>
      </w:r>
    </w:p>
    <w:p w14:paraId="155A6CAB" w14:textId="77777777" w:rsidR="00F45640" w:rsidRPr="0090041C" w:rsidRDefault="00F45640" w:rsidP="00F45640">
      <w:pPr>
        <w:spacing w:before="0" w:after="0"/>
        <w:ind w:left="1440"/>
        <w:rPr>
          <w:rFonts w:ascii="Cambria Math" w:hAnsi="Cambria Math"/>
          <w:i/>
          <w:sz w:val="18"/>
          <w:szCs w:val="18"/>
        </w:rPr>
      </w:pPr>
      <w:r>
        <w:rPr>
          <w:rFonts w:ascii="Cambria Math" w:hAnsi="Cambria Math"/>
          <w:i/>
          <w:sz w:val="18"/>
          <w:szCs w:val="18"/>
        </w:rPr>
        <w:t>Therm/Btu = Btu to therm conversion factor</w:t>
      </w:r>
    </w:p>
    <w:p w14:paraId="2D81741A" w14:textId="77777777" w:rsidR="00C66DC3" w:rsidRDefault="00C66DC3" w:rsidP="004A0D70"/>
    <w:p w14:paraId="6F0A5D83" w14:textId="2B699596" w:rsidR="00DB568B" w:rsidRDefault="00E45780" w:rsidP="00E45780">
      <w:r w:rsidRPr="005751D7">
        <w:rPr>
          <w:b/>
        </w:rPr>
        <w:t xml:space="preserve">Temperature </w:t>
      </w:r>
      <w:r>
        <w:rPr>
          <w:b/>
        </w:rPr>
        <w:t>r</w:t>
      </w:r>
      <w:r w:rsidRPr="005751D7">
        <w:rPr>
          <w:b/>
        </w:rPr>
        <w:t>ise (°F)</w:t>
      </w:r>
      <w:r w:rsidRPr="00DF6E5D">
        <w:rPr>
          <w:b/>
        </w:rPr>
        <w:t xml:space="preserve"> </w:t>
      </w:r>
      <w:r>
        <w:rPr>
          <w:b/>
        </w:rPr>
        <w:t>–</w:t>
      </w:r>
      <w:r>
        <w:t xml:space="preserve"> </w:t>
      </w:r>
      <w:r w:rsidRPr="00F84224">
        <w:t>For high</w:t>
      </w:r>
      <w:r>
        <w:t>-</w:t>
      </w:r>
      <w:r w:rsidRPr="00F84224">
        <w:t xml:space="preserve">temperature machines, there is an extra sanitizing rinse that increases the water temperature via a dishwasher booster water heater </w:t>
      </w:r>
      <w:r>
        <w:t>an additional</w:t>
      </w:r>
      <w:r w:rsidRPr="00F84224">
        <w:t xml:space="preserve"> 40</w:t>
      </w:r>
      <w:r>
        <w:t xml:space="preserve"> </w:t>
      </w:r>
      <w:r w:rsidRPr="00F84224">
        <w:t>°F, to 180</w:t>
      </w:r>
      <w:r>
        <w:t xml:space="preserve"> </w:t>
      </w:r>
      <w:r w:rsidRPr="00F84224">
        <w:t xml:space="preserve">°F to meet the </w:t>
      </w:r>
      <w:r w:rsidRPr="002C01E3">
        <w:rPr>
          <w:rFonts w:cstheme="minorHAnsi"/>
          <w:szCs w:val="22"/>
        </w:rPr>
        <w:t>National Sanitation Foundation (NSF) mandated sanitation criteria</w:t>
      </w:r>
      <w:r>
        <w:t>. (The low-</w:t>
      </w:r>
      <w:r w:rsidRPr="00F84224">
        <w:t xml:space="preserve">temperature machines meet this standard via a chemical rinse). </w:t>
      </w:r>
    </w:p>
    <w:p w14:paraId="0C9C751C" w14:textId="0AA5AF17" w:rsidR="00530EEC" w:rsidRPr="00E45780" w:rsidRDefault="00530EEC" w:rsidP="00E45780">
      <w:r w:rsidRPr="0033768C">
        <w:rPr>
          <w:b/>
        </w:rPr>
        <w:t>Booster heating unit efficiency</w:t>
      </w:r>
      <w:r w:rsidRPr="00F84224">
        <w:t xml:space="preserve"> </w:t>
      </w:r>
      <w:r>
        <w:t>is</w:t>
      </w:r>
      <w:r w:rsidRPr="00F84224">
        <w:t xml:space="preserve"> used to determine the additional energy consumption of the booster water heating in </w:t>
      </w:r>
      <w:r w:rsidRPr="00CF4CBA">
        <w:t xml:space="preserve">high temperature units. </w:t>
      </w:r>
      <w:r w:rsidRPr="00F84224">
        <w:t xml:space="preserve">Electric booster heating units are assumed to have an efficiency of </w:t>
      </w:r>
      <w:r>
        <w:t>98</w:t>
      </w:r>
      <w:r w:rsidRPr="00F84224">
        <w:t xml:space="preserve">%, and gas booster heating units are assumed to have an efficiency of 80%.  These efficiencies are used to determine the additional energy consumption of the booster water heating in high temperature units. These engineering assumptions are consistent with those used by </w:t>
      </w:r>
      <w:r>
        <w:t>ENERGY STAR</w:t>
      </w:r>
      <w:r w:rsidRPr="00F84224">
        <w:t>.</w:t>
      </w:r>
      <w:r w:rsidRPr="00CF4CBA">
        <w:rPr>
          <w:rStyle w:val="FootnoteReference"/>
        </w:rPr>
        <w:footnoteReference w:id="25"/>
      </w:r>
    </w:p>
    <w:p w14:paraId="5087167E" w14:textId="77777777" w:rsidR="00194977" w:rsidRPr="00F84224" w:rsidRDefault="00194977" w:rsidP="00194977">
      <w:pPr>
        <w:rPr>
          <w:i/>
        </w:rPr>
      </w:pPr>
      <w:r w:rsidRPr="00186649">
        <w:rPr>
          <w:b/>
        </w:rPr>
        <w:t>Market Penetration of Booster Heating Fuel Types.</w:t>
      </w:r>
      <w:r>
        <w:t xml:space="preserve"> A h</w:t>
      </w:r>
      <w:r w:rsidRPr="00F84224">
        <w:t>igh</w:t>
      </w:r>
      <w:r>
        <w:t>-</w:t>
      </w:r>
      <w:r w:rsidRPr="00F84224">
        <w:t xml:space="preserve">temperature unit </w:t>
      </w:r>
      <w:r>
        <w:t>achieves</w:t>
      </w:r>
      <w:r w:rsidRPr="00F84224">
        <w:t xml:space="preserve"> energy savings via primary water hea</w:t>
      </w:r>
      <w:r>
        <w:t>ting as well as booster water heating.</w:t>
      </w:r>
      <w:r w:rsidRPr="00F84224">
        <w:t xml:space="preserve"> It is assumed that restaurants with electric primary heating will only install electric dishwashers </w:t>
      </w:r>
      <w:r>
        <w:t xml:space="preserve">with electric booster heating. </w:t>
      </w:r>
      <w:r w:rsidRPr="00F84224">
        <w:t xml:space="preserve">While </w:t>
      </w:r>
      <w:r>
        <w:t>most</w:t>
      </w:r>
      <w:r w:rsidRPr="00F84224">
        <w:t xml:space="preserve"> restaurants with gas primary water heating </w:t>
      </w:r>
      <w:r>
        <w:t xml:space="preserve">are more likely to </w:t>
      </w:r>
      <w:r w:rsidRPr="00F84224">
        <w:t xml:space="preserve">install </w:t>
      </w:r>
      <w:r>
        <w:t xml:space="preserve">an </w:t>
      </w:r>
      <w:r w:rsidRPr="00F84224">
        <w:t xml:space="preserve">electric dishwasher with electric booster heating, gas booster heating is available and is installed </w:t>
      </w:r>
      <w:r>
        <w:t xml:space="preserve">in </w:t>
      </w:r>
      <w:r w:rsidRPr="00F84224">
        <w:t xml:space="preserve">a small percentage of </w:t>
      </w:r>
      <w:r>
        <w:t xml:space="preserve">restaurants. </w:t>
      </w:r>
      <w:r w:rsidRPr="00DA59FC">
        <w:t xml:space="preserve">The </w:t>
      </w:r>
      <w:r>
        <w:t xml:space="preserve">assumed </w:t>
      </w:r>
      <w:r w:rsidRPr="00DA59FC">
        <w:t>percentages</w:t>
      </w:r>
      <w:r>
        <w:t xml:space="preserve"> of market penetration</w:t>
      </w:r>
      <w:r w:rsidRPr="00DA59FC">
        <w:t xml:space="preserve"> for each </w:t>
      </w:r>
      <w:r>
        <w:t>primary/booster fuel combination</w:t>
      </w:r>
      <w:r w:rsidRPr="00DA59FC">
        <w:t xml:space="preserve"> are </w:t>
      </w:r>
      <w:r>
        <w:t>provided below</w:t>
      </w:r>
      <w:r w:rsidRPr="00DA59FC">
        <w:t>.</w:t>
      </w:r>
      <w:r>
        <w:t xml:space="preserve"> </w:t>
      </w:r>
      <w:r w:rsidRPr="00F84224">
        <w:t xml:space="preserve">These percentages were applied to the primary water heating energy savings </w:t>
      </w:r>
      <w:r>
        <w:t>for low- and high-</w:t>
      </w:r>
      <w:r w:rsidRPr="00F84224">
        <w:t>temperature units</w:t>
      </w:r>
      <w:r>
        <w:t>.</w:t>
      </w:r>
    </w:p>
    <w:p w14:paraId="6976C214" w14:textId="77777777" w:rsidR="00194977" w:rsidRDefault="00194977" w:rsidP="00194977">
      <w:pPr>
        <w:pStyle w:val="Caption"/>
      </w:pPr>
      <w:r>
        <w:lastRenderedPageBreak/>
        <w:t xml:space="preserve">Market </w:t>
      </w:r>
      <w:r w:rsidRPr="00F84224">
        <w:t>Penetration of Primary Water Heating and Booster Water Heating Fuel Combinations</w:t>
      </w:r>
    </w:p>
    <w:tbl>
      <w:tblPr>
        <w:tblW w:w="75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150"/>
        <w:gridCol w:w="1530"/>
        <w:gridCol w:w="2880"/>
      </w:tblGrid>
      <w:tr w:rsidR="00194977" w:rsidRPr="00A45720" w14:paraId="260F1392" w14:textId="77777777" w:rsidTr="002B5363">
        <w:trPr>
          <w:cantSplit/>
          <w:trHeight w:val="20"/>
        </w:trPr>
        <w:tc>
          <w:tcPr>
            <w:tcW w:w="3150" w:type="dxa"/>
            <w:shd w:val="clear" w:color="auto" w:fill="F2F2F2" w:themeFill="background1" w:themeFillShade="F2"/>
            <w:noWrap/>
            <w:vAlign w:val="bottom"/>
          </w:tcPr>
          <w:p w14:paraId="0C005F19" w14:textId="77777777" w:rsidR="00194977" w:rsidRPr="00A45720" w:rsidRDefault="00194977" w:rsidP="00A75E58">
            <w:pPr>
              <w:keepNext/>
              <w:keepLines/>
              <w:spacing w:before="20" w:after="20"/>
              <w:rPr>
                <w:b/>
                <w:sz w:val="20"/>
              </w:rPr>
            </w:pPr>
            <w:r>
              <w:rPr>
                <w:b/>
                <w:sz w:val="20"/>
              </w:rPr>
              <w:t>Primary/Booster Fuel Combination</w:t>
            </w:r>
          </w:p>
        </w:tc>
        <w:tc>
          <w:tcPr>
            <w:tcW w:w="1530" w:type="dxa"/>
            <w:shd w:val="clear" w:color="auto" w:fill="F2F2F2" w:themeFill="background1" w:themeFillShade="F2"/>
            <w:noWrap/>
            <w:vAlign w:val="bottom"/>
          </w:tcPr>
          <w:p w14:paraId="054CEFCB" w14:textId="77777777" w:rsidR="00194977" w:rsidRPr="00A45720" w:rsidRDefault="00194977" w:rsidP="00A75E58">
            <w:pPr>
              <w:keepNext/>
              <w:keepLines/>
              <w:spacing w:before="20" w:after="20"/>
              <w:jc w:val="center"/>
              <w:rPr>
                <w:b/>
                <w:sz w:val="20"/>
              </w:rPr>
            </w:pPr>
            <w:r>
              <w:rPr>
                <w:b/>
                <w:sz w:val="20"/>
              </w:rPr>
              <w:t>Penetration (%)</w:t>
            </w:r>
          </w:p>
        </w:tc>
        <w:tc>
          <w:tcPr>
            <w:tcW w:w="2880" w:type="dxa"/>
            <w:shd w:val="clear" w:color="auto" w:fill="F2F2F2" w:themeFill="background1" w:themeFillShade="F2"/>
          </w:tcPr>
          <w:p w14:paraId="7397EA94" w14:textId="77777777" w:rsidR="00194977" w:rsidRDefault="00194977" w:rsidP="00A75E58">
            <w:pPr>
              <w:keepNext/>
              <w:keepLines/>
              <w:spacing w:before="20" w:after="20"/>
              <w:jc w:val="center"/>
              <w:rPr>
                <w:b/>
                <w:sz w:val="20"/>
              </w:rPr>
            </w:pPr>
            <w:r>
              <w:rPr>
                <w:b/>
                <w:sz w:val="20"/>
              </w:rPr>
              <w:t>Source</w:t>
            </w:r>
          </w:p>
        </w:tc>
      </w:tr>
      <w:tr w:rsidR="00194977" w:rsidRPr="00A45720" w14:paraId="39E86751" w14:textId="77777777" w:rsidTr="002B5363">
        <w:trPr>
          <w:cantSplit/>
          <w:trHeight w:val="20"/>
        </w:trPr>
        <w:tc>
          <w:tcPr>
            <w:tcW w:w="3150" w:type="dxa"/>
            <w:noWrap/>
            <w:vAlign w:val="bottom"/>
            <w:hideMark/>
          </w:tcPr>
          <w:p w14:paraId="2B6E9FC8" w14:textId="77777777" w:rsidR="00194977" w:rsidRPr="00A45720" w:rsidRDefault="00194977" w:rsidP="00A75E58">
            <w:pPr>
              <w:keepNext/>
              <w:keepLines/>
              <w:spacing w:before="20" w:after="20"/>
              <w:rPr>
                <w:sz w:val="20"/>
              </w:rPr>
            </w:pPr>
            <w:r>
              <w:rPr>
                <w:sz w:val="20"/>
              </w:rPr>
              <w:t>Electric/Electric</w:t>
            </w:r>
          </w:p>
        </w:tc>
        <w:tc>
          <w:tcPr>
            <w:tcW w:w="1530" w:type="dxa"/>
            <w:noWrap/>
            <w:vAlign w:val="bottom"/>
          </w:tcPr>
          <w:p w14:paraId="4DF48A08" w14:textId="77777777" w:rsidR="00194977" w:rsidRPr="00194977" w:rsidRDefault="00194977" w:rsidP="00A75E58">
            <w:pPr>
              <w:keepNext/>
              <w:keepLines/>
              <w:spacing w:before="20" w:after="20"/>
              <w:ind w:right="474"/>
              <w:jc w:val="right"/>
              <w:rPr>
                <w:sz w:val="20"/>
              </w:rPr>
            </w:pPr>
            <w:r w:rsidRPr="00194977">
              <w:rPr>
                <w:sz w:val="20"/>
              </w:rPr>
              <w:t>3%</w:t>
            </w:r>
          </w:p>
        </w:tc>
        <w:tc>
          <w:tcPr>
            <w:tcW w:w="2880" w:type="dxa"/>
            <w:vMerge w:val="restart"/>
            <w:vAlign w:val="center"/>
          </w:tcPr>
          <w:p w14:paraId="39602E99" w14:textId="77777777" w:rsidR="00194977" w:rsidRPr="00194977" w:rsidRDefault="00194977" w:rsidP="00A75E58">
            <w:pPr>
              <w:keepNext/>
              <w:keepLines/>
              <w:spacing w:before="20" w:after="20"/>
              <w:rPr>
                <w:sz w:val="20"/>
              </w:rPr>
            </w:pPr>
            <w:r w:rsidRPr="00194977">
              <w:rPr>
                <w:rStyle w:val="eTRMFootnoteTextChar"/>
              </w:rPr>
              <w:t>The source of this data is unknown.</w:t>
            </w:r>
          </w:p>
        </w:tc>
      </w:tr>
      <w:tr w:rsidR="00194977" w:rsidRPr="00A45720" w14:paraId="51C0FA04" w14:textId="77777777" w:rsidTr="002B5363">
        <w:trPr>
          <w:cantSplit/>
          <w:trHeight w:val="20"/>
        </w:trPr>
        <w:tc>
          <w:tcPr>
            <w:tcW w:w="3150" w:type="dxa"/>
            <w:noWrap/>
            <w:vAlign w:val="bottom"/>
            <w:hideMark/>
          </w:tcPr>
          <w:p w14:paraId="23D0700F" w14:textId="77777777" w:rsidR="00194977" w:rsidRPr="00A45720" w:rsidRDefault="00194977" w:rsidP="00A75E58">
            <w:pPr>
              <w:keepNext/>
              <w:keepLines/>
              <w:spacing w:before="20" w:after="20"/>
              <w:rPr>
                <w:sz w:val="20"/>
              </w:rPr>
            </w:pPr>
            <w:r>
              <w:rPr>
                <w:sz w:val="20"/>
              </w:rPr>
              <w:t>Gas/Gas</w:t>
            </w:r>
          </w:p>
        </w:tc>
        <w:tc>
          <w:tcPr>
            <w:tcW w:w="1530" w:type="dxa"/>
            <w:noWrap/>
            <w:vAlign w:val="bottom"/>
          </w:tcPr>
          <w:p w14:paraId="0E67BCEE" w14:textId="77777777" w:rsidR="00194977" w:rsidRPr="00194977" w:rsidRDefault="00194977" w:rsidP="00A75E58">
            <w:pPr>
              <w:keepNext/>
              <w:keepLines/>
              <w:spacing w:before="20" w:after="20"/>
              <w:ind w:right="474"/>
              <w:jc w:val="right"/>
              <w:rPr>
                <w:sz w:val="20"/>
              </w:rPr>
            </w:pPr>
            <w:r w:rsidRPr="00194977">
              <w:rPr>
                <w:sz w:val="20"/>
              </w:rPr>
              <w:t>5%</w:t>
            </w:r>
          </w:p>
        </w:tc>
        <w:tc>
          <w:tcPr>
            <w:tcW w:w="2880" w:type="dxa"/>
            <w:vMerge/>
          </w:tcPr>
          <w:p w14:paraId="3CC7A2E5" w14:textId="77777777" w:rsidR="00194977" w:rsidRDefault="00194977" w:rsidP="00A75E58">
            <w:pPr>
              <w:keepNext/>
              <w:keepLines/>
              <w:spacing w:before="20" w:after="20"/>
              <w:jc w:val="center"/>
              <w:rPr>
                <w:color w:val="FF0000"/>
                <w:sz w:val="20"/>
              </w:rPr>
            </w:pPr>
          </w:p>
        </w:tc>
      </w:tr>
      <w:tr w:rsidR="00194977" w:rsidRPr="00A45720" w14:paraId="1E99B6BB" w14:textId="77777777" w:rsidTr="002B5363">
        <w:trPr>
          <w:cantSplit/>
          <w:trHeight w:val="20"/>
        </w:trPr>
        <w:tc>
          <w:tcPr>
            <w:tcW w:w="3150" w:type="dxa"/>
            <w:noWrap/>
            <w:vAlign w:val="bottom"/>
            <w:hideMark/>
          </w:tcPr>
          <w:p w14:paraId="73444896" w14:textId="77777777" w:rsidR="00194977" w:rsidRPr="00A45720" w:rsidRDefault="00194977" w:rsidP="00A75E58">
            <w:pPr>
              <w:keepNext/>
              <w:keepLines/>
              <w:spacing w:before="20" w:after="20"/>
              <w:rPr>
                <w:sz w:val="20"/>
              </w:rPr>
            </w:pPr>
            <w:r>
              <w:rPr>
                <w:sz w:val="20"/>
              </w:rPr>
              <w:t>Gas/Electric</w:t>
            </w:r>
          </w:p>
        </w:tc>
        <w:tc>
          <w:tcPr>
            <w:tcW w:w="1530" w:type="dxa"/>
            <w:noWrap/>
            <w:vAlign w:val="bottom"/>
          </w:tcPr>
          <w:p w14:paraId="1DA19A3B" w14:textId="77777777" w:rsidR="00194977" w:rsidRPr="00194977" w:rsidRDefault="00194977" w:rsidP="00A75E58">
            <w:pPr>
              <w:keepNext/>
              <w:keepLines/>
              <w:spacing w:before="20" w:after="20"/>
              <w:ind w:right="474"/>
              <w:jc w:val="right"/>
              <w:rPr>
                <w:sz w:val="20"/>
              </w:rPr>
            </w:pPr>
            <w:r w:rsidRPr="00194977">
              <w:rPr>
                <w:sz w:val="20"/>
              </w:rPr>
              <w:t>92%</w:t>
            </w:r>
          </w:p>
        </w:tc>
        <w:tc>
          <w:tcPr>
            <w:tcW w:w="2880" w:type="dxa"/>
            <w:vMerge/>
          </w:tcPr>
          <w:p w14:paraId="5BA68719" w14:textId="77777777" w:rsidR="00194977" w:rsidRDefault="00194977" w:rsidP="00A75E58">
            <w:pPr>
              <w:keepNext/>
              <w:keepLines/>
              <w:spacing w:before="20" w:after="20"/>
              <w:jc w:val="center"/>
              <w:rPr>
                <w:color w:val="FF0000"/>
                <w:sz w:val="20"/>
              </w:rPr>
            </w:pPr>
          </w:p>
        </w:tc>
      </w:tr>
    </w:tbl>
    <w:p w14:paraId="0A9D257F" w14:textId="3282A004" w:rsidR="00194977" w:rsidRDefault="00194977" w:rsidP="0017356B"/>
    <w:p w14:paraId="7F74D4A6" w14:textId="77777777" w:rsidR="004A0D70" w:rsidRDefault="004A0D70" w:rsidP="00194977">
      <w:pPr>
        <w:pStyle w:val="eTRMHeading4"/>
      </w:pPr>
      <w:r>
        <w:t xml:space="preserve">Annual Idle Energy </w:t>
      </w:r>
    </w:p>
    <w:p w14:paraId="31D8CDE3" w14:textId="22A4608D" w:rsidR="00194977" w:rsidRDefault="00194977" w:rsidP="00D27887">
      <w:pPr>
        <w:keepNext/>
        <w:keepLines/>
      </w:pPr>
      <w:r>
        <w:t>A</w:t>
      </w:r>
      <w:r w:rsidR="004A0D70">
        <w:t xml:space="preserve">nnual idle energy use is a function of operating hours, wash time, idle energy rate, and the market penetration of primary and booster water heating fuel types. </w:t>
      </w:r>
    </w:p>
    <w:p w14:paraId="18A87A5F" w14:textId="5844FF88" w:rsidR="00194977" w:rsidRPr="00B86DBF" w:rsidRDefault="00194977" w:rsidP="00194977">
      <w:pPr>
        <w:ind w:left="720"/>
        <w:jc w:val="both"/>
        <w:rPr>
          <w:sz w:val="18"/>
          <w:szCs w:val="18"/>
        </w:rPr>
      </w:pPr>
      <m:oMath>
        <m:r>
          <w:rPr>
            <w:rFonts w:ascii="Cambria Math" w:hAnsi="Cambria Math"/>
            <w:sz w:val="18"/>
            <w:szCs w:val="18"/>
          </w:rPr>
          <m:t>Annual Idle Energy=</m:t>
        </m:r>
      </m:oMath>
      <w:r>
        <w:rPr>
          <w:rFonts w:asciiTheme="minorHAnsi" w:hAnsiTheme="minorHAnsi" w:cs="Times New Roman"/>
          <w:sz w:val="18"/>
          <w:szCs w:val="18"/>
        </w:rPr>
        <w:t xml:space="preserve"> </w:t>
      </w:r>
      <m:oMath>
        <m:r>
          <w:rPr>
            <w:rFonts w:ascii="Cambria Math" w:hAnsi="Cambria Math"/>
            <w:sz w:val="18"/>
            <w:szCs w:val="18"/>
          </w:rPr>
          <m:t>EDAYS ×</m:t>
        </m:r>
        <m:d>
          <m:dPr>
            <m:ctrlPr>
              <w:rPr>
                <w:rFonts w:ascii="Cambria Math" w:hAnsi="Cambria Math"/>
                <w:i/>
                <w:sz w:val="18"/>
                <w:szCs w:val="18"/>
              </w:rPr>
            </m:ctrlPr>
          </m:dPr>
          <m:e>
            <m:r>
              <w:rPr>
                <w:rFonts w:ascii="Cambria Math" w:hAnsi="Cambria Math"/>
                <w:sz w:val="18"/>
                <w:szCs w:val="18"/>
              </w:rPr>
              <m:t>EHOURS-RACKS×</m:t>
            </m:r>
            <m:f>
              <m:fPr>
                <m:ctrlPr>
                  <w:rPr>
                    <w:rFonts w:ascii="Cambria Math" w:hAnsi="Cambria Math"/>
                    <w:i/>
                    <w:sz w:val="18"/>
                    <w:szCs w:val="18"/>
                  </w:rPr>
                </m:ctrlPr>
              </m:fPr>
              <m:num>
                <m:r>
                  <w:rPr>
                    <w:rFonts w:ascii="Cambria Math" w:hAnsi="Cambria Math"/>
                    <w:sz w:val="18"/>
                    <w:szCs w:val="18"/>
                  </w:rPr>
                  <m:t>TWASH</m:t>
                </m:r>
              </m:num>
              <m:den>
                <m:r>
                  <w:rPr>
                    <w:rFonts w:ascii="Cambria Math" w:hAnsi="Cambria Math"/>
                    <w:sz w:val="18"/>
                    <w:szCs w:val="18"/>
                  </w:rPr>
                  <m:t>MIN</m:t>
                </m:r>
              </m:den>
            </m:f>
          </m:e>
        </m:d>
        <m:r>
          <w:rPr>
            <w:rFonts w:ascii="Cambria Math" w:hAnsi="Cambria Math"/>
            <w:sz w:val="18"/>
            <w:szCs w:val="18"/>
          </w:rPr>
          <m:t>× IDLERATE</m:t>
        </m:r>
      </m:oMath>
    </w:p>
    <w:p w14:paraId="126B4BCE" w14:textId="3C9F334A" w:rsidR="00194977" w:rsidRDefault="00194977" w:rsidP="00194977">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sidR="00910EFD">
        <w:rPr>
          <w:rFonts w:ascii="Cambria Math" w:hAnsi="Cambria Math" w:cs="Calibri Light"/>
          <w:i/>
          <w:sz w:val="18"/>
          <w:szCs w:val="20"/>
        </w:rPr>
        <w:t xml:space="preserve"> </w:t>
      </w:r>
      <w:r>
        <w:rPr>
          <w:rFonts w:ascii="Cambria Math" w:hAnsi="Cambria Math" w:cs="Calibri Light"/>
          <w:i/>
          <w:sz w:val="18"/>
          <w:szCs w:val="20"/>
        </w:rPr>
        <w:t>=</w:t>
      </w:r>
      <w:r>
        <w:rPr>
          <w:rFonts w:ascii="Cambria Math" w:hAnsi="Cambria Math" w:cs="Calibri Light"/>
          <w:i/>
          <w:sz w:val="18"/>
          <w:szCs w:val="20"/>
        </w:rPr>
        <w:tab/>
        <w:t>Estimated operating days per year (days)</w:t>
      </w:r>
    </w:p>
    <w:p w14:paraId="3947E7A4" w14:textId="7250A461" w:rsidR="00194977" w:rsidRDefault="00194977" w:rsidP="00194977">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Pr>
          <w:rFonts w:ascii="Cambria Math" w:hAnsi="Cambria Math" w:cs="Arial"/>
          <w:i/>
          <w:sz w:val="18"/>
          <w:szCs w:val="20"/>
        </w:rPr>
        <w:t>R</w:t>
      </w:r>
      <w:r w:rsidR="00910EFD">
        <w:rPr>
          <w:rFonts w:ascii="Cambria Math" w:hAnsi="Cambria Math" w:cs="Arial"/>
          <w:i/>
          <w:sz w:val="18"/>
          <w:szCs w:val="20"/>
        </w:rPr>
        <w:t xml:space="preserve"> </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(hrs)</w:t>
      </w:r>
    </w:p>
    <w:p w14:paraId="2F60BAAA" w14:textId="77777777" w:rsidR="00A210FD" w:rsidRDefault="00A210FD" w:rsidP="00A210FD">
      <w:pPr>
        <w:spacing w:before="0" w:after="0"/>
        <w:ind w:left="1440"/>
        <w:rPr>
          <w:rFonts w:ascii="Cambria Math" w:hAnsi="Cambria Math"/>
          <w:i/>
          <w:sz w:val="18"/>
        </w:rPr>
      </w:pPr>
      <w:r w:rsidRPr="00E51FD3">
        <w:rPr>
          <w:rFonts w:ascii="Cambria Math" w:hAnsi="Cambria Math"/>
          <w:i/>
          <w:sz w:val="18"/>
        </w:rPr>
        <w:t>RACK</w:t>
      </w:r>
      <w:r>
        <w:rPr>
          <w:rFonts w:ascii="Cambria Math" w:hAnsi="Cambria Math"/>
          <w:i/>
          <w:sz w:val="18"/>
        </w:rPr>
        <w:t>S</w:t>
      </w:r>
      <w:r w:rsidRPr="00E51FD3">
        <w:rPr>
          <w:rFonts w:ascii="Cambria Math" w:hAnsi="Cambria Math"/>
          <w:i/>
          <w:sz w:val="18"/>
        </w:rPr>
        <w:t xml:space="preserve"> = </w:t>
      </w:r>
      <w:r>
        <w:rPr>
          <w:rFonts w:ascii="Cambria Math" w:hAnsi="Cambria Math"/>
          <w:i/>
          <w:sz w:val="18"/>
        </w:rPr>
        <w:tab/>
      </w:r>
      <w:r w:rsidRPr="00E51FD3">
        <w:rPr>
          <w:rFonts w:ascii="Cambria Math" w:hAnsi="Cambria Math"/>
          <w:i/>
          <w:sz w:val="18"/>
        </w:rPr>
        <w:t xml:space="preserve">Number of racks washed per </w:t>
      </w:r>
      <w:r>
        <w:rPr>
          <w:rFonts w:ascii="Cambria Math" w:hAnsi="Cambria Math"/>
          <w:i/>
          <w:sz w:val="18"/>
        </w:rPr>
        <w:t>day</w:t>
      </w:r>
      <w:r w:rsidRPr="00E51FD3">
        <w:rPr>
          <w:rFonts w:ascii="Cambria Math" w:hAnsi="Cambria Math"/>
          <w:i/>
          <w:sz w:val="18"/>
        </w:rPr>
        <w:t xml:space="preserve"> (</w:t>
      </w:r>
      <w:r>
        <w:rPr>
          <w:rFonts w:ascii="Cambria Math" w:hAnsi="Cambria Math"/>
          <w:i/>
          <w:sz w:val="18"/>
        </w:rPr>
        <w:t>Racks/day</w:t>
      </w:r>
      <w:r w:rsidRPr="00E51FD3">
        <w:rPr>
          <w:rFonts w:ascii="Cambria Math" w:hAnsi="Cambria Math"/>
          <w:i/>
          <w:sz w:val="18"/>
        </w:rPr>
        <w:t>)</w:t>
      </w:r>
    </w:p>
    <w:p w14:paraId="168E5533" w14:textId="17C6E83A" w:rsidR="00194977" w:rsidRDefault="00194977" w:rsidP="00194977">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TWASH = </w:t>
      </w:r>
      <w:r>
        <w:rPr>
          <w:rFonts w:ascii="Cambria Math" w:hAnsi="Cambria Math" w:cs="Arial"/>
          <w:i/>
          <w:sz w:val="18"/>
          <w:szCs w:val="20"/>
        </w:rPr>
        <w:tab/>
        <w:t>Estimated wash time per rack (min)</w:t>
      </w:r>
    </w:p>
    <w:p w14:paraId="44C7BA8F" w14:textId="16134EFF" w:rsidR="00D74DFD" w:rsidRDefault="00D74DFD" w:rsidP="00194977">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MIN = </w:t>
      </w:r>
      <w:r>
        <w:rPr>
          <w:rFonts w:ascii="Cambria Math" w:hAnsi="Cambria Math" w:cs="Arial"/>
          <w:i/>
          <w:sz w:val="18"/>
          <w:szCs w:val="20"/>
        </w:rPr>
        <w:tab/>
        <w:t>Constant minutes per hour (min)</w:t>
      </w:r>
    </w:p>
    <w:p w14:paraId="6D67381A" w14:textId="035B3F34" w:rsidR="00194977" w:rsidRDefault="00194977" w:rsidP="00194977">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IDLERATE = </w:t>
      </w:r>
      <w:r>
        <w:rPr>
          <w:rFonts w:ascii="Cambria Math" w:hAnsi="Cambria Math" w:cs="Arial"/>
          <w:i/>
          <w:sz w:val="18"/>
          <w:szCs w:val="20"/>
        </w:rPr>
        <w:tab/>
        <w:t>Measured idle energy rate (Btu)</w:t>
      </w:r>
    </w:p>
    <w:p w14:paraId="32E26ED4" w14:textId="77777777" w:rsidR="00194977" w:rsidRDefault="00194977" w:rsidP="00194977"/>
    <w:p w14:paraId="1786FA8B" w14:textId="77777777" w:rsidR="00194977" w:rsidRPr="00A92E76" w:rsidRDefault="00194977" w:rsidP="00194977">
      <w:pPr>
        <w:spacing w:before="0" w:after="0" w:line="240" w:lineRule="auto"/>
        <w:rPr>
          <w:rFonts w:eastAsia="Times New Roman" w:cs="Times New Roman"/>
          <w:szCs w:val="22"/>
        </w:rPr>
      </w:pPr>
      <w:r w:rsidRPr="00A92E76">
        <w:rPr>
          <w:b/>
        </w:rPr>
        <w:t>Operating Hours per Day</w:t>
      </w:r>
      <w:r>
        <w:t xml:space="preserve"> and </w:t>
      </w:r>
      <w:r w:rsidRPr="00A92E76">
        <w:rPr>
          <w:b/>
        </w:rPr>
        <w:t>Operating Days per Year.</w:t>
      </w:r>
      <w:r>
        <w:t xml:space="preserve"> The commercial dishwasher hours and days per year of operation was derived </w:t>
      </w:r>
      <w:r w:rsidRPr="00A92E76">
        <w:rPr>
          <w:szCs w:val="22"/>
        </w:rPr>
        <w:t>from a</w:t>
      </w:r>
      <w:r>
        <w:rPr>
          <w:szCs w:val="22"/>
        </w:rPr>
        <w:t>n independent</w:t>
      </w:r>
      <w:r w:rsidRPr="00A92E76">
        <w:rPr>
          <w:szCs w:val="22"/>
        </w:rPr>
        <w:t xml:space="preserve"> </w:t>
      </w:r>
      <w:r w:rsidRPr="00A92E76">
        <w:rPr>
          <w:rFonts w:eastAsia="Times New Roman" w:cs="Times New Roman"/>
          <w:szCs w:val="22"/>
        </w:rPr>
        <w:t>survey of 54 food service establishments conducted by Navigant Consulting.</w:t>
      </w:r>
      <w:r>
        <w:rPr>
          <w:rStyle w:val="FootnoteReference"/>
          <w:rFonts w:eastAsia="Times New Roman" w:cs="Times New Roman"/>
          <w:szCs w:val="22"/>
        </w:rPr>
        <w:footnoteReference w:id="26"/>
      </w:r>
      <w:r>
        <w:rPr>
          <w:rFonts w:eastAsia="Times New Roman" w:cs="Times New Roman"/>
          <w:szCs w:val="22"/>
        </w:rPr>
        <w:t xml:space="preserve"> The survey sample included independent restaurants, casual concept (big chain) restaurants, and fast food chains. These assumed hours and days of operation align with assumptions for many other food service measures drawn from a food service equipment market potential study conducted for the California Energy Commission (CEC) by Fisher-Nickel, Inc.</w:t>
      </w:r>
      <w:r>
        <w:rPr>
          <w:rStyle w:val="FootnoteReference"/>
          <w:rFonts w:eastAsia="Times New Roman" w:cs="Times New Roman"/>
          <w:szCs w:val="22"/>
        </w:rPr>
        <w:footnoteReference w:id="27"/>
      </w:r>
    </w:p>
    <w:p w14:paraId="61A91381" w14:textId="581A5B97" w:rsidR="004A0D70" w:rsidRDefault="004A0D70" w:rsidP="004A0D70">
      <w:r w:rsidRPr="00170722">
        <w:rPr>
          <w:b/>
        </w:rPr>
        <w:t>Idle Energy Rate</w:t>
      </w:r>
      <w:r>
        <w:rPr>
          <w:b/>
        </w:rPr>
        <w:t xml:space="preserve">. </w:t>
      </w:r>
      <w:r w:rsidR="00DD1EA5">
        <w:t xml:space="preserve">The idle energy rate for high-temperature and low-temperature machines is based upon the ENERGY STAR eligibility requirements </w:t>
      </w:r>
      <w:r w:rsidR="00361321">
        <w:t>in the Measure Case Description</w:t>
      </w:r>
      <w:r w:rsidR="00DD1EA5">
        <w:t>.</w:t>
      </w:r>
    </w:p>
    <w:p w14:paraId="70CB02D6" w14:textId="156DE9A1" w:rsidR="00194977" w:rsidRDefault="00194977" w:rsidP="004A0D70"/>
    <w:p w14:paraId="3E5ACBB9" w14:textId="0364FA9E" w:rsidR="00194977" w:rsidRDefault="00194977" w:rsidP="00194977">
      <w:pPr>
        <w:pStyle w:val="eTRMHeading4"/>
      </w:pPr>
      <w:r>
        <w:t>Annual Gas Unit Energy Savings</w:t>
      </w:r>
    </w:p>
    <w:p w14:paraId="3C464263" w14:textId="77777777" w:rsidR="00194977" w:rsidRDefault="00194977" w:rsidP="00194977">
      <w:r>
        <w:t xml:space="preserve">The </w:t>
      </w:r>
      <w:r>
        <w:rPr>
          <w:b/>
        </w:rPr>
        <w:t>annual</w:t>
      </w:r>
      <w:r w:rsidRPr="00ED4D0D">
        <w:rPr>
          <w:b/>
        </w:rPr>
        <w:t xml:space="preserve"> UES</w:t>
      </w:r>
      <w:r>
        <w:t xml:space="preserve"> is calculated as the difference between the baseline and measure case annual UEC.  </w:t>
      </w:r>
    </w:p>
    <w:p w14:paraId="6E6DA30F" w14:textId="30488BA0" w:rsidR="00194977" w:rsidRPr="00FD02A1" w:rsidRDefault="00221A7D" w:rsidP="00194977">
      <w:pPr>
        <w:tabs>
          <w:tab w:val="left" w:pos="720"/>
        </w:tabs>
        <w:ind w:left="720"/>
        <w:rPr>
          <w:sz w:val="18"/>
          <w:szCs w:val="18"/>
        </w:rPr>
      </w:pPr>
      <m:oMathPara>
        <m:oMathParaPr>
          <m:jc m:val="left"/>
        </m:oMathParaPr>
        <m:oMath>
          <m:r>
            <w:rPr>
              <w:rFonts w:ascii="Cambria Math" w:hAnsi="Cambria Math"/>
              <w:sz w:val="18"/>
              <w:szCs w:val="18"/>
            </w:rPr>
            <m:t>UES_YEAR=</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p w14:paraId="34A879F0" w14:textId="77777777" w:rsidR="00194977" w:rsidRPr="00170722" w:rsidRDefault="00194977" w:rsidP="004A0D70"/>
    <w:p w14:paraId="51D5FE1D" w14:textId="77777777" w:rsidR="00194977" w:rsidRPr="00170722" w:rsidRDefault="00194977" w:rsidP="00194977">
      <w:pPr>
        <w:pStyle w:val="eTRMHeading4"/>
      </w:pPr>
      <w:bookmarkStart w:id="55" w:name="_Ref496008486"/>
      <w:bookmarkStart w:id="56" w:name="_Toc410659567"/>
      <w:r>
        <w:t>Inputs and Assumptions</w:t>
      </w:r>
    </w:p>
    <w:p w14:paraId="19828112" w14:textId="2F28CBE1" w:rsidR="00194977" w:rsidRDefault="00194977" w:rsidP="00194977">
      <w:r>
        <w:t xml:space="preserve">The inputs for the calculation of the annual gas UEC </w:t>
      </w:r>
      <w:r w:rsidRPr="00F84224">
        <w:t>for both low</w:t>
      </w:r>
      <w:r>
        <w:t>-</w:t>
      </w:r>
      <w:r w:rsidRPr="00F84224">
        <w:t xml:space="preserve"> and high</w:t>
      </w:r>
      <w:r>
        <w:t>-</w:t>
      </w:r>
      <w:r w:rsidRPr="00F84224">
        <w:t>temperature door-type units</w:t>
      </w:r>
      <w:r>
        <w:t xml:space="preserve"> are specified below</w:t>
      </w:r>
      <w:r w:rsidRPr="00F84224">
        <w:t xml:space="preserve">. </w:t>
      </w:r>
    </w:p>
    <w:bookmarkEnd w:id="55"/>
    <w:bookmarkEnd w:id="56"/>
    <w:p w14:paraId="4BC009CC" w14:textId="2115444B" w:rsidR="00194977" w:rsidRDefault="00194977" w:rsidP="00194977">
      <w:pPr>
        <w:pStyle w:val="Caption"/>
      </w:pPr>
      <w:r>
        <w:lastRenderedPageBreak/>
        <w:t>Gas</w:t>
      </w:r>
      <w:r w:rsidRPr="00F84224">
        <w:t xml:space="preserve"> </w:t>
      </w:r>
      <w:r>
        <w:t xml:space="preserve">UEC Inputs – </w:t>
      </w:r>
      <w:r w:rsidRPr="00F84224">
        <w:t>High</w:t>
      </w:r>
      <w:r>
        <w:t>-</w:t>
      </w:r>
      <w:r w:rsidRPr="00F84224">
        <w:t xml:space="preserve">Temperature Door-Type Dishwasher </w:t>
      </w:r>
    </w:p>
    <w:tbl>
      <w:tblPr>
        <w:tblW w:w="9805"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40"/>
        <w:gridCol w:w="1260"/>
        <w:gridCol w:w="1197"/>
        <w:gridCol w:w="3208"/>
      </w:tblGrid>
      <w:tr w:rsidR="00834D1A" w:rsidRPr="0026027C" w14:paraId="2CF18F0E" w14:textId="77777777" w:rsidTr="00E509A3">
        <w:trPr>
          <w:trHeight w:val="645"/>
          <w:tblHeader/>
        </w:trPr>
        <w:tc>
          <w:tcPr>
            <w:tcW w:w="4140" w:type="dxa"/>
            <w:tcBorders>
              <w:bottom w:val="single" w:sz="4" w:space="0" w:color="A6A6A6" w:themeColor="background1" w:themeShade="A6"/>
            </w:tcBorders>
            <w:shd w:val="clear" w:color="auto" w:fill="F2F2F2" w:themeFill="background1" w:themeFillShade="F2"/>
            <w:noWrap/>
            <w:vAlign w:val="bottom"/>
            <w:hideMark/>
          </w:tcPr>
          <w:p w14:paraId="4EE7578C" w14:textId="77777777" w:rsidR="00834D1A" w:rsidRPr="0026027C" w:rsidRDefault="00834D1A" w:rsidP="00AE16F9">
            <w:pPr>
              <w:spacing w:before="0" w:after="0" w:line="240" w:lineRule="auto"/>
              <w:rPr>
                <w:rFonts w:eastAsia="Times New Roman" w:cs="Times New Roman"/>
                <w:b/>
                <w:color w:val="000000"/>
                <w:sz w:val="20"/>
                <w:szCs w:val="20"/>
              </w:rPr>
            </w:pPr>
            <w:r>
              <w:rPr>
                <w:rFonts w:eastAsia="Times New Roman" w:cs="Times New Roman"/>
                <w:b/>
                <w:color w:val="000000"/>
                <w:sz w:val="20"/>
                <w:szCs w:val="20"/>
              </w:rPr>
              <w:t>Parameter</w:t>
            </w:r>
          </w:p>
        </w:tc>
        <w:tc>
          <w:tcPr>
            <w:tcW w:w="1260" w:type="dxa"/>
            <w:tcBorders>
              <w:bottom w:val="single" w:sz="4" w:space="0" w:color="A6A6A6" w:themeColor="background1" w:themeShade="A6"/>
            </w:tcBorders>
            <w:shd w:val="clear" w:color="auto" w:fill="F2F2F2" w:themeFill="background1" w:themeFillShade="F2"/>
            <w:noWrap/>
            <w:vAlign w:val="bottom"/>
            <w:hideMark/>
          </w:tcPr>
          <w:p w14:paraId="1C166E94" w14:textId="77777777" w:rsidR="00834D1A" w:rsidRPr="005D77C8" w:rsidRDefault="00834D1A" w:rsidP="00AE16F9">
            <w:pPr>
              <w:spacing w:before="0" w:after="0" w:line="240" w:lineRule="auto"/>
              <w:jc w:val="center"/>
              <w:rPr>
                <w:rFonts w:eastAsia="Times New Roman" w:cs="Times New Roman"/>
                <w:b/>
                <w:color w:val="000000"/>
                <w:sz w:val="20"/>
                <w:szCs w:val="20"/>
              </w:rPr>
            </w:pPr>
            <w:r w:rsidRPr="005D77C8">
              <w:rPr>
                <w:rFonts w:eastAsia="Times New Roman" w:cs="Times New Roman"/>
                <w:b/>
                <w:color w:val="000000"/>
                <w:sz w:val="20"/>
                <w:szCs w:val="20"/>
              </w:rPr>
              <w:t>Base Case</w:t>
            </w:r>
          </w:p>
        </w:tc>
        <w:tc>
          <w:tcPr>
            <w:tcW w:w="1197" w:type="dxa"/>
            <w:tcBorders>
              <w:bottom w:val="single" w:sz="4" w:space="0" w:color="A6A6A6" w:themeColor="background1" w:themeShade="A6"/>
            </w:tcBorders>
            <w:shd w:val="clear" w:color="auto" w:fill="F2F2F2" w:themeFill="background1" w:themeFillShade="F2"/>
            <w:vAlign w:val="bottom"/>
            <w:hideMark/>
          </w:tcPr>
          <w:p w14:paraId="239CD9A4" w14:textId="77777777" w:rsidR="00834D1A" w:rsidRPr="005D77C8" w:rsidRDefault="00834D1A" w:rsidP="00AE16F9">
            <w:pPr>
              <w:spacing w:before="0" w:after="0" w:line="240" w:lineRule="auto"/>
              <w:jc w:val="center"/>
              <w:rPr>
                <w:rFonts w:eastAsia="Times New Roman" w:cs="Times New Roman"/>
                <w:b/>
                <w:color w:val="000000"/>
                <w:sz w:val="20"/>
                <w:szCs w:val="20"/>
              </w:rPr>
            </w:pPr>
            <w:r w:rsidRPr="005D77C8">
              <w:rPr>
                <w:rFonts w:eastAsia="Times New Roman" w:cs="Times New Roman"/>
                <w:b/>
                <w:color w:val="000000"/>
                <w:sz w:val="20"/>
                <w:szCs w:val="20"/>
              </w:rPr>
              <w:t xml:space="preserve">High-Temp Measure Case </w:t>
            </w:r>
          </w:p>
        </w:tc>
        <w:tc>
          <w:tcPr>
            <w:tcW w:w="3208" w:type="dxa"/>
            <w:tcBorders>
              <w:bottom w:val="single" w:sz="4" w:space="0" w:color="A6A6A6" w:themeColor="background1" w:themeShade="A6"/>
            </w:tcBorders>
            <w:shd w:val="clear" w:color="auto" w:fill="F2F2F2" w:themeFill="background1" w:themeFillShade="F2"/>
          </w:tcPr>
          <w:p w14:paraId="5356330E" w14:textId="77777777" w:rsidR="00834D1A" w:rsidRPr="0026027C" w:rsidRDefault="00834D1A" w:rsidP="00AE16F9">
            <w:pPr>
              <w:spacing w:before="0" w:after="0" w:line="240" w:lineRule="auto"/>
              <w:jc w:val="center"/>
              <w:rPr>
                <w:rFonts w:eastAsia="Times New Roman" w:cs="Times New Roman"/>
                <w:b/>
                <w:color w:val="000000"/>
                <w:sz w:val="20"/>
                <w:szCs w:val="20"/>
              </w:rPr>
            </w:pPr>
            <w:r w:rsidRPr="0026027C">
              <w:rPr>
                <w:rFonts w:eastAsia="Times New Roman" w:cs="Times New Roman"/>
                <w:b/>
                <w:color w:val="000000"/>
                <w:sz w:val="20"/>
                <w:szCs w:val="20"/>
              </w:rPr>
              <w:t>Source</w:t>
            </w:r>
          </w:p>
        </w:tc>
      </w:tr>
      <w:tr w:rsidR="003672EF" w:rsidRPr="00883E33" w14:paraId="1B3554C6" w14:textId="77777777" w:rsidTr="00E509A3">
        <w:trPr>
          <w:trHeight w:val="300"/>
        </w:trPr>
        <w:tc>
          <w:tcPr>
            <w:tcW w:w="4140" w:type="dxa"/>
            <w:shd w:val="clear" w:color="auto" w:fill="auto"/>
            <w:vAlign w:val="center"/>
          </w:tcPr>
          <w:p w14:paraId="4A09E64D" w14:textId="77777777" w:rsidR="003672EF" w:rsidRPr="00883E33" w:rsidRDefault="003672EF" w:rsidP="00AE16F9">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Specific heat of Water (Btu/lb/°F)</w:t>
            </w:r>
          </w:p>
        </w:tc>
        <w:tc>
          <w:tcPr>
            <w:tcW w:w="1260" w:type="dxa"/>
            <w:shd w:val="clear" w:color="auto" w:fill="auto"/>
            <w:vAlign w:val="center"/>
          </w:tcPr>
          <w:p w14:paraId="78D4E61F"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p>
        </w:tc>
        <w:tc>
          <w:tcPr>
            <w:tcW w:w="1197" w:type="dxa"/>
            <w:shd w:val="clear" w:color="auto" w:fill="auto"/>
            <w:vAlign w:val="center"/>
          </w:tcPr>
          <w:p w14:paraId="1A8D1E69"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p>
        </w:tc>
        <w:tc>
          <w:tcPr>
            <w:tcW w:w="3208" w:type="dxa"/>
            <w:vAlign w:val="center"/>
          </w:tcPr>
          <w:p w14:paraId="32D47265" w14:textId="03B53CBC" w:rsidR="003672EF" w:rsidRPr="00883E33" w:rsidRDefault="00022134" w:rsidP="00AE16F9">
            <w:pPr>
              <w:spacing w:before="0" w:after="0" w:line="240" w:lineRule="auto"/>
              <w:rPr>
                <w:rFonts w:eastAsia="Times New Roman" w:cs="Arial"/>
                <w:color w:val="000000"/>
                <w:sz w:val="20"/>
                <w:szCs w:val="20"/>
              </w:rPr>
            </w:pPr>
            <w:r>
              <w:rPr>
                <w:rFonts w:eastAsia="Times New Roman" w:cs="Arial"/>
                <w:color w:val="000000"/>
                <w:sz w:val="20"/>
                <w:szCs w:val="20"/>
              </w:rPr>
              <w:t>Given</w:t>
            </w:r>
          </w:p>
        </w:tc>
      </w:tr>
      <w:tr w:rsidR="003672EF" w:rsidRPr="00883E33" w14:paraId="76DBD015" w14:textId="77777777" w:rsidTr="00E509A3">
        <w:trPr>
          <w:trHeight w:val="300"/>
        </w:trPr>
        <w:tc>
          <w:tcPr>
            <w:tcW w:w="4140" w:type="dxa"/>
            <w:shd w:val="clear" w:color="auto" w:fill="auto"/>
            <w:vAlign w:val="center"/>
          </w:tcPr>
          <w:p w14:paraId="6801FFBA" w14:textId="77777777" w:rsidR="003672EF" w:rsidRPr="00883E33" w:rsidRDefault="003672EF" w:rsidP="00AE16F9">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Density of Water (lb/gal)</w:t>
            </w:r>
          </w:p>
        </w:tc>
        <w:tc>
          <w:tcPr>
            <w:tcW w:w="1260" w:type="dxa"/>
            <w:shd w:val="clear" w:color="auto" w:fill="auto"/>
            <w:vAlign w:val="center"/>
          </w:tcPr>
          <w:p w14:paraId="2FBC6D92" w14:textId="707EE509"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8.</w:t>
            </w:r>
            <w:r w:rsidR="001D5B97">
              <w:rPr>
                <w:rFonts w:eastAsia="Times New Roman" w:cs="Arial"/>
                <w:color w:val="000000"/>
                <w:sz w:val="20"/>
                <w:szCs w:val="20"/>
              </w:rPr>
              <w:t>34</w:t>
            </w:r>
          </w:p>
        </w:tc>
        <w:tc>
          <w:tcPr>
            <w:tcW w:w="1197" w:type="dxa"/>
            <w:shd w:val="clear" w:color="auto" w:fill="auto"/>
            <w:vAlign w:val="center"/>
          </w:tcPr>
          <w:p w14:paraId="6AC43C33" w14:textId="3F2E16A8"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8.</w:t>
            </w:r>
            <w:r w:rsidR="001D5B97">
              <w:rPr>
                <w:rFonts w:eastAsia="Times New Roman" w:cs="Arial"/>
                <w:color w:val="000000"/>
                <w:sz w:val="20"/>
                <w:szCs w:val="20"/>
              </w:rPr>
              <w:t>34</w:t>
            </w:r>
          </w:p>
        </w:tc>
        <w:tc>
          <w:tcPr>
            <w:tcW w:w="3208" w:type="dxa"/>
            <w:vAlign w:val="center"/>
          </w:tcPr>
          <w:p w14:paraId="05465948" w14:textId="7356E850" w:rsidR="003672EF" w:rsidRPr="00883E33" w:rsidRDefault="00022134" w:rsidP="00AE16F9">
            <w:pPr>
              <w:spacing w:before="0" w:after="0" w:line="240" w:lineRule="auto"/>
              <w:rPr>
                <w:rFonts w:eastAsia="Times New Roman" w:cs="Arial"/>
                <w:color w:val="000000"/>
                <w:sz w:val="20"/>
                <w:szCs w:val="20"/>
              </w:rPr>
            </w:pPr>
            <w:r>
              <w:rPr>
                <w:rFonts w:eastAsia="Times New Roman" w:cs="Arial"/>
                <w:color w:val="000000"/>
                <w:sz w:val="20"/>
                <w:szCs w:val="20"/>
              </w:rPr>
              <w:t>Given</w:t>
            </w:r>
          </w:p>
        </w:tc>
      </w:tr>
      <w:tr w:rsidR="003672EF" w:rsidRPr="0026323A" w14:paraId="04140A2B" w14:textId="77777777" w:rsidTr="00E509A3">
        <w:trPr>
          <w:trHeight w:val="300"/>
        </w:trPr>
        <w:tc>
          <w:tcPr>
            <w:tcW w:w="4140" w:type="dxa"/>
            <w:shd w:val="clear" w:color="auto" w:fill="auto"/>
            <w:vAlign w:val="center"/>
          </w:tcPr>
          <w:p w14:paraId="69CAA6EB" w14:textId="77777777" w:rsidR="003672EF" w:rsidRPr="00883E33" w:rsidRDefault="003672EF" w:rsidP="00AE16F9">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Inlet water Temperature (°F)</w:t>
            </w:r>
            <w:r>
              <w:rPr>
                <w:rFonts w:eastAsia="Times New Roman" w:cs="Arial"/>
                <w:color w:val="000000"/>
                <w:sz w:val="20"/>
                <w:szCs w:val="20"/>
              </w:rPr>
              <w:t xml:space="preserve"> </w:t>
            </w:r>
          </w:p>
        </w:tc>
        <w:tc>
          <w:tcPr>
            <w:tcW w:w="1260" w:type="dxa"/>
            <w:shd w:val="clear" w:color="auto" w:fill="auto"/>
            <w:vAlign w:val="center"/>
          </w:tcPr>
          <w:p w14:paraId="1E7277CA" w14:textId="193CD9C8" w:rsidR="003672EF" w:rsidRPr="005D77C8" w:rsidRDefault="001D5B97" w:rsidP="00386B41">
            <w:pPr>
              <w:spacing w:before="0" w:after="0" w:line="240" w:lineRule="auto"/>
              <w:jc w:val="right"/>
              <w:rPr>
                <w:rFonts w:eastAsia="Times New Roman" w:cs="Arial"/>
                <w:color w:val="000000"/>
                <w:sz w:val="20"/>
                <w:szCs w:val="20"/>
              </w:rPr>
            </w:pPr>
            <w:r>
              <w:rPr>
                <w:sz w:val="20"/>
                <w:szCs w:val="20"/>
              </w:rPr>
              <w:t>Varies</w:t>
            </w:r>
          </w:p>
        </w:tc>
        <w:tc>
          <w:tcPr>
            <w:tcW w:w="1197" w:type="dxa"/>
            <w:shd w:val="clear" w:color="auto" w:fill="auto"/>
            <w:vAlign w:val="center"/>
          </w:tcPr>
          <w:p w14:paraId="286A41DF" w14:textId="4B72B6F9" w:rsidR="003672EF" w:rsidRPr="005D77C8" w:rsidRDefault="001D5B97" w:rsidP="00386B41">
            <w:pPr>
              <w:spacing w:before="0" w:after="0" w:line="240" w:lineRule="auto"/>
              <w:jc w:val="right"/>
              <w:rPr>
                <w:rFonts w:eastAsia="Times New Roman" w:cs="Arial"/>
                <w:color w:val="000000"/>
                <w:sz w:val="20"/>
                <w:szCs w:val="20"/>
              </w:rPr>
            </w:pPr>
            <w:r>
              <w:rPr>
                <w:rFonts w:eastAsia="Times New Roman" w:cs="Arial"/>
                <w:color w:val="000000"/>
                <w:sz w:val="20"/>
                <w:szCs w:val="20"/>
              </w:rPr>
              <w:t>Varies</w:t>
            </w:r>
          </w:p>
        </w:tc>
        <w:tc>
          <w:tcPr>
            <w:tcW w:w="3208" w:type="dxa"/>
            <w:vAlign w:val="center"/>
          </w:tcPr>
          <w:p w14:paraId="0F6DD86A" w14:textId="6C97F4D4" w:rsidR="003672EF" w:rsidRPr="0026323A" w:rsidRDefault="003672EF" w:rsidP="00AE16F9">
            <w:pPr>
              <w:spacing w:before="0" w:after="0" w:line="240" w:lineRule="auto"/>
              <w:rPr>
                <w:rFonts w:eastAsia="Times New Roman" w:cs="Arial"/>
                <w:color w:val="000000"/>
                <w:sz w:val="18"/>
                <w:szCs w:val="18"/>
              </w:rPr>
            </w:pPr>
            <w:r>
              <w:rPr>
                <w:rStyle w:val="eTRMFootnoteTextChar"/>
                <w:szCs w:val="18"/>
              </w:rPr>
              <w:t>California Energy Commission (CEC). 2011. “</w:t>
            </w:r>
            <w:r w:rsidRPr="000C4122">
              <w:rPr>
                <w:rStyle w:val="eTRMFootnoteTextChar"/>
                <w:szCs w:val="18"/>
              </w:rPr>
              <w:t>CZ2010 Weather Files.xls.</w:t>
            </w:r>
            <w:r>
              <w:rPr>
                <w:rStyle w:val="eTRMFootnoteTextChar"/>
                <w:szCs w:val="18"/>
              </w:rPr>
              <w:t>”</w:t>
            </w:r>
          </w:p>
        </w:tc>
      </w:tr>
      <w:tr w:rsidR="003672EF" w:rsidRPr="00883E33" w14:paraId="6F1AA312" w14:textId="77777777" w:rsidTr="00E509A3">
        <w:trPr>
          <w:trHeight w:val="300"/>
        </w:trPr>
        <w:tc>
          <w:tcPr>
            <w:tcW w:w="4140" w:type="dxa"/>
            <w:shd w:val="clear" w:color="auto" w:fill="auto"/>
            <w:vAlign w:val="center"/>
          </w:tcPr>
          <w:p w14:paraId="0FD6B4D1" w14:textId="77777777" w:rsidR="003672EF" w:rsidRPr="00883E33" w:rsidRDefault="003672EF" w:rsidP="00AE16F9">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Setpoint Hot Water Temperature (°F)</w:t>
            </w:r>
          </w:p>
        </w:tc>
        <w:tc>
          <w:tcPr>
            <w:tcW w:w="1260" w:type="dxa"/>
            <w:shd w:val="clear" w:color="auto" w:fill="auto"/>
            <w:vAlign w:val="center"/>
          </w:tcPr>
          <w:p w14:paraId="3AE37B4F"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 °F</w:t>
            </w:r>
          </w:p>
        </w:tc>
        <w:tc>
          <w:tcPr>
            <w:tcW w:w="1197" w:type="dxa"/>
            <w:shd w:val="clear" w:color="auto" w:fill="auto"/>
            <w:vAlign w:val="center"/>
          </w:tcPr>
          <w:p w14:paraId="43FE672E"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 °F</w:t>
            </w:r>
          </w:p>
        </w:tc>
        <w:tc>
          <w:tcPr>
            <w:tcW w:w="3208" w:type="dxa"/>
            <w:vAlign w:val="center"/>
          </w:tcPr>
          <w:p w14:paraId="11C9359E" w14:textId="038EB029" w:rsidR="003672EF" w:rsidRPr="00B8600B" w:rsidRDefault="00D27887" w:rsidP="00AE16F9">
            <w:pPr>
              <w:spacing w:before="0" w:after="0" w:line="240" w:lineRule="auto"/>
              <w:rPr>
                <w:rFonts w:eastAsia="Times New Roman" w:cs="Arial"/>
                <w:color w:val="000000"/>
                <w:sz w:val="18"/>
                <w:szCs w:val="18"/>
              </w:rPr>
            </w:pPr>
            <w:r w:rsidRPr="00B8600B">
              <w:rPr>
                <w:rFonts w:eastAsia="Times New Roman" w:cs="Arial"/>
                <w:color w:val="000000"/>
                <w:sz w:val="18"/>
                <w:szCs w:val="18"/>
              </w:rPr>
              <w:t>The source for this data is unknown.</w:t>
            </w:r>
          </w:p>
        </w:tc>
      </w:tr>
      <w:tr w:rsidR="003672EF" w:rsidRPr="00883E33" w14:paraId="29678A55" w14:textId="77777777" w:rsidTr="00E509A3">
        <w:trPr>
          <w:trHeight w:val="300"/>
        </w:trPr>
        <w:tc>
          <w:tcPr>
            <w:tcW w:w="4140" w:type="dxa"/>
            <w:shd w:val="clear" w:color="auto" w:fill="auto"/>
            <w:vAlign w:val="center"/>
          </w:tcPr>
          <w:p w14:paraId="6BEEDDFA" w14:textId="77777777" w:rsidR="003672EF" w:rsidRPr="00883E33" w:rsidRDefault="003672EF" w:rsidP="00AE16F9">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Booster Heater Water Temperature Rise (°F)</w:t>
            </w:r>
          </w:p>
        </w:tc>
        <w:tc>
          <w:tcPr>
            <w:tcW w:w="1260" w:type="dxa"/>
            <w:shd w:val="clear" w:color="auto" w:fill="auto"/>
            <w:vAlign w:val="center"/>
          </w:tcPr>
          <w:p w14:paraId="45C6A426"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40 °F</w:t>
            </w:r>
          </w:p>
        </w:tc>
        <w:tc>
          <w:tcPr>
            <w:tcW w:w="1197" w:type="dxa"/>
            <w:shd w:val="clear" w:color="auto" w:fill="auto"/>
            <w:vAlign w:val="center"/>
          </w:tcPr>
          <w:p w14:paraId="70942808"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40 °F</w:t>
            </w:r>
          </w:p>
        </w:tc>
        <w:tc>
          <w:tcPr>
            <w:tcW w:w="3208" w:type="dxa"/>
            <w:vAlign w:val="center"/>
          </w:tcPr>
          <w:p w14:paraId="7ED0C020" w14:textId="62057B4E" w:rsidR="003672EF" w:rsidRPr="00883E33" w:rsidRDefault="003672EF" w:rsidP="00AE16F9">
            <w:pPr>
              <w:spacing w:before="0" w:after="0" w:line="240" w:lineRule="auto"/>
              <w:rPr>
                <w:rFonts w:eastAsia="Times New Roman" w:cs="Arial"/>
                <w:color w:val="000000"/>
                <w:sz w:val="20"/>
                <w:szCs w:val="20"/>
              </w:rPr>
            </w:pPr>
            <w:r w:rsidRPr="00877AF5">
              <w:rPr>
                <w:sz w:val="18"/>
                <w:szCs w:val="18"/>
              </w:rPr>
              <w:t>National Sanitation Foundation (NSF). (n.d.) NSF/ANSI 3 - Com</w:t>
            </w:r>
            <w:r>
              <w:rPr>
                <w:sz w:val="18"/>
                <w:szCs w:val="18"/>
              </w:rPr>
              <w:t xml:space="preserve">mercial Warewashing Equipment. </w:t>
            </w:r>
            <w:r w:rsidRPr="00877AF5">
              <w:rPr>
                <w:sz w:val="18"/>
                <w:szCs w:val="18"/>
              </w:rPr>
              <w:t>"Com Dishwashers NSF Energy Star.xlsx."</w:t>
            </w:r>
          </w:p>
        </w:tc>
      </w:tr>
      <w:tr w:rsidR="000D402D" w:rsidRPr="00883E33" w14:paraId="18772FC5" w14:textId="77777777" w:rsidTr="00E509A3">
        <w:trPr>
          <w:trHeight w:val="300"/>
        </w:trPr>
        <w:tc>
          <w:tcPr>
            <w:tcW w:w="4140" w:type="dxa"/>
            <w:shd w:val="clear" w:color="auto" w:fill="auto"/>
            <w:vAlign w:val="center"/>
          </w:tcPr>
          <w:p w14:paraId="0432985A" w14:textId="53CF0410" w:rsidR="000D402D" w:rsidRPr="00883E33" w:rsidRDefault="000D402D" w:rsidP="000D402D">
            <w:pPr>
              <w:spacing w:before="0" w:after="0" w:line="240" w:lineRule="auto"/>
              <w:ind w:left="-15"/>
              <w:rPr>
                <w:rFonts w:eastAsia="Times New Roman" w:cs="Arial"/>
                <w:color w:val="000000"/>
                <w:sz w:val="20"/>
                <w:szCs w:val="20"/>
              </w:rPr>
            </w:pPr>
            <w:r>
              <w:rPr>
                <w:rFonts w:eastAsia="Times New Roman" w:cs="Arial"/>
                <w:color w:val="000000"/>
                <w:sz w:val="20"/>
                <w:szCs w:val="20"/>
              </w:rPr>
              <w:t>Gas</w:t>
            </w:r>
            <w:r w:rsidRPr="00883E33">
              <w:rPr>
                <w:rFonts w:eastAsia="Times New Roman" w:cs="Arial"/>
                <w:color w:val="000000"/>
                <w:sz w:val="20"/>
                <w:szCs w:val="20"/>
              </w:rPr>
              <w:t xml:space="preserve"> Water Heater Efficiency (%)</w:t>
            </w:r>
          </w:p>
        </w:tc>
        <w:tc>
          <w:tcPr>
            <w:tcW w:w="1260" w:type="dxa"/>
            <w:shd w:val="clear" w:color="auto" w:fill="auto"/>
            <w:vAlign w:val="center"/>
          </w:tcPr>
          <w:p w14:paraId="240B7463" w14:textId="70A601E1" w:rsidR="000D402D" w:rsidRPr="005D77C8" w:rsidRDefault="001D5B97" w:rsidP="000D402D">
            <w:pPr>
              <w:spacing w:before="0" w:after="0" w:line="240" w:lineRule="auto"/>
              <w:jc w:val="right"/>
              <w:rPr>
                <w:rFonts w:eastAsia="Times New Roman" w:cs="Arial"/>
                <w:color w:val="000000"/>
                <w:sz w:val="20"/>
                <w:szCs w:val="20"/>
              </w:rPr>
            </w:pPr>
            <w:r>
              <w:rPr>
                <w:rFonts w:eastAsia="Times New Roman" w:cs="Arial"/>
                <w:color w:val="000000"/>
                <w:sz w:val="20"/>
                <w:szCs w:val="20"/>
              </w:rPr>
              <w:t>77</w:t>
            </w:r>
            <w:r w:rsidR="000D402D" w:rsidRPr="005D77C8">
              <w:rPr>
                <w:rFonts w:eastAsia="Times New Roman" w:cs="Arial"/>
                <w:color w:val="000000"/>
                <w:sz w:val="20"/>
                <w:szCs w:val="20"/>
              </w:rPr>
              <w:t>%</w:t>
            </w:r>
          </w:p>
        </w:tc>
        <w:tc>
          <w:tcPr>
            <w:tcW w:w="1197" w:type="dxa"/>
            <w:shd w:val="clear" w:color="auto" w:fill="auto"/>
            <w:vAlign w:val="center"/>
          </w:tcPr>
          <w:p w14:paraId="667CBC93" w14:textId="1461E663" w:rsidR="000D402D" w:rsidRPr="005D77C8" w:rsidRDefault="001D5B97" w:rsidP="000D402D">
            <w:pPr>
              <w:spacing w:before="0" w:after="0" w:line="240" w:lineRule="auto"/>
              <w:jc w:val="right"/>
              <w:rPr>
                <w:rFonts w:eastAsia="Times New Roman" w:cs="Arial"/>
                <w:color w:val="000000"/>
                <w:sz w:val="20"/>
                <w:szCs w:val="20"/>
              </w:rPr>
            </w:pPr>
            <w:r>
              <w:rPr>
                <w:rFonts w:eastAsia="Times New Roman" w:cs="Arial"/>
                <w:color w:val="000000"/>
                <w:sz w:val="20"/>
                <w:szCs w:val="20"/>
              </w:rPr>
              <w:t>77</w:t>
            </w:r>
            <w:r w:rsidR="000D402D" w:rsidRPr="005D77C8">
              <w:rPr>
                <w:rFonts w:eastAsia="Times New Roman" w:cs="Arial"/>
                <w:color w:val="000000"/>
                <w:sz w:val="20"/>
                <w:szCs w:val="20"/>
              </w:rPr>
              <w:t>%</w:t>
            </w:r>
          </w:p>
        </w:tc>
        <w:tc>
          <w:tcPr>
            <w:tcW w:w="3208" w:type="dxa"/>
            <w:vMerge w:val="restart"/>
            <w:vAlign w:val="center"/>
          </w:tcPr>
          <w:p w14:paraId="3E31E2E3" w14:textId="77777777" w:rsidR="000D402D" w:rsidRPr="00877AF5" w:rsidRDefault="000D402D" w:rsidP="00C10B9A">
            <w:pPr>
              <w:spacing w:before="0" w:after="0" w:line="240" w:lineRule="auto"/>
              <w:rPr>
                <w:rStyle w:val="eTRMFootnoteTextChar"/>
                <w:szCs w:val="18"/>
              </w:rPr>
            </w:pPr>
            <w:r w:rsidRPr="00C10B9A">
              <w:rPr>
                <w:sz w:val="18"/>
                <w:szCs w:val="18"/>
              </w:rPr>
              <w:t>California</w:t>
            </w:r>
            <w:r w:rsidRPr="00E6796E">
              <w:rPr>
                <w:rStyle w:val="eTRMFootnoteTextChar"/>
                <w:szCs w:val="18"/>
              </w:rPr>
              <w:t xml:space="preserve"> Public Utilities Commission (CPUC), Energy Division. 2013. “Workpaper Disposition for Water Fixtures.” February 22.</w:t>
            </w:r>
          </w:p>
          <w:p w14:paraId="79A3B582" w14:textId="2298D4DE" w:rsidR="000D402D" w:rsidRPr="00883E33" w:rsidRDefault="000D402D" w:rsidP="000D402D">
            <w:pPr>
              <w:spacing w:before="0" w:after="0" w:line="240" w:lineRule="auto"/>
              <w:rPr>
                <w:rFonts w:eastAsia="Times New Roman" w:cs="Arial"/>
                <w:color w:val="000000"/>
                <w:sz w:val="20"/>
                <w:szCs w:val="20"/>
              </w:rPr>
            </w:pPr>
            <w:r w:rsidRPr="00E6796E">
              <w:rPr>
                <w:rStyle w:val="eTRMFootnoteTextChar"/>
                <w:szCs w:val="18"/>
              </w:rPr>
              <w:t>California Public Utilities Commission (CPUC), Energy Division. "DEER-WaterHeater-Calculator-v</w:t>
            </w:r>
            <w:r w:rsidR="00D00139">
              <w:rPr>
                <w:rStyle w:val="eTRMFootnoteTextChar"/>
                <w:szCs w:val="18"/>
              </w:rPr>
              <w:t>4.2</w:t>
            </w:r>
            <w:r w:rsidRPr="00E6796E">
              <w:rPr>
                <w:rStyle w:val="eTRMFootnoteTextChar"/>
                <w:szCs w:val="18"/>
              </w:rPr>
              <w:t>.xlsm."</w:t>
            </w:r>
          </w:p>
        </w:tc>
      </w:tr>
      <w:tr w:rsidR="000D402D" w:rsidRPr="00883E33" w14:paraId="56A34964" w14:textId="77777777" w:rsidTr="00E509A3">
        <w:trPr>
          <w:trHeight w:val="300"/>
        </w:trPr>
        <w:tc>
          <w:tcPr>
            <w:tcW w:w="4140" w:type="dxa"/>
            <w:shd w:val="clear" w:color="auto" w:fill="auto"/>
            <w:vAlign w:val="center"/>
          </w:tcPr>
          <w:p w14:paraId="2F704FA4" w14:textId="382DE5A0" w:rsidR="000D402D" w:rsidRPr="00883E33" w:rsidRDefault="000D402D" w:rsidP="000D402D">
            <w:pPr>
              <w:spacing w:before="0" w:after="0" w:line="240" w:lineRule="auto"/>
              <w:ind w:left="-15"/>
              <w:rPr>
                <w:rFonts w:eastAsia="Times New Roman" w:cs="Arial"/>
                <w:color w:val="000000"/>
                <w:sz w:val="20"/>
                <w:szCs w:val="20"/>
              </w:rPr>
            </w:pPr>
            <w:r>
              <w:rPr>
                <w:rFonts w:eastAsia="Times New Roman" w:cs="Arial"/>
                <w:color w:val="000000"/>
                <w:sz w:val="20"/>
                <w:szCs w:val="20"/>
              </w:rPr>
              <w:t>Gas</w:t>
            </w:r>
            <w:r w:rsidRPr="00883E33">
              <w:rPr>
                <w:rFonts w:eastAsia="Times New Roman" w:cs="Arial"/>
                <w:color w:val="000000"/>
                <w:sz w:val="20"/>
                <w:szCs w:val="20"/>
              </w:rPr>
              <w:t xml:space="preserve"> Water Booster Heater Efficiency (%)</w:t>
            </w:r>
          </w:p>
        </w:tc>
        <w:tc>
          <w:tcPr>
            <w:tcW w:w="1260" w:type="dxa"/>
            <w:shd w:val="clear" w:color="auto" w:fill="auto"/>
            <w:vAlign w:val="center"/>
          </w:tcPr>
          <w:p w14:paraId="02AC0D77" w14:textId="051B933A" w:rsidR="000D402D" w:rsidRPr="005D77C8" w:rsidRDefault="001D5B97" w:rsidP="000D402D">
            <w:pPr>
              <w:spacing w:before="0" w:after="0" w:line="240" w:lineRule="auto"/>
              <w:jc w:val="right"/>
              <w:rPr>
                <w:rFonts w:eastAsia="Times New Roman" w:cs="Arial"/>
                <w:color w:val="000000"/>
                <w:sz w:val="20"/>
                <w:szCs w:val="20"/>
              </w:rPr>
            </w:pPr>
            <w:r>
              <w:rPr>
                <w:rFonts w:eastAsia="Times New Roman" w:cs="Arial"/>
                <w:color w:val="000000"/>
                <w:sz w:val="20"/>
                <w:szCs w:val="20"/>
              </w:rPr>
              <w:t>80</w:t>
            </w:r>
            <w:r w:rsidR="000D402D" w:rsidRPr="005D77C8">
              <w:rPr>
                <w:rFonts w:eastAsia="Times New Roman" w:cs="Arial"/>
                <w:color w:val="000000"/>
                <w:sz w:val="20"/>
                <w:szCs w:val="20"/>
              </w:rPr>
              <w:t>%</w:t>
            </w:r>
          </w:p>
        </w:tc>
        <w:tc>
          <w:tcPr>
            <w:tcW w:w="1197" w:type="dxa"/>
            <w:shd w:val="clear" w:color="auto" w:fill="auto"/>
            <w:vAlign w:val="center"/>
          </w:tcPr>
          <w:p w14:paraId="1D8D3B44" w14:textId="6F955453" w:rsidR="000D402D" w:rsidRPr="005D77C8" w:rsidRDefault="001D5B97" w:rsidP="000D402D">
            <w:pPr>
              <w:spacing w:before="0" w:after="0" w:line="240" w:lineRule="auto"/>
              <w:jc w:val="right"/>
              <w:rPr>
                <w:rFonts w:eastAsia="Times New Roman" w:cs="Arial"/>
                <w:color w:val="000000"/>
                <w:sz w:val="20"/>
                <w:szCs w:val="20"/>
              </w:rPr>
            </w:pPr>
            <w:r>
              <w:rPr>
                <w:rFonts w:eastAsia="Times New Roman" w:cs="Arial"/>
                <w:color w:val="000000"/>
                <w:sz w:val="20"/>
                <w:szCs w:val="20"/>
              </w:rPr>
              <w:t>80</w:t>
            </w:r>
            <w:r w:rsidR="000D402D" w:rsidRPr="005D77C8">
              <w:rPr>
                <w:rFonts w:eastAsia="Times New Roman" w:cs="Arial"/>
                <w:color w:val="000000"/>
                <w:sz w:val="20"/>
                <w:szCs w:val="20"/>
              </w:rPr>
              <w:t>%</w:t>
            </w:r>
          </w:p>
        </w:tc>
        <w:tc>
          <w:tcPr>
            <w:tcW w:w="3208" w:type="dxa"/>
            <w:vMerge/>
          </w:tcPr>
          <w:p w14:paraId="4E27598D" w14:textId="77777777" w:rsidR="000D402D" w:rsidRPr="00883E33" w:rsidRDefault="000D402D" w:rsidP="000D402D">
            <w:pPr>
              <w:spacing w:before="0" w:after="0" w:line="240" w:lineRule="auto"/>
              <w:rPr>
                <w:rFonts w:eastAsia="Times New Roman" w:cs="Arial"/>
                <w:color w:val="000000"/>
                <w:sz w:val="20"/>
                <w:szCs w:val="20"/>
              </w:rPr>
            </w:pPr>
          </w:p>
        </w:tc>
      </w:tr>
      <w:tr w:rsidR="000D402D" w:rsidRPr="0026027C" w14:paraId="50AB9125" w14:textId="77777777" w:rsidTr="00E509A3">
        <w:trPr>
          <w:trHeight w:val="300"/>
        </w:trPr>
        <w:tc>
          <w:tcPr>
            <w:tcW w:w="4140" w:type="dxa"/>
            <w:shd w:val="clear" w:color="auto" w:fill="auto"/>
            <w:vAlign w:val="center"/>
            <w:hideMark/>
          </w:tcPr>
          <w:p w14:paraId="514372FE" w14:textId="77777777"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Number of Racks per day (racks/day)</w:t>
            </w:r>
          </w:p>
        </w:tc>
        <w:tc>
          <w:tcPr>
            <w:tcW w:w="1260" w:type="dxa"/>
            <w:shd w:val="clear" w:color="auto" w:fill="auto"/>
            <w:vAlign w:val="center"/>
          </w:tcPr>
          <w:p w14:paraId="239F692B" w14:textId="50F2B8CC"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140.5</w:t>
            </w:r>
          </w:p>
        </w:tc>
        <w:tc>
          <w:tcPr>
            <w:tcW w:w="1197" w:type="dxa"/>
            <w:shd w:val="clear" w:color="auto" w:fill="auto"/>
            <w:vAlign w:val="center"/>
          </w:tcPr>
          <w:p w14:paraId="359269DE" w14:textId="53038E61"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140.5</w:t>
            </w:r>
          </w:p>
        </w:tc>
        <w:tc>
          <w:tcPr>
            <w:tcW w:w="3208" w:type="dxa"/>
            <w:vAlign w:val="center"/>
          </w:tcPr>
          <w:p w14:paraId="4CF43BEB" w14:textId="4D521073" w:rsidR="000D402D" w:rsidRPr="00F06AE6" w:rsidRDefault="00D00139" w:rsidP="000D402D">
            <w:pPr>
              <w:spacing w:before="0" w:after="0" w:line="240" w:lineRule="auto"/>
              <w:rPr>
                <w:rFonts w:eastAsia="Times New Roman" w:cs="Arial"/>
                <w:color w:val="000000"/>
                <w:sz w:val="20"/>
                <w:szCs w:val="20"/>
              </w:rPr>
            </w:pPr>
            <w:r w:rsidRPr="00D00139">
              <w:rPr>
                <w:sz w:val="18"/>
                <w:szCs w:val="18"/>
              </w:rPr>
              <w:t>SoCalGas (SCG). 2021. "Dishmachine Calcs 03152021.xls."</w:t>
            </w:r>
            <w:r w:rsidR="000D402D" w:rsidRPr="00F06AE6">
              <w:rPr>
                <w:sz w:val="18"/>
                <w:szCs w:val="18"/>
              </w:rPr>
              <w:t xml:space="preserve"> See “Monitored Data + GPR” tab.</w:t>
            </w:r>
          </w:p>
        </w:tc>
      </w:tr>
      <w:tr w:rsidR="000D402D" w:rsidRPr="0026027C" w14:paraId="1312B660" w14:textId="77777777" w:rsidTr="00E509A3">
        <w:trPr>
          <w:trHeight w:val="300"/>
        </w:trPr>
        <w:tc>
          <w:tcPr>
            <w:tcW w:w="4140" w:type="dxa"/>
            <w:shd w:val="clear" w:color="auto" w:fill="auto"/>
            <w:vAlign w:val="center"/>
            <w:hideMark/>
          </w:tcPr>
          <w:p w14:paraId="311E106D" w14:textId="77777777"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Water Consumption (Gal/Rack)</w:t>
            </w:r>
          </w:p>
        </w:tc>
        <w:tc>
          <w:tcPr>
            <w:tcW w:w="1260" w:type="dxa"/>
            <w:shd w:val="clear" w:color="auto" w:fill="auto"/>
            <w:vAlign w:val="center"/>
            <w:hideMark/>
          </w:tcPr>
          <w:p w14:paraId="69690474" w14:textId="7777777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1.06</w:t>
            </w:r>
          </w:p>
        </w:tc>
        <w:tc>
          <w:tcPr>
            <w:tcW w:w="1197" w:type="dxa"/>
            <w:shd w:val="clear" w:color="auto" w:fill="auto"/>
            <w:vAlign w:val="center"/>
            <w:hideMark/>
          </w:tcPr>
          <w:p w14:paraId="7CDCD4B1" w14:textId="6B1FD8BE"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0.6</w:t>
            </w:r>
            <w:r>
              <w:rPr>
                <w:rFonts w:eastAsia="Times New Roman" w:cs="Arial"/>
                <w:color w:val="000000"/>
                <w:sz w:val="20"/>
                <w:szCs w:val="20"/>
              </w:rPr>
              <w:t>3</w:t>
            </w:r>
          </w:p>
        </w:tc>
        <w:tc>
          <w:tcPr>
            <w:tcW w:w="3208" w:type="dxa"/>
            <w:vAlign w:val="center"/>
          </w:tcPr>
          <w:p w14:paraId="3ED8827C" w14:textId="1566A151" w:rsidR="000D402D" w:rsidRPr="0026027C" w:rsidRDefault="000D402D" w:rsidP="000D402D">
            <w:pPr>
              <w:spacing w:before="0" w:after="0" w:line="240" w:lineRule="auto"/>
              <w:rPr>
                <w:rFonts w:eastAsia="Times New Roman" w:cs="Arial"/>
                <w:color w:val="000000"/>
                <w:sz w:val="20"/>
                <w:szCs w:val="20"/>
              </w:rPr>
            </w:pPr>
            <w:r w:rsidRPr="00877AF5">
              <w:rPr>
                <w:sz w:val="18"/>
                <w:szCs w:val="18"/>
              </w:rPr>
              <w:t>National Sanitation Foundation (NSF). (n.d.) NSF/ANSI 3 - Co</w:t>
            </w:r>
            <w:r>
              <w:rPr>
                <w:sz w:val="18"/>
                <w:szCs w:val="18"/>
              </w:rPr>
              <w:t>mmercial Warewashing Equipment.</w:t>
            </w:r>
            <w:r w:rsidRPr="00877AF5">
              <w:rPr>
                <w:sz w:val="18"/>
                <w:szCs w:val="18"/>
              </w:rPr>
              <w:t xml:space="preserve"> "Com Dishwashers NSF Energy Star.xlsx."</w:t>
            </w:r>
          </w:p>
        </w:tc>
      </w:tr>
      <w:tr w:rsidR="000D402D" w:rsidRPr="0026027C" w14:paraId="4C89272D" w14:textId="77777777" w:rsidTr="00E509A3">
        <w:trPr>
          <w:trHeight w:val="345"/>
        </w:trPr>
        <w:tc>
          <w:tcPr>
            <w:tcW w:w="4140" w:type="dxa"/>
            <w:shd w:val="clear" w:color="auto" w:fill="auto"/>
            <w:vAlign w:val="center"/>
            <w:hideMark/>
          </w:tcPr>
          <w:p w14:paraId="1FDCD26D" w14:textId="77777777"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Wash time per rack (min/rack)</w:t>
            </w:r>
          </w:p>
        </w:tc>
        <w:tc>
          <w:tcPr>
            <w:tcW w:w="1260" w:type="dxa"/>
            <w:shd w:val="clear" w:color="auto" w:fill="auto"/>
            <w:vAlign w:val="center"/>
            <w:hideMark/>
          </w:tcPr>
          <w:p w14:paraId="758154A5" w14:textId="1A3A5A1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r w:rsidR="001E04AE">
              <w:rPr>
                <w:rFonts w:eastAsia="Times New Roman" w:cs="Arial"/>
                <w:color w:val="000000"/>
                <w:sz w:val="20"/>
                <w:szCs w:val="20"/>
              </w:rPr>
              <w:t>.0</w:t>
            </w:r>
          </w:p>
        </w:tc>
        <w:tc>
          <w:tcPr>
            <w:tcW w:w="1197" w:type="dxa"/>
            <w:shd w:val="clear" w:color="auto" w:fill="auto"/>
            <w:vAlign w:val="center"/>
            <w:hideMark/>
          </w:tcPr>
          <w:p w14:paraId="7D992EDB" w14:textId="2ABED60A"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r w:rsidR="001E04AE">
              <w:rPr>
                <w:rFonts w:eastAsia="Times New Roman" w:cs="Arial"/>
                <w:color w:val="000000"/>
                <w:sz w:val="20"/>
                <w:szCs w:val="20"/>
              </w:rPr>
              <w:t>.0</w:t>
            </w:r>
          </w:p>
        </w:tc>
        <w:tc>
          <w:tcPr>
            <w:tcW w:w="3208" w:type="dxa"/>
            <w:vAlign w:val="center"/>
          </w:tcPr>
          <w:p w14:paraId="78A77D91" w14:textId="5E051643" w:rsidR="000D402D" w:rsidRPr="00B8600B" w:rsidRDefault="000D402D" w:rsidP="000D402D">
            <w:pPr>
              <w:spacing w:before="0" w:after="0" w:line="240" w:lineRule="auto"/>
              <w:rPr>
                <w:rFonts w:eastAsia="Times New Roman" w:cs="Arial"/>
                <w:color w:val="000000"/>
                <w:sz w:val="20"/>
                <w:szCs w:val="20"/>
              </w:rPr>
            </w:pPr>
            <w:r w:rsidRPr="00B8600B">
              <w:rPr>
                <w:rFonts w:eastAsia="Times New Roman" w:cs="Arial"/>
                <w:color w:val="000000"/>
                <w:sz w:val="18"/>
                <w:szCs w:val="18"/>
              </w:rPr>
              <w:t>The source for this data is unknown.</w:t>
            </w:r>
          </w:p>
        </w:tc>
      </w:tr>
      <w:tr w:rsidR="000D402D" w:rsidRPr="0026027C" w14:paraId="6ACDBF8E" w14:textId="77777777" w:rsidTr="00E509A3">
        <w:trPr>
          <w:trHeight w:val="405"/>
        </w:trPr>
        <w:tc>
          <w:tcPr>
            <w:tcW w:w="4140" w:type="dxa"/>
            <w:shd w:val="clear" w:color="auto" w:fill="auto"/>
            <w:vAlign w:val="center"/>
            <w:hideMark/>
          </w:tcPr>
          <w:p w14:paraId="44B0BACB" w14:textId="519C40AF"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Idle Energy Rate (</w:t>
            </w:r>
            <w:r>
              <w:rPr>
                <w:rFonts w:eastAsia="Times New Roman" w:cs="Arial"/>
                <w:color w:val="000000"/>
                <w:sz w:val="20"/>
                <w:szCs w:val="20"/>
              </w:rPr>
              <w:t>Btu/hr)</w:t>
            </w:r>
            <w:r w:rsidRPr="0026027C">
              <w:rPr>
                <w:rFonts w:eastAsia="Times New Roman" w:cs="Arial"/>
                <w:color w:val="000000"/>
                <w:sz w:val="20"/>
                <w:szCs w:val="20"/>
              </w:rPr>
              <w:t>)</w:t>
            </w:r>
          </w:p>
        </w:tc>
        <w:tc>
          <w:tcPr>
            <w:tcW w:w="1260" w:type="dxa"/>
            <w:shd w:val="clear" w:color="auto" w:fill="auto"/>
            <w:vAlign w:val="center"/>
          </w:tcPr>
          <w:p w14:paraId="4AFAE898" w14:textId="756AAB8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0</w:t>
            </w:r>
          </w:p>
        </w:tc>
        <w:tc>
          <w:tcPr>
            <w:tcW w:w="1197" w:type="dxa"/>
            <w:shd w:val="clear" w:color="auto" w:fill="auto"/>
            <w:vAlign w:val="center"/>
          </w:tcPr>
          <w:p w14:paraId="16B9E9CF" w14:textId="6ADE7526"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0</w:t>
            </w:r>
          </w:p>
        </w:tc>
        <w:tc>
          <w:tcPr>
            <w:tcW w:w="3208" w:type="dxa"/>
            <w:vAlign w:val="center"/>
          </w:tcPr>
          <w:p w14:paraId="754B74D3" w14:textId="12815451" w:rsidR="000D402D" w:rsidRPr="00B8600B" w:rsidRDefault="000D402D" w:rsidP="000D402D">
            <w:pPr>
              <w:spacing w:before="0" w:after="0" w:line="240" w:lineRule="auto"/>
              <w:rPr>
                <w:rFonts w:eastAsia="Times New Roman" w:cs="Arial"/>
                <w:color w:val="000000"/>
                <w:sz w:val="20"/>
                <w:szCs w:val="20"/>
              </w:rPr>
            </w:pPr>
            <w:r w:rsidRPr="00B8600B">
              <w:rPr>
                <w:sz w:val="18"/>
                <w:szCs w:val="20"/>
              </w:rPr>
              <w:t>-</w:t>
            </w:r>
          </w:p>
        </w:tc>
      </w:tr>
      <w:tr w:rsidR="000D402D" w:rsidRPr="0026027C" w14:paraId="7FDCE02E" w14:textId="77777777" w:rsidTr="00E509A3">
        <w:trPr>
          <w:trHeight w:val="300"/>
        </w:trPr>
        <w:tc>
          <w:tcPr>
            <w:tcW w:w="4140" w:type="dxa"/>
            <w:shd w:val="clear" w:color="auto" w:fill="auto"/>
            <w:vAlign w:val="center"/>
            <w:hideMark/>
          </w:tcPr>
          <w:p w14:paraId="723AA2FE" w14:textId="77777777"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Operating Days/Year</w:t>
            </w:r>
          </w:p>
        </w:tc>
        <w:tc>
          <w:tcPr>
            <w:tcW w:w="1260" w:type="dxa"/>
            <w:shd w:val="clear" w:color="auto" w:fill="auto"/>
            <w:vAlign w:val="center"/>
            <w:hideMark/>
          </w:tcPr>
          <w:p w14:paraId="4E8BE694" w14:textId="7777777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365</w:t>
            </w:r>
          </w:p>
        </w:tc>
        <w:tc>
          <w:tcPr>
            <w:tcW w:w="1197" w:type="dxa"/>
            <w:shd w:val="clear" w:color="auto" w:fill="auto"/>
            <w:vAlign w:val="center"/>
            <w:hideMark/>
          </w:tcPr>
          <w:p w14:paraId="6819A2CA" w14:textId="7777777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365</w:t>
            </w:r>
          </w:p>
        </w:tc>
        <w:tc>
          <w:tcPr>
            <w:tcW w:w="3208" w:type="dxa"/>
            <w:vMerge w:val="restart"/>
            <w:vAlign w:val="center"/>
          </w:tcPr>
          <w:p w14:paraId="32C66351" w14:textId="4796478D" w:rsidR="000D402D" w:rsidRPr="00B8600B" w:rsidRDefault="000D402D" w:rsidP="000D402D">
            <w:pPr>
              <w:spacing w:before="0" w:after="0" w:line="240" w:lineRule="auto"/>
              <w:rPr>
                <w:rFonts w:eastAsia="Times New Roman" w:cs="Arial"/>
                <w:color w:val="000000"/>
                <w:sz w:val="20"/>
                <w:szCs w:val="20"/>
              </w:rPr>
            </w:pPr>
            <w:r w:rsidRPr="00B8600B">
              <w:rPr>
                <w:rFonts w:eastAsia="Times New Roman" w:cs="Arial"/>
                <w:color w:val="000000"/>
                <w:sz w:val="18"/>
                <w:szCs w:val="18"/>
              </w:rPr>
              <w:t>The source for this data is unknown.</w:t>
            </w:r>
          </w:p>
        </w:tc>
      </w:tr>
      <w:tr w:rsidR="000D402D" w:rsidRPr="0026027C" w14:paraId="06145D2F" w14:textId="77777777" w:rsidTr="00E509A3">
        <w:trPr>
          <w:trHeight w:val="465"/>
        </w:trPr>
        <w:tc>
          <w:tcPr>
            <w:tcW w:w="4140" w:type="dxa"/>
            <w:shd w:val="clear" w:color="auto" w:fill="auto"/>
            <w:vAlign w:val="center"/>
            <w:hideMark/>
          </w:tcPr>
          <w:p w14:paraId="57914908" w14:textId="77777777"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Operating Hours/Day</w:t>
            </w:r>
          </w:p>
        </w:tc>
        <w:tc>
          <w:tcPr>
            <w:tcW w:w="1260" w:type="dxa"/>
            <w:shd w:val="clear" w:color="auto" w:fill="auto"/>
            <w:vAlign w:val="center"/>
            <w:hideMark/>
          </w:tcPr>
          <w:p w14:paraId="7BABAFB7" w14:textId="7777777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12</w:t>
            </w:r>
          </w:p>
        </w:tc>
        <w:tc>
          <w:tcPr>
            <w:tcW w:w="1197" w:type="dxa"/>
            <w:shd w:val="clear" w:color="auto" w:fill="auto"/>
            <w:vAlign w:val="center"/>
            <w:hideMark/>
          </w:tcPr>
          <w:p w14:paraId="0480EA55" w14:textId="77777777"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12</w:t>
            </w:r>
          </w:p>
        </w:tc>
        <w:tc>
          <w:tcPr>
            <w:tcW w:w="3208" w:type="dxa"/>
            <w:vMerge/>
            <w:vAlign w:val="center"/>
          </w:tcPr>
          <w:p w14:paraId="60AA7341" w14:textId="77777777" w:rsidR="000D402D" w:rsidRPr="00B8600B" w:rsidRDefault="000D402D" w:rsidP="000D402D">
            <w:pPr>
              <w:spacing w:before="0" w:after="0" w:line="240" w:lineRule="auto"/>
              <w:rPr>
                <w:rFonts w:eastAsia="Times New Roman" w:cs="Arial"/>
                <w:color w:val="000000"/>
                <w:sz w:val="20"/>
                <w:szCs w:val="20"/>
              </w:rPr>
            </w:pPr>
          </w:p>
        </w:tc>
      </w:tr>
      <w:tr w:rsidR="000D402D" w:rsidRPr="0026027C" w14:paraId="4BA22523" w14:textId="77777777" w:rsidTr="00E509A3">
        <w:trPr>
          <w:trHeight w:val="300"/>
        </w:trPr>
        <w:tc>
          <w:tcPr>
            <w:tcW w:w="4140" w:type="dxa"/>
            <w:shd w:val="clear" w:color="auto" w:fill="auto"/>
            <w:vAlign w:val="center"/>
            <w:hideMark/>
          </w:tcPr>
          <w:p w14:paraId="56477C03" w14:textId="03BD8015"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 xml:space="preserve">Market Penetration of </w:t>
            </w:r>
            <w:r>
              <w:rPr>
                <w:rFonts w:eastAsia="Times New Roman" w:cs="Arial"/>
                <w:color w:val="000000"/>
                <w:sz w:val="20"/>
                <w:szCs w:val="20"/>
              </w:rPr>
              <w:t>Gas</w:t>
            </w:r>
            <w:r w:rsidRPr="0026027C">
              <w:rPr>
                <w:rFonts w:eastAsia="Times New Roman" w:cs="Arial"/>
                <w:color w:val="000000"/>
                <w:sz w:val="20"/>
                <w:szCs w:val="20"/>
              </w:rPr>
              <w:t xml:space="preserve"> Water Heaters (%)</w:t>
            </w:r>
          </w:p>
        </w:tc>
        <w:tc>
          <w:tcPr>
            <w:tcW w:w="1260" w:type="dxa"/>
            <w:shd w:val="clear" w:color="auto" w:fill="auto"/>
            <w:vAlign w:val="center"/>
            <w:hideMark/>
          </w:tcPr>
          <w:p w14:paraId="0F6D51D0" w14:textId="225D8675"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97%</w:t>
            </w:r>
          </w:p>
        </w:tc>
        <w:tc>
          <w:tcPr>
            <w:tcW w:w="1197" w:type="dxa"/>
            <w:shd w:val="clear" w:color="auto" w:fill="auto"/>
            <w:vAlign w:val="center"/>
            <w:hideMark/>
          </w:tcPr>
          <w:p w14:paraId="6FE8606B" w14:textId="734933FB"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97%</w:t>
            </w:r>
          </w:p>
        </w:tc>
        <w:tc>
          <w:tcPr>
            <w:tcW w:w="3208" w:type="dxa"/>
            <w:vAlign w:val="center"/>
          </w:tcPr>
          <w:p w14:paraId="40C7CA21" w14:textId="180A5F64" w:rsidR="000D402D" w:rsidRPr="00B8600B" w:rsidRDefault="000D402D" w:rsidP="000D402D">
            <w:pPr>
              <w:spacing w:before="0" w:after="0" w:line="240" w:lineRule="auto"/>
              <w:rPr>
                <w:rFonts w:eastAsia="Times New Roman" w:cs="Arial"/>
                <w:color w:val="000000"/>
                <w:sz w:val="20"/>
                <w:szCs w:val="20"/>
              </w:rPr>
            </w:pPr>
            <w:r w:rsidRPr="00B8600B">
              <w:rPr>
                <w:rFonts w:eastAsia="Times New Roman" w:cs="Arial"/>
                <w:color w:val="000000"/>
                <w:sz w:val="18"/>
                <w:szCs w:val="18"/>
              </w:rPr>
              <w:t>The source for this data is unknown.</w:t>
            </w:r>
          </w:p>
        </w:tc>
      </w:tr>
      <w:tr w:rsidR="000D402D" w:rsidRPr="0026027C" w14:paraId="27E9C120" w14:textId="77777777" w:rsidTr="00E509A3">
        <w:trPr>
          <w:trHeight w:val="300"/>
        </w:trPr>
        <w:tc>
          <w:tcPr>
            <w:tcW w:w="4140" w:type="dxa"/>
            <w:shd w:val="clear" w:color="auto" w:fill="auto"/>
            <w:vAlign w:val="center"/>
            <w:hideMark/>
          </w:tcPr>
          <w:p w14:paraId="26777EB1" w14:textId="1C7C753F" w:rsidR="000D402D" w:rsidRPr="0026027C" w:rsidRDefault="000D402D" w:rsidP="000D402D">
            <w:pPr>
              <w:spacing w:before="0" w:after="0" w:line="240" w:lineRule="auto"/>
              <w:rPr>
                <w:rFonts w:eastAsia="Times New Roman" w:cs="Arial"/>
                <w:color w:val="000000"/>
                <w:sz w:val="20"/>
                <w:szCs w:val="20"/>
              </w:rPr>
            </w:pPr>
            <w:r w:rsidRPr="0026027C">
              <w:rPr>
                <w:rFonts w:eastAsia="Times New Roman" w:cs="Arial"/>
                <w:color w:val="000000"/>
                <w:sz w:val="20"/>
                <w:szCs w:val="20"/>
              </w:rPr>
              <w:t xml:space="preserve">Market Penetration of </w:t>
            </w:r>
            <w:r>
              <w:rPr>
                <w:rFonts w:eastAsia="Times New Roman" w:cs="Arial"/>
                <w:color w:val="000000"/>
                <w:sz w:val="20"/>
                <w:szCs w:val="20"/>
              </w:rPr>
              <w:t>Gas</w:t>
            </w:r>
            <w:r w:rsidRPr="0026027C">
              <w:rPr>
                <w:rFonts w:eastAsia="Times New Roman" w:cs="Arial"/>
                <w:color w:val="000000"/>
                <w:sz w:val="20"/>
                <w:szCs w:val="20"/>
              </w:rPr>
              <w:t xml:space="preserve"> Booster Heaters (%)</w:t>
            </w:r>
          </w:p>
        </w:tc>
        <w:tc>
          <w:tcPr>
            <w:tcW w:w="1260" w:type="dxa"/>
            <w:shd w:val="clear" w:color="auto" w:fill="auto"/>
            <w:vAlign w:val="center"/>
            <w:hideMark/>
          </w:tcPr>
          <w:p w14:paraId="51441102" w14:textId="6DAAC401"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5%</w:t>
            </w:r>
          </w:p>
        </w:tc>
        <w:tc>
          <w:tcPr>
            <w:tcW w:w="1197" w:type="dxa"/>
            <w:shd w:val="clear" w:color="auto" w:fill="auto"/>
            <w:vAlign w:val="center"/>
            <w:hideMark/>
          </w:tcPr>
          <w:p w14:paraId="3B4D6938" w14:textId="4B2E5D90" w:rsidR="000D402D" w:rsidRPr="005D77C8" w:rsidRDefault="000D402D" w:rsidP="000D402D">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5%</w:t>
            </w:r>
          </w:p>
        </w:tc>
        <w:tc>
          <w:tcPr>
            <w:tcW w:w="3208" w:type="dxa"/>
            <w:vAlign w:val="center"/>
          </w:tcPr>
          <w:p w14:paraId="23CA6DF9" w14:textId="094E5EE3" w:rsidR="000D402D" w:rsidRPr="00B8600B" w:rsidRDefault="000D402D" w:rsidP="000D402D">
            <w:pPr>
              <w:spacing w:before="0" w:after="0" w:line="240" w:lineRule="auto"/>
              <w:rPr>
                <w:rFonts w:eastAsia="Times New Roman" w:cs="Arial"/>
                <w:color w:val="000000"/>
                <w:sz w:val="20"/>
                <w:szCs w:val="20"/>
              </w:rPr>
            </w:pPr>
            <w:r w:rsidRPr="00B8600B">
              <w:rPr>
                <w:rFonts w:eastAsia="Times New Roman" w:cs="Arial"/>
                <w:color w:val="000000"/>
                <w:sz w:val="18"/>
                <w:szCs w:val="18"/>
              </w:rPr>
              <w:t>The source for this data is unknown.</w:t>
            </w:r>
          </w:p>
        </w:tc>
      </w:tr>
    </w:tbl>
    <w:p w14:paraId="2FEDBCE3" w14:textId="6E57E395" w:rsidR="00194977" w:rsidRDefault="00194977" w:rsidP="00194977">
      <w:pPr>
        <w:pStyle w:val="Caption"/>
        <w:keepNext w:val="0"/>
        <w:keepLines w:val="0"/>
      </w:pPr>
      <w:r>
        <w:t>Gas</w:t>
      </w:r>
      <w:r w:rsidRPr="00F84224">
        <w:t xml:space="preserve"> </w:t>
      </w:r>
      <w:r>
        <w:t>UEC Inputs – Low-</w:t>
      </w:r>
      <w:r w:rsidRPr="00F84224">
        <w:t xml:space="preserve">Temperature Door-Type Dishwasher </w:t>
      </w:r>
    </w:p>
    <w:tbl>
      <w:tblPr>
        <w:tblW w:w="9805"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40"/>
        <w:gridCol w:w="1260"/>
        <w:gridCol w:w="1197"/>
        <w:gridCol w:w="3208"/>
      </w:tblGrid>
      <w:tr w:rsidR="00AE16F9" w:rsidRPr="0026027C" w14:paraId="41C9420F" w14:textId="77777777" w:rsidTr="00E509A3">
        <w:trPr>
          <w:trHeight w:val="645"/>
          <w:tblHeader/>
        </w:trPr>
        <w:tc>
          <w:tcPr>
            <w:tcW w:w="4140" w:type="dxa"/>
            <w:tcBorders>
              <w:bottom w:val="single" w:sz="4" w:space="0" w:color="A6A6A6" w:themeColor="background1" w:themeShade="A6"/>
            </w:tcBorders>
            <w:shd w:val="clear" w:color="auto" w:fill="F2F2F2" w:themeFill="background1" w:themeFillShade="F2"/>
            <w:noWrap/>
            <w:vAlign w:val="bottom"/>
            <w:hideMark/>
          </w:tcPr>
          <w:p w14:paraId="14DE02F6" w14:textId="77777777" w:rsidR="00AE16F9" w:rsidRPr="0026027C" w:rsidRDefault="00AE16F9" w:rsidP="00194977">
            <w:pPr>
              <w:spacing w:before="0" w:after="0" w:line="240" w:lineRule="auto"/>
              <w:rPr>
                <w:rFonts w:eastAsia="Times New Roman" w:cs="Times New Roman"/>
                <w:b/>
                <w:color w:val="000000"/>
                <w:sz w:val="20"/>
                <w:szCs w:val="20"/>
              </w:rPr>
            </w:pPr>
            <w:r>
              <w:rPr>
                <w:rFonts w:eastAsia="Times New Roman" w:cs="Times New Roman"/>
                <w:b/>
                <w:color w:val="000000"/>
                <w:sz w:val="20"/>
                <w:szCs w:val="20"/>
              </w:rPr>
              <w:t>Parameter</w:t>
            </w:r>
          </w:p>
        </w:tc>
        <w:tc>
          <w:tcPr>
            <w:tcW w:w="1260" w:type="dxa"/>
            <w:tcBorders>
              <w:bottom w:val="single" w:sz="4" w:space="0" w:color="A6A6A6" w:themeColor="background1" w:themeShade="A6"/>
            </w:tcBorders>
            <w:shd w:val="clear" w:color="auto" w:fill="F2F2F2" w:themeFill="background1" w:themeFillShade="F2"/>
            <w:noWrap/>
            <w:vAlign w:val="bottom"/>
            <w:hideMark/>
          </w:tcPr>
          <w:p w14:paraId="242456C2" w14:textId="77777777" w:rsidR="00AE16F9" w:rsidRPr="005D77C8" w:rsidRDefault="00AE16F9" w:rsidP="00194977">
            <w:pPr>
              <w:spacing w:before="0" w:after="0" w:line="240" w:lineRule="auto"/>
              <w:jc w:val="center"/>
              <w:rPr>
                <w:rFonts w:eastAsia="Times New Roman" w:cs="Times New Roman"/>
                <w:b/>
                <w:color w:val="000000"/>
                <w:sz w:val="20"/>
                <w:szCs w:val="20"/>
              </w:rPr>
            </w:pPr>
            <w:r w:rsidRPr="005D77C8">
              <w:rPr>
                <w:rFonts w:eastAsia="Times New Roman" w:cs="Times New Roman"/>
                <w:b/>
                <w:color w:val="000000"/>
                <w:sz w:val="20"/>
                <w:szCs w:val="20"/>
              </w:rPr>
              <w:t>Base Case</w:t>
            </w:r>
          </w:p>
        </w:tc>
        <w:tc>
          <w:tcPr>
            <w:tcW w:w="1197" w:type="dxa"/>
            <w:tcBorders>
              <w:bottom w:val="single" w:sz="4" w:space="0" w:color="A6A6A6" w:themeColor="background1" w:themeShade="A6"/>
            </w:tcBorders>
            <w:shd w:val="clear" w:color="auto" w:fill="F2F2F2" w:themeFill="background1" w:themeFillShade="F2"/>
            <w:vAlign w:val="bottom"/>
            <w:hideMark/>
          </w:tcPr>
          <w:p w14:paraId="21211D94" w14:textId="77777777" w:rsidR="00AE16F9" w:rsidRPr="005D77C8" w:rsidRDefault="00AE16F9" w:rsidP="00194977">
            <w:pPr>
              <w:spacing w:before="0" w:after="0" w:line="240" w:lineRule="auto"/>
              <w:jc w:val="center"/>
              <w:rPr>
                <w:rFonts w:eastAsia="Times New Roman" w:cs="Times New Roman"/>
                <w:b/>
                <w:color w:val="000000"/>
                <w:sz w:val="20"/>
                <w:szCs w:val="20"/>
              </w:rPr>
            </w:pPr>
            <w:r w:rsidRPr="005D77C8">
              <w:rPr>
                <w:rFonts w:eastAsia="Times New Roman" w:cs="Times New Roman"/>
                <w:b/>
                <w:color w:val="000000"/>
                <w:sz w:val="20"/>
                <w:szCs w:val="20"/>
              </w:rPr>
              <w:t xml:space="preserve">High-Temp Measure Case </w:t>
            </w:r>
          </w:p>
        </w:tc>
        <w:tc>
          <w:tcPr>
            <w:tcW w:w="3208" w:type="dxa"/>
            <w:tcBorders>
              <w:bottom w:val="single" w:sz="4" w:space="0" w:color="A6A6A6" w:themeColor="background1" w:themeShade="A6"/>
            </w:tcBorders>
            <w:shd w:val="clear" w:color="auto" w:fill="F2F2F2" w:themeFill="background1" w:themeFillShade="F2"/>
          </w:tcPr>
          <w:p w14:paraId="0E788D16" w14:textId="77777777" w:rsidR="00AE16F9" w:rsidRPr="0026027C" w:rsidRDefault="00AE16F9" w:rsidP="00194977">
            <w:pPr>
              <w:spacing w:before="0" w:after="0" w:line="240" w:lineRule="auto"/>
              <w:jc w:val="center"/>
              <w:rPr>
                <w:rFonts w:eastAsia="Times New Roman" w:cs="Times New Roman"/>
                <w:b/>
                <w:color w:val="000000"/>
                <w:sz w:val="20"/>
                <w:szCs w:val="20"/>
              </w:rPr>
            </w:pPr>
            <w:r w:rsidRPr="0026027C">
              <w:rPr>
                <w:rFonts w:eastAsia="Times New Roman" w:cs="Times New Roman"/>
                <w:b/>
                <w:color w:val="000000"/>
                <w:sz w:val="20"/>
                <w:szCs w:val="20"/>
              </w:rPr>
              <w:t>Source</w:t>
            </w:r>
          </w:p>
        </w:tc>
      </w:tr>
      <w:tr w:rsidR="00755142" w:rsidRPr="00883E33" w14:paraId="16CED020" w14:textId="77777777" w:rsidTr="00E509A3">
        <w:trPr>
          <w:trHeight w:val="300"/>
        </w:trPr>
        <w:tc>
          <w:tcPr>
            <w:tcW w:w="4140" w:type="dxa"/>
            <w:shd w:val="clear" w:color="auto" w:fill="auto"/>
            <w:vAlign w:val="center"/>
          </w:tcPr>
          <w:p w14:paraId="60F814B6" w14:textId="77777777" w:rsidR="00755142" w:rsidRPr="00883E33" w:rsidRDefault="00755142" w:rsidP="00755142">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Specific heat of Water (Btu/lb/°F)</w:t>
            </w:r>
          </w:p>
        </w:tc>
        <w:tc>
          <w:tcPr>
            <w:tcW w:w="1260" w:type="dxa"/>
            <w:shd w:val="clear" w:color="auto" w:fill="auto"/>
            <w:vAlign w:val="center"/>
          </w:tcPr>
          <w:p w14:paraId="283F6D19" w14:textId="77777777" w:rsidR="00755142" w:rsidRPr="005D77C8" w:rsidRDefault="00755142" w:rsidP="00755142">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p>
        </w:tc>
        <w:tc>
          <w:tcPr>
            <w:tcW w:w="1197" w:type="dxa"/>
            <w:shd w:val="clear" w:color="auto" w:fill="auto"/>
            <w:vAlign w:val="center"/>
          </w:tcPr>
          <w:p w14:paraId="24492FE6" w14:textId="77777777" w:rsidR="00755142" w:rsidRPr="005D77C8" w:rsidRDefault="00755142" w:rsidP="00755142">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p>
        </w:tc>
        <w:tc>
          <w:tcPr>
            <w:tcW w:w="3208" w:type="dxa"/>
            <w:vAlign w:val="center"/>
          </w:tcPr>
          <w:p w14:paraId="26BF5FE6" w14:textId="30386FE6" w:rsidR="00755142" w:rsidRPr="00883E33" w:rsidRDefault="00755142" w:rsidP="00755142">
            <w:pPr>
              <w:spacing w:before="0" w:after="0" w:line="240" w:lineRule="auto"/>
              <w:rPr>
                <w:rFonts w:eastAsia="Times New Roman" w:cs="Arial"/>
                <w:color w:val="000000"/>
                <w:sz w:val="20"/>
                <w:szCs w:val="20"/>
              </w:rPr>
            </w:pPr>
            <w:r>
              <w:rPr>
                <w:rFonts w:eastAsia="Times New Roman" w:cs="Arial"/>
                <w:color w:val="000000"/>
                <w:sz w:val="20"/>
                <w:szCs w:val="20"/>
              </w:rPr>
              <w:t>Given</w:t>
            </w:r>
          </w:p>
        </w:tc>
      </w:tr>
      <w:tr w:rsidR="00755142" w:rsidRPr="00883E33" w14:paraId="41B1DCFE" w14:textId="77777777" w:rsidTr="00E509A3">
        <w:trPr>
          <w:trHeight w:val="300"/>
        </w:trPr>
        <w:tc>
          <w:tcPr>
            <w:tcW w:w="4140" w:type="dxa"/>
            <w:shd w:val="clear" w:color="auto" w:fill="auto"/>
            <w:vAlign w:val="center"/>
          </w:tcPr>
          <w:p w14:paraId="17131FBD" w14:textId="77777777" w:rsidR="00755142" w:rsidRPr="00883E33" w:rsidRDefault="00755142" w:rsidP="00755142">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Density of Water (lb/gal)</w:t>
            </w:r>
          </w:p>
        </w:tc>
        <w:tc>
          <w:tcPr>
            <w:tcW w:w="1260" w:type="dxa"/>
            <w:shd w:val="clear" w:color="auto" w:fill="auto"/>
            <w:vAlign w:val="center"/>
          </w:tcPr>
          <w:p w14:paraId="53B54D68" w14:textId="003C3179" w:rsidR="00755142" w:rsidRPr="005D77C8" w:rsidRDefault="00755142" w:rsidP="00755142">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8.</w:t>
            </w:r>
            <w:r w:rsidR="001D5B97">
              <w:rPr>
                <w:rFonts w:eastAsia="Times New Roman" w:cs="Arial"/>
                <w:color w:val="000000"/>
                <w:sz w:val="20"/>
                <w:szCs w:val="20"/>
              </w:rPr>
              <w:t>34</w:t>
            </w:r>
          </w:p>
        </w:tc>
        <w:tc>
          <w:tcPr>
            <w:tcW w:w="1197" w:type="dxa"/>
            <w:shd w:val="clear" w:color="auto" w:fill="auto"/>
            <w:vAlign w:val="center"/>
          </w:tcPr>
          <w:p w14:paraId="6D676E03" w14:textId="02781AE0" w:rsidR="00755142" w:rsidRPr="005D77C8" w:rsidRDefault="00755142" w:rsidP="00755142">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8.</w:t>
            </w:r>
            <w:r w:rsidR="001D5B97">
              <w:rPr>
                <w:rFonts w:eastAsia="Times New Roman" w:cs="Arial"/>
                <w:color w:val="000000"/>
                <w:sz w:val="20"/>
                <w:szCs w:val="20"/>
              </w:rPr>
              <w:t>34</w:t>
            </w:r>
          </w:p>
        </w:tc>
        <w:tc>
          <w:tcPr>
            <w:tcW w:w="3208" w:type="dxa"/>
            <w:vAlign w:val="center"/>
          </w:tcPr>
          <w:p w14:paraId="33F46420" w14:textId="002994F6" w:rsidR="00755142" w:rsidRPr="00883E33" w:rsidRDefault="00755142" w:rsidP="00755142">
            <w:pPr>
              <w:spacing w:before="0" w:after="0" w:line="240" w:lineRule="auto"/>
              <w:rPr>
                <w:rFonts w:eastAsia="Times New Roman" w:cs="Arial"/>
                <w:color w:val="000000"/>
                <w:sz w:val="20"/>
                <w:szCs w:val="20"/>
              </w:rPr>
            </w:pPr>
            <w:r>
              <w:rPr>
                <w:rFonts w:eastAsia="Times New Roman" w:cs="Arial"/>
                <w:color w:val="000000"/>
                <w:sz w:val="20"/>
                <w:szCs w:val="20"/>
              </w:rPr>
              <w:t>Given</w:t>
            </w:r>
          </w:p>
        </w:tc>
      </w:tr>
      <w:tr w:rsidR="001D5B97" w:rsidRPr="0026323A" w14:paraId="3069FBCD" w14:textId="77777777" w:rsidTr="00E509A3">
        <w:trPr>
          <w:trHeight w:val="300"/>
        </w:trPr>
        <w:tc>
          <w:tcPr>
            <w:tcW w:w="4140" w:type="dxa"/>
            <w:shd w:val="clear" w:color="auto" w:fill="auto"/>
            <w:vAlign w:val="center"/>
          </w:tcPr>
          <w:p w14:paraId="5F77CD0B" w14:textId="77777777" w:rsidR="001D5B97" w:rsidRPr="00883E33" w:rsidRDefault="001D5B97" w:rsidP="001D5B97">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Inlet water Temperature (°F)</w:t>
            </w:r>
            <w:r>
              <w:rPr>
                <w:rFonts w:eastAsia="Times New Roman" w:cs="Arial"/>
                <w:color w:val="000000"/>
                <w:sz w:val="20"/>
                <w:szCs w:val="20"/>
              </w:rPr>
              <w:t xml:space="preserve"> </w:t>
            </w:r>
          </w:p>
        </w:tc>
        <w:tc>
          <w:tcPr>
            <w:tcW w:w="1260" w:type="dxa"/>
            <w:shd w:val="clear" w:color="auto" w:fill="auto"/>
            <w:vAlign w:val="center"/>
          </w:tcPr>
          <w:p w14:paraId="120217DC" w14:textId="080AB876" w:rsidR="001D5B97" w:rsidRPr="005D77C8" w:rsidRDefault="001D5B97" w:rsidP="001D5B97">
            <w:pPr>
              <w:spacing w:before="0" w:after="0" w:line="240" w:lineRule="auto"/>
              <w:jc w:val="right"/>
              <w:rPr>
                <w:rFonts w:eastAsia="Times New Roman" w:cs="Arial"/>
                <w:color w:val="000000"/>
                <w:sz w:val="20"/>
                <w:szCs w:val="20"/>
              </w:rPr>
            </w:pPr>
            <w:r>
              <w:rPr>
                <w:sz w:val="20"/>
                <w:szCs w:val="20"/>
              </w:rPr>
              <w:t>Varies</w:t>
            </w:r>
          </w:p>
        </w:tc>
        <w:tc>
          <w:tcPr>
            <w:tcW w:w="1197" w:type="dxa"/>
            <w:shd w:val="clear" w:color="auto" w:fill="auto"/>
            <w:vAlign w:val="center"/>
          </w:tcPr>
          <w:p w14:paraId="755A05DF" w14:textId="7A39F067" w:rsidR="001D5B97" w:rsidRPr="005D77C8" w:rsidRDefault="001D5B97" w:rsidP="001D5B97">
            <w:pPr>
              <w:spacing w:before="0" w:after="0" w:line="240" w:lineRule="auto"/>
              <w:jc w:val="right"/>
              <w:rPr>
                <w:rFonts w:eastAsia="Times New Roman" w:cs="Arial"/>
                <w:color w:val="000000"/>
                <w:sz w:val="20"/>
                <w:szCs w:val="20"/>
              </w:rPr>
            </w:pPr>
            <w:r>
              <w:rPr>
                <w:rFonts w:eastAsia="Times New Roman" w:cs="Arial"/>
                <w:color w:val="000000"/>
                <w:sz w:val="20"/>
                <w:szCs w:val="20"/>
              </w:rPr>
              <w:t>Varies</w:t>
            </w:r>
          </w:p>
        </w:tc>
        <w:tc>
          <w:tcPr>
            <w:tcW w:w="3208" w:type="dxa"/>
            <w:vAlign w:val="center"/>
          </w:tcPr>
          <w:p w14:paraId="19A029A2" w14:textId="4EF758B2" w:rsidR="001D5B97" w:rsidRPr="0026323A" w:rsidRDefault="001D5B97" w:rsidP="001D5B97">
            <w:pPr>
              <w:spacing w:before="0" w:after="0" w:line="240" w:lineRule="auto"/>
              <w:rPr>
                <w:rFonts w:eastAsia="Times New Roman" w:cs="Arial"/>
                <w:color w:val="000000"/>
                <w:sz w:val="18"/>
                <w:szCs w:val="18"/>
              </w:rPr>
            </w:pPr>
            <w:r>
              <w:rPr>
                <w:rStyle w:val="eTRMFootnoteTextChar"/>
                <w:szCs w:val="18"/>
              </w:rPr>
              <w:t>California Energy Commission (CEC). 2011. “</w:t>
            </w:r>
            <w:r w:rsidRPr="000C4122">
              <w:rPr>
                <w:rStyle w:val="eTRMFootnoteTextChar"/>
                <w:szCs w:val="18"/>
              </w:rPr>
              <w:t>CZ2010 Weather Files.xls.</w:t>
            </w:r>
            <w:r>
              <w:rPr>
                <w:rStyle w:val="eTRMFootnoteTextChar"/>
                <w:szCs w:val="18"/>
              </w:rPr>
              <w:t>”</w:t>
            </w:r>
          </w:p>
        </w:tc>
      </w:tr>
      <w:tr w:rsidR="00D27887" w:rsidRPr="00883E33" w14:paraId="748DFFFA" w14:textId="77777777" w:rsidTr="00E509A3">
        <w:trPr>
          <w:trHeight w:val="300"/>
        </w:trPr>
        <w:tc>
          <w:tcPr>
            <w:tcW w:w="4140" w:type="dxa"/>
            <w:shd w:val="clear" w:color="auto" w:fill="auto"/>
            <w:vAlign w:val="center"/>
          </w:tcPr>
          <w:p w14:paraId="6CEDBA0B" w14:textId="77777777" w:rsidR="00D27887" w:rsidRPr="00883E33" w:rsidRDefault="00D27887" w:rsidP="00194977">
            <w:pPr>
              <w:spacing w:before="0" w:after="0" w:line="240" w:lineRule="auto"/>
              <w:ind w:left="-15"/>
              <w:rPr>
                <w:rFonts w:eastAsia="Times New Roman" w:cs="Arial"/>
                <w:color w:val="000000"/>
                <w:sz w:val="20"/>
                <w:szCs w:val="20"/>
              </w:rPr>
            </w:pPr>
            <w:r w:rsidRPr="00883E33">
              <w:rPr>
                <w:rFonts w:eastAsia="Times New Roman" w:cs="Arial"/>
                <w:color w:val="000000"/>
                <w:sz w:val="20"/>
                <w:szCs w:val="20"/>
              </w:rPr>
              <w:t>Setpoint Hot Water Temperature (°F)</w:t>
            </w:r>
          </w:p>
        </w:tc>
        <w:tc>
          <w:tcPr>
            <w:tcW w:w="1260" w:type="dxa"/>
            <w:shd w:val="clear" w:color="auto" w:fill="auto"/>
            <w:vAlign w:val="center"/>
          </w:tcPr>
          <w:p w14:paraId="77071847" w14:textId="77777777" w:rsidR="00D27887" w:rsidRPr="005D77C8" w:rsidRDefault="00D27887"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 °F</w:t>
            </w:r>
          </w:p>
        </w:tc>
        <w:tc>
          <w:tcPr>
            <w:tcW w:w="1197" w:type="dxa"/>
            <w:shd w:val="clear" w:color="auto" w:fill="auto"/>
            <w:vAlign w:val="center"/>
          </w:tcPr>
          <w:p w14:paraId="663B455D" w14:textId="77777777" w:rsidR="00D27887" w:rsidRPr="005D77C8" w:rsidRDefault="00D27887"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 °F</w:t>
            </w:r>
          </w:p>
        </w:tc>
        <w:tc>
          <w:tcPr>
            <w:tcW w:w="3208" w:type="dxa"/>
            <w:vAlign w:val="center"/>
          </w:tcPr>
          <w:p w14:paraId="0AE0FE72" w14:textId="115B578D" w:rsidR="00D27887" w:rsidRPr="00B8600B" w:rsidRDefault="00D27887" w:rsidP="00194977">
            <w:pPr>
              <w:spacing w:before="0" w:after="0" w:line="240" w:lineRule="auto"/>
              <w:rPr>
                <w:rFonts w:eastAsia="Times New Roman" w:cs="Arial"/>
                <w:color w:val="000000"/>
                <w:sz w:val="20"/>
                <w:szCs w:val="20"/>
              </w:rPr>
            </w:pPr>
            <w:r w:rsidRPr="00B8600B">
              <w:rPr>
                <w:rFonts w:eastAsia="Times New Roman" w:cs="Arial"/>
                <w:color w:val="000000"/>
                <w:sz w:val="18"/>
                <w:szCs w:val="18"/>
              </w:rPr>
              <w:t>The source for this data is unknown.</w:t>
            </w:r>
          </w:p>
        </w:tc>
      </w:tr>
      <w:tr w:rsidR="003672EF" w:rsidRPr="00883E33" w14:paraId="236F1CBF" w14:textId="77777777" w:rsidTr="00E509A3">
        <w:trPr>
          <w:trHeight w:val="300"/>
        </w:trPr>
        <w:tc>
          <w:tcPr>
            <w:tcW w:w="4140" w:type="dxa"/>
            <w:shd w:val="clear" w:color="auto" w:fill="auto"/>
            <w:vAlign w:val="center"/>
          </w:tcPr>
          <w:p w14:paraId="3FC21504" w14:textId="0F620FA8" w:rsidR="003672EF" w:rsidRPr="00883E33" w:rsidRDefault="003672EF" w:rsidP="00D00139">
            <w:pPr>
              <w:spacing w:before="0" w:after="0" w:line="240" w:lineRule="auto"/>
              <w:ind w:left="-15"/>
              <w:rPr>
                <w:rFonts w:eastAsia="Times New Roman" w:cs="Arial"/>
                <w:color w:val="000000"/>
                <w:sz w:val="20"/>
                <w:szCs w:val="20"/>
              </w:rPr>
            </w:pPr>
            <w:r>
              <w:rPr>
                <w:rFonts w:eastAsia="Times New Roman" w:cs="Arial"/>
                <w:color w:val="000000"/>
                <w:sz w:val="20"/>
                <w:szCs w:val="20"/>
              </w:rPr>
              <w:t>Gas</w:t>
            </w:r>
            <w:r w:rsidRPr="00883E33">
              <w:rPr>
                <w:rFonts w:eastAsia="Times New Roman" w:cs="Arial"/>
                <w:color w:val="000000"/>
                <w:sz w:val="20"/>
                <w:szCs w:val="20"/>
              </w:rPr>
              <w:t xml:space="preserve"> Water Heater Efficiency (%)</w:t>
            </w:r>
          </w:p>
        </w:tc>
        <w:tc>
          <w:tcPr>
            <w:tcW w:w="1260" w:type="dxa"/>
            <w:shd w:val="clear" w:color="auto" w:fill="auto"/>
            <w:vAlign w:val="center"/>
          </w:tcPr>
          <w:p w14:paraId="13AD0336" w14:textId="690CBDF0" w:rsidR="003672EF" w:rsidRPr="005D77C8" w:rsidRDefault="00D00139" w:rsidP="00D00139">
            <w:pPr>
              <w:spacing w:before="0" w:after="0" w:line="240" w:lineRule="auto"/>
              <w:jc w:val="right"/>
              <w:rPr>
                <w:rFonts w:eastAsia="Times New Roman" w:cs="Arial"/>
                <w:color w:val="000000"/>
                <w:sz w:val="20"/>
                <w:szCs w:val="20"/>
              </w:rPr>
            </w:pPr>
            <w:r>
              <w:rPr>
                <w:rFonts w:eastAsia="Times New Roman" w:cs="Arial"/>
                <w:color w:val="000000"/>
                <w:sz w:val="20"/>
                <w:szCs w:val="20"/>
              </w:rPr>
              <w:t>77</w:t>
            </w:r>
            <w:r w:rsidR="003672EF" w:rsidRPr="005D77C8">
              <w:rPr>
                <w:rFonts w:eastAsia="Times New Roman" w:cs="Arial"/>
                <w:color w:val="000000"/>
                <w:sz w:val="20"/>
                <w:szCs w:val="20"/>
              </w:rPr>
              <w:t>%</w:t>
            </w:r>
          </w:p>
        </w:tc>
        <w:tc>
          <w:tcPr>
            <w:tcW w:w="1197" w:type="dxa"/>
            <w:shd w:val="clear" w:color="auto" w:fill="auto"/>
            <w:vAlign w:val="center"/>
          </w:tcPr>
          <w:p w14:paraId="6F60F067" w14:textId="71B69917" w:rsidR="003672EF" w:rsidRPr="005D77C8" w:rsidRDefault="00D00139" w:rsidP="00D00139">
            <w:pPr>
              <w:spacing w:before="0" w:after="0" w:line="240" w:lineRule="auto"/>
              <w:jc w:val="right"/>
              <w:rPr>
                <w:rFonts w:eastAsia="Times New Roman" w:cs="Arial"/>
                <w:color w:val="000000"/>
                <w:sz w:val="20"/>
                <w:szCs w:val="20"/>
              </w:rPr>
            </w:pPr>
            <w:r>
              <w:rPr>
                <w:rFonts w:eastAsia="Times New Roman" w:cs="Arial"/>
                <w:color w:val="000000"/>
                <w:sz w:val="20"/>
                <w:szCs w:val="20"/>
              </w:rPr>
              <w:t>77</w:t>
            </w:r>
            <w:r w:rsidR="003672EF" w:rsidRPr="005D77C8">
              <w:rPr>
                <w:rFonts w:eastAsia="Times New Roman" w:cs="Arial"/>
                <w:color w:val="000000"/>
                <w:sz w:val="20"/>
                <w:szCs w:val="20"/>
              </w:rPr>
              <w:t>%</w:t>
            </w:r>
          </w:p>
        </w:tc>
        <w:tc>
          <w:tcPr>
            <w:tcW w:w="3208" w:type="dxa"/>
            <w:vAlign w:val="center"/>
          </w:tcPr>
          <w:p w14:paraId="3B0A195A" w14:textId="77777777" w:rsidR="003672EF" w:rsidRPr="00877AF5" w:rsidRDefault="003672EF" w:rsidP="00D00139">
            <w:pPr>
              <w:pStyle w:val="FootnoteText"/>
              <w:rPr>
                <w:rStyle w:val="eTRMFootnoteTextChar"/>
                <w:szCs w:val="18"/>
              </w:rPr>
            </w:pPr>
            <w:r w:rsidRPr="00E6796E">
              <w:rPr>
                <w:rStyle w:val="eTRMFootnoteTextChar"/>
                <w:szCs w:val="18"/>
              </w:rPr>
              <w:t>California Public Utilities Commission (CPUC), Energy Division. 2013. “Workpaper Disposition for Water Fixtures.” February 22.</w:t>
            </w:r>
          </w:p>
          <w:p w14:paraId="3E42CAE9" w14:textId="4F944A6A" w:rsidR="003672EF" w:rsidRPr="00883E33" w:rsidRDefault="003672EF" w:rsidP="00D00139">
            <w:pPr>
              <w:spacing w:before="0" w:after="0" w:line="240" w:lineRule="auto"/>
              <w:rPr>
                <w:rFonts w:eastAsia="Times New Roman" w:cs="Arial"/>
                <w:color w:val="000000"/>
                <w:sz w:val="20"/>
                <w:szCs w:val="20"/>
              </w:rPr>
            </w:pPr>
            <w:r w:rsidRPr="00E6796E">
              <w:rPr>
                <w:rStyle w:val="eTRMFootnoteTextChar"/>
                <w:szCs w:val="18"/>
              </w:rPr>
              <w:t xml:space="preserve">California Public Utilities Commission </w:t>
            </w:r>
            <w:r w:rsidRPr="00E6796E">
              <w:rPr>
                <w:rStyle w:val="eTRMFootnoteTextChar"/>
                <w:szCs w:val="18"/>
              </w:rPr>
              <w:lastRenderedPageBreak/>
              <w:t>(CPUC), Energy Division. "DEER-WaterHeater-Calculator-v</w:t>
            </w:r>
            <w:r w:rsidR="00D00139">
              <w:rPr>
                <w:rStyle w:val="eTRMFootnoteTextChar"/>
                <w:szCs w:val="18"/>
              </w:rPr>
              <w:t>4.2</w:t>
            </w:r>
            <w:r w:rsidRPr="00E6796E">
              <w:rPr>
                <w:rStyle w:val="eTRMFootnoteTextChar"/>
                <w:szCs w:val="18"/>
              </w:rPr>
              <w:t>.xlsm."</w:t>
            </w:r>
          </w:p>
        </w:tc>
      </w:tr>
      <w:tr w:rsidR="003672EF" w:rsidRPr="0026027C" w14:paraId="475E41D2" w14:textId="77777777" w:rsidTr="00E509A3">
        <w:trPr>
          <w:trHeight w:val="300"/>
        </w:trPr>
        <w:tc>
          <w:tcPr>
            <w:tcW w:w="4140" w:type="dxa"/>
            <w:shd w:val="clear" w:color="auto" w:fill="auto"/>
            <w:vAlign w:val="center"/>
            <w:hideMark/>
          </w:tcPr>
          <w:p w14:paraId="4221467A" w14:textId="77777777" w:rsidR="003672EF" w:rsidRPr="0026027C" w:rsidRDefault="003672EF" w:rsidP="00194977">
            <w:pPr>
              <w:spacing w:before="0" w:after="0" w:line="240" w:lineRule="auto"/>
              <w:rPr>
                <w:rFonts w:eastAsia="Times New Roman" w:cs="Arial"/>
                <w:color w:val="000000"/>
                <w:sz w:val="20"/>
                <w:szCs w:val="20"/>
              </w:rPr>
            </w:pPr>
            <w:r w:rsidRPr="0026027C">
              <w:rPr>
                <w:rFonts w:eastAsia="Times New Roman" w:cs="Arial"/>
                <w:color w:val="000000"/>
                <w:sz w:val="20"/>
                <w:szCs w:val="20"/>
              </w:rPr>
              <w:lastRenderedPageBreak/>
              <w:t>Number of Racks per day (racks/day)</w:t>
            </w:r>
          </w:p>
        </w:tc>
        <w:tc>
          <w:tcPr>
            <w:tcW w:w="1260" w:type="dxa"/>
            <w:shd w:val="clear" w:color="auto" w:fill="auto"/>
            <w:vAlign w:val="center"/>
          </w:tcPr>
          <w:p w14:paraId="1199A0F2" w14:textId="76DB0E88" w:rsidR="003672EF" w:rsidRPr="005D77C8" w:rsidRDefault="00C01FE1"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140.5</w:t>
            </w:r>
          </w:p>
        </w:tc>
        <w:tc>
          <w:tcPr>
            <w:tcW w:w="1197" w:type="dxa"/>
            <w:shd w:val="clear" w:color="auto" w:fill="auto"/>
            <w:vAlign w:val="center"/>
          </w:tcPr>
          <w:p w14:paraId="4DC02999" w14:textId="08AE6C5A" w:rsidR="003672EF" w:rsidRPr="005D77C8" w:rsidRDefault="00C01FE1"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140.5</w:t>
            </w:r>
          </w:p>
        </w:tc>
        <w:tc>
          <w:tcPr>
            <w:tcW w:w="3208" w:type="dxa"/>
            <w:vAlign w:val="center"/>
          </w:tcPr>
          <w:p w14:paraId="6008A992" w14:textId="6073877B" w:rsidR="003672EF" w:rsidRPr="00917B37" w:rsidRDefault="00D00139" w:rsidP="00194977">
            <w:pPr>
              <w:spacing w:before="0" w:after="0" w:line="240" w:lineRule="auto"/>
              <w:rPr>
                <w:rFonts w:eastAsia="Times New Roman" w:cs="Arial"/>
                <w:color w:val="000000"/>
                <w:sz w:val="18"/>
                <w:szCs w:val="20"/>
              </w:rPr>
            </w:pPr>
            <w:r w:rsidRPr="00D00139">
              <w:rPr>
                <w:sz w:val="18"/>
                <w:szCs w:val="20"/>
              </w:rPr>
              <w:t>SoCalGas (SCG). 2021. "Dishmachine Calcs 03152021.xls."</w:t>
            </w:r>
            <w:r>
              <w:rPr>
                <w:sz w:val="18"/>
                <w:szCs w:val="20"/>
              </w:rPr>
              <w:t xml:space="preserve"> </w:t>
            </w:r>
            <w:r w:rsidR="003672EF" w:rsidRPr="00917B37">
              <w:rPr>
                <w:sz w:val="18"/>
                <w:szCs w:val="20"/>
              </w:rPr>
              <w:t>See “Monitored Data + GPR” tab.</w:t>
            </w:r>
          </w:p>
        </w:tc>
      </w:tr>
      <w:tr w:rsidR="003672EF" w:rsidRPr="0026027C" w14:paraId="14C5EF5C" w14:textId="77777777" w:rsidTr="00E509A3">
        <w:trPr>
          <w:trHeight w:val="300"/>
        </w:trPr>
        <w:tc>
          <w:tcPr>
            <w:tcW w:w="4140" w:type="dxa"/>
            <w:shd w:val="clear" w:color="auto" w:fill="auto"/>
            <w:vAlign w:val="center"/>
            <w:hideMark/>
          </w:tcPr>
          <w:p w14:paraId="4587FB31" w14:textId="77777777" w:rsidR="003672EF" w:rsidRPr="0026027C" w:rsidRDefault="003672EF" w:rsidP="00194977">
            <w:pPr>
              <w:spacing w:before="0" w:after="0" w:line="240" w:lineRule="auto"/>
              <w:rPr>
                <w:rFonts w:eastAsia="Times New Roman" w:cs="Arial"/>
                <w:color w:val="000000"/>
                <w:sz w:val="20"/>
                <w:szCs w:val="20"/>
              </w:rPr>
            </w:pPr>
            <w:r w:rsidRPr="0026027C">
              <w:rPr>
                <w:rFonts w:eastAsia="Times New Roman" w:cs="Arial"/>
                <w:color w:val="000000"/>
                <w:sz w:val="20"/>
                <w:szCs w:val="20"/>
              </w:rPr>
              <w:t>Water Consumption (Gal/Rack)</w:t>
            </w:r>
          </w:p>
        </w:tc>
        <w:tc>
          <w:tcPr>
            <w:tcW w:w="1260" w:type="dxa"/>
            <w:shd w:val="clear" w:color="auto" w:fill="auto"/>
            <w:vAlign w:val="center"/>
            <w:hideMark/>
          </w:tcPr>
          <w:p w14:paraId="0CBC4F1C"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1.06</w:t>
            </w:r>
          </w:p>
        </w:tc>
        <w:tc>
          <w:tcPr>
            <w:tcW w:w="1197" w:type="dxa"/>
            <w:shd w:val="clear" w:color="auto" w:fill="auto"/>
            <w:vAlign w:val="center"/>
            <w:hideMark/>
          </w:tcPr>
          <w:p w14:paraId="2F33A383" w14:textId="6894C0AC"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0.</w:t>
            </w:r>
            <w:r w:rsidR="00A22774">
              <w:rPr>
                <w:rFonts w:eastAsia="Times New Roman" w:cs="Arial"/>
                <w:color w:val="000000"/>
                <w:sz w:val="20"/>
                <w:szCs w:val="20"/>
              </w:rPr>
              <w:t>88</w:t>
            </w:r>
          </w:p>
        </w:tc>
        <w:tc>
          <w:tcPr>
            <w:tcW w:w="3208" w:type="dxa"/>
            <w:vAlign w:val="center"/>
          </w:tcPr>
          <w:p w14:paraId="6B14B739" w14:textId="2347D370" w:rsidR="003672EF" w:rsidRPr="0026027C" w:rsidRDefault="003672EF" w:rsidP="00194977">
            <w:pPr>
              <w:spacing w:before="0" w:after="0" w:line="240" w:lineRule="auto"/>
              <w:rPr>
                <w:rFonts w:eastAsia="Times New Roman" w:cs="Arial"/>
                <w:color w:val="000000"/>
                <w:sz w:val="20"/>
                <w:szCs w:val="20"/>
              </w:rPr>
            </w:pPr>
            <w:r w:rsidRPr="00877AF5">
              <w:rPr>
                <w:sz w:val="18"/>
                <w:szCs w:val="18"/>
              </w:rPr>
              <w:t>National Sanitation Foundation (NSF). (n.d.) NSF/ANSI 3 - Co</w:t>
            </w:r>
            <w:r>
              <w:rPr>
                <w:sz w:val="18"/>
                <w:szCs w:val="18"/>
              </w:rPr>
              <w:t>mmercial Warewashing Equipment.</w:t>
            </w:r>
            <w:r w:rsidRPr="00877AF5">
              <w:rPr>
                <w:sz w:val="18"/>
                <w:szCs w:val="18"/>
              </w:rPr>
              <w:t xml:space="preserve"> "Com Dishwashers NSF Energy Star.xlsx."</w:t>
            </w:r>
          </w:p>
        </w:tc>
      </w:tr>
      <w:tr w:rsidR="00D27887" w:rsidRPr="0026027C" w14:paraId="68FABAB0" w14:textId="77777777" w:rsidTr="00E509A3">
        <w:trPr>
          <w:trHeight w:val="345"/>
        </w:trPr>
        <w:tc>
          <w:tcPr>
            <w:tcW w:w="4140" w:type="dxa"/>
            <w:shd w:val="clear" w:color="auto" w:fill="auto"/>
            <w:vAlign w:val="center"/>
            <w:hideMark/>
          </w:tcPr>
          <w:p w14:paraId="62103EB0" w14:textId="77777777" w:rsidR="00D27887" w:rsidRPr="0026027C" w:rsidRDefault="00D27887" w:rsidP="00194977">
            <w:pPr>
              <w:spacing w:before="0" w:after="0" w:line="240" w:lineRule="auto"/>
              <w:rPr>
                <w:rFonts w:eastAsia="Times New Roman" w:cs="Arial"/>
                <w:color w:val="000000"/>
                <w:sz w:val="20"/>
                <w:szCs w:val="20"/>
              </w:rPr>
            </w:pPr>
            <w:r w:rsidRPr="0026027C">
              <w:rPr>
                <w:rFonts w:eastAsia="Times New Roman" w:cs="Arial"/>
                <w:color w:val="000000"/>
                <w:sz w:val="20"/>
                <w:szCs w:val="20"/>
              </w:rPr>
              <w:t>Wash time per rack (min/rack)</w:t>
            </w:r>
          </w:p>
        </w:tc>
        <w:tc>
          <w:tcPr>
            <w:tcW w:w="1260" w:type="dxa"/>
            <w:shd w:val="clear" w:color="auto" w:fill="auto"/>
            <w:vAlign w:val="center"/>
            <w:hideMark/>
          </w:tcPr>
          <w:p w14:paraId="2441E05F" w14:textId="2CDB4017" w:rsidR="00D27887" w:rsidRPr="005D77C8" w:rsidRDefault="00D27887"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r w:rsidR="001E04AE">
              <w:rPr>
                <w:rFonts w:eastAsia="Times New Roman" w:cs="Arial"/>
                <w:color w:val="000000"/>
                <w:sz w:val="20"/>
                <w:szCs w:val="20"/>
              </w:rPr>
              <w:t>.0</w:t>
            </w:r>
          </w:p>
        </w:tc>
        <w:tc>
          <w:tcPr>
            <w:tcW w:w="1197" w:type="dxa"/>
            <w:shd w:val="clear" w:color="auto" w:fill="auto"/>
            <w:vAlign w:val="center"/>
            <w:hideMark/>
          </w:tcPr>
          <w:p w14:paraId="0E496EB6" w14:textId="2EC1CD76" w:rsidR="00D27887" w:rsidRPr="005D77C8" w:rsidRDefault="00D27887"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w:t>
            </w:r>
            <w:r w:rsidR="001E04AE">
              <w:rPr>
                <w:rFonts w:eastAsia="Times New Roman" w:cs="Arial"/>
                <w:color w:val="000000"/>
                <w:sz w:val="20"/>
                <w:szCs w:val="20"/>
              </w:rPr>
              <w:t>.0</w:t>
            </w:r>
          </w:p>
        </w:tc>
        <w:tc>
          <w:tcPr>
            <w:tcW w:w="3208" w:type="dxa"/>
            <w:vAlign w:val="center"/>
          </w:tcPr>
          <w:p w14:paraId="3228F98F" w14:textId="5F5788D4" w:rsidR="00D27887" w:rsidRPr="00B8600B" w:rsidRDefault="00D27887" w:rsidP="00194977">
            <w:pPr>
              <w:spacing w:before="0" w:after="0" w:line="240" w:lineRule="auto"/>
              <w:rPr>
                <w:rFonts w:eastAsia="Times New Roman" w:cs="Arial"/>
                <w:color w:val="000000"/>
                <w:sz w:val="20"/>
                <w:szCs w:val="20"/>
              </w:rPr>
            </w:pPr>
            <w:r w:rsidRPr="00B8600B">
              <w:rPr>
                <w:rFonts w:eastAsia="Times New Roman" w:cs="Arial"/>
                <w:color w:val="000000"/>
                <w:sz w:val="18"/>
                <w:szCs w:val="18"/>
              </w:rPr>
              <w:t>The source for this data is unknown.</w:t>
            </w:r>
          </w:p>
        </w:tc>
      </w:tr>
      <w:tr w:rsidR="003672EF" w:rsidRPr="0026027C" w14:paraId="4E842C86" w14:textId="77777777" w:rsidTr="00E509A3">
        <w:trPr>
          <w:trHeight w:val="405"/>
        </w:trPr>
        <w:tc>
          <w:tcPr>
            <w:tcW w:w="4140" w:type="dxa"/>
            <w:shd w:val="clear" w:color="auto" w:fill="auto"/>
            <w:vAlign w:val="center"/>
            <w:hideMark/>
          </w:tcPr>
          <w:p w14:paraId="75D8E6AC" w14:textId="1BE63DC5" w:rsidR="003672EF" w:rsidRPr="0026027C" w:rsidRDefault="003672EF" w:rsidP="00194977">
            <w:pPr>
              <w:spacing w:before="0" w:after="0" w:line="240" w:lineRule="auto"/>
              <w:rPr>
                <w:rFonts w:eastAsia="Times New Roman" w:cs="Arial"/>
                <w:color w:val="000000"/>
                <w:sz w:val="20"/>
                <w:szCs w:val="20"/>
              </w:rPr>
            </w:pPr>
            <w:r w:rsidRPr="0026027C">
              <w:rPr>
                <w:rFonts w:eastAsia="Times New Roman" w:cs="Arial"/>
                <w:color w:val="000000"/>
                <w:sz w:val="20"/>
                <w:szCs w:val="20"/>
              </w:rPr>
              <w:t>Idle Energy Rate (</w:t>
            </w:r>
            <w:r>
              <w:rPr>
                <w:rFonts w:eastAsia="Times New Roman" w:cs="Arial"/>
                <w:color w:val="000000"/>
                <w:sz w:val="20"/>
                <w:szCs w:val="20"/>
              </w:rPr>
              <w:t>therms</w:t>
            </w:r>
            <w:r w:rsidRPr="0026027C">
              <w:rPr>
                <w:rFonts w:eastAsia="Times New Roman" w:cs="Arial"/>
                <w:color w:val="000000"/>
                <w:sz w:val="20"/>
                <w:szCs w:val="20"/>
              </w:rPr>
              <w:t>)</w:t>
            </w:r>
          </w:p>
        </w:tc>
        <w:tc>
          <w:tcPr>
            <w:tcW w:w="1260" w:type="dxa"/>
            <w:shd w:val="clear" w:color="auto" w:fill="auto"/>
            <w:vAlign w:val="center"/>
          </w:tcPr>
          <w:p w14:paraId="1D16548A"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0</w:t>
            </w:r>
          </w:p>
        </w:tc>
        <w:tc>
          <w:tcPr>
            <w:tcW w:w="1197" w:type="dxa"/>
            <w:shd w:val="clear" w:color="auto" w:fill="auto"/>
            <w:vAlign w:val="center"/>
          </w:tcPr>
          <w:p w14:paraId="7CB5F5F1"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0</w:t>
            </w:r>
          </w:p>
        </w:tc>
        <w:tc>
          <w:tcPr>
            <w:tcW w:w="3208" w:type="dxa"/>
            <w:vAlign w:val="center"/>
          </w:tcPr>
          <w:p w14:paraId="6BA90726" w14:textId="091D9C7C" w:rsidR="003672EF" w:rsidRPr="00B8600B" w:rsidRDefault="003672EF" w:rsidP="00194977">
            <w:pPr>
              <w:spacing w:before="0" w:after="0" w:line="240" w:lineRule="auto"/>
              <w:rPr>
                <w:rFonts w:eastAsia="Times New Roman" w:cs="Arial"/>
                <w:color w:val="000000"/>
                <w:sz w:val="20"/>
                <w:szCs w:val="20"/>
              </w:rPr>
            </w:pPr>
            <w:r w:rsidRPr="00B8600B">
              <w:rPr>
                <w:sz w:val="18"/>
                <w:szCs w:val="20"/>
              </w:rPr>
              <w:t>-</w:t>
            </w:r>
          </w:p>
        </w:tc>
      </w:tr>
      <w:tr w:rsidR="00D27887" w:rsidRPr="0026027C" w14:paraId="6638F1CA" w14:textId="77777777" w:rsidTr="00E509A3">
        <w:trPr>
          <w:trHeight w:val="300"/>
        </w:trPr>
        <w:tc>
          <w:tcPr>
            <w:tcW w:w="4140" w:type="dxa"/>
            <w:shd w:val="clear" w:color="auto" w:fill="auto"/>
            <w:vAlign w:val="center"/>
            <w:hideMark/>
          </w:tcPr>
          <w:p w14:paraId="3FACE3ED" w14:textId="77777777" w:rsidR="00D27887" w:rsidRPr="0026027C" w:rsidRDefault="00D27887" w:rsidP="00194977">
            <w:pPr>
              <w:spacing w:before="0" w:after="0" w:line="240" w:lineRule="auto"/>
              <w:rPr>
                <w:rFonts w:eastAsia="Times New Roman" w:cs="Arial"/>
                <w:color w:val="000000"/>
                <w:sz w:val="20"/>
                <w:szCs w:val="20"/>
              </w:rPr>
            </w:pPr>
            <w:r w:rsidRPr="0026027C">
              <w:rPr>
                <w:rFonts w:eastAsia="Times New Roman" w:cs="Arial"/>
                <w:color w:val="000000"/>
                <w:sz w:val="20"/>
                <w:szCs w:val="20"/>
              </w:rPr>
              <w:t>Operating Days/Year</w:t>
            </w:r>
          </w:p>
        </w:tc>
        <w:tc>
          <w:tcPr>
            <w:tcW w:w="1260" w:type="dxa"/>
            <w:shd w:val="clear" w:color="auto" w:fill="auto"/>
            <w:vAlign w:val="center"/>
            <w:hideMark/>
          </w:tcPr>
          <w:p w14:paraId="66B0CD5E" w14:textId="77777777" w:rsidR="00D27887" w:rsidRPr="005D77C8" w:rsidRDefault="00D27887"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365</w:t>
            </w:r>
          </w:p>
        </w:tc>
        <w:tc>
          <w:tcPr>
            <w:tcW w:w="1197" w:type="dxa"/>
            <w:shd w:val="clear" w:color="auto" w:fill="auto"/>
            <w:vAlign w:val="center"/>
            <w:hideMark/>
          </w:tcPr>
          <w:p w14:paraId="27C379EC" w14:textId="77777777" w:rsidR="00D27887" w:rsidRPr="005D77C8" w:rsidRDefault="00D27887"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365</w:t>
            </w:r>
          </w:p>
        </w:tc>
        <w:tc>
          <w:tcPr>
            <w:tcW w:w="3208" w:type="dxa"/>
            <w:vMerge w:val="restart"/>
            <w:vAlign w:val="center"/>
          </w:tcPr>
          <w:p w14:paraId="14E9BE5F" w14:textId="3B7061CF" w:rsidR="00D27887" w:rsidRPr="00B8600B" w:rsidRDefault="00D27887" w:rsidP="00194977">
            <w:pPr>
              <w:spacing w:before="0" w:after="0" w:line="240" w:lineRule="auto"/>
              <w:rPr>
                <w:rFonts w:eastAsia="Times New Roman" w:cs="Arial"/>
                <w:color w:val="000000"/>
                <w:sz w:val="20"/>
                <w:szCs w:val="20"/>
              </w:rPr>
            </w:pPr>
            <w:r w:rsidRPr="00B8600B">
              <w:rPr>
                <w:rFonts w:eastAsia="Times New Roman" w:cs="Arial"/>
                <w:color w:val="000000"/>
                <w:sz w:val="18"/>
                <w:szCs w:val="18"/>
              </w:rPr>
              <w:t>The source for this data is unknown.</w:t>
            </w:r>
          </w:p>
        </w:tc>
      </w:tr>
      <w:tr w:rsidR="003672EF" w:rsidRPr="0026027C" w14:paraId="6D54D977" w14:textId="77777777" w:rsidTr="00E509A3">
        <w:trPr>
          <w:trHeight w:val="465"/>
        </w:trPr>
        <w:tc>
          <w:tcPr>
            <w:tcW w:w="4140" w:type="dxa"/>
            <w:shd w:val="clear" w:color="auto" w:fill="auto"/>
            <w:vAlign w:val="center"/>
            <w:hideMark/>
          </w:tcPr>
          <w:p w14:paraId="31A0C3D3" w14:textId="77777777" w:rsidR="003672EF" w:rsidRPr="0026027C" w:rsidRDefault="003672EF" w:rsidP="00194977">
            <w:pPr>
              <w:spacing w:before="0" w:after="0" w:line="240" w:lineRule="auto"/>
              <w:rPr>
                <w:rFonts w:eastAsia="Times New Roman" w:cs="Arial"/>
                <w:color w:val="000000"/>
                <w:sz w:val="20"/>
                <w:szCs w:val="20"/>
              </w:rPr>
            </w:pPr>
            <w:r w:rsidRPr="0026027C">
              <w:rPr>
                <w:rFonts w:eastAsia="Times New Roman" w:cs="Arial"/>
                <w:color w:val="000000"/>
                <w:sz w:val="20"/>
                <w:szCs w:val="20"/>
              </w:rPr>
              <w:t>Operating Hours/Day</w:t>
            </w:r>
          </w:p>
        </w:tc>
        <w:tc>
          <w:tcPr>
            <w:tcW w:w="1260" w:type="dxa"/>
            <w:shd w:val="clear" w:color="auto" w:fill="auto"/>
            <w:vAlign w:val="center"/>
            <w:hideMark/>
          </w:tcPr>
          <w:p w14:paraId="7F854FA3"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12</w:t>
            </w:r>
          </w:p>
        </w:tc>
        <w:tc>
          <w:tcPr>
            <w:tcW w:w="1197" w:type="dxa"/>
            <w:shd w:val="clear" w:color="auto" w:fill="auto"/>
            <w:vAlign w:val="center"/>
            <w:hideMark/>
          </w:tcPr>
          <w:p w14:paraId="384D2630" w14:textId="77777777"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12</w:t>
            </w:r>
          </w:p>
        </w:tc>
        <w:tc>
          <w:tcPr>
            <w:tcW w:w="3208" w:type="dxa"/>
            <w:vMerge/>
            <w:vAlign w:val="center"/>
          </w:tcPr>
          <w:p w14:paraId="02BED097" w14:textId="77777777" w:rsidR="003672EF" w:rsidRPr="00B8600B" w:rsidRDefault="003672EF" w:rsidP="00194977">
            <w:pPr>
              <w:spacing w:before="0" w:after="0" w:line="240" w:lineRule="auto"/>
              <w:rPr>
                <w:rFonts w:eastAsia="Times New Roman" w:cs="Arial"/>
                <w:color w:val="000000"/>
                <w:sz w:val="20"/>
                <w:szCs w:val="20"/>
              </w:rPr>
            </w:pPr>
          </w:p>
        </w:tc>
      </w:tr>
      <w:tr w:rsidR="00D27887" w:rsidRPr="0026027C" w14:paraId="14467668" w14:textId="77777777" w:rsidTr="00E509A3">
        <w:trPr>
          <w:trHeight w:val="300"/>
        </w:trPr>
        <w:tc>
          <w:tcPr>
            <w:tcW w:w="4140" w:type="dxa"/>
            <w:shd w:val="clear" w:color="auto" w:fill="auto"/>
            <w:vAlign w:val="center"/>
            <w:hideMark/>
          </w:tcPr>
          <w:p w14:paraId="6B27954E" w14:textId="77777777" w:rsidR="00D27887" w:rsidRPr="0026027C" w:rsidRDefault="00D27887" w:rsidP="00194977">
            <w:pPr>
              <w:spacing w:before="0" w:after="0" w:line="240" w:lineRule="auto"/>
              <w:rPr>
                <w:rFonts w:eastAsia="Times New Roman" w:cs="Arial"/>
                <w:color w:val="000000"/>
                <w:sz w:val="20"/>
                <w:szCs w:val="20"/>
              </w:rPr>
            </w:pPr>
            <w:r w:rsidRPr="0026027C">
              <w:rPr>
                <w:rFonts w:eastAsia="Times New Roman" w:cs="Arial"/>
                <w:color w:val="000000"/>
                <w:sz w:val="20"/>
                <w:szCs w:val="20"/>
              </w:rPr>
              <w:t xml:space="preserve">Market Penetration of </w:t>
            </w:r>
            <w:r>
              <w:rPr>
                <w:rFonts w:eastAsia="Times New Roman" w:cs="Arial"/>
                <w:color w:val="000000"/>
                <w:sz w:val="20"/>
                <w:szCs w:val="20"/>
              </w:rPr>
              <w:t>Gas</w:t>
            </w:r>
            <w:r w:rsidRPr="0026027C">
              <w:rPr>
                <w:rFonts w:eastAsia="Times New Roman" w:cs="Arial"/>
                <w:color w:val="000000"/>
                <w:sz w:val="20"/>
                <w:szCs w:val="20"/>
              </w:rPr>
              <w:t xml:space="preserve"> Water Heaters (%)</w:t>
            </w:r>
          </w:p>
        </w:tc>
        <w:tc>
          <w:tcPr>
            <w:tcW w:w="1260" w:type="dxa"/>
            <w:shd w:val="clear" w:color="auto" w:fill="auto"/>
            <w:vAlign w:val="center"/>
            <w:hideMark/>
          </w:tcPr>
          <w:p w14:paraId="6897B177" w14:textId="77777777" w:rsidR="00D27887" w:rsidRPr="005D77C8" w:rsidRDefault="00D27887"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97%</w:t>
            </w:r>
          </w:p>
        </w:tc>
        <w:tc>
          <w:tcPr>
            <w:tcW w:w="1197" w:type="dxa"/>
            <w:shd w:val="clear" w:color="auto" w:fill="auto"/>
            <w:vAlign w:val="center"/>
            <w:hideMark/>
          </w:tcPr>
          <w:p w14:paraId="1E80243C" w14:textId="77777777" w:rsidR="00D27887" w:rsidRPr="005D77C8" w:rsidRDefault="00D27887"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97%</w:t>
            </w:r>
          </w:p>
        </w:tc>
        <w:tc>
          <w:tcPr>
            <w:tcW w:w="3208" w:type="dxa"/>
            <w:vAlign w:val="center"/>
          </w:tcPr>
          <w:p w14:paraId="34FACAE5" w14:textId="25FF4EEA" w:rsidR="00D27887" w:rsidRPr="00B8600B" w:rsidRDefault="00D27887" w:rsidP="00194977">
            <w:pPr>
              <w:spacing w:before="0" w:after="0" w:line="240" w:lineRule="auto"/>
              <w:rPr>
                <w:rFonts w:eastAsia="Times New Roman" w:cs="Arial"/>
                <w:color w:val="000000"/>
                <w:sz w:val="20"/>
                <w:szCs w:val="20"/>
              </w:rPr>
            </w:pPr>
            <w:r w:rsidRPr="00B8600B">
              <w:rPr>
                <w:rFonts w:eastAsia="Times New Roman" w:cs="Arial"/>
                <w:color w:val="000000"/>
                <w:sz w:val="18"/>
                <w:szCs w:val="18"/>
              </w:rPr>
              <w:t>The source for this data is unknown.</w:t>
            </w:r>
          </w:p>
        </w:tc>
      </w:tr>
      <w:tr w:rsidR="003672EF" w:rsidRPr="0026027C" w14:paraId="5B51E18E" w14:textId="77777777" w:rsidTr="00E509A3">
        <w:trPr>
          <w:trHeight w:val="300"/>
        </w:trPr>
        <w:tc>
          <w:tcPr>
            <w:tcW w:w="4140" w:type="dxa"/>
            <w:shd w:val="clear" w:color="auto" w:fill="auto"/>
            <w:vAlign w:val="center"/>
            <w:hideMark/>
          </w:tcPr>
          <w:p w14:paraId="6E3924A2" w14:textId="77777777" w:rsidR="003672EF" w:rsidRPr="0026027C" w:rsidRDefault="003672EF" w:rsidP="00194977">
            <w:pPr>
              <w:spacing w:before="0" w:after="0" w:line="240" w:lineRule="auto"/>
              <w:rPr>
                <w:rFonts w:eastAsia="Times New Roman" w:cs="Arial"/>
                <w:color w:val="000000"/>
                <w:sz w:val="20"/>
                <w:szCs w:val="20"/>
              </w:rPr>
            </w:pPr>
            <w:r w:rsidRPr="0026027C">
              <w:rPr>
                <w:rFonts w:eastAsia="Times New Roman" w:cs="Arial"/>
                <w:color w:val="000000"/>
                <w:sz w:val="20"/>
                <w:szCs w:val="20"/>
              </w:rPr>
              <w:t xml:space="preserve">Market Penetration of </w:t>
            </w:r>
            <w:r>
              <w:rPr>
                <w:rFonts w:eastAsia="Times New Roman" w:cs="Arial"/>
                <w:color w:val="000000"/>
                <w:sz w:val="20"/>
                <w:szCs w:val="20"/>
              </w:rPr>
              <w:t>Gas</w:t>
            </w:r>
            <w:r w:rsidRPr="0026027C">
              <w:rPr>
                <w:rFonts w:eastAsia="Times New Roman" w:cs="Arial"/>
                <w:color w:val="000000"/>
                <w:sz w:val="20"/>
                <w:szCs w:val="20"/>
              </w:rPr>
              <w:t xml:space="preserve"> Booster Heaters (%)</w:t>
            </w:r>
          </w:p>
        </w:tc>
        <w:tc>
          <w:tcPr>
            <w:tcW w:w="1260" w:type="dxa"/>
            <w:shd w:val="clear" w:color="auto" w:fill="auto"/>
            <w:vAlign w:val="center"/>
            <w:hideMark/>
          </w:tcPr>
          <w:p w14:paraId="213F452D" w14:textId="6A6D1FA3"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n/a</w:t>
            </w:r>
          </w:p>
        </w:tc>
        <w:tc>
          <w:tcPr>
            <w:tcW w:w="1197" w:type="dxa"/>
            <w:shd w:val="clear" w:color="auto" w:fill="auto"/>
            <w:vAlign w:val="center"/>
            <w:hideMark/>
          </w:tcPr>
          <w:p w14:paraId="134D9F99" w14:textId="4174A418" w:rsidR="003672EF" w:rsidRPr="005D77C8" w:rsidRDefault="003672EF" w:rsidP="00386B41">
            <w:pPr>
              <w:spacing w:before="0" w:after="0" w:line="240" w:lineRule="auto"/>
              <w:jc w:val="right"/>
              <w:rPr>
                <w:rFonts w:eastAsia="Times New Roman" w:cs="Arial"/>
                <w:color w:val="000000"/>
                <w:sz w:val="20"/>
                <w:szCs w:val="20"/>
              </w:rPr>
            </w:pPr>
            <w:r w:rsidRPr="005D77C8">
              <w:rPr>
                <w:rFonts w:eastAsia="Times New Roman" w:cs="Arial"/>
                <w:color w:val="000000"/>
                <w:sz w:val="20"/>
                <w:szCs w:val="20"/>
              </w:rPr>
              <w:t>n/a</w:t>
            </w:r>
          </w:p>
        </w:tc>
        <w:tc>
          <w:tcPr>
            <w:tcW w:w="3208" w:type="dxa"/>
            <w:vAlign w:val="center"/>
          </w:tcPr>
          <w:p w14:paraId="23F078AA" w14:textId="7E995AD0" w:rsidR="003672EF" w:rsidRPr="0026027C" w:rsidRDefault="003672EF" w:rsidP="00194977">
            <w:pPr>
              <w:spacing w:before="0" w:after="0" w:line="240" w:lineRule="auto"/>
              <w:rPr>
                <w:rFonts w:eastAsia="Times New Roman" w:cs="Arial"/>
                <w:color w:val="000000"/>
                <w:sz w:val="20"/>
                <w:szCs w:val="20"/>
              </w:rPr>
            </w:pPr>
            <w:r>
              <w:rPr>
                <w:sz w:val="18"/>
                <w:szCs w:val="18"/>
              </w:rPr>
              <w:t>-</w:t>
            </w:r>
          </w:p>
        </w:tc>
      </w:tr>
    </w:tbl>
    <w:p w14:paraId="527E4EC1" w14:textId="77777777" w:rsidR="0026027C" w:rsidRDefault="0026027C" w:rsidP="00894AF0"/>
    <w:p w14:paraId="00EFC18A" w14:textId="1801EFC4" w:rsidR="00894AF0" w:rsidRDefault="00263E6C" w:rsidP="00894AF0">
      <w:r>
        <w:t>The</w:t>
      </w:r>
      <w:r w:rsidR="006D46B3">
        <w:t xml:space="preserve"> sample</w:t>
      </w:r>
      <w:r w:rsidR="00894AF0">
        <w:t xml:space="preserve"> calculation </w:t>
      </w:r>
      <w:r>
        <w:t xml:space="preserve">below is </w:t>
      </w:r>
      <w:r w:rsidR="00894AF0">
        <w:t>for a high-</w:t>
      </w:r>
      <w:r w:rsidR="00894AF0" w:rsidRPr="00F84224">
        <w:t>temperature</w:t>
      </w:r>
      <w:r w:rsidR="00894AF0">
        <w:t>, gas-</w:t>
      </w:r>
      <w:r w:rsidR="00894AF0" w:rsidRPr="00F84224">
        <w:t>fueled</w:t>
      </w:r>
      <w:r w:rsidR="00894AF0">
        <w:t>,</w:t>
      </w:r>
      <w:r w:rsidR="00894AF0" w:rsidRPr="00F84224">
        <w:t xml:space="preserve"> door-type dishwasher in a commercial food service </w:t>
      </w:r>
      <w:r w:rsidR="00894AF0">
        <w:t xml:space="preserve">application </w:t>
      </w:r>
      <w:r w:rsidR="00894AF0" w:rsidRPr="00F84224">
        <w:t>that use</w:t>
      </w:r>
      <w:r w:rsidR="00894AF0">
        <w:t xml:space="preserve">s </w:t>
      </w:r>
      <w:r w:rsidR="007413C9">
        <w:t xml:space="preserve">a </w:t>
      </w:r>
      <w:r w:rsidR="00894AF0">
        <w:t>gas primary water heater. Low-</w:t>
      </w:r>
      <w:r w:rsidR="00894AF0" w:rsidRPr="00F84224">
        <w:t xml:space="preserve">temperature dishwashers will not have booster heater energy as part of the calculation and </w:t>
      </w:r>
      <w:r w:rsidR="00C654D7">
        <w:t>is</w:t>
      </w:r>
      <w:r w:rsidR="00894AF0" w:rsidRPr="00F84224">
        <w:t xml:space="preserve"> set to zero.</w:t>
      </w:r>
    </w:p>
    <w:p w14:paraId="1D57E8C1" w14:textId="26C1DBD7" w:rsidR="001E3F16" w:rsidRPr="00F84224" w:rsidRDefault="001055C0" w:rsidP="001E3F16">
      <w:pPr>
        <w:pStyle w:val="eTRMHeading5"/>
      </w:pPr>
      <w:r>
        <w:t>Gas</w:t>
      </w:r>
      <w:r w:rsidR="001E3F16">
        <w:t xml:space="preserve"> Water Heater Energy Use</w:t>
      </w:r>
    </w:p>
    <w:p w14:paraId="71DC9D53" w14:textId="54DED196" w:rsidR="00EC3865" w:rsidRPr="00EC3865" w:rsidRDefault="001F3D36" w:rsidP="00EC3865">
      <w:pPr>
        <w:ind w:left="720"/>
        <w:rPr>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Water Heater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∆T×C×ρ</m:t>
                  </m:r>
                </m:num>
                <m:den>
                  <m:r>
                    <w:rPr>
                      <w:rFonts w:ascii="Cambria Math" w:hAnsi="Cambria Math"/>
                      <w:sz w:val="18"/>
                      <w:szCs w:val="18"/>
                    </w:rPr>
                    <m:t>η</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Btu</m:t>
              </m:r>
            </m:num>
            <m:den>
              <m:r>
                <w:rPr>
                  <w:rFonts w:ascii="Cambria Math" w:hAnsi="Cambria Math"/>
                  <w:sz w:val="18"/>
                  <w:szCs w:val="18"/>
                </w:rPr>
                <m:t>Therm</m:t>
              </m:r>
            </m:den>
          </m:f>
        </m:oMath>
      </m:oMathPara>
    </w:p>
    <w:p w14:paraId="7B07F80C" w14:textId="45F12441" w:rsidR="00EC3865" w:rsidRPr="00A92C95" w:rsidRDefault="001F3D36" w:rsidP="00EC3865">
      <w:pPr>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Water Heater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d>
                    <m:dPr>
                      <m:ctrlPr>
                        <w:rPr>
                          <w:rFonts w:ascii="Cambria Math" w:hAnsi="Cambria Math"/>
                          <w:i/>
                          <w:sz w:val="18"/>
                          <w:szCs w:val="18"/>
                        </w:rPr>
                      </m:ctrlPr>
                    </m:dPr>
                    <m:e>
                      <m:r>
                        <w:rPr>
                          <w:rFonts w:ascii="Cambria Math" w:hAnsi="Cambria Math"/>
                          <w:sz w:val="18"/>
                          <w:szCs w:val="18"/>
                        </w:rPr>
                        <m:t>140 °F-61 °F</m:t>
                      </m:r>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1.0Btu</m:t>
                      </m:r>
                    </m:num>
                    <m:den>
                      <m:r>
                        <w:rPr>
                          <w:rFonts w:ascii="Cambria Math" w:hAnsi="Cambria Math"/>
                          <w:sz w:val="18"/>
                          <w:szCs w:val="18"/>
                        </w:rPr>
                        <m:t>Lb×F</m:t>
                      </m:r>
                    </m:den>
                  </m:f>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8.34Lb</m:t>
                      </m:r>
                    </m:num>
                    <m:den>
                      <m:r>
                        <w:rPr>
                          <w:rFonts w:ascii="Cambria Math" w:hAnsi="Cambria Math"/>
                          <w:sz w:val="18"/>
                          <w:szCs w:val="18"/>
                        </w:rPr>
                        <m:t>gal</m:t>
                      </m:r>
                    </m:den>
                  </m:f>
                </m:num>
                <m:den>
                  <m:r>
                    <w:rPr>
                      <w:rFonts w:ascii="Cambria Math" w:hAnsi="Cambria Math"/>
                      <w:sz w:val="18"/>
                      <w:szCs w:val="18"/>
                    </w:rPr>
                    <m:t>0.77</m:t>
                  </m:r>
                </m:den>
              </m:f>
            </m:e>
          </m:d>
          <m:r>
            <w:rPr>
              <w:rFonts w:ascii="Cambria Math" w:hAnsi="Cambria Math"/>
              <w:sz w:val="18"/>
              <w:szCs w:val="18"/>
            </w:rPr>
            <m:t>÷100,000</m:t>
          </m:r>
          <m:f>
            <m:fPr>
              <m:ctrlPr>
                <w:rPr>
                  <w:rFonts w:ascii="Cambria Math" w:hAnsi="Cambria Math"/>
                  <w:i/>
                  <w:sz w:val="18"/>
                  <w:szCs w:val="18"/>
                </w:rPr>
              </m:ctrlPr>
            </m:fPr>
            <m:num>
              <m:r>
                <w:rPr>
                  <w:rFonts w:ascii="Cambria Math" w:hAnsi="Cambria Math"/>
                  <w:sz w:val="18"/>
                  <w:szCs w:val="18"/>
                </w:rPr>
                <m:t>Btu</m:t>
              </m:r>
            </m:num>
            <m:den>
              <m:r>
                <w:rPr>
                  <w:rFonts w:ascii="Cambria Math" w:hAnsi="Cambria Math"/>
                  <w:sz w:val="18"/>
                  <w:szCs w:val="18"/>
                </w:rPr>
                <m:t>Therm</m:t>
              </m:r>
            </m:den>
          </m:f>
          <m:r>
            <w:rPr>
              <w:rFonts w:ascii="Cambria Math" w:hAnsi="Cambria Math"/>
              <w:sz w:val="18"/>
              <w:szCs w:val="18"/>
            </w:rPr>
            <m:t>=0.00856</m:t>
          </m:r>
          <m:f>
            <m:fPr>
              <m:ctrlPr>
                <w:rPr>
                  <w:rFonts w:ascii="Cambria Math" w:hAnsi="Cambria Math"/>
                  <w:i/>
                  <w:sz w:val="18"/>
                  <w:szCs w:val="18"/>
                </w:rPr>
              </m:ctrlPr>
            </m:fPr>
            <m:num>
              <m:r>
                <w:rPr>
                  <w:rFonts w:ascii="Cambria Math" w:hAnsi="Cambria Math"/>
                  <w:sz w:val="18"/>
                  <w:szCs w:val="18"/>
                </w:rPr>
                <m:t>Therm</m:t>
              </m:r>
            </m:num>
            <m:den>
              <m:r>
                <w:rPr>
                  <w:rFonts w:ascii="Cambria Math" w:hAnsi="Cambria Math"/>
                  <w:sz w:val="18"/>
                  <w:szCs w:val="18"/>
                </w:rPr>
                <m:t>gal</m:t>
              </m:r>
            </m:den>
          </m:f>
          <m:r>
            <w:rPr>
              <w:rFonts w:ascii="Cambria Math" w:hAnsi="Cambria Math"/>
              <w:sz w:val="18"/>
              <w:szCs w:val="18"/>
            </w:rPr>
            <m:t xml:space="preserve"> </m:t>
          </m:r>
        </m:oMath>
      </m:oMathPara>
    </w:p>
    <w:p w14:paraId="59AD5FFA" w14:textId="61098917" w:rsidR="00894AF0" w:rsidRPr="00B86DBF" w:rsidRDefault="00894AF0" w:rsidP="00B8600B">
      <w:pPr>
        <w:keepNext/>
        <w:keepLines/>
        <w:ind w:left="720"/>
        <w:rPr>
          <w:sz w:val="18"/>
          <w:szCs w:val="18"/>
        </w:rPr>
      </w:pPr>
      <m:oMathPara>
        <m:oMathParaPr>
          <m:jc m:val="left"/>
        </m:oMathParaPr>
        <m:oMath>
          <m:r>
            <w:rPr>
              <w:rFonts w:ascii="Cambria Math" w:hAnsi="Cambria Math"/>
              <w:sz w:val="18"/>
              <w:szCs w:val="18"/>
            </w:rPr>
            <m:t>Annual Gas  Water Heater Energy=GPR×RACKS×EDAYS×</m:t>
          </m:r>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Booster</m:t>
              </m:r>
            </m:sub>
          </m:sSub>
          <m:r>
            <w:rPr>
              <w:rFonts w:ascii="Cambria Math" w:hAnsi="Cambria Math"/>
              <w:sz w:val="18"/>
              <w:szCs w:val="18"/>
            </w:rPr>
            <m:t>×MktPen</m:t>
          </m:r>
        </m:oMath>
      </m:oMathPara>
    </w:p>
    <w:p w14:paraId="41F9793E" w14:textId="19175597" w:rsidR="00894AF0" w:rsidRPr="00AA22ED" w:rsidRDefault="00894AF0" w:rsidP="00B8600B">
      <w:pPr>
        <w:ind w:left="1440"/>
        <w:rPr>
          <w:sz w:val="18"/>
          <w:szCs w:val="18"/>
        </w:rPr>
      </w:pPr>
      <m:oMathPara>
        <m:oMathParaPr>
          <m:jc m:val="left"/>
        </m:oMathParaPr>
        <m:oMath>
          <m:r>
            <w:rPr>
              <w:rFonts w:ascii="Cambria Math" w:hAnsi="Cambria Math"/>
              <w:sz w:val="18"/>
              <w:szCs w:val="18"/>
            </w:rPr>
            <m:t>=1.07</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Gal</m:t>
                  </m:r>
                </m:num>
                <m:den>
                  <m:r>
                    <w:rPr>
                      <w:rFonts w:ascii="Cambria Math" w:hAnsi="Cambria Math"/>
                      <w:sz w:val="18"/>
                      <w:szCs w:val="18"/>
                    </w:rPr>
                    <m:t>Rack</m:t>
                  </m:r>
                </m:den>
              </m:f>
            </m:e>
          </m:d>
          <m:r>
            <w:rPr>
              <w:rFonts w:ascii="Cambria Math" w:hAnsi="Cambria Math"/>
              <w:sz w:val="18"/>
              <w:szCs w:val="18"/>
            </w:rPr>
            <m:t>×140.5</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Racks</m:t>
                  </m:r>
                </m:num>
                <m:den>
                  <m:r>
                    <w:rPr>
                      <w:rFonts w:ascii="Cambria Math" w:hAnsi="Cambria Math"/>
                      <w:sz w:val="18"/>
                      <w:szCs w:val="18"/>
                    </w:rPr>
                    <m:t>Day</m:t>
                  </m:r>
                </m:den>
              </m:f>
            </m:e>
          </m:d>
          <m:r>
            <w:rPr>
              <w:rFonts w:ascii="Cambria Math" w:hAnsi="Cambria Math"/>
              <w:sz w:val="18"/>
              <w:szCs w:val="18"/>
            </w:rPr>
            <m:t>×365</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Day</m:t>
                  </m:r>
                </m:num>
                <m:den>
                  <m:r>
                    <w:rPr>
                      <w:rFonts w:ascii="Cambria Math" w:hAnsi="Cambria Math"/>
                      <w:sz w:val="18"/>
                      <w:szCs w:val="18"/>
                    </w:rPr>
                    <m:t>Year</m:t>
                  </m:r>
                </m:den>
              </m:f>
            </m:e>
          </m:d>
          <m:r>
            <w:rPr>
              <w:rFonts w:ascii="Cambria Math" w:hAnsi="Cambria Math"/>
              <w:sz w:val="18"/>
              <w:szCs w:val="18"/>
            </w:rPr>
            <m:t>×0.00856</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Therms</m:t>
                  </m:r>
                </m:num>
                <m:den>
                  <m:r>
                    <w:rPr>
                      <w:rFonts w:ascii="Cambria Math" w:hAnsi="Cambria Math"/>
                      <w:sz w:val="18"/>
                      <w:szCs w:val="18"/>
                    </w:rPr>
                    <m:t>Gal</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97</m:t>
              </m:r>
            </m:num>
            <m:den>
              <m:r>
                <w:rPr>
                  <w:rFonts w:ascii="Cambria Math" w:hAnsi="Cambria Math"/>
                  <w:sz w:val="18"/>
                  <w:szCs w:val="18"/>
                </w:rPr>
                <m:t>100</m:t>
              </m:r>
            </m:den>
          </m:f>
          <m:r>
            <w:rPr>
              <w:rFonts w:ascii="Cambria Math" w:hAnsi="Cambria Math"/>
              <w:sz w:val="18"/>
              <w:szCs w:val="18"/>
            </w:rPr>
            <m:t>=455.4 Therms</m:t>
          </m:r>
        </m:oMath>
      </m:oMathPara>
    </w:p>
    <w:p w14:paraId="1AAD10AC" w14:textId="3B9F98F4" w:rsidR="00894AF0" w:rsidRPr="00412C15" w:rsidRDefault="001055C0" w:rsidP="00412C15">
      <w:pPr>
        <w:pStyle w:val="eTRMHeading5"/>
        <w:rPr>
          <w:sz w:val="24"/>
          <w:szCs w:val="22"/>
        </w:rPr>
      </w:pPr>
      <w:r>
        <w:t>Gas</w:t>
      </w:r>
      <w:r w:rsidR="00412C15">
        <w:t xml:space="preserve"> Booster Water Heater Energy</w:t>
      </w:r>
    </w:p>
    <w:p w14:paraId="4A0CF498" w14:textId="1C46EADA" w:rsidR="00EC3865" w:rsidRPr="00A92C95" w:rsidRDefault="001F3D36" w:rsidP="00EC3865">
      <w:pPr>
        <w:keepNext/>
        <w:keepLines/>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Booster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∆T×C×ρ</m:t>
                  </m:r>
                </m:num>
                <m:den>
                  <m:r>
                    <w:rPr>
                      <w:rFonts w:ascii="Cambria Math" w:hAnsi="Cambria Math"/>
                      <w:sz w:val="18"/>
                      <w:szCs w:val="18"/>
                    </w:rPr>
                    <m:t>η</m:t>
                  </m:r>
                </m:den>
              </m:f>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Therm</m:t>
              </m:r>
            </m:num>
            <m:den>
              <m:r>
                <w:rPr>
                  <w:rFonts w:ascii="Cambria Math" w:hAnsi="Cambria Math"/>
                  <w:sz w:val="18"/>
                  <w:szCs w:val="18"/>
                </w:rPr>
                <m:t>Btu</m:t>
              </m:r>
            </m:den>
          </m:f>
        </m:oMath>
      </m:oMathPara>
    </w:p>
    <w:p w14:paraId="6F10711F" w14:textId="10EF5705" w:rsidR="00EC3865" w:rsidRPr="00A92C95" w:rsidRDefault="001F3D36" w:rsidP="00EC3865">
      <w:pPr>
        <w:keepNext/>
        <w:keepLines/>
        <w:ind w:left="720"/>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Booster</m:t>
              </m:r>
            </m:sub>
          </m:sSub>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d>
                    <m:dPr>
                      <m:ctrlPr>
                        <w:rPr>
                          <w:rFonts w:ascii="Cambria Math" w:hAnsi="Cambria Math"/>
                          <w:i/>
                          <w:sz w:val="18"/>
                          <w:szCs w:val="18"/>
                        </w:rPr>
                      </m:ctrlPr>
                    </m:dPr>
                    <m:e>
                      <m:r>
                        <w:rPr>
                          <w:rFonts w:ascii="Cambria Math" w:hAnsi="Cambria Math"/>
                          <w:sz w:val="18"/>
                          <w:szCs w:val="18"/>
                        </w:rPr>
                        <m:t>40 °F</m:t>
                      </m:r>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1.0Btu</m:t>
                      </m:r>
                    </m:num>
                    <m:den>
                      <m:r>
                        <w:rPr>
                          <w:rFonts w:ascii="Cambria Math" w:hAnsi="Cambria Math"/>
                          <w:sz w:val="18"/>
                          <w:szCs w:val="18"/>
                        </w:rPr>
                        <m:t>Lb×F</m:t>
                      </m:r>
                    </m:den>
                  </m:f>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8.34Lb</m:t>
                      </m:r>
                    </m:num>
                    <m:den>
                      <m:r>
                        <w:rPr>
                          <w:rFonts w:ascii="Cambria Math" w:hAnsi="Cambria Math"/>
                          <w:sz w:val="18"/>
                          <w:szCs w:val="18"/>
                        </w:rPr>
                        <m:t>gal</m:t>
                      </m:r>
                    </m:den>
                  </m:f>
                </m:num>
                <m:den>
                  <m:r>
                    <w:rPr>
                      <w:rFonts w:ascii="Cambria Math" w:hAnsi="Cambria Math"/>
                      <w:sz w:val="18"/>
                      <w:szCs w:val="18"/>
                    </w:rPr>
                    <m:t>0.80</m:t>
                  </m:r>
                </m:den>
              </m:f>
            </m:e>
          </m:d>
          <m:r>
            <w:rPr>
              <w:rFonts w:ascii="Cambria Math" w:hAnsi="Cambria Math"/>
              <w:sz w:val="18"/>
              <w:szCs w:val="18"/>
            </w:rPr>
            <m:t>÷100,000</m:t>
          </m:r>
          <m:f>
            <m:fPr>
              <m:ctrlPr>
                <w:rPr>
                  <w:rFonts w:ascii="Cambria Math" w:hAnsi="Cambria Math"/>
                  <w:i/>
                  <w:sz w:val="18"/>
                  <w:szCs w:val="18"/>
                </w:rPr>
              </m:ctrlPr>
            </m:fPr>
            <m:num>
              <m:r>
                <w:rPr>
                  <w:rFonts w:ascii="Cambria Math" w:hAnsi="Cambria Math"/>
                  <w:sz w:val="18"/>
                  <w:szCs w:val="18"/>
                </w:rPr>
                <m:t>Btu</m:t>
              </m:r>
            </m:num>
            <m:den>
              <m:r>
                <w:rPr>
                  <w:rFonts w:ascii="Cambria Math" w:hAnsi="Cambria Math"/>
                  <w:sz w:val="18"/>
                  <w:szCs w:val="18"/>
                </w:rPr>
                <m:t>Therm</m:t>
              </m:r>
            </m:den>
          </m:f>
          <m:r>
            <w:rPr>
              <w:rFonts w:ascii="Cambria Math" w:hAnsi="Cambria Math"/>
              <w:sz w:val="18"/>
              <w:szCs w:val="18"/>
            </w:rPr>
            <m:t>=0.00417</m:t>
          </m:r>
          <m:f>
            <m:fPr>
              <m:ctrlPr>
                <w:rPr>
                  <w:rFonts w:ascii="Cambria Math" w:hAnsi="Cambria Math"/>
                  <w:i/>
                  <w:sz w:val="18"/>
                  <w:szCs w:val="18"/>
                </w:rPr>
              </m:ctrlPr>
            </m:fPr>
            <m:num>
              <m:r>
                <w:rPr>
                  <w:rFonts w:ascii="Cambria Math" w:hAnsi="Cambria Math"/>
                  <w:sz w:val="18"/>
                  <w:szCs w:val="18"/>
                </w:rPr>
                <m:t>Therm</m:t>
              </m:r>
            </m:num>
            <m:den>
              <m:r>
                <w:rPr>
                  <w:rFonts w:ascii="Cambria Math" w:hAnsi="Cambria Math"/>
                  <w:sz w:val="18"/>
                  <w:szCs w:val="18"/>
                </w:rPr>
                <m:t>gal</m:t>
              </m:r>
            </m:den>
          </m:f>
        </m:oMath>
      </m:oMathPara>
    </w:p>
    <w:p w14:paraId="7C656575" w14:textId="2B8E4F03" w:rsidR="00894AF0" w:rsidRPr="00B86DBF" w:rsidRDefault="00894AF0" w:rsidP="00B8600B">
      <w:pPr>
        <w:ind w:left="720"/>
        <w:rPr>
          <w:sz w:val="18"/>
          <w:szCs w:val="18"/>
        </w:rPr>
      </w:pPr>
      <m:oMathPara>
        <m:oMathParaPr>
          <m:jc m:val="left"/>
        </m:oMathParaPr>
        <m:oMath>
          <m:r>
            <w:rPr>
              <w:rFonts w:ascii="Cambria Math" w:hAnsi="Cambria Math"/>
              <w:sz w:val="18"/>
              <w:szCs w:val="18"/>
            </w:rPr>
            <m:t>Annual Gas  Booster Heater Energy=GPR×RACKS×EDAYS×</m:t>
          </m:r>
          <m:sSub>
            <m:sSubPr>
              <m:ctrlPr>
                <w:rPr>
                  <w:rFonts w:ascii="Cambria Math" w:hAnsi="Cambria Math"/>
                  <w:i/>
                  <w:sz w:val="18"/>
                  <w:szCs w:val="18"/>
                </w:rPr>
              </m:ctrlPr>
            </m:sSubPr>
            <m:e>
              <m:r>
                <w:rPr>
                  <w:rFonts w:ascii="Cambria Math" w:hAnsi="Cambria Math"/>
                  <w:sz w:val="18"/>
                  <w:szCs w:val="18"/>
                </w:rPr>
                <m:t>UECGAL</m:t>
              </m:r>
            </m:e>
            <m:sub>
              <m:r>
                <w:rPr>
                  <w:rFonts w:ascii="Cambria Math" w:hAnsi="Cambria Math"/>
                  <w:sz w:val="18"/>
                  <w:szCs w:val="18"/>
                </w:rPr>
                <m:t>Booster</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MktPen</m:t>
              </m:r>
            </m:e>
            <m:sub>
              <m:r>
                <w:rPr>
                  <w:rFonts w:ascii="Cambria Math" w:hAnsi="Cambria Math"/>
                  <w:sz w:val="18"/>
                  <w:szCs w:val="18"/>
                </w:rPr>
                <m:t>booster,gas</m:t>
              </m:r>
            </m:sub>
          </m:sSub>
        </m:oMath>
      </m:oMathPara>
    </w:p>
    <w:p w14:paraId="5C720AF8" w14:textId="5549BE1D" w:rsidR="00894AF0" w:rsidRPr="00AA22ED" w:rsidRDefault="00894AF0" w:rsidP="00B8600B">
      <w:pPr>
        <w:ind w:left="1440"/>
        <w:rPr>
          <w:sz w:val="18"/>
          <w:szCs w:val="18"/>
        </w:rPr>
      </w:pPr>
      <m:oMathPara>
        <m:oMathParaPr>
          <m:jc m:val="left"/>
        </m:oMathParaPr>
        <m:oMath>
          <m:r>
            <w:rPr>
              <w:rFonts w:ascii="Cambria Math" w:hAnsi="Cambria Math"/>
              <w:sz w:val="18"/>
              <w:szCs w:val="18"/>
            </w:rPr>
            <m:t xml:space="preserve">=1.06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Gal</m:t>
                  </m:r>
                </m:num>
                <m:den>
                  <m:r>
                    <w:rPr>
                      <w:rFonts w:ascii="Cambria Math" w:hAnsi="Cambria Math"/>
                      <w:sz w:val="18"/>
                      <w:szCs w:val="18"/>
                    </w:rPr>
                    <m:t>Rack</m:t>
                  </m:r>
                </m:den>
              </m:f>
            </m:e>
          </m:d>
          <m:r>
            <w:rPr>
              <w:rFonts w:ascii="Cambria Math" w:hAnsi="Cambria Math"/>
              <w:sz w:val="18"/>
              <w:szCs w:val="18"/>
            </w:rPr>
            <m:t>×140.5</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Racks</m:t>
                  </m:r>
                </m:num>
                <m:den>
                  <m:r>
                    <w:rPr>
                      <w:rFonts w:ascii="Cambria Math" w:hAnsi="Cambria Math"/>
                      <w:sz w:val="18"/>
                      <w:szCs w:val="18"/>
                    </w:rPr>
                    <m:t>Day</m:t>
                  </m:r>
                </m:den>
              </m:f>
            </m:e>
          </m:d>
          <m:r>
            <w:rPr>
              <w:rFonts w:ascii="Cambria Math" w:hAnsi="Cambria Math"/>
              <w:sz w:val="18"/>
              <w:szCs w:val="18"/>
            </w:rPr>
            <m:t>×365</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Day</m:t>
                  </m:r>
                </m:num>
                <m:den>
                  <m:r>
                    <w:rPr>
                      <w:rFonts w:ascii="Cambria Math" w:hAnsi="Cambria Math"/>
                      <w:sz w:val="18"/>
                      <w:szCs w:val="18"/>
                    </w:rPr>
                    <m:t>Year</m:t>
                  </m:r>
                </m:den>
              </m:f>
            </m:e>
          </m:d>
          <m:r>
            <w:rPr>
              <w:rFonts w:ascii="Cambria Math" w:hAnsi="Cambria Math"/>
              <w:sz w:val="18"/>
              <w:szCs w:val="18"/>
            </w:rPr>
            <m:t xml:space="preserve">×0.00417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Therms</m:t>
                  </m:r>
                </m:num>
                <m:den>
                  <m:r>
                    <w:rPr>
                      <w:rFonts w:ascii="Cambria Math" w:hAnsi="Cambria Math"/>
                      <w:sz w:val="18"/>
                      <w:szCs w:val="18"/>
                    </w:rPr>
                    <m:t>Gal</m:t>
                  </m:r>
                </m:den>
              </m:f>
            </m:e>
          </m:d>
          <m:r>
            <w:rPr>
              <w:rFonts w:ascii="Cambria Math" w:hAnsi="Cambria Math"/>
              <w:sz w:val="18"/>
              <w:szCs w:val="18"/>
            </w:rPr>
            <m:t>×0.05=11.4 Therms</m:t>
          </m:r>
        </m:oMath>
      </m:oMathPara>
    </w:p>
    <w:p w14:paraId="1E1BB7B1" w14:textId="24E3EC02" w:rsidR="00894AF0" w:rsidRPr="00B86DBF" w:rsidRDefault="00711DF1" w:rsidP="00894AF0">
      <w:pPr>
        <w:rPr>
          <w:sz w:val="18"/>
          <w:szCs w:val="18"/>
        </w:rPr>
      </w:pPr>
      <w:r w:rsidRPr="00E415B4">
        <w:rPr>
          <w:i/>
          <w:color w:val="5F5F5F"/>
        </w:rPr>
        <w:t>Annual Idle Energy</w:t>
      </w:r>
    </w:p>
    <w:p w14:paraId="2862D4D9" w14:textId="07A9BBF9" w:rsidR="00894AF0" w:rsidRPr="00B86DBF" w:rsidRDefault="00894AF0" w:rsidP="00B8600B">
      <w:pPr>
        <w:ind w:left="720"/>
        <w:rPr>
          <w:sz w:val="18"/>
          <w:szCs w:val="18"/>
        </w:rPr>
      </w:pPr>
      <m:oMathPara>
        <m:oMathParaPr>
          <m:jc m:val="left"/>
        </m:oMathParaPr>
        <m:oMath>
          <m:r>
            <w:rPr>
              <w:rFonts w:ascii="Cambria Math" w:hAnsi="Cambria Math"/>
              <w:sz w:val="18"/>
              <w:szCs w:val="18"/>
            </w:rPr>
            <m:t>Annual Idle Energy=EDAYS ×</m:t>
          </m:r>
          <m:d>
            <m:dPr>
              <m:ctrlPr>
                <w:rPr>
                  <w:rFonts w:ascii="Cambria Math" w:hAnsi="Cambria Math"/>
                  <w:i/>
                  <w:sz w:val="18"/>
                  <w:szCs w:val="18"/>
                </w:rPr>
              </m:ctrlPr>
            </m:dPr>
            <m:e>
              <m:r>
                <w:rPr>
                  <w:rFonts w:ascii="Cambria Math" w:hAnsi="Cambria Math"/>
                  <w:sz w:val="18"/>
                  <w:szCs w:val="18"/>
                </w:rPr>
                <m:t>EHOURS -RACKS×</m:t>
              </m:r>
              <m:f>
                <m:fPr>
                  <m:ctrlPr>
                    <w:rPr>
                      <w:rFonts w:ascii="Cambria Math" w:hAnsi="Cambria Math"/>
                      <w:i/>
                      <w:sz w:val="18"/>
                      <w:szCs w:val="18"/>
                    </w:rPr>
                  </m:ctrlPr>
                </m:fPr>
                <m:num>
                  <m:r>
                    <w:rPr>
                      <w:rFonts w:ascii="Cambria Math" w:hAnsi="Cambria Math"/>
                      <w:sz w:val="18"/>
                      <w:szCs w:val="18"/>
                    </w:rPr>
                    <m:t>TWASH</m:t>
                  </m:r>
                </m:num>
                <m:den>
                  <m:r>
                    <w:rPr>
                      <w:rFonts w:ascii="Cambria Math" w:hAnsi="Cambria Math"/>
                      <w:sz w:val="18"/>
                      <w:szCs w:val="18"/>
                    </w:rPr>
                    <m:t>MIN</m:t>
                  </m:r>
                </m:den>
              </m:f>
            </m:e>
          </m:d>
          <m:r>
            <w:rPr>
              <w:rFonts w:ascii="Cambria Math" w:hAnsi="Cambria Math"/>
              <w:sz w:val="18"/>
              <w:szCs w:val="18"/>
            </w:rPr>
            <m:t>× IDLERATE</m:t>
          </m:r>
        </m:oMath>
      </m:oMathPara>
    </w:p>
    <w:p w14:paraId="0BFD7154" w14:textId="20AAECA3" w:rsidR="00894AF0" w:rsidRPr="002467A7" w:rsidRDefault="00894AF0" w:rsidP="00894AF0">
      <w:pPr>
        <w:ind w:left="1620"/>
        <w:rPr>
          <w:sz w:val="18"/>
          <w:szCs w:val="18"/>
        </w:rPr>
      </w:pPr>
      <m:oMathPara>
        <m:oMathParaPr>
          <m:jc m:val="left"/>
        </m:oMathParaPr>
        <m:oMath>
          <m:r>
            <w:rPr>
              <w:rFonts w:ascii="Cambria Math" w:hAnsi="Cambria Math"/>
              <w:sz w:val="18"/>
              <w:szCs w:val="18"/>
            </w:rPr>
            <w:lastRenderedPageBreak/>
            <m:t>=365×</m:t>
          </m:r>
          <m:d>
            <m:dPr>
              <m:ctrlPr>
                <w:rPr>
                  <w:rFonts w:ascii="Cambria Math" w:hAnsi="Cambria Math"/>
                  <w:i/>
                  <w:sz w:val="18"/>
                  <w:szCs w:val="18"/>
                </w:rPr>
              </m:ctrlPr>
            </m:dPr>
            <m:e>
              <m:r>
                <w:rPr>
                  <w:rFonts w:ascii="Cambria Math" w:hAnsi="Cambria Math"/>
                  <w:sz w:val="18"/>
                  <w:szCs w:val="18"/>
                </w:rPr>
                <m:t xml:space="preserve">12 </m:t>
              </m:r>
              <m:r>
                <w:rPr>
                  <w:rFonts w:ascii="Cambria Math" w:hAnsi="Cambria Math"/>
                  <w:sz w:val="18"/>
                  <w:szCs w:val="18"/>
                </w:rPr>
                <m:t>hours-</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140.5 Racks</m:t>
                      </m:r>
                    </m:num>
                    <m:den>
                      <m:r>
                        <w:rPr>
                          <w:rFonts w:ascii="Cambria Math" w:hAnsi="Cambria Math"/>
                          <w:sz w:val="18"/>
                          <w:szCs w:val="18"/>
                        </w:rPr>
                        <m:t>day</m:t>
                      </m:r>
                    </m:den>
                  </m:f>
                </m:e>
              </m:d>
              <m:r>
                <w:rPr>
                  <w:rFonts w:ascii="Cambria Math" w:hAnsi="Cambria Math"/>
                  <w:sz w:val="18"/>
                  <w:szCs w:val="18"/>
                </w:rPr>
                <m:t>x</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1 min</m:t>
                      </m:r>
                    </m:num>
                    <m:den>
                      <m:r>
                        <w:rPr>
                          <w:rFonts w:ascii="Cambria Math" w:hAnsi="Cambria Math"/>
                          <w:sz w:val="18"/>
                          <w:szCs w:val="18"/>
                        </w:rPr>
                        <m:t>rack</m:t>
                      </m:r>
                    </m:den>
                  </m:f>
                </m:e>
              </m:d>
              <m:r>
                <w:rPr>
                  <w:rFonts w:ascii="Cambria Math" w:hAnsi="Cambria Math"/>
                  <w:sz w:val="18"/>
                  <w:szCs w:val="18"/>
                </w:rPr>
                <m:t>x</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 xml:space="preserve">1 </m:t>
                      </m:r>
                      <m:r>
                        <w:rPr>
                          <w:rFonts w:ascii="Cambria Math" w:hAnsi="Cambria Math"/>
                          <w:sz w:val="18"/>
                          <w:szCs w:val="18"/>
                        </w:rPr>
                        <m:t>hour</m:t>
                      </m:r>
                    </m:num>
                    <m:den>
                      <m:r>
                        <w:rPr>
                          <w:rFonts w:ascii="Cambria Math" w:hAnsi="Cambria Math"/>
                          <w:sz w:val="18"/>
                          <w:szCs w:val="18"/>
                        </w:rPr>
                        <m:t>60 min</m:t>
                      </m:r>
                    </m:den>
                  </m:f>
                </m:e>
              </m:d>
            </m:e>
          </m:d>
          <m:r>
            <w:rPr>
              <w:rFonts w:ascii="Cambria Math" w:hAnsi="Cambria Math"/>
              <w:sz w:val="18"/>
              <w:szCs w:val="18"/>
            </w:rPr>
            <m:t>×0</m:t>
          </m:r>
          <m:f>
            <m:fPr>
              <m:ctrlPr>
                <w:rPr>
                  <w:rFonts w:ascii="Cambria Math" w:hAnsi="Cambria Math"/>
                  <w:i/>
                  <w:sz w:val="18"/>
                  <w:szCs w:val="18"/>
                </w:rPr>
              </m:ctrlPr>
            </m:fPr>
            <m:num>
              <m:r>
                <w:rPr>
                  <w:rFonts w:ascii="Cambria Math" w:hAnsi="Cambria Math"/>
                  <w:sz w:val="18"/>
                  <w:szCs w:val="18"/>
                </w:rPr>
                <m:t>Btu</m:t>
              </m:r>
            </m:num>
            <m:den>
              <m:r>
                <w:rPr>
                  <w:rFonts w:ascii="Cambria Math" w:hAnsi="Cambria Math"/>
                  <w:sz w:val="18"/>
                  <w:szCs w:val="18"/>
                </w:rPr>
                <m:t>hr</m:t>
              </m:r>
            </m:den>
          </m:f>
          <m:r>
            <w:rPr>
              <w:rFonts w:ascii="Cambria Math" w:hAnsi="Cambria Math"/>
              <w:sz w:val="18"/>
              <w:szCs w:val="18"/>
            </w:rPr>
            <m:t>÷100,000</m:t>
          </m:r>
          <m:f>
            <m:fPr>
              <m:ctrlPr>
                <w:rPr>
                  <w:rFonts w:ascii="Cambria Math" w:hAnsi="Cambria Math"/>
                  <w:i/>
                  <w:sz w:val="18"/>
                  <w:szCs w:val="18"/>
                </w:rPr>
              </m:ctrlPr>
            </m:fPr>
            <m:num>
              <m:r>
                <w:rPr>
                  <w:rFonts w:ascii="Cambria Math" w:hAnsi="Cambria Math"/>
                  <w:sz w:val="18"/>
                  <w:szCs w:val="18"/>
                </w:rPr>
                <m:t>Btu</m:t>
              </m:r>
            </m:num>
            <m:den>
              <m:r>
                <w:rPr>
                  <w:rFonts w:ascii="Cambria Math" w:hAnsi="Cambria Math"/>
                  <w:sz w:val="18"/>
                  <w:szCs w:val="18"/>
                </w:rPr>
                <m:t>Therm</m:t>
              </m:r>
            </m:den>
          </m:f>
          <m:r>
            <w:rPr>
              <w:rFonts w:ascii="Cambria Math" w:hAnsi="Cambria Math"/>
              <w:sz w:val="18"/>
              <w:szCs w:val="18"/>
            </w:rPr>
            <m:t>= 0 Therm</m:t>
          </m:r>
        </m:oMath>
      </m:oMathPara>
    </w:p>
    <w:p w14:paraId="6847C51C" w14:textId="77777777" w:rsidR="00D44D22" w:rsidRPr="00E415B4" w:rsidRDefault="00D44D22" w:rsidP="00D44D22">
      <w:pPr>
        <w:rPr>
          <w:sz w:val="18"/>
          <w:szCs w:val="18"/>
        </w:rPr>
      </w:pPr>
      <w:r w:rsidRPr="00E415B4">
        <w:rPr>
          <w:i/>
          <w:color w:val="5F5F5F"/>
        </w:rPr>
        <w:t xml:space="preserve">Annual </w:t>
      </w:r>
      <w:r>
        <w:rPr>
          <w:i/>
          <w:color w:val="5F5F5F"/>
        </w:rPr>
        <w:t>Unit Energy Consumption</w:t>
      </w:r>
    </w:p>
    <w:p w14:paraId="1738E49E" w14:textId="6E7E882D" w:rsidR="00032338" w:rsidRPr="00032338" w:rsidRDefault="00032338" w:rsidP="00032338">
      <w:pPr>
        <w:ind w:left="720"/>
        <w:rPr>
          <w:sz w:val="18"/>
          <w:szCs w:val="18"/>
        </w:rPr>
      </w:pPr>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YEAR</m:t>
              </m:r>
            </m:sub>
          </m:sSub>
          <m:r>
            <w:rPr>
              <w:rFonts w:ascii="Cambria Math" w:hAnsi="Cambria Math"/>
              <w:sz w:val="18"/>
              <w:szCs w:val="18"/>
            </w:rPr>
            <m:t>=Gas Water Heater Energy+GasBooster Water Heater Energy+Idle Energy</m:t>
          </m:r>
        </m:oMath>
      </m:oMathPara>
    </w:p>
    <w:p w14:paraId="7F8E2BA5" w14:textId="4DF9E37D" w:rsidR="00032338" w:rsidRPr="00EE64C2" w:rsidRDefault="00032338" w:rsidP="00032338">
      <w:pPr>
        <w:ind w:left="720"/>
        <w:rPr>
          <w:sz w:val="18"/>
          <w:szCs w:val="18"/>
        </w:rPr>
      </w:pPr>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YEAR</m:t>
              </m:r>
            </m:sub>
          </m:sSub>
          <m:r>
            <w:rPr>
              <w:rFonts w:ascii="Cambria Math" w:hAnsi="Cambria Math"/>
              <w:sz w:val="18"/>
              <w:szCs w:val="18"/>
            </w:rPr>
            <m:t>=455.4 Therms+11.4 Therms+0 Therms=466.9 Therms</m:t>
          </m:r>
        </m:oMath>
      </m:oMathPara>
    </w:p>
    <w:p w14:paraId="2BAAB278" w14:textId="2D06C67D" w:rsidR="007D230B" w:rsidRDefault="007D230B" w:rsidP="004B06E3"/>
    <w:p w14:paraId="4E8D78C4" w14:textId="3996C2AA" w:rsidR="007D230B" w:rsidRPr="004B06E3" w:rsidRDefault="00245AFF" w:rsidP="001369D7">
      <w:pPr>
        <w:pStyle w:val="eTRMHeading3"/>
      </w:pPr>
      <w:bookmarkStart w:id="57" w:name="_Toc528680030"/>
      <w:bookmarkStart w:id="58" w:name="_Toc486490859"/>
      <w:bookmarkStart w:id="59" w:name="_Toc486580930"/>
      <w:r w:rsidRPr="004B06E3">
        <w:t>Life Cycle</w:t>
      </w:r>
      <w:bookmarkEnd w:id="57"/>
      <w:r w:rsidR="007D230B" w:rsidRPr="004B06E3">
        <w:t xml:space="preserve"> </w:t>
      </w:r>
      <w:bookmarkEnd w:id="58"/>
      <w:bookmarkEnd w:id="59"/>
    </w:p>
    <w:p w14:paraId="09E83243" w14:textId="77777777" w:rsidR="00B646BA" w:rsidRDefault="00C541C9" w:rsidP="00694410">
      <w:r w:rsidRPr="000F211A">
        <w:t xml:space="preserve">Effective Useful Life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w:t>
      </w:r>
      <w:r w:rsidR="00B5692D" w:rsidRPr="000F211A">
        <w:t xml:space="preserve">Remaining Useful Life (RUL) </w:t>
      </w:r>
      <w:r w:rsidR="00B5692D">
        <w:t>is</w:t>
      </w:r>
      <w:r w:rsidR="00B5692D" w:rsidRPr="000F211A">
        <w:t xml:space="preserve"> an estimate of the median number of years </w:t>
      </w:r>
      <w:r w:rsidR="00B5692D">
        <w:t xml:space="preserve">that </w:t>
      </w:r>
      <w:r w:rsidR="00B5692D" w:rsidRPr="000F211A">
        <w:t xml:space="preserve">a technology or piece of equipment replaced or altered by an energy efficiency program would </w:t>
      </w:r>
      <w:r w:rsidR="00B5692D">
        <w:t xml:space="preserve">have </w:t>
      </w:r>
      <w:r w:rsidR="00B5692D" w:rsidRPr="000F211A">
        <w:t>remain</w:t>
      </w:r>
      <w:r w:rsidR="00B5692D">
        <w:t>ed</w:t>
      </w:r>
      <w:r w:rsidR="00B5692D" w:rsidRPr="000F211A">
        <w:t xml:space="preserve"> in service and operational had the program intervention not cause</w:t>
      </w:r>
      <w:r w:rsidR="00B5692D">
        <w:t>d</w:t>
      </w:r>
      <w:r w:rsidR="00B5692D" w:rsidRPr="000F211A">
        <w:t xml:space="preserve"> the replacement or alteration.</w:t>
      </w:r>
      <w:r w:rsidR="00B5692D">
        <w:t xml:space="preserve"> </w:t>
      </w:r>
    </w:p>
    <w:p w14:paraId="77A8D69E" w14:textId="2B98E3F2" w:rsidR="00B5692D" w:rsidRDefault="00B646BA" w:rsidP="00694410">
      <w:r>
        <w:t>As shown below, the EUL specified for both low- and high-temperature dishwasher models is equal to</w:t>
      </w:r>
      <w:r w:rsidRPr="00694410">
        <w:t xml:space="preserve"> the ENERGY STAR typical product </w:t>
      </w:r>
      <w:r>
        <w:t>EUL</w:t>
      </w:r>
      <w:r w:rsidRPr="00694410">
        <w:t xml:space="preserve"> for door-type units</w:t>
      </w:r>
      <w:r>
        <w:t xml:space="preserve">. </w:t>
      </w:r>
      <w:bookmarkStart w:id="60" w:name="_Hlk526864122"/>
      <w:r>
        <w:t>Note that RUL is only applicable for add-on and accelerated replacement measures and not applicable for this measure.</w:t>
      </w:r>
      <w:bookmarkEnd w:id="60"/>
      <w:r>
        <w:t xml:space="preserve">  </w:t>
      </w:r>
    </w:p>
    <w:p w14:paraId="65CB360D" w14:textId="687F5242" w:rsidR="00694410" w:rsidRPr="00920905" w:rsidRDefault="008F59F2" w:rsidP="00694410">
      <w:pPr>
        <w:pStyle w:val="Caption"/>
      </w:pPr>
      <w:r>
        <w:t>Effective Useful Life</w:t>
      </w:r>
      <w:r w:rsidR="00393ECE">
        <w:t xml:space="preserve"> and Remaining Useful Life</w:t>
      </w:r>
    </w:p>
    <w:tbl>
      <w:tblPr>
        <w:tblW w:w="954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620"/>
        <w:gridCol w:w="1440"/>
        <w:gridCol w:w="6480"/>
      </w:tblGrid>
      <w:tr w:rsidR="00B646BA" w:rsidRPr="00052C24" w14:paraId="47D105B4" w14:textId="77777777" w:rsidTr="00B646BA">
        <w:tc>
          <w:tcPr>
            <w:tcW w:w="1620" w:type="dxa"/>
            <w:shd w:val="clear" w:color="auto" w:fill="F2F2F2" w:themeFill="background1" w:themeFillShade="F2"/>
            <w:vAlign w:val="bottom"/>
          </w:tcPr>
          <w:p w14:paraId="5ABC084E" w14:textId="77777777" w:rsidR="00B646BA" w:rsidRPr="00052C24" w:rsidRDefault="00B646BA" w:rsidP="00923B0F">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7A9786A1" w14:textId="4AA6C62D" w:rsidR="00B646BA" w:rsidRPr="00052C24" w:rsidRDefault="00B646BA" w:rsidP="00923B0F">
            <w:pPr>
              <w:keepNext/>
              <w:keepLines/>
              <w:spacing w:before="0" w:after="0" w:line="200" w:lineRule="atLeast"/>
              <w:jc w:val="center"/>
              <w:rPr>
                <w:b/>
                <w:sz w:val="20"/>
              </w:rPr>
            </w:pPr>
            <w:r>
              <w:rPr>
                <w:b/>
                <w:sz w:val="20"/>
              </w:rPr>
              <w:t>Value</w:t>
            </w:r>
          </w:p>
        </w:tc>
        <w:tc>
          <w:tcPr>
            <w:tcW w:w="6480" w:type="dxa"/>
            <w:shd w:val="clear" w:color="auto" w:fill="F2F2F2" w:themeFill="background1" w:themeFillShade="F2"/>
            <w:vAlign w:val="bottom"/>
          </w:tcPr>
          <w:p w14:paraId="0FB2576F" w14:textId="77777777" w:rsidR="00B646BA" w:rsidRDefault="00B646BA" w:rsidP="00923B0F">
            <w:pPr>
              <w:keepNext/>
              <w:keepLines/>
              <w:spacing w:before="0" w:after="0" w:line="200" w:lineRule="atLeast"/>
              <w:jc w:val="center"/>
              <w:rPr>
                <w:b/>
                <w:sz w:val="20"/>
              </w:rPr>
            </w:pPr>
            <w:r>
              <w:rPr>
                <w:b/>
                <w:sz w:val="20"/>
              </w:rPr>
              <w:t>Source</w:t>
            </w:r>
          </w:p>
        </w:tc>
      </w:tr>
      <w:tr w:rsidR="00B646BA" w:rsidRPr="00052C24" w14:paraId="6A6A59AF" w14:textId="77777777" w:rsidTr="00B646BA">
        <w:trPr>
          <w:trHeight w:val="260"/>
        </w:trPr>
        <w:tc>
          <w:tcPr>
            <w:tcW w:w="1620" w:type="dxa"/>
            <w:vAlign w:val="center"/>
          </w:tcPr>
          <w:p w14:paraId="38D4B610" w14:textId="77777777" w:rsidR="00B646BA" w:rsidRPr="00C45400" w:rsidRDefault="00B646BA" w:rsidP="00923B0F">
            <w:pPr>
              <w:keepNext/>
              <w:keepLines/>
              <w:spacing w:before="0" w:after="0" w:line="200" w:lineRule="atLeast"/>
              <w:rPr>
                <w:sz w:val="20"/>
              </w:rPr>
            </w:pPr>
            <w:r w:rsidRPr="00C45400">
              <w:rPr>
                <w:sz w:val="20"/>
              </w:rPr>
              <w:t>EUL (yrs)</w:t>
            </w:r>
          </w:p>
        </w:tc>
        <w:tc>
          <w:tcPr>
            <w:tcW w:w="1440" w:type="dxa"/>
            <w:shd w:val="clear" w:color="auto" w:fill="auto"/>
            <w:vAlign w:val="center"/>
          </w:tcPr>
          <w:p w14:paraId="53595E53" w14:textId="117783AA" w:rsidR="00B646BA" w:rsidRPr="00386B41" w:rsidRDefault="00B646BA" w:rsidP="00923B0F">
            <w:pPr>
              <w:keepNext/>
              <w:keepLines/>
              <w:spacing w:before="0" w:after="0" w:line="200" w:lineRule="atLeast"/>
              <w:jc w:val="center"/>
              <w:rPr>
                <w:sz w:val="20"/>
              </w:rPr>
            </w:pPr>
            <w:r w:rsidRPr="00386B41">
              <w:rPr>
                <w:sz w:val="20"/>
              </w:rPr>
              <w:t>15</w:t>
            </w:r>
          </w:p>
        </w:tc>
        <w:tc>
          <w:tcPr>
            <w:tcW w:w="6480" w:type="dxa"/>
            <w:vAlign w:val="center"/>
          </w:tcPr>
          <w:p w14:paraId="44361903" w14:textId="3669E6CC" w:rsidR="00B646BA" w:rsidRPr="007E64F3" w:rsidRDefault="00414064" w:rsidP="002119F6">
            <w:pPr>
              <w:spacing w:before="20" w:after="20"/>
              <w:rPr>
                <w:rFonts w:eastAsia="Times New Roman" w:cs="Times New Roman"/>
                <w:color w:val="000000"/>
                <w:sz w:val="18"/>
                <w:szCs w:val="18"/>
                <w:highlight w:val="yellow"/>
              </w:rPr>
            </w:pPr>
            <w:r w:rsidRPr="00414064">
              <w:rPr>
                <w:rStyle w:val="eTRMFootnoteTextChar"/>
                <w:szCs w:val="18"/>
              </w:rPr>
              <w:t>ENERGY STAR. 2013. "Savings Calculator for ENERGY STAR Certified Commercial Equipment." "commercial_kitchen_equipment_calculator.xls." Last updated February 2013. See “Assumptions” tab.</w:t>
            </w:r>
          </w:p>
        </w:tc>
      </w:tr>
      <w:tr w:rsidR="00B646BA" w:rsidRPr="00052C24" w14:paraId="6396A6B5" w14:textId="77777777" w:rsidTr="00B646BA">
        <w:tc>
          <w:tcPr>
            <w:tcW w:w="1620" w:type="dxa"/>
            <w:vAlign w:val="center"/>
          </w:tcPr>
          <w:p w14:paraId="0CFF875D" w14:textId="77777777" w:rsidR="00B646BA" w:rsidRPr="00C45400" w:rsidRDefault="00B646BA" w:rsidP="00923B0F">
            <w:pPr>
              <w:keepNext/>
              <w:keepLines/>
              <w:spacing w:before="0" w:after="0" w:line="200" w:lineRule="atLeast"/>
              <w:rPr>
                <w:sz w:val="20"/>
              </w:rPr>
            </w:pPr>
            <w:r w:rsidRPr="00C45400">
              <w:rPr>
                <w:sz w:val="20"/>
              </w:rPr>
              <w:t>RUL (yrs)</w:t>
            </w:r>
          </w:p>
        </w:tc>
        <w:tc>
          <w:tcPr>
            <w:tcW w:w="1440" w:type="dxa"/>
            <w:shd w:val="clear" w:color="auto" w:fill="auto"/>
            <w:vAlign w:val="center"/>
          </w:tcPr>
          <w:p w14:paraId="41F8A6C5" w14:textId="0E4C2361" w:rsidR="00B646BA" w:rsidRPr="00386B41" w:rsidRDefault="00B646BA" w:rsidP="00923B0F">
            <w:pPr>
              <w:keepNext/>
              <w:keepLines/>
              <w:spacing w:before="0" w:after="0" w:line="200" w:lineRule="atLeast"/>
              <w:jc w:val="center"/>
              <w:rPr>
                <w:sz w:val="20"/>
              </w:rPr>
            </w:pPr>
            <w:r w:rsidRPr="00386B41">
              <w:rPr>
                <w:sz w:val="20"/>
              </w:rPr>
              <w:t>n/a</w:t>
            </w:r>
          </w:p>
        </w:tc>
        <w:tc>
          <w:tcPr>
            <w:tcW w:w="6480" w:type="dxa"/>
            <w:vAlign w:val="center"/>
          </w:tcPr>
          <w:p w14:paraId="7A387969" w14:textId="0C821A6C" w:rsidR="00B646BA" w:rsidRPr="00EB04AC" w:rsidRDefault="00B646BA" w:rsidP="00923B0F">
            <w:pPr>
              <w:keepNext/>
              <w:keepLines/>
              <w:spacing w:before="0" w:after="0" w:line="240" w:lineRule="auto"/>
              <w:rPr>
                <w:rFonts w:eastAsia="Times New Roman" w:cs="Times New Roman"/>
                <w:color w:val="000000"/>
                <w:sz w:val="18"/>
                <w:szCs w:val="18"/>
              </w:rPr>
            </w:pPr>
            <w:r>
              <w:rPr>
                <w:rFonts w:eastAsia="Times New Roman" w:cs="Times New Roman"/>
                <w:color w:val="000000"/>
                <w:sz w:val="18"/>
                <w:szCs w:val="18"/>
              </w:rPr>
              <w:t>n/a</w:t>
            </w:r>
          </w:p>
        </w:tc>
      </w:tr>
    </w:tbl>
    <w:p w14:paraId="25864772" w14:textId="77777777" w:rsidR="00B5692D" w:rsidRPr="004B06E3" w:rsidRDefault="00B5692D" w:rsidP="00B5692D"/>
    <w:p w14:paraId="65564838" w14:textId="77777777" w:rsidR="007D230B" w:rsidRPr="004B06E3" w:rsidRDefault="007D230B" w:rsidP="001369D7">
      <w:pPr>
        <w:pStyle w:val="eTRMHeading3"/>
      </w:pPr>
      <w:bookmarkStart w:id="61" w:name="_Toc486490860"/>
      <w:bookmarkStart w:id="62" w:name="_Toc486580931"/>
      <w:bookmarkStart w:id="63" w:name="_Toc528680031"/>
      <w:r w:rsidRPr="004B06E3">
        <w:t>Base Case Material Cost ($/unit)</w:t>
      </w:r>
      <w:bookmarkEnd w:id="61"/>
      <w:bookmarkEnd w:id="62"/>
      <w:bookmarkEnd w:id="63"/>
    </w:p>
    <w:p w14:paraId="23D0661B" w14:textId="77777777" w:rsidR="001A2090" w:rsidRDefault="001A2090" w:rsidP="001A2090">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3A1D765E" w14:textId="02239412" w:rsidR="0004699F" w:rsidRPr="00641FB2" w:rsidRDefault="001A2090" w:rsidP="00694410">
      <w:pPr>
        <w:rPr>
          <w:rFonts w:cs="Arial"/>
        </w:rPr>
      </w:pPr>
      <w:r>
        <w:rPr>
          <w:szCs w:val="22"/>
        </w:rPr>
        <w:t xml:space="preserve">For </w:t>
      </w:r>
      <w:r w:rsidRPr="00C94922">
        <w:rPr>
          <w:i/>
          <w:szCs w:val="22"/>
        </w:rPr>
        <w:t>all other delivery types</w:t>
      </w:r>
      <w:r>
        <w:rPr>
          <w:szCs w:val="22"/>
        </w:rPr>
        <w:t>, the b</w:t>
      </w:r>
      <w:r w:rsidRPr="00AA5B3F">
        <w:rPr>
          <w:szCs w:val="22"/>
        </w:rPr>
        <w:t xml:space="preserve">ase case </w:t>
      </w:r>
      <w:r>
        <w:rPr>
          <w:szCs w:val="22"/>
        </w:rPr>
        <w:t>material cost was</w:t>
      </w:r>
      <w:r w:rsidRPr="00AA5B3F">
        <w:rPr>
          <w:szCs w:val="22"/>
        </w:rPr>
        <w:t xml:space="preserve"> </w:t>
      </w:r>
      <w:r>
        <w:rPr>
          <w:szCs w:val="22"/>
        </w:rPr>
        <w:t>calculated</w:t>
      </w:r>
      <w:r w:rsidRPr="00AA5B3F">
        <w:rPr>
          <w:szCs w:val="22"/>
        </w:rPr>
        <w:t xml:space="preserve"> </w:t>
      </w:r>
      <w:r w:rsidR="002D075D" w:rsidRPr="00641FB2">
        <w:rPr>
          <w:rFonts w:eastAsia="Times New Roman"/>
        </w:rPr>
        <w:t xml:space="preserve">as the average </w:t>
      </w:r>
      <w:r>
        <w:rPr>
          <w:rFonts w:eastAsia="Times New Roman"/>
        </w:rPr>
        <w:t xml:space="preserve">unit </w:t>
      </w:r>
      <w:r w:rsidR="00641FB2" w:rsidRPr="00641FB2">
        <w:rPr>
          <w:rFonts w:eastAsia="Times New Roman"/>
        </w:rPr>
        <w:t>cost</w:t>
      </w:r>
      <w:r w:rsidR="002D075D" w:rsidRPr="00641FB2">
        <w:rPr>
          <w:rFonts w:eastAsia="Times New Roman"/>
        </w:rPr>
        <w:t xml:space="preserve"> </w:t>
      </w:r>
      <w:r>
        <w:rPr>
          <w:rFonts w:eastAsia="Times New Roman"/>
        </w:rPr>
        <w:t xml:space="preserve">of </w:t>
      </w:r>
      <w:r w:rsidR="002D075D" w:rsidRPr="00641FB2">
        <w:rPr>
          <w:rFonts w:eastAsia="Times New Roman"/>
        </w:rPr>
        <w:t xml:space="preserve">base case </w:t>
      </w:r>
      <w:r w:rsidR="00641FB2" w:rsidRPr="00641FB2">
        <w:rPr>
          <w:rFonts w:eastAsia="Times New Roman"/>
        </w:rPr>
        <w:t xml:space="preserve">low-temperature and high-temperature </w:t>
      </w:r>
      <w:r w:rsidR="002D075D" w:rsidRPr="00641FB2">
        <w:rPr>
          <w:rFonts w:eastAsia="Times New Roman"/>
        </w:rPr>
        <w:t>commercial dishwasher models.</w:t>
      </w:r>
      <w:r w:rsidR="002D075D" w:rsidRPr="00641FB2">
        <w:rPr>
          <w:rStyle w:val="FootnoteReference"/>
          <w:rFonts w:eastAsia="Times New Roman"/>
        </w:rPr>
        <w:footnoteReference w:id="28"/>
      </w:r>
      <w:r w:rsidR="002D075D" w:rsidRPr="00641FB2">
        <w:rPr>
          <w:rFonts w:eastAsia="Times New Roman"/>
        </w:rPr>
        <w:t xml:space="preserve"> Unit costs were obtained</w:t>
      </w:r>
      <w:r w:rsidR="0004699F" w:rsidRPr="00641FB2">
        <w:rPr>
          <w:rFonts w:eastAsia="Times New Roman"/>
        </w:rPr>
        <w:t xml:space="preserve"> from </w:t>
      </w:r>
      <w:r w:rsidR="000544E1" w:rsidRPr="00641FB2">
        <w:rPr>
          <w:rFonts w:eastAsia="Times New Roman"/>
        </w:rPr>
        <w:t>various</w:t>
      </w:r>
      <w:r w:rsidR="0004699F" w:rsidRPr="00641FB2">
        <w:rPr>
          <w:rFonts w:eastAsia="Times New Roman"/>
        </w:rPr>
        <w:t xml:space="preserve"> sources including </w:t>
      </w:r>
      <w:r w:rsidR="006B0FA1">
        <w:rPr>
          <w:rFonts w:eastAsia="Times New Roman"/>
        </w:rPr>
        <w:t xml:space="preserve">the </w:t>
      </w:r>
      <w:r w:rsidR="006B0FA1" w:rsidRPr="00EA7C9F">
        <w:t xml:space="preserve">AutoQuotes </w:t>
      </w:r>
      <w:r w:rsidR="006B0FA1">
        <w:t xml:space="preserve">online </w:t>
      </w:r>
      <w:r w:rsidR="006B0FA1" w:rsidRPr="000911F4">
        <w:rPr>
          <w:szCs w:val="22"/>
        </w:rPr>
        <w:t>catalog</w:t>
      </w:r>
      <w:r w:rsidR="0004699F" w:rsidRPr="00641FB2">
        <w:rPr>
          <w:rFonts w:eastAsia="Times New Roman"/>
        </w:rPr>
        <w:t>, equipment sales reps</w:t>
      </w:r>
      <w:r w:rsidR="008F59F2" w:rsidRPr="00641FB2">
        <w:rPr>
          <w:rFonts w:eastAsia="Times New Roman"/>
        </w:rPr>
        <w:t>,</w:t>
      </w:r>
      <w:r w:rsidR="0004699F" w:rsidRPr="00641FB2">
        <w:rPr>
          <w:rFonts w:eastAsia="Times New Roman"/>
        </w:rPr>
        <w:t xml:space="preserve"> and manufacturer sources. Since </w:t>
      </w:r>
      <w:r w:rsidR="00641FB2" w:rsidRPr="00641FB2">
        <w:rPr>
          <w:rFonts w:eastAsia="Times New Roman"/>
        </w:rPr>
        <w:t xml:space="preserve">food service </w:t>
      </w:r>
      <w:r w:rsidR="0004699F" w:rsidRPr="00641FB2">
        <w:rPr>
          <w:rFonts w:eastAsia="Times New Roman"/>
        </w:rPr>
        <w:t xml:space="preserve">equipment pricing in </w:t>
      </w:r>
      <w:r w:rsidR="00641FB2" w:rsidRPr="00641FB2">
        <w:rPr>
          <w:rFonts w:eastAsia="Times New Roman"/>
        </w:rPr>
        <w:t>competitively sensitive</w:t>
      </w:r>
      <w:r w:rsidR="0004699F" w:rsidRPr="00641FB2">
        <w:rPr>
          <w:rFonts w:eastAsia="Times New Roman"/>
        </w:rPr>
        <w:t xml:space="preserve"> information and prices vary widely according to buying volume and other factors, the sources for prices </w:t>
      </w:r>
      <w:r w:rsidR="008F59F2" w:rsidRPr="00641FB2">
        <w:rPr>
          <w:rFonts w:eastAsia="Times New Roman"/>
        </w:rPr>
        <w:t>are not publicly available</w:t>
      </w:r>
      <w:r w:rsidR="0004699F" w:rsidRPr="00641FB2">
        <w:rPr>
          <w:rFonts w:eastAsia="Times New Roman"/>
        </w:rPr>
        <w:t>.</w:t>
      </w:r>
      <w:r w:rsidR="00694410" w:rsidRPr="00641FB2">
        <w:rPr>
          <w:rFonts w:eastAsia="Times New Roman"/>
        </w:rPr>
        <w:t xml:space="preserve"> </w:t>
      </w:r>
    </w:p>
    <w:p w14:paraId="2EF13474" w14:textId="77777777" w:rsidR="007D230B" w:rsidRPr="00641FB2" w:rsidRDefault="007D230B" w:rsidP="004142EF">
      <w:r w:rsidRPr="00641FB2">
        <w:t> </w:t>
      </w:r>
    </w:p>
    <w:p w14:paraId="76761496" w14:textId="77777777" w:rsidR="007D230B" w:rsidRPr="00641FB2" w:rsidRDefault="007D230B" w:rsidP="001369D7">
      <w:pPr>
        <w:pStyle w:val="eTRMHeading3"/>
      </w:pPr>
      <w:bookmarkStart w:id="64" w:name="_Toc486490861"/>
      <w:bookmarkStart w:id="65" w:name="_Toc486580932"/>
      <w:bookmarkStart w:id="66" w:name="_Toc528680032"/>
      <w:r w:rsidRPr="00641FB2">
        <w:t>Measure Case Material Cost ($/unit)</w:t>
      </w:r>
      <w:bookmarkEnd w:id="64"/>
      <w:bookmarkEnd w:id="65"/>
      <w:bookmarkEnd w:id="66"/>
    </w:p>
    <w:p w14:paraId="36315702" w14:textId="59520507" w:rsidR="00641FB2" w:rsidRDefault="001A2090" w:rsidP="00641FB2">
      <w:pPr>
        <w:rPr>
          <w:rFonts w:cs="Arial"/>
        </w:rPr>
      </w:pPr>
      <w:r>
        <w:t xml:space="preserve">The measure case material costs for </w:t>
      </w:r>
      <w:r w:rsidRPr="00076709">
        <w:rPr>
          <w:i/>
        </w:rPr>
        <w:t>all delivery types</w:t>
      </w:r>
      <w:r>
        <w:t xml:space="preserve"> </w:t>
      </w:r>
      <w:r w:rsidR="00641FB2" w:rsidRPr="00641FB2">
        <w:rPr>
          <w:rFonts w:eastAsia="Times New Roman"/>
        </w:rPr>
        <w:t xml:space="preserve">were calculated as the average </w:t>
      </w:r>
      <w:r>
        <w:rPr>
          <w:rFonts w:eastAsia="Times New Roman"/>
        </w:rPr>
        <w:t xml:space="preserve">unit </w:t>
      </w:r>
      <w:r w:rsidR="00641FB2" w:rsidRPr="00641FB2">
        <w:rPr>
          <w:rFonts w:eastAsia="Times New Roman"/>
        </w:rPr>
        <w:t>cost base case low-temperature and high-temperature commercial dishwasher models.</w:t>
      </w:r>
      <w:r w:rsidR="00641FB2" w:rsidRPr="00641FB2">
        <w:rPr>
          <w:rStyle w:val="FootnoteReference"/>
          <w:rFonts w:eastAsia="Times New Roman"/>
        </w:rPr>
        <w:footnoteReference w:id="29"/>
      </w:r>
      <w:r w:rsidR="00641FB2" w:rsidRPr="00641FB2">
        <w:rPr>
          <w:rFonts w:eastAsia="Times New Roman"/>
        </w:rPr>
        <w:t xml:space="preserve"> Unit costs were obtained from various sources including </w:t>
      </w:r>
      <w:r w:rsidR="006B0FA1">
        <w:rPr>
          <w:rFonts w:eastAsia="Times New Roman"/>
        </w:rPr>
        <w:t xml:space="preserve">the </w:t>
      </w:r>
      <w:r w:rsidR="006B0FA1" w:rsidRPr="00EA7C9F">
        <w:t xml:space="preserve">AutoQuotes </w:t>
      </w:r>
      <w:r w:rsidR="006B0FA1">
        <w:t xml:space="preserve">online </w:t>
      </w:r>
      <w:r w:rsidR="006B0FA1" w:rsidRPr="000911F4">
        <w:rPr>
          <w:szCs w:val="22"/>
        </w:rPr>
        <w:t>catalog</w:t>
      </w:r>
      <w:r w:rsidR="00641FB2" w:rsidRPr="00641FB2">
        <w:rPr>
          <w:rFonts w:eastAsia="Times New Roman"/>
        </w:rPr>
        <w:t xml:space="preserve">, equipment sales reps, and manufacturer </w:t>
      </w:r>
      <w:r w:rsidR="00641FB2" w:rsidRPr="00641FB2">
        <w:rPr>
          <w:rFonts w:eastAsia="Times New Roman"/>
        </w:rPr>
        <w:lastRenderedPageBreak/>
        <w:t>sources. Since food service equipment pricing in competitively sensitive information and prices vary widely according to buying volume and other factors, the sources for prices are not publicly available.</w:t>
      </w:r>
      <w:r w:rsidR="00641FB2">
        <w:rPr>
          <w:rFonts w:eastAsia="Times New Roman"/>
        </w:rPr>
        <w:t xml:space="preserve"> </w:t>
      </w:r>
    </w:p>
    <w:p w14:paraId="6D1D4C20" w14:textId="3C68997B" w:rsidR="00D7129E" w:rsidRDefault="00D7129E" w:rsidP="00D7129E"/>
    <w:p w14:paraId="656ECFF1" w14:textId="005A3A86" w:rsidR="00B646BA" w:rsidRPr="004B06E3" w:rsidRDefault="00B646BA" w:rsidP="00B646BA">
      <w:pPr>
        <w:pStyle w:val="eTRMHeading3"/>
      </w:pPr>
      <w:bookmarkStart w:id="67" w:name="_Toc528680033"/>
      <w:r>
        <w:t xml:space="preserve">Base Case </w:t>
      </w:r>
      <w:r w:rsidRPr="004B06E3">
        <w:t>Labor Cost ($/unit)</w:t>
      </w:r>
      <w:bookmarkEnd w:id="67"/>
    </w:p>
    <w:p w14:paraId="42E777ED" w14:textId="77777777" w:rsidR="001A2090" w:rsidRDefault="001A2090" w:rsidP="001A2090">
      <w:bookmarkStart w:id="68" w:name="_Hlk526864193"/>
      <w:bookmarkStart w:id="69" w:name="_Hlk526868859"/>
      <w:r>
        <w:t xml:space="preserve">The base case labor cost for equipment </w:t>
      </w:r>
      <w:r w:rsidRPr="00B310F1">
        <w:rPr>
          <w:i/>
        </w:rPr>
        <w:t>delivered via direct install</w:t>
      </w:r>
      <w:r>
        <w:t xml:space="preserve"> is equal to $0.</w:t>
      </w:r>
    </w:p>
    <w:bookmarkEnd w:id="68"/>
    <w:bookmarkEnd w:id="69"/>
    <w:p w14:paraId="7B97A88B" w14:textId="77777777" w:rsidR="001A2090" w:rsidRDefault="001A2090" w:rsidP="001A2090">
      <w:r>
        <w:t xml:space="preserve">For </w:t>
      </w:r>
      <w:r w:rsidRPr="00B310F1">
        <w:rPr>
          <w:i/>
        </w:rPr>
        <w:t>all other delivery types</w:t>
      </w:r>
      <w:r>
        <w:t>, the base case and measure case model installation costs are expected to be the same for the customer and thus not estimated for the incremental cost analysis.</w:t>
      </w:r>
    </w:p>
    <w:p w14:paraId="13D4CAA5" w14:textId="77777777" w:rsidR="00B646BA" w:rsidRPr="004B06E3" w:rsidRDefault="00B646BA" w:rsidP="00D7129E"/>
    <w:p w14:paraId="56E57BBB" w14:textId="21C12780" w:rsidR="007D230B" w:rsidRPr="004B06E3" w:rsidRDefault="00B646BA" w:rsidP="001369D7">
      <w:pPr>
        <w:pStyle w:val="eTRMHeading3"/>
      </w:pPr>
      <w:bookmarkStart w:id="70" w:name="_Toc486490862"/>
      <w:bookmarkStart w:id="71" w:name="_Toc486580933"/>
      <w:bookmarkStart w:id="72" w:name="_Toc528680034"/>
      <w:r>
        <w:t xml:space="preserve">Measure Case </w:t>
      </w:r>
      <w:r w:rsidR="007D230B" w:rsidRPr="004B06E3">
        <w:t>Labor Cost ($/unit)</w:t>
      </w:r>
      <w:bookmarkEnd w:id="70"/>
      <w:bookmarkEnd w:id="71"/>
      <w:bookmarkEnd w:id="72"/>
    </w:p>
    <w:p w14:paraId="55220C36" w14:textId="3CBE1ACE" w:rsidR="001A2090" w:rsidRDefault="001A2090" w:rsidP="001A2090">
      <w:pPr>
        <w:spacing w:before="40" w:after="40"/>
        <w:rPr>
          <w:rFonts w:ascii="Calibri" w:eastAsiaTheme="minorHAnsi" w:hAnsi="Calibri"/>
          <w:color w:val="000000"/>
          <w:szCs w:val="22"/>
        </w:rPr>
      </w:pPr>
      <w:r>
        <w:rPr>
          <w:color w:val="000000"/>
        </w:rPr>
        <w:t xml:space="preserve">The measure case labor cost for equipment </w:t>
      </w:r>
      <w:r w:rsidRPr="00C315A6">
        <w:rPr>
          <w:i/>
          <w:color w:val="000000"/>
        </w:rPr>
        <w:t>delivered via direct install</w:t>
      </w:r>
      <w:r>
        <w:rPr>
          <w:color w:val="000000"/>
        </w:rPr>
        <w:t xml:space="preserve"> will be derived as the average installation cost submitted by one or more implementation contractors. The actual installation cost can vary by contractor, the date when the work occurred, and by the volume of each specific contractor’s business. Contractor costs are confidential information and are based upon contractually agreed upon pricing as established in their purchase order with the program administrator. Therefore, the program administrator program tracking systems are the only source for the labor installation cost data.  The program administrator will utilize the actual program cost </w:t>
      </w:r>
      <w:r w:rsidR="003F72FC">
        <w:rPr>
          <w:color w:val="000000"/>
        </w:rPr>
        <w:t>to evaluate</w:t>
      </w:r>
      <w:r>
        <w:rPr>
          <w:color w:val="000000"/>
        </w:rPr>
        <w:t xml:space="preserve"> the cost-effectiveness of the measure.</w:t>
      </w:r>
    </w:p>
    <w:p w14:paraId="012C9197" w14:textId="77777777" w:rsidR="001A2090" w:rsidRDefault="001A2090" w:rsidP="001A2090">
      <w:r>
        <w:t xml:space="preserve">For </w:t>
      </w:r>
      <w:r w:rsidRPr="00C315A6">
        <w:rPr>
          <w:i/>
        </w:rPr>
        <w:t>all other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Pr="00C33CB0">
        <w:t xml:space="preserve">. </w:t>
      </w:r>
      <w:r>
        <w:t>Since this measure is applicable for normal replacement and new construction installations, the base case and measure case model installation costs are expected to be the same for the customer and thus not estimated for the incremental cost analysis.</w:t>
      </w:r>
    </w:p>
    <w:p w14:paraId="5C3BBF14" w14:textId="77777777" w:rsidR="002467A7" w:rsidRPr="004B06E3" w:rsidRDefault="002467A7" w:rsidP="004142EF"/>
    <w:p w14:paraId="292D5316" w14:textId="77777777" w:rsidR="007D230B" w:rsidRPr="004B06E3" w:rsidRDefault="004B06E3" w:rsidP="001369D7">
      <w:pPr>
        <w:pStyle w:val="eTRMHeading3"/>
      </w:pPr>
      <w:bookmarkStart w:id="73" w:name="_Toc486490863"/>
      <w:bookmarkStart w:id="74" w:name="_Toc486580934"/>
      <w:bookmarkStart w:id="75" w:name="_Toc528680035"/>
      <w:r>
        <w:t>Net-to-Gross</w:t>
      </w:r>
      <w:bookmarkEnd w:id="73"/>
      <w:bookmarkEnd w:id="74"/>
      <w:r w:rsidR="00FA1406">
        <w:t xml:space="preserve"> (NTG)</w:t>
      </w:r>
      <w:bookmarkEnd w:id="75"/>
    </w:p>
    <w:p w14:paraId="4AD92E43" w14:textId="58C16C7B" w:rsidR="00710753" w:rsidRDefault="00B91E8B" w:rsidP="00B91E8B">
      <w:r w:rsidRPr="00860FEC">
        <w:t xml:space="preserve">The net-to-gross (NTG) ratio represents the portion of gross impacts that are determined to be directly attributed to a specific program intervention. </w:t>
      </w:r>
      <w:r w:rsidR="002D4E5D" w:rsidRPr="00AF3038">
        <w:t xml:space="preserve">These NTG values are based upon the average of all NTG ratios for all evaluated 2006 – 2008 commercial, industrial, and agriculture programs, as documented in the 2011 DEER Update Study conducted by Itron, Inc. These sector average NTGs (“default NTGs”) are applicable </w:t>
      </w:r>
      <w:r w:rsidR="002D4E5D">
        <w:t xml:space="preserve">to </w:t>
      </w:r>
      <w:r w:rsidR="002D4E5D" w:rsidRPr="00AF3038">
        <w:t xml:space="preserve">all energy efficiency measures that have been offered </w:t>
      </w:r>
      <w:r w:rsidR="002D4E5D">
        <w:t>through</w:t>
      </w:r>
      <w:r w:rsidR="002D4E5D" w:rsidRPr="00AF3038">
        <w:t xml:space="preserve"> commercial, industrial, and agriculture </w:t>
      </w:r>
      <w:r w:rsidR="002D4E5D">
        <w:t xml:space="preserve">sector </w:t>
      </w:r>
      <w:r w:rsidR="002D4E5D" w:rsidRPr="00AF3038">
        <w:t>programs for more than two years and for which impact evaluation results are not available.</w:t>
      </w:r>
    </w:p>
    <w:p w14:paraId="08D08DD2" w14:textId="08CF36F6" w:rsidR="00D7129E" w:rsidRPr="0059426D" w:rsidRDefault="00D7129E" w:rsidP="002A5486">
      <w:pPr>
        <w:pStyle w:val="Caption"/>
      </w:pPr>
      <w:r>
        <w:t>Net-to-Gross Ratios</w:t>
      </w:r>
    </w:p>
    <w:tbl>
      <w:tblPr>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670"/>
      </w:tblGrid>
      <w:tr w:rsidR="00B646BA" w:rsidRPr="00052C24" w14:paraId="54F28C2C" w14:textId="77777777" w:rsidTr="00B646BA">
        <w:tc>
          <w:tcPr>
            <w:tcW w:w="2070" w:type="dxa"/>
            <w:shd w:val="clear" w:color="auto" w:fill="F2F2F2" w:themeFill="background1" w:themeFillShade="F2"/>
            <w:vAlign w:val="bottom"/>
          </w:tcPr>
          <w:p w14:paraId="01219625" w14:textId="77777777" w:rsidR="00B646BA" w:rsidRPr="00052C24" w:rsidRDefault="00B646BA" w:rsidP="00700F93">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3D8367AB" w14:textId="121F8C4B" w:rsidR="00B646BA" w:rsidRPr="00052C24" w:rsidRDefault="00B646BA" w:rsidP="00700F93">
            <w:pPr>
              <w:keepNext/>
              <w:keepLines/>
              <w:spacing w:before="0" w:after="0" w:line="200" w:lineRule="atLeast"/>
              <w:jc w:val="center"/>
              <w:rPr>
                <w:b/>
                <w:sz w:val="20"/>
              </w:rPr>
            </w:pPr>
            <w:r>
              <w:rPr>
                <w:b/>
                <w:sz w:val="20"/>
              </w:rPr>
              <w:t>Value</w:t>
            </w:r>
          </w:p>
        </w:tc>
        <w:tc>
          <w:tcPr>
            <w:tcW w:w="5670" w:type="dxa"/>
            <w:shd w:val="clear" w:color="auto" w:fill="F2F2F2" w:themeFill="background1" w:themeFillShade="F2"/>
            <w:vAlign w:val="bottom"/>
          </w:tcPr>
          <w:p w14:paraId="752CDBA0" w14:textId="77777777" w:rsidR="00B646BA" w:rsidRDefault="00B646BA" w:rsidP="00700F93">
            <w:pPr>
              <w:keepNext/>
              <w:keepLines/>
              <w:spacing w:before="0" w:after="0" w:line="200" w:lineRule="atLeast"/>
              <w:jc w:val="center"/>
              <w:rPr>
                <w:b/>
                <w:sz w:val="20"/>
              </w:rPr>
            </w:pPr>
            <w:r>
              <w:rPr>
                <w:b/>
                <w:sz w:val="20"/>
              </w:rPr>
              <w:t>Source</w:t>
            </w:r>
          </w:p>
        </w:tc>
      </w:tr>
      <w:tr w:rsidR="002D4E5D" w:rsidRPr="009062D0" w14:paraId="0FA58D96" w14:textId="77777777" w:rsidTr="00B646BA">
        <w:trPr>
          <w:trHeight w:val="260"/>
        </w:trPr>
        <w:tc>
          <w:tcPr>
            <w:tcW w:w="2070" w:type="dxa"/>
            <w:vAlign w:val="center"/>
          </w:tcPr>
          <w:p w14:paraId="77F86858" w14:textId="1287023D" w:rsidR="002D4E5D" w:rsidRPr="009062D0" w:rsidRDefault="002D4E5D" w:rsidP="002D4E5D">
            <w:pPr>
              <w:keepNext/>
              <w:keepLines/>
              <w:spacing w:before="0" w:after="0" w:line="200" w:lineRule="atLeast"/>
              <w:rPr>
                <w:sz w:val="20"/>
              </w:rPr>
            </w:pPr>
            <w:r w:rsidRPr="009062D0">
              <w:rPr>
                <w:sz w:val="20"/>
              </w:rPr>
              <w:t>NTG – Commercial</w:t>
            </w:r>
          </w:p>
        </w:tc>
        <w:tc>
          <w:tcPr>
            <w:tcW w:w="1620" w:type="dxa"/>
            <w:vAlign w:val="center"/>
          </w:tcPr>
          <w:p w14:paraId="0609DBD7" w14:textId="6A66FE9F" w:rsidR="002D4E5D" w:rsidRPr="00386B41" w:rsidRDefault="002D4E5D" w:rsidP="002D4E5D">
            <w:pPr>
              <w:keepNext/>
              <w:keepLines/>
              <w:spacing w:before="0" w:after="0" w:line="200" w:lineRule="atLeast"/>
              <w:jc w:val="center"/>
              <w:rPr>
                <w:sz w:val="20"/>
              </w:rPr>
            </w:pPr>
            <w:r w:rsidRPr="00275CA0">
              <w:rPr>
                <w:sz w:val="20"/>
                <w:szCs w:val="20"/>
              </w:rPr>
              <w:t>0.60</w:t>
            </w:r>
          </w:p>
        </w:tc>
        <w:tc>
          <w:tcPr>
            <w:tcW w:w="5670" w:type="dxa"/>
            <w:vMerge w:val="restart"/>
            <w:vAlign w:val="center"/>
          </w:tcPr>
          <w:p w14:paraId="43438080" w14:textId="7FEFB485" w:rsidR="002D4E5D" w:rsidRPr="002119F6" w:rsidRDefault="002D4E5D" w:rsidP="002D4E5D">
            <w:pPr>
              <w:keepNext/>
              <w:keepLines/>
              <w:spacing w:before="0" w:after="0" w:line="240" w:lineRule="auto"/>
              <w:rPr>
                <w:rFonts w:eastAsia="Times New Roman" w:cs="Times New Roman"/>
                <w:color w:val="000000"/>
                <w:sz w:val="18"/>
                <w:szCs w:val="18"/>
              </w:rPr>
            </w:pPr>
            <w:r w:rsidRPr="002119F6">
              <w:rPr>
                <w:sz w:val="18"/>
              </w:rPr>
              <w:t xml:space="preserve">Itron, Inc. 2011. </w:t>
            </w:r>
            <w:r w:rsidRPr="002119F6">
              <w:rPr>
                <w:i/>
                <w:sz w:val="18"/>
              </w:rPr>
              <w:t>DEER Database 2011 Update Documentation.</w:t>
            </w:r>
            <w:r w:rsidRPr="002119F6">
              <w:rPr>
                <w:sz w:val="18"/>
              </w:rPr>
              <w:t xml:space="preserve"> Prepared for the California Public Utilities Commission. Page 15-4 Table 15-3.</w:t>
            </w:r>
          </w:p>
        </w:tc>
      </w:tr>
      <w:tr w:rsidR="002D4E5D" w:rsidRPr="009062D0" w14:paraId="18BCE385" w14:textId="77777777" w:rsidTr="00B646BA">
        <w:trPr>
          <w:trHeight w:val="260"/>
        </w:trPr>
        <w:tc>
          <w:tcPr>
            <w:tcW w:w="2070" w:type="dxa"/>
            <w:vAlign w:val="center"/>
          </w:tcPr>
          <w:p w14:paraId="58A4F90E" w14:textId="0C430297" w:rsidR="002D4E5D" w:rsidRDefault="002D4E5D" w:rsidP="002D4E5D">
            <w:pPr>
              <w:keepNext/>
              <w:keepLines/>
              <w:spacing w:before="0" w:after="0" w:line="200" w:lineRule="atLeast"/>
              <w:rPr>
                <w:sz w:val="20"/>
              </w:rPr>
            </w:pPr>
            <w:r w:rsidRPr="009062D0">
              <w:rPr>
                <w:sz w:val="20"/>
              </w:rPr>
              <w:t>NTG – Industrial</w:t>
            </w:r>
          </w:p>
        </w:tc>
        <w:tc>
          <w:tcPr>
            <w:tcW w:w="1620" w:type="dxa"/>
            <w:vAlign w:val="center"/>
          </w:tcPr>
          <w:p w14:paraId="4BF38453" w14:textId="01C712C2" w:rsidR="002D4E5D" w:rsidRPr="00386B41" w:rsidRDefault="002D4E5D" w:rsidP="002D4E5D">
            <w:pPr>
              <w:keepNext/>
              <w:keepLines/>
              <w:spacing w:before="0" w:after="0" w:line="200" w:lineRule="atLeast"/>
              <w:jc w:val="center"/>
              <w:rPr>
                <w:sz w:val="20"/>
                <w:szCs w:val="20"/>
              </w:rPr>
            </w:pPr>
            <w:r w:rsidRPr="00275CA0">
              <w:rPr>
                <w:sz w:val="20"/>
                <w:szCs w:val="20"/>
              </w:rPr>
              <w:t>0.60</w:t>
            </w:r>
          </w:p>
        </w:tc>
        <w:tc>
          <w:tcPr>
            <w:tcW w:w="5670" w:type="dxa"/>
            <w:vMerge/>
            <w:vAlign w:val="center"/>
          </w:tcPr>
          <w:p w14:paraId="58282FC1" w14:textId="77777777" w:rsidR="002D4E5D" w:rsidRPr="002119F6" w:rsidRDefault="002D4E5D" w:rsidP="002D4E5D">
            <w:pPr>
              <w:keepNext/>
              <w:keepLines/>
              <w:spacing w:before="0" w:after="0" w:line="240" w:lineRule="auto"/>
              <w:rPr>
                <w:sz w:val="18"/>
              </w:rPr>
            </w:pPr>
          </w:p>
        </w:tc>
      </w:tr>
      <w:tr w:rsidR="002D4E5D" w:rsidRPr="009062D0" w14:paraId="03D0D20D" w14:textId="77777777" w:rsidTr="00B646BA">
        <w:trPr>
          <w:trHeight w:val="260"/>
        </w:trPr>
        <w:tc>
          <w:tcPr>
            <w:tcW w:w="2070" w:type="dxa"/>
            <w:vAlign w:val="center"/>
          </w:tcPr>
          <w:p w14:paraId="66FB9524" w14:textId="4D273CEC" w:rsidR="002D4E5D" w:rsidRDefault="002D4E5D" w:rsidP="002D4E5D">
            <w:pPr>
              <w:keepNext/>
              <w:keepLines/>
              <w:spacing w:before="0" w:after="0" w:line="200" w:lineRule="atLeast"/>
              <w:rPr>
                <w:sz w:val="20"/>
              </w:rPr>
            </w:pPr>
            <w:r w:rsidRPr="009062D0">
              <w:rPr>
                <w:sz w:val="20"/>
              </w:rPr>
              <w:t>NTG - Agriculture</w:t>
            </w:r>
          </w:p>
        </w:tc>
        <w:tc>
          <w:tcPr>
            <w:tcW w:w="1620" w:type="dxa"/>
            <w:vAlign w:val="center"/>
          </w:tcPr>
          <w:p w14:paraId="5C95690F" w14:textId="7558F629" w:rsidR="002D4E5D" w:rsidRPr="00386B41" w:rsidRDefault="002D4E5D" w:rsidP="002D4E5D">
            <w:pPr>
              <w:keepNext/>
              <w:keepLines/>
              <w:spacing w:before="0" w:after="0" w:line="200" w:lineRule="atLeast"/>
              <w:jc w:val="center"/>
              <w:rPr>
                <w:sz w:val="20"/>
                <w:szCs w:val="20"/>
              </w:rPr>
            </w:pPr>
            <w:r w:rsidRPr="00275CA0">
              <w:rPr>
                <w:sz w:val="20"/>
                <w:szCs w:val="20"/>
              </w:rPr>
              <w:t>0.60</w:t>
            </w:r>
          </w:p>
        </w:tc>
        <w:tc>
          <w:tcPr>
            <w:tcW w:w="5670" w:type="dxa"/>
            <w:vMerge/>
            <w:vAlign w:val="center"/>
          </w:tcPr>
          <w:p w14:paraId="6AEC3C43" w14:textId="77777777" w:rsidR="002D4E5D" w:rsidRPr="002119F6" w:rsidRDefault="002D4E5D" w:rsidP="002D4E5D">
            <w:pPr>
              <w:keepNext/>
              <w:keepLines/>
              <w:spacing w:before="0" w:after="0" w:line="240" w:lineRule="auto"/>
              <w:rPr>
                <w:sz w:val="18"/>
              </w:rPr>
            </w:pPr>
          </w:p>
        </w:tc>
      </w:tr>
    </w:tbl>
    <w:p w14:paraId="7A03DC26" w14:textId="77777777" w:rsidR="00CB6E83" w:rsidRPr="004B06E3" w:rsidRDefault="00CB6E83" w:rsidP="004142EF"/>
    <w:p w14:paraId="67EF0C98" w14:textId="77777777" w:rsidR="007D230B" w:rsidRPr="004B06E3" w:rsidRDefault="00FA1406" w:rsidP="001369D7">
      <w:pPr>
        <w:pStyle w:val="eTRMHeading3"/>
      </w:pPr>
      <w:bookmarkStart w:id="76" w:name="_Toc486490864"/>
      <w:bookmarkStart w:id="77" w:name="_Toc486580935"/>
      <w:bookmarkStart w:id="78" w:name="_Toc528680036"/>
      <w:r>
        <w:t>Gross Savings Installation Adjustment (</w:t>
      </w:r>
      <w:r w:rsidR="007D230B" w:rsidRPr="004B06E3">
        <w:t>GSIA</w:t>
      </w:r>
      <w:bookmarkEnd w:id="76"/>
      <w:bookmarkEnd w:id="77"/>
      <w:r>
        <w:t>)</w:t>
      </w:r>
      <w:bookmarkEnd w:id="78"/>
    </w:p>
    <w:p w14:paraId="4FF9CAF4" w14:textId="548842CD" w:rsidR="00B2339C" w:rsidRDefault="002A5486" w:rsidP="00D7129E">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w:t>
      </w:r>
      <w:r w:rsidRPr="00AD00D3">
        <w:lastRenderedPageBreak/>
        <w:t>varies by end use, sector, technology, application, and delivery method.</w:t>
      </w:r>
      <w:r w:rsidR="00B2339C">
        <w:t xml:space="preserve"> </w:t>
      </w:r>
      <w:r w:rsidR="00B12BE1">
        <w:t>This GSIA rate is the current “default” rate specified for measures for which an alternative GSIA has not been estimated and approved.</w:t>
      </w:r>
    </w:p>
    <w:p w14:paraId="4BBDB6C2" w14:textId="1CD939B9" w:rsidR="00D7129E" w:rsidRPr="0059426D" w:rsidRDefault="002A5486" w:rsidP="00D7129E">
      <w:pPr>
        <w:pStyle w:val="Caption"/>
      </w:pPr>
      <w:r>
        <w:t xml:space="preserve">Gross Savings Installation Adjustment </w:t>
      </w:r>
      <w:r w:rsidR="00D7129E">
        <w:t>Rates</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760"/>
      </w:tblGrid>
      <w:tr w:rsidR="00B646BA" w:rsidRPr="00052C24" w14:paraId="06CEBBD7" w14:textId="77777777" w:rsidTr="00B646BA">
        <w:tc>
          <w:tcPr>
            <w:tcW w:w="2070" w:type="dxa"/>
            <w:shd w:val="clear" w:color="auto" w:fill="F2F2F2" w:themeFill="background1" w:themeFillShade="F2"/>
            <w:vAlign w:val="bottom"/>
          </w:tcPr>
          <w:p w14:paraId="2B38BC92" w14:textId="77777777" w:rsidR="00B646BA" w:rsidRPr="00052C24" w:rsidRDefault="00B646BA" w:rsidP="00700F93">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334CE818" w14:textId="72362644" w:rsidR="00B646BA" w:rsidRPr="00052C24" w:rsidRDefault="00B646BA" w:rsidP="00700F93">
            <w:pPr>
              <w:keepNext/>
              <w:keepLines/>
              <w:spacing w:before="0" w:after="0" w:line="200" w:lineRule="atLeast"/>
              <w:jc w:val="center"/>
              <w:rPr>
                <w:b/>
                <w:sz w:val="20"/>
              </w:rPr>
            </w:pPr>
            <w:r>
              <w:rPr>
                <w:b/>
                <w:sz w:val="20"/>
              </w:rPr>
              <w:t>Value</w:t>
            </w:r>
          </w:p>
        </w:tc>
        <w:tc>
          <w:tcPr>
            <w:tcW w:w="5760" w:type="dxa"/>
            <w:shd w:val="clear" w:color="auto" w:fill="F2F2F2" w:themeFill="background1" w:themeFillShade="F2"/>
            <w:vAlign w:val="bottom"/>
          </w:tcPr>
          <w:p w14:paraId="2870B4A4" w14:textId="77777777" w:rsidR="00B646BA" w:rsidRDefault="00B646BA" w:rsidP="00700F93">
            <w:pPr>
              <w:keepNext/>
              <w:keepLines/>
              <w:spacing w:before="0" w:after="0" w:line="200" w:lineRule="atLeast"/>
              <w:jc w:val="center"/>
              <w:rPr>
                <w:b/>
                <w:sz w:val="20"/>
              </w:rPr>
            </w:pPr>
            <w:r>
              <w:rPr>
                <w:b/>
                <w:sz w:val="20"/>
              </w:rPr>
              <w:t>Source</w:t>
            </w:r>
          </w:p>
        </w:tc>
      </w:tr>
      <w:tr w:rsidR="00B646BA" w:rsidRPr="009062D0" w14:paraId="1B4D2416" w14:textId="77777777" w:rsidTr="00B646BA">
        <w:trPr>
          <w:trHeight w:val="260"/>
        </w:trPr>
        <w:tc>
          <w:tcPr>
            <w:tcW w:w="2070" w:type="dxa"/>
            <w:vAlign w:val="center"/>
          </w:tcPr>
          <w:p w14:paraId="4408ECCA" w14:textId="77777777" w:rsidR="00B646BA" w:rsidRPr="009062D0" w:rsidRDefault="00B646BA" w:rsidP="00700F93">
            <w:pPr>
              <w:keepNext/>
              <w:keepLines/>
              <w:spacing w:before="0" w:after="0" w:line="200" w:lineRule="atLeast"/>
              <w:rPr>
                <w:sz w:val="20"/>
              </w:rPr>
            </w:pPr>
            <w:r>
              <w:rPr>
                <w:sz w:val="20"/>
              </w:rPr>
              <w:t>GSIA</w:t>
            </w:r>
          </w:p>
        </w:tc>
        <w:tc>
          <w:tcPr>
            <w:tcW w:w="1620" w:type="dxa"/>
            <w:vAlign w:val="center"/>
          </w:tcPr>
          <w:p w14:paraId="7529B04A" w14:textId="77777777" w:rsidR="00B646BA" w:rsidRPr="00386B41" w:rsidRDefault="00B646BA" w:rsidP="00700F93">
            <w:pPr>
              <w:keepNext/>
              <w:keepLines/>
              <w:spacing w:before="0" w:after="0" w:line="200" w:lineRule="atLeast"/>
              <w:jc w:val="center"/>
              <w:rPr>
                <w:sz w:val="20"/>
              </w:rPr>
            </w:pPr>
            <w:r w:rsidRPr="00386B41">
              <w:rPr>
                <w:sz w:val="20"/>
                <w:szCs w:val="20"/>
              </w:rPr>
              <w:t>1.0</w:t>
            </w:r>
          </w:p>
        </w:tc>
        <w:tc>
          <w:tcPr>
            <w:tcW w:w="5760" w:type="dxa"/>
            <w:vAlign w:val="center"/>
          </w:tcPr>
          <w:p w14:paraId="5B5D09C8" w14:textId="77777777" w:rsidR="00B646BA" w:rsidRPr="009062D0" w:rsidRDefault="00B646BA" w:rsidP="00700F93">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4CF994C" w14:textId="77777777" w:rsidR="00B12BE1" w:rsidRDefault="00B12BE1" w:rsidP="00D7129E">
      <w:pPr>
        <w:rPr>
          <w:rFonts w:cs="Arial"/>
          <w:sz w:val="20"/>
          <w:szCs w:val="20"/>
        </w:rPr>
      </w:pPr>
    </w:p>
    <w:p w14:paraId="0ADD0D8C" w14:textId="76DDC43C" w:rsidR="002C67DF" w:rsidRDefault="002C67DF" w:rsidP="001369D7">
      <w:pPr>
        <w:pStyle w:val="eTRMHeading3"/>
      </w:pPr>
      <w:bookmarkStart w:id="79" w:name="_Toc486490865"/>
      <w:bookmarkStart w:id="80" w:name="_Toc486580936"/>
      <w:bookmarkStart w:id="81" w:name="_Toc528680037"/>
      <w:r w:rsidRPr="004B06E3">
        <w:t xml:space="preserve">Non-Energy </w:t>
      </w:r>
      <w:bookmarkEnd w:id="79"/>
      <w:bookmarkEnd w:id="80"/>
      <w:r w:rsidR="00B12BE1">
        <w:t>Impacts</w:t>
      </w:r>
      <w:bookmarkEnd w:id="81"/>
    </w:p>
    <w:p w14:paraId="64E48DCE" w14:textId="0E035821" w:rsidR="00710753" w:rsidRDefault="008F59F2" w:rsidP="00710753">
      <w:r>
        <w:t xml:space="preserve">Water savings is </w:t>
      </w:r>
      <w:r w:rsidR="00264F5F">
        <w:t xml:space="preserve">the primary non-energy </w:t>
      </w:r>
      <w:r w:rsidR="00A77BFA">
        <w:t>impact</w:t>
      </w:r>
      <w:r w:rsidR="00264F5F">
        <w:t xml:space="preserve"> associated with high efficiency commercial dishwashers</w:t>
      </w:r>
      <w:r w:rsidR="003117AD">
        <w:t>.</w:t>
      </w:r>
      <w:r w:rsidR="00264F5F">
        <w:t xml:space="preserve"> The calculation of annual water savings </w:t>
      </w:r>
      <w:r w:rsidR="003117AD">
        <w:t xml:space="preserve">of </w:t>
      </w:r>
      <w:r w:rsidR="00B8600B">
        <w:t>an</w:t>
      </w:r>
      <w:r w:rsidR="003117AD">
        <w:t xml:space="preserve"> </w:t>
      </w:r>
      <w:r w:rsidR="00264F5F">
        <w:t>energy efficient</w:t>
      </w:r>
      <w:r w:rsidR="003117AD">
        <w:t xml:space="preserve"> (</w:t>
      </w:r>
      <w:r w:rsidR="00264F5F">
        <w:t>measure case</w:t>
      </w:r>
      <w:r w:rsidR="003117AD">
        <w:t>)</w:t>
      </w:r>
      <w:r w:rsidR="00264F5F">
        <w:t xml:space="preserve"> commercial dishwasher is calculated as</w:t>
      </w:r>
      <w:r w:rsidR="002119F6">
        <w:t xml:space="preserve"> the difference between </w:t>
      </w:r>
      <w:r w:rsidR="00B8600B">
        <w:t xml:space="preserve">the baseline and measure </w:t>
      </w:r>
      <w:r w:rsidR="002119F6">
        <w:t>annual water consumption</w:t>
      </w:r>
      <w:r w:rsidR="00264F5F">
        <w:t>.</w:t>
      </w:r>
      <w:r>
        <w:t xml:space="preserve"> </w:t>
      </w:r>
      <w:r w:rsidR="002119F6">
        <w:t xml:space="preserve">The inputs for this calculation are </w:t>
      </w:r>
      <w:r w:rsidR="00386B41">
        <w:t>specified</w:t>
      </w:r>
      <w:r w:rsidR="002119F6">
        <w:t xml:space="preserve"> in Electric Savings</w:t>
      </w:r>
      <w:r w:rsidR="00386B41">
        <w:t>.</w:t>
      </w:r>
      <w:r w:rsidR="002119F6">
        <w:t xml:space="preserve"> </w:t>
      </w:r>
    </w:p>
    <w:p w14:paraId="33DF0D92" w14:textId="5A8CEFA0" w:rsidR="00710753" w:rsidRPr="008547CB" w:rsidRDefault="00B8600B" w:rsidP="002119F6">
      <w:pPr>
        <w:ind w:left="810"/>
        <w:rPr>
          <w:i/>
          <w:sz w:val="18"/>
          <w:szCs w:val="18"/>
        </w:rPr>
      </w:pPr>
      <m:oMathPara>
        <m:oMathParaPr>
          <m:jc m:val="left"/>
        </m:oMathParaPr>
        <m:oMath>
          <m:r>
            <w:rPr>
              <w:rFonts w:ascii="Cambria Math" w:hAnsi="Cambria Math"/>
              <w:sz w:val="18"/>
              <w:szCs w:val="18"/>
            </w:rPr>
            <m:t xml:space="preserve">UWC =GPR×RACKS×EDAYS </m:t>
          </m:r>
        </m:oMath>
      </m:oMathPara>
    </w:p>
    <w:p w14:paraId="6857BCDC" w14:textId="77777777" w:rsidR="008547CB" w:rsidRPr="00E51FD3" w:rsidRDefault="008547CB" w:rsidP="008547CB">
      <w:pPr>
        <w:spacing w:before="0" w:after="0"/>
        <w:ind w:left="1440"/>
        <w:rPr>
          <w:rFonts w:ascii="Cambria Math" w:hAnsi="Cambria Math"/>
          <w:i/>
          <w:sz w:val="18"/>
        </w:rPr>
      </w:pPr>
      <w:r w:rsidRPr="00E51FD3">
        <w:rPr>
          <w:rFonts w:ascii="Cambria Math" w:hAnsi="Cambria Math"/>
          <w:i/>
          <w:sz w:val="18"/>
        </w:rPr>
        <w:t xml:space="preserve">GPR = Water consumption (GPR) </w:t>
      </w:r>
    </w:p>
    <w:p w14:paraId="08F5433B" w14:textId="2287401E" w:rsidR="008547CB" w:rsidRDefault="008547CB" w:rsidP="008547CB">
      <w:pPr>
        <w:spacing w:before="0" w:after="0"/>
        <w:ind w:left="1440"/>
        <w:rPr>
          <w:rFonts w:ascii="Cambria Math" w:hAnsi="Cambria Math"/>
          <w:i/>
          <w:sz w:val="18"/>
        </w:rPr>
      </w:pPr>
      <w:r w:rsidRPr="00E51FD3">
        <w:rPr>
          <w:rFonts w:ascii="Cambria Math" w:hAnsi="Cambria Math"/>
          <w:i/>
          <w:sz w:val="18"/>
        </w:rPr>
        <w:t>RACK</w:t>
      </w:r>
      <w:r>
        <w:rPr>
          <w:rFonts w:ascii="Cambria Math" w:hAnsi="Cambria Math"/>
          <w:i/>
          <w:sz w:val="18"/>
        </w:rPr>
        <w:t>S</w:t>
      </w:r>
      <w:r w:rsidRPr="00E51FD3">
        <w:rPr>
          <w:rFonts w:ascii="Cambria Math" w:hAnsi="Cambria Math"/>
          <w:i/>
          <w:sz w:val="18"/>
        </w:rPr>
        <w:t xml:space="preserve"> = Number of racks washed per </w:t>
      </w:r>
      <w:r>
        <w:rPr>
          <w:rFonts w:ascii="Cambria Math" w:hAnsi="Cambria Math"/>
          <w:i/>
          <w:sz w:val="18"/>
        </w:rPr>
        <w:t>day</w:t>
      </w:r>
      <w:r w:rsidRPr="00E51FD3">
        <w:rPr>
          <w:rFonts w:ascii="Cambria Math" w:hAnsi="Cambria Math"/>
          <w:i/>
          <w:sz w:val="18"/>
        </w:rPr>
        <w:t xml:space="preserve"> (</w:t>
      </w:r>
      <w:r w:rsidR="00044750">
        <w:rPr>
          <w:rFonts w:ascii="Cambria Math" w:hAnsi="Cambria Math"/>
          <w:i/>
          <w:sz w:val="18"/>
        </w:rPr>
        <w:t>rack/day</w:t>
      </w:r>
      <w:r w:rsidRPr="00E51FD3">
        <w:rPr>
          <w:rFonts w:ascii="Cambria Math" w:hAnsi="Cambria Math"/>
          <w:i/>
          <w:sz w:val="18"/>
        </w:rPr>
        <w:t>)</w:t>
      </w:r>
    </w:p>
    <w:p w14:paraId="4420D2D9" w14:textId="77777777" w:rsidR="008547CB" w:rsidRPr="00E51FD3" w:rsidRDefault="008547CB" w:rsidP="008547CB">
      <w:pPr>
        <w:spacing w:before="0" w:after="0"/>
        <w:ind w:left="1440"/>
        <w:rPr>
          <w:rFonts w:ascii="Cambria Math" w:hAnsi="Cambria Math"/>
          <w:i/>
          <w:sz w:val="18"/>
        </w:rPr>
      </w:pPr>
      <w:r>
        <w:rPr>
          <w:rFonts w:ascii="Cambria Math" w:hAnsi="Cambria Math"/>
          <w:i/>
          <w:sz w:val="18"/>
        </w:rPr>
        <w:t>EDAYS = Operating days per year (days)</w:t>
      </w:r>
    </w:p>
    <w:p w14:paraId="6BD1BD4A" w14:textId="77777777" w:rsidR="008547CB" w:rsidRPr="003940FE" w:rsidRDefault="008547CB" w:rsidP="002119F6">
      <w:pPr>
        <w:ind w:left="810"/>
        <w:rPr>
          <w:i/>
          <w:sz w:val="18"/>
          <w:szCs w:val="18"/>
        </w:rPr>
      </w:pPr>
    </w:p>
    <w:p w14:paraId="4DA8C401" w14:textId="601A3840" w:rsidR="002A5486" w:rsidRPr="002A5486" w:rsidRDefault="00B8600B" w:rsidP="002A5486">
      <w:pPr>
        <w:ind w:left="720"/>
        <w:rPr>
          <w:i/>
          <w:sz w:val="18"/>
          <w:szCs w:val="18"/>
        </w:rPr>
      </w:pPr>
      <m:oMathPara>
        <m:oMathParaPr>
          <m:jc m:val="left"/>
        </m:oMathParaPr>
        <m:oMath>
          <m:r>
            <w:rPr>
              <w:rFonts w:ascii="Cambria Math" w:hAnsi="Cambria Math"/>
              <w:sz w:val="18"/>
              <w:szCs w:val="18"/>
            </w:rPr>
            <m:t>UWS =</m:t>
          </m:r>
          <m:sSub>
            <m:sSubPr>
              <m:ctrlPr>
                <w:rPr>
                  <w:rFonts w:ascii="Cambria Math" w:hAnsi="Cambria Math"/>
                  <w:i/>
                  <w:sz w:val="18"/>
                  <w:szCs w:val="18"/>
                </w:rPr>
              </m:ctrlPr>
            </m:sSubPr>
            <m:e>
              <m:r>
                <w:rPr>
                  <w:rFonts w:ascii="Cambria Math" w:hAnsi="Cambria Math"/>
                  <w:sz w:val="18"/>
                  <w:szCs w:val="18"/>
                </w:rPr>
                <m:t>UWC</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UWC</m:t>
              </m:r>
            </m:e>
            <m:sub>
              <m:r>
                <w:rPr>
                  <w:rFonts w:ascii="Cambria Math" w:hAnsi="Cambria Math"/>
                  <w:sz w:val="18"/>
                  <w:szCs w:val="18"/>
                </w:rPr>
                <m:t>Measure</m:t>
              </m:r>
            </m:sub>
          </m:sSub>
        </m:oMath>
      </m:oMathPara>
    </w:p>
    <w:p w14:paraId="301D082D" w14:textId="79DABDFE" w:rsidR="002C67DF" w:rsidRPr="00B8600B" w:rsidRDefault="00B8600B" w:rsidP="008547CB">
      <w:pPr>
        <w:spacing w:before="0" w:after="0"/>
        <w:ind w:left="1440"/>
        <w:rPr>
          <w:rFonts w:ascii="Cambria Math" w:hAnsi="Cambria Math"/>
          <w:i/>
          <w:sz w:val="18"/>
        </w:rPr>
      </w:pPr>
      <w:r w:rsidRPr="00B8600B">
        <w:rPr>
          <w:rFonts w:ascii="Cambria Math" w:hAnsi="Cambria Math"/>
          <w:i/>
          <w:sz w:val="18"/>
        </w:rPr>
        <w:t xml:space="preserve">UWC = Annual </w:t>
      </w:r>
      <w:r w:rsidR="008547CB">
        <w:rPr>
          <w:rFonts w:ascii="Cambria Math" w:hAnsi="Cambria Math"/>
          <w:i/>
          <w:sz w:val="18"/>
        </w:rPr>
        <w:t>u</w:t>
      </w:r>
      <w:r w:rsidRPr="00B8600B">
        <w:rPr>
          <w:rFonts w:ascii="Cambria Math" w:hAnsi="Cambria Math"/>
          <w:i/>
          <w:sz w:val="18"/>
        </w:rPr>
        <w:t xml:space="preserve">nit water consumption </w:t>
      </w:r>
      <w:r w:rsidR="008547CB">
        <w:rPr>
          <w:rFonts w:ascii="Cambria Math" w:hAnsi="Cambria Math"/>
          <w:i/>
          <w:sz w:val="18"/>
        </w:rPr>
        <w:t>(gal</w:t>
      </w:r>
      <w:r w:rsidR="000548C9">
        <w:rPr>
          <w:rFonts w:ascii="Cambria Math" w:hAnsi="Cambria Math"/>
          <w:i/>
          <w:sz w:val="18"/>
        </w:rPr>
        <w:t>/</w:t>
      </w:r>
      <w:r w:rsidR="008547CB">
        <w:rPr>
          <w:rFonts w:ascii="Cambria Math" w:hAnsi="Cambria Math"/>
          <w:i/>
          <w:sz w:val="18"/>
        </w:rPr>
        <w:t>year)</w:t>
      </w:r>
    </w:p>
    <w:p w14:paraId="753554AB" w14:textId="6F051E41" w:rsidR="00B8600B" w:rsidRPr="00B8600B" w:rsidRDefault="00B8600B" w:rsidP="008547CB">
      <w:pPr>
        <w:spacing w:before="0" w:after="0"/>
        <w:ind w:left="1440"/>
        <w:rPr>
          <w:rFonts w:ascii="Cambria Math" w:hAnsi="Cambria Math"/>
          <w:i/>
          <w:sz w:val="18"/>
        </w:rPr>
      </w:pPr>
      <w:r w:rsidRPr="00B8600B">
        <w:rPr>
          <w:rFonts w:ascii="Cambria Math" w:hAnsi="Cambria Math"/>
          <w:i/>
          <w:sz w:val="18"/>
        </w:rPr>
        <w:t>UWS = Annual unit water savings</w:t>
      </w:r>
      <w:r w:rsidR="008547CB">
        <w:rPr>
          <w:rFonts w:ascii="Cambria Math" w:hAnsi="Cambria Math"/>
          <w:i/>
          <w:sz w:val="18"/>
        </w:rPr>
        <w:t xml:space="preserve"> (gal</w:t>
      </w:r>
      <w:r w:rsidR="000548C9">
        <w:rPr>
          <w:rFonts w:ascii="Cambria Math" w:hAnsi="Cambria Math"/>
          <w:i/>
          <w:sz w:val="18"/>
        </w:rPr>
        <w:t>/y</w:t>
      </w:r>
      <w:r w:rsidR="008547CB">
        <w:rPr>
          <w:rFonts w:ascii="Cambria Math" w:hAnsi="Cambria Math"/>
          <w:i/>
          <w:sz w:val="18"/>
        </w:rPr>
        <w:t>ear)</w:t>
      </w:r>
    </w:p>
    <w:p w14:paraId="363E33AE" w14:textId="77777777" w:rsidR="00B8600B" w:rsidRDefault="00B8600B" w:rsidP="004142EF"/>
    <w:p w14:paraId="64CF7911" w14:textId="77777777" w:rsidR="00150986" w:rsidRPr="004B06E3" w:rsidRDefault="00150986" w:rsidP="001369D7">
      <w:pPr>
        <w:pStyle w:val="eTRMHeading3"/>
      </w:pPr>
      <w:bookmarkStart w:id="82" w:name="_Toc490461312"/>
      <w:bookmarkStart w:id="83" w:name="_Toc528680038"/>
      <w:bookmarkStart w:id="84" w:name="_Toc486490866"/>
      <w:bookmarkStart w:id="85" w:name="_Toc486580937"/>
      <w:r>
        <w:t>DEER Differences Analysis</w:t>
      </w:r>
      <w:bookmarkEnd w:id="82"/>
      <w:bookmarkEnd w:id="83"/>
    </w:p>
    <w:p w14:paraId="3521FF85" w14:textId="77777777" w:rsidR="00B646BA" w:rsidRDefault="00B646BA" w:rsidP="00B646BA">
      <w:bookmarkStart w:id="86" w:name="_Hlk526856348"/>
      <w:r>
        <w:t>The table below summarizes the inputs and methods that are and are not based upon the Database for Energy Efficient Resources (DEER).</w:t>
      </w:r>
    </w:p>
    <w:bookmarkEnd w:id="86"/>
    <w:p w14:paraId="189E7947" w14:textId="7A427C5F" w:rsidR="00150986" w:rsidRPr="00920905" w:rsidRDefault="00150986" w:rsidP="00150986">
      <w:pPr>
        <w:pStyle w:val="Caption"/>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318"/>
        <w:gridCol w:w="6272"/>
      </w:tblGrid>
      <w:tr w:rsidR="00150986" w:rsidRPr="00500C4E" w14:paraId="487A3E42" w14:textId="77777777" w:rsidTr="00A935B5">
        <w:trPr>
          <w:trHeight w:val="20"/>
        </w:trPr>
        <w:tc>
          <w:tcPr>
            <w:tcW w:w="1730" w:type="pct"/>
            <w:shd w:val="clear" w:color="auto" w:fill="F2F2F2" w:themeFill="background1" w:themeFillShade="F2"/>
          </w:tcPr>
          <w:p w14:paraId="129F59D5" w14:textId="77777777" w:rsidR="00150986" w:rsidRPr="00EA057C" w:rsidRDefault="00150986" w:rsidP="00A935B5">
            <w:pPr>
              <w:keepNext/>
              <w:keepLines/>
              <w:tabs>
                <w:tab w:val="right" w:pos="2957"/>
              </w:tabs>
              <w:spacing w:before="20" w:after="20"/>
              <w:rPr>
                <w:rFonts w:cs="Arial"/>
                <w:b/>
                <w:sz w:val="20"/>
                <w:szCs w:val="20"/>
              </w:rPr>
            </w:pPr>
            <w:bookmarkStart w:id="87" w:name="_Hlk494375513"/>
            <w:r w:rsidRPr="00EA057C">
              <w:rPr>
                <w:rFonts w:cs="Arial"/>
                <w:b/>
                <w:sz w:val="20"/>
                <w:szCs w:val="20"/>
              </w:rPr>
              <w:t>DEER Item</w:t>
            </w:r>
          </w:p>
        </w:tc>
        <w:tc>
          <w:tcPr>
            <w:tcW w:w="3270" w:type="pct"/>
            <w:shd w:val="clear" w:color="auto" w:fill="F2F2F2" w:themeFill="background1" w:themeFillShade="F2"/>
          </w:tcPr>
          <w:p w14:paraId="06460D56" w14:textId="77777777" w:rsidR="00150986" w:rsidRPr="00EA057C" w:rsidRDefault="00150986" w:rsidP="00A935B5">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150986" w:rsidRPr="00500C4E" w14:paraId="230B8AF4" w14:textId="77777777" w:rsidTr="00A935B5">
        <w:trPr>
          <w:trHeight w:val="20"/>
        </w:trPr>
        <w:tc>
          <w:tcPr>
            <w:tcW w:w="1730" w:type="pct"/>
          </w:tcPr>
          <w:p w14:paraId="14B355A7" w14:textId="77777777" w:rsidR="00150986" w:rsidRPr="00EA057C" w:rsidRDefault="00150986" w:rsidP="00A935B5">
            <w:pPr>
              <w:keepNext/>
              <w:keepLines/>
              <w:spacing w:before="20" w:after="20"/>
              <w:rPr>
                <w:rFonts w:cs="Arial"/>
                <w:sz w:val="20"/>
                <w:szCs w:val="20"/>
              </w:rPr>
            </w:pPr>
            <w:r w:rsidRPr="00EA057C">
              <w:rPr>
                <w:rFonts w:cs="Arial"/>
                <w:sz w:val="20"/>
                <w:szCs w:val="20"/>
              </w:rPr>
              <w:t>Modified DEER methodology</w:t>
            </w:r>
          </w:p>
        </w:tc>
        <w:tc>
          <w:tcPr>
            <w:tcW w:w="3270" w:type="pct"/>
          </w:tcPr>
          <w:p w14:paraId="3EE99BD2" w14:textId="506EEBDF" w:rsidR="00150986" w:rsidRPr="002A7BFF" w:rsidRDefault="008D6B89" w:rsidP="00A935B5">
            <w:pPr>
              <w:keepNext/>
              <w:keepLines/>
              <w:spacing w:before="20" w:after="20"/>
              <w:rPr>
                <w:rFonts w:cs="Arial"/>
                <w:sz w:val="20"/>
                <w:szCs w:val="20"/>
              </w:rPr>
            </w:pPr>
            <w:r w:rsidRPr="002A7BFF">
              <w:rPr>
                <w:rFonts w:cs="Arial"/>
                <w:sz w:val="20"/>
                <w:szCs w:val="20"/>
              </w:rPr>
              <w:t>No</w:t>
            </w:r>
          </w:p>
        </w:tc>
      </w:tr>
      <w:tr w:rsidR="00150986" w:rsidRPr="00500C4E" w14:paraId="253F6D3A" w14:textId="77777777" w:rsidTr="00A935B5">
        <w:trPr>
          <w:trHeight w:val="20"/>
        </w:trPr>
        <w:tc>
          <w:tcPr>
            <w:tcW w:w="1730" w:type="pct"/>
          </w:tcPr>
          <w:p w14:paraId="0CDE66F2" w14:textId="77777777" w:rsidR="00150986" w:rsidRPr="00EA057C" w:rsidRDefault="00150986" w:rsidP="00A935B5">
            <w:pPr>
              <w:keepNext/>
              <w:keepLines/>
              <w:spacing w:before="20" w:after="20"/>
              <w:rPr>
                <w:rFonts w:cs="Arial"/>
                <w:sz w:val="20"/>
                <w:szCs w:val="20"/>
              </w:rPr>
            </w:pPr>
            <w:r w:rsidRPr="00EA057C">
              <w:rPr>
                <w:rFonts w:cs="Arial"/>
                <w:sz w:val="20"/>
                <w:szCs w:val="20"/>
              </w:rPr>
              <w:t>Scaled DEER measure</w:t>
            </w:r>
          </w:p>
        </w:tc>
        <w:tc>
          <w:tcPr>
            <w:tcW w:w="3270" w:type="pct"/>
          </w:tcPr>
          <w:p w14:paraId="4B1FFD26" w14:textId="4A5BA546" w:rsidR="00150986" w:rsidRPr="002A7BFF" w:rsidRDefault="008D6B89" w:rsidP="00A935B5">
            <w:pPr>
              <w:keepNext/>
              <w:keepLines/>
              <w:spacing w:before="20" w:after="20"/>
              <w:rPr>
                <w:rFonts w:cs="Arial"/>
                <w:sz w:val="20"/>
                <w:szCs w:val="20"/>
              </w:rPr>
            </w:pPr>
            <w:r w:rsidRPr="002A7BFF">
              <w:rPr>
                <w:rFonts w:cs="Arial"/>
                <w:sz w:val="20"/>
                <w:szCs w:val="20"/>
              </w:rPr>
              <w:t>No</w:t>
            </w:r>
          </w:p>
        </w:tc>
      </w:tr>
      <w:tr w:rsidR="00150986" w:rsidRPr="00500C4E" w14:paraId="3D0766C0" w14:textId="77777777" w:rsidTr="00A935B5">
        <w:trPr>
          <w:trHeight w:val="20"/>
        </w:trPr>
        <w:tc>
          <w:tcPr>
            <w:tcW w:w="1730" w:type="pct"/>
          </w:tcPr>
          <w:p w14:paraId="0D4E1C6C" w14:textId="77777777" w:rsidR="00150986" w:rsidRPr="00EA057C" w:rsidRDefault="00150986" w:rsidP="00A935B5">
            <w:pPr>
              <w:keepNext/>
              <w:keepLines/>
              <w:spacing w:before="20" w:after="20"/>
              <w:rPr>
                <w:rFonts w:cs="Arial"/>
                <w:sz w:val="20"/>
                <w:szCs w:val="20"/>
              </w:rPr>
            </w:pPr>
            <w:r w:rsidRPr="00EA057C">
              <w:rPr>
                <w:rFonts w:cs="Arial"/>
                <w:sz w:val="20"/>
                <w:szCs w:val="20"/>
              </w:rPr>
              <w:t>DEER Base Case</w:t>
            </w:r>
          </w:p>
        </w:tc>
        <w:tc>
          <w:tcPr>
            <w:tcW w:w="3270" w:type="pct"/>
          </w:tcPr>
          <w:p w14:paraId="08A50041" w14:textId="38E05169" w:rsidR="00150986" w:rsidRPr="002A7BFF" w:rsidRDefault="008D6B89" w:rsidP="00A935B5">
            <w:pPr>
              <w:keepNext/>
              <w:keepLines/>
              <w:spacing w:before="20" w:after="20"/>
              <w:rPr>
                <w:rFonts w:cs="Arial"/>
                <w:sz w:val="20"/>
                <w:szCs w:val="20"/>
              </w:rPr>
            </w:pPr>
            <w:r w:rsidRPr="002A7BFF">
              <w:rPr>
                <w:rFonts w:cs="Arial"/>
                <w:sz w:val="20"/>
                <w:szCs w:val="20"/>
              </w:rPr>
              <w:t>No</w:t>
            </w:r>
          </w:p>
        </w:tc>
      </w:tr>
      <w:tr w:rsidR="00150986" w:rsidRPr="00500C4E" w14:paraId="5A7E2D11" w14:textId="77777777" w:rsidTr="00A935B5">
        <w:trPr>
          <w:trHeight w:val="20"/>
        </w:trPr>
        <w:tc>
          <w:tcPr>
            <w:tcW w:w="1730" w:type="pct"/>
          </w:tcPr>
          <w:p w14:paraId="5FFDA2DF" w14:textId="77777777" w:rsidR="00150986" w:rsidRPr="00EA057C" w:rsidRDefault="00150986" w:rsidP="00A935B5">
            <w:pPr>
              <w:keepNext/>
              <w:keepLines/>
              <w:spacing w:before="20" w:after="20"/>
              <w:rPr>
                <w:rFonts w:cs="Arial"/>
                <w:sz w:val="20"/>
                <w:szCs w:val="20"/>
              </w:rPr>
            </w:pPr>
            <w:r w:rsidRPr="00EA057C">
              <w:rPr>
                <w:rFonts w:cs="Arial"/>
                <w:sz w:val="20"/>
                <w:szCs w:val="20"/>
              </w:rPr>
              <w:t>DEER Measure Case</w:t>
            </w:r>
          </w:p>
        </w:tc>
        <w:tc>
          <w:tcPr>
            <w:tcW w:w="3270" w:type="pct"/>
          </w:tcPr>
          <w:p w14:paraId="205E3E06" w14:textId="10A000F7" w:rsidR="00150986" w:rsidRPr="002A7BFF" w:rsidRDefault="008D6B89" w:rsidP="00A935B5">
            <w:pPr>
              <w:keepNext/>
              <w:keepLines/>
              <w:spacing w:before="20" w:after="20"/>
              <w:rPr>
                <w:rFonts w:cs="Arial"/>
                <w:sz w:val="20"/>
                <w:szCs w:val="20"/>
              </w:rPr>
            </w:pPr>
            <w:r w:rsidRPr="002A7BFF">
              <w:rPr>
                <w:rFonts w:cs="Arial"/>
                <w:sz w:val="20"/>
                <w:szCs w:val="20"/>
              </w:rPr>
              <w:t>No</w:t>
            </w:r>
          </w:p>
        </w:tc>
      </w:tr>
      <w:tr w:rsidR="00150986" w:rsidRPr="00500C4E" w14:paraId="69332E2D" w14:textId="77777777" w:rsidTr="00A935B5">
        <w:trPr>
          <w:trHeight w:val="20"/>
        </w:trPr>
        <w:tc>
          <w:tcPr>
            <w:tcW w:w="1730" w:type="pct"/>
          </w:tcPr>
          <w:p w14:paraId="3593CA8E" w14:textId="77777777" w:rsidR="00150986" w:rsidRPr="00EA057C" w:rsidRDefault="00150986" w:rsidP="00A935B5">
            <w:pPr>
              <w:keepNext/>
              <w:keepLines/>
              <w:spacing w:before="20" w:after="20"/>
              <w:rPr>
                <w:rFonts w:cs="Arial"/>
                <w:sz w:val="20"/>
                <w:szCs w:val="20"/>
              </w:rPr>
            </w:pPr>
            <w:r w:rsidRPr="00EA057C">
              <w:rPr>
                <w:rFonts w:cs="Arial"/>
                <w:sz w:val="20"/>
                <w:szCs w:val="20"/>
              </w:rPr>
              <w:t>DEER Building Types</w:t>
            </w:r>
          </w:p>
        </w:tc>
        <w:tc>
          <w:tcPr>
            <w:tcW w:w="3270" w:type="pct"/>
          </w:tcPr>
          <w:p w14:paraId="01CE7A37" w14:textId="6551B2B5" w:rsidR="00150986" w:rsidRPr="002A7BFF" w:rsidRDefault="008D6B89" w:rsidP="00A935B5">
            <w:pPr>
              <w:keepNext/>
              <w:keepLines/>
              <w:spacing w:before="20" w:after="20"/>
              <w:rPr>
                <w:rFonts w:cs="Arial"/>
                <w:sz w:val="20"/>
                <w:szCs w:val="20"/>
              </w:rPr>
            </w:pPr>
            <w:r w:rsidRPr="002A7BFF">
              <w:rPr>
                <w:rFonts w:cs="Arial"/>
                <w:sz w:val="20"/>
                <w:szCs w:val="20"/>
              </w:rPr>
              <w:t>No</w:t>
            </w:r>
          </w:p>
        </w:tc>
      </w:tr>
      <w:tr w:rsidR="00150986" w:rsidRPr="00500C4E" w14:paraId="61197398" w14:textId="77777777" w:rsidTr="00A935B5">
        <w:trPr>
          <w:trHeight w:val="20"/>
        </w:trPr>
        <w:tc>
          <w:tcPr>
            <w:tcW w:w="1730" w:type="pct"/>
          </w:tcPr>
          <w:p w14:paraId="6B7F55E8" w14:textId="77777777" w:rsidR="00150986" w:rsidRPr="00EA057C" w:rsidRDefault="00150986" w:rsidP="00A935B5">
            <w:pPr>
              <w:keepNext/>
              <w:keepLines/>
              <w:spacing w:before="20" w:after="20"/>
              <w:rPr>
                <w:rFonts w:cs="Arial"/>
                <w:sz w:val="20"/>
                <w:szCs w:val="20"/>
              </w:rPr>
            </w:pPr>
            <w:r w:rsidRPr="00EA057C">
              <w:rPr>
                <w:rFonts w:cs="Arial"/>
                <w:sz w:val="20"/>
                <w:szCs w:val="20"/>
              </w:rPr>
              <w:t>DEER Operating Hours</w:t>
            </w:r>
          </w:p>
        </w:tc>
        <w:tc>
          <w:tcPr>
            <w:tcW w:w="3270" w:type="pct"/>
          </w:tcPr>
          <w:p w14:paraId="0F0F82CC" w14:textId="0A41C5B0" w:rsidR="00150986" w:rsidRPr="002A7BFF" w:rsidRDefault="008D6B89" w:rsidP="00A935B5">
            <w:pPr>
              <w:keepNext/>
              <w:keepLines/>
              <w:spacing w:before="20" w:after="20"/>
              <w:rPr>
                <w:rFonts w:cs="Arial"/>
                <w:sz w:val="20"/>
                <w:szCs w:val="20"/>
              </w:rPr>
            </w:pPr>
            <w:r w:rsidRPr="002A7BFF">
              <w:rPr>
                <w:rFonts w:cs="Arial"/>
                <w:sz w:val="20"/>
                <w:szCs w:val="20"/>
              </w:rPr>
              <w:t>No</w:t>
            </w:r>
          </w:p>
        </w:tc>
      </w:tr>
      <w:tr w:rsidR="00150986" w:rsidRPr="00500C4E" w14:paraId="4849C916" w14:textId="77777777" w:rsidTr="00A935B5">
        <w:trPr>
          <w:trHeight w:val="20"/>
        </w:trPr>
        <w:tc>
          <w:tcPr>
            <w:tcW w:w="1730" w:type="pct"/>
          </w:tcPr>
          <w:p w14:paraId="287483DC" w14:textId="77777777" w:rsidR="00150986" w:rsidRPr="00EA057C" w:rsidRDefault="00150986" w:rsidP="00A935B5">
            <w:pPr>
              <w:keepNext/>
              <w:keepLines/>
              <w:spacing w:before="20" w:after="20"/>
              <w:rPr>
                <w:rFonts w:cs="Arial"/>
                <w:sz w:val="20"/>
                <w:szCs w:val="20"/>
              </w:rPr>
            </w:pPr>
            <w:r w:rsidRPr="00EA057C">
              <w:rPr>
                <w:rFonts w:cs="Arial"/>
                <w:sz w:val="20"/>
                <w:szCs w:val="20"/>
              </w:rPr>
              <w:t>DEER eQUEST Prototypes</w:t>
            </w:r>
          </w:p>
        </w:tc>
        <w:tc>
          <w:tcPr>
            <w:tcW w:w="3270" w:type="pct"/>
          </w:tcPr>
          <w:p w14:paraId="18F34925" w14:textId="2F9BCEB0" w:rsidR="00150986" w:rsidRPr="002A7BFF" w:rsidDel="00505CEC" w:rsidRDefault="008D6B89" w:rsidP="00A935B5">
            <w:pPr>
              <w:keepNext/>
              <w:keepLines/>
              <w:spacing w:before="20" w:after="20"/>
              <w:rPr>
                <w:rFonts w:cs="Arial"/>
                <w:sz w:val="20"/>
                <w:szCs w:val="20"/>
              </w:rPr>
            </w:pPr>
            <w:r w:rsidRPr="002A7BFF">
              <w:rPr>
                <w:rFonts w:cs="Arial"/>
                <w:sz w:val="20"/>
                <w:szCs w:val="20"/>
              </w:rPr>
              <w:t>n/a – Applicable to all restaurant and kitchen facilities</w:t>
            </w:r>
          </w:p>
        </w:tc>
      </w:tr>
      <w:tr w:rsidR="00150986" w:rsidRPr="00500C4E" w14:paraId="42F0452E" w14:textId="77777777" w:rsidTr="00A935B5">
        <w:trPr>
          <w:trHeight w:val="180"/>
        </w:trPr>
        <w:tc>
          <w:tcPr>
            <w:tcW w:w="1730" w:type="pct"/>
          </w:tcPr>
          <w:p w14:paraId="51B4371E" w14:textId="77777777" w:rsidR="00150986" w:rsidRPr="00EA057C" w:rsidRDefault="00150986" w:rsidP="00A935B5">
            <w:pPr>
              <w:keepNext/>
              <w:keepLines/>
              <w:spacing w:before="20" w:after="20"/>
              <w:rPr>
                <w:rFonts w:cs="Arial"/>
                <w:sz w:val="20"/>
                <w:szCs w:val="20"/>
              </w:rPr>
            </w:pPr>
            <w:r w:rsidRPr="00EA057C">
              <w:rPr>
                <w:rFonts w:cs="Arial"/>
                <w:sz w:val="20"/>
                <w:szCs w:val="20"/>
              </w:rPr>
              <w:t>DEER Version</w:t>
            </w:r>
          </w:p>
        </w:tc>
        <w:tc>
          <w:tcPr>
            <w:tcW w:w="3270" w:type="pct"/>
          </w:tcPr>
          <w:p w14:paraId="09B369D8" w14:textId="7FAAD8E2" w:rsidR="00150986" w:rsidRPr="002A7BFF" w:rsidRDefault="008D6B89" w:rsidP="00A935B5">
            <w:pPr>
              <w:keepNext/>
              <w:keepLines/>
              <w:spacing w:before="20" w:after="20"/>
              <w:rPr>
                <w:rFonts w:cs="Arial"/>
                <w:sz w:val="20"/>
                <w:szCs w:val="20"/>
              </w:rPr>
            </w:pPr>
            <w:r w:rsidRPr="002A7BFF">
              <w:rPr>
                <w:rFonts w:cs="Arial"/>
                <w:sz w:val="20"/>
                <w:szCs w:val="20"/>
              </w:rPr>
              <w:t>None</w:t>
            </w:r>
          </w:p>
        </w:tc>
      </w:tr>
      <w:tr w:rsidR="00150986" w:rsidRPr="00500C4E" w14:paraId="63E4E4DA" w14:textId="77777777" w:rsidTr="00A935B5">
        <w:trPr>
          <w:trHeight w:val="20"/>
        </w:trPr>
        <w:tc>
          <w:tcPr>
            <w:tcW w:w="1730" w:type="pct"/>
          </w:tcPr>
          <w:p w14:paraId="169ADB04" w14:textId="77777777" w:rsidR="00150986" w:rsidRPr="00EA057C" w:rsidRDefault="00150986" w:rsidP="00A935B5">
            <w:pPr>
              <w:keepNext/>
              <w:keepLines/>
              <w:spacing w:before="20" w:after="20"/>
              <w:rPr>
                <w:rFonts w:cs="Arial"/>
                <w:sz w:val="20"/>
                <w:szCs w:val="20"/>
              </w:rPr>
            </w:pPr>
            <w:r w:rsidRPr="00EA057C">
              <w:rPr>
                <w:rFonts w:cs="Arial"/>
                <w:sz w:val="20"/>
                <w:szCs w:val="20"/>
              </w:rPr>
              <w:t>Reason for Deviation from DEER</w:t>
            </w:r>
          </w:p>
        </w:tc>
        <w:tc>
          <w:tcPr>
            <w:tcW w:w="3270" w:type="pct"/>
          </w:tcPr>
          <w:p w14:paraId="4DD0F21B" w14:textId="79EC5B9B" w:rsidR="00150986" w:rsidRPr="002A7BFF" w:rsidRDefault="008D6B89" w:rsidP="00A935B5">
            <w:pPr>
              <w:keepNext/>
              <w:keepLines/>
              <w:spacing w:before="20" w:after="20"/>
              <w:rPr>
                <w:rFonts w:cs="Arial"/>
                <w:sz w:val="20"/>
                <w:szCs w:val="20"/>
              </w:rPr>
            </w:pPr>
            <w:r w:rsidRPr="002A7BFF">
              <w:rPr>
                <w:rFonts w:cs="Arial"/>
                <w:sz w:val="20"/>
                <w:szCs w:val="20"/>
              </w:rPr>
              <w:t>DEER 2014 does not contain information on energy use or savings or equipment costs for an energy-efficient commercial dishwasher.</w:t>
            </w:r>
          </w:p>
        </w:tc>
      </w:tr>
      <w:tr w:rsidR="00150986" w:rsidRPr="00500C4E" w14:paraId="1F0DA33A" w14:textId="77777777" w:rsidTr="00A935B5">
        <w:trPr>
          <w:trHeight w:val="20"/>
        </w:trPr>
        <w:tc>
          <w:tcPr>
            <w:tcW w:w="1730" w:type="pct"/>
          </w:tcPr>
          <w:p w14:paraId="5F2C6060" w14:textId="77777777" w:rsidR="00150986" w:rsidRPr="00EA057C" w:rsidRDefault="00150986" w:rsidP="00A935B5">
            <w:pPr>
              <w:keepNext/>
              <w:keepLines/>
              <w:spacing w:before="20" w:after="20"/>
              <w:rPr>
                <w:rFonts w:cs="Arial"/>
                <w:sz w:val="20"/>
                <w:szCs w:val="20"/>
              </w:rPr>
            </w:pPr>
            <w:r w:rsidRPr="00EA057C">
              <w:rPr>
                <w:rFonts w:cs="Arial"/>
                <w:sz w:val="20"/>
                <w:szCs w:val="20"/>
              </w:rPr>
              <w:t>DEER Measure IDs Used</w:t>
            </w:r>
          </w:p>
        </w:tc>
        <w:tc>
          <w:tcPr>
            <w:tcW w:w="3270" w:type="pct"/>
          </w:tcPr>
          <w:p w14:paraId="447A3344" w14:textId="7B833940" w:rsidR="00150986" w:rsidRPr="002A7BFF" w:rsidRDefault="008D6B89" w:rsidP="00A935B5">
            <w:pPr>
              <w:keepNext/>
              <w:keepLines/>
              <w:spacing w:before="20" w:after="20"/>
              <w:rPr>
                <w:rFonts w:cs="Arial"/>
                <w:sz w:val="20"/>
                <w:szCs w:val="20"/>
              </w:rPr>
            </w:pPr>
            <w:r w:rsidRPr="002A7BFF">
              <w:rPr>
                <w:rFonts w:cs="Arial"/>
                <w:sz w:val="20"/>
                <w:szCs w:val="20"/>
              </w:rPr>
              <w:t>n/a</w:t>
            </w:r>
          </w:p>
        </w:tc>
      </w:tr>
      <w:tr w:rsidR="002D4E5D" w:rsidRPr="00500C4E" w14:paraId="0F109B2C" w14:textId="77777777" w:rsidTr="00A935B5">
        <w:trPr>
          <w:trHeight w:val="20"/>
        </w:trPr>
        <w:tc>
          <w:tcPr>
            <w:tcW w:w="1730" w:type="pct"/>
          </w:tcPr>
          <w:p w14:paraId="693BB4A5" w14:textId="77777777" w:rsidR="002D4E5D" w:rsidRPr="00EA057C" w:rsidRDefault="002D4E5D" w:rsidP="002D4E5D">
            <w:pPr>
              <w:keepNext/>
              <w:keepLines/>
              <w:spacing w:before="20" w:after="20"/>
              <w:rPr>
                <w:rFonts w:cs="Arial"/>
                <w:sz w:val="20"/>
                <w:szCs w:val="20"/>
              </w:rPr>
            </w:pPr>
            <w:r>
              <w:rPr>
                <w:rFonts w:cs="Arial"/>
                <w:sz w:val="20"/>
                <w:szCs w:val="20"/>
              </w:rPr>
              <w:t>NTG</w:t>
            </w:r>
          </w:p>
        </w:tc>
        <w:tc>
          <w:tcPr>
            <w:tcW w:w="3270" w:type="pct"/>
          </w:tcPr>
          <w:p w14:paraId="328E1035" w14:textId="0E6BD344" w:rsidR="002D4E5D" w:rsidRPr="00F706A7" w:rsidRDefault="002D4E5D" w:rsidP="002D4E5D">
            <w:pPr>
              <w:keepNext/>
              <w:keepLines/>
              <w:spacing w:before="20" w:after="20"/>
              <w:rPr>
                <w:rFonts w:cs="Arial"/>
                <w:sz w:val="20"/>
                <w:szCs w:val="20"/>
              </w:rPr>
            </w:pPr>
            <w:r w:rsidRPr="0051010E">
              <w:rPr>
                <w:rStyle w:val="eTRMFootnoteTextChar"/>
                <w:sz w:val="20"/>
                <w:szCs w:val="20"/>
              </w:rPr>
              <w:t xml:space="preserve">Source: DEER. </w:t>
            </w:r>
            <w:r w:rsidRPr="0051010E">
              <w:rPr>
                <w:sz w:val="20"/>
                <w:szCs w:val="20"/>
              </w:rPr>
              <w:t xml:space="preserve">NTG of 0.60 is associated with NTG ID:  </w:t>
            </w:r>
            <w:r w:rsidRPr="0051010E">
              <w:rPr>
                <w:rFonts w:cs="Arial"/>
                <w:i/>
                <w:sz w:val="20"/>
                <w:szCs w:val="20"/>
              </w:rPr>
              <w:t>Com-Default&gt;2yrs</w:t>
            </w:r>
            <w:r w:rsidRPr="0051010E">
              <w:rPr>
                <w:sz w:val="20"/>
                <w:szCs w:val="20"/>
              </w:rPr>
              <w:t xml:space="preserve">, </w:t>
            </w:r>
            <w:r w:rsidRPr="0051010E">
              <w:rPr>
                <w:i/>
                <w:sz w:val="20"/>
                <w:szCs w:val="20"/>
              </w:rPr>
              <w:t>Ag</w:t>
            </w:r>
            <w:r w:rsidR="00982CE0">
              <w:rPr>
                <w:i/>
                <w:sz w:val="20"/>
                <w:szCs w:val="20"/>
              </w:rPr>
              <w:t>ric</w:t>
            </w:r>
            <w:r w:rsidRPr="0051010E">
              <w:rPr>
                <w:i/>
                <w:sz w:val="20"/>
                <w:szCs w:val="20"/>
              </w:rPr>
              <w:t>-Default&gt;2yrs</w:t>
            </w:r>
            <w:r w:rsidRPr="0051010E">
              <w:rPr>
                <w:sz w:val="20"/>
                <w:szCs w:val="20"/>
              </w:rPr>
              <w:t xml:space="preserve">, </w:t>
            </w:r>
            <w:r w:rsidRPr="0051010E">
              <w:rPr>
                <w:i/>
                <w:sz w:val="20"/>
                <w:szCs w:val="20"/>
              </w:rPr>
              <w:t>Ind-Default&gt;2yrs</w:t>
            </w:r>
          </w:p>
        </w:tc>
      </w:tr>
      <w:tr w:rsidR="00150986" w:rsidRPr="00500C4E" w14:paraId="12BF5346" w14:textId="77777777" w:rsidTr="00A935B5">
        <w:trPr>
          <w:trHeight w:val="20"/>
        </w:trPr>
        <w:tc>
          <w:tcPr>
            <w:tcW w:w="1730" w:type="pct"/>
          </w:tcPr>
          <w:p w14:paraId="0B1D9944" w14:textId="77777777" w:rsidR="00150986" w:rsidRDefault="00150986" w:rsidP="00A935B5">
            <w:pPr>
              <w:keepNext/>
              <w:keepLines/>
              <w:spacing w:before="20" w:after="20"/>
              <w:rPr>
                <w:rFonts w:cs="Arial"/>
                <w:sz w:val="20"/>
                <w:szCs w:val="20"/>
              </w:rPr>
            </w:pPr>
            <w:r>
              <w:rPr>
                <w:rFonts w:cs="Arial"/>
                <w:sz w:val="20"/>
                <w:szCs w:val="20"/>
              </w:rPr>
              <w:t>GSIA</w:t>
            </w:r>
          </w:p>
        </w:tc>
        <w:tc>
          <w:tcPr>
            <w:tcW w:w="3270" w:type="pct"/>
          </w:tcPr>
          <w:p w14:paraId="098D749D" w14:textId="06A3AEAA" w:rsidR="00150986" w:rsidRPr="00C377AC" w:rsidRDefault="005C19BB" w:rsidP="00F706A7">
            <w:pPr>
              <w:keepNext/>
              <w:keepLines/>
              <w:spacing w:before="20" w:after="20"/>
              <w:rPr>
                <w:rFonts w:cs="Arial"/>
                <w:sz w:val="20"/>
                <w:szCs w:val="20"/>
              </w:rPr>
            </w:pPr>
            <w:r w:rsidRPr="00C377AC">
              <w:rPr>
                <w:sz w:val="20"/>
                <w:szCs w:val="20"/>
              </w:rPr>
              <w:t xml:space="preserve">Source: </w:t>
            </w:r>
            <w:r w:rsidR="002A5486" w:rsidRPr="00C377AC">
              <w:rPr>
                <w:sz w:val="20"/>
                <w:szCs w:val="20"/>
              </w:rPr>
              <w:t>DEER</w:t>
            </w:r>
            <w:r w:rsidR="00C01FE1">
              <w:rPr>
                <w:sz w:val="20"/>
                <w:szCs w:val="20"/>
              </w:rPr>
              <w:t xml:space="preserve">. The value of 1.0 is associated with GSIA ID: </w:t>
            </w:r>
            <w:r w:rsidR="00C01FE1" w:rsidRPr="00C01FE1">
              <w:rPr>
                <w:i/>
                <w:sz w:val="20"/>
                <w:szCs w:val="20"/>
              </w:rPr>
              <w:t>Def-GSIA</w:t>
            </w:r>
          </w:p>
        </w:tc>
      </w:tr>
      <w:tr w:rsidR="00150986" w:rsidRPr="00500C4E" w14:paraId="51026DBE" w14:textId="77777777" w:rsidTr="00A935B5">
        <w:trPr>
          <w:trHeight w:val="20"/>
        </w:trPr>
        <w:tc>
          <w:tcPr>
            <w:tcW w:w="1730" w:type="pct"/>
          </w:tcPr>
          <w:p w14:paraId="50EA6CA9" w14:textId="77777777" w:rsidR="00150986" w:rsidRDefault="00150986" w:rsidP="00A935B5">
            <w:pPr>
              <w:keepNext/>
              <w:keepLines/>
              <w:spacing w:before="20" w:after="20"/>
              <w:rPr>
                <w:rFonts w:cs="Arial"/>
                <w:sz w:val="20"/>
                <w:szCs w:val="20"/>
              </w:rPr>
            </w:pPr>
            <w:r>
              <w:rPr>
                <w:rFonts w:cs="Arial"/>
                <w:sz w:val="20"/>
                <w:szCs w:val="20"/>
              </w:rPr>
              <w:t>EUL/RUL</w:t>
            </w:r>
          </w:p>
        </w:tc>
        <w:tc>
          <w:tcPr>
            <w:tcW w:w="3270" w:type="pct"/>
          </w:tcPr>
          <w:p w14:paraId="4C576D21" w14:textId="6DEF5B77" w:rsidR="00150986" w:rsidRPr="00E403F7" w:rsidRDefault="002F6007" w:rsidP="002F6007">
            <w:pPr>
              <w:keepNext/>
              <w:keepLines/>
              <w:spacing w:before="20" w:after="20"/>
              <w:rPr>
                <w:sz w:val="20"/>
                <w:szCs w:val="20"/>
              </w:rPr>
            </w:pPr>
            <w:r>
              <w:rPr>
                <w:sz w:val="20"/>
                <w:szCs w:val="20"/>
              </w:rPr>
              <w:t xml:space="preserve">Source: </w:t>
            </w:r>
            <w:r w:rsidR="00C541C9" w:rsidRPr="00C377AC">
              <w:rPr>
                <w:sz w:val="20"/>
                <w:szCs w:val="20"/>
              </w:rPr>
              <w:t>ENERGY STAR</w:t>
            </w:r>
            <w:r>
              <w:rPr>
                <w:sz w:val="20"/>
                <w:szCs w:val="20"/>
              </w:rPr>
              <w:t xml:space="preserve">. </w:t>
            </w:r>
            <w:r w:rsidR="00C01FE1">
              <w:rPr>
                <w:sz w:val="20"/>
                <w:szCs w:val="20"/>
              </w:rPr>
              <w:t>The value of</w:t>
            </w:r>
            <w:r>
              <w:rPr>
                <w:sz w:val="20"/>
                <w:szCs w:val="20"/>
              </w:rPr>
              <w:t xml:space="preserve"> 15 yea</w:t>
            </w:r>
            <w:r w:rsidR="00C01FE1">
              <w:rPr>
                <w:sz w:val="20"/>
                <w:szCs w:val="20"/>
              </w:rPr>
              <w:t xml:space="preserve">rs is associated with EUL ID: </w:t>
            </w:r>
            <w:r w:rsidR="00C01FE1" w:rsidRPr="00C01FE1">
              <w:rPr>
                <w:i/>
                <w:sz w:val="20"/>
                <w:szCs w:val="20"/>
              </w:rPr>
              <w:t>Appl-DW-Dtu</w:t>
            </w:r>
          </w:p>
        </w:tc>
      </w:tr>
      <w:bookmarkEnd w:id="87"/>
    </w:tbl>
    <w:p w14:paraId="6538FB4C" w14:textId="77777777" w:rsidR="00150986" w:rsidRDefault="00150986" w:rsidP="00150986"/>
    <w:p w14:paraId="5B547DD6" w14:textId="77777777" w:rsidR="007C644C" w:rsidRDefault="007C644C" w:rsidP="007C644C">
      <w:pPr>
        <w:pStyle w:val="eTRMHeading3"/>
      </w:pPr>
      <w:bookmarkStart w:id="88" w:name="_Toc515951877"/>
      <w:bookmarkStart w:id="89" w:name="_Toc528680039"/>
      <w:bookmarkStart w:id="90" w:name="_Hlk516047558"/>
      <w:bookmarkEnd w:id="84"/>
      <w:bookmarkEnd w:id="85"/>
      <w:r>
        <w:t>Revision History</w:t>
      </w:r>
      <w:bookmarkEnd w:id="88"/>
      <w:bookmarkEnd w:id="89"/>
    </w:p>
    <w:p w14:paraId="536C5D1F" w14:textId="3158A123" w:rsidR="007C644C" w:rsidRDefault="007C644C" w:rsidP="007C644C">
      <w:pPr>
        <w:pStyle w:val="Caption"/>
      </w:pPr>
      <w:bookmarkStart w:id="91" w:name="_Hlk515959178"/>
      <w:r>
        <w:t>Measure Characterization Revision History</w:t>
      </w:r>
    </w:p>
    <w:tbl>
      <w:tblPr>
        <w:tblW w:w="4940" w:type="pct"/>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899"/>
        <w:gridCol w:w="1442"/>
        <w:gridCol w:w="1798"/>
        <w:gridCol w:w="5336"/>
      </w:tblGrid>
      <w:tr w:rsidR="007C644C" w14:paraId="4459A67F" w14:textId="77777777" w:rsidTr="00163923">
        <w:trPr>
          <w:trHeight w:val="20"/>
        </w:trPr>
        <w:tc>
          <w:tcPr>
            <w:tcW w:w="47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7F3D5B0E" w14:textId="77777777" w:rsidR="007C644C" w:rsidRDefault="007C644C">
            <w:pPr>
              <w:keepNext/>
              <w:keepLines/>
              <w:tabs>
                <w:tab w:val="right" w:pos="2957"/>
              </w:tabs>
              <w:spacing w:before="20" w:after="20"/>
              <w:rPr>
                <w:rFonts w:cs="Arial"/>
                <w:b/>
                <w:sz w:val="20"/>
                <w:szCs w:val="20"/>
              </w:rPr>
            </w:pPr>
            <w:r>
              <w:rPr>
                <w:rFonts w:cs="Arial"/>
                <w:b/>
                <w:sz w:val="20"/>
                <w:szCs w:val="20"/>
              </w:rPr>
              <w:t>Revision Number</w:t>
            </w:r>
          </w:p>
        </w:tc>
        <w:tc>
          <w:tcPr>
            <w:tcW w:w="76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6FDB1E65" w14:textId="23ACC9D6" w:rsidR="007C644C" w:rsidRDefault="00AF2163">
            <w:pPr>
              <w:keepNext/>
              <w:keepLines/>
              <w:spacing w:before="20" w:after="20"/>
              <w:rPr>
                <w:rFonts w:cs="Arial"/>
                <w:b/>
                <w:sz w:val="20"/>
                <w:szCs w:val="20"/>
              </w:rPr>
            </w:pPr>
            <w:r>
              <w:rPr>
                <w:rFonts w:cs="Arial"/>
                <w:b/>
                <w:sz w:val="20"/>
                <w:szCs w:val="20"/>
              </w:rPr>
              <w:t xml:space="preserve">Revision Complete </w:t>
            </w:r>
            <w:r w:rsidR="007C644C">
              <w:rPr>
                <w:rFonts w:cs="Arial"/>
                <w:b/>
                <w:sz w:val="20"/>
                <w:szCs w:val="20"/>
              </w:rPr>
              <w:t>Date</w:t>
            </w:r>
          </w:p>
        </w:tc>
        <w:tc>
          <w:tcPr>
            <w:tcW w:w="94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442A01B3" w14:textId="77777777" w:rsidR="007C644C" w:rsidRDefault="007C644C">
            <w:pPr>
              <w:keepNext/>
              <w:keepLines/>
              <w:spacing w:before="20" w:after="20"/>
              <w:rPr>
                <w:rFonts w:cs="Arial"/>
                <w:b/>
                <w:sz w:val="20"/>
                <w:szCs w:val="20"/>
              </w:rPr>
            </w:pPr>
            <w:r>
              <w:rPr>
                <w:rFonts w:cs="Arial"/>
                <w:b/>
                <w:sz w:val="20"/>
                <w:szCs w:val="20"/>
              </w:rPr>
              <w:t>Primary Author, Title, Organization</w:t>
            </w:r>
          </w:p>
        </w:tc>
        <w:tc>
          <w:tcPr>
            <w:tcW w:w="28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24DCC40B" w14:textId="533B84AB" w:rsidR="007C644C" w:rsidRDefault="007C644C">
            <w:pPr>
              <w:keepNext/>
              <w:keepLines/>
              <w:spacing w:before="20" w:after="20"/>
              <w:rPr>
                <w:rFonts w:cs="Arial"/>
                <w:b/>
                <w:sz w:val="20"/>
                <w:szCs w:val="20"/>
              </w:rPr>
            </w:pPr>
            <w:r>
              <w:rPr>
                <w:rFonts w:cs="Arial"/>
                <w:b/>
                <w:sz w:val="20"/>
                <w:szCs w:val="20"/>
              </w:rPr>
              <w:t>Revision Summary and Rationale for Revision</w:t>
            </w:r>
          </w:p>
        </w:tc>
      </w:tr>
      <w:tr w:rsidR="00163923" w14:paraId="2290078C" w14:textId="77777777" w:rsidTr="00163923">
        <w:trPr>
          <w:trHeight w:val="20"/>
        </w:trPr>
        <w:tc>
          <w:tcPr>
            <w:tcW w:w="474"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hideMark/>
          </w:tcPr>
          <w:p w14:paraId="3E55416F" w14:textId="77777777" w:rsidR="00163923" w:rsidRDefault="00163923">
            <w:pPr>
              <w:keepNext/>
              <w:keepLines/>
              <w:spacing w:before="20" w:after="20"/>
              <w:rPr>
                <w:rFonts w:cs="Arial"/>
                <w:sz w:val="20"/>
                <w:szCs w:val="20"/>
              </w:rPr>
            </w:pPr>
            <w:r>
              <w:rPr>
                <w:rFonts w:cs="Arial"/>
                <w:sz w:val="20"/>
                <w:szCs w:val="20"/>
              </w:rPr>
              <w:t>01</w:t>
            </w:r>
          </w:p>
        </w:tc>
        <w:tc>
          <w:tcPr>
            <w:tcW w:w="76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7BC1D5B" w14:textId="773C1C4A" w:rsidR="00163923" w:rsidRPr="0028356A" w:rsidRDefault="00163923">
            <w:pPr>
              <w:keepNext/>
              <w:keepLines/>
              <w:spacing w:before="20" w:after="20"/>
              <w:rPr>
                <w:rFonts w:cs="Arial"/>
                <w:sz w:val="20"/>
                <w:szCs w:val="20"/>
              </w:rPr>
            </w:pPr>
            <w:r w:rsidRPr="0028356A">
              <w:rPr>
                <w:rFonts w:cs="Arial"/>
                <w:sz w:val="20"/>
                <w:szCs w:val="20"/>
              </w:rPr>
              <w:t>07/31/2017</w:t>
            </w:r>
          </w:p>
        </w:tc>
        <w:tc>
          <w:tcPr>
            <w:tcW w:w="94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6BF2AB0" w14:textId="77777777" w:rsidR="00163923" w:rsidRPr="0028356A" w:rsidRDefault="00163923">
            <w:pPr>
              <w:keepNext/>
              <w:keepLines/>
              <w:spacing w:before="20" w:after="20"/>
              <w:rPr>
                <w:rFonts w:cs="Arial"/>
                <w:sz w:val="20"/>
                <w:szCs w:val="20"/>
              </w:rPr>
            </w:pPr>
            <w:r w:rsidRPr="0028356A">
              <w:rPr>
                <w:rFonts w:cs="Arial"/>
                <w:sz w:val="20"/>
                <w:szCs w:val="20"/>
              </w:rPr>
              <w:t>Jennifer Holmes</w:t>
            </w:r>
          </w:p>
          <w:p w14:paraId="5ED57ABA" w14:textId="77777777" w:rsidR="00163923" w:rsidRPr="0028356A" w:rsidRDefault="00163923">
            <w:pPr>
              <w:keepNext/>
              <w:keepLines/>
              <w:spacing w:before="20" w:after="20"/>
              <w:rPr>
                <w:rFonts w:cs="Arial"/>
                <w:sz w:val="20"/>
                <w:szCs w:val="20"/>
              </w:rPr>
            </w:pPr>
            <w:r w:rsidRPr="0028356A">
              <w:rPr>
                <w:rFonts w:cs="Arial"/>
                <w:sz w:val="20"/>
                <w:szCs w:val="20"/>
              </w:rPr>
              <w:t>Cal TF Staff</w:t>
            </w:r>
          </w:p>
        </w:tc>
        <w:tc>
          <w:tcPr>
            <w:tcW w:w="281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ED214C7" w14:textId="77777777" w:rsidR="00163923" w:rsidRDefault="00163923">
            <w:pPr>
              <w:keepNext/>
              <w:keepLines/>
              <w:spacing w:before="20" w:after="20"/>
              <w:rPr>
                <w:rFonts w:cs="Arial"/>
                <w:sz w:val="20"/>
                <w:szCs w:val="20"/>
              </w:rPr>
            </w:pPr>
            <w:r>
              <w:rPr>
                <w:rFonts w:cs="Arial"/>
                <w:sz w:val="20"/>
                <w:szCs w:val="20"/>
              </w:rPr>
              <w:t>Draft of consolidated text for this statewide measure is based upon:</w:t>
            </w:r>
          </w:p>
          <w:p w14:paraId="1C73DCA7" w14:textId="5DCD47C7" w:rsidR="00163923" w:rsidRDefault="00163923">
            <w:pPr>
              <w:keepNext/>
              <w:keepLines/>
              <w:spacing w:before="20" w:after="20"/>
              <w:rPr>
                <w:rFonts w:cs="Arial"/>
                <w:sz w:val="20"/>
                <w:szCs w:val="20"/>
              </w:rPr>
            </w:pPr>
            <w:r>
              <w:rPr>
                <w:rFonts w:cs="Arial"/>
                <w:sz w:val="20"/>
                <w:szCs w:val="20"/>
              </w:rPr>
              <w:t>PGECOFST126, Revision 0 (July 1, 2016)</w:t>
            </w:r>
          </w:p>
          <w:p w14:paraId="18FFA600" w14:textId="27478645" w:rsidR="00163923" w:rsidRDefault="00163923" w:rsidP="0028356A">
            <w:pPr>
              <w:keepNext/>
              <w:keepLines/>
              <w:spacing w:before="20" w:after="20"/>
              <w:rPr>
                <w:rFonts w:cs="Arial"/>
                <w:sz w:val="20"/>
                <w:szCs w:val="20"/>
              </w:rPr>
            </w:pPr>
            <w:r>
              <w:rPr>
                <w:rFonts w:cs="Arial"/>
                <w:sz w:val="20"/>
                <w:szCs w:val="20"/>
              </w:rPr>
              <w:t>Consensus reached among Cal TF members.</w:t>
            </w:r>
          </w:p>
        </w:tc>
      </w:tr>
      <w:tr w:rsidR="007B1AAB" w:rsidRPr="00CA1CB3" w14:paraId="64F6D9A5" w14:textId="77777777" w:rsidTr="00163923">
        <w:trPr>
          <w:trHeight w:val="20"/>
        </w:trPr>
        <w:tc>
          <w:tcPr>
            <w:tcW w:w="474" w:type="pct"/>
            <w:vMerge/>
            <w:tcBorders>
              <w:left w:val="single" w:sz="4" w:space="0" w:color="A6A6A6" w:themeColor="background1" w:themeShade="A6"/>
              <w:right w:val="single" w:sz="4" w:space="0" w:color="A6A6A6" w:themeColor="background1" w:themeShade="A6"/>
            </w:tcBorders>
          </w:tcPr>
          <w:p w14:paraId="231F2911" w14:textId="77777777" w:rsidR="007B1AAB" w:rsidRPr="00CA1CB3" w:rsidRDefault="007B1AAB" w:rsidP="007B1AAB">
            <w:pPr>
              <w:keepNext/>
              <w:keepLines/>
              <w:spacing w:before="20" w:after="20"/>
              <w:rPr>
                <w:rFonts w:cs="Arial"/>
                <w:sz w:val="20"/>
                <w:szCs w:val="20"/>
              </w:rPr>
            </w:pPr>
          </w:p>
        </w:tc>
        <w:tc>
          <w:tcPr>
            <w:tcW w:w="761" w:type="pct"/>
            <w:tcBorders>
              <w:left w:val="single" w:sz="4" w:space="0" w:color="A6A6A6" w:themeColor="background1" w:themeShade="A6"/>
            </w:tcBorders>
          </w:tcPr>
          <w:p w14:paraId="525BAB8A" w14:textId="77777777" w:rsidR="007B1AAB" w:rsidRDefault="007B1AAB" w:rsidP="007B1AAB">
            <w:pPr>
              <w:keepNext/>
              <w:keepLines/>
              <w:spacing w:before="20" w:after="20"/>
              <w:rPr>
                <w:rFonts w:cs="Arial"/>
                <w:sz w:val="20"/>
                <w:szCs w:val="20"/>
              </w:rPr>
            </w:pPr>
            <w:r>
              <w:rPr>
                <w:rFonts w:cs="Arial"/>
                <w:sz w:val="20"/>
                <w:szCs w:val="20"/>
              </w:rPr>
              <w:t>10/11/2018</w:t>
            </w:r>
          </w:p>
          <w:p w14:paraId="7D773608" w14:textId="21D0B270" w:rsidR="007B1AAB" w:rsidRDefault="007B1AAB" w:rsidP="007B1AAB">
            <w:pPr>
              <w:keepNext/>
              <w:keepLines/>
              <w:spacing w:before="20" w:after="20"/>
              <w:rPr>
                <w:rFonts w:cs="Arial"/>
                <w:sz w:val="20"/>
                <w:szCs w:val="20"/>
              </w:rPr>
            </w:pPr>
            <w:r>
              <w:rPr>
                <w:rFonts w:cs="Arial"/>
                <w:sz w:val="20"/>
                <w:szCs w:val="20"/>
              </w:rPr>
              <w:t>10/30/2018</w:t>
            </w:r>
          </w:p>
        </w:tc>
        <w:tc>
          <w:tcPr>
            <w:tcW w:w="949" w:type="pct"/>
          </w:tcPr>
          <w:p w14:paraId="5E5A3C57" w14:textId="77777777" w:rsidR="007B1AAB" w:rsidRPr="00743373" w:rsidRDefault="007B1AAB" w:rsidP="007B1AAB">
            <w:pPr>
              <w:keepNext/>
              <w:keepLines/>
              <w:spacing w:before="20" w:after="20"/>
              <w:rPr>
                <w:rFonts w:cs="Arial"/>
                <w:sz w:val="20"/>
                <w:szCs w:val="20"/>
              </w:rPr>
            </w:pPr>
            <w:r w:rsidRPr="00743373">
              <w:rPr>
                <w:rFonts w:cs="Arial"/>
                <w:sz w:val="20"/>
                <w:szCs w:val="20"/>
              </w:rPr>
              <w:t>Jennifer Holmes</w:t>
            </w:r>
          </w:p>
          <w:p w14:paraId="6160CE56" w14:textId="46C9C4A6" w:rsidR="007B1AAB" w:rsidRPr="00743373" w:rsidRDefault="007B1AAB" w:rsidP="007B1AAB">
            <w:pPr>
              <w:keepNext/>
              <w:keepLines/>
              <w:spacing w:before="20" w:after="20"/>
              <w:rPr>
                <w:rFonts w:cs="Arial"/>
                <w:sz w:val="20"/>
                <w:szCs w:val="20"/>
              </w:rPr>
            </w:pPr>
            <w:r w:rsidRPr="00743373">
              <w:rPr>
                <w:rFonts w:cs="Arial"/>
                <w:sz w:val="20"/>
                <w:szCs w:val="20"/>
              </w:rPr>
              <w:t>Cal TF Staff</w:t>
            </w:r>
          </w:p>
        </w:tc>
        <w:tc>
          <w:tcPr>
            <w:tcW w:w="2816" w:type="pct"/>
          </w:tcPr>
          <w:p w14:paraId="59D895C7" w14:textId="4589F57D" w:rsidR="007B1AAB" w:rsidRDefault="007B1AAB" w:rsidP="007B1AAB">
            <w:pPr>
              <w:keepNext/>
              <w:keepLines/>
              <w:spacing w:before="20" w:after="20"/>
              <w:rPr>
                <w:rFonts w:cs="Arial"/>
                <w:sz w:val="20"/>
                <w:szCs w:val="20"/>
              </w:rPr>
            </w:pPr>
            <w:r>
              <w:rPr>
                <w:rFonts w:cs="Arial"/>
                <w:sz w:val="20"/>
                <w:szCs w:val="20"/>
              </w:rPr>
              <w:t>Completed final revisions for submittal of version 01.</w:t>
            </w:r>
          </w:p>
        </w:tc>
      </w:tr>
      <w:tr w:rsidR="00163923" w:rsidRPr="00CA1CB3" w14:paraId="27132A48" w14:textId="77777777" w:rsidTr="00163923">
        <w:trPr>
          <w:trHeight w:val="20"/>
        </w:trPr>
        <w:tc>
          <w:tcPr>
            <w:tcW w:w="474" w:type="pct"/>
            <w:vMerge/>
            <w:tcBorders>
              <w:left w:val="single" w:sz="4" w:space="0" w:color="A6A6A6" w:themeColor="background1" w:themeShade="A6"/>
              <w:right w:val="single" w:sz="4" w:space="0" w:color="A6A6A6" w:themeColor="background1" w:themeShade="A6"/>
            </w:tcBorders>
          </w:tcPr>
          <w:p w14:paraId="31FEE7CB" w14:textId="2FD45F30" w:rsidR="00163923" w:rsidRPr="00CA1CB3" w:rsidRDefault="00163923" w:rsidP="00A75E58">
            <w:pPr>
              <w:keepNext/>
              <w:keepLines/>
              <w:spacing w:before="20" w:after="20"/>
              <w:rPr>
                <w:rFonts w:cs="Arial"/>
                <w:sz w:val="20"/>
                <w:szCs w:val="20"/>
              </w:rPr>
            </w:pPr>
          </w:p>
        </w:tc>
        <w:tc>
          <w:tcPr>
            <w:tcW w:w="761" w:type="pct"/>
            <w:tcBorders>
              <w:left w:val="single" w:sz="4" w:space="0" w:color="A6A6A6" w:themeColor="background1" w:themeShade="A6"/>
            </w:tcBorders>
          </w:tcPr>
          <w:p w14:paraId="1B0F2BF1" w14:textId="59CB53A1" w:rsidR="00163923" w:rsidRPr="00743373" w:rsidRDefault="007B1AAB" w:rsidP="00A75E58">
            <w:pPr>
              <w:keepNext/>
              <w:keepLines/>
              <w:spacing w:before="20" w:after="20"/>
              <w:rPr>
                <w:rFonts w:cs="Arial"/>
                <w:sz w:val="20"/>
                <w:szCs w:val="20"/>
              </w:rPr>
            </w:pPr>
            <w:r>
              <w:rPr>
                <w:rFonts w:cs="Arial"/>
                <w:sz w:val="20"/>
                <w:szCs w:val="20"/>
              </w:rPr>
              <w:t>7/1/2019</w:t>
            </w:r>
          </w:p>
        </w:tc>
        <w:tc>
          <w:tcPr>
            <w:tcW w:w="949" w:type="pct"/>
          </w:tcPr>
          <w:p w14:paraId="3015842F" w14:textId="2A582E77" w:rsidR="00163923" w:rsidRPr="00743373" w:rsidRDefault="007B1AAB" w:rsidP="00A75E58">
            <w:pPr>
              <w:keepNext/>
              <w:keepLines/>
              <w:spacing w:before="20" w:after="20"/>
              <w:rPr>
                <w:rFonts w:cs="Arial"/>
                <w:sz w:val="20"/>
                <w:szCs w:val="20"/>
              </w:rPr>
            </w:pPr>
            <w:r>
              <w:rPr>
                <w:rFonts w:cs="Arial"/>
                <w:sz w:val="20"/>
                <w:szCs w:val="20"/>
              </w:rPr>
              <w:t>Ayad Al-Shaikh</w:t>
            </w:r>
          </w:p>
          <w:p w14:paraId="447CCB6D" w14:textId="77777777" w:rsidR="00163923" w:rsidRPr="00743373" w:rsidRDefault="00163923" w:rsidP="00A75E58">
            <w:pPr>
              <w:keepNext/>
              <w:keepLines/>
              <w:spacing w:before="20" w:after="20"/>
              <w:rPr>
                <w:rFonts w:cs="Arial"/>
                <w:sz w:val="20"/>
                <w:szCs w:val="20"/>
              </w:rPr>
            </w:pPr>
            <w:r w:rsidRPr="00743373">
              <w:rPr>
                <w:rFonts w:cs="Arial"/>
                <w:sz w:val="20"/>
                <w:szCs w:val="20"/>
              </w:rPr>
              <w:t>Cal TF Staff</w:t>
            </w:r>
          </w:p>
        </w:tc>
        <w:tc>
          <w:tcPr>
            <w:tcW w:w="2816" w:type="pct"/>
          </w:tcPr>
          <w:p w14:paraId="0294F1F6" w14:textId="4EA780F7" w:rsidR="00163923" w:rsidRDefault="007B1AAB" w:rsidP="00A75E58">
            <w:pPr>
              <w:keepNext/>
              <w:keepLines/>
              <w:spacing w:before="20" w:after="20"/>
              <w:rPr>
                <w:rFonts w:cs="Arial"/>
                <w:sz w:val="20"/>
                <w:szCs w:val="20"/>
              </w:rPr>
            </w:pPr>
            <w:r>
              <w:rPr>
                <w:rFonts w:cs="Arial"/>
                <w:sz w:val="20"/>
                <w:szCs w:val="20"/>
              </w:rPr>
              <w:t>Updated delivery type IDs.</w:t>
            </w:r>
          </w:p>
        </w:tc>
      </w:tr>
      <w:tr w:rsidR="00575447" w:rsidRPr="00CA1CB3" w14:paraId="0EA9FB89" w14:textId="77777777" w:rsidTr="00163923">
        <w:trPr>
          <w:trHeight w:val="20"/>
        </w:trPr>
        <w:tc>
          <w:tcPr>
            <w:tcW w:w="474" w:type="pct"/>
            <w:vMerge w:val="restart"/>
            <w:tcBorders>
              <w:left w:val="single" w:sz="4" w:space="0" w:color="A6A6A6" w:themeColor="background1" w:themeShade="A6"/>
              <w:right w:val="single" w:sz="4" w:space="0" w:color="A6A6A6" w:themeColor="background1" w:themeShade="A6"/>
            </w:tcBorders>
          </w:tcPr>
          <w:p w14:paraId="6E60AEE7" w14:textId="2F10FDA2" w:rsidR="00575447" w:rsidRPr="00CA1CB3" w:rsidRDefault="00575447" w:rsidP="00A75E58">
            <w:pPr>
              <w:keepNext/>
              <w:keepLines/>
              <w:spacing w:before="20" w:after="20"/>
              <w:rPr>
                <w:rFonts w:cs="Arial"/>
                <w:sz w:val="20"/>
                <w:szCs w:val="20"/>
              </w:rPr>
            </w:pPr>
            <w:r>
              <w:rPr>
                <w:rFonts w:cs="Arial"/>
                <w:sz w:val="20"/>
                <w:szCs w:val="20"/>
              </w:rPr>
              <w:t>02</w:t>
            </w:r>
          </w:p>
        </w:tc>
        <w:tc>
          <w:tcPr>
            <w:tcW w:w="761" w:type="pct"/>
            <w:tcBorders>
              <w:left w:val="single" w:sz="4" w:space="0" w:color="A6A6A6" w:themeColor="background1" w:themeShade="A6"/>
            </w:tcBorders>
          </w:tcPr>
          <w:p w14:paraId="0E22BA0C" w14:textId="27C9BC85" w:rsidR="00575447" w:rsidRDefault="00575447" w:rsidP="00A75E58">
            <w:pPr>
              <w:keepNext/>
              <w:keepLines/>
              <w:spacing w:before="20" w:after="20"/>
              <w:rPr>
                <w:rFonts w:cs="Arial"/>
                <w:sz w:val="20"/>
                <w:szCs w:val="20"/>
              </w:rPr>
            </w:pPr>
            <w:r>
              <w:rPr>
                <w:rFonts w:cs="Arial"/>
                <w:sz w:val="20"/>
                <w:szCs w:val="20"/>
              </w:rPr>
              <w:t>6/15/2021</w:t>
            </w:r>
          </w:p>
        </w:tc>
        <w:tc>
          <w:tcPr>
            <w:tcW w:w="949" w:type="pct"/>
          </w:tcPr>
          <w:p w14:paraId="7381FCCD" w14:textId="77777777" w:rsidR="00575447" w:rsidRDefault="00575447" w:rsidP="00A75E58">
            <w:pPr>
              <w:keepNext/>
              <w:keepLines/>
              <w:spacing w:before="20" w:after="20"/>
              <w:rPr>
                <w:rFonts w:cs="Arial"/>
                <w:sz w:val="20"/>
                <w:szCs w:val="20"/>
              </w:rPr>
            </w:pPr>
            <w:r>
              <w:rPr>
                <w:rFonts w:cs="Arial"/>
                <w:sz w:val="20"/>
                <w:szCs w:val="20"/>
              </w:rPr>
              <w:t>Anders Danryd,</w:t>
            </w:r>
          </w:p>
          <w:p w14:paraId="65482803" w14:textId="7CFFBC98" w:rsidR="00575447" w:rsidRDefault="00575447" w:rsidP="00A75E58">
            <w:pPr>
              <w:keepNext/>
              <w:keepLines/>
              <w:spacing w:before="20" w:after="20"/>
              <w:rPr>
                <w:rFonts w:cs="Arial"/>
                <w:sz w:val="20"/>
                <w:szCs w:val="20"/>
              </w:rPr>
            </w:pPr>
            <w:r>
              <w:rPr>
                <w:rFonts w:cs="Arial"/>
                <w:sz w:val="20"/>
                <w:szCs w:val="20"/>
              </w:rPr>
              <w:t>SoCalGas</w:t>
            </w:r>
          </w:p>
        </w:tc>
        <w:tc>
          <w:tcPr>
            <w:tcW w:w="2816" w:type="pct"/>
          </w:tcPr>
          <w:p w14:paraId="1C33EA23" w14:textId="62AEA2D6" w:rsidR="00575447" w:rsidRDefault="00575447" w:rsidP="00A75E58">
            <w:pPr>
              <w:keepNext/>
              <w:keepLines/>
              <w:spacing w:before="20" w:after="20"/>
              <w:rPr>
                <w:rFonts w:cs="Arial"/>
                <w:sz w:val="20"/>
                <w:szCs w:val="20"/>
              </w:rPr>
            </w:pPr>
            <w:r>
              <w:rPr>
                <w:rFonts w:cs="Arial"/>
                <w:sz w:val="20"/>
                <w:szCs w:val="20"/>
              </w:rPr>
              <w:t>Updated workpaper offerings due to new ENERGY STAR version 3.0 specification</w:t>
            </w:r>
          </w:p>
        </w:tc>
      </w:tr>
      <w:tr w:rsidR="00575447" w:rsidRPr="00CA1CB3" w14:paraId="5ED5F43F" w14:textId="77777777" w:rsidTr="00163923">
        <w:trPr>
          <w:trHeight w:val="20"/>
        </w:trPr>
        <w:tc>
          <w:tcPr>
            <w:tcW w:w="474" w:type="pct"/>
            <w:vMerge/>
            <w:tcBorders>
              <w:left w:val="single" w:sz="4" w:space="0" w:color="A6A6A6" w:themeColor="background1" w:themeShade="A6"/>
              <w:right w:val="single" w:sz="4" w:space="0" w:color="A6A6A6" w:themeColor="background1" w:themeShade="A6"/>
            </w:tcBorders>
          </w:tcPr>
          <w:p w14:paraId="2D79357B" w14:textId="77777777" w:rsidR="00575447" w:rsidRDefault="00575447" w:rsidP="00A75E58">
            <w:pPr>
              <w:keepNext/>
              <w:keepLines/>
              <w:spacing w:before="20" w:after="20"/>
              <w:rPr>
                <w:rFonts w:cs="Arial"/>
                <w:sz w:val="20"/>
                <w:szCs w:val="20"/>
              </w:rPr>
            </w:pPr>
          </w:p>
        </w:tc>
        <w:tc>
          <w:tcPr>
            <w:tcW w:w="761" w:type="pct"/>
            <w:tcBorders>
              <w:left w:val="single" w:sz="4" w:space="0" w:color="A6A6A6" w:themeColor="background1" w:themeShade="A6"/>
            </w:tcBorders>
          </w:tcPr>
          <w:p w14:paraId="1E056F4D" w14:textId="067F3257" w:rsidR="00575447" w:rsidRDefault="00575447" w:rsidP="00A75E58">
            <w:pPr>
              <w:keepNext/>
              <w:keepLines/>
              <w:spacing w:before="20" w:after="20"/>
              <w:rPr>
                <w:rFonts w:cs="Arial"/>
                <w:sz w:val="20"/>
                <w:szCs w:val="20"/>
              </w:rPr>
            </w:pPr>
            <w:r>
              <w:rPr>
                <w:rFonts w:cs="Arial"/>
                <w:sz w:val="20"/>
                <w:szCs w:val="20"/>
              </w:rPr>
              <w:t>7/28/2021</w:t>
            </w:r>
          </w:p>
        </w:tc>
        <w:tc>
          <w:tcPr>
            <w:tcW w:w="949" w:type="pct"/>
          </w:tcPr>
          <w:p w14:paraId="5E0B9FE5" w14:textId="77777777" w:rsidR="00575447" w:rsidRDefault="00575447" w:rsidP="00F504BF">
            <w:pPr>
              <w:keepNext/>
              <w:keepLines/>
              <w:spacing w:before="20" w:after="20"/>
              <w:rPr>
                <w:rFonts w:cs="Arial"/>
                <w:sz w:val="20"/>
                <w:szCs w:val="20"/>
              </w:rPr>
            </w:pPr>
            <w:r>
              <w:rPr>
                <w:rFonts w:cs="Arial"/>
                <w:sz w:val="20"/>
                <w:szCs w:val="20"/>
              </w:rPr>
              <w:t>Anders Danryd,</w:t>
            </w:r>
          </w:p>
          <w:p w14:paraId="518B989D" w14:textId="7F02069A" w:rsidR="00575447" w:rsidRDefault="00575447" w:rsidP="00F504BF">
            <w:pPr>
              <w:keepNext/>
              <w:keepLines/>
              <w:spacing w:before="20" w:after="20"/>
              <w:rPr>
                <w:rFonts w:cs="Arial"/>
                <w:sz w:val="20"/>
                <w:szCs w:val="20"/>
              </w:rPr>
            </w:pPr>
            <w:r>
              <w:rPr>
                <w:rFonts w:cs="Arial"/>
                <w:sz w:val="20"/>
                <w:szCs w:val="20"/>
              </w:rPr>
              <w:t>SoCalGas</w:t>
            </w:r>
          </w:p>
        </w:tc>
        <w:tc>
          <w:tcPr>
            <w:tcW w:w="2816" w:type="pct"/>
          </w:tcPr>
          <w:p w14:paraId="736AAF5A" w14:textId="34F3CB74" w:rsidR="00575447" w:rsidRDefault="00575447" w:rsidP="00A75E58">
            <w:pPr>
              <w:keepNext/>
              <w:keepLines/>
              <w:spacing w:before="20" w:after="20"/>
              <w:rPr>
                <w:rFonts w:cs="Arial"/>
                <w:sz w:val="20"/>
                <w:szCs w:val="20"/>
              </w:rPr>
            </w:pPr>
            <w:r>
              <w:rPr>
                <w:rFonts w:cs="Arial"/>
                <w:sz w:val="20"/>
                <w:szCs w:val="20"/>
              </w:rPr>
              <w:t>Updated calculations per CPUC comments (removed CDF, added specific heat of water to calculations)</w:t>
            </w:r>
          </w:p>
        </w:tc>
      </w:tr>
      <w:tr w:rsidR="00575447" w:rsidRPr="00CA1CB3" w14:paraId="1FD6653A" w14:textId="77777777" w:rsidTr="00163923">
        <w:trPr>
          <w:trHeight w:val="20"/>
        </w:trPr>
        <w:tc>
          <w:tcPr>
            <w:tcW w:w="474" w:type="pct"/>
            <w:vMerge/>
            <w:tcBorders>
              <w:left w:val="single" w:sz="4" w:space="0" w:color="A6A6A6" w:themeColor="background1" w:themeShade="A6"/>
              <w:right w:val="single" w:sz="4" w:space="0" w:color="A6A6A6" w:themeColor="background1" w:themeShade="A6"/>
            </w:tcBorders>
          </w:tcPr>
          <w:p w14:paraId="1D55B5F5" w14:textId="77777777" w:rsidR="00575447" w:rsidRDefault="00575447" w:rsidP="00A75E58">
            <w:pPr>
              <w:keepNext/>
              <w:keepLines/>
              <w:spacing w:before="20" w:after="20"/>
              <w:rPr>
                <w:rFonts w:cs="Arial"/>
                <w:sz w:val="20"/>
                <w:szCs w:val="20"/>
              </w:rPr>
            </w:pPr>
          </w:p>
        </w:tc>
        <w:tc>
          <w:tcPr>
            <w:tcW w:w="761" w:type="pct"/>
            <w:tcBorders>
              <w:left w:val="single" w:sz="4" w:space="0" w:color="A6A6A6" w:themeColor="background1" w:themeShade="A6"/>
            </w:tcBorders>
          </w:tcPr>
          <w:p w14:paraId="7C323A63" w14:textId="3F063D30" w:rsidR="00575447" w:rsidRDefault="00575447" w:rsidP="00A75E58">
            <w:pPr>
              <w:keepNext/>
              <w:keepLines/>
              <w:spacing w:before="20" w:after="20"/>
              <w:rPr>
                <w:rFonts w:cs="Arial"/>
                <w:sz w:val="20"/>
                <w:szCs w:val="20"/>
              </w:rPr>
            </w:pPr>
            <w:r>
              <w:rPr>
                <w:rFonts w:cs="Arial"/>
                <w:sz w:val="20"/>
                <w:szCs w:val="20"/>
              </w:rPr>
              <w:t>08/25/2021</w:t>
            </w:r>
          </w:p>
        </w:tc>
        <w:tc>
          <w:tcPr>
            <w:tcW w:w="949" w:type="pct"/>
          </w:tcPr>
          <w:p w14:paraId="2DF6E59F" w14:textId="23C3BBA6" w:rsidR="00575447" w:rsidRDefault="00575447" w:rsidP="00F504BF">
            <w:pPr>
              <w:keepNext/>
              <w:keepLines/>
              <w:spacing w:before="20" w:after="20"/>
              <w:rPr>
                <w:rFonts w:cs="Arial"/>
                <w:sz w:val="20"/>
                <w:szCs w:val="20"/>
              </w:rPr>
            </w:pPr>
            <w:r>
              <w:rPr>
                <w:rFonts w:cs="Arial"/>
                <w:sz w:val="20"/>
                <w:szCs w:val="20"/>
              </w:rPr>
              <w:t>Harpreet Singh, PG</w:t>
            </w:r>
            <w:r w:rsidR="00EF5C3C">
              <w:rPr>
                <w:rFonts w:cs="Arial"/>
                <w:sz w:val="20"/>
                <w:szCs w:val="20"/>
              </w:rPr>
              <w:t>&amp;</w:t>
            </w:r>
            <w:r>
              <w:rPr>
                <w:rFonts w:cs="Arial"/>
                <w:sz w:val="20"/>
                <w:szCs w:val="20"/>
              </w:rPr>
              <w:t>E</w:t>
            </w:r>
          </w:p>
        </w:tc>
        <w:tc>
          <w:tcPr>
            <w:tcW w:w="2816" w:type="pct"/>
          </w:tcPr>
          <w:p w14:paraId="70366331" w14:textId="77777777" w:rsidR="00575447" w:rsidRPr="00575447" w:rsidRDefault="00575447" w:rsidP="00575447">
            <w:pPr>
              <w:pStyle w:val="TableParagraph"/>
              <w:spacing w:before="19"/>
              <w:rPr>
                <w:rFonts w:ascii="Calibri Light" w:eastAsiaTheme="minorEastAsia" w:hAnsi="Calibri Light" w:cs="Arial"/>
                <w:sz w:val="20"/>
                <w:szCs w:val="20"/>
              </w:rPr>
            </w:pPr>
            <w:r w:rsidRPr="00575447">
              <w:rPr>
                <w:rFonts w:ascii="Calibri Light" w:eastAsiaTheme="minorEastAsia" w:hAnsi="Calibri Light" w:cs="Arial"/>
                <w:sz w:val="20"/>
                <w:szCs w:val="20"/>
              </w:rPr>
              <w:t>Adopted all measures for PG&amp;E.</w:t>
            </w:r>
          </w:p>
          <w:p w14:paraId="73D3CFC3" w14:textId="42A6A247" w:rsidR="00575447" w:rsidRDefault="00575447" w:rsidP="00A75E58">
            <w:pPr>
              <w:keepNext/>
              <w:keepLines/>
              <w:spacing w:before="20" w:after="20"/>
              <w:rPr>
                <w:rFonts w:cs="Arial"/>
                <w:sz w:val="20"/>
                <w:szCs w:val="20"/>
              </w:rPr>
            </w:pPr>
            <w:r>
              <w:rPr>
                <w:rFonts w:cs="Arial"/>
                <w:sz w:val="20"/>
                <w:szCs w:val="20"/>
              </w:rPr>
              <w:t xml:space="preserve">Found Minor error in EAD table. Changed NTG ID for all IOUs for Ag from </w:t>
            </w:r>
            <w:r w:rsidRPr="00575447">
              <w:rPr>
                <w:rFonts w:cs="Arial"/>
                <w:sz w:val="20"/>
                <w:szCs w:val="20"/>
              </w:rPr>
              <w:t>Ag-Default&gt;2yrs to Agric-Default&gt;2yrs</w:t>
            </w:r>
            <w:r>
              <w:rPr>
                <w:rFonts w:cs="Arial"/>
                <w:sz w:val="20"/>
                <w:szCs w:val="20"/>
              </w:rPr>
              <w:t>.</w:t>
            </w:r>
          </w:p>
        </w:tc>
      </w:tr>
      <w:bookmarkEnd w:id="90"/>
      <w:bookmarkEnd w:id="91"/>
    </w:tbl>
    <w:p w14:paraId="0A7E4C85" w14:textId="77777777" w:rsidR="007C644C" w:rsidRDefault="007C644C" w:rsidP="007C644C"/>
    <w:sectPr w:rsidR="007C644C" w:rsidSect="005F505E">
      <w:headerReference w:type="default" r:id="rId14"/>
      <w:head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92ED2" w14:textId="77777777" w:rsidR="001F3D36" w:rsidRDefault="001F3D36" w:rsidP="00A2690C">
      <w:r>
        <w:separator/>
      </w:r>
    </w:p>
    <w:p w14:paraId="6C15F8FD" w14:textId="77777777" w:rsidR="001F3D36" w:rsidRDefault="001F3D36"/>
  </w:endnote>
  <w:endnote w:type="continuationSeparator" w:id="0">
    <w:p w14:paraId="2930BDDF" w14:textId="77777777" w:rsidR="001F3D36" w:rsidRDefault="001F3D36" w:rsidP="00A2690C">
      <w:r>
        <w:continuationSeparator/>
      </w:r>
    </w:p>
    <w:p w14:paraId="4DF0E349" w14:textId="77777777" w:rsidR="001F3D36" w:rsidRDefault="001F3D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00000001" w:usb1="5000E0FB" w:usb2="00000000" w:usb3="00000000" w:csb0="0000019B"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Proxima Nova Semibold">
    <w:altName w:val="Candara"/>
    <w:charset w:val="00"/>
    <w:family w:val="auto"/>
    <w:pitch w:val="variable"/>
    <w:sig w:usb0="00000001"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34D89" w14:textId="77777777" w:rsidR="00BB6B5D" w:rsidRDefault="00BB6B5D"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64AF36D8" wp14:editId="30D7F4F4">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43226D14" w14:textId="77777777" w:rsidR="00BB6B5D" w:rsidRPr="00B837C1" w:rsidRDefault="00BB6B5D"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54358" w14:textId="77777777" w:rsidR="00BB6B5D" w:rsidRDefault="00BB6B5D"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6192" behindDoc="0" locked="0" layoutInCell="1" allowOverlap="1" wp14:anchorId="67DD117A" wp14:editId="26F4512F">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1F554F94" w14:textId="736BD6B1" w:rsidR="00BB6B5D" w:rsidRPr="00B837C1" w:rsidRDefault="00BB6B5D"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07C29" w14:textId="77777777" w:rsidR="00BB6B5D" w:rsidRDefault="00BB6B5D"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2336" behindDoc="0" locked="0" layoutInCell="1" allowOverlap="1" wp14:anchorId="7AA244DF" wp14:editId="3E392522">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44B808EF" w14:textId="76EE525E" w:rsidR="00BB6B5D" w:rsidRPr="005F505E" w:rsidRDefault="00BB6B5D"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7545E" w14:textId="77777777" w:rsidR="001F3D36" w:rsidRDefault="001F3D36" w:rsidP="00A2690C">
      <w:r>
        <w:separator/>
      </w:r>
    </w:p>
    <w:p w14:paraId="3E7C51AC" w14:textId="77777777" w:rsidR="001F3D36" w:rsidRDefault="001F3D36"/>
  </w:footnote>
  <w:footnote w:type="continuationSeparator" w:id="0">
    <w:p w14:paraId="77F6F597" w14:textId="77777777" w:rsidR="001F3D36" w:rsidRDefault="001F3D36" w:rsidP="00A2690C">
      <w:r>
        <w:continuationSeparator/>
      </w:r>
    </w:p>
    <w:p w14:paraId="5838AAAC" w14:textId="77777777" w:rsidR="001F3D36" w:rsidRDefault="001F3D36"/>
  </w:footnote>
  <w:footnote w:id="1">
    <w:p w14:paraId="76C10FC6" w14:textId="78BA5F59" w:rsidR="00BB6B5D" w:rsidRDefault="00BB6B5D">
      <w:pPr>
        <w:pStyle w:val="FootnoteText"/>
      </w:pPr>
      <w:r>
        <w:rPr>
          <w:rStyle w:val="FootnoteReference"/>
        </w:rPr>
        <w:footnoteRef/>
      </w:r>
      <w:r>
        <w:t xml:space="preserve"> </w:t>
      </w:r>
      <w:r w:rsidRPr="00F06AE6">
        <w:t>The source of this data is unknown.</w:t>
      </w:r>
    </w:p>
  </w:footnote>
  <w:footnote w:id="2">
    <w:p w14:paraId="4E4D7E6F" w14:textId="77777777" w:rsidR="00BB6B5D" w:rsidRDefault="00BB6B5D" w:rsidP="001C00DE">
      <w:pPr>
        <w:pStyle w:val="FootnoteText"/>
      </w:pPr>
      <w:r w:rsidRPr="00F06AE6">
        <w:rPr>
          <w:rStyle w:val="FootnoteReference"/>
        </w:rPr>
        <w:footnoteRef/>
      </w:r>
      <w:r w:rsidRPr="00F06AE6">
        <w:t xml:space="preserve"> The source of this data is unknown.</w:t>
      </w:r>
    </w:p>
  </w:footnote>
  <w:footnote w:id="3">
    <w:p w14:paraId="2C02700D" w14:textId="49E1F1D7" w:rsidR="00BB6B5D" w:rsidRDefault="00BB6B5D">
      <w:pPr>
        <w:pStyle w:val="FootnoteText"/>
      </w:pPr>
      <w:r>
        <w:rPr>
          <w:rStyle w:val="FootnoteReference"/>
        </w:rPr>
        <w:footnoteRef/>
      </w:r>
      <w:r>
        <w:t xml:space="preserve"> ENERGY STAR. 2017. “Commercial Dishwashers.” </w:t>
      </w:r>
      <w:r w:rsidRPr="00DF2A96">
        <w:rPr>
          <w:rStyle w:val="eTRMFootnoteTextChar"/>
          <w:rFonts w:eastAsiaTheme="majorEastAsia"/>
        </w:rPr>
        <w:t>http://www.energystar.gov/products/certified-products/detail/commercial-dishwashers</w:t>
      </w:r>
      <w:r>
        <w:rPr>
          <w:rStyle w:val="eTRMFootnoteTextChar"/>
          <w:rFonts w:eastAsiaTheme="majorEastAsia"/>
        </w:rPr>
        <w:t xml:space="preserve">. </w:t>
      </w:r>
      <w:r>
        <w:t>Accessed on July 26</w:t>
      </w:r>
      <w:r w:rsidRPr="00DF2A96">
        <w:t>.</w:t>
      </w:r>
    </w:p>
  </w:footnote>
  <w:footnote w:id="4">
    <w:p w14:paraId="44F6B81B" w14:textId="77777777" w:rsidR="00BB6B5D" w:rsidRDefault="00BB6B5D" w:rsidP="00C535F4">
      <w:pPr>
        <w:pStyle w:val="FootnoteText"/>
      </w:pPr>
      <w:r>
        <w:rPr>
          <w:rStyle w:val="FootnoteReference"/>
        </w:rPr>
        <w:footnoteRef/>
      </w:r>
      <w:r>
        <w:t xml:space="preserve"> </w:t>
      </w:r>
      <w:r w:rsidRPr="00275ECE">
        <w:t xml:space="preserve">American Society for Testing and Materials (ASTM). 2007. </w:t>
      </w:r>
      <w:r w:rsidRPr="00275ECE">
        <w:rPr>
          <w:i/>
        </w:rPr>
        <w:t xml:space="preserve">ASTM F1696-07 Standard Test Method for Energy Performance Single-Rack, Door-Type Commercial Dishwashing Machines. </w:t>
      </w:r>
      <w:r>
        <w:t>West Conshohocken (PA): ASTM International.</w:t>
      </w:r>
    </w:p>
  </w:footnote>
  <w:footnote w:id="5">
    <w:p w14:paraId="0BAF301D" w14:textId="77777777" w:rsidR="00BB6B5D" w:rsidRDefault="00BB6B5D" w:rsidP="00B8540E">
      <w:pPr>
        <w:pStyle w:val="FootnoteText"/>
      </w:pPr>
      <w:r>
        <w:rPr>
          <w:rStyle w:val="FootnoteReference"/>
        </w:rPr>
        <w:footnoteRef/>
      </w:r>
      <w:r>
        <w:t xml:space="preserve"> </w:t>
      </w:r>
      <w:r w:rsidRPr="00275ECE">
        <w:t xml:space="preserve">American Society for Testing and Materials (ASTM). 2007. </w:t>
      </w:r>
      <w:r w:rsidRPr="00275ECE">
        <w:rPr>
          <w:i/>
        </w:rPr>
        <w:t xml:space="preserve">ASTM F1696-07 Standard Test Method for Energy Performance Single-Rack, Door-Type Commercial Dishwashing Machines. </w:t>
      </w:r>
      <w:r>
        <w:t>West Conshohocken (PA): ASTM International.</w:t>
      </w:r>
    </w:p>
  </w:footnote>
  <w:footnote w:id="6">
    <w:p w14:paraId="34271467" w14:textId="77777777" w:rsidR="004021C4" w:rsidRPr="00D47976" w:rsidRDefault="004021C4" w:rsidP="004021C4">
      <w:pPr>
        <w:keepNext/>
        <w:keepLines/>
        <w:spacing w:before="20" w:after="20"/>
        <w:rPr>
          <w:sz w:val="18"/>
          <w:szCs w:val="20"/>
        </w:rPr>
      </w:pPr>
      <w:r>
        <w:rPr>
          <w:rStyle w:val="FootnoteReference"/>
        </w:rPr>
        <w:footnoteRef/>
      </w:r>
      <w:r>
        <w:t xml:space="preserve"> </w:t>
      </w:r>
      <w:r w:rsidRPr="00E42B54">
        <w:rPr>
          <w:sz w:val="18"/>
          <w:szCs w:val="20"/>
        </w:rPr>
        <w:t>ENERGY STAR. 20</w:t>
      </w:r>
      <w:r>
        <w:rPr>
          <w:sz w:val="18"/>
          <w:szCs w:val="20"/>
        </w:rPr>
        <w:t>20</w:t>
      </w:r>
      <w:r w:rsidRPr="00E42B54">
        <w:rPr>
          <w:sz w:val="18"/>
          <w:szCs w:val="20"/>
        </w:rPr>
        <w:t>. “ENERGY STAR Program Requirements for Commercial Dishwashers. Eligibility Criteria (</w:t>
      </w:r>
      <w:r>
        <w:rPr>
          <w:sz w:val="18"/>
          <w:szCs w:val="20"/>
        </w:rPr>
        <w:t>October</w:t>
      </w:r>
      <w:r w:rsidRPr="00E42B54">
        <w:rPr>
          <w:sz w:val="18"/>
          <w:szCs w:val="20"/>
        </w:rPr>
        <w:t xml:space="preserve"> 20</w:t>
      </w:r>
      <w:r>
        <w:rPr>
          <w:sz w:val="18"/>
          <w:szCs w:val="20"/>
        </w:rPr>
        <w:t>20</w:t>
      </w:r>
      <w:r w:rsidRPr="00E42B54">
        <w:rPr>
          <w:sz w:val="18"/>
          <w:szCs w:val="20"/>
        </w:rPr>
        <w:t xml:space="preserve">) Version </w:t>
      </w:r>
      <w:r>
        <w:rPr>
          <w:sz w:val="18"/>
          <w:szCs w:val="20"/>
        </w:rPr>
        <w:t>3</w:t>
      </w:r>
      <w:r w:rsidRPr="00E42B54">
        <w:rPr>
          <w:sz w:val="18"/>
          <w:szCs w:val="20"/>
        </w:rPr>
        <w:t xml:space="preserve">.0.” Effective </w:t>
      </w:r>
      <w:r w:rsidRPr="000334AB">
        <w:rPr>
          <w:sz w:val="18"/>
          <w:szCs w:val="20"/>
        </w:rPr>
        <w:t>July 27, 2021.</w:t>
      </w:r>
    </w:p>
  </w:footnote>
  <w:footnote w:id="7">
    <w:p w14:paraId="0E73DD14" w14:textId="071552B5" w:rsidR="00BB6B5D" w:rsidRDefault="00BB6B5D">
      <w:pPr>
        <w:pStyle w:val="FootnoteText"/>
      </w:pPr>
      <w:r>
        <w:rPr>
          <w:rStyle w:val="FootnoteReference"/>
        </w:rPr>
        <w:footnoteRef/>
      </w:r>
      <w:r>
        <w:t xml:space="preserve"> Pacific Gas and Electric (PG&amp;E). 2015. “</w:t>
      </w:r>
      <w:r w:rsidRPr="00A26CA5">
        <w:t>Dishmachine Calcs 09092015.xls.</w:t>
      </w:r>
      <w:r>
        <w:t>”</w:t>
      </w:r>
    </w:p>
  </w:footnote>
  <w:footnote w:id="8">
    <w:p w14:paraId="0C30DB62" w14:textId="77777777" w:rsidR="00EF47EB" w:rsidRDefault="00EF47EB" w:rsidP="00EF47EB">
      <w:pPr>
        <w:pStyle w:val="FootnoteText"/>
      </w:pPr>
      <w:r w:rsidRPr="001146D0">
        <w:rPr>
          <w:rStyle w:val="FootnoteReference"/>
        </w:rPr>
        <w:footnoteRef/>
      </w:r>
      <w:r w:rsidRPr="001146D0">
        <w:t xml:space="preserve"> The source for this data or information is unknown.</w:t>
      </w:r>
    </w:p>
  </w:footnote>
  <w:footnote w:id="9">
    <w:p w14:paraId="495CEFFB" w14:textId="77777777" w:rsidR="00EF47EB" w:rsidRDefault="00EF47EB" w:rsidP="00EF47EB">
      <w:pPr>
        <w:pStyle w:val="FootnoteText"/>
      </w:pPr>
      <w:r>
        <w:rPr>
          <w:rStyle w:val="FootnoteReference"/>
        </w:rPr>
        <w:footnoteRef/>
      </w:r>
      <w:r>
        <w:t xml:space="preserve"> </w:t>
      </w:r>
      <w:r>
        <w:rPr>
          <w:rStyle w:val="eTRMFootnoteTextChar"/>
        </w:rPr>
        <w:t xml:space="preserve">Spoor, C., D. Zabrowski, and L. Mills. (Fisher-Nickel, Inc.) 2014. </w:t>
      </w:r>
      <w:r>
        <w:rPr>
          <w:rStyle w:val="eTRMFootnoteTextChar"/>
          <w:i/>
        </w:rPr>
        <w:t xml:space="preserve">Characterizing the Energy Efficiency Potential of Gas-Fired Commercial Food Service Equipment. </w:t>
      </w:r>
      <w:r>
        <w:rPr>
          <w:rStyle w:val="eTRMFootnoteTextChar"/>
        </w:rPr>
        <w:t>Prepared for the California Energy Commission. CEC-500-2014-095. </w:t>
      </w:r>
    </w:p>
  </w:footnote>
  <w:footnote w:id="10">
    <w:p w14:paraId="3D359E1A" w14:textId="77777777" w:rsidR="001A0E1E" w:rsidRDefault="001A0E1E" w:rsidP="001A0E1E">
      <w:pPr>
        <w:pStyle w:val="FootnoteText"/>
      </w:pPr>
      <w:r>
        <w:rPr>
          <w:rStyle w:val="FootnoteReference"/>
        </w:rPr>
        <w:footnoteRef/>
      </w:r>
      <w:r>
        <w:t xml:space="preserve"> </w:t>
      </w:r>
      <w:r w:rsidRPr="005866F0">
        <w:t>Reeves, P. (Consultant to California Public Utilities Commission, Energy Division). 2013. "Comparison-of-Ground-Temperatures-v2_byPaulReeves.xlsx."</w:t>
      </w:r>
    </w:p>
  </w:footnote>
  <w:footnote w:id="11">
    <w:p w14:paraId="44021CCD" w14:textId="77777777" w:rsidR="008C15FC" w:rsidRPr="004C02B9" w:rsidRDefault="008C15FC" w:rsidP="008C15FC">
      <w:pPr>
        <w:pStyle w:val="FootnoteText"/>
      </w:pPr>
      <w:r w:rsidRPr="004C02B9">
        <w:rPr>
          <w:rStyle w:val="FootnoteReference"/>
        </w:rPr>
        <w:footnoteRef/>
      </w:r>
      <w:r w:rsidRPr="004C02B9">
        <w:t xml:space="preserve"> California Public Utilities Commission (CPUC), Energy Division, Ex Ante Review Team. 2014. “DEER2015 Measure Summary Water Heater Energy Factor.xls.”</w:t>
      </w:r>
    </w:p>
  </w:footnote>
  <w:footnote w:id="12">
    <w:p w14:paraId="6919A5D4" w14:textId="77777777" w:rsidR="00733D7A" w:rsidRPr="00D00139" w:rsidRDefault="00733D7A" w:rsidP="00733D7A">
      <w:pPr>
        <w:keepNext/>
        <w:keepLines/>
        <w:spacing w:before="20" w:after="20"/>
        <w:rPr>
          <w:sz w:val="18"/>
          <w:szCs w:val="20"/>
        </w:rPr>
      </w:pPr>
      <w:r>
        <w:rPr>
          <w:rStyle w:val="FootnoteReference"/>
        </w:rPr>
        <w:footnoteRef/>
      </w:r>
      <w:r>
        <w:t xml:space="preserve"> </w:t>
      </w:r>
      <w:r w:rsidRPr="00E42B54">
        <w:rPr>
          <w:sz w:val="18"/>
          <w:szCs w:val="20"/>
        </w:rPr>
        <w:t>ENERGY STAR. 20</w:t>
      </w:r>
      <w:r>
        <w:rPr>
          <w:sz w:val="18"/>
          <w:szCs w:val="20"/>
        </w:rPr>
        <w:t>20</w:t>
      </w:r>
      <w:r w:rsidRPr="00E42B54">
        <w:rPr>
          <w:sz w:val="18"/>
          <w:szCs w:val="20"/>
        </w:rPr>
        <w:t>. “ENERGY STAR Program Requirements for Commercial Dishwashers. Eligibility Criteria (</w:t>
      </w:r>
      <w:r>
        <w:rPr>
          <w:sz w:val="18"/>
          <w:szCs w:val="20"/>
        </w:rPr>
        <w:t>October</w:t>
      </w:r>
      <w:r w:rsidRPr="00E42B54">
        <w:rPr>
          <w:sz w:val="18"/>
          <w:szCs w:val="20"/>
        </w:rPr>
        <w:t xml:space="preserve"> 20</w:t>
      </w:r>
      <w:r>
        <w:rPr>
          <w:sz w:val="18"/>
          <w:szCs w:val="20"/>
        </w:rPr>
        <w:t>20</w:t>
      </w:r>
      <w:r w:rsidRPr="00E42B54">
        <w:rPr>
          <w:sz w:val="18"/>
          <w:szCs w:val="20"/>
        </w:rPr>
        <w:t xml:space="preserve">) Version </w:t>
      </w:r>
      <w:r>
        <w:rPr>
          <w:sz w:val="18"/>
          <w:szCs w:val="20"/>
        </w:rPr>
        <w:t>3</w:t>
      </w:r>
      <w:r w:rsidRPr="00E42B54">
        <w:rPr>
          <w:sz w:val="18"/>
          <w:szCs w:val="20"/>
        </w:rPr>
        <w:t xml:space="preserve">.0.” Effective </w:t>
      </w:r>
      <w:r w:rsidRPr="000334AB">
        <w:rPr>
          <w:sz w:val="18"/>
          <w:szCs w:val="20"/>
        </w:rPr>
        <w:t>July 27, 2021.</w:t>
      </w:r>
    </w:p>
  </w:footnote>
  <w:footnote w:id="13">
    <w:p w14:paraId="169E2098" w14:textId="65A0C181" w:rsidR="00BB6B5D" w:rsidRDefault="00BB6B5D">
      <w:pPr>
        <w:pStyle w:val="FootnoteText"/>
      </w:pPr>
      <w:r>
        <w:rPr>
          <w:rStyle w:val="FootnoteReference"/>
        </w:rPr>
        <w:footnoteRef/>
      </w:r>
      <w:r>
        <w:t xml:space="preserve"> The source for this data or information is unknown.</w:t>
      </w:r>
    </w:p>
  </w:footnote>
  <w:footnote w:id="14">
    <w:p w14:paraId="7060AE77" w14:textId="49F7418C" w:rsidR="00BB6B5D" w:rsidRDefault="00BB6B5D">
      <w:pPr>
        <w:pStyle w:val="FootnoteText"/>
      </w:pPr>
      <w:r>
        <w:rPr>
          <w:rStyle w:val="FootnoteReference"/>
        </w:rPr>
        <w:footnoteRef/>
      </w:r>
      <w:r>
        <w:t xml:space="preserve"> </w:t>
      </w:r>
      <w:r w:rsidRPr="00DD1649">
        <w:rPr>
          <w:rStyle w:val="eTRMFootnoteTextChar"/>
        </w:rPr>
        <w:t xml:space="preserve">Spoor, C., D. Zabrowski, and L. Mills. (Fisher-Nickel, Inc.) 2014. </w:t>
      </w:r>
      <w:r w:rsidRPr="00DD1649">
        <w:rPr>
          <w:rStyle w:val="eTRMFootnoteTextChar"/>
          <w:i/>
        </w:rPr>
        <w:t xml:space="preserve">Characterizing the Energy Efficiency Potential of Gas-Fired Commercial Food Service Equipment. </w:t>
      </w:r>
      <w:r w:rsidRPr="00DD1649">
        <w:rPr>
          <w:rStyle w:val="eTRMFootnoteTextChar"/>
        </w:rPr>
        <w:t>Prepared for the California Energy Commission. CEC-500-2014-095. </w:t>
      </w:r>
    </w:p>
  </w:footnote>
  <w:footnote w:id="15">
    <w:p w14:paraId="7E175284" w14:textId="77777777" w:rsidR="00BB6B5D" w:rsidRDefault="00BB6B5D" w:rsidP="005A3AA7">
      <w:pPr>
        <w:pStyle w:val="FootnoteText"/>
      </w:pPr>
      <w:r>
        <w:rPr>
          <w:rStyle w:val="FootnoteReference"/>
        </w:rPr>
        <w:footnoteRef/>
      </w:r>
      <w:r>
        <w:t xml:space="preserve"> </w:t>
      </w:r>
      <w:r w:rsidRPr="007F5CCC">
        <w:rPr>
          <w:rStyle w:val="eTRMFootnoteTextChar"/>
        </w:rPr>
        <w:t xml:space="preserve">Aquacraft, Inc. 2011. </w:t>
      </w:r>
      <w:r w:rsidRPr="007F5CCC">
        <w:rPr>
          <w:rStyle w:val="eTRMFootnoteTextChar"/>
          <w:i/>
        </w:rPr>
        <w:t>Embedded Energy in Water Studies. Study 3: End-use Water Demand Profiles.</w:t>
      </w:r>
      <w:r w:rsidRPr="007F5CCC">
        <w:rPr>
          <w:rStyle w:val="eTRMFootnoteTextChar"/>
        </w:rPr>
        <w:t xml:space="preserve"> Prepared for the California Public Utilities Commission. CALMAC Study ID: CPU0052.</w:t>
      </w:r>
    </w:p>
  </w:footnote>
  <w:footnote w:id="16">
    <w:p w14:paraId="0E024F6F" w14:textId="464825FD" w:rsidR="00EF492E" w:rsidRDefault="00EF492E">
      <w:pPr>
        <w:pStyle w:val="FootnoteText"/>
      </w:pPr>
      <w:r>
        <w:rPr>
          <w:rStyle w:val="FootnoteReference"/>
        </w:rPr>
        <w:footnoteRef/>
      </w:r>
      <w:r>
        <w:t xml:space="preserve"> </w:t>
      </w: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Op</w:t>
      </w:r>
      <w:r w:rsidRPr="00461A0D">
        <w:rPr>
          <w:rStyle w:val="eTRMFootnoteTextChar"/>
        </w:rPr>
        <w:t xml:space="preserve"> 1.</w:t>
      </w:r>
    </w:p>
  </w:footnote>
  <w:footnote w:id="17">
    <w:p w14:paraId="61F87EA0" w14:textId="11546EBA" w:rsidR="008311B9" w:rsidRDefault="008311B9" w:rsidP="008311B9">
      <w:pPr>
        <w:pStyle w:val="FootnoteText"/>
      </w:pPr>
      <w:r>
        <w:rPr>
          <w:rStyle w:val="FootnoteReference"/>
        </w:rPr>
        <w:footnoteRef/>
      </w:r>
      <w:r>
        <w:t xml:space="preserve"> Southern California Gas Company (SCG). 20</w:t>
      </w:r>
      <w:r w:rsidR="00026D6D">
        <w:t>21</w:t>
      </w:r>
      <w:r>
        <w:t xml:space="preserve"> “</w:t>
      </w:r>
      <w:r w:rsidRPr="00626C63">
        <w:t>SWFS0</w:t>
      </w:r>
      <w:r w:rsidR="00CC7444">
        <w:t>02</w:t>
      </w:r>
      <w:r w:rsidRPr="00626C63">
        <w:t>-0</w:t>
      </w:r>
      <w:r w:rsidR="00026D6D">
        <w:t>2</w:t>
      </w:r>
      <w:r w:rsidRPr="00626C63">
        <w:t>_Energy Calculations.xlsx</w:t>
      </w:r>
      <w:r>
        <w:t>.”</w:t>
      </w:r>
    </w:p>
  </w:footnote>
  <w:footnote w:id="18">
    <w:p w14:paraId="151EA7D4" w14:textId="77777777" w:rsidR="008311B9" w:rsidRDefault="008311B9" w:rsidP="008311B9">
      <w:pPr>
        <w:pStyle w:val="FootnoteText"/>
      </w:pPr>
      <w:r>
        <w:rPr>
          <w:rStyle w:val="FootnoteReference"/>
        </w:rPr>
        <w:footnoteRef/>
      </w:r>
      <w:r>
        <w:t xml:space="preserve"> </w:t>
      </w: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O.P.</w:t>
      </w:r>
      <w:r w:rsidRPr="00461A0D">
        <w:rPr>
          <w:rStyle w:val="eTRMFootnoteTextChar"/>
        </w:rPr>
        <w:t xml:space="preserve"> 1.</w:t>
      </w:r>
    </w:p>
  </w:footnote>
  <w:footnote w:id="19">
    <w:p w14:paraId="2849BDA8" w14:textId="77777777" w:rsidR="00313160" w:rsidRPr="00D47976" w:rsidRDefault="00313160" w:rsidP="00313160">
      <w:pPr>
        <w:keepNext/>
        <w:keepLines/>
        <w:spacing w:before="20" w:after="20"/>
        <w:rPr>
          <w:sz w:val="18"/>
          <w:szCs w:val="20"/>
        </w:rPr>
      </w:pPr>
      <w:r>
        <w:rPr>
          <w:rStyle w:val="FootnoteReference"/>
        </w:rPr>
        <w:footnoteRef/>
      </w:r>
      <w:r>
        <w:t xml:space="preserve"> </w:t>
      </w:r>
      <w:r w:rsidRPr="00E42B54">
        <w:rPr>
          <w:sz w:val="18"/>
          <w:szCs w:val="20"/>
        </w:rPr>
        <w:t>ENERGY STAR. 20</w:t>
      </w:r>
      <w:r>
        <w:rPr>
          <w:sz w:val="18"/>
          <w:szCs w:val="20"/>
        </w:rPr>
        <w:t>20</w:t>
      </w:r>
      <w:r w:rsidRPr="00E42B54">
        <w:rPr>
          <w:sz w:val="18"/>
          <w:szCs w:val="20"/>
        </w:rPr>
        <w:t>. “ENERGY STAR Program Requirements for Commercial Dishwashers. Eligibility Criteria (</w:t>
      </w:r>
      <w:r>
        <w:rPr>
          <w:sz w:val="18"/>
          <w:szCs w:val="20"/>
        </w:rPr>
        <w:t>October</w:t>
      </w:r>
      <w:r w:rsidRPr="00E42B54">
        <w:rPr>
          <w:sz w:val="18"/>
          <w:szCs w:val="20"/>
        </w:rPr>
        <w:t xml:space="preserve"> 20</w:t>
      </w:r>
      <w:r>
        <w:rPr>
          <w:sz w:val="18"/>
          <w:szCs w:val="20"/>
        </w:rPr>
        <w:t>20</w:t>
      </w:r>
      <w:r w:rsidRPr="00E42B54">
        <w:rPr>
          <w:sz w:val="18"/>
          <w:szCs w:val="20"/>
        </w:rPr>
        <w:t xml:space="preserve">) Version </w:t>
      </w:r>
      <w:r>
        <w:rPr>
          <w:sz w:val="18"/>
          <w:szCs w:val="20"/>
        </w:rPr>
        <w:t>3</w:t>
      </w:r>
      <w:r w:rsidRPr="00E42B54">
        <w:rPr>
          <w:sz w:val="18"/>
          <w:szCs w:val="20"/>
        </w:rPr>
        <w:t xml:space="preserve">.0.” Effective </w:t>
      </w:r>
      <w:r w:rsidRPr="000334AB">
        <w:rPr>
          <w:sz w:val="18"/>
          <w:szCs w:val="20"/>
        </w:rPr>
        <w:t>July 27, 2021.</w:t>
      </w:r>
    </w:p>
  </w:footnote>
  <w:footnote w:id="20">
    <w:p w14:paraId="1A007FE0" w14:textId="1DF09E4A" w:rsidR="00BB6B5D" w:rsidRDefault="00BB6B5D" w:rsidP="0017356B">
      <w:pPr>
        <w:pStyle w:val="FootnoteText"/>
      </w:pPr>
      <w:r>
        <w:rPr>
          <w:rStyle w:val="FootnoteReference"/>
        </w:rPr>
        <w:footnoteRef/>
      </w:r>
      <w:r>
        <w:t xml:space="preserve"> </w:t>
      </w:r>
      <w:r w:rsidR="00D00139" w:rsidRPr="00D00139">
        <w:t>SoCalGas (SCG). 2021. "Dishmachine Calcs 03152021.xls."</w:t>
      </w:r>
    </w:p>
  </w:footnote>
  <w:footnote w:id="21">
    <w:p w14:paraId="13E70127" w14:textId="77777777" w:rsidR="00313160" w:rsidRDefault="00313160" w:rsidP="00313160">
      <w:pPr>
        <w:pStyle w:val="FootnoteText"/>
      </w:pPr>
      <w:r w:rsidRPr="001146D0">
        <w:rPr>
          <w:rStyle w:val="FootnoteReference"/>
        </w:rPr>
        <w:footnoteRef/>
      </w:r>
      <w:r w:rsidRPr="001146D0">
        <w:t xml:space="preserve"> The source for this data or information is unknown.</w:t>
      </w:r>
    </w:p>
  </w:footnote>
  <w:footnote w:id="22">
    <w:p w14:paraId="2023E8A5" w14:textId="77777777" w:rsidR="00313160" w:rsidRDefault="00313160" w:rsidP="00313160">
      <w:pPr>
        <w:pStyle w:val="FootnoteText"/>
      </w:pPr>
      <w:r>
        <w:rPr>
          <w:rStyle w:val="FootnoteReference"/>
        </w:rPr>
        <w:footnoteRef/>
      </w:r>
      <w:r>
        <w:t xml:space="preserve"> </w:t>
      </w:r>
      <w:r>
        <w:rPr>
          <w:rStyle w:val="eTRMFootnoteTextChar"/>
        </w:rPr>
        <w:t xml:space="preserve">Spoor, C., D. Zabrowski, and L. Mills. (Fisher-Nickel, Inc.) 2014. </w:t>
      </w:r>
      <w:r>
        <w:rPr>
          <w:rStyle w:val="eTRMFootnoteTextChar"/>
          <w:i/>
        </w:rPr>
        <w:t xml:space="preserve">Characterizing the Energy Efficiency Potential of Gas-Fired Commercial Food Service Equipment. </w:t>
      </w:r>
      <w:r>
        <w:rPr>
          <w:rStyle w:val="eTRMFootnoteTextChar"/>
        </w:rPr>
        <w:t>Prepared for the California Energy Commission. CEC-500-2014-095. </w:t>
      </w:r>
    </w:p>
  </w:footnote>
  <w:footnote w:id="23">
    <w:p w14:paraId="7FC58B85" w14:textId="77777777" w:rsidR="001A0E1E" w:rsidRDefault="001A0E1E" w:rsidP="001A0E1E">
      <w:pPr>
        <w:pStyle w:val="FootnoteText"/>
      </w:pPr>
      <w:r>
        <w:rPr>
          <w:rStyle w:val="FootnoteReference"/>
        </w:rPr>
        <w:footnoteRef/>
      </w:r>
      <w:r>
        <w:t xml:space="preserve"> </w:t>
      </w:r>
      <w:r w:rsidRPr="005866F0">
        <w:t>Reeves, P. (Consultant to California Public Utilities Commission, Energy Division). 2013. "Comparison-of-Ground-Temperatures-v2_byPaulReeves.xlsx."</w:t>
      </w:r>
    </w:p>
  </w:footnote>
  <w:footnote w:id="24">
    <w:p w14:paraId="1DAE3405" w14:textId="77777777" w:rsidR="008C15FC" w:rsidRPr="004C02B9" w:rsidRDefault="008C15FC" w:rsidP="008C15FC">
      <w:pPr>
        <w:pStyle w:val="FootnoteText"/>
      </w:pPr>
      <w:r w:rsidRPr="004C02B9">
        <w:rPr>
          <w:rStyle w:val="FootnoteReference"/>
        </w:rPr>
        <w:footnoteRef/>
      </w:r>
      <w:r w:rsidRPr="004C02B9">
        <w:t xml:space="preserve"> California Public Utilities Commission (CPUC), Energy Division, Ex Ante Review Team. 2014. “DEER2015 Measure Summary Water Heater Energy Factor.xls.”</w:t>
      </w:r>
    </w:p>
  </w:footnote>
  <w:footnote w:id="25">
    <w:p w14:paraId="27E42FF1" w14:textId="77777777" w:rsidR="00530EEC" w:rsidRPr="00D00139" w:rsidRDefault="00530EEC" w:rsidP="00530EEC">
      <w:pPr>
        <w:keepNext/>
        <w:keepLines/>
        <w:spacing w:before="20" w:after="20"/>
        <w:rPr>
          <w:sz w:val="18"/>
          <w:szCs w:val="20"/>
        </w:rPr>
      </w:pPr>
      <w:r>
        <w:rPr>
          <w:rStyle w:val="FootnoteReference"/>
        </w:rPr>
        <w:footnoteRef/>
      </w:r>
      <w:r>
        <w:t xml:space="preserve"> </w:t>
      </w:r>
      <w:r w:rsidRPr="00E42B54">
        <w:rPr>
          <w:sz w:val="18"/>
          <w:szCs w:val="20"/>
        </w:rPr>
        <w:t>ENERGY STAR. 20</w:t>
      </w:r>
      <w:r>
        <w:rPr>
          <w:sz w:val="18"/>
          <w:szCs w:val="20"/>
        </w:rPr>
        <w:t>20</w:t>
      </w:r>
      <w:r w:rsidRPr="00E42B54">
        <w:rPr>
          <w:sz w:val="18"/>
          <w:szCs w:val="20"/>
        </w:rPr>
        <w:t>. “ENERGY STAR Program Requirements for Commercial Dishwashers. Eligibility Criteria (</w:t>
      </w:r>
      <w:r>
        <w:rPr>
          <w:sz w:val="18"/>
          <w:szCs w:val="20"/>
        </w:rPr>
        <w:t>October</w:t>
      </w:r>
      <w:r w:rsidRPr="00E42B54">
        <w:rPr>
          <w:sz w:val="18"/>
          <w:szCs w:val="20"/>
        </w:rPr>
        <w:t xml:space="preserve"> 20</w:t>
      </w:r>
      <w:r>
        <w:rPr>
          <w:sz w:val="18"/>
          <w:szCs w:val="20"/>
        </w:rPr>
        <w:t>20</w:t>
      </w:r>
      <w:r w:rsidRPr="00E42B54">
        <w:rPr>
          <w:sz w:val="18"/>
          <w:szCs w:val="20"/>
        </w:rPr>
        <w:t xml:space="preserve">) Version </w:t>
      </w:r>
      <w:r>
        <w:rPr>
          <w:sz w:val="18"/>
          <w:szCs w:val="20"/>
        </w:rPr>
        <w:t>3</w:t>
      </w:r>
      <w:r w:rsidRPr="00E42B54">
        <w:rPr>
          <w:sz w:val="18"/>
          <w:szCs w:val="20"/>
        </w:rPr>
        <w:t xml:space="preserve">.0.” Effective </w:t>
      </w:r>
      <w:r w:rsidRPr="000334AB">
        <w:rPr>
          <w:sz w:val="18"/>
          <w:szCs w:val="20"/>
        </w:rPr>
        <w:t>July 27, 2021.</w:t>
      </w:r>
    </w:p>
  </w:footnote>
  <w:footnote w:id="26">
    <w:p w14:paraId="30466942" w14:textId="77777777" w:rsidR="00BB6B5D" w:rsidRDefault="00BB6B5D" w:rsidP="00194977">
      <w:pPr>
        <w:pStyle w:val="FootnoteText"/>
      </w:pPr>
      <w:r>
        <w:rPr>
          <w:rStyle w:val="FootnoteReference"/>
        </w:rPr>
        <w:footnoteRef/>
      </w:r>
      <w:r>
        <w:t xml:space="preserve"> The source for this data or information is unknown.</w:t>
      </w:r>
    </w:p>
  </w:footnote>
  <w:footnote w:id="27">
    <w:p w14:paraId="1840DCC0" w14:textId="77777777" w:rsidR="00BB6B5D" w:rsidRDefault="00BB6B5D" w:rsidP="00194977">
      <w:pPr>
        <w:pStyle w:val="FootnoteText"/>
      </w:pPr>
      <w:r>
        <w:rPr>
          <w:rStyle w:val="FootnoteReference"/>
        </w:rPr>
        <w:footnoteRef/>
      </w:r>
      <w:r>
        <w:t xml:space="preserve"> </w:t>
      </w:r>
      <w:r w:rsidRPr="00DD1649">
        <w:rPr>
          <w:rStyle w:val="eTRMFootnoteTextChar"/>
        </w:rPr>
        <w:t xml:space="preserve">Spoor, C., D. Zabrowski, and L. Mills. (Fisher-Nickel, Inc.) 2014. </w:t>
      </w:r>
      <w:r w:rsidRPr="00DD1649">
        <w:rPr>
          <w:rStyle w:val="eTRMFootnoteTextChar"/>
          <w:i/>
        </w:rPr>
        <w:t xml:space="preserve">Characterizing the Energy Efficiency Potential of Gas-Fired Commercial Food Service Equipment. </w:t>
      </w:r>
      <w:r w:rsidRPr="00DD1649">
        <w:rPr>
          <w:rStyle w:val="eTRMFootnoteTextChar"/>
        </w:rPr>
        <w:t>Prepared for the California Energy Commission. CEC-500-2014-095. </w:t>
      </w:r>
    </w:p>
  </w:footnote>
  <w:footnote w:id="28">
    <w:p w14:paraId="3408F414" w14:textId="585D1216" w:rsidR="00BB6B5D" w:rsidRDefault="00BB6B5D">
      <w:pPr>
        <w:pStyle w:val="FootnoteText"/>
      </w:pPr>
      <w:r>
        <w:rPr>
          <w:rStyle w:val="FootnoteReference"/>
        </w:rPr>
        <w:footnoteRef/>
      </w:r>
      <w:r>
        <w:t xml:space="preserve"> Pacific Gas and Electric (PG&amp;E). 2015. “</w:t>
      </w:r>
      <w:r w:rsidRPr="00A26CA5">
        <w:t>Dishmachine Calcs 09092015.xls.</w:t>
      </w:r>
      <w:r>
        <w:t>”</w:t>
      </w:r>
    </w:p>
  </w:footnote>
  <w:footnote w:id="29">
    <w:p w14:paraId="1DE3BF78" w14:textId="77777777" w:rsidR="00BB6B5D" w:rsidRDefault="00BB6B5D" w:rsidP="00641FB2">
      <w:pPr>
        <w:pStyle w:val="FootnoteText"/>
      </w:pPr>
      <w:r>
        <w:rPr>
          <w:rStyle w:val="FootnoteReference"/>
        </w:rPr>
        <w:footnoteRef/>
      </w:r>
      <w:r>
        <w:t xml:space="preserve"> Pacific Gas and Electric (PG&amp;E). 2015. “</w:t>
      </w:r>
      <w:r w:rsidRPr="00A26CA5">
        <w:t>Dishmachine Calcs 09092015.xls.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8832D" w14:textId="77777777" w:rsidR="00BB6B5D" w:rsidRPr="000220A0" w:rsidRDefault="00BB6B5D"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128A6" w14:textId="77777777" w:rsidR="00BB6B5D" w:rsidRDefault="00BB6B5D">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1BE138D1" w14:textId="77777777" w:rsidR="00BB6B5D" w:rsidRDefault="00BB6B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43F8D" w14:textId="77777777" w:rsidR="00BB6B5D" w:rsidRDefault="00BB6B5D" w:rsidP="00BD221D">
    <w:pPr>
      <w:jc w:val="center"/>
    </w:pPr>
  </w:p>
  <w:p w14:paraId="2E86C902" w14:textId="77777777" w:rsidR="00BB6B5D" w:rsidRDefault="00BB6B5D" w:rsidP="00BD221D">
    <w:pPr>
      <w:jc w:val="center"/>
    </w:pPr>
    <w:r>
      <w:rPr>
        <w:noProof/>
      </w:rPr>
      <w:drawing>
        <wp:inline distT="0" distB="0" distL="0" distR="0" wp14:anchorId="05DB4614" wp14:editId="481C241D">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BD91D" w14:textId="274207E9" w:rsidR="00BB6B5D" w:rsidRDefault="00BB6B5D" w:rsidP="001D7A57">
    <w:pPr>
      <w:pStyle w:val="Header"/>
    </w:pPr>
    <w:r>
      <w:rPr>
        <w:rFonts w:ascii="Calibri Light" w:hAnsi="Calibri Light"/>
      </w:rPr>
      <w:t xml:space="preserve">FOOD SERVICE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sidR="007F236A">
      <w:rPr>
        <w:rFonts w:ascii="Calibri Light" w:hAnsi="Calibri Light"/>
        <w:b/>
      </w:rPr>
      <w:t>Door Type</w:t>
    </w:r>
    <w:r>
      <w:rPr>
        <w:rFonts w:ascii="Calibri Light" w:hAnsi="Calibri Light"/>
        <w:b/>
      </w:rPr>
      <w:t xml:space="preserve"> Dishwasher</w:t>
    </w:r>
    <w:r w:rsidR="007F236A">
      <w:rPr>
        <w:rFonts w:ascii="Calibri Light" w:hAnsi="Calibri Light"/>
        <w:b/>
      </w:rPr>
      <w:t>, Commercial</w:t>
    </w:r>
  </w:p>
  <w:p w14:paraId="4FF4CC68" w14:textId="77777777" w:rsidR="00BB6B5D" w:rsidRDefault="00BB6B5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1C64C" w14:textId="77777777" w:rsidR="00BB6B5D" w:rsidRDefault="00BB6B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D641E"/>
    <w:multiLevelType w:val="hybridMultilevel"/>
    <w:tmpl w:val="3FF06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705BFE"/>
    <w:multiLevelType w:val="multilevel"/>
    <w:tmpl w:val="D7F8C266"/>
    <w:lvl w:ilvl="0">
      <w:start w:val="1"/>
      <w:numFmt w:val="bullet"/>
      <w:lvlText w:val=""/>
      <w:lvlJc w:val="left"/>
      <w:pPr>
        <w:ind w:left="720" w:hanging="360"/>
      </w:pPr>
      <w:rPr>
        <w:rFonts w:ascii="Symbol" w:hAnsi="Symbol" w:hint="default"/>
        <w:color w:val="404040" w:themeColor="accent3" w:themeShade="80"/>
        <w:sz w:val="20"/>
      </w:rPr>
    </w:lvl>
    <w:lvl w:ilvl="1">
      <w:start w:val="1"/>
      <w:numFmt w:val="bullet"/>
      <w:lvlText w:val="-"/>
      <w:lvlJc w:val="left"/>
      <w:pPr>
        <w:ind w:left="1440" w:hanging="360"/>
      </w:pPr>
      <w:rPr>
        <w:rFonts w:ascii="Courier New" w:hAnsi="Courier New" w:hint="default"/>
        <w:color w:val="404040" w:themeColor="accent3" w:themeShade="8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D6430C4"/>
    <w:multiLevelType w:val="hybridMultilevel"/>
    <w:tmpl w:val="92F43C7E"/>
    <w:lvl w:ilvl="0" w:tplc="91724E58">
      <w:start w:val="1"/>
      <w:numFmt w:val="decimal"/>
      <w:pStyle w:val="FIG"/>
      <w:lvlText w:val="Figure %1 -"/>
      <w:lvlJc w:val="center"/>
      <w:pPr>
        <w:tabs>
          <w:tab w:val="num" w:pos="720"/>
        </w:tabs>
        <w:ind w:left="0" w:firstLine="0"/>
      </w:pPr>
      <w:rPr>
        <w:rFonts w:ascii="Arial" w:hAnsi="Arial" w:cs="Times New Roman" w:hint="default"/>
        <w:b/>
        <w:i w:val="0"/>
        <w:sz w:val="20"/>
      </w:rPr>
    </w:lvl>
    <w:lvl w:ilvl="1" w:tplc="20023290">
      <w:start w:val="1"/>
      <w:numFmt w:val="lowerLetter"/>
      <w:lvlText w:val="%2."/>
      <w:lvlJc w:val="left"/>
      <w:pPr>
        <w:tabs>
          <w:tab w:val="num" w:pos="1440"/>
        </w:tabs>
        <w:ind w:left="1440" w:hanging="360"/>
      </w:pPr>
    </w:lvl>
    <w:lvl w:ilvl="2" w:tplc="4704E55A">
      <w:start w:val="1"/>
      <w:numFmt w:val="lowerRoman"/>
      <w:lvlText w:val="%3."/>
      <w:lvlJc w:val="right"/>
      <w:pPr>
        <w:tabs>
          <w:tab w:val="num" w:pos="2160"/>
        </w:tabs>
        <w:ind w:left="2160" w:hanging="180"/>
      </w:pPr>
    </w:lvl>
    <w:lvl w:ilvl="3" w:tplc="5578392C">
      <w:start w:val="1"/>
      <w:numFmt w:val="decimal"/>
      <w:lvlText w:val="%4."/>
      <w:lvlJc w:val="left"/>
      <w:pPr>
        <w:tabs>
          <w:tab w:val="num" w:pos="2880"/>
        </w:tabs>
        <w:ind w:left="2880" w:hanging="360"/>
      </w:pPr>
    </w:lvl>
    <w:lvl w:ilvl="4" w:tplc="BDD2CB94">
      <w:start w:val="1"/>
      <w:numFmt w:val="lowerLetter"/>
      <w:lvlText w:val="%5."/>
      <w:lvlJc w:val="left"/>
      <w:pPr>
        <w:tabs>
          <w:tab w:val="num" w:pos="3600"/>
        </w:tabs>
        <w:ind w:left="3600" w:hanging="360"/>
      </w:pPr>
    </w:lvl>
    <w:lvl w:ilvl="5" w:tplc="89C49758">
      <w:start w:val="1"/>
      <w:numFmt w:val="lowerRoman"/>
      <w:lvlText w:val="%6."/>
      <w:lvlJc w:val="right"/>
      <w:pPr>
        <w:tabs>
          <w:tab w:val="num" w:pos="4320"/>
        </w:tabs>
        <w:ind w:left="4320" w:hanging="180"/>
      </w:pPr>
    </w:lvl>
    <w:lvl w:ilvl="6" w:tplc="A34AF35C">
      <w:start w:val="1"/>
      <w:numFmt w:val="decimal"/>
      <w:lvlText w:val="%7."/>
      <w:lvlJc w:val="left"/>
      <w:pPr>
        <w:tabs>
          <w:tab w:val="num" w:pos="5040"/>
        </w:tabs>
        <w:ind w:left="5040" w:hanging="360"/>
      </w:pPr>
    </w:lvl>
    <w:lvl w:ilvl="7" w:tplc="CE3EDE72">
      <w:start w:val="1"/>
      <w:numFmt w:val="lowerLetter"/>
      <w:lvlText w:val="%8."/>
      <w:lvlJc w:val="left"/>
      <w:pPr>
        <w:tabs>
          <w:tab w:val="num" w:pos="5760"/>
        </w:tabs>
        <w:ind w:left="5760" w:hanging="360"/>
      </w:pPr>
    </w:lvl>
    <w:lvl w:ilvl="8" w:tplc="4CFE126E">
      <w:start w:val="1"/>
      <w:numFmt w:val="lowerRoman"/>
      <w:lvlText w:val="%9."/>
      <w:lvlJc w:val="right"/>
      <w:pPr>
        <w:tabs>
          <w:tab w:val="num" w:pos="6480"/>
        </w:tabs>
        <w:ind w:left="6480" w:hanging="180"/>
      </w:pPr>
    </w:lvl>
  </w:abstractNum>
  <w:abstractNum w:abstractNumId="6" w15:restartNumberingAfterBreak="0">
    <w:nsid w:val="51713380"/>
    <w:multiLevelType w:val="hybridMultilevel"/>
    <w:tmpl w:val="B21436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8" w15:restartNumberingAfterBreak="0">
    <w:nsid w:val="65A12FE7"/>
    <w:multiLevelType w:val="multilevel"/>
    <w:tmpl w:val="39BAE812"/>
    <w:lvl w:ilvl="0">
      <w:start w:val="1"/>
      <w:numFmt w:val="decimal"/>
      <w:suff w:val="nothing"/>
      <w:lvlText w:val="PART %1 - "/>
      <w:lvlJc w:val="left"/>
      <w:pPr>
        <w:ind w:left="576" w:hanging="576"/>
      </w:pPr>
      <w:rPr>
        <w:rFonts w:ascii="Arial" w:hAnsi="Arial" w:cs="Times New Roman" w:hint="default"/>
        <w:b/>
        <w:i w:val="0"/>
        <w:sz w:val="20"/>
      </w:rPr>
    </w:lvl>
    <w:lvl w:ilvl="1">
      <w:start w:val="1"/>
      <w:numFmt w:val="decimalZero"/>
      <w:pStyle w:val="SEC"/>
      <w:lvlText w:val="%1.%2"/>
      <w:lvlJc w:val="left"/>
      <w:pPr>
        <w:tabs>
          <w:tab w:val="num" w:pos="720"/>
        </w:tabs>
        <w:ind w:left="720" w:hanging="720"/>
      </w:pPr>
      <w:rPr>
        <w:b/>
        <w:i w:val="0"/>
      </w:rPr>
    </w:lvl>
    <w:lvl w:ilvl="2">
      <w:start w:val="1"/>
      <w:numFmt w:val="upperLetter"/>
      <w:lvlText w:val="%3."/>
      <w:lvlJc w:val="left"/>
      <w:pPr>
        <w:tabs>
          <w:tab w:val="num" w:pos="1152"/>
        </w:tabs>
        <w:ind w:left="1152" w:hanging="432"/>
      </w:pPr>
    </w:lvl>
    <w:lvl w:ilvl="3">
      <w:start w:val="1"/>
      <w:numFmt w:val="decimal"/>
      <w:lvlText w:val="%4."/>
      <w:lvlJc w:val="left"/>
      <w:pPr>
        <w:tabs>
          <w:tab w:val="num" w:pos="1584"/>
        </w:tabs>
        <w:ind w:left="1584" w:hanging="432"/>
      </w:pPr>
      <w:rPr>
        <w:rFonts w:ascii="Arial" w:hAnsi="Arial" w:cs="Times New Roman" w:hint="default"/>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9"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1" w15:restartNumberingAfterBreak="0">
    <w:nsid w:val="72B848A4"/>
    <w:multiLevelType w:val="singleLevel"/>
    <w:tmpl w:val="452E5236"/>
    <w:lvl w:ilvl="0">
      <w:start w:val="1"/>
      <w:numFmt w:val="decimal"/>
      <w:pStyle w:val="Style3"/>
      <w:lvlText w:val="%1."/>
      <w:legacy w:legacy="1" w:legacySpace="0" w:legacyIndent="0"/>
      <w:lvlJc w:val="left"/>
      <w:pPr>
        <w:ind w:left="0" w:firstLine="0"/>
      </w:pPr>
      <w:rPr>
        <w:rFonts w:cs="Times New Roman"/>
      </w:rPr>
    </w:lvl>
  </w:abstractNum>
  <w:abstractNum w:abstractNumId="1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0"/>
  </w:num>
  <w:num w:numId="2">
    <w:abstractNumId w:val="12"/>
  </w:num>
  <w:num w:numId="3">
    <w:abstractNumId w:val="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9"/>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9">
    <w:abstractNumId w:val="0"/>
  </w:num>
  <w:num w:numId="10">
    <w:abstractNumId w:val="6"/>
  </w:num>
  <w:num w:numId="1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C41A08"/>
    <w:rsid w:val="0000201D"/>
    <w:rsid w:val="00005B06"/>
    <w:rsid w:val="000063B0"/>
    <w:rsid w:val="000110D9"/>
    <w:rsid w:val="000111AF"/>
    <w:rsid w:val="0001166E"/>
    <w:rsid w:val="00013776"/>
    <w:rsid w:val="000147E1"/>
    <w:rsid w:val="00016928"/>
    <w:rsid w:val="00017CA1"/>
    <w:rsid w:val="000212BA"/>
    <w:rsid w:val="000220A0"/>
    <w:rsid w:val="00022134"/>
    <w:rsid w:val="0002389A"/>
    <w:rsid w:val="00025663"/>
    <w:rsid w:val="00026D58"/>
    <w:rsid w:val="00026D6D"/>
    <w:rsid w:val="000302DF"/>
    <w:rsid w:val="0003062C"/>
    <w:rsid w:val="00031184"/>
    <w:rsid w:val="000322A1"/>
    <w:rsid w:val="00032338"/>
    <w:rsid w:val="0003314D"/>
    <w:rsid w:val="000334AB"/>
    <w:rsid w:val="00037A06"/>
    <w:rsid w:val="00044750"/>
    <w:rsid w:val="0004699F"/>
    <w:rsid w:val="00046BB0"/>
    <w:rsid w:val="00051DBB"/>
    <w:rsid w:val="00052C95"/>
    <w:rsid w:val="000544E1"/>
    <w:rsid w:val="000548C9"/>
    <w:rsid w:val="00057BCD"/>
    <w:rsid w:val="00061D34"/>
    <w:rsid w:val="000625D6"/>
    <w:rsid w:val="000636A7"/>
    <w:rsid w:val="000672E5"/>
    <w:rsid w:val="0007068C"/>
    <w:rsid w:val="00074CDB"/>
    <w:rsid w:val="00074E3E"/>
    <w:rsid w:val="00075696"/>
    <w:rsid w:val="000767E9"/>
    <w:rsid w:val="0008108C"/>
    <w:rsid w:val="000841AA"/>
    <w:rsid w:val="00085F3E"/>
    <w:rsid w:val="0008712D"/>
    <w:rsid w:val="00090BBF"/>
    <w:rsid w:val="000910B7"/>
    <w:rsid w:val="00091581"/>
    <w:rsid w:val="00094517"/>
    <w:rsid w:val="000953D2"/>
    <w:rsid w:val="00096485"/>
    <w:rsid w:val="000978C8"/>
    <w:rsid w:val="000A2593"/>
    <w:rsid w:val="000A4D3A"/>
    <w:rsid w:val="000A5597"/>
    <w:rsid w:val="000A5F61"/>
    <w:rsid w:val="000A62EF"/>
    <w:rsid w:val="000A66B7"/>
    <w:rsid w:val="000A7058"/>
    <w:rsid w:val="000B0F05"/>
    <w:rsid w:val="000B3B27"/>
    <w:rsid w:val="000B6004"/>
    <w:rsid w:val="000B641E"/>
    <w:rsid w:val="000C0227"/>
    <w:rsid w:val="000C156B"/>
    <w:rsid w:val="000C36B4"/>
    <w:rsid w:val="000C38A6"/>
    <w:rsid w:val="000C4122"/>
    <w:rsid w:val="000C4D52"/>
    <w:rsid w:val="000C5EE1"/>
    <w:rsid w:val="000C72C1"/>
    <w:rsid w:val="000D0296"/>
    <w:rsid w:val="000D402D"/>
    <w:rsid w:val="000D4B24"/>
    <w:rsid w:val="000D79E0"/>
    <w:rsid w:val="000E0A60"/>
    <w:rsid w:val="000E3CF1"/>
    <w:rsid w:val="000E6DCE"/>
    <w:rsid w:val="000E71DC"/>
    <w:rsid w:val="000F1833"/>
    <w:rsid w:val="0010213E"/>
    <w:rsid w:val="00103399"/>
    <w:rsid w:val="00103766"/>
    <w:rsid w:val="00104933"/>
    <w:rsid w:val="001055C0"/>
    <w:rsid w:val="00105DED"/>
    <w:rsid w:val="0011094E"/>
    <w:rsid w:val="00111A53"/>
    <w:rsid w:val="001142DF"/>
    <w:rsid w:val="0011498C"/>
    <w:rsid w:val="00115CE0"/>
    <w:rsid w:val="00116C98"/>
    <w:rsid w:val="00117988"/>
    <w:rsid w:val="00120592"/>
    <w:rsid w:val="0012068D"/>
    <w:rsid w:val="001217DF"/>
    <w:rsid w:val="0012187D"/>
    <w:rsid w:val="00124BFE"/>
    <w:rsid w:val="001254EB"/>
    <w:rsid w:val="001258A8"/>
    <w:rsid w:val="00126809"/>
    <w:rsid w:val="00131C5A"/>
    <w:rsid w:val="00132920"/>
    <w:rsid w:val="001369D7"/>
    <w:rsid w:val="001407CA"/>
    <w:rsid w:val="00142D3C"/>
    <w:rsid w:val="00144AC4"/>
    <w:rsid w:val="00145689"/>
    <w:rsid w:val="00145D95"/>
    <w:rsid w:val="00150986"/>
    <w:rsid w:val="00151AFA"/>
    <w:rsid w:val="00151B9F"/>
    <w:rsid w:val="00153DA5"/>
    <w:rsid w:val="00154391"/>
    <w:rsid w:val="001564FC"/>
    <w:rsid w:val="001565B7"/>
    <w:rsid w:val="00161DF1"/>
    <w:rsid w:val="00163923"/>
    <w:rsid w:val="001648F6"/>
    <w:rsid w:val="00166CBF"/>
    <w:rsid w:val="00170237"/>
    <w:rsid w:val="00170722"/>
    <w:rsid w:val="00171BB8"/>
    <w:rsid w:val="001728DC"/>
    <w:rsid w:val="00173488"/>
    <w:rsid w:val="0017356B"/>
    <w:rsid w:val="00174707"/>
    <w:rsid w:val="001767D9"/>
    <w:rsid w:val="00180DAD"/>
    <w:rsid w:val="00181672"/>
    <w:rsid w:val="00181E01"/>
    <w:rsid w:val="00185DA3"/>
    <w:rsid w:val="001860E1"/>
    <w:rsid w:val="00186649"/>
    <w:rsid w:val="00187E9A"/>
    <w:rsid w:val="00191CAF"/>
    <w:rsid w:val="00191F8E"/>
    <w:rsid w:val="00192101"/>
    <w:rsid w:val="001944A0"/>
    <w:rsid w:val="00194977"/>
    <w:rsid w:val="0019563D"/>
    <w:rsid w:val="00195B03"/>
    <w:rsid w:val="00196649"/>
    <w:rsid w:val="001A0900"/>
    <w:rsid w:val="001A0E1E"/>
    <w:rsid w:val="001A2090"/>
    <w:rsid w:val="001A4966"/>
    <w:rsid w:val="001A4BE1"/>
    <w:rsid w:val="001A6E19"/>
    <w:rsid w:val="001A7A21"/>
    <w:rsid w:val="001B02B2"/>
    <w:rsid w:val="001B1D23"/>
    <w:rsid w:val="001B2141"/>
    <w:rsid w:val="001B2557"/>
    <w:rsid w:val="001C00DE"/>
    <w:rsid w:val="001C2ACE"/>
    <w:rsid w:val="001C2F8D"/>
    <w:rsid w:val="001C39BB"/>
    <w:rsid w:val="001C5076"/>
    <w:rsid w:val="001C6C9B"/>
    <w:rsid w:val="001C7134"/>
    <w:rsid w:val="001D0425"/>
    <w:rsid w:val="001D45D6"/>
    <w:rsid w:val="001D4A73"/>
    <w:rsid w:val="001D5B97"/>
    <w:rsid w:val="001D640D"/>
    <w:rsid w:val="001D65A6"/>
    <w:rsid w:val="001D7A57"/>
    <w:rsid w:val="001E04AE"/>
    <w:rsid w:val="001E19A3"/>
    <w:rsid w:val="001E3F16"/>
    <w:rsid w:val="001E4C3F"/>
    <w:rsid w:val="001F2179"/>
    <w:rsid w:val="001F2C5A"/>
    <w:rsid w:val="001F2C61"/>
    <w:rsid w:val="001F3D36"/>
    <w:rsid w:val="001F6156"/>
    <w:rsid w:val="001F735E"/>
    <w:rsid w:val="001F7CFD"/>
    <w:rsid w:val="002005A8"/>
    <w:rsid w:val="002006B6"/>
    <w:rsid w:val="00200734"/>
    <w:rsid w:val="00201EA7"/>
    <w:rsid w:val="00202DA3"/>
    <w:rsid w:val="002035D6"/>
    <w:rsid w:val="0020495F"/>
    <w:rsid w:val="00205BAF"/>
    <w:rsid w:val="00207F85"/>
    <w:rsid w:val="002119F6"/>
    <w:rsid w:val="0021226A"/>
    <w:rsid w:val="00221A7D"/>
    <w:rsid w:val="00221B83"/>
    <w:rsid w:val="00225142"/>
    <w:rsid w:val="00227786"/>
    <w:rsid w:val="00227BDD"/>
    <w:rsid w:val="00230CE8"/>
    <w:rsid w:val="002318A4"/>
    <w:rsid w:val="002335FF"/>
    <w:rsid w:val="00233D87"/>
    <w:rsid w:val="00234FE0"/>
    <w:rsid w:val="002364BC"/>
    <w:rsid w:val="0023666C"/>
    <w:rsid w:val="00236E0A"/>
    <w:rsid w:val="00237964"/>
    <w:rsid w:val="002434DE"/>
    <w:rsid w:val="00245131"/>
    <w:rsid w:val="00245AFF"/>
    <w:rsid w:val="0024628D"/>
    <w:rsid w:val="002467A7"/>
    <w:rsid w:val="0024690E"/>
    <w:rsid w:val="00251ABC"/>
    <w:rsid w:val="002524CF"/>
    <w:rsid w:val="0025331F"/>
    <w:rsid w:val="00256400"/>
    <w:rsid w:val="0026027C"/>
    <w:rsid w:val="002604B6"/>
    <w:rsid w:val="00260EC2"/>
    <w:rsid w:val="00263010"/>
    <w:rsid w:val="0026323A"/>
    <w:rsid w:val="00263E6C"/>
    <w:rsid w:val="00264F5F"/>
    <w:rsid w:val="00265A07"/>
    <w:rsid w:val="00265B26"/>
    <w:rsid w:val="00266A42"/>
    <w:rsid w:val="0027207E"/>
    <w:rsid w:val="00274E6E"/>
    <w:rsid w:val="00275ECE"/>
    <w:rsid w:val="00276F9B"/>
    <w:rsid w:val="0028356A"/>
    <w:rsid w:val="00285CDE"/>
    <w:rsid w:val="00291249"/>
    <w:rsid w:val="00291F4F"/>
    <w:rsid w:val="002920DC"/>
    <w:rsid w:val="0029248A"/>
    <w:rsid w:val="00293C84"/>
    <w:rsid w:val="0029474C"/>
    <w:rsid w:val="0029555D"/>
    <w:rsid w:val="0029781E"/>
    <w:rsid w:val="002A0F98"/>
    <w:rsid w:val="002A2471"/>
    <w:rsid w:val="002A2A94"/>
    <w:rsid w:val="002A2AA9"/>
    <w:rsid w:val="002A5486"/>
    <w:rsid w:val="002A77B9"/>
    <w:rsid w:val="002A7BFF"/>
    <w:rsid w:val="002B080E"/>
    <w:rsid w:val="002B107C"/>
    <w:rsid w:val="002B2C97"/>
    <w:rsid w:val="002B3BF4"/>
    <w:rsid w:val="002B5255"/>
    <w:rsid w:val="002B5363"/>
    <w:rsid w:val="002B6DED"/>
    <w:rsid w:val="002B6F2A"/>
    <w:rsid w:val="002C06FC"/>
    <w:rsid w:val="002C1117"/>
    <w:rsid w:val="002C3C63"/>
    <w:rsid w:val="002C4F47"/>
    <w:rsid w:val="002C67DF"/>
    <w:rsid w:val="002D0036"/>
    <w:rsid w:val="002D075D"/>
    <w:rsid w:val="002D29F8"/>
    <w:rsid w:val="002D40EE"/>
    <w:rsid w:val="002D4993"/>
    <w:rsid w:val="002D4D01"/>
    <w:rsid w:val="002D4E5D"/>
    <w:rsid w:val="002D50E9"/>
    <w:rsid w:val="002D5CFA"/>
    <w:rsid w:val="002D6184"/>
    <w:rsid w:val="002D6933"/>
    <w:rsid w:val="002E540B"/>
    <w:rsid w:val="002F1065"/>
    <w:rsid w:val="002F4C36"/>
    <w:rsid w:val="002F6007"/>
    <w:rsid w:val="002F6347"/>
    <w:rsid w:val="003025DD"/>
    <w:rsid w:val="00302A82"/>
    <w:rsid w:val="00303326"/>
    <w:rsid w:val="00304FA1"/>
    <w:rsid w:val="00305ED2"/>
    <w:rsid w:val="00306677"/>
    <w:rsid w:val="00306739"/>
    <w:rsid w:val="00307715"/>
    <w:rsid w:val="003103FB"/>
    <w:rsid w:val="003117AD"/>
    <w:rsid w:val="003121DC"/>
    <w:rsid w:val="00313160"/>
    <w:rsid w:val="00313237"/>
    <w:rsid w:val="00313E1D"/>
    <w:rsid w:val="00314FBF"/>
    <w:rsid w:val="003247FA"/>
    <w:rsid w:val="003309DA"/>
    <w:rsid w:val="00333809"/>
    <w:rsid w:val="003359E3"/>
    <w:rsid w:val="00336313"/>
    <w:rsid w:val="0033768C"/>
    <w:rsid w:val="00337D1D"/>
    <w:rsid w:val="00341C73"/>
    <w:rsid w:val="00342696"/>
    <w:rsid w:val="00344424"/>
    <w:rsid w:val="003457EB"/>
    <w:rsid w:val="0035060F"/>
    <w:rsid w:val="00351241"/>
    <w:rsid w:val="00351EBB"/>
    <w:rsid w:val="00352817"/>
    <w:rsid w:val="00352864"/>
    <w:rsid w:val="00352F44"/>
    <w:rsid w:val="003540C2"/>
    <w:rsid w:val="00357E33"/>
    <w:rsid w:val="00361321"/>
    <w:rsid w:val="00362F9E"/>
    <w:rsid w:val="0036323B"/>
    <w:rsid w:val="003634A9"/>
    <w:rsid w:val="00363BE8"/>
    <w:rsid w:val="00364473"/>
    <w:rsid w:val="003672EF"/>
    <w:rsid w:val="00370C0E"/>
    <w:rsid w:val="00372F61"/>
    <w:rsid w:val="00373222"/>
    <w:rsid w:val="00375DD9"/>
    <w:rsid w:val="00384941"/>
    <w:rsid w:val="00385069"/>
    <w:rsid w:val="00386376"/>
    <w:rsid w:val="00386B41"/>
    <w:rsid w:val="0039102C"/>
    <w:rsid w:val="00392097"/>
    <w:rsid w:val="00392684"/>
    <w:rsid w:val="00393ECE"/>
    <w:rsid w:val="003940FE"/>
    <w:rsid w:val="00394C02"/>
    <w:rsid w:val="00396987"/>
    <w:rsid w:val="003B03F4"/>
    <w:rsid w:val="003B08E9"/>
    <w:rsid w:val="003B271A"/>
    <w:rsid w:val="003B341F"/>
    <w:rsid w:val="003B6672"/>
    <w:rsid w:val="003B66E6"/>
    <w:rsid w:val="003B7610"/>
    <w:rsid w:val="003C18C4"/>
    <w:rsid w:val="003C2CC3"/>
    <w:rsid w:val="003C68DC"/>
    <w:rsid w:val="003C7721"/>
    <w:rsid w:val="003C7905"/>
    <w:rsid w:val="003C7D81"/>
    <w:rsid w:val="003D0879"/>
    <w:rsid w:val="003D1FB8"/>
    <w:rsid w:val="003D3179"/>
    <w:rsid w:val="003D7104"/>
    <w:rsid w:val="003E5605"/>
    <w:rsid w:val="003E57B8"/>
    <w:rsid w:val="003E696A"/>
    <w:rsid w:val="003F269E"/>
    <w:rsid w:val="003F4964"/>
    <w:rsid w:val="003F5052"/>
    <w:rsid w:val="003F61FA"/>
    <w:rsid w:val="003F65F3"/>
    <w:rsid w:val="003F72FC"/>
    <w:rsid w:val="00401C43"/>
    <w:rsid w:val="00401CC2"/>
    <w:rsid w:val="004021C4"/>
    <w:rsid w:val="004028B7"/>
    <w:rsid w:val="004046FF"/>
    <w:rsid w:val="00410790"/>
    <w:rsid w:val="00411EF4"/>
    <w:rsid w:val="00412C15"/>
    <w:rsid w:val="004133BB"/>
    <w:rsid w:val="00414064"/>
    <w:rsid w:val="004142EF"/>
    <w:rsid w:val="00420958"/>
    <w:rsid w:val="00420CAD"/>
    <w:rsid w:val="00420EF1"/>
    <w:rsid w:val="00421920"/>
    <w:rsid w:val="0042300F"/>
    <w:rsid w:val="004249A0"/>
    <w:rsid w:val="00425980"/>
    <w:rsid w:val="00430CD7"/>
    <w:rsid w:val="00430DAE"/>
    <w:rsid w:val="00432A77"/>
    <w:rsid w:val="00432D49"/>
    <w:rsid w:val="004339EA"/>
    <w:rsid w:val="00433E8F"/>
    <w:rsid w:val="00434A9F"/>
    <w:rsid w:val="00435FEE"/>
    <w:rsid w:val="004427E7"/>
    <w:rsid w:val="0044577B"/>
    <w:rsid w:val="004517F1"/>
    <w:rsid w:val="0045404F"/>
    <w:rsid w:val="0045479B"/>
    <w:rsid w:val="00461AE3"/>
    <w:rsid w:val="00462B83"/>
    <w:rsid w:val="00464A63"/>
    <w:rsid w:val="00464FC7"/>
    <w:rsid w:val="00466DD6"/>
    <w:rsid w:val="0046758E"/>
    <w:rsid w:val="00470670"/>
    <w:rsid w:val="00472286"/>
    <w:rsid w:val="00472E58"/>
    <w:rsid w:val="00474E97"/>
    <w:rsid w:val="00475A47"/>
    <w:rsid w:val="00476538"/>
    <w:rsid w:val="0048088B"/>
    <w:rsid w:val="00484536"/>
    <w:rsid w:val="00486585"/>
    <w:rsid w:val="00493283"/>
    <w:rsid w:val="0049330F"/>
    <w:rsid w:val="00497244"/>
    <w:rsid w:val="00497289"/>
    <w:rsid w:val="004A06AE"/>
    <w:rsid w:val="004A0D70"/>
    <w:rsid w:val="004A3435"/>
    <w:rsid w:val="004A47A5"/>
    <w:rsid w:val="004A510D"/>
    <w:rsid w:val="004A78E5"/>
    <w:rsid w:val="004B06E3"/>
    <w:rsid w:val="004B0702"/>
    <w:rsid w:val="004B35DC"/>
    <w:rsid w:val="004B393C"/>
    <w:rsid w:val="004B5888"/>
    <w:rsid w:val="004B6FD4"/>
    <w:rsid w:val="004C0737"/>
    <w:rsid w:val="004C1504"/>
    <w:rsid w:val="004C2A36"/>
    <w:rsid w:val="004C3663"/>
    <w:rsid w:val="004C5744"/>
    <w:rsid w:val="004C57EC"/>
    <w:rsid w:val="004C68BD"/>
    <w:rsid w:val="004C69F2"/>
    <w:rsid w:val="004D12BB"/>
    <w:rsid w:val="004D1461"/>
    <w:rsid w:val="004D3A71"/>
    <w:rsid w:val="004D3CE4"/>
    <w:rsid w:val="004D7137"/>
    <w:rsid w:val="004D7E51"/>
    <w:rsid w:val="004D7E91"/>
    <w:rsid w:val="004E04EE"/>
    <w:rsid w:val="004E1B37"/>
    <w:rsid w:val="004E2704"/>
    <w:rsid w:val="004E4D01"/>
    <w:rsid w:val="004E4E27"/>
    <w:rsid w:val="004F2324"/>
    <w:rsid w:val="004F51F8"/>
    <w:rsid w:val="004F781F"/>
    <w:rsid w:val="004F7EC0"/>
    <w:rsid w:val="00500964"/>
    <w:rsid w:val="00500C66"/>
    <w:rsid w:val="0050110B"/>
    <w:rsid w:val="0050175E"/>
    <w:rsid w:val="005045B6"/>
    <w:rsid w:val="005055F2"/>
    <w:rsid w:val="00505B94"/>
    <w:rsid w:val="00506355"/>
    <w:rsid w:val="00510ECC"/>
    <w:rsid w:val="00512EF0"/>
    <w:rsid w:val="005130EC"/>
    <w:rsid w:val="005146E6"/>
    <w:rsid w:val="00516EA3"/>
    <w:rsid w:val="00521EF1"/>
    <w:rsid w:val="0052353F"/>
    <w:rsid w:val="00526AAC"/>
    <w:rsid w:val="00530EEC"/>
    <w:rsid w:val="00531061"/>
    <w:rsid w:val="00535A42"/>
    <w:rsid w:val="00535EFD"/>
    <w:rsid w:val="0053748E"/>
    <w:rsid w:val="00541967"/>
    <w:rsid w:val="00541A30"/>
    <w:rsid w:val="00543AD5"/>
    <w:rsid w:val="005449C6"/>
    <w:rsid w:val="0054501E"/>
    <w:rsid w:val="0054565A"/>
    <w:rsid w:val="0054736F"/>
    <w:rsid w:val="00547AD1"/>
    <w:rsid w:val="0055274E"/>
    <w:rsid w:val="005573CD"/>
    <w:rsid w:val="00566B42"/>
    <w:rsid w:val="00567169"/>
    <w:rsid w:val="00567F7D"/>
    <w:rsid w:val="0057165C"/>
    <w:rsid w:val="005722C6"/>
    <w:rsid w:val="00573125"/>
    <w:rsid w:val="005735A7"/>
    <w:rsid w:val="005751D7"/>
    <w:rsid w:val="0057532F"/>
    <w:rsid w:val="00575447"/>
    <w:rsid w:val="005754C6"/>
    <w:rsid w:val="00580FF8"/>
    <w:rsid w:val="00585C27"/>
    <w:rsid w:val="00585C8D"/>
    <w:rsid w:val="005862CC"/>
    <w:rsid w:val="005879E4"/>
    <w:rsid w:val="00587EA8"/>
    <w:rsid w:val="005911FE"/>
    <w:rsid w:val="0059312F"/>
    <w:rsid w:val="00595758"/>
    <w:rsid w:val="00596081"/>
    <w:rsid w:val="005A03D1"/>
    <w:rsid w:val="005A2D1F"/>
    <w:rsid w:val="005A3943"/>
    <w:rsid w:val="005A3AA7"/>
    <w:rsid w:val="005A51E6"/>
    <w:rsid w:val="005A5BFF"/>
    <w:rsid w:val="005B11B8"/>
    <w:rsid w:val="005B6634"/>
    <w:rsid w:val="005B7023"/>
    <w:rsid w:val="005B7418"/>
    <w:rsid w:val="005C03A9"/>
    <w:rsid w:val="005C0B14"/>
    <w:rsid w:val="005C19BB"/>
    <w:rsid w:val="005C2512"/>
    <w:rsid w:val="005C2BFC"/>
    <w:rsid w:val="005C324B"/>
    <w:rsid w:val="005C3E68"/>
    <w:rsid w:val="005C43E2"/>
    <w:rsid w:val="005C454A"/>
    <w:rsid w:val="005C74C9"/>
    <w:rsid w:val="005D1B14"/>
    <w:rsid w:val="005D1D2E"/>
    <w:rsid w:val="005D1F5A"/>
    <w:rsid w:val="005D257B"/>
    <w:rsid w:val="005D77C8"/>
    <w:rsid w:val="005E0D02"/>
    <w:rsid w:val="005E1530"/>
    <w:rsid w:val="005E1BBE"/>
    <w:rsid w:val="005E1BCD"/>
    <w:rsid w:val="005E1D5C"/>
    <w:rsid w:val="005E25DC"/>
    <w:rsid w:val="005E52AE"/>
    <w:rsid w:val="005E5607"/>
    <w:rsid w:val="005E567C"/>
    <w:rsid w:val="005E7150"/>
    <w:rsid w:val="005F1CC3"/>
    <w:rsid w:val="005F3DB8"/>
    <w:rsid w:val="005F3FA4"/>
    <w:rsid w:val="005F505E"/>
    <w:rsid w:val="005F792B"/>
    <w:rsid w:val="00601FA7"/>
    <w:rsid w:val="00602976"/>
    <w:rsid w:val="0060388D"/>
    <w:rsid w:val="00604231"/>
    <w:rsid w:val="00610C2F"/>
    <w:rsid w:val="00611696"/>
    <w:rsid w:val="00613EE7"/>
    <w:rsid w:val="00624BB1"/>
    <w:rsid w:val="00625739"/>
    <w:rsid w:val="00625805"/>
    <w:rsid w:val="0062647E"/>
    <w:rsid w:val="00627AC4"/>
    <w:rsid w:val="00630A15"/>
    <w:rsid w:val="0063253B"/>
    <w:rsid w:val="0063347D"/>
    <w:rsid w:val="006363C8"/>
    <w:rsid w:val="00636C1B"/>
    <w:rsid w:val="00637AB8"/>
    <w:rsid w:val="00640E1F"/>
    <w:rsid w:val="00641FB2"/>
    <w:rsid w:val="00642114"/>
    <w:rsid w:val="0064370D"/>
    <w:rsid w:val="00643771"/>
    <w:rsid w:val="00644946"/>
    <w:rsid w:val="00644D13"/>
    <w:rsid w:val="00645C61"/>
    <w:rsid w:val="006464B8"/>
    <w:rsid w:val="00646AB8"/>
    <w:rsid w:val="00647BD9"/>
    <w:rsid w:val="00652D96"/>
    <w:rsid w:val="00654A3E"/>
    <w:rsid w:val="00655379"/>
    <w:rsid w:val="00656740"/>
    <w:rsid w:val="00662285"/>
    <w:rsid w:val="006624A7"/>
    <w:rsid w:val="00663831"/>
    <w:rsid w:val="0066515F"/>
    <w:rsid w:val="00666826"/>
    <w:rsid w:val="006668AF"/>
    <w:rsid w:val="00676033"/>
    <w:rsid w:val="006822AD"/>
    <w:rsid w:val="00686439"/>
    <w:rsid w:val="006867CD"/>
    <w:rsid w:val="00687AEF"/>
    <w:rsid w:val="00694410"/>
    <w:rsid w:val="00695697"/>
    <w:rsid w:val="006958A6"/>
    <w:rsid w:val="0069695B"/>
    <w:rsid w:val="00697645"/>
    <w:rsid w:val="006A069B"/>
    <w:rsid w:val="006A6051"/>
    <w:rsid w:val="006B0FA1"/>
    <w:rsid w:val="006B2000"/>
    <w:rsid w:val="006B264D"/>
    <w:rsid w:val="006B31D9"/>
    <w:rsid w:val="006B418B"/>
    <w:rsid w:val="006B7813"/>
    <w:rsid w:val="006C0102"/>
    <w:rsid w:val="006C07D4"/>
    <w:rsid w:val="006C3A07"/>
    <w:rsid w:val="006C41AD"/>
    <w:rsid w:val="006C6498"/>
    <w:rsid w:val="006D04BD"/>
    <w:rsid w:val="006D30A8"/>
    <w:rsid w:val="006D46B3"/>
    <w:rsid w:val="006D4F16"/>
    <w:rsid w:val="006D4F34"/>
    <w:rsid w:val="006D7180"/>
    <w:rsid w:val="006E1846"/>
    <w:rsid w:val="006E433B"/>
    <w:rsid w:val="006E7899"/>
    <w:rsid w:val="006E7C78"/>
    <w:rsid w:val="006F01A9"/>
    <w:rsid w:val="006F27F4"/>
    <w:rsid w:val="006F2E23"/>
    <w:rsid w:val="006F7024"/>
    <w:rsid w:val="00700F93"/>
    <w:rsid w:val="00703A7C"/>
    <w:rsid w:val="007076DA"/>
    <w:rsid w:val="00707860"/>
    <w:rsid w:val="00710285"/>
    <w:rsid w:val="00710753"/>
    <w:rsid w:val="00711DF1"/>
    <w:rsid w:val="00714AAE"/>
    <w:rsid w:val="007207BF"/>
    <w:rsid w:val="00723995"/>
    <w:rsid w:val="0072415C"/>
    <w:rsid w:val="00725CB0"/>
    <w:rsid w:val="007338E9"/>
    <w:rsid w:val="00733D7A"/>
    <w:rsid w:val="0073582E"/>
    <w:rsid w:val="00735C40"/>
    <w:rsid w:val="0073601D"/>
    <w:rsid w:val="00736331"/>
    <w:rsid w:val="0073685C"/>
    <w:rsid w:val="00737EA5"/>
    <w:rsid w:val="007400AE"/>
    <w:rsid w:val="00740E31"/>
    <w:rsid w:val="007413C9"/>
    <w:rsid w:val="00741F3E"/>
    <w:rsid w:val="00743AA8"/>
    <w:rsid w:val="00750840"/>
    <w:rsid w:val="00754A47"/>
    <w:rsid w:val="00755142"/>
    <w:rsid w:val="00757617"/>
    <w:rsid w:val="00763AD8"/>
    <w:rsid w:val="00765016"/>
    <w:rsid w:val="00767F94"/>
    <w:rsid w:val="0077100C"/>
    <w:rsid w:val="007738C1"/>
    <w:rsid w:val="00776C39"/>
    <w:rsid w:val="00781D00"/>
    <w:rsid w:val="007900F3"/>
    <w:rsid w:val="00790675"/>
    <w:rsid w:val="00791B69"/>
    <w:rsid w:val="00794359"/>
    <w:rsid w:val="0079457F"/>
    <w:rsid w:val="0079498E"/>
    <w:rsid w:val="00796F10"/>
    <w:rsid w:val="007A232B"/>
    <w:rsid w:val="007A30E2"/>
    <w:rsid w:val="007A6AB5"/>
    <w:rsid w:val="007A6E44"/>
    <w:rsid w:val="007B1AAB"/>
    <w:rsid w:val="007B2B46"/>
    <w:rsid w:val="007B30F2"/>
    <w:rsid w:val="007B377F"/>
    <w:rsid w:val="007B3C44"/>
    <w:rsid w:val="007B4274"/>
    <w:rsid w:val="007B5117"/>
    <w:rsid w:val="007B599D"/>
    <w:rsid w:val="007B6A74"/>
    <w:rsid w:val="007C2DC8"/>
    <w:rsid w:val="007C3CB3"/>
    <w:rsid w:val="007C644C"/>
    <w:rsid w:val="007D036E"/>
    <w:rsid w:val="007D03EE"/>
    <w:rsid w:val="007D097E"/>
    <w:rsid w:val="007D1E81"/>
    <w:rsid w:val="007D230B"/>
    <w:rsid w:val="007D2D80"/>
    <w:rsid w:val="007D2F80"/>
    <w:rsid w:val="007D3681"/>
    <w:rsid w:val="007D3824"/>
    <w:rsid w:val="007D49A1"/>
    <w:rsid w:val="007D5866"/>
    <w:rsid w:val="007D59DD"/>
    <w:rsid w:val="007D5CB9"/>
    <w:rsid w:val="007E1B92"/>
    <w:rsid w:val="007E1F66"/>
    <w:rsid w:val="007E48FB"/>
    <w:rsid w:val="007E4C10"/>
    <w:rsid w:val="007E64F3"/>
    <w:rsid w:val="007E6501"/>
    <w:rsid w:val="007E6C25"/>
    <w:rsid w:val="007F236A"/>
    <w:rsid w:val="007F32D7"/>
    <w:rsid w:val="007F5CCC"/>
    <w:rsid w:val="007F65BF"/>
    <w:rsid w:val="007F72AF"/>
    <w:rsid w:val="00801632"/>
    <w:rsid w:val="0080520B"/>
    <w:rsid w:val="00807B3E"/>
    <w:rsid w:val="00810D4A"/>
    <w:rsid w:val="0081143A"/>
    <w:rsid w:val="008128A6"/>
    <w:rsid w:val="00812AF2"/>
    <w:rsid w:val="00812F82"/>
    <w:rsid w:val="008146FD"/>
    <w:rsid w:val="00816AAB"/>
    <w:rsid w:val="00817DDC"/>
    <w:rsid w:val="00820402"/>
    <w:rsid w:val="00823A1A"/>
    <w:rsid w:val="00823E36"/>
    <w:rsid w:val="008243B2"/>
    <w:rsid w:val="00824CAC"/>
    <w:rsid w:val="00824F08"/>
    <w:rsid w:val="00827FB4"/>
    <w:rsid w:val="00830755"/>
    <w:rsid w:val="008310DF"/>
    <w:rsid w:val="00831105"/>
    <w:rsid w:val="008311B9"/>
    <w:rsid w:val="00831918"/>
    <w:rsid w:val="008328E2"/>
    <w:rsid w:val="008336CC"/>
    <w:rsid w:val="00833995"/>
    <w:rsid w:val="00834D1A"/>
    <w:rsid w:val="008351C7"/>
    <w:rsid w:val="00835487"/>
    <w:rsid w:val="00836236"/>
    <w:rsid w:val="008375C1"/>
    <w:rsid w:val="0084038C"/>
    <w:rsid w:val="00844A4B"/>
    <w:rsid w:val="00844CFA"/>
    <w:rsid w:val="00845EF9"/>
    <w:rsid w:val="008478FF"/>
    <w:rsid w:val="00853279"/>
    <w:rsid w:val="008537D9"/>
    <w:rsid w:val="00854676"/>
    <w:rsid w:val="008547CB"/>
    <w:rsid w:val="0085503F"/>
    <w:rsid w:val="00863B14"/>
    <w:rsid w:val="008643BA"/>
    <w:rsid w:val="00865296"/>
    <w:rsid w:val="00867086"/>
    <w:rsid w:val="00874663"/>
    <w:rsid w:val="00877AF5"/>
    <w:rsid w:val="0088056E"/>
    <w:rsid w:val="00881B95"/>
    <w:rsid w:val="008831CA"/>
    <w:rsid w:val="00883964"/>
    <w:rsid w:val="00883E33"/>
    <w:rsid w:val="00884451"/>
    <w:rsid w:val="00891A2C"/>
    <w:rsid w:val="0089272A"/>
    <w:rsid w:val="00894890"/>
    <w:rsid w:val="00894AF0"/>
    <w:rsid w:val="00895C98"/>
    <w:rsid w:val="0089692E"/>
    <w:rsid w:val="00896F08"/>
    <w:rsid w:val="00897247"/>
    <w:rsid w:val="00897A06"/>
    <w:rsid w:val="008A0F9C"/>
    <w:rsid w:val="008A185E"/>
    <w:rsid w:val="008A1E29"/>
    <w:rsid w:val="008A576E"/>
    <w:rsid w:val="008A6A14"/>
    <w:rsid w:val="008B08F0"/>
    <w:rsid w:val="008B262C"/>
    <w:rsid w:val="008B6FC8"/>
    <w:rsid w:val="008C15FC"/>
    <w:rsid w:val="008C19E9"/>
    <w:rsid w:val="008C26E9"/>
    <w:rsid w:val="008C2B68"/>
    <w:rsid w:val="008C4E8D"/>
    <w:rsid w:val="008C747E"/>
    <w:rsid w:val="008C774E"/>
    <w:rsid w:val="008C7F82"/>
    <w:rsid w:val="008D1D4B"/>
    <w:rsid w:val="008D3D61"/>
    <w:rsid w:val="008D5D55"/>
    <w:rsid w:val="008D6B89"/>
    <w:rsid w:val="008D6D9D"/>
    <w:rsid w:val="008D6E4C"/>
    <w:rsid w:val="008E2624"/>
    <w:rsid w:val="008F1691"/>
    <w:rsid w:val="008F21AB"/>
    <w:rsid w:val="008F22E2"/>
    <w:rsid w:val="008F42B0"/>
    <w:rsid w:val="008F51C8"/>
    <w:rsid w:val="008F5698"/>
    <w:rsid w:val="008F59F2"/>
    <w:rsid w:val="008F5B1B"/>
    <w:rsid w:val="008F639E"/>
    <w:rsid w:val="008F63D1"/>
    <w:rsid w:val="008F6DFA"/>
    <w:rsid w:val="0090041C"/>
    <w:rsid w:val="00901EF2"/>
    <w:rsid w:val="00903EB6"/>
    <w:rsid w:val="009079D0"/>
    <w:rsid w:val="00910EFD"/>
    <w:rsid w:val="00913A2B"/>
    <w:rsid w:val="00913D0A"/>
    <w:rsid w:val="0091424F"/>
    <w:rsid w:val="0091693C"/>
    <w:rsid w:val="00917B37"/>
    <w:rsid w:val="0092240C"/>
    <w:rsid w:val="00923B0F"/>
    <w:rsid w:val="00924492"/>
    <w:rsid w:val="00924972"/>
    <w:rsid w:val="0092758D"/>
    <w:rsid w:val="00932E1E"/>
    <w:rsid w:val="00934068"/>
    <w:rsid w:val="00935F2C"/>
    <w:rsid w:val="009363B0"/>
    <w:rsid w:val="00937854"/>
    <w:rsid w:val="009414E4"/>
    <w:rsid w:val="009418BB"/>
    <w:rsid w:val="00942462"/>
    <w:rsid w:val="00945404"/>
    <w:rsid w:val="009469E0"/>
    <w:rsid w:val="00950303"/>
    <w:rsid w:val="00951C4D"/>
    <w:rsid w:val="00952E03"/>
    <w:rsid w:val="009547E2"/>
    <w:rsid w:val="00956488"/>
    <w:rsid w:val="009569B6"/>
    <w:rsid w:val="00956F5F"/>
    <w:rsid w:val="009610DC"/>
    <w:rsid w:val="00962D85"/>
    <w:rsid w:val="00970D60"/>
    <w:rsid w:val="0097154F"/>
    <w:rsid w:val="009731F0"/>
    <w:rsid w:val="009744FF"/>
    <w:rsid w:val="00982CE0"/>
    <w:rsid w:val="00985996"/>
    <w:rsid w:val="00986978"/>
    <w:rsid w:val="00990077"/>
    <w:rsid w:val="00994F74"/>
    <w:rsid w:val="0099563A"/>
    <w:rsid w:val="009A13F4"/>
    <w:rsid w:val="009A44BE"/>
    <w:rsid w:val="009A5CCC"/>
    <w:rsid w:val="009A7FC7"/>
    <w:rsid w:val="009B029F"/>
    <w:rsid w:val="009B0567"/>
    <w:rsid w:val="009B1CF6"/>
    <w:rsid w:val="009B27F8"/>
    <w:rsid w:val="009B4A8B"/>
    <w:rsid w:val="009B60B1"/>
    <w:rsid w:val="009B639D"/>
    <w:rsid w:val="009B74FB"/>
    <w:rsid w:val="009C0660"/>
    <w:rsid w:val="009C0835"/>
    <w:rsid w:val="009C35D9"/>
    <w:rsid w:val="009C4845"/>
    <w:rsid w:val="009C5AEC"/>
    <w:rsid w:val="009C7314"/>
    <w:rsid w:val="009C735C"/>
    <w:rsid w:val="009D3FDA"/>
    <w:rsid w:val="009D507B"/>
    <w:rsid w:val="009D5D9F"/>
    <w:rsid w:val="009E0FA2"/>
    <w:rsid w:val="009E2244"/>
    <w:rsid w:val="009F57FD"/>
    <w:rsid w:val="009F7F9F"/>
    <w:rsid w:val="00A01731"/>
    <w:rsid w:val="00A01E02"/>
    <w:rsid w:val="00A02E26"/>
    <w:rsid w:val="00A03D6C"/>
    <w:rsid w:val="00A05BA0"/>
    <w:rsid w:val="00A07827"/>
    <w:rsid w:val="00A07B8F"/>
    <w:rsid w:val="00A10844"/>
    <w:rsid w:val="00A1085A"/>
    <w:rsid w:val="00A11C2D"/>
    <w:rsid w:val="00A159C9"/>
    <w:rsid w:val="00A167FB"/>
    <w:rsid w:val="00A17F49"/>
    <w:rsid w:val="00A200EC"/>
    <w:rsid w:val="00A210FD"/>
    <w:rsid w:val="00A21510"/>
    <w:rsid w:val="00A21B70"/>
    <w:rsid w:val="00A21D02"/>
    <w:rsid w:val="00A21DDB"/>
    <w:rsid w:val="00A22774"/>
    <w:rsid w:val="00A23CF6"/>
    <w:rsid w:val="00A246F9"/>
    <w:rsid w:val="00A2690C"/>
    <w:rsid w:val="00A26CA5"/>
    <w:rsid w:val="00A27164"/>
    <w:rsid w:val="00A2792F"/>
    <w:rsid w:val="00A27F9D"/>
    <w:rsid w:val="00A30970"/>
    <w:rsid w:val="00A315E4"/>
    <w:rsid w:val="00A31D96"/>
    <w:rsid w:val="00A31FEE"/>
    <w:rsid w:val="00A33C55"/>
    <w:rsid w:val="00A36F58"/>
    <w:rsid w:val="00A42875"/>
    <w:rsid w:val="00A44DC1"/>
    <w:rsid w:val="00A452CB"/>
    <w:rsid w:val="00A453F4"/>
    <w:rsid w:val="00A45720"/>
    <w:rsid w:val="00A47A98"/>
    <w:rsid w:val="00A47EE7"/>
    <w:rsid w:val="00A50B43"/>
    <w:rsid w:val="00A51C87"/>
    <w:rsid w:val="00A51F16"/>
    <w:rsid w:val="00A52F40"/>
    <w:rsid w:val="00A54197"/>
    <w:rsid w:val="00A54F11"/>
    <w:rsid w:val="00A55CC3"/>
    <w:rsid w:val="00A57CBF"/>
    <w:rsid w:val="00A61821"/>
    <w:rsid w:val="00A64C33"/>
    <w:rsid w:val="00A673EF"/>
    <w:rsid w:val="00A67CA5"/>
    <w:rsid w:val="00A71551"/>
    <w:rsid w:val="00A75CCD"/>
    <w:rsid w:val="00A75E58"/>
    <w:rsid w:val="00A77BFA"/>
    <w:rsid w:val="00A80506"/>
    <w:rsid w:val="00A806AE"/>
    <w:rsid w:val="00A80B1E"/>
    <w:rsid w:val="00A81053"/>
    <w:rsid w:val="00A8118F"/>
    <w:rsid w:val="00A83458"/>
    <w:rsid w:val="00A85E35"/>
    <w:rsid w:val="00A86C41"/>
    <w:rsid w:val="00A90148"/>
    <w:rsid w:val="00A92C95"/>
    <w:rsid w:val="00A92E76"/>
    <w:rsid w:val="00A935B5"/>
    <w:rsid w:val="00A9449A"/>
    <w:rsid w:val="00A965B9"/>
    <w:rsid w:val="00A96E5D"/>
    <w:rsid w:val="00A97610"/>
    <w:rsid w:val="00AA0D8C"/>
    <w:rsid w:val="00AA22ED"/>
    <w:rsid w:val="00AA25BC"/>
    <w:rsid w:val="00AA3077"/>
    <w:rsid w:val="00AA46AF"/>
    <w:rsid w:val="00AA79E0"/>
    <w:rsid w:val="00AB4E9E"/>
    <w:rsid w:val="00AB6C99"/>
    <w:rsid w:val="00AB7677"/>
    <w:rsid w:val="00AC11D5"/>
    <w:rsid w:val="00AC15E5"/>
    <w:rsid w:val="00AC22BB"/>
    <w:rsid w:val="00AC4080"/>
    <w:rsid w:val="00AC5A6D"/>
    <w:rsid w:val="00AC5D73"/>
    <w:rsid w:val="00AC7188"/>
    <w:rsid w:val="00AC73AD"/>
    <w:rsid w:val="00AD09D9"/>
    <w:rsid w:val="00AD705A"/>
    <w:rsid w:val="00AD74C9"/>
    <w:rsid w:val="00AD78F9"/>
    <w:rsid w:val="00AE008D"/>
    <w:rsid w:val="00AE16F9"/>
    <w:rsid w:val="00AE2458"/>
    <w:rsid w:val="00AE30E0"/>
    <w:rsid w:val="00AE346F"/>
    <w:rsid w:val="00AE67A8"/>
    <w:rsid w:val="00AF2163"/>
    <w:rsid w:val="00AF2329"/>
    <w:rsid w:val="00AF3660"/>
    <w:rsid w:val="00AF3BBD"/>
    <w:rsid w:val="00AF5281"/>
    <w:rsid w:val="00AF7A20"/>
    <w:rsid w:val="00B00726"/>
    <w:rsid w:val="00B01312"/>
    <w:rsid w:val="00B01A79"/>
    <w:rsid w:val="00B01FAC"/>
    <w:rsid w:val="00B02D98"/>
    <w:rsid w:val="00B0302B"/>
    <w:rsid w:val="00B06E0B"/>
    <w:rsid w:val="00B078E9"/>
    <w:rsid w:val="00B12BE1"/>
    <w:rsid w:val="00B15D2F"/>
    <w:rsid w:val="00B16399"/>
    <w:rsid w:val="00B168C0"/>
    <w:rsid w:val="00B1760F"/>
    <w:rsid w:val="00B224CE"/>
    <w:rsid w:val="00B2339C"/>
    <w:rsid w:val="00B2586D"/>
    <w:rsid w:val="00B25AE4"/>
    <w:rsid w:val="00B26909"/>
    <w:rsid w:val="00B2727A"/>
    <w:rsid w:val="00B27664"/>
    <w:rsid w:val="00B31169"/>
    <w:rsid w:val="00B31828"/>
    <w:rsid w:val="00B326FD"/>
    <w:rsid w:val="00B36960"/>
    <w:rsid w:val="00B40FC3"/>
    <w:rsid w:val="00B42BEE"/>
    <w:rsid w:val="00B4305C"/>
    <w:rsid w:val="00B4317F"/>
    <w:rsid w:val="00B452B7"/>
    <w:rsid w:val="00B458E3"/>
    <w:rsid w:val="00B47D44"/>
    <w:rsid w:val="00B518FF"/>
    <w:rsid w:val="00B54F17"/>
    <w:rsid w:val="00B5692D"/>
    <w:rsid w:val="00B57618"/>
    <w:rsid w:val="00B57D47"/>
    <w:rsid w:val="00B6210E"/>
    <w:rsid w:val="00B632E3"/>
    <w:rsid w:val="00B646BA"/>
    <w:rsid w:val="00B64DC8"/>
    <w:rsid w:val="00B6678C"/>
    <w:rsid w:val="00B70688"/>
    <w:rsid w:val="00B752F2"/>
    <w:rsid w:val="00B77091"/>
    <w:rsid w:val="00B837C1"/>
    <w:rsid w:val="00B841E0"/>
    <w:rsid w:val="00B8540E"/>
    <w:rsid w:val="00B8546B"/>
    <w:rsid w:val="00B8600B"/>
    <w:rsid w:val="00B860BA"/>
    <w:rsid w:val="00B865F5"/>
    <w:rsid w:val="00B86A98"/>
    <w:rsid w:val="00B86DBF"/>
    <w:rsid w:val="00B86F5D"/>
    <w:rsid w:val="00B91DFE"/>
    <w:rsid w:val="00B91E8B"/>
    <w:rsid w:val="00B942FB"/>
    <w:rsid w:val="00B94BC0"/>
    <w:rsid w:val="00B95CB3"/>
    <w:rsid w:val="00B95DEF"/>
    <w:rsid w:val="00B960DB"/>
    <w:rsid w:val="00B966E9"/>
    <w:rsid w:val="00B97229"/>
    <w:rsid w:val="00B9723E"/>
    <w:rsid w:val="00BA08A3"/>
    <w:rsid w:val="00BA1379"/>
    <w:rsid w:val="00BA3C02"/>
    <w:rsid w:val="00BA5AB3"/>
    <w:rsid w:val="00BA7F63"/>
    <w:rsid w:val="00BB227E"/>
    <w:rsid w:val="00BB6B5D"/>
    <w:rsid w:val="00BB75F6"/>
    <w:rsid w:val="00BB7E3D"/>
    <w:rsid w:val="00BC050B"/>
    <w:rsid w:val="00BC24C6"/>
    <w:rsid w:val="00BC25FC"/>
    <w:rsid w:val="00BC3CD1"/>
    <w:rsid w:val="00BC5EC6"/>
    <w:rsid w:val="00BC5F0E"/>
    <w:rsid w:val="00BC6EF1"/>
    <w:rsid w:val="00BD2211"/>
    <w:rsid w:val="00BD221D"/>
    <w:rsid w:val="00BD3E65"/>
    <w:rsid w:val="00BD5934"/>
    <w:rsid w:val="00BD7785"/>
    <w:rsid w:val="00BE0F28"/>
    <w:rsid w:val="00BE12CE"/>
    <w:rsid w:val="00BE231E"/>
    <w:rsid w:val="00BE2A6F"/>
    <w:rsid w:val="00BE3B2E"/>
    <w:rsid w:val="00BE46D8"/>
    <w:rsid w:val="00BE4E75"/>
    <w:rsid w:val="00BE6063"/>
    <w:rsid w:val="00BE6762"/>
    <w:rsid w:val="00BF1401"/>
    <w:rsid w:val="00BF1CBD"/>
    <w:rsid w:val="00BF52C4"/>
    <w:rsid w:val="00BF7292"/>
    <w:rsid w:val="00C006BE"/>
    <w:rsid w:val="00C01FE1"/>
    <w:rsid w:val="00C05B8E"/>
    <w:rsid w:val="00C075D3"/>
    <w:rsid w:val="00C1063D"/>
    <w:rsid w:val="00C10B9A"/>
    <w:rsid w:val="00C1222C"/>
    <w:rsid w:val="00C138AD"/>
    <w:rsid w:val="00C15E0E"/>
    <w:rsid w:val="00C16132"/>
    <w:rsid w:val="00C22B95"/>
    <w:rsid w:val="00C237A6"/>
    <w:rsid w:val="00C23FB5"/>
    <w:rsid w:val="00C24A1A"/>
    <w:rsid w:val="00C25296"/>
    <w:rsid w:val="00C278A9"/>
    <w:rsid w:val="00C30E53"/>
    <w:rsid w:val="00C331BB"/>
    <w:rsid w:val="00C34019"/>
    <w:rsid w:val="00C377AC"/>
    <w:rsid w:val="00C41A08"/>
    <w:rsid w:val="00C422B9"/>
    <w:rsid w:val="00C4241E"/>
    <w:rsid w:val="00C44556"/>
    <w:rsid w:val="00C50EFE"/>
    <w:rsid w:val="00C51438"/>
    <w:rsid w:val="00C535F4"/>
    <w:rsid w:val="00C541C9"/>
    <w:rsid w:val="00C55EA1"/>
    <w:rsid w:val="00C574C0"/>
    <w:rsid w:val="00C60ACD"/>
    <w:rsid w:val="00C60DC7"/>
    <w:rsid w:val="00C615A3"/>
    <w:rsid w:val="00C61FE6"/>
    <w:rsid w:val="00C635DA"/>
    <w:rsid w:val="00C639E7"/>
    <w:rsid w:val="00C63B4C"/>
    <w:rsid w:val="00C64B6E"/>
    <w:rsid w:val="00C654D7"/>
    <w:rsid w:val="00C659BE"/>
    <w:rsid w:val="00C666AE"/>
    <w:rsid w:val="00C66DC3"/>
    <w:rsid w:val="00C705A0"/>
    <w:rsid w:val="00C731CE"/>
    <w:rsid w:val="00C80300"/>
    <w:rsid w:val="00C81369"/>
    <w:rsid w:val="00C82307"/>
    <w:rsid w:val="00C8613B"/>
    <w:rsid w:val="00C92622"/>
    <w:rsid w:val="00C97228"/>
    <w:rsid w:val="00C9780D"/>
    <w:rsid w:val="00C97FF5"/>
    <w:rsid w:val="00CA02DA"/>
    <w:rsid w:val="00CA0718"/>
    <w:rsid w:val="00CA1A51"/>
    <w:rsid w:val="00CA1A54"/>
    <w:rsid w:val="00CA2810"/>
    <w:rsid w:val="00CB050C"/>
    <w:rsid w:val="00CB196B"/>
    <w:rsid w:val="00CB1C49"/>
    <w:rsid w:val="00CB2261"/>
    <w:rsid w:val="00CB508D"/>
    <w:rsid w:val="00CB5624"/>
    <w:rsid w:val="00CB5BAA"/>
    <w:rsid w:val="00CB6E83"/>
    <w:rsid w:val="00CC46B2"/>
    <w:rsid w:val="00CC4C58"/>
    <w:rsid w:val="00CC5718"/>
    <w:rsid w:val="00CC7444"/>
    <w:rsid w:val="00CD1352"/>
    <w:rsid w:val="00CD1CBE"/>
    <w:rsid w:val="00CD1E3E"/>
    <w:rsid w:val="00CD25B5"/>
    <w:rsid w:val="00CD32E2"/>
    <w:rsid w:val="00CD4B0B"/>
    <w:rsid w:val="00CD6698"/>
    <w:rsid w:val="00CD7166"/>
    <w:rsid w:val="00CE1E5B"/>
    <w:rsid w:val="00CE1F6C"/>
    <w:rsid w:val="00CE4E62"/>
    <w:rsid w:val="00CE7530"/>
    <w:rsid w:val="00CF1D92"/>
    <w:rsid w:val="00CF278C"/>
    <w:rsid w:val="00CF4CBA"/>
    <w:rsid w:val="00CF5D91"/>
    <w:rsid w:val="00D00139"/>
    <w:rsid w:val="00D0025C"/>
    <w:rsid w:val="00D02155"/>
    <w:rsid w:val="00D031B0"/>
    <w:rsid w:val="00D04074"/>
    <w:rsid w:val="00D045E5"/>
    <w:rsid w:val="00D060A6"/>
    <w:rsid w:val="00D06E63"/>
    <w:rsid w:val="00D07459"/>
    <w:rsid w:val="00D12172"/>
    <w:rsid w:val="00D12B8C"/>
    <w:rsid w:val="00D200F6"/>
    <w:rsid w:val="00D2145E"/>
    <w:rsid w:val="00D21646"/>
    <w:rsid w:val="00D21695"/>
    <w:rsid w:val="00D24123"/>
    <w:rsid w:val="00D27887"/>
    <w:rsid w:val="00D43236"/>
    <w:rsid w:val="00D44D22"/>
    <w:rsid w:val="00D454F2"/>
    <w:rsid w:val="00D47CE9"/>
    <w:rsid w:val="00D52995"/>
    <w:rsid w:val="00D55502"/>
    <w:rsid w:val="00D6063E"/>
    <w:rsid w:val="00D6490C"/>
    <w:rsid w:val="00D6775B"/>
    <w:rsid w:val="00D703E2"/>
    <w:rsid w:val="00D7129E"/>
    <w:rsid w:val="00D72ADE"/>
    <w:rsid w:val="00D74DFD"/>
    <w:rsid w:val="00D75233"/>
    <w:rsid w:val="00D7728F"/>
    <w:rsid w:val="00D77696"/>
    <w:rsid w:val="00D812E7"/>
    <w:rsid w:val="00D81CC4"/>
    <w:rsid w:val="00D85E6B"/>
    <w:rsid w:val="00D903BD"/>
    <w:rsid w:val="00D90911"/>
    <w:rsid w:val="00D9765E"/>
    <w:rsid w:val="00DA13A5"/>
    <w:rsid w:val="00DA41E3"/>
    <w:rsid w:val="00DA4591"/>
    <w:rsid w:val="00DA6430"/>
    <w:rsid w:val="00DA6D78"/>
    <w:rsid w:val="00DA7B06"/>
    <w:rsid w:val="00DB2373"/>
    <w:rsid w:val="00DB568B"/>
    <w:rsid w:val="00DB63DB"/>
    <w:rsid w:val="00DB7824"/>
    <w:rsid w:val="00DC308E"/>
    <w:rsid w:val="00DC7F73"/>
    <w:rsid w:val="00DD0080"/>
    <w:rsid w:val="00DD1649"/>
    <w:rsid w:val="00DD1EA5"/>
    <w:rsid w:val="00DD409B"/>
    <w:rsid w:val="00DD5241"/>
    <w:rsid w:val="00DD5BED"/>
    <w:rsid w:val="00DE191A"/>
    <w:rsid w:val="00DE2BEC"/>
    <w:rsid w:val="00DE3123"/>
    <w:rsid w:val="00DE339F"/>
    <w:rsid w:val="00DE478E"/>
    <w:rsid w:val="00DE63A8"/>
    <w:rsid w:val="00DE70A7"/>
    <w:rsid w:val="00DF1535"/>
    <w:rsid w:val="00DF2A96"/>
    <w:rsid w:val="00DF53F5"/>
    <w:rsid w:val="00DF61FD"/>
    <w:rsid w:val="00DF6D25"/>
    <w:rsid w:val="00DF6E5D"/>
    <w:rsid w:val="00DF7236"/>
    <w:rsid w:val="00DF7E2A"/>
    <w:rsid w:val="00E03C6D"/>
    <w:rsid w:val="00E05A1C"/>
    <w:rsid w:val="00E07B16"/>
    <w:rsid w:val="00E11EE3"/>
    <w:rsid w:val="00E12370"/>
    <w:rsid w:val="00E135F9"/>
    <w:rsid w:val="00E14349"/>
    <w:rsid w:val="00E168C9"/>
    <w:rsid w:val="00E20758"/>
    <w:rsid w:val="00E20C28"/>
    <w:rsid w:val="00E22A77"/>
    <w:rsid w:val="00E24B18"/>
    <w:rsid w:val="00E26744"/>
    <w:rsid w:val="00E3016C"/>
    <w:rsid w:val="00E31693"/>
    <w:rsid w:val="00E31952"/>
    <w:rsid w:val="00E348BC"/>
    <w:rsid w:val="00E37C66"/>
    <w:rsid w:val="00E403F7"/>
    <w:rsid w:val="00E41073"/>
    <w:rsid w:val="00E42B54"/>
    <w:rsid w:val="00E42F1E"/>
    <w:rsid w:val="00E4318F"/>
    <w:rsid w:val="00E4392E"/>
    <w:rsid w:val="00E4404F"/>
    <w:rsid w:val="00E44F49"/>
    <w:rsid w:val="00E451A2"/>
    <w:rsid w:val="00E45780"/>
    <w:rsid w:val="00E479DD"/>
    <w:rsid w:val="00E508AC"/>
    <w:rsid w:val="00E509A3"/>
    <w:rsid w:val="00E51FD3"/>
    <w:rsid w:val="00E54395"/>
    <w:rsid w:val="00E54741"/>
    <w:rsid w:val="00E568E5"/>
    <w:rsid w:val="00E5743C"/>
    <w:rsid w:val="00E6453F"/>
    <w:rsid w:val="00E6505C"/>
    <w:rsid w:val="00E659EF"/>
    <w:rsid w:val="00E6796E"/>
    <w:rsid w:val="00E70CBD"/>
    <w:rsid w:val="00E717E8"/>
    <w:rsid w:val="00E73D81"/>
    <w:rsid w:val="00E754F4"/>
    <w:rsid w:val="00E7797C"/>
    <w:rsid w:val="00E8056E"/>
    <w:rsid w:val="00E82269"/>
    <w:rsid w:val="00E824D0"/>
    <w:rsid w:val="00E828FA"/>
    <w:rsid w:val="00E8487C"/>
    <w:rsid w:val="00E87750"/>
    <w:rsid w:val="00E90AD8"/>
    <w:rsid w:val="00E92644"/>
    <w:rsid w:val="00EA287E"/>
    <w:rsid w:val="00EA2D3D"/>
    <w:rsid w:val="00EA5B84"/>
    <w:rsid w:val="00EB1899"/>
    <w:rsid w:val="00EB20F9"/>
    <w:rsid w:val="00EB24EB"/>
    <w:rsid w:val="00EB442F"/>
    <w:rsid w:val="00EB7AC2"/>
    <w:rsid w:val="00EC3865"/>
    <w:rsid w:val="00EC3FAC"/>
    <w:rsid w:val="00EC6305"/>
    <w:rsid w:val="00EC6B29"/>
    <w:rsid w:val="00EC73FB"/>
    <w:rsid w:val="00ED06CC"/>
    <w:rsid w:val="00ED2C8E"/>
    <w:rsid w:val="00ED379E"/>
    <w:rsid w:val="00ED5361"/>
    <w:rsid w:val="00ED6C98"/>
    <w:rsid w:val="00ED6DB9"/>
    <w:rsid w:val="00ED7680"/>
    <w:rsid w:val="00EE0424"/>
    <w:rsid w:val="00EE0D47"/>
    <w:rsid w:val="00EE20CC"/>
    <w:rsid w:val="00EE3F93"/>
    <w:rsid w:val="00EE5358"/>
    <w:rsid w:val="00EE5C31"/>
    <w:rsid w:val="00EF199D"/>
    <w:rsid w:val="00EF1D57"/>
    <w:rsid w:val="00EF31F8"/>
    <w:rsid w:val="00EF47EB"/>
    <w:rsid w:val="00EF492E"/>
    <w:rsid w:val="00EF5C3C"/>
    <w:rsid w:val="00EF71E9"/>
    <w:rsid w:val="00EF79AB"/>
    <w:rsid w:val="00F00396"/>
    <w:rsid w:val="00F006D2"/>
    <w:rsid w:val="00F009A9"/>
    <w:rsid w:val="00F00BD1"/>
    <w:rsid w:val="00F01FD9"/>
    <w:rsid w:val="00F04B07"/>
    <w:rsid w:val="00F05BA8"/>
    <w:rsid w:val="00F06699"/>
    <w:rsid w:val="00F06AE6"/>
    <w:rsid w:val="00F10168"/>
    <w:rsid w:val="00F1066F"/>
    <w:rsid w:val="00F136EF"/>
    <w:rsid w:val="00F1621A"/>
    <w:rsid w:val="00F16F13"/>
    <w:rsid w:val="00F23E9A"/>
    <w:rsid w:val="00F242D9"/>
    <w:rsid w:val="00F33022"/>
    <w:rsid w:val="00F352E8"/>
    <w:rsid w:val="00F3715D"/>
    <w:rsid w:val="00F41232"/>
    <w:rsid w:val="00F44B62"/>
    <w:rsid w:val="00F45640"/>
    <w:rsid w:val="00F504BF"/>
    <w:rsid w:val="00F5072C"/>
    <w:rsid w:val="00F51CBF"/>
    <w:rsid w:val="00F5234D"/>
    <w:rsid w:val="00F5411D"/>
    <w:rsid w:val="00F55960"/>
    <w:rsid w:val="00F56D2B"/>
    <w:rsid w:val="00F57D2D"/>
    <w:rsid w:val="00F62A49"/>
    <w:rsid w:val="00F64F0D"/>
    <w:rsid w:val="00F7026A"/>
    <w:rsid w:val="00F706A7"/>
    <w:rsid w:val="00F70F03"/>
    <w:rsid w:val="00F71826"/>
    <w:rsid w:val="00F723E7"/>
    <w:rsid w:val="00F72B45"/>
    <w:rsid w:val="00F73B00"/>
    <w:rsid w:val="00F74D76"/>
    <w:rsid w:val="00F825DF"/>
    <w:rsid w:val="00F825E9"/>
    <w:rsid w:val="00F84737"/>
    <w:rsid w:val="00F84ACD"/>
    <w:rsid w:val="00F850CA"/>
    <w:rsid w:val="00F8667E"/>
    <w:rsid w:val="00F87B69"/>
    <w:rsid w:val="00F90C95"/>
    <w:rsid w:val="00F9103E"/>
    <w:rsid w:val="00F91493"/>
    <w:rsid w:val="00F92062"/>
    <w:rsid w:val="00F95923"/>
    <w:rsid w:val="00F96A39"/>
    <w:rsid w:val="00F97463"/>
    <w:rsid w:val="00FA0118"/>
    <w:rsid w:val="00FA0DD8"/>
    <w:rsid w:val="00FA1406"/>
    <w:rsid w:val="00FA40C1"/>
    <w:rsid w:val="00FA496C"/>
    <w:rsid w:val="00FA4DC6"/>
    <w:rsid w:val="00FA5D99"/>
    <w:rsid w:val="00FB021E"/>
    <w:rsid w:val="00FB030E"/>
    <w:rsid w:val="00FB571F"/>
    <w:rsid w:val="00FB6995"/>
    <w:rsid w:val="00FC0D1F"/>
    <w:rsid w:val="00FC42BA"/>
    <w:rsid w:val="00FC6166"/>
    <w:rsid w:val="00FD08C1"/>
    <w:rsid w:val="00FD145C"/>
    <w:rsid w:val="00FD5B44"/>
    <w:rsid w:val="00FD6863"/>
    <w:rsid w:val="00FD79A1"/>
    <w:rsid w:val="00FD7A7A"/>
    <w:rsid w:val="00FE0E8E"/>
    <w:rsid w:val="00FE10C1"/>
    <w:rsid w:val="00FE190E"/>
    <w:rsid w:val="00FE193F"/>
    <w:rsid w:val="00FE20A9"/>
    <w:rsid w:val="00FE2C30"/>
    <w:rsid w:val="00FE336F"/>
    <w:rsid w:val="00FE48A9"/>
    <w:rsid w:val="00FE54AE"/>
    <w:rsid w:val="00FE5662"/>
    <w:rsid w:val="00FE5B14"/>
    <w:rsid w:val="00FF08B7"/>
    <w:rsid w:val="00FF12B8"/>
    <w:rsid w:val="00FF1A18"/>
    <w:rsid w:val="00FF43E8"/>
    <w:rsid w:val="00FF5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18B6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504BF"/>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nhideWhenUsed/>
    <w:qFormat/>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nhideWhenUsed/>
    <w:qFormat/>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nhideWhenUsed/>
    <w:qFormat/>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semiHidden/>
    <w:unhideWhenUsed/>
    <w:qFormat/>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rsid w:val="005E52AE"/>
    <w:rPr>
      <w:rFonts w:ascii="Proxima Nova Light" w:hAnsi="Proxima Nova Light"/>
      <w:color w:val="FF6D2E" w:themeColor="accent1"/>
      <w:sz w:val="28"/>
    </w:rPr>
  </w:style>
  <w:style w:type="character" w:customStyle="1" w:styleId="Heading9Char">
    <w:name w:val="Heading 9 Char"/>
    <w:basedOn w:val="DefaultParagraphFont"/>
    <w:link w:val="Heading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qFormat/>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qFormat/>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qFormat/>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qFormat/>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694410"/>
    <w:pPr>
      <w:keepNext/>
      <w:keepLines/>
      <w:spacing w:before="280" w:after="80"/>
    </w:pPr>
    <w:rPr>
      <w:b/>
      <w:color w:val="000000"/>
      <w:sz w:val="20"/>
      <w:szCs w:val="18"/>
    </w:rPr>
  </w:style>
  <w:style w:type="character" w:customStyle="1" w:styleId="CaptionChar">
    <w:name w:val="Caption Char"/>
    <w:aliases w:val="eTRM Caption Char,C. Caption Char"/>
    <w:link w:val="Caption"/>
    <w:locked/>
    <w:rsid w:val="00694410"/>
    <w:rPr>
      <w:rFonts w:ascii="Calibri Light" w:hAnsi="Calibri Light"/>
      <w:b/>
      <w:color w:val="000000"/>
      <w:sz w:val="20"/>
      <w:szCs w:val="18"/>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rsid w:val="005B7418"/>
    <w:rPr>
      <w:rFonts w:ascii="Avenir Next" w:hAnsi="Avenir Next"/>
      <w:color w:val="5F5F5F" w:themeColor="accent3" w:themeShade="BF"/>
      <w:sz w:val="16"/>
    </w:rPr>
  </w:style>
  <w:style w:type="paragraph" w:styleId="Footer">
    <w:name w:val="footer"/>
    <w:basedOn w:val="Normal"/>
    <w:link w:val="FooterChar"/>
    <w:unhideWhenUsed/>
    <w:rsid w:val="005722C6"/>
    <w:pPr>
      <w:pBdr>
        <w:top w:val="single" w:sz="6" w:space="6" w:color="344D6D" w:themeColor="background2"/>
      </w:pBdr>
    </w:pPr>
  </w:style>
  <w:style w:type="character" w:customStyle="1" w:styleId="FooterChar">
    <w:name w:val="Footer Char"/>
    <w:basedOn w:val="DefaultParagraphFont"/>
    <w:link w:val="Footer"/>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4"/>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WP Table"/>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1369D7"/>
    <w:pPr>
      <w:spacing w:before="20" w:after="20"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1369D7"/>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character" w:styleId="CommentReference">
    <w:name w:val="annotation reference"/>
    <w:basedOn w:val="DefaultParagraphFont"/>
    <w:uiPriority w:val="99"/>
    <w:semiHidden/>
    <w:unhideWhenUsed/>
    <w:rsid w:val="00CD25B5"/>
    <w:rPr>
      <w:sz w:val="18"/>
      <w:szCs w:val="18"/>
    </w:rPr>
  </w:style>
  <w:style w:type="paragraph" w:styleId="CommentText">
    <w:name w:val="annotation text"/>
    <w:basedOn w:val="Normal"/>
    <w:link w:val="CommentTextChar"/>
    <w:uiPriority w:val="99"/>
    <w:unhideWhenUsed/>
    <w:rsid w:val="00CD25B5"/>
    <w:pPr>
      <w:spacing w:after="60" w:line="240" w:lineRule="auto"/>
    </w:pPr>
    <w:rPr>
      <w:sz w:val="24"/>
    </w:rPr>
  </w:style>
  <w:style w:type="character" w:customStyle="1" w:styleId="CommentTextChar">
    <w:name w:val="Comment Text Char"/>
    <w:basedOn w:val="DefaultParagraphFont"/>
    <w:link w:val="CommentText"/>
    <w:uiPriority w:val="99"/>
    <w:rsid w:val="00CD25B5"/>
    <w:rPr>
      <w:rFonts w:ascii="Calibri Light" w:hAnsi="Calibri Light"/>
    </w:rPr>
  </w:style>
  <w:style w:type="paragraph" w:styleId="BalloonText">
    <w:name w:val="Balloon Text"/>
    <w:basedOn w:val="Normal"/>
    <w:link w:val="BalloonTextChar"/>
    <w:semiHidden/>
    <w:unhideWhenUsed/>
    <w:rsid w:val="00CD25B5"/>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semiHidden/>
    <w:rsid w:val="00CD25B5"/>
    <w:rPr>
      <w:rFonts w:ascii="Times New Roman" w:hAnsi="Times New Roman" w:cs="Times New Roman"/>
      <w:sz w:val="18"/>
      <w:szCs w:val="18"/>
    </w:rPr>
  </w:style>
  <w:style w:type="paragraph" w:styleId="CommentSubject">
    <w:name w:val="annotation subject"/>
    <w:basedOn w:val="CommentText"/>
    <w:next w:val="CommentText"/>
    <w:link w:val="CommentSubjectChar"/>
    <w:semiHidden/>
    <w:unhideWhenUsed/>
    <w:rsid w:val="00CD25B5"/>
    <w:pPr>
      <w:spacing w:after="120"/>
    </w:pPr>
    <w:rPr>
      <w:b/>
      <w:bCs/>
      <w:sz w:val="20"/>
      <w:szCs w:val="20"/>
    </w:rPr>
  </w:style>
  <w:style w:type="character" w:customStyle="1" w:styleId="CommentSubjectChar">
    <w:name w:val="Comment Subject Char"/>
    <w:basedOn w:val="CommentTextChar"/>
    <w:link w:val="CommentSubject"/>
    <w:semiHidden/>
    <w:rsid w:val="00CD25B5"/>
    <w:rPr>
      <w:rFonts w:ascii="Calibri Light" w:hAnsi="Calibri Light"/>
      <w:b/>
      <w:bCs/>
      <w:sz w:val="20"/>
      <w:szCs w:val="20"/>
    </w:rPr>
  </w:style>
  <w:style w:type="character" w:customStyle="1" w:styleId="UnresolvedMention1">
    <w:name w:val="Unresolved Mention1"/>
    <w:basedOn w:val="DefaultParagraphFont"/>
    <w:uiPriority w:val="99"/>
    <w:rsid w:val="00CD25B5"/>
    <w:rPr>
      <w:color w:val="808080"/>
      <w:shd w:val="clear" w:color="auto" w:fill="E6E6E6"/>
    </w:rPr>
  </w:style>
  <w:style w:type="paragraph" w:styleId="DocumentMap">
    <w:name w:val="Document Map"/>
    <w:basedOn w:val="Normal"/>
    <w:link w:val="DocumentMapChar"/>
    <w:semiHidden/>
    <w:unhideWhenUsed/>
    <w:rsid w:val="00FA1406"/>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semiHidden/>
    <w:rsid w:val="00FA1406"/>
    <w:rPr>
      <w:rFonts w:ascii="Times New Roman" w:hAnsi="Times New Roman" w:cs="Times New Roman"/>
    </w:rPr>
  </w:style>
  <w:style w:type="paragraph" w:customStyle="1" w:styleId="Reminders">
    <w:name w:val="Reminders"/>
    <w:basedOn w:val="Normal"/>
    <w:link w:val="RemindersChar"/>
    <w:rsid w:val="0054501E"/>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54501E"/>
    <w:rPr>
      <w:rFonts w:ascii="Trebuchet MS" w:eastAsia="Times New Roman" w:hAnsi="Trebuchet MS" w:cs="Times New Roman"/>
      <w:i/>
      <w:color w:val="FF0000"/>
      <w:sz w:val="22"/>
    </w:rPr>
  </w:style>
  <w:style w:type="paragraph" w:customStyle="1" w:styleId="Reminder">
    <w:name w:val="Reminder"/>
    <w:basedOn w:val="Reminders"/>
    <w:link w:val="ReminderChar"/>
    <w:rsid w:val="0054501E"/>
  </w:style>
  <w:style w:type="character" w:customStyle="1" w:styleId="ReminderChar">
    <w:name w:val="Reminder Char"/>
    <w:basedOn w:val="RemindersChar"/>
    <w:link w:val="Reminder"/>
    <w:rsid w:val="0054501E"/>
    <w:rPr>
      <w:rFonts w:ascii="Trebuchet MS" w:eastAsia="Times New Roman" w:hAnsi="Trebuchet MS" w:cs="Times New Roman"/>
      <w:i/>
      <w:color w:val="FF0000"/>
      <w:sz w:val="22"/>
    </w:rPr>
  </w:style>
  <w:style w:type="paragraph" w:customStyle="1" w:styleId="CharChar4">
    <w:name w:val="Char Char4"/>
    <w:basedOn w:val="Normal"/>
    <w:rsid w:val="0054501E"/>
    <w:pPr>
      <w:spacing w:before="0" w:after="160" w:line="240" w:lineRule="exact"/>
    </w:pPr>
    <w:rPr>
      <w:rFonts w:ascii="Verdana" w:eastAsia="Times New Roman" w:hAnsi="Verdana" w:cs="Times New Roman"/>
      <w:sz w:val="20"/>
      <w:szCs w:val="20"/>
    </w:rPr>
  </w:style>
  <w:style w:type="paragraph" w:customStyle="1" w:styleId="reminders0">
    <w:name w:val="reminders"/>
    <w:basedOn w:val="Normal"/>
    <w:rsid w:val="0054501E"/>
    <w:pPr>
      <w:spacing w:before="0" w:after="0" w:line="240" w:lineRule="auto"/>
    </w:pPr>
    <w:rPr>
      <w:rFonts w:ascii="Trebuchet MS" w:eastAsia="Times New Roman" w:hAnsi="Trebuchet MS" w:cs="Arial"/>
      <w:color w:val="FF0000"/>
    </w:rPr>
  </w:style>
  <w:style w:type="character" w:styleId="Strong">
    <w:name w:val="Strong"/>
    <w:uiPriority w:val="22"/>
    <w:qFormat/>
    <w:rsid w:val="0054501E"/>
    <w:rPr>
      <w:rFonts w:ascii="Arial" w:hAnsi="Arial"/>
      <w:b/>
      <w:bCs/>
      <w:sz w:val="22"/>
    </w:rPr>
  </w:style>
  <w:style w:type="character" w:customStyle="1" w:styleId="TitleChar">
    <w:name w:val="Title Char"/>
    <w:locked/>
    <w:rsid w:val="0054501E"/>
    <w:rPr>
      <w:rFonts w:ascii="Arial" w:hAnsi="Arial"/>
      <w:b/>
      <w:color w:val="17365D"/>
      <w:spacing w:val="5"/>
      <w:kern w:val="28"/>
      <w:sz w:val="48"/>
      <w:szCs w:val="52"/>
      <w:lang w:eastAsia="ko-KR"/>
    </w:rPr>
  </w:style>
  <w:style w:type="character" w:customStyle="1" w:styleId="Strong1">
    <w:name w:val="Strong1"/>
    <w:qFormat/>
    <w:rsid w:val="0054501E"/>
    <w:rPr>
      <w:b/>
      <w:bCs/>
    </w:rPr>
  </w:style>
  <w:style w:type="character" w:customStyle="1" w:styleId="apple-converted-space">
    <w:name w:val="apple-converted-space"/>
    <w:basedOn w:val="DefaultParagraphFont"/>
    <w:rsid w:val="0054501E"/>
  </w:style>
  <w:style w:type="paragraph" w:customStyle="1" w:styleId="WPnumber">
    <w:name w:val="WPnumber"/>
    <w:basedOn w:val="Normal"/>
    <w:link w:val="WPnumberChar"/>
    <w:rsid w:val="0054501E"/>
    <w:pPr>
      <w:spacing w:before="0" w:after="0" w:line="240" w:lineRule="auto"/>
      <w:jc w:val="right"/>
    </w:pPr>
    <w:rPr>
      <w:rFonts w:asciiTheme="minorHAnsi" w:eastAsia="Times New Roman" w:hAnsiTheme="minorHAnsi" w:cstheme="minorHAnsi"/>
      <w:b/>
      <w:sz w:val="48"/>
      <w:szCs w:val="48"/>
    </w:rPr>
  </w:style>
  <w:style w:type="character" w:customStyle="1" w:styleId="WPnumberChar">
    <w:name w:val="WPnumber Char"/>
    <w:basedOn w:val="DefaultParagraphFont"/>
    <w:link w:val="WPnumber"/>
    <w:rsid w:val="0054501E"/>
    <w:rPr>
      <w:rFonts w:eastAsia="Times New Roman" w:cstheme="minorHAnsi"/>
      <w:b/>
      <w:sz w:val="48"/>
      <w:szCs w:val="48"/>
    </w:rPr>
  </w:style>
  <w:style w:type="paragraph" w:customStyle="1" w:styleId="Revnumber">
    <w:name w:val="Revnumber"/>
    <w:basedOn w:val="WPnumber"/>
    <w:link w:val="RevnumberChar"/>
    <w:rsid w:val="0054501E"/>
  </w:style>
  <w:style w:type="character" w:customStyle="1" w:styleId="RevnumberChar">
    <w:name w:val="Revnumber Char"/>
    <w:basedOn w:val="WPnumberChar"/>
    <w:link w:val="Revnumber"/>
    <w:rsid w:val="0054501E"/>
    <w:rPr>
      <w:rFonts w:eastAsia="Times New Roman" w:cstheme="minorHAnsi"/>
      <w:b/>
      <w:sz w:val="48"/>
      <w:szCs w:val="48"/>
    </w:rPr>
  </w:style>
  <w:style w:type="paragraph" w:customStyle="1" w:styleId="Datenumber">
    <w:name w:val="Datenumber"/>
    <w:basedOn w:val="Revnumber"/>
    <w:link w:val="DatenumberChar"/>
    <w:rsid w:val="0054501E"/>
  </w:style>
  <w:style w:type="character" w:customStyle="1" w:styleId="DatenumberChar">
    <w:name w:val="Datenumber Char"/>
    <w:basedOn w:val="RevnumberChar"/>
    <w:link w:val="Datenumber"/>
    <w:rsid w:val="0054501E"/>
    <w:rPr>
      <w:rFonts w:eastAsia="Times New Roman" w:cstheme="minorHAnsi"/>
      <w:b/>
      <w:sz w:val="48"/>
      <w:szCs w:val="48"/>
    </w:rPr>
  </w:style>
  <w:style w:type="paragraph" w:customStyle="1" w:styleId="InfoExpander">
    <w:name w:val="InfoExpander"/>
    <w:basedOn w:val="Heading3"/>
    <w:link w:val="InfoExpanderChar"/>
    <w:qFormat/>
    <w:rsid w:val="0054501E"/>
    <w:pPr>
      <w:keepLines w:val="0"/>
      <w:tabs>
        <w:tab w:val="num" w:pos="360"/>
      </w:tabs>
      <w:spacing w:before="0" w:after="0"/>
    </w:pPr>
    <w:rPr>
      <w:rFonts w:asciiTheme="minorHAnsi" w:eastAsia="Times New Roman" w:hAnsiTheme="minorHAnsi" w:cstheme="minorHAnsi"/>
      <w:bCs/>
      <w:color w:val="auto"/>
      <w:w w:val="100"/>
      <w:sz w:val="22"/>
      <w:szCs w:val="22"/>
      <w:u w:val="single"/>
    </w:rPr>
  </w:style>
  <w:style w:type="character" w:customStyle="1" w:styleId="InfoExpanderChar">
    <w:name w:val="InfoExpander Char"/>
    <w:basedOn w:val="RemindersChar"/>
    <w:link w:val="InfoExpander"/>
    <w:rsid w:val="0054501E"/>
    <w:rPr>
      <w:rFonts w:ascii="Trebuchet MS" w:eastAsia="Times New Roman" w:hAnsi="Trebuchet MS" w:cstheme="minorHAnsi"/>
      <w:bCs/>
      <w:i/>
      <w:color w:val="FF0000"/>
      <w:sz w:val="22"/>
      <w:szCs w:val="22"/>
      <w:u w:val="single"/>
    </w:rPr>
  </w:style>
  <w:style w:type="paragraph" w:styleId="NoSpacing">
    <w:name w:val="No Spacing"/>
    <w:uiPriority w:val="1"/>
    <w:qFormat/>
    <w:rsid w:val="0054501E"/>
    <w:rPr>
      <w:rFonts w:eastAsiaTheme="minorHAnsi"/>
      <w:sz w:val="22"/>
      <w:szCs w:val="22"/>
    </w:rPr>
  </w:style>
  <w:style w:type="paragraph" w:styleId="ListBullet">
    <w:name w:val="List Bullet"/>
    <w:basedOn w:val="Normal"/>
    <w:uiPriority w:val="99"/>
    <w:unhideWhenUsed/>
    <w:rsid w:val="0054501E"/>
    <w:pPr>
      <w:tabs>
        <w:tab w:val="num" w:pos="360"/>
      </w:tabs>
      <w:spacing w:before="0" w:after="0" w:line="240" w:lineRule="auto"/>
      <w:ind w:left="360" w:hanging="360"/>
      <w:contextualSpacing/>
    </w:pPr>
    <w:rPr>
      <w:rFonts w:asciiTheme="minorHAnsi" w:eastAsia="Times New Roman" w:hAnsiTheme="minorHAnsi" w:cs="Times New Roman"/>
    </w:rPr>
  </w:style>
  <w:style w:type="paragraph" w:styleId="Index1">
    <w:name w:val="index 1"/>
    <w:basedOn w:val="Normal"/>
    <w:next w:val="Normal"/>
    <w:autoRedefine/>
    <w:semiHidden/>
    <w:unhideWhenUsed/>
    <w:rsid w:val="0054501E"/>
    <w:pPr>
      <w:spacing w:before="0" w:after="0" w:line="240" w:lineRule="auto"/>
      <w:ind w:left="240" w:hanging="240"/>
    </w:pPr>
    <w:rPr>
      <w:rFonts w:ascii="Arial" w:eastAsia="Batang" w:hAnsi="Arial" w:cs="Times New Roman"/>
      <w:sz w:val="20"/>
      <w:szCs w:val="20"/>
    </w:rPr>
  </w:style>
  <w:style w:type="character" w:customStyle="1" w:styleId="BodyTextIndent3Char">
    <w:name w:val="Body Text Indent 3 Char"/>
    <w:basedOn w:val="DefaultParagraphFont"/>
    <w:link w:val="BodyTextIndent3"/>
    <w:semiHidden/>
    <w:rsid w:val="0054501E"/>
    <w:rPr>
      <w:rFonts w:ascii="Arial" w:eastAsia="Batang" w:hAnsi="Arial" w:cs="Times New Roman"/>
      <w:sz w:val="20"/>
      <w:szCs w:val="20"/>
    </w:rPr>
  </w:style>
  <w:style w:type="paragraph" w:styleId="BodyTextIndent3">
    <w:name w:val="Body Text Indent 3"/>
    <w:basedOn w:val="Normal"/>
    <w:link w:val="BodyTextIndent3Char"/>
    <w:semiHidden/>
    <w:unhideWhenUsed/>
    <w:rsid w:val="0054501E"/>
    <w:pPr>
      <w:tabs>
        <w:tab w:val="left" w:pos="1080"/>
      </w:tabs>
      <w:snapToGrid w:val="0"/>
      <w:spacing w:before="0" w:after="0" w:line="240" w:lineRule="auto"/>
      <w:ind w:left="720"/>
      <w:jc w:val="both"/>
    </w:pPr>
    <w:rPr>
      <w:rFonts w:ascii="Arial" w:eastAsia="Batang" w:hAnsi="Arial" w:cs="Times New Roman"/>
      <w:sz w:val="20"/>
      <w:szCs w:val="20"/>
    </w:rPr>
  </w:style>
  <w:style w:type="paragraph" w:customStyle="1" w:styleId="xl27">
    <w:name w:val="xl27"/>
    <w:basedOn w:val="Normal"/>
    <w:rsid w:val="0054501E"/>
    <w:pPr>
      <w:pBdr>
        <w:bottom w:val="single" w:sz="12" w:space="0" w:color="FFFFFF"/>
        <w:right w:val="single" w:sz="12" w:space="0" w:color="FFFFFF"/>
      </w:pBdr>
      <w:shd w:val="pct75" w:color="000000" w:fill="333333"/>
      <w:spacing w:before="100" w:beforeAutospacing="1" w:after="100" w:afterAutospacing="1" w:line="240" w:lineRule="auto"/>
      <w:jc w:val="center"/>
    </w:pPr>
    <w:rPr>
      <w:rFonts w:ascii="Arial" w:eastAsia="Batang" w:hAnsi="Arial" w:cs="Times New Roman"/>
      <w:b/>
      <w:bCs/>
      <w:color w:val="FFFFFF"/>
      <w:sz w:val="16"/>
      <w:szCs w:val="16"/>
    </w:rPr>
  </w:style>
  <w:style w:type="paragraph" w:customStyle="1" w:styleId="xl28">
    <w:name w:val="xl28"/>
    <w:basedOn w:val="Normal"/>
    <w:rsid w:val="0054501E"/>
    <w:pPr>
      <w:pBdr>
        <w:bottom w:val="single" w:sz="12" w:space="0" w:color="FFFFFF"/>
        <w:right w:val="single" w:sz="12" w:space="0" w:color="FFFFFF"/>
      </w:pBdr>
      <w:spacing w:before="100" w:beforeAutospacing="1" w:after="100" w:afterAutospacing="1" w:line="240" w:lineRule="auto"/>
    </w:pPr>
    <w:rPr>
      <w:rFonts w:ascii="Arial" w:eastAsia="Batang" w:hAnsi="Arial" w:cs="Times New Roman"/>
      <w:b/>
      <w:bCs/>
      <w:sz w:val="20"/>
      <w:szCs w:val="20"/>
    </w:rPr>
  </w:style>
  <w:style w:type="paragraph" w:customStyle="1" w:styleId="xl29">
    <w:name w:val="xl29"/>
    <w:basedOn w:val="Normal"/>
    <w:rsid w:val="0054501E"/>
    <w:pPr>
      <w:pBdr>
        <w:bottom w:val="single" w:sz="12" w:space="0" w:color="FFFFFF"/>
        <w:right w:val="single" w:sz="12" w:space="0" w:color="FFFFFF"/>
      </w:pBdr>
      <w:shd w:val="clear" w:color="auto" w:fill="FFCC99"/>
      <w:spacing w:before="100" w:beforeAutospacing="1" w:after="100" w:afterAutospacing="1" w:line="240" w:lineRule="auto"/>
    </w:pPr>
    <w:rPr>
      <w:rFonts w:ascii="Arial" w:eastAsia="Batang" w:hAnsi="Arial" w:cs="Times New Roman"/>
      <w:b/>
      <w:bCs/>
      <w:sz w:val="20"/>
      <w:szCs w:val="20"/>
    </w:rPr>
  </w:style>
  <w:style w:type="paragraph" w:customStyle="1" w:styleId="xl30">
    <w:name w:val="xl30"/>
    <w:basedOn w:val="Normal"/>
    <w:rsid w:val="0054501E"/>
    <w:pPr>
      <w:pBdr>
        <w:bottom w:val="single" w:sz="12" w:space="0" w:color="FFFFFF"/>
        <w:right w:val="single" w:sz="12" w:space="0" w:color="FFFFFF"/>
      </w:pBdr>
      <w:shd w:val="clear" w:color="auto" w:fill="FFFF99"/>
      <w:spacing w:before="100" w:beforeAutospacing="1" w:after="100" w:afterAutospacing="1" w:line="240" w:lineRule="auto"/>
    </w:pPr>
    <w:rPr>
      <w:rFonts w:ascii="Arial" w:eastAsia="Batang" w:hAnsi="Arial" w:cs="Times New Roman"/>
      <w:b/>
      <w:bCs/>
      <w:sz w:val="20"/>
      <w:szCs w:val="20"/>
    </w:rPr>
  </w:style>
  <w:style w:type="paragraph" w:customStyle="1" w:styleId="xl31">
    <w:name w:val="xl31"/>
    <w:basedOn w:val="Normal"/>
    <w:rsid w:val="0054501E"/>
    <w:pPr>
      <w:pBdr>
        <w:bottom w:val="single" w:sz="12" w:space="0" w:color="FFFFFF"/>
        <w:right w:val="single" w:sz="12" w:space="0" w:color="FFFFFF"/>
      </w:pBdr>
      <w:shd w:val="clear" w:color="auto" w:fill="CCFFCC"/>
      <w:spacing w:before="100" w:beforeAutospacing="1" w:after="100" w:afterAutospacing="1" w:line="240" w:lineRule="auto"/>
    </w:pPr>
    <w:rPr>
      <w:rFonts w:ascii="Arial" w:eastAsia="Batang" w:hAnsi="Arial" w:cs="Times New Roman"/>
      <w:b/>
      <w:bCs/>
      <w:sz w:val="20"/>
      <w:szCs w:val="20"/>
    </w:rPr>
  </w:style>
  <w:style w:type="paragraph" w:customStyle="1" w:styleId="xl32">
    <w:name w:val="xl32"/>
    <w:basedOn w:val="Normal"/>
    <w:rsid w:val="0054501E"/>
    <w:pPr>
      <w:pBdr>
        <w:bottom w:val="single" w:sz="12" w:space="0" w:color="FFFFFF"/>
        <w:right w:val="single" w:sz="12" w:space="0" w:color="FFFFFF"/>
      </w:pBdr>
      <w:shd w:val="clear" w:color="auto" w:fill="CCFFFF"/>
      <w:spacing w:before="100" w:beforeAutospacing="1" w:after="100" w:afterAutospacing="1" w:line="240" w:lineRule="auto"/>
    </w:pPr>
    <w:rPr>
      <w:rFonts w:ascii="Arial" w:eastAsia="Batang" w:hAnsi="Arial" w:cs="Times New Roman"/>
      <w:b/>
      <w:bCs/>
      <w:sz w:val="20"/>
      <w:szCs w:val="20"/>
    </w:rPr>
  </w:style>
  <w:style w:type="paragraph" w:customStyle="1" w:styleId="xl33">
    <w:name w:val="xl33"/>
    <w:basedOn w:val="Normal"/>
    <w:rsid w:val="0054501E"/>
    <w:pPr>
      <w:pBdr>
        <w:bottom w:val="single" w:sz="12" w:space="0" w:color="FFFFFF"/>
        <w:right w:val="single" w:sz="12" w:space="0" w:color="FFFFFF"/>
      </w:pBdr>
      <w:shd w:val="clear" w:color="auto" w:fill="99CCFF"/>
      <w:spacing w:before="100" w:beforeAutospacing="1" w:after="100" w:afterAutospacing="1" w:line="240" w:lineRule="auto"/>
    </w:pPr>
    <w:rPr>
      <w:rFonts w:ascii="Arial" w:eastAsia="Batang" w:hAnsi="Arial" w:cs="Times New Roman"/>
      <w:b/>
      <w:bCs/>
      <w:sz w:val="20"/>
      <w:szCs w:val="20"/>
    </w:rPr>
  </w:style>
  <w:style w:type="paragraph" w:customStyle="1" w:styleId="xl34">
    <w:name w:val="xl34"/>
    <w:basedOn w:val="Normal"/>
    <w:rsid w:val="0054501E"/>
    <w:pPr>
      <w:pBdr>
        <w:bottom w:val="single" w:sz="12" w:space="0" w:color="FFFFFF"/>
        <w:right w:val="single" w:sz="12" w:space="0" w:color="FFFFFF"/>
      </w:pBdr>
      <w:shd w:val="clear" w:color="auto" w:fill="CC99FF"/>
      <w:spacing w:before="100" w:beforeAutospacing="1" w:after="100" w:afterAutospacing="1" w:line="240" w:lineRule="auto"/>
    </w:pPr>
    <w:rPr>
      <w:rFonts w:ascii="Arial" w:eastAsia="Batang" w:hAnsi="Arial" w:cs="Times New Roman"/>
      <w:b/>
      <w:bCs/>
      <w:sz w:val="20"/>
      <w:szCs w:val="20"/>
    </w:rPr>
  </w:style>
  <w:style w:type="paragraph" w:customStyle="1" w:styleId="xl35">
    <w:name w:val="xl35"/>
    <w:basedOn w:val="Normal"/>
    <w:rsid w:val="0054501E"/>
    <w:pPr>
      <w:pBdr>
        <w:bottom w:val="single" w:sz="12" w:space="0" w:color="FFFFFF"/>
        <w:right w:val="single" w:sz="12" w:space="0" w:color="FFFFFF"/>
      </w:pBdr>
      <w:shd w:val="clear" w:color="auto" w:fill="00CCFF"/>
      <w:spacing w:before="100" w:beforeAutospacing="1" w:after="100" w:afterAutospacing="1" w:line="240" w:lineRule="auto"/>
    </w:pPr>
    <w:rPr>
      <w:rFonts w:ascii="Arial" w:eastAsia="Batang" w:hAnsi="Arial" w:cs="Times New Roman"/>
      <w:b/>
      <w:bCs/>
      <w:sz w:val="20"/>
      <w:szCs w:val="20"/>
    </w:rPr>
  </w:style>
  <w:style w:type="paragraph" w:customStyle="1" w:styleId="xl36">
    <w:name w:val="xl36"/>
    <w:basedOn w:val="Normal"/>
    <w:rsid w:val="0054501E"/>
    <w:pPr>
      <w:pBdr>
        <w:bottom w:val="single" w:sz="12" w:space="0" w:color="FFFFFF"/>
        <w:right w:val="single" w:sz="12" w:space="0" w:color="FFFFFF"/>
      </w:pBdr>
      <w:shd w:val="clear" w:color="auto" w:fill="800080"/>
      <w:spacing w:before="100" w:beforeAutospacing="1" w:after="100" w:afterAutospacing="1" w:line="240" w:lineRule="auto"/>
    </w:pPr>
    <w:rPr>
      <w:rFonts w:ascii="Arial" w:eastAsia="Batang" w:hAnsi="Arial" w:cs="Times New Roman"/>
      <w:b/>
      <w:bCs/>
      <w:sz w:val="20"/>
      <w:szCs w:val="20"/>
    </w:rPr>
  </w:style>
  <w:style w:type="paragraph" w:customStyle="1" w:styleId="xl37">
    <w:name w:val="xl37"/>
    <w:basedOn w:val="Normal"/>
    <w:rsid w:val="0054501E"/>
    <w:pPr>
      <w:pBdr>
        <w:bottom w:val="single" w:sz="12" w:space="0" w:color="FFFFFF"/>
        <w:right w:val="single" w:sz="12" w:space="0" w:color="FFFFFF"/>
      </w:pBdr>
      <w:shd w:val="clear" w:color="auto" w:fill="FF00FF"/>
      <w:spacing w:before="100" w:beforeAutospacing="1" w:after="100" w:afterAutospacing="1" w:line="240" w:lineRule="auto"/>
    </w:pPr>
    <w:rPr>
      <w:rFonts w:ascii="Arial" w:eastAsia="Batang" w:hAnsi="Arial" w:cs="Times New Roman"/>
      <w:b/>
      <w:bCs/>
      <w:sz w:val="20"/>
      <w:szCs w:val="20"/>
    </w:rPr>
  </w:style>
  <w:style w:type="paragraph" w:customStyle="1" w:styleId="xl38">
    <w:name w:val="xl38"/>
    <w:basedOn w:val="Normal"/>
    <w:rsid w:val="0054501E"/>
    <w:pPr>
      <w:pBdr>
        <w:bottom w:val="single" w:sz="12" w:space="0" w:color="FFFFFF"/>
        <w:right w:val="single" w:sz="12" w:space="0" w:color="FFFFFF"/>
      </w:pBdr>
      <w:shd w:val="clear" w:color="auto" w:fill="FFCC00"/>
      <w:spacing w:before="100" w:beforeAutospacing="1" w:after="100" w:afterAutospacing="1" w:line="240" w:lineRule="auto"/>
    </w:pPr>
    <w:rPr>
      <w:rFonts w:ascii="Arial" w:eastAsia="Batang" w:hAnsi="Arial" w:cs="Times New Roman"/>
      <w:b/>
      <w:bCs/>
      <w:sz w:val="20"/>
      <w:szCs w:val="20"/>
    </w:rPr>
  </w:style>
  <w:style w:type="paragraph" w:customStyle="1" w:styleId="xl39">
    <w:name w:val="xl39"/>
    <w:basedOn w:val="Normal"/>
    <w:rsid w:val="0054501E"/>
    <w:pPr>
      <w:pBdr>
        <w:bottom w:val="single" w:sz="12" w:space="0" w:color="FFFFFF"/>
        <w:right w:val="single" w:sz="12" w:space="0" w:color="FFFFFF"/>
      </w:pBdr>
      <w:shd w:val="clear" w:color="auto" w:fill="FFFF00"/>
      <w:spacing w:before="100" w:beforeAutospacing="1" w:after="100" w:afterAutospacing="1" w:line="240" w:lineRule="auto"/>
    </w:pPr>
    <w:rPr>
      <w:rFonts w:ascii="Arial" w:eastAsia="Batang" w:hAnsi="Arial" w:cs="Times New Roman"/>
      <w:b/>
      <w:bCs/>
      <w:sz w:val="20"/>
      <w:szCs w:val="20"/>
    </w:rPr>
  </w:style>
  <w:style w:type="paragraph" w:customStyle="1" w:styleId="xl40">
    <w:name w:val="xl40"/>
    <w:basedOn w:val="Normal"/>
    <w:rsid w:val="0054501E"/>
    <w:pPr>
      <w:pBdr>
        <w:bottom w:val="single" w:sz="12" w:space="0" w:color="FFFFFF"/>
        <w:right w:val="single" w:sz="12" w:space="0" w:color="FFFFFF"/>
      </w:pBdr>
      <w:shd w:val="clear" w:color="auto" w:fill="00FF00"/>
      <w:spacing w:before="100" w:beforeAutospacing="1" w:after="100" w:afterAutospacing="1" w:line="240" w:lineRule="auto"/>
    </w:pPr>
    <w:rPr>
      <w:rFonts w:ascii="Arial" w:eastAsia="Batang" w:hAnsi="Arial" w:cs="Times New Roman"/>
      <w:b/>
      <w:bCs/>
      <w:sz w:val="20"/>
      <w:szCs w:val="20"/>
    </w:rPr>
  </w:style>
  <w:style w:type="paragraph" w:customStyle="1" w:styleId="xl41">
    <w:name w:val="xl41"/>
    <w:basedOn w:val="Normal"/>
    <w:rsid w:val="0054501E"/>
    <w:pPr>
      <w:pBdr>
        <w:bottom w:val="single" w:sz="12" w:space="0" w:color="FFFFFF"/>
        <w:right w:val="single" w:sz="12" w:space="0" w:color="FFFFFF"/>
      </w:pBdr>
      <w:shd w:val="clear" w:color="auto" w:fill="00FFFF"/>
      <w:spacing w:before="100" w:beforeAutospacing="1" w:after="100" w:afterAutospacing="1" w:line="240" w:lineRule="auto"/>
    </w:pPr>
    <w:rPr>
      <w:rFonts w:ascii="Arial" w:eastAsia="Batang" w:hAnsi="Arial" w:cs="Times New Roman"/>
      <w:b/>
      <w:bCs/>
      <w:sz w:val="20"/>
      <w:szCs w:val="20"/>
    </w:rPr>
  </w:style>
  <w:style w:type="paragraph" w:customStyle="1" w:styleId="xl42">
    <w:name w:val="xl42"/>
    <w:basedOn w:val="Normal"/>
    <w:rsid w:val="0054501E"/>
    <w:pPr>
      <w:pBdr>
        <w:bottom w:val="single" w:sz="12" w:space="0" w:color="FFFFFF"/>
        <w:right w:val="single" w:sz="12" w:space="0" w:color="FFFFFF"/>
      </w:pBdr>
      <w:shd w:val="clear" w:color="auto" w:fill="993366"/>
      <w:spacing w:before="100" w:beforeAutospacing="1" w:after="100" w:afterAutospacing="1" w:line="240" w:lineRule="auto"/>
    </w:pPr>
    <w:rPr>
      <w:rFonts w:ascii="Arial" w:eastAsia="Batang" w:hAnsi="Arial" w:cs="Times New Roman"/>
      <w:b/>
      <w:bCs/>
      <w:sz w:val="20"/>
      <w:szCs w:val="20"/>
    </w:rPr>
  </w:style>
  <w:style w:type="paragraph" w:customStyle="1" w:styleId="xl43">
    <w:name w:val="xl43"/>
    <w:basedOn w:val="Normal"/>
    <w:rsid w:val="0054501E"/>
    <w:pPr>
      <w:pBdr>
        <w:bottom w:val="single" w:sz="12" w:space="0" w:color="FFFFFF"/>
        <w:right w:val="single" w:sz="12" w:space="0" w:color="FFFFFF"/>
      </w:pBdr>
      <w:shd w:val="clear" w:color="auto" w:fill="FF6600"/>
      <w:spacing w:before="100" w:beforeAutospacing="1" w:after="100" w:afterAutospacing="1" w:line="240" w:lineRule="auto"/>
    </w:pPr>
    <w:rPr>
      <w:rFonts w:ascii="Arial" w:eastAsia="Batang" w:hAnsi="Arial" w:cs="Times New Roman"/>
      <w:b/>
      <w:bCs/>
      <w:sz w:val="20"/>
      <w:szCs w:val="20"/>
    </w:rPr>
  </w:style>
  <w:style w:type="paragraph" w:customStyle="1" w:styleId="xl44">
    <w:name w:val="xl44"/>
    <w:basedOn w:val="Normal"/>
    <w:rsid w:val="0054501E"/>
    <w:pPr>
      <w:pBdr>
        <w:bottom w:val="single" w:sz="12" w:space="0" w:color="FFFFFF"/>
        <w:right w:val="single" w:sz="12" w:space="0" w:color="FFFFFF"/>
      </w:pBdr>
      <w:shd w:val="clear" w:color="auto" w:fill="FF99CC"/>
      <w:spacing w:before="100" w:beforeAutospacing="1" w:after="100" w:afterAutospacing="1" w:line="240" w:lineRule="auto"/>
    </w:pPr>
    <w:rPr>
      <w:rFonts w:ascii="Arial" w:eastAsia="Batang" w:hAnsi="Arial" w:cs="Times New Roman"/>
      <w:b/>
      <w:bCs/>
      <w:sz w:val="20"/>
      <w:szCs w:val="20"/>
    </w:rPr>
  </w:style>
  <w:style w:type="paragraph" w:customStyle="1" w:styleId="xl45">
    <w:name w:val="xl45"/>
    <w:basedOn w:val="Normal"/>
    <w:rsid w:val="0054501E"/>
    <w:pPr>
      <w:pBdr>
        <w:bottom w:val="single" w:sz="12" w:space="0" w:color="FFFFFF"/>
        <w:right w:val="single" w:sz="12" w:space="0" w:color="FFFFFF"/>
      </w:pBdr>
      <w:shd w:val="clear" w:color="auto" w:fill="3366FF"/>
      <w:spacing w:before="100" w:beforeAutospacing="1" w:after="100" w:afterAutospacing="1" w:line="240" w:lineRule="auto"/>
    </w:pPr>
    <w:rPr>
      <w:rFonts w:ascii="Arial" w:eastAsia="Batang" w:hAnsi="Arial" w:cs="Times New Roman"/>
      <w:b/>
      <w:bCs/>
      <w:sz w:val="20"/>
      <w:szCs w:val="20"/>
    </w:rPr>
  </w:style>
  <w:style w:type="paragraph" w:customStyle="1" w:styleId="xl46">
    <w:name w:val="xl46"/>
    <w:basedOn w:val="Normal"/>
    <w:rsid w:val="0054501E"/>
    <w:pPr>
      <w:pBdr>
        <w:bottom w:val="single" w:sz="12" w:space="0" w:color="FFFFFF"/>
        <w:right w:val="single" w:sz="12" w:space="0" w:color="FFFFFF"/>
      </w:pBdr>
      <w:shd w:val="clear" w:color="auto" w:fill="808000"/>
      <w:spacing w:before="100" w:beforeAutospacing="1" w:after="100" w:afterAutospacing="1" w:line="240" w:lineRule="auto"/>
    </w:pPr>
    <w:rPr>
      <w:rFonts w:ascii="Arial" w:eastAsia="Batang" w:hAnsi="Arial" w:cs="Times New Roman"/>
      <w:b/>
      <w:bCs/>
      <w:sz w:val="20"/>
      <w:szCs w:val="20"/>
    </w:rPr>
  </w:style>
  <w:style w:type="paragraph" w:customStyle="1" w:styleId="xl47">
    <w:name w:val="xl47"/>
    <w:basedOn w:val="Normal"/>
    <w:rsid w:val="0054501E"/>
    <w:pPr>
      <w:pBdr>
        <w:bottom w:val="single" w:sz="12" w:space="0" w:color="FFFFFF"/>
        <w:right w:val="single" w:sz="12" w:space="0" w:color="FFFFFF"/>
      </w:pBdr>
      <w:shd w:val="clear" w:color="auto" w:fill="008000"/>
      <w:spacing w:before="100" w:beforeAutospacing="1" w:after="100" w:afterAutospacing="1" w:line="240" w:lineRule="auto"/>
    </w:pPr>
    <w:rPr>
      <w:rFonts w:ascii="Arial" w:eastAsia="Batang" w:hAnsi="Arial" w:cs="Times New Roman"/>
      <w:b/>
      <w:bCs/>
      <w:sz w:val="20"/>
      <w:szCs w:val="20"/>
    </w:rPr>
  </w:style>
  <w:style w:type="paragraph" w:customStyle="1" w:styleId="xl48">
    <w:name w:val="xl48"/>
    <w:basedOn w:val="Normal"/>
    <w:rsid w:val="0054501E"/>
    <w:pPr>
      <w:pBdr>
        <w:bottom w:val="single" w:sz="12" w:space="0" w:color="FFFFFF"/>
        <w:right w:val="single" w:sz="12" w:space="0" w:color="FFFFFF"/>
      </w:pBdr>
      <w:shd w:val="clear" w:color="auto" w:fill="008080"/>
      <w:spacing w:before="100" w:beforeAutospacing="1" w:after="100" w:afterAutospacing="1" w:line="240" w:lineRule="auto"/>
    </w:pPr>
    <w:rPr>
      <w:rFonts w:ascii="Arial" w:eastAsia="Batang" w:hAnsi="Arial" w:cs="Times New Roman"/>
      <w:b/>
      <w:bCs/>
      <w:sz w:val="20"/>
      <w:szCs w:val="20"/>
    </w:rPr>
  </w:style>
  <w:style w:type="paragraph" w:customStyle="1" w:styleId="xl49">
    <w:name w:val="xl49"/>
    <w:basedOn w:val="Normal"/>
    <w:rsid w:val="0054501E"/>
    <w:pPr>
      <w:pBdr>
        <w:bottom w:val="single" w:sz="12" w:space="0" w:color="FFFFFF"/>
        <w:right w:val="single" w:sz="12" w:space="0" w:color="FFFFFF"/>
      </w:pBdr>
      <w:shd w:val="clear" w:color="auto" w:fill="0000FF"/>
      <w:spacing w:before="100" w:beforeAutospacing="1" w:after="100" w:afterAutospacing="1" w:line="240" w:lineRule="auto"/>
    </w:pPr>
    <w:rPr>
      <w:rFonts w:ascii="Arial" w:eastAsia="Batang" w:hAnsi="Arial" w:cs="Times New Roman"/>
      <w:b/>
      <w:bCs/>
      <w:sz w:val="20"/>
      <w:szCs w:val="20"/>
    </w:rPr>
  </w:style>
  <w:style w:type="paragraph" w:customStyle="1" w:styleId="xl50">
    <w:name w:val="xl50"/>
    <w:basedOn w:val="Normal"/>
    <w:rsid w:val="0054501E"/>
    <w:pPr>
      <w:pBdr>
        <w:bottom w:val="single" w:sz="12" w:space="0" w:color="FFFFFF"/>
        <w:right w:val="single" w:sz="12" w:space="0" w:color="FFFFFF"/>
      </w:pBdr>
      <w:shd w:val="clear" w:color="auto" w:fill="666699"/>
      <w:spacing w:before="100" w:beforeAutospacing="1" w:after="100" w:afterAutospacing="1" w:line="240" w:lineRule="auto"/>
    </w:pPr>
    <w:rPr>
      <w:rFonts w:ascii="Arial" w:eastAsia="Batang" w:hAnsi="Arial" w:cs="Times New Roman"/>
      <w:b/>
      <w:bCs/>
      <w:sz w:val="20"/>
      <w:szCs w:val="20"/>
    </w:rPr>
  </w:style>
  <w:style w:type="paragraph" w:customStyle="1" w:styleId="xl51">
    <w:name w:val="xl51"/>
    <w:basedOn w:val="Normal"/>
    <w:rsid w:val="0054501E"/>
    <w:pPr>
      <w:pBdr>
        <w:bottom w:val="single" w:sz="12" w:space="0" w:color="FFFFFF"/>
        <w:right w:val="single" w:sz="12" w:space="0" w:color="FFFFFF"/>
      </w:pBdr>
      <w:shd w:val="clear" w:color="auto" w:fill="FF0000"/>
      <w:spacing w:before="100" w:beforeAutospacing="1" w:after="100" w:afterAutospacing="1" w:line="240" w:lineRule="auto"/>
    </w:pPr>
    <w:rPr>
      <w:rFonts w:ascii="Arial" w:eastAsia="Batang" w:hAnsi="Arial" w:cs="Times New Roman"/>
      <w:b/>
      <w:bCs/>
      <w:sz w:val="20"/>
      <w:szCs w:val="20"/>
    </w:rPr>
  </w:style>
  <w:style w:type="paragraph" w:customStyle="1" w:styleId="xl52">
    <w:name w:val="xl52"/>
    <w:basedOn w:val="Normal"/>
    <w:rsid w:val="0054501E"/>
    <w:pPr>
      <w:pBdr>
        <w:bottom w:val="single" w:sz="12" w:space="0" w:color="FFFFFF"/>
        <w:right w:val="single" w:sz="12" w:space="0" w:color="FFFFFF"/>
      </w:pBdr>
      <w:shd w:val="clear" w:color="auto" w:fill="FF9900"/>
      <w:spacing w:before="100" w:beforeAutospacing="1" w:after="100" w:afterAutospacing="1" w:line="240" w:lineRule="auto"/>
    </w:pPr>
    <w:rPr>
      <w:rFonts w:ascii="Arial" w:eastAsia="Batang" w:hAnsi="Arial" w:cs="Times New Roman"/>
      <w:b/>
      <w:bCs/>
      <w:sz w:val="20"/>
      <w:szCs w:val="20"/>
    </w:rPr>
  </w:style>
  <w:style w:type="paragraph" w:customStyle="1" w:styleId="xl53">
    <w:name w:val="xl53"/>
    <w:basedOn w:val="Normal"/>
    <w:rsid w:val="0054501E"/>
    <w:pPr>
      <w:pBdr>
        <w:bottom w:val="single" w:sz="12" w:space="0" w:color="FFFFFF"/>
        <w:right w:val="single" w:sz="12" w:space="0" w:color="FFFFFF"/>
      </w:pBdr>
      <w:shd w:val="clear" w:color="auto" w:fill="C0C0C0"/>
      <w:spacing w:before="100" w:beforeAutospacing="1" w:after="100" w:afterAutospacing="1" w:line="240" w:lineRule="auto"/>
      <w:jc w:val="center"/>
    </w:pPr>
    <w:rPr>
      <w:rFonts w:ascii="Arial" w:eastAsia="Batang" w:hAnsi="Arial" w:cs="Times New Roman"/>
      <w:sz w:val="16"/>
      <w:szCs w:val="16"/>
    </w:rPr>
  </w:style>
  <w:style w:type="paragraph" w:customStyle="1" w:styleId="xl54">
    <w:name w:val="xl54"/>
    <w:basedOn w:val="Normal"/>
    <w:rsid w:val="0054501E"/>
    <w:pPr>
      <w:pBdr>
        <w:bottom w:val="single" w:sz="12" w:space="0" w:color="FFFFFF"/>
        <w:right w:val="single" w:sz="12" w:space="0" w:color="FFFFFF"/>
      </w:pBdr>
      <w:shd w:val="clear" w:color="auto" w:fill="C0C0C0"/>
      <w:spacing w:before="100" w:beforeAutospacing="1" w:after="100" w:afterAutospacing="1" w:line="240" w:lineRule="auto"/>
    </w:pPr>
    <w:rPr>
      <w:rFonts w:ascii="Arial" w:eastAsia="Batang" w:hAnsi="Arial" w:cs="Times New Roman"/>
      <w:sz w:val="20"/>
      <w:szCs w:val="20"/>
    </w:rPr>
  </w:style>
  <w:style w:type="paragraph" w:customStyle="1" w:styleId="xl55">
    <w:name w:val="xl55"/>
    <w:basedOn w:val="Normal"/>
    <w:rsid w:val="0054501E"/>
    <w:pPr>
      <w:pBdr>
        <w:bottom w:val="single" w:sz="12" w:space="0" w:color="FFFFFF"/>
        <w:right w:val="single" w:sz="12" w:space="0" w:color="FFFFFF"/>
      </w:pBdr>
      <w:shd w:val="clear" w:color="auto" w:fill="C0C0C0"/>
      <w:spacing w:before="100" w:beforeAutospacing="1" w:after="100" w:afterAutospacing="1" w:line="240" w:lineRule="auto"/>
    </w:pPr>
    <w:rPr>
      <w:rFonts w:ascii="Arial" w:eastAsia="Batang" w:hAnsi="Arial" w:cs="Times New Roman"/>
      <w:b/>
      <w:bCs/>
      <w:sz w:val="20"/>
      <w:szCs w:val="20"/>
    </w:rPr>
  </w:style>
  <w:style w:type="paragraph" w:customStyle="1" w:styleId="xl56">
    <w:name w:val="xl56"/>
    <w:basedOn w:val="Normal"/>
    <w:rsid w:val="0054501E"/>
    <w:pPr>
      <w:pBdr>
        <w:bottom w:val="single" w:sz="12" w:space="0" w:color="FFFFFF"/>
        <w:right w:val="single" w:sz="12" w:space="0" w:color="FFFFFF"/>
      </w:pBdr>
      <w:shd w:val="clear" w:color="auto" w:fill="C0C0C0"/>
      <w:spacing w:before="100" w:beforeAutospacing="1" w:after="100" w:afterAutospacing="1" w:line="240" w:lineRule="auto"/>
    </w:pPr>
    <w:rPr>
      <w:rFonts w:ascii="Arial" w:eastAsia="Batang" w:hAnsi="Arial" w:cs="Times New Roman"/>
      <w:sz w:val="20"/>
      <w:szCs w:val="20"/>
    </w:rPr>
  </w:style>
  <w:style w:type="paragraph" w:customStyle="1" w:styleId="xl57">
    <w:name w:val="xl57"/>
    <w:basedOn w:val="Normal"/>
    <w:rsid w:val="0054501E"/>
    <w:pPr>
      <w:pBdr>
        <w:bottom w:val="single" w:sz="12" w:space="0" w:color="FFFFFF"/>
        <w:right w:val="single" w:sz="12" w:space="0" w:color="FFFFFF"/>
      </w:pBdr>
      <w:shd w:val="clear" w:color="auto" w:fill="969696"/>
      <w:spacing w:before="100" w:beforeAutospacing="1" w:after="100" w:afterAutospacing="1" w:line="240" w:lineRule="auto"/>
      <w:jc w:val="center"/>
    </w:pPr>
    <w:rPr>
      <w:rFonts w:ascii="Arial" w:eastAsia="Batang" w:hAnsi="Arial" w:cs="Times New Roman"/>
      <w:sz w:val="16"/>
      <w:szCs w:val="16"/>
    </w:rPr>
  </w:style>
  <w:style w:type="paragraph" w:customStyle="1" w:styleId="xl58">
    <w:name w:val="xl58"/>
    <w:basedOn w:val="Normal"/>
    <w:rsid w:val="0054501E"/>
    <w:pPr>
      <w:pBdr>
        <w:bottom w:val="single" w:sz="12" w:space="0" w:color="FFFFFF"/>
        <w:right w:val="single" w:sz="12" w:space="0" w:color="FFFFFF"/>
      </w:pBdr>
      <w:shd w:val="clear" w:color="auto" w:fill="969696"/>
      <w:spacing w:before="100" w:beforeAutospacing="1" w:after="100" w:afterAutospacing="1" w:line="240" w:lineRule="auto"/>
    </w:pPr>
    <w:rPr>
      <w:rFonts w:ascii="Arial" w:eastAsia="Batang" w:hAnsi="Arial" w:cs="Times New Roman"/>
      <w:sz w:val="20"/>
      <w:szCs w:val="20"/>
    </w:rPr>
  </w:style>
  <w:style w:type="paragraph" w:customStyle="1" w:styleId="xl59">
    <w:name w:val="xl59"/>
    <w:basedOn w:val="Normal"/>
    <w:rsid w:val="0054501E"/>
    <w:pPr>
      <w:pBdr>
        <w:bottom w:val="single" w:sz="12" w:space="0" w:color="FFFFFF"/>
        <w:right w:val="single" w:sz="12" w:space="0" w:color="FFFFFF"/>
      </w:pBdr>
      <w:shd w:val="clear" w:color="auto" w:fill="969696"/>
      <w:spacing w:before="100" w:beforeAutospacing="1" w:after="100" w:afterAutospacing="1" w:line="240" w:lineRule="auto"/>
    </w:pPr>
    <w:rPr>
      <w:rFonts w:ascii="Arial" w:eastAsia="Batang" w:hAnsi="Arial" w:cs="Times New Roman"/>
      <w:b/>
      <w:bCs/>
      <w:sz w:val="20"/>
      <w:szCs w:val="20"/>
    </w:rPr>
  </w:style>
  <w:style w:type="paragraph" w:customStyle="1" w:styleId="xl60">
    <w:name w:val="xl60"/>
    <w:basedOn w:val="Normal"/>
    <w:rsid w:val="0054501E"/>
    <w:pPr>
      <w:pBdr>
        <w:bottom w:val="single" w:sz="12" w:space="0" w:color="FFFFFF"/>
        <w:right w:val="single" w:sz="12" w:space="0" w:color="FFFFFF"/>
      </w:pBdr>
      <w:shd w:val="clear" w:color="auto" w:fill="969696"/>
      <w:spacing w:before="100" w:beforeAutospacing="1" w:after="100" w:afterAutospacing="1" w:line="240" w:lineRule="auto"/>
    </w:pPr>
    <w:rPr>
      <w:rFonts w:ascii="Arial" w:eastAsia="Batang" w:hAnsi="Arial" w:cs="Times New Roman"/>
      <w:sz w:val="20"/>
      <w:szCs w:val="20"/>
    </w:rPr>
  </w:style>
  <w:style w:type="paragraph" w:customStyle="1" w:styleId="xl61">
    <w:name w:val="xl61"/>
    <w:basedOn w:val="Normal"/>
    <w:rsid w:val="0054501E"/>
    <w:pPr>
      <w:pBdr>
        <w:bottom w:val="single" w:sz="12" w:space="0" w:color="FFFFFF"/>
        <w:right w:val="single" w:sz="12" w:space="0" w:color="FFFFFF"/>
      </w:pBdr>
      <w:shd w:val="clear" w:color="auto" w:fill="C0C0C0"/>
      <w:spacing w:before="100" w:beforeAutospacing="1" w:after="100" w:afterAutospacing="1" w:line="240" w:lineRule="auto"/>
    </w:pPr>
    <w:rPr>
      <w:rFonts w:ascii="Arial" w:eastAsia="Batang" w:hAnsi="Arial" w:cs="Times New Roman"/>
      <w:b/>
      <w:bCs/>
      <w:sz w:val="20"/>
      <w:szCs w:val="20"/>
    </w:rPr>
  </w:style>
  <w:style w:type="paragraph" w:customStyle="1" w:styleId="xl62">
    <w:name w:val="xl62"/>
    <w:basedOn w:val="Normal"/>
    <w:rsid w:val="0054501E"/>
    <w:pPr>
      <w:pBdr>
        <w:bottom w:val="single" w:sz="12" w:space="0" w:color="FFFFFF"/>
        <w:right w:val="single" w:sz="12" w:space="0" w:color="FFFFFF"/>
      </w:pBdr>
      <w:shd w:val="clear" w:color="auto" w:fill="C0C0C0"/>
      <w:spacing w:before="100" w:beforeAutospacing="1" w:after="100" w:afterAutospacing="1" w:line="240" w:lineRule="auto"/>
    </w:pPr>
    <w:rPr>
      <w:rFonts w:ascii="Arial" w:eastAsia="Batang" w:hAnsi="Arial" w:cs="Times New Roman"/>
      <w:b/>
      <w:bCs/>
      <w:sz w:val="20"/>
      <w:szCs w:val="20"/>
    </w:rPr>
  </w:style>
  <w:style w:type="paragraph" w:customStyle="1" w:styleId="xl63">
    <w:name w:val="xl63"/>
    <w:basedOn w:val="Normal"/>
    <w:rsid w:val="0054501E"/>
    <w:pPr>
      <w:pBdr>
        <w:bottom w:val="single" w:sz="12" w:space="0" w:color="FFFFFF"/>
        <w:right w:val="single" w:sz="12" w:space="0" w:color="FFFFFF"/>
      </w:pBdr>
      <w:shd w:val="clear" w:color="auto" w:fill="C0C0C0"/>
      <w:spacing w:before="100" w:beforeAutospacing="1" w:after="100" w:afterAutospacing="1" w:line="240" w:lineRule="auto"/>
    </w:pPr>
    <w:rPr>
      <w:rFonts w:ascii="Arial" w:eastAsia="Batang" w:hAnsi="Arial" w:cs="Times New Roman"/>
      <w:sz w:val="20"/>
      <w:szCs w:val="20"/>
    </w:rPr>
  </w:style>
  <w:style w:type="paragraph" w:customStyle="1" w:styleId="xl64">
    <w:name w:val="xl64"/>
    <w:basedOn w:val="Normal"/>
    <w:rsid w:val="0054501E"/>
    <w:pPr>
      <w:pBdr>
        <w:bottom w:val="single" w:sz="12" w:space="0" w:color="FFFFFF"/>
        <w:right w:val="single" w:sz="12" w:space="0" w:color="FFFFFF"/>
      </w:pBdr>
      <w:shd w:val="clear" w:color="auto" w:fill="969696"/>
      <w:spacing w:before="100" w:beforeAutospacing="1" w:after="100" w:afterAutospacing="1" w:line="240" w:lineRule="auto"/>
    </w:pPr>
    <w:rPr>
      <w:rFonts w:ascii="Arial" w:eastAsia="Batang" w:hAnsi="Arial" w:cs="Times New Roman"/>
      <w:b/>
      <w:bCs/>
      <w:sz w:val="20"/>
      <w:szCs w:val="20"/>
    </w:rPr>
  </w:style>
  <w:style w:type="paragraph" w:customStyle="1" w:styleId="xl65">
    <w:name w:val="xl65"/>
    <w:basedOn w:val="Normal"/>
    <w:rsid w:val="0054501E"/>
    <w:pPr>
      <w:pBdr>
        <w:bottom w:val="single" w:sz="12" w:space="0" w:color="FFFFFF"/>
        <w:right w:val="single" w:sz="12" w:space="0" w:color="FFFFFF"/>
      </w:pBdr>
      <w:shd w:val="clear" w:color="auto" w:fill="969696"/>
      <w:spacing w:before="100" w:beforeAutospacing="1" w:after="100" w:afterAutospacing="1" w:line="240" w:lineRule="auto"/>
    </w:pPr>
    <w:rPr>
      <w:rFonts w:ascii="Arial" w:eastAsia="Batang" w:hAnsi="Arial" w:cs="Times New Roman"/>
      <w:b/>
      <w:bCs/>
      <w:sz w:val="20"/>
      <w:szCs w:val="20"/>
    </w:rPr>
  </w:style>
  <w:style w:type="paragraph" w:customStyle="1" w:styleId="xl66">
    <w:name w:val="xl66"/>
    <w:basedOn w:val="Normal"/>
    <w:rsid w:val="0054501E"/>
    <w:pPr>
      <w:pBdr>
        <w:bottom w:val="single" w:sz="12" w:space="0" w:color="FFFFFF"/>
        <w:right w:val="single" w:sz="12" w:space="0" w:color="FFFFFF"/>
      </w:pBdr>
      <w:shd w:val="clear" w:color="auto" w:fill="969696"/>
      <w:spacing w:before="100" w:beforeAutospacing="1" w:after="100" w:afterAutospacing="1" w:line="240" w:lineRule="auto"/>
    </w:pPr>
    <w:rPr>
      <w:rFonts w:ascii="Arial" w:eastAsia="Batang" w:hAnsi="Arial" w:cs="Times New Roman"/>
      <w:sz w:val="20"/>
      <w:szCs w:val="20"/>
    </w:rPr>
  </w:style>
  <w:style w:type="paragraph" w:customStyle="1" w:styleId="num1">
    <w:name w:val="num1"/>
    <w:basedOn w:val="Normal"/>
    <w:rsid w:val="0054501E"/>
    <w:pPr>
      <w:tabs>
        <w:tab w:val="left" w:pos="-720"/>
      </w:tabs>
      <w:suppressAutoHyphens/>
      <w:spacing w:before="0" w:after="0" w:line="360" w:lineRule="auto"/>
      <w:ind w:firstLine="360"/>
    </w:pPr>
    <w:rPr>
      <w:rFonts w:ascii="Palatino" w:eastAsia="Batang" w:hAnsi="Palatino" w:cs="Times New Roman"/>
      <w:sz w:val="26"/>
      <w:szCs w:val="20"/>
    </w:rPr>
  </w:style>
  <w:style w:type="paragraph" w:customStyle="1" w:styleId="HDR">
    <w:name w:val="HDR"/>
    <w:basedOn w:val="Normal"/>
    <w:rsid w:val="0054501E"/>
    <w:pPr>
      <w:tabs>
        <w:tab w:val="center" w:pos="4608"/>
        <w:tab w:val="right" w:pos="9360"/>
      </w:tabs>
      <w:suppressAutoHyphens/>
      <w:spacing w:before="0" w:after="0" w:line="240" w:lineRule="auto"/>
      <w:jc w:val="both"/>
    </w:pPr>
    <w:rPr>
      <w:rFonts w:ascii="Arial" w:eastAsia="Batang" w:hAnsi="Arial" w:cs="Times New Roman"/>
      <w:sz w:val="20"/>
      <w:szCs w:val="20"/>
    </w:rPr>
  </w:style>
  <w:style w:type="paragraph" w:customStyle="1" w:styleId="FTR">
    <w:name w:val="FTR"/>
    <w:basedOn w:val="Normal"/>
    <w:rsid w:val="0054501E"/>
    <w:pPr>
      <w:tabs>
        <w:tab w:val="right" w:pos="9360"/>
      </w:tabs>
      <w:suppressAutoHyphens/>
      <w:spacing w:before="0" w:after="0" w:line="240" w:lineRule="auto"/>
      <w:jc w:val="both"/>
    </w:pPr>
    <w:rPr>
      <w:rFonts w:ascii="Arial" w:eastAsia="Batang" w:hAnsi="Arial" w:cs="Times New Roman"/>
      <w:sz w:val="20"/>
      <w:szCs w:val="20"/>
    </w:rPr>
  </w:style>
  <w:style w:type="character" w:customStyle="1" w:styleId="SCTChar">
    <w:name w:val="SCT Char"/>
    <w:basedOn w:val="DefaultParagraphFont"/>
    <w:link w:val="SCT"/>
    <w:locked/>
    <w:rsid w:val="0054501E"/>
    <w:rPr>
      <w:rFonts w:ascii="Arial" w:eastAsia="Batang" w:hAnsi="Arial" w:cs="Arial"/>
      <w:b/>
    </w:rPr>
  </w:style>
  <w:style w:type="paragraph" w:customStyle="1" w:styleId="SCT">
    <w:name w:val="SCT"/>
    <w:basedOn w:val="Normal"/>
    <w:next w:val="PRT"/>
    <w:link w:val="SCTChar"/>
    <w:rsid w:val="0054501E"/>
    <w:pPr>
      <w:suppressAutoHyphens/>
      <w:spacing w:before="240" w:after="0" w:line="240" w:lineRule="auto"/>
      <w:jc w:val="center"/>
    </w:pPr>
    <w:rPr>
      <w:rFonts w:ascii="Arial" w:eastAsia="Batang" w:hAnsi="Arial" w:cs="Arial"/>
      <w:b/>
      <w:sz w:val="24"/>
    </w:rPr>
  </w:style>
  <w:style w:type="paragraph" w:customStyle="1" w:styleId="PRT">
    <w:name w:val="PRT"/>
    <w:next w:val="ART"/>
    <w:rsid w:val="0054501E"/>
    <w:pPr>
      <w:suppressAutoHyphens/>
      <w:spacing w:before="240"/>
      <w:outlineLvl w:val="0"/>
    </w:pPr>
    <w:rPr>
      <w:rFonts w:ascii="Arial" w:eastAsia="Batang" w:hAnsi="Arial" w:cs="Times New Roman"/>
      <w:b/>
      <w:caps/>
      <w:sz w:val="20"/>
      <w:szCs w:val="20"/>
    </w:rPr>
  </w:style>
  <w:style w:type="paragraph" w:customStyle="1" w:styleId="ART">
    <w:name w:val="ART"/>
    <w:basedOn w:val="PRT"/>
    <w:next w:val="PR1"/>
    <w:rsid w:val="0054501E"/>
    <w:pPr>
      <w:tabs>
        <w:tab w:val="num" w:pos="720"/>
      </w:tabs>
      <w:ind w:left="720" w:hanging="720"/>
      <w:outlineLvl w:val="1"/>
    </w:pPr>
  </w:style>
  <w:style w:type="paragraph" w:customStyle="1" w:styleId="PR1">
    <w:name w:val="PR1"/>
    <w:basedOn w:val="ART"/>
    <w:rsid w:val="0054501E"/>
    <w:pPr>
      <w:numPr>
        <w:ilvl w:val="2"/>
      </w:numPr>
      <w:tabs>
        <w:tab w:val="num" w:pos="720"/>
      </w:tabs>
      <w:ind w:left="720" w:hanging="720"/>
      <w:outlineLvl w:val="2"/>
    </w:pPr>
    <w:rPr>
      <w:b w:val="0"/>
      <w:caps w:val="0"/>
    </w:rPr>
  </w:style>
  <w:style w:type="paragraph" w:customStyle="1" w:styleId="SUT">
    <w:name w:val="SUT"/>
    <w:basedOn w:val="Normal"/>
    <w:next w:val="PR1"/>
    <w:rsid w:val="0054501E"/>
    <w:pPr>
      <w:suppressAutoHyphens/>
      <w:spacing w:before="240" w:after="0" w:line="240" w:lineRule="auto"/>
      <w:jc w:val="both"/>
      <w:outlineLvl w:val="0"/>
    </w:pPr>
    <w:rPr>
      <w:rFonts w:ascii="Arial" w:eastAsia="Batang" w:hAnsi="Arial" w:cs="Times New Roman"/>
      <w:sz w:val="20"/>
      <w:szCs w:val="20"/>
    </w:rPr>
  </w:style>
  <w:style w:type="paragraph" w:customStyle="1" w:styleId="DST">
    <w:name w:val="DST"/>
    <w:basedOn w:val="Normal"/>
    <w:next w:val="PR1"/>
    <w:rsid w:val="0054501E"/>
    <w:pPr>
      <w:suppressAutoHyphens/>
      <w:spacing w:before="240" w:after="0" w:line="240" w:lineRule="auto"/>
      <w:jc w:val="both"/>
      <w:outlineLvl w:val="0"/>
    </w:pPr>
    <w:rPr>
      <w:rFonts w:ascii="Arial" w:eastAsia="Batang" w:hAnsi="Arial" w:cs="Times New Roman"/>
      <w:sz w:val="20"/>
      <w:szCs w:val="20"/>
    </w:rPr>
  </w:style>
  <w:style w:type="paragraph" w:customStyle="1" w:styleId="PR2">
    <w:name w:val="PR2"/>
    <w:basedOn w:val="PR1"/>
    <w:rsid w:val="0054501E"/>
    <w:pPr>
      <w:numPr>
        <w:ilvl w:val="3"/>
      </w:numPr>
      <w:tabs>
        <w:tab w:val="num" w:pos="720"/>
      </w:tabs>
      <w:spacing w:before="0"/>
      <w:ind w:left="720" w:hanging="720"/>
      <w:outlineLvl w:val="3"/>
    </w:pPr>
  </w:style>
  <w:style w:type="paragraph" w:customStyle="1" w:styleId="PR3">
    <w:name w:val="PR3"/>
    <w:basedOn w:val="PR1"/>
    <w:rsid w:val="0054501E"/>
    <w:pPr>
      <w:numPr>
        <w:ilvl w:val="4"/>
      </w:numPr>
      <w:tabs>
        <w:tab w:val="num" w:pos="720"/>
      </w:tabs>
      <w:spacing w:before="0"/>
      <w:ind w:left="720" w:hanging="720"/>
      <w:outlineLvl w:val="4"/>
    </w:pPr>
  </w:style>
  <w:style w:type="paragraph" w:customStyle="1" w:styleId="PR4">
    <w:name w:val="PR4"/>
    <w:basedOn w:val="PR1"/>
    <w:rsid w:val="0054501E"/>
    <w:pPr>
      <w:numPr>
        <w:ilvl w:val="5"/>
      </w:numPr>
      <w:tabs>
        <w:tab w:val="num" w:pos="720"/>
        <w:tab w:val="left" w:pos="2448"/>
      </w:tabs>
      <w:spacing w:before="0"/>
      <w:ind w:left="720" w:hanging="720"/>
      <w:outlineLvl w:val="5"/>
    </w:pPr>
  </w:style>
  <w:style w:type="paragraph" w:customStyle="1" w:styleId="PR5">
    <w:name w:val="PR5"/>
    <w:basedOn w:val="PR1"/>
    <w:rsid w:val="0054501E"/>
    <w:pPr>
      <w:numPr>
        <w:ilvl w:val="6"/>
      </w:numPr>
      <w:tabs>
        <w:tab w:val="num" w:pos="720"/>
      </w:tabs>
      <w:spacing w:before="0"/>
      <w:ind w:left="720" w:hanging="720"/>
      <w:outlineLvl w:val="6"/>
    </w:pPr>
  </w:style>
  <w:style w:type="paragraph" w:customStyle="1" w:styleId="TB1">
    <w:name w:val="TB1"/>
    <w:basedOn w:val="Normal"/>
    <w:next w:val="PR1"/>
    <w:rsid w:val="0054501E"/>
    <w:pPr>
      <w:suppressAutoHyphens/>
      <w:spacing w:before="240" w:after="0" w:line="240" w:lineRule="auto"/>
      <w:ind w:left="288"/>
      <w:jc w:val="both"/>
    </w:pPr>
    <w:rPr>
      <w:rFonts w:ascii="Arial" w:eastAsia="Batang" w:hAnsi="Arial" w:cs="Times New Roman"/>
      <w:sz w:val="20"/>
      <w:szCs w:val="20"/>
    </w:rPr>
  </w:style>
  <w:style w:type="paragraph" w:customStyle="1" w:styleId="TB2">
    <w:name w:val="TB2"/>
    <w:basedOn w:val="Normal"/>
    <w:next w:val="PR2"/>
    <w:rsid w:val="0054501E"/>
    <w:pPr>
      <w:suppressAutoHyphens/>
      <w:spacing w:before="240" w:after="0" w:line="240" w:lineRule="auto"/>
      <w:ind w:left="864"/>
      <w:jc w:val="both"/>
    </w:pPr>
    <w:rPr>
      <w:rFonts w:ascii="Arial" w:eastAsia="Batang" w:hAnsi="Arial" w:cs="Times New Roman"/>
      <w:sz w:val="20"/>
      <w:szCs w:val="20"/>
    </w:rPr>
  </w:style>
  <w:style w:type="paragraph" w:customStyle="1" w:styleId="TB3">
    <w:name w:val="TB3"/>
    <w:basedOn w:val="Normal"/>
    <w:next w:val="PR3"/>
    <w:rsid w:val="0054501E"/>
    <w:pPr>
      <w:suppressAutoHyphens/>
      <w:spacing w:before="240" w:after="0" w:line="240" w:lineRule="auto"/>
      <w:ind w:left="1440"/>
      <w:jc w:val="both"/>
    </w:pPr>
    <w:rPr>
      <w:rFonts w:ascii="Arial" w:eastAsia="Batang" w:hAnsi="Arial" w:cs="Times New Roman"/>
      <w:sz w:val="20"/>
      <w:szCs w:val="20"/>
    </w:rPr>
  </w:style>
  <w:style w:type="paragraph" w:customStyle="1" w:styleId="TB4">
    <w:name w:val="TB4"/>
    <w:basedOn w:val="Normal"/>
    <w:next w:val="PR4"/>
    <w:rsid w:val="0054501E"/>
    <w:pPr>
      <w:suppressAutoHyphens/>
      <w:spacing w:before="240" w:after="0" w:line="240" w:lineRule="auto"/>
      <w:ind w:left="2016"/>
      <w:jc w:val="both"/>
    </w:pPr>
    <w:rPr>
      <w:rFonts w:ascii="Arial" w:eastAsia="Batang" w:hAnsi="Arial" w:cs="Times New Roman"/>
      <w:sz w:val="20"/>
      <w:szCs w:val="20"/>
    </w:rPr>
  </w:style>
  <w:style w:type="paragraph" w:customStyle="1" w:styleId="TB5">
    <w:name w:val="TB5"/>
    <w:basedOn w:val="Normal"/>
    <w:next w:val="PR5"/>
    <w:rsid w:val="0054501E"/>
    <w:pPr>
      <w:suppressAutoHyphens/>
      <w:spacing w:before="240" w:after="0" w:line="240" w:lineRule="auto"/>
      <w:ind w:left="2592"/>
      <w:jc w:val="both"/>
    </w:pPr>
    <w:rPr>
      <w:rFonts w:ascii="Arial" w:eastAsia="Batang" w:hAnsi="Arial" w:cs="Times New Roman"/>
      <w:sz w:val="20"/>
      <w:szCs w:val="20"/>
    </w:rPr>
  </w:style>
  <w:style w:type="paragraph" w:customStyle="1" w:styleId="TF1">
    <w:name w:val="TF1"/>
    <w:basedOn w:val="Normal"/>
    <w:next w:val="TB1"/>
    <w:rsid w:val="0054501E"/>
    <w:pPr>
      <w:suppressAutoHyphens/>
      <w:spacing w:before="240" w:after="0" w:line="240" w:lineRule="auto"/>
      <w:ind w:left="288"/>
      <w:jc w:val="both"/>
    </w:pPr>
    <w:rPr>
      <w:rFonts w:ascii="Arial" w:eastAsia="Batang" w:hAnsi="Arial" w:cs="Times New Roman"/>
      <w:sz w:val="20"/>
      <w:szCs w:val="20"/>
    </w:rPr>
  </w:style>
  <w:style w:type="paragraph" w:customStyle="1" w:styleId="TF2">
    <w:name w:val="TF2"/>
    <w:basedOn w:val="Normal"/>
    <w:next w:val="TB2"/>
    <w:rsid w:val="0054501E"/>
    <w:pPr>
      <w:suppressAutoHyphens/>
      <w:spacing w:before="240" w:after="0" w:line="240" w:lineRule="auto"/>
      <w:ind w:left="864"/>
      <w:jc w:val="both"/>
    </w:pPr>
    <w:rPr>
      <w:rFonts w:ascii="Arial" w:eastAsia="Batang" w:hAnsi="Arial" w:cs="Times New Roman"/>
      <w:sz w:val="20"/>
      <w:szCs w:val="20"/>
    </w:rPr>
  </w:style>
  <w:style w:type="paragraph" w:customStyle="1" w:styleId="TF3">
    <w:name w:val="TF3"/>
    <w:basedOn w:val="Normal"/>
    <w:next w:val="TB3"/>
    <w:rsid w:val="0054501E"/>
    <w:pPr>
      <w:suppressAutoHyphens/>
      <w:spacing w:before="240" w:after="0" w:line="240" w:lineRule="auto"/>
      <w:ind w:left="1440"/>
      <w:jc w:val="both"/>
    </w:pPr>
    <w:rPr>
      <w:rFonts w:ascii="Arial" w:eastAsia="Batang" w:hAnsi="Arial" w:cs="Times New Roman"/>
      <w:sz w:val="20"/>
      <w:szCs w:val="20"/>
    </w:rPr>
  </w:style>
  <w:style w:type="paragraph" w:customStyle="1" w:styleId="TF4">
    <w:name w:val="TF4"/>
    <w:basedOn w:val="Normal"/>
    <w:next w:val="TB4"/>
    <w:rsid w:val="0054501E"/>
    <w:pPr>
      <w:suppressAutoHyphens/>
      <w:spacing w:before="240" w:after="0" w:line="240" w:lineRule="auto"/>
      <w:ind w:left="2016"/>
      <w:jc w:val="both"/>
    </w:pPr>
    <w:rPr>
      <w:rFonts w:ascii="Arial" w:eastAsia="Batang" w:hAnsi="Arial" w:cs="Times New Roman"/>
      <w:sz w:val="20"/>
      <w:szCs w:val="20"/>
    </w:rPr>
  </w:style>
  <w:style w:type="paragraph" w:customStyle="1" w:styleId="TF5">
    <w:name w:val="TF5"/>
    <w:basedOn w:val="Normal"/>
    <w:next w:val="TB5"/>
    <w:rsid w:val="0054501E"/>
    <w:pPr>
      <w:suppressAutoHyphens/>
      <w:spacing w:before="240" w:after="0" w:line="240" w:lineRule="auto"/>
      <w:ind w:left="2592"/>
      <w:jc w:val="both"/>
    </w:pPr>
    <w:rPr>
      <w:rFonts w:ascii="Arial" w:eastAsia="Batang" w:hAnsi="Arial" w:cs="Times New Roman"/>
      <w:sz w:val="20"/>
      <w:szCs w:val="20"/>
    </w:rPr>
  </w:style>
  <w:style w:type="paragraph" w:customStyle="1" w:styleId="TCH">
    <w:name w:val="TCH"/>
    <w:basedOn w:val="Normal"/>
    <w:rsid w:val="0054501E"/>
    <w:pPr>
      <w:suppressAutoHyphens/>
      <w:spacing w:before="0" w:after="0" w:line="240" w:lineRule="auto"/>
    </w:pPr>
    <w:rPr>
      <w:rFonts w:ascii="Arial" w:eastAsia="Batang" w:hAnsi="Arial" w:cs="Times New Roman"/>
      <w:sz w:val="20"/>
      <w:szCs w:val="20"/>
    </w:rPr>
  </w:style>
  <w:style w:type="paragraph" w:customStyle="1" w:styleId="TCE">
    <w:name w:val="TCE"/>
    <w:basedOn w:val="Normal"/>
    <w:rsid w:val="0054501E"/>
    <w:pPr>
      <w:suppressAutoHyphens/>
      <w:spacing w:before="0" w:after="0" w:line="240" w:lineRule="auto"/>
      <w:ind w:left="144" w:hanging="144"/>
    </w:pPr>
    <w:rPr>
      <w:rFonts w:ascii="Arial" w:eastAsia="Batang" w:hAnsi="Arial" w:cs="Times New Roman"/>
      <w:sz w:val="20"/>
      <w:szCs w:val="20"/>
    </w:rPr>
  </w:style>
  <w:style w:type="paragraph" w:customStyle="1" w:styleId="EOS">
    <w:name w:val="EOS"/>
    <w:basedOn w:val="Normal"/>
    <w:rsid w:val="0054501E"/>
    <w:pPr>
      <w:suppressAutoHyphens/>
      <w:spacing w:before="480" w:after="0" w:line="240" w:lineRule="auto"/>
      <w:jc w:val="center"/>
    </w:pPr>
    <w:rPr>
      <w:rFonts w:ascii="Arial" w:eastAsia="Batang" w:hAnsi="Arial" w:cs="Times New Roman"/>
      <w:b/>
      <w:sz w:val="20"/>
      <w:szCs w:val="20"/>
    </w:rPr>
  </w:style>
  <w:style w:type="paragraph" w:customStyle="1" w:styleId="ANT">
    <w:name w:val="ANT"/>
    <w:basedOn w:val="Normal"/>
    <w:rsid w:val="0054501E"/>
    <w:pPr>
      <w:suppressAutoHyphens/>
      <w:spacing w:before="240" w:after="0" w:line="240" w:lineRule="auto"/>
      <w:jc w:val="both"/>
    </w:pPr>
    <w:rPr>
      <w:rFonts w:ascii="Arial" w:eastAsia="Batang" w:hAnsi="Arial" w:cs="Times New Roman"/>
      <w:vanish/>
      <w:color w:val="800080"/>
      <w:sz w:val="20"/>
      <w:szCs w:val="20"/>
      <w:u w:val="single"/>
    </w:rPr>
  </w:style>
  <w:style w:type="paragraph" w:customStyle="1" w:styleId="CMT">
    <w:name w:val="CMT"/>
    <w:basedOn w:val="Normal"/>
    <w:rsid w:val="0054501E"/>
    <w:pPr>
      <w:suppressAutoHyphens/>
      <w:spacing w:before="240" w:after="0" w:line="240" w:lineRule="auto"/>
      <w:jc w:val="both"/>
    </w:pPr>
    <w:rPr>
      <w:rFonts w:ascii="Arial" w:eastAsia="Batang" w:hAnsi="Arial" w:cs="Times New Roman"/>
      <w:vanish/>
      <w:color w:val="0000FF"/>
      <w:sz w:val="20"/>
      <w:szCs w:val="20"/>
    </w:rPr>
  </w:style>
  <w:style w:type="paragraph" w:customStyle="1" w:styleId="PR6">
    <w:name w:val="PR6"/>
    <w:basedOn w:val="PR1"/>
    <w:rsid w:val="0054501E"/>
    <w:pPr>
      <w:numPr>
        <w:ilvl w:val="7"/>
      </w:numPr>
      <w:tabs>
        <w:tab w:val="num" w:pos="720"/>
        <w:tab w:val="left" w:pos="3744"/>
      </w:tabs>
      <w:spacing w:before="0"/>
      <w:ind w:left="720" w:hanging="720"/>
      <w:outlineLvl w:val="7"/>
    </w:pPr>
  </w:style>
  <w:style w:type="paragraph" w:customStyle="1" w:styleId="NAM">
    <w:name w:val="NAM"/>
    <w:basedOn w:val="Normal"/>
    <w:rsid w:val="0054501E"/>
    <w:pPr>
      <w:spacing w:before="0" w:after="0" w:line="240" w:lineRule="auto"/>
      <w:jc w:val="center"/>
    </w:pPr>
    <w:rPr>
      <w:rFonts w:ascii="Arial" w:eastAsia="Batang" w:hAnsi="Arial" w:cs="Times New Roman"/>
      <w:b/>
      <w:caps/>
      <w:sz w:val="20"/>
      <w:szCs w:val="20"/>
    </w:rPr>
  </w:style>
  <w:style w:type="paragraph" w:customStyle="1" w:styleId="NAMFT">
    <w:name w:val="NAMFT"/>
    <w:basedOn w:val="NAM"/>
    <w:rsid w:val="0054501E"/>
    <w:pPr>
      <w:pBdr>
        <w:top w:val="single" w:sz="4" w:space="1" w:color="auto"/>
      </w:pBdr>
      <w:tabs>
        <w:tab w:val="right" w:pos="9360"/>
      </w:tabs>
    </w:pPr>
    <w:rPr>
      <w:b w:val="0"/>
    </w:rPr>
  </w:style>
  <w:style w:type="paragraph" w:customStyle="1" w:styleId="NOT">
    <w:name w:val="NOT"/>
    <w:basedOn w:val="Normal"/>
    <w:rsid w:val="0054501E"/>
    <w:pPr>
      <w:pBdr>
        <w:top w:val="dashDotStroked" w:sz="24" w:space="1" w:color="auto"/>
        <w:bottom w:val="dashDotStroked" w:sz="24" w:space="1" w:color="auto"/>
      </w:pBdr>
      <w:shd w:val="clear" w:color="auto" w:fill="FFCC00"/>
      <w:suppressAutoHyphens/>
      <w:spacing w:before="0" w:after="0" w:line="240" w:lineRule="auto"/>
    </w:pPr>
    <w:rPr>
      <w:rFonts w:ascii="Arial" w:eastAsia="Batang" w:hAnsi="Arial" w:cs="Times New Roman"/>
      <w:b/>
      <w:smallCaps/>
      <w:vanish/>
      <w:sz w:val="20"/>
      <w:szCs w:val="20"/>
    </w:rPr>
  </w:style>
  <w:style w:type="paragraph" w:customStyle="1" w:styleId="PR7">
    <w:name w:val="PR7"/>
    <w:basedOn w:val="PR6"/>
    <w:rsid w:val="0054501E"/>
    <w:pPr>
      <w:numPr>
        <w:ilvl w:val="8"/>
      </w:numPr>
      <w:tabs>
        <w:tab w:val="num" w:pos="720"/>
        <w:tab w:val="left" w:pos="4464"/>
      </w:tabs>
      <w:ind w:left="720" w:hanging="720"/>
    </w:pPr>
  </w:style>
  <w:style w:type="paragraph" w:customStyle="1" w:styleId="TBL">
    <w:name w:val="TBL"/>
    <w:rsid w:val="0054501E"/>
    <w:pPr>
      <w:spacing w:before="120" w:after="120"/>
      <w:jc w:val="center"/>
    </w:pPr>
    <w:rPr>
      <w:rFonts w:ascii="Arial" w:eastAsia="Batang" w:hAnsi="Arial" w:cs="Times New Roman"/>
      <w:b/>
      <w:sz w:val="20"/>
      <w:szCs w:val="20"/>
    </w:rPr>
  </w:style>
  <w:style w:type="paragraph" w:customStyle="1" w:styleId="OmniPage1">
    <w:name w:val="OmniPage #1"/>
    <w:basedOn w:val="Normal"/>
    <w:rsid w:val="0054501E"/>
    <w:pPr>
      <w:tabs>
        <w:tab w:val="left" w:pos="5790"/>
        <w:tab w:val="right" w:pos="10303"/>
      </w:tabs>
      <w:spacing w:before="0" w:after="0" w:line="240" w:lineRule="auto"/>
      <w:ind w:left="1155"/>
    </w:pPr>
    <w:rPr>
      <w:rFonts w:ascii="Times New Roman" w:eastAsia="Batang" w:hAnsi="Times New Roman" w:cs="Times New Roman"/>
      <w:sz w:val="20"/>
      <w:szCs w:val="20"/>
    </w:rPr>
  </w:style>
  <w:style w:type="paragraph" w:customStyle="1" w:styleId="OmniPage5">
    <w:name w:val="OmniPage #5"/>
    <w:basedOn w:val="Normal"/>
    <w:rsid w:val="0054501E"/>
    <w:pPr>
      <w:tabs>
        <w:tab w:val="left" w:pos="125"/>
        <w:tab w:val="left" w:pos="175"/>
        <w:tab w:val="right" w:pos="5008"/>
      </w:tabs>
      <w:spacing w:before="0" w:after="0" w:line="240" w:lineRule="auto"/>
      <w:ind w:left="1170"/>
    </w:pPr>
    <w:rPr>
      <w:rFonts w:ascii="Times New Roman" w:eastAsia="Batang" w:hAnsi="Times New Roman" w:cs="Times New Roman"/>
      <w:sz w:val="20"/>
      <w:szCs w:val="20"/>
    </w:rPr>
  </w:style>
  <w:style w:type="paragraph" w:customStyle="1" w:styleId="OmniPage7">
    <w:name w:val="OmniPage #7"/>
    <w:basedOn w:val="Normal"/>
    <w:rsid w:val="0054501E"/>
    <w:pPr>
      <w:tabs>
        <w:tab w:val="right" w:pos="9628"/>
      </w:tabs>
      <w:spacing w:before="0" w:after="0" w:line="240" w:lineRule="auto"/>
      <w:ind w:left="2880"/>
    </w:pPr>
    <w:rPr>
      <w:rFonts w:ascii="Times New Roman" w:eastAsia="Batang" w:hAnsi="Times New Roman" w:cs="Times New Roman"/>
      <w:sz w:val="20"/>
      <w:szCs w:val="20"/>
    </w:rPr>
  </w:style>
  <w:style w:type="paragraph" w:customStyle="1" w:styleId="OmniPage2051">
    <w:name w:val="OmniPage #2051"/>
    <w:basedOn w:val="Normal"/>
    <w:rsid w:val="0054501E"/>
    <w:pPr>
      <w:tabs>
        <w:tab w:val="right" w:pos="7627"/>
      </w:tabs>
      <w:spacing w:before="0" w:after="0" w:line="240" w:lineRule="auto"/>
      <w:ind w:left="4035"/>
    </w:pPr>
    <w:rPr>
      <w:rFonts w:ascii="Times New Roman" w:eastAsia="Batang" w:hAnsi="Times New Roman" w:cs="Times New Roman"/>
      <w:sz w:val="20"/>
      <w:szCs w:val="20"/>
    </w:rPr>
  </w:style>
  <w:style w:type="paragraph" w:customStyle="1" w:styleId="OmniPage2052">
    <w:name w:val="OmniPage #2052"/>
    <w:basedOn w:val="Normal"/>
    <w:rsid w:val="0054501E"/>
    <w:pPr>
      <w:tabs>
        <w:tab w:val="left" w:pos="110"/>
        <w:tab w:val="right" w:pos="2932"/>
      </w:tabs>
      <w:spacing w:before="0" w:after="0" w:line="240" w:lineRule="auto"/>
      <w:ind w:left="1155"/>
    </w:pPr>
    <w:rPr>
      <w:rFonts w:ascii="Times New Roman" w:eastAsia="Batang" w:hAnsi="Times New Roman" w:cs="Times New Roman"/>
      <w:sz w:val="20"/>
      <w:szCs w:val="20"/>
    </w:rPr>
  </w:style>
  <w:style w:type="paragraph" w:customStyle="1" w:styleId="OmniPage2061">
    <w:name w:val="OmniPage #2061"/>
    <w:basedOn w:val="Normal"/>
    <w:rsid w:val="0054501E"/>
    <w:pPr>
      <w:tabs>
        <w:tab w:val="right" w:pos="4372"/>
      </w:tabs>
      <w:spacing w:before="0" w:after="0" w:line="240" w:lineRule="auto"/>
      <w:ind w:left="1095"/>
    </w:pPr>
    <w:rPr>
      <w:rFonts w:ascii="Times New Roman" w:eastAsia="Batang" w:hAnsi="Times New Roman" w:cs="Times New Roman"/>
      <w:sz w:val="20"/>
      <w:szCs w:val="20"/>
    </w:rPr>
  </w:style>
  <w:style w:type="paragraph" w:customStyle="1" w:styleId="OmniPage2062">
    <w:name w:val="OmniPage #2062"/>
    <w:basedOn w:val="Normal"/>
    <w:rsid w:val="0054501E"/>
    <w:pPr>
      <w:tabs>
        <w:tab w:val="right" w:pos="3307"/>
      </w:tabs>
      <w:spacing w:before="0" w:after="0" w:line="240" w:lineRule="auto"/>
      <w:ind w:left="1095"/>
    </w:pPr>
    <w:rPr>
      <w:rFonts w:ascii="Times New Roman" w:eastAsia="Batang" w:hAnsi="Times New Roman" w:cs="Times New Roman"/>
      <w:sz w:val="20"/>
      <w:szCs w:val="20"/>
    </w:rPr>
  </w:style>
  <w:style w:type="paragraph" w:customStyle="1" w:styleId="OmniPage2564">
    <w:name w:val="OmniPage #2564"/>
    <w:basedOn w:val="Normal"/>
    <w:rsid w:val="0054501E"/>
    <w:pPr>
      <w:tabs>
        <w:tab w:val="left" w:pos="50"/>
        <w:tab w:val="left" w:pos="100"/>
        <w:tab w:val="left" w:pos="2970"/>
        <w:tab w:val="right" w:pos="9654"/>
      </w:tabs>
      <w:spacing w:before="0" w:after="0" w:line="240" w:lineRule="auto"/>
      <w:ind w:left="1155"/>
    </w:pPr>
    <w:rPr>
      <w:rFonts w:ascii="Times New Roman" w:eastAsia="Batang" w:hAnsi="Times New Roman" w:cs="Times New Roman"/>
      <w:sz w:val="20"/>
      <w:szCs w:val="20"/>
    </w:rPr>
  </w:style>
  <w:style w:type="paragraph" w:customStyle="1" w:styleId="FIG">
    <w:name w:val="FIG"/>
    <w:rsid w:val="0054501E"/>
    <w:pPr>
      <w:numPr>
        <w:numId w:val="6"/>
      </w:numPr>
    </w:pPr>
    <w:rPr>
      <w:rFonts w:ascii="Arial" w:eastAsia="Batang" w:hAnsi="Arial" w:cs="Times New Roman"/>
      <w:b/>
      <w:sz w:val="20"/>
      <w:szCs w:val="20"/>
    </w:rPr>
  </w:style>
  <w:style w:type="paragraph" w:customStyle="1" w:styleId="Part">
    <w:name w:val="Part"/>
    <w:basedOn w:val="ART"/>
    <w:rsid w:val="0054501E"/>
  </w:style>
  <w:style w:type="paragraph" w:customStyle="1" w:styleId="NormalBold">
    <w:name w:val="Normal Bold"/>
    <w:basedOn w:val="Normal"/>
    <w:rsid w:val="0054501E"/>
    <w:pPr>
      <w:spacing w:before="0" w:after="60" w:line="240" w:lineRule="auto"/>
      <w:jc w:val="both"/>
    </w:pPr>
    <w:rPr>
      <w:rFonts w:ascii="Times New Roman" w:eastAsia="Batang" w:hAnsi="Times New Roman" w:cs="Times New Roman"/>
      <w:b/>
      <w:sz w:val="24"/>
    </w:rPr>
  </w:style>
  <w:style w:type="paragraph" w:customStyle="1" w:styleId="Style3">
    <w:name w:val="Style3"/>
    <w:basedOn w:val="Normal"/>
    <w:rsid w:val="0054501E"/>
    <w:pPr>
      <w:numPr>
        <w:numId w:val="7"/>
      </w:numPr>
      <w:spacing w:before="0" w:after="0" w:line="240" w:lineRule="auto"/>
    </w:pPr>
    <w:rPr>
      <w:rFonts w:ascii="Arial" w:eastAsia="Batang" w:hAnsi="Arial" w:cs="Arial"/>
      <w:sz w:val="24"/>
    </w:rPr>
  </w:style>
  <w:style w:type="paragraph" w:customStyle="1" w:styleId="Normal1">
    <w:name w:val="Normal1"/>
    <w:basedOn w:val="Normal"/>
    <w:rsid w:val="0054501E"/>
    <w:pPr>
      <w:overflowPunct w:val="0"/>
      <w:autoSpaceDE w:val="0"/>
      <w:autoSpaceDN w:val="0"/>
      <w:adjustRightInd w:val="0"/>
      <w:spacing w:before="0" w:line="360" w:lineRule="atLeast"/>
    </w:pPr>
    <w:rPr>
      <w:rFonts w:ascii="Times New Roman" w:eastAsia="Batang" w:hAnsi="Times New Roman" w:cs="Times New Roman"/>
      <w:szCs w:val="20"/>
    </w:rPr>
  </w:style>
  <w:style w:type="paragraph" w:customStyle="1" w:styleId="Pref">
    <w:name w:val="Pref"/>
    <w:basedOn w:val="Normal"/>
    <w:next w:val="Normal"/>
    <w:rsid w:val="0054501E"/>
    <w:pPr>
      <w:keepNext/>
      <w:spacing w:before="240" w:after="360" w:line="240" w:lineRule="auto"/>
      <w:jc w:val="both"/>
      <w:outlineLvl w:val="0"/>
    </w:pPr>
    <w:rPr>
      <w:rFonts w:ascii="Arial" w:eastAsia="Batang" w:hAnsi="Arial" w:cs="Arial"/>
      <w:bCs/>
      <w:kern w:val="32"/>
      <w:sz w:val="32"/>
      <w:szCs w:val="32"/>
    </w:rPr>
  </w:style>
  <w:style w:type="character" w:customStyle="1" w:styleId="SECCharChar">
    <w:name w:val="SEC Char Char"/>
    <w:basedOn w:val="DefaultParagraphFont"/>
    <w:link w:val="SEC"/>
    <w:locked/>
    <w:rsid w:val="0054501E"/>
    <w:rPr>
      <w:rFonts w:ascii="Arial" w:eastAsia="Batang" w:hAnsi="Arial"/>
      <w:b/>
      <w:sz w:val="28"/>
    </w:rPr>
  </w:style>
  <w:style w:type="paragraph" w:customStyle="1" w:styleId="SEC">
    <w:name w:val="SEC"/>
    <w:basedOn w:val="Normal"/>
    <w:next w:val="Normal"/>
    <w:link w:val="SECCharChar"/>
    <w:rsid w:val="0054501E"/>
    <w:pPr>
      <w:numPr>
        <w:ilvl w:val="1"/>
        <w:numId w:val="8"/>
      </w:numPr>
      <w:suppressAutoHyphens/>
      <w:spacing w:before="240" w:after="0" w:line="240" w:lineRule="auto"/>
    </w:pPr>
    <w:rPr>
      <w:rFonts w:ascii="Arial" w:eastAsia="Batang" w:hAnsi="Arial"/>
      <w:b/>
      <w:sz w:val="28"/>
    </w:rPr>
  </w:style>
  <w:style w:type="paragraph" w:customStyle="1" w:styleId="PAR1">
    <w:name w:val="PAR1"/>
    <w:basedOn w:val="Normal"/>
    <w:next w:val="Normal"/>
    <w:rsid w:val="0054501E"/>
    <w:pPr>
      <w:tabs>
        <w:tab w:val="num" w:pos="576"/>
      </w:tabs>
      <w:spacing w:before="240" w:after="60" w:line="240" w:lineRule="auto"/>
      <w:ind w:left="576" w:hanging="576"/>
    </w:pPr>
    <w:rPr>
      <w:rFonts w:ascii="Arial" w:eastAsia="Batang" w:hAnsi="Arial" w:cs="Times New Roman"/>
      <w:b/>
      <w:i/>
      <w:sz w:val="28"/>
    </w:rPr>
  </w:style>
  <w:style w:type="paragraph" w:customStyle="1" w:styleId="Appx">
    <w:name w:val="Appx"/>
    <w:basedOn w:val="Heading1"/>
    <w:rsid w:val="0054501E"/>
    <w:pPr>
      <w:keepLines w:val="0"/>
      <w:pageBreakBefore w:val="0"/>
      <w:numPr>
        <w:numId w:val="0"/>
      </w:numPr>
      <w:spacing w:after="60"/>
    </w:pPr>
    <w:rPr>
      <w:rFonts w:ascii="Arial" w:eastAsia="Batang" w:hAnsi="Arial" w:cs="Arial"/>
      <w:b/>
      <w:bCs/>
      <w:caps w:val="0"/>
      <w:color w:val="auto"/>
      <w:kern w:val="32"/>
      <w:sz w:val="32"/>
      <w:szCs w:val="32"/>
    </w:rPr>
  </w:style>
  <w:style w:type="paragraph" w:customStyle="1" w:styleId="WPSCT">
    <w:name w:val="WPSCT"/>
    <w:basedOn w:val="PRT"/>
    <w:next w:val="ART"/>
    <w:qFormat/>
    <w:rsid w:val="0054501E"/>
    <w:pPr>
      <w:ind w:left="576" w:hanging="576"/>
    </w:pPr>
  </w:style>
  <w:style w:type="paragraph" w:customStyle="1" w:styleId="WPART">
    <w:name w:val="WPART"/>
    <w:basedOn w:val="ART"/>
    <w:qFormat/>
    <w:rsid w:val="0054501E"/>
  </w:style>
  <w:style w:type="paragraph" w:customStyle="1" w:styleId="WPPR1">
    <w:name w:val="WPPR1"/>
    <w:basedOn w:val="PR1"/>
    <w:rsid w:val="0054501E"/>
  </w:style>
  <w:style w:type="paragraph" w:customStyle="1" w:styleId="WPPR2">
    <w:name w:val="WPPR2"/>
    <w:basedOn w:val="PR2"/>
    <w:rsid w:val="0054501E"/>
  </w:style>
  <w:style w:type="paragraph" w:customStyle="1" w:styleId="WPPR3">
    <w:name w:val="WPPR3"/>
    <w:basedOn w:val="PR3"/>
    <w:rsid w:val="0054501E"/>
  </w:style>
  <w:style w:type="paragraph" w:customStyle="1" w:styleId="WPPR4">
    <w:name w:val="WPPR4"/>
    <w:basedOn w:val="PR4"/>
    <w:rsid w:val="0054501E"/>
  </w:style>
  <w:style w:type="paragraph" w:customStyle="1" w:styleId="WPPR5">
    <w:name w:val="WPPR5"/>
    <w:basedOn w:val="PR5"/>
    <w:rsid w:val="0054501E"/>
  </w:style>
  <w:style w:type="paragraph" w:customStyle="1" w:styleId="WPPR6">
    <w:name w:val="WPPR6"/>
    <w:basedOn w:val="PR6"/>
    <w:rsid w:val="0054501E"/>
  </w:style>
  <w:style w:type="paragraph" w:customStyle="1" w:styleId="WPID">
    <w:name w:val="WPID"/>
    <w:basedOn w:val="Normal"/>
    <w:rsid w:val="0054501E"/>
    <w:pPr>
      <w:spacing w:before="0" w:after="0" w:line="240" w:lineRule="auto"/>
      <w:jc w:val="right"/>
    </w:pPr>
    <w:rPr>
      <w:rFonts w:ascii="Arial" w:eastAsia="Batang" w:hAnsi="Arial" w:cs="Arial"/>
      <w:b/>
      <w:sz w:val="48"/>
      <w:szCs w:val="48"/>
    </w:rPr>
  </w:style>
  <w:style w:type="paragraph" w:customStyle="1" w:styleId="Vertical">
    <w:name w:val="Vertical"/>
    <w:basedOn w:val="Normal1"/>
    <w:qFormat/>
    <w:rsid w:val="0054501E"/>
    <w:pPr>
      <w:spacing w:line="240" w:lineRule="auto"/>
      <w:jc w:val="center"/>
    </w:pPr>
    <w:rPr>
      <w:rFonts w:ascii="Arial" w:eastAsia="Times New Roman" w:hAnsi="Arial"/>
      <w:sz w:val="20"/>
    </w:rPr>
  </w:style>
  <w:style w:type="character" w:customStyle="1" w:styleId="SubtitleChar">
    <w:name w:val="Subtitle Char"/>
    <w:rsid w:val="0054501E"/>
    <w:rPr>
      <w:rFonts w:ascii="Arial" w:eastAsia="Times New Roman" w:hAnsi="Arial" w:cs="Times New Roman" w:hint="default"/>
      <w:b/>
      <w:bCs w:val="0"/>
      <w:sz w:val="36"/>
      <w:szCs w:val="24"/>
    </w:rPr>
  </w:style>
  <w:style w:type="character" w:customStyle="1" w:styleId="breadcrumbs">
    <w:name w:val="breadcrumbs"/>
    <w:rsid w:val="0054501E"/>
  </w:style>
  <w:style w:type="character" w:customStyle="1" w:styleId="CPR">
    <w:name w:val="CPR"/>
    <w:basedOn w:val="DefaultParagraphFont"/>
    <w:rsid w:val="0054501E"/>
  </w:style>
  <w:style w:type="character" w:customStyle="1" w:styleId="SPN">
    <w:name w:val="SPN"/>
    <w:basedOn w:val="DefaultParagraphFont"/>
    <w:rsid w:val="0054501E"/>
  </w:style>
  <w:style w:type="character" w:customStyle="1" w:styleId="SPD">
    <w:name w:val="SPD"/>
    <w:basedOn w:val="DefaultParagraphFont"/>
    <w:rsid w:val="0054501E"/>
  </w:style>
  <w:style w:type="character" w:customStyle="1" w:styleId="NUM">
    <w:name w:val="NUM"/>
    <w:basedOn w:val="DefaultParagraphFont"/>
    <w:rsid w:val="0054501E"/>
  </w:style>
  <w:style w:type="character" w:customStyle="1" w:styleId="SI">
    <w:name w:val="SI"/>
    <w:basedOn w:val="DefaultParagraphFont"/>
    <w:rsid w:val="0054501E"/>
    <w:rPr>
      <w:color w:val="auto"/>
    </w:rPr>
  </w:style>
  <w:style w:type="character" w:customStyle="1" w:styleId="IP">
    <w:name w:val="IP"/>
    <w:basedOn w:val="DefaultParagraphFont"/>
    <w:rsid w:val="0054501E"/>
    <w:rPr>
      <w:color w:val="0000FF"/>
    </w:rPr>
  </w:style>
  <w:style w:type="paragraph" w:customStyle="1" w:styleId="textbox">
    <w:name w:val="textbox"/>
    <w:basedOn w:val="Normal"/>
    <w:rsid w:val="000E6DCE"/>
    <w:pPr>
      <w:spacing w:before="100" w:beforeAutospacing="1" w:after="100" w:afterAutospacing="1" w:line="240" w:lineRule="auto"/>
    </w:pPr>
    <w:rPr>
      <w:rFonts w:ascii="Times New Roman" w:eastAsia="Times New Roman" w:hAnsi="Times New Roman" w:cs="Times New Roman"/>
      <w:sz w:val="24"/>
    </w:rPr>
  </w:style>
  <w:style w:type="character" w:styleId="Emphasis">
    <w:name w:val="Emphasis"/>
    <w:basedOn w:val="DefaultParagraphFont"/>
    <w:uiPriority w:val="20"/>
    <w:qFormat/>
    <w:rsid w:val="000E6DCE"/>
    <w:rPr>
      <w:i/>
      <w:iCs/>
    </w:rPr>
  </w:style>
  <w:style w:type="character" w:styleId="PlaceholderText">
    <w:name w:val="Placeholder Text"/>
    <w:basedOn w:val="DefaultParagraphFont"/>
    <w:uiPriority w:val="99"/>
    <w:semiHidden/>
    <w:rsid w:val="00585C27"/>
    <w:rPr>
      <w:color w:val="808080"/>
    </w:rPr>
  </w:style>
  <w:style w:type="paragraph" w:customStyle="1" w:styleId="TableParagraph">
    <w:name w:val="Table Paragraph"/>
    <w:basedOn w:val="Normal"/>
    <w:uiPriority w:val="1"/>
    <w:qFormat/>
    <w:rsid w:val="00575447"/>
    <w:pPr>
      <w:widowControl w:val="0"/>
      <w:spacing w:before="0" w:after="0" w:line="240" w:lineRule="auto"/>
    </w:pPr>
    <w:rPr>
      <w:rFonts w:asciiTheme="minorHAnsi" w:eastAsiaTheme="minorHAnsi"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404091">
      <w:bodyDiv w:val="1"/>
      <w:marLeft w:val="0"/>
      <w:marRight w:val="0"/>
      <w:marTop w:val="0"/>
      <w:marBottom w:val="0"/>
      <w:divBdr>
        <w:top w:val="none" w:sz="0" w:space="0" w:color="auto"/>
        <w:left w:val="none" w:sz="0" w:space="0" w:color="auto"/>
        <w:bottom w:val="none" w:sz="0" w:space="0" w:color="auto"/>
        <w:right w:val="none" w:sz="0" w:space="0" w:color="auto"/>
      </w:divBdr>
    </w:div>
    <w:div w:id="724453248">
      <w:bodyDiv w:val="1"/>
      <w:marLeft w:val="0"/>
      <w:marRight w:val="0"/>
      <w:marTop w:val="0"/>
      <w:marBottom w:val="0"/>
      <w:divBdr>
        <w:top w:val="none" w:sz="0" w:space="0" w:color="auto"/>
        <w:left w:val="none" w:sz="0" w:space="0" w:color="auto"/>
        <w:bottom w:val="none" w:sz="0" w:space="0" w:color="auto"/>
        <w:right w:val="none" w:sz="0" w:space="0" w:color="auto"/>
      </w:divBdr>
    </w:div>
    <w:div w:id="783307194">
      <w:bodyDiv w:val="1"/>
      <w:marLeft w:val="0"/>
      <w:marRight w:val="0"/>
      <w:marTop w:val="0"/>
      <w:marBottom w:val="0"/>
      <w:divBdr>
        <w:top w:val="none" w:sz="0" w:space="0" w:color="auto"/>
        <w:left w:val="none" w:sz="0" w:space="0" w:color="auto"/>
        <w:bottom w:val="none" w:sz="0" w:space="0" w:color="auto"/>
        <w:right w:val="none" w:sz="0" w:space="0" w:color="auto"/>
      </w:divBdr>
    </w:div>
    <w:div w:id="931548127">
      <w:bodyDiv w:val="1"/>
      <w:marLeft w:val="0"/>
      <w:marRight w:val="0"/>
      <w:marTop w:val="0"/>
      <w:marBottom w:val="0"/>
      <w:divBdr>
        <w:top w:val="none" w:sz="0" w:space="0" w:color="auto"/>
        <w:left w:val="none" w:sz="0" w:space="0" w:color="auto"/>
        <w:bottom w:val="none" w:sz="0" w:space="0" w:color="auto"/>
        <w:right w:val="none" w:sz="0" w:space="0" w:color="auto"/>
      </w:divBdr>
    </w:div>
    <w:div w:id="1115293665">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639650">
      <w:bodyDiv w:val="1"/>
      <w:marLeft w:val="0"/>
      <w:marRight w:val="0"/>
      <w:marTop w:val="0"/>
      <w:marBottom w:val="0"/>
      <w:divBdr>
        <w:top w:val="none" w:sz="0" w:space="0" w:color="auto"/>
        <w:left w:val="none" w:sz="0" w:space="0" w:color="auto"/>
        <w:bottom w:val="none" w:sz="0" w:space="0" w:color="auto"/>
        <w:right w:val="none" w:sz="0" w:space="0" w:color="auto"/>
      </w:divBdr>
    </w:div>
    <w:div w:id="1359428289">
      <w:bodyDiv w:val="1"/>
      <w:marLeft w:val="0"/>
      <w:marRight w:val="0"/>
      <w:marTop w:val="0"/>
      <w:marBottom w:val="0"/>
      <w:divBdr>
        <w:top w:val="none" w:sz="0" w:space="0" w:color="auto"/>
        <w:left w:val="none" w:sz="0" w:space="0" w:color="auto"/>
        <w:bottom w:val="none" w:sz="0" w:space="0" w:color="auto"/>
        <w:right w:val="none" w:sz="0" w:space="0" w:color="auto"/>
      </w:divBdr>
    </w:div>
    <w:div w:id="1435318947">
      <w:bodyDiv w:val="1"/>
      <w:marLeft w:val="0"/>
      <w:marRight w:val="0"/>
      <w:marTop w:val="0"/>
      <w:marBottom w:val="0"/>
      <w:divBdr>
        <w:top w:val="none" w:sz="0" w:space="0" w:color="auto"/>
        <w:left w:val="none" w:sz="0" w:space="0" w:color="auto"/>
        <w:bottom w:val="none" w:sz="0" w:space="0" w:color="auto"/>
        <w:right w:val="none" w:sz="0" w:space="0" w:color="auto"/>
      </w:divBdr>
    </w:div>
    <w:div w:id="1477919575">
      <w:bodyDiv w:val="1"/>
      <w:marLeft w:val="0"/>
      <w:marRight w:val="0"/>
      <w:marTop w:val="0"/>
      <w:marBottom w:val="0"/>
      <w:divBdr>
        <w:top w:val="none" w:sz="0" w:space="0" w:color="auto"/>
        <w:left w:val="none" w:sz="0" w:space="0" w:color="auto"/>
        <w:bottom w:val="none" w:sz="0" w:space="0" w:color="auto"/>
        <w:right w:val="none" w:sz="0" w:space="0" w:color="auto"/>
      </w:divBdr>
    </w:div>
    <w:div w:id="1512187027">
      <w:bodyDiv w:val="1"/>
      <w:marLeft w:val="0"/>
      <w:marRight w:val="0"/>
      <w:marTop w:val="0"/>
      <w:marBottom w:val="0"/>
      <w:divBdr>
        <w:top w:val="none" w:sz="0" w:space="0" w:color="auto"/>
        <w:left w:val="none" w:sz="0" w:space="0" w:color="auto"/>
        <w:bottom w:val="none" w:sz="0" w:space="0" w:color="auto"/>
        <w:right w:val="none" w:sz="0" w:space="0" w:color="auto"/>
      </w:divBdr>
    </w:div>
    <w:div w:id="1542595815">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39161153">
      <w:bodyDiv w:val="1"/>
      <w:marLeft w:val="0"/>
      <w:marRight w:val="0"/>
      <w:marTop w:val="0"/>
      <w:marBottom w:val="0"/>
      <w:divBdr>
        <w:top w:val="none" w:sz="0" w:space="0" w:color="auto"/>
        <w:left w:val="none" w:sz="0" w:space="0" w:color="auto"/>
        <w:bottom w:val="none" w:sz="0" w:space="0" w:color="auto"/>
        <w:right w:val="none" w:sz="0" w:space="0" w:color="auto"/>
      </w:divBdr>
    </w:div>
    <w:div w:id="1875649418">
      <w:bodyDiv w:val="1"/>
      <w:marLeft w:val="0"/>
      <w:marRight w:val="0"/>
      <w:marTop w:val="0"/>
      <w:marBottom w:val="0"/>
      <w:divBdr>
        <w:top w:val="none" w:sz="0" w:space="0" w:color="auto"/>
        <w:left w:val="none" w:sz="0" w:space="0" w:color="auto"/>
        <w:bottom w:val="none" w:sz="0" w:space="0" w:color="auto"/>
        <w:right w:val="none" w:sz="0" w:space="0" w:color="auto"/>
      </w:divBdr>
    </w:div>
    <w:div w:id="1971664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B554F-E730-4E9E-B32F-8B92C01FB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217</TotalTime>
  <Pages>24</Pages>
  <Words>7449</Words>
  <Characters>42464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Commercial Dishwasher SWFS002-01</vt:lpstr>
    </vt:vector>
  </TitlesOfParts>
  <Company>Hewlett-Packard</Company>
  <LinksUpToDate>false</LinksUpToDate>
  <CharactersWithSpaces>49814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Dishwasher SWFS002-01</dc:title>
  <dc:creator>Jennifer Holmes</dc:creator>
  <cp:lastModifiedBy>Singh Jr., Harpreet</cp:lastModifiedBy>
  <cp:revision>195</cp:revision>
  <cp:lastPrinted>2019-07-01T19:02:00Z</cp:lastPrinted>
  <dcterms:created xsi:type="dcterms:W3CDTF">2019-07-01T19:02:00Z</dcterms:created>
  <dcterms:modified xsi:type="dcterms:W3CDTF">2021-08-30T22:08:00Z</dcterms:modified>
</cp:coreProperties>
</file>