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DB9" w:rsidRDefault="00361E6C">
      <w:pPr>
        <w:pStyle w:val="BodyText"/>
        <w:ind w:left="4060"/>
        <w:rPr>
          <w:rFonts w:ascii="Times New Roman"/>
          <w:sz w:val="20"/>
        </w:rPr>
      </w:pPr>
      <w:r>
        <w:rPr>
          <w:rFonts w:ascii="Times New Roman"/>
          <w:noProof/>
          <w:sz w:val="20"/>
          <w:lang w:bidi="ar-SA"/>
        </w:rPr>
        <w:drawing>
          <wp:inline distT="0" distB="0" distL="0" distR="0">
            <wp:extent cx="829155"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29155" cy="1399031"/>
                    </a:xfrm>
                    <a:prstGeom prst="rect">
                      <a:avLst/>
                    </a:prstGeom>
                  </pic:spPr>
                </pic:pic>
              </a:graphicData>
            </a:graphic>
          </wp:inline>
        </w:drawing>
      </w:r>
    </w:p>
    <w:p w:rsidR="00DE6DB9" w:rsidRDefault="00DE6DB9">
      <w:pPr>
        <w:pStyle w:val="BodyText"/>
        <w:rPr>
          <w:rFonts w:ascii="Times New Roman"/>
          <w:sz w:val="20"/>
        </w:rPr>
      </w:pPr>
    </w:p>
    <w:p w:rsidR="00DE6DB9" w:rsidRDefault="00DE6DB9">
      <w:pPr>
        <w:pStyle w:val="BodyText"/>
        <w:rPr>
          <w:rFonts w:ascii="Times New Roman"/>
          <w:sz w:val="20"/>
        </w:rPr>
      </w:pPr>
    </w:p>
    <w:p w:rsidR="00DE6DB9" w:rsidRDefault="0088103E">
      <w:pPr>
        <w:pStyle w:val="BodyText"/>
        <w:spacing w:before="6"/>
        <w:rPr>
          <w:rFonts w:ascii="Times New Roman"/>
          <w:sz w:val="20"/>
        </w:rPr>
      </w:pPr>
      <w:r>
        <w:rPr>
          <w:noProof/>
          <w:lang w:bidi="ar-SA"/>
        </w:rPr>
        <mc:AlternateContent>
          <mc:Choice Requires="wps">
            <w:drawing>
              <wp:anchor distT="0" distB="0" distL="0" distR="0" simplePos="0" relativeHeight="251652096" behindDoc="1" locked="0" layoutInCell="1" allowOverlap="1">
                <wp:simplePos x="0" y="0"/>
                <wp:positionH relativeFrom="page">
                  <wp:posOffset>1143000</wp:posOffset>
                </wp:positionH>
                <wp:positionV relativeFrom="paragraph">
                  <wp:posOffset>165735</wp:posOffset>
                </wp:positionV>
                <wp:extent cx="5715000" cy="914400"/>
                <wp:effectExtent l="0" t="3810" r="0" b="0"/>
                <wp:wrapTopAndBottom/>
                <wp:docPr id="2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1E6C" w:rsidRDefault="00361E6C">
                            <w:pPr>
                              <w:spacing w:before="110"/>
                              <w:ind w:right="57"/>
                              <w:jc w:val="center"/>
                              <w:rPr>
                                <w:rFonts w:ascii="Calibri"/>
                                <w:b/>
                                <w:sz w:val="28"/>
                              </w:rPr>
                            </w:pPr>
                            <w:bookmarkStart w:id="0" w:name="COMMERCIAL_REFRIGERATION"/>
                            <w:bookmarkEnd w:id="0"/>
                            <w:r>
                              <w:rPr>
                                <w:rFonts w:ascii="Calibri"/>
                                <w:b/>
                                <w:color w:val="FFFFFF"/>
                                <w:sz w:val="28"/>
                              </w:rPr>
                              <w:t xml:space="preserve">C O </w:t>
                            </w:r>
                            <w:r>
                              <w:rPr>
                                <w:rFonts w:ascii="Calibri"/>
                                <w:b/>
                                <w:color w:val="FFFFFF"/>
                                <w:spacing w:val="39"/>
                                <w:sz w:val="28"/>
                              </w:rPr>
                              <w:t xml:space="preserve">MME </w:t>
                            </w:r>
                            <w:r>
                              <w:rPr>
                                <w:rFonts w:ascii="Calibri"/>
                                <w:b/>
                                <w:color w:val="FFFFFF"/>
                                <w:sz w:val="28"/>
                              </w:rPr>
                              <w:t>R C I A L</w:t>
                            </w:r>
                            <w:r>
                              <w:rPr>
                                <w:rFonts w:ascii="Calibri"/>
                                <w:b/>
                                <w:color w:val="FFFFFF"/>
                                <w:spacing w:val="55"/>
                                <w:sz w:val="28"/>
                              </w:rPr>
                              <w:t xml:space="preserve"> </w:t>
                            </w:r>
                            <w:r>
                              <w:rPr>
                                <w:rFonts w:ascii="Calibri"/>
                                <w:b/>
                                <w:color w:val="FFFFFF"/>
                                <w:spacing w:val="30"/>
                                <w:sz w:val="28"/>
                              </w:rPr>
                              <w:t xml:space="preserve">RE </w:t>
                            </w:r>
                            <w:r>
                              <w:rPr>
                                <w:rFonts w:ascii="Calibri"/>
                                <w:b/>
                                <w:color w:val="FFFFFF"/>
                                <w:sz w:val="28"/>
                              </w:rPr>
                              <w:t xml:space="preserve">F </w:t>
                            </w:r>
                            <w:r>
                              <w:rPr>
                                <w:rFonts w:ascii="Calibri"/>
                                <w:b/>
                                <w:color w:val="FFFFFF"/>
                                <w:spacing w:val="30"/>
                                <w:sz w:val="28"/>
                              </w:rPr>
                              <w:t xml:space="preserve">RI </w:t>
                            </w:r>
                            <w:r>
                              <w:rPr>
                                <w:rFonts w:ascii="Calibri"/>
                                <w:b/>
                                <w:color w:val="FFFFFF"/>
                                <w:sz w:val="28"/>
                              </w:rPr>
                              <w:t xml:space="preserve">G E </w:t>
                            </w:r>
                            <w:r>
                              <w:rPr>
                                <w:rFonts w:ascii="Calibri"/>
                                <w:b/>
                                <w:color w:val="FFFFFF"/>
                                <w:spacing w:val="30"/>
                                <w:sz w:val="28"/>
                              </w:rPr>
                              <w:t xml:space="preserve">RA </w:t>
                            </w:r>
                            <w:r>
                              <w:rPr>
                                <w:rFonts w:ascii="Calibri"/>
                                <w:b/>
                                <w:color w:val="FFFFFF"/>
                                <w:sz w:val="28"/>
                              </w:rPr>
                              <w:t>T I O N</w:t>
                            </w:r>
                          </w:p>
                          <w:p w:rsidR="00361E6C" w:rsidRDefault="00361E6C">
                            <w:pPr>
                              <w:tabs>
                                <w:tab w:val="left" w:pos="4830"/>
                                <w:tab w:val="left" w:pos="5946"/>
                              </w:tabs>
                              <w:spacing w:before="52"/>
                              <w:ind w:right="58"/>
                              <w:jc w:val="center"/>
                              <w:rPr>
                                <w:sz w:val="36"/>
                              </w:rPr>
                            </w:pPr>
                            <w:bookmarkStart w:id="1" w:name="MEDIUM-TEMPERATURE_CASE_DOORS_"/>
                            <w:bookmarkEnd w:id="1"/>
                            <w:r>
                              <w:rPr>
                                <w:color w:val="FFFFFF"/>
                                <w:sz w:val="36"/>
                              </w:rPr>
                              <w:t>M</w:t>
                            </w:r>
                            <w:r>
                              <w:rPr>
                                <w:color w:val="FFFFFF"/>
                                <w:spacing w:val="-21"/>
                                <w:sz w:val="36"/>
                              </w:rPr>
                              <w:t xml:space="preserve"> </w:t>
                            </w:r>
                            <w:r>
                              <w:rPr>
                                <w:color w:val="FFFFFF"/>
                                <w:sz w:val="36"/>
                              </w:rPr>
                              <w:t>E</w:t>
                            </w:r>
                            <w:r>
                              <w:rPr>
                                <w:color w:val="FFFFFF"/>
                                <w:spacing w:val="-23"/>
                                <w:sz w:val="36"/>
                              </w:rPr>
                              <w:t xml:space="preserve"> </w:t>
                            </w:r>
                            <w:r>
                              <w:rPr>
                                <w:color w:val="FFFFFF"/>
                                <w:sz w:val="36"/>
                              </w:rPr>
                              <w:t>D</w:t>
                            </w:r>
                            <w:r>
                              <w:rPr>
                                <w:color w:val="FFFFFF"/>
                                <w:spacing w:val="-22"/>
                                <w:sz w:val="36"/>
                              </w:rPr>
                              <w:t xml:space="preserve"> </w:t>
                            </w:r>
                            <w:r>
                              <w:rPr>
                                <w:color w:val="FFFFFF"/>
                                <w:spacing w:val="30"/>
                                <w:sz w:val="36"/>
                              </w:rPr>
                              <w:t>IU</w:t>
                            </w:r>
                            <w:r>
                              <w:rPr>
                                <w:color w:val="FFFFFF"/>
                                <w:spacing w:val="-23"/>
                                <w:sz w:val="36"/>
                              </w:rPr>
                              <w:t xml:space="preserve"> </w:t>
                            </w:r>
                            <w:r>
                              <w:rPr>
                                <w:color w:val="FFFFFF"/>
                                <w:sz w:val="36"/>
                              </w:rPr>
                              <w:t>M</w:t>
                            </w:r>
                            <w:r>
                              <w:rPr>
                                <w:color w:val="FFFFFF"/>
                                <w:spacing w:val="-21"/>
                                <w:sz w:val="36"/>
                              </w:rPr>
                              <w:t xml:space="preserve"> </w:t>
                            </w:r>
                            <w:r>
                              <w:rPr>
                                <w:color w:val="FFFFFF"/>
                                <w:sz w:val="36"/>
                              </w:rPr>
                              <w:t>-</w:t>
                            </w:r>
                            <w:r>
                              <w:rPr>
                                <w:color w:val="FFFFFF"/>
                                <w:spacing w:val="-22"/>
                                <w:sz w:val="36"/>
                              </w:rPr>
                              <w:t xml:space="preserve"> </w:t>
                            </w:r>
                            <w:r>
                              <w:rPr>
                                <w:color w:val="FFFFFF"/>
                                <w:sz w:val="36"/>
                              </w:rPr>
                              <w:t>T</w:t>
                            </w:r>
                            <w:r>
                              <w:rPr>
                                <w:color w:val="FFFFFF"/>
                                <w:spacing w:val="-21"/>
                                <w:sz w:val="36"/>
                              </w:rPr>
                              <w:t xml:space="preserve"> </w:t>
                            </w:r>
                            <w:r>
                              <w:rPr>
                                <w:color w:val="FFFFFF"/>
                                <w:sz w:val="36"/>
                              </w:rPr>
                              <w:t>E</w:t>
                            </w:r>
                            <w:r>
                              <w:rPr>
                                <w:color w:val="FFFFFF"/>
                                <w:spacing w:val="-23"/>
                                <w:sz w:val="36"/>
                              </w:rPr>
                              <w:t xml:space="preserve"> </w:t>
                            </w:r>
                            <w:r>
                              <w:rPr>
                                <w:color w:val="FFFFFF"/>
                                <w:sz w:val="36"/>
                              </w:rPr>
                              <w:t>M</w:t>
                            </w:r>
                            <w:r>
                              <w:rPr>
                                <w:color w:val="FFFFFF"/>
                                <w:spacing w:val="-21"/>
                                <w:sz w:val="36"/>
                              </w:rPr>
                              <w:t xml:space="preserve"> </w:t>
                            </w:r>
                            <w:r>
                              <w:rPr>
                                <w:color w:val="FFFFFF"/>
                                <w:spacing w:val="29"/>
                                <w:sz w:val="36"/>
                              </w:rPr>
                              <w:t>PE</w:t>
                            </w:r>
                            <w:r>
                              <w:rPr>
                                <w:color w:val="FFFFFF"/>
                                <w:spacing w:val="-23"/>
                                <w:sz w:val="36"/>
                              </w:rPr>
                              <w:t xml:space="preserve"> </w:t>
                            </w:r>
                            <w:r>
                              <w:rPr>
                                <w:color w:val="FFFFFF"/>
                                <w:sz w:val="36"/>
                              </w:rPr>
                              <w:t>R</w:t>
                            </w:r>
                            <w:r>
                              <w:rPr>
                                <w:color w:val="FFFFFF"/>
                                <w:spacing w:val="-21"/>
                                <w:sz w:val="36"/>
                              </w:rPr>
                              <w:t xml:space="preserve"> </w:t>
                            </w:r>
                            <w:r>
                              <w:rPr>
                                <w:color w:val="FFFFFF"/>
                                <w:sz w:val="36"/>
                              </w:rPr>
                              <w:t>A</w:t>
                            </w:r>
                            <w:r>
                              <w:rPr>
                                <w:color w:val="FFFFFF"/>
                                <w:spacing w:val="-21"/>
                                <w:sz w:val="36"/>
                              </w:rPr>
                              <w:t xml:space="preserve"> </w:t>
                            </w:r>
                            <w:r>
                              <w:rPr>
                                <w:color w:val="FFFFFF"/>
                                <w:sz w:val="36"/>
                              </w:rPr>
                              <w:t>T</w:t>
                            </w:r>
                            <w:r>
                              <w:rPr>
                                <w:color w:val="FFFFFF"/>
                                <w:spacing w:val="-21"/>
                                <w:sz w:val="36"/>
                              </w:rPr>
                              <w:t xml:space="preserve"> </w:t>
                            </w:r>
                            <w:r>
                              <w:rPr>
                                <w:color w:val="FFFFFF"/>
                                <w:sz w:val="36"/>
                              </w:rPr>
                              <w:t>U</w:t>
                            </w:r>
                            <w:r>
                              <w:rPr>
                                <w:color w:val="FFFFFF"/>
                                <w:spacing w:val="-23"/>
                                <w:sz w:val="36"/>
                              </w:rPr>
                              <w:t xml:space="preserve"> </w:t>
                            </w:r>
                            <w:r>
                              <w:rPr>
                                <w:color w:val="FFFFFF"/>
                                <w:sz w:val="36"/>
                              </w:rPr>
                              <w:t>R</w:t>
                            </w:r>
                            <w:r>
                              <w:rPr>
                                <w:color w:val="FFFFFF"/>
                                <w:spacing w:val="-21"/>
                                <w:sz w:val="36"/>
                              </w:rPr>
                              <w:t xml:space="preserve"> </w:t>
                            </w:r>
                            <w:r>
                              <w:rPr>
                                <w:color w:val="FFFFFF"/>
                                <w:sz w:val="36"/>
                              </w:rPr>
                              <w:t>E</w:t>
                            </w:r>
                            <w:r>
                              <w:rPr>
                                <w:color w:val="FFFFFF"/>
                                <w:sz w:val="36"/>
                              </w:rPr>
                              <w:tab/>
                              <w:t>C A</w:t>
                            </w:r>
                            <w:r>
                              <w:rPr>
                                <w:color w:val="FFFFFF"/>
                                <w:spacing w:val="-44"/>
                                <w:sz w:val="36"/>
                              </w:rPr>
                              <w:t xml:space="preserve"> </w:t>
                            </w:r>
                            <w:r>
                              <w:rPr>
                                <w:color w:val="FFFFFF"/>
                                <w:sz w:val="36"/>
                              </w:rPr>
                              <w:t>S</w:t>
                            </w:r>
                            <w:r>
                              <w:rPr>
                                <w:color w:val="FFFFFF"/>
                                <w:spacing w:val="-22"/>
                                <w:sz w:val="36"/>
                              </w:rPr>
                              <w:t xml:space="preserve"> </w:t>
                            </w:r>
                            <w:r>
                              <w:rPr>
                                <w:color w:val="FFFFFF"/>
                                <w:sz w:val="36"/>
                              </w:rPr>
                              <w:t>E</w:t>
                            </w:r>
                            <w:r>
                              <w:rPr>
                                <w:color w:val="FFFFFF"/>
                                <w:sz w:val="36"/>
                              </w:rPr>
                              <w:tab/>
                            </w:r>
                            <w:r>
                              <w:rPr>
                                <w:color w:val="FFFFFF"/>
                                <w:spacing w:val="44"/>
                                <w:sz w:val="36"/>
                              </w:rPr>
                              <w:t>DOOR</w:t>
                            </w:r>
                            <w:r>
                              <w:rPr>
                                <w:color w:val="FFFFFF"/>
                                <w:spacing w:val="-21"/>
                                <w:sz w:val="36"/>
                              </w:rPr>
                              <w:t xml:space="preserve"> </w:t>
                            </w:r>
                            <w:r>
                              <w:rPr>
                                <w:color w:val="FFFFFF"/>
                                <w:sz w:val="36"/>
                              </w:rPr>
                              <w:t>S</w:t>
                            </w:r>
                          </w:p>
                          <w:p w:rsidR="00361E6C" w:rsidRDefault="00361E6C">
                            <w:pPr>
                              <w:spacing w:before="79"/>
                              <w:jc w:val="center"/>
                              <w:rPr>
                                <w:sz w:val="32"/>
                              </w:rPr>
                            </w:pPr>
                            <w:bookmarkStart w:id="2" w:name="SWCR015-01"/>
                            <w:bookmarkEnd w:id="2"/>
                            <w:r>
                              <w:rPr>
                                <w:color w:val="FFFFFF"/>
                                <w:sz w:val="32"/>
                              </w:rPr>
                              <w:t>SWCR015-01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90pt;margin-top:13.05pt;width:450pt;height:1in;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" fillcolor="#8dc53e" stroked="f">
                <v:textbox inset="0,0,0,0">
                  <w:txbxContent>
                    <w:p w:rsidR="00361E6C" w:rsidRDefault="00361E6C">
                      <w:pPr>
                        <w:spacing w:before="110"/>
                        <w:ind w:right="57"/>
                        <w:jc w:val="center"/>
                        <w:rPr>
                          <w:rFonts w:ascii="Calibri"/>
                          <w:b/>
                          <w:sz w:val="28"/>
                        </w:rPr>
                      </w:pPr>
                      <w:bookmarkStart w:id="3" w:name="COMMERCIAL_REFRIGERATION"/>
                      <w:bookmarkEnd w:id="3"/>
                      <w:r>
                        <w:rPr>
                          <w:rFonts w:ascii="Calibri"/>
                          <w:b/>
                          <w:color w:val="FFFFFF"/>
                          <w:sz w:val="28"/>
                        </w:rPr>
                        <w:t xml:space="preserve">C O </w:t>
                      </w:r>
                      <w:r>
                        <w:rPr>
                          <w:rFonts w:ascii="Calibri"/>
                          <w:b/>
                          <w:color w:val="FFFFFF"/>
                          <w:spacing w:val="39"/>
                          <w:sz w:val="28"/>
                        </w:rPr>
                        <w:t xml:space="preserve">MME </w:t>
                      </w:r>
                      <w:r>
                        <w:rPr>
                          <w:rFonts w:ascii="Calibri"/>
                          <w:b/>
                          <w:color w:val="FFFFFF"/>
                          <w:sz w:val="28"/>
                        </w:rPr>
                        <w:t>R C I A L</w:t>
                      </w:r>
                      <w:r>
                        <w:rPr>
                          <w:rFonts w:ascii="Calibri"/>
                          <w:b/>
                          <w:color w:val="FFFFFF"/>
                          <w:spacing w:val="55"/>
                          <w:sz w:val="28"/>
                        </w:rPr>
                        <w:t xml:space="preserve"> </w:t>
                      </w:r>
                      <w:r>
                        <w:rPr>
                          <w:rFonts w:ascii="Calibri"/>
                          <w:b/>
                          <w:color w:val="FFFFFF"/>
                          <w:spacing w:val="30"/>
                          <w:sz w:val="28"/>
                        </w:rPr>
                        <w:t xml:space="preserve">RE </w:t>
                      </w:r>
                      <w:r>
                        <w:rPr>
                          <w:rFonts w:ascii="Calibri"/>
                          <w:b/>
                          <w:color w:val="FFFFFF"/>
                          <w:sz w:val="28"/>
                        </w:rPr>
                        <w:t xml:space="preserve">F </w:t>
                      </w:r>
                      <w:r>
                        <w:rPr>
                          <w:rFonts w:ascii="Calibri"/>
                          <w:b/>
                          <w:color w:val="FFFFFF"/>
                          <w:spacing w:val="30"/>
                          <w:sz w:val="28"/>
                        </w:rPr>
                        <w:t xml:space="preserve">RI </w:t>
                      </w:r>
                      <w:r>
                        <w:rPr>
                          <w:rFonts w:ascii="Calibri"/>
                          <w:b/>
                          <w:color w:val="FFFFFF"/>
                          <w:sz w:val="28"/>
                        </w:rPr>
                        <w:t xml:space="preserve">G E </w:t>
                      </w:r>
                      <w:r>
                        <w:rPr>
                          <w:rFonts w:ascii="Calibri"/>
                          <w:b/>
                          <w:color w:val="FFFFFF"/>
                          <w:spacing w:val="30"/>
                          <w:sz w:val="28"/>
                        </w:rPr>
                        <w:t xml:space="preserve">RA </w:t>
                      </w:r>
                      <w:r>
                        <w:rPr>
                          <w:rFonts w:ascii="Calibri"/>
                          <w:b/>
                          <w:color w:val="FFFFFF"/>
                          <w:sz w:val="28"/>
                        </w:rPr>
                        <w:t>T I O N</w:t>
                      </w:r>
                    </w:p>
                    <w:p w:rsidR="00361E6C" w:rsidRDefault="00361E6C">
                      <w:pPr>
                        <w:tabs>
                          <w:tab w:val="left" w:pos="4830"/>
                          <w:tab w:val="left" w:pos="5946"/>
                        </w:tabs>
                        <w:spacing w:before="52"/>
                        <w:ind w:right="58"/>
                        <w:jc w:val="center"/>
                        <w:rPr>
                          <w:sz w:val="36"/>
                        </w:rPr>
                      </w:pPr>
                      <w:bookmarkStart w:id="4" w:name="MEDIUM-TEMPERATURE_CASE_DOORS_"/>
                      <w:bookmarkEnd w:id="4"/>
                      <w:r>
                        <w:rPr>
                          <w:color w:val="FFFFFF"/>
                          <w:sz w:val="36"/>
                        </w:rPr>
                        <w:t>M</w:t>
                      </w:r>
                      <w:r>
                        <w:rPr>
                          <w:color w:val="FFFFFF"/>
                          <w:spacing w:val="-21"/>
                          <w:sz w:val="36"/>
                        </w:rPr>
                        <w:t xml:space="preserve"> </w:t>
                      </w:r>
                      <w:r>
                        <w:rPr>
                          <w:color w:val="FFFFFF"/>
                          <w:sz w:val="36"/>
                        </w:rPr>
                        <w:t>E</w:t>
                      </w:r>
                      <w:r>
                        <w:rPr>
                          <w:color w:val="FFFFFF"/>
                          <w:spacing w:val="-23"/>
                          <w:sz w:val="36"/>
                        </w:rPr>
                        <w:t xml:space="preserve"> </w:t>
                      </w:r>
                      <w:r>
                        <w:rPr>
                          <w:color w:val="FFFFFF"/>
                          <w:sz w:val="36"/>
                        </w:rPr>
                        <w:t>D</w:t>
                      </w:r>
                      <w:r>
                        <w:rPr>
                          <w:color w:val="FFFFFF"/>
                          <w:spacing w:val="-22"/>
                          <w:sz w:val="36"/>
                        </w:rPr>
                        <w:t xml:space="preserve"> </w:t>
                      </w:r>
                      <w:r>
                        <w:rPr>
                          <w:color w:val="FFFFFF"/>
                          <w:spacing w:val="30"/>
                          <w:sz w:val="36"/>
                        </w:rPr>
                        <w:t>IU</w:t>
                      </w:r>
                      <w:r>
                        <w:rPr>
                          <w:color w:val="FFFFFF"/>
                          <w:spacing w:val="-23"/>
                          <w:sz w:val="36"/>
                        </w:rPr>
                        <w:t xml:space="preserve"> </w:t>
                      </w:r>
                      <w:r>
                        <w:rPr>
                          <w:color w:val="FFFFFF"/>
                          <w:sz w:val="36"/>
                        </w:rPr>
                        <w:t>M</w:t>
                      </w:r>
                      <w:r>
                        <w:rPr>
                          <w:color w:val="FFFFFF"/>
                          <w:spacing w:val="-21"/>
                          <w:sz w:val="36"/>
                        </w:rPr>
                        <w:t xml:space="preserve"> </w:t>
                      </w:r>
                      <w:r>
                        <w:rPr>
                          <w:color w:val="FFFFFF"/>
                          <w:sz w:val="36"/>
                        </w:rPr>
                        <w:t>-</w:t>
                      </w:r>
                      <w:r>
                        <w:rPr>
                          <w:color w:val="FFFFFF"/>
                          <w:spacing w:val="-22"/>
                          <w:sz w:val="36"/>
                        </w:rPr>
                        <w:t xml:space="preserve"> </w:t>
                      </w:r>
                      <w:r>
                        <w:rPr>
                          <w:color w:val="FFFFFF"/>
                          <w:sz w:val="36"/>
                        </w:rPr>
                        <w:t>T</w:t>
                      </w:r>
                      <w:r>
                        <w:rPr>
                          <w:color w:val="FFFFFF"/>
                          <w:spacing w:val="-21"/>
                          <w:sz w:val="36"/>
                        </w:rPr>
                        <w:t xml:space="preserve"> </w:t>
                      </w:r>
                      <w:r>
                        <w:rPr>
                          <w:color w:val="FFFFFF"/>
                          <w:sz w:val="36"/>
                        </w:rPr>
                        <w:t>E</w:t>
                      </w:r>
                      <w:r>
                        <w:rPr>
                          <w:color w:val="FFFFFF"/>
                          <w:spacing w:val="-23"/>
                          <w:sz w:val="36"/>
                        </w:rPr>
                        <w:t xml:space="preserve"> </w:t>
                      </w:r>
                      <w:r>
                        <w:rPr>
                          <w:color w:val="FFFFFF"/>
                          <w:sz w:val="36"/>
                        </w:rPr>
                        <w:t>M</w:t>
                      </w:r>
                      <w:r>
                        <w:rPr>
                          <w:color w:val="FFFFFF"/>
                          <w:spacing w:val="-21"/>
                          <w:sz w:val="36"/>
                        </w:rPr>
                        <w:t xml:space="preserve"> </w:t>
                      </w:r>
                      <w:r>
                        <w:rPr>
                          <w:color w:val="FFFFFF"/>
                          <w:spacing w:val="29"/>
                          <w:sz w:val="36"/>
                        </w:rPr>
                        <w:t>PE</w:t>
                      </w:r>
                      <w:r>
                        <w:rPr>
                          <w:color w:val="FFFFFF"/>
                          <w:spacing w:val="-23"/>
                          <w:sz w:val="36"/>
                        </w:rPr>
                        <w:t xml:space="preserve"> </w:t>
                      </w:r>
                      <w:r>
                        <w:rPr>
                          <w:color w:val="FFFFFF"/>
                          <w:sz w:val="36"/>
                        </w:rPr>
                        <w:t>R</w:t>
                      </w:r>
                      <w:r>
                        <w:rPr>
                          <w:color w:val="FFFFFF"/>
                          <w:spacing w:val="-21"/>
                          <w:sz w:val="36"/>
                        </w:rPr>
                        <w:t xml:space="preserve"> </w:t>
                      </w:r>
                      <w:r>
                        <w:rPr>
                          <w:color w:val="FFFFFF"/>
                          <w:sz w:val="36"/>
                        </w:rPr>
                        <w:t>A</w:t>
                      </w:r>
                      <w:r>
                        <w:rPr>
                          <w:color w:val="FFFFFF"/>
                          <w:spacing w:val="-21"/>
                          <w:sz w:val="36"/>
                        </w:rPr>
                        <w:t xml:space="preserve"> </w:t>
                      </w:r>
                      <w:r>
                        <w:rPr>
                          <w:color w:val="FFFFFF"/>
                          <w:sz w:val="36"/>
                        </w:rPr>
                        <w:t>T</w:t>
                      </w:r>
                      <w:r>
                        <w:rPr>
                          <w:color w:val="FFFFFF"/>
                          <w:spacing w:val="-21"/>
                          <w:sz w:val="36"/>
                        </w:rPr>
                        <w:t xml:space="preserve"> </w:t>
                      </w:r>
                      <w:r>
                        <w:rPr>
                          <w:color w:val="FFFFFF"/>
                          <w:sz w:val="36"/>
                        </w:rPr>
                        <w:t>U</w:t>
                      </w:r>
                      <w:r>
                        <w:rPr>
                          <w:color w:val="FFFFFF"/>
                          <w:spacing w:val="-23"/>
                          <w:sz w:val="36"/>
                        </w:rPr>
                        <w:t xml:space="preserve"> </w:t>
                      </w:r>
                      <w:r>
                        <w:rPr>
                          <w:color w:val="FFFFFF"/>
                          <w:sz w:val="36"/>
                        </w:rPr>
                        <w:t>R</w:t>
                      </w:r>
                      <w:r>
                        <w:rPr>
                          <w:color w:val="FFFFFF"/>
                          <w:spacing w:val="-21"/>
                          <w:sz w:val="36"/>
                        </w:rPr>
                        <w:t xml:space="preserve"> </w:t>
                      </w:r>
                      <w:r>
                        <w:rPr>
                          <w:color w:val="FFFFFF"/>
                          <w:sz w:val="36"/>
                        </w:rPr>
                        <w:t>E</w:t>
                      </w:r>
                      <w:r>
                        <w:rPr>
                          <w:color w:val="FFFFFF"/>
                          <w:sz w:val="36"/>
                        </w:rPr>
                        <w:tab/>
                        <w:t>C A</w:t>
                      </w:r>
                      <w:r>
                        <w:rPr>
                          <w:color w:val="FFFFFF"/>
                          <w:spacing w:val="-44"/>
                          <w:sz w:val="36"/>
                        </w:rPr>
                        <w:t xml:space="preserve"> </w:t>
                      </w:r>
                      <w:r>
                        <w:rPr>
                          <w:color w:val="FFFFFF"/>
                          <w:sz w:val="36"/>
                        </w:rPr>
                        <w:t>S</w:t>
                      </w:r>
                      <w:r>
                        <w:rPr>
                          <w:color w:val="FFFFFF"/>
                          <w:spacing w:val="-22"/>
                          <w:sz w:val="36"/>
                        </w:rPr>
                        <w:t xml:space="preserve"> </w:t>
                      </w:r>
                      <w:r>
                        <w:rPr>
                          <w:color w:val="FFFFFF"/>
                          <w:sz w:val="36"/>
                        </w:rPr>
                        <w:t>E</w:t>
                      </w:r>
                      <w:r>
                        <w:rPr>
                          <w:color w:val="FFFFFF"/>
                          <w:sz w:val="36"/>
                        </w:rPr>
                        <w:tab/>
                      </w:r>
                      <w:r>
                        <w:rPr>
                          <w:color w:val="FFFFFF"/>
                          <w:spacing w:val="44"/>
                          <w:sz w:val="36"/>
                        </w:rPr>
                        <w:t>DOOR</w:t>
                      </w:r>
                      <w:r>
                        <w:rPr>
                          <w:color w:val="FFFFFF"/>
                          <w:spacing w:val="-21"/>
                          <w:sz w:val="36"/>
                        </w:rPr>
                        <w:t xml:space="preserve"> </w:t>
                      </w:r>
                      <w:r>
                        <w:rPr>
                          <w:color w:val="FFFFFF"/>
                          <w:sz w:val="36"/>
                        </w:rPr>
                        <w:t>S</w:t>
                      </w:r>
                    </w:p>
                    <w:p w:rsidR="00361E6C" w:rsidRDefault="00361E6C">
                      <w:pPr>
                        <w:spacing w:before="79"/>
                        <w:jc w:val="center"/>
                        <w:rPr>
                          <w:sz w:val="32"/>
                        </w:rPr>
                      </w:pPr>
                      <w:bookmarkStart w:id="5" w:name="SWCR015-01"/>
                      <w:bookmarkEnd w:id="5"/>
                      <w:r>
                        <w:rPr>
                          <w:color w:val="FFFFFF"/>
                          <w:sz w:val="32"/>
                        </w:rPr>
                        <w:t>SWCR015-01</w:t>
                      </w:r>
                    </w:p>
                  </w:txbxContent>
                </v:textbox>
                <w10:wrap type="topAndBottom" anchorx="page"/>
              </v:shape>
            </w:pict>
          </mc:Fallback>
        </mc:AlternateContent>
      </w:r>
    </w:p>
    <w:p w:rsidR="00DE6DB9" w:rsidRDefault="00DE6DB9">
      <w:pPr>
        <w:pStyle w:val="BodyText"/>
        <w:rPr>
          <w:rFonts w:ascii="Times New Roman"/>
          <w:sz w:val="20"/>
        </w:rPr>
      </w:pPr>
    </w:p>
    <w:p w:rsidR="00DE6DB9" w:rsidRDefault="00DE6DB9">
      <w:pPr>
        <w:pStyle w:val="BodyText"/>
        <w:spacing w:before="1"/>
        <w:rPr>
          <w:rFonts w:ascii="Times New Roman"/>
          <w:sz w:val="19"/>
        </w:rPr>
      </w:pPr>
    </w:p>
    <w:p w:rsidR="00DE6DB9" w:rsidRDefault="00361E6C">
      <w:pPr>
        <w:spacing w:before="44"/>
        <w:ind w:left="3907" w:right="4224"/>
        <w:jc w:val="center"/>
        <w:rPr>
          <w:sz w:val="28"/>
        </w:rPr>
      </w:pPr>
      <w:r>
        <w:rPr>
          <w:sz w:val="28"/>
        </w:rPr>
        <w:t>C O N T E N T S</w:t>
      </w:r>
    </w:p>
    <w:sdt>
      <w:sdtPr>
        <w:id w:val="1190949505"/>
        <w:docPartObj>
          <w:docPartGallery w:val="Table of Contents"/>
          <w:docPartUnique/>
        </w:docPartObj>
      </w:sdtPr>
      <w:sdtContent>
        <w:p w:rsidR="00DE6DB9" w:rsidRDefault="00361E6C">
          <w:pPr>
            <w:pStyle w:val="TOC1"/>
            <w:tabs>
              <w:tab w:val="right" w:leader="dot" w:pos="9467"/>
            </w:tabs>
            <w:spacing w:before="118"/>
            <w:ind w:left="480"/>
          </w:pPr>
          <w:r>
            <w:fldChar w:fldCharType="begin"/>
          </w:r>
          <w:r>
            <w:instrText xml:space="preserve">TOC \o "1-1" \h \z \u </w:instrText>
          </w:r>
          <w:r>
            <w:fldChar w:fldCharType="separate"/>
          </w:r>
          <w:hyperlink w:anchor="_TOC_250022" w:history="1">
            <w:r>
              <w:t>Measure</w:t>
            </w:r>
            <w:r>
              <w:rPr>
                <w:spacing w:val="-3"/>
              </w:rPr>
              <w:t xml:space="preserve"> </w:t>
            </w:r>
            <w:r>
              <w:t>Name</w:t>
            </w:r>
            <w:r>
              <w:tab/>
              <w:t>2</w:t>
            </w:r>
          </w:hyperlink>
        </w:p>
        <w:p w:rsidR="00DE6DB9" w:rsidRDefault="00361E6C">
          <w:pPr>
            <w:pStyle w:val="TOC1"/>
            <w:tabs>
              <w:tab w:val="right" w:leader="dot" w:pos="9467"/>
            </w:tabs>
            <w:spacing w:before="1"/>
            <w:ind w:left="480"/>
          </w:pPr>
          <w:hyperlink w:anchor="_TOC_250021" w:history="1">
            <w:r>
              <w:t>Statewide</w:t>
            </w:r>
            <w:r>
              <w:rPr>
                <w:spacing w:val="-2"/>
              </w:rPr>
              <w:t xml:space="preserve"> </w:t>
            </w:r>
            <w:r>
              <w:t>Measure</w:t>
            </w:r>
            <w:r>
              <w:rPr>
                <w:spacing w:val="-1"/>
              </w:rPr>
              <w:t xml:space="preserve"> </w:t>
            </w:r>
            <w:r>
              <w:t>ID</w:t>
            </w:r>
            <w:r>
              <w:tab/>
              <w:t>2</w:t>
            </w:r>
          </w:hyperlink>
        </w:p>
        <w:p w:rsidR="00DE6DB9" w:rsidRDefault="00361E6C">
          <w:pPr>
            <w:pStyle w:val="TOC1"/>
            <w:tabs>
              <w:tab w:val="right" w:leader="dot" w:pos="9467"/>
            </w:tabs>
            <w:ind w:left="480"/>
          </w:pPr>
          <w:hyperlink w:anchor="_TOC_250020" w:history="1">
            <w:r>
              <w:t>Technology</w:t>
            </w:r>
            <w:r>
              <w:rPr>
                <w:spacing w:val="-2"/>
              </w:rPr>
              <w:t xml:space="preserve"> </w:t>
            </w:r>
            <w:r>
              <w:t>Summary</w:t>
            </w:r>
            <w:r>
              <w:tab/>
              <w:t>2</w:t>
            </w:r>
          </w:hyperlink>
        </w:p>
        <w:p w:rsidR="00DE6DB9" w:rsidRDefault="00361E6C">
          <w:pPr>
            <w:pStyle w:val="TOC1"/>
            <w:tabs>
              <w:tab w:val="right" w:leader="dot" w:pos="9467"/>
            </w:tabs>
            <w:ind w:left="480"/>
          </w:pPr>
          <w:hyperlink w:anchor="_TOC_250019" w:history="1">
            <w:r>
              <w:t>Measure</w:t>
            </w:r>
            <w:r>
              <w:rPr>
                <w:spacing w:val="-2"/>
              </w:rPr>
              <w:t xml:space="preserve"> </w:t>
            </w:r>
            <w:r>
              <w:t>Case</w:t>
            </w:r>
            <w:r>
              <w:rPr>
                <w:spacing w:val="-1"/>
              </w:rPr>
              <w:t xml:space="preserve"> </w:t>
            </w:r>
            <w:r>
              <w:t>Description</w:t>
            </w:r>
            <w:r>
              <w:tab/>
              <w:t>3</w:t>
            </w:r>
          </w:hyperlink>
        </w:p>
        <w:p w:rsidR="00DE6DB9" w:rsidRDefault="00361E6C">
          <w:pPr>
            <w:pStyle w:val="TOC1"/>
            <w:tabs>
              <w:tab w:val="right" w:leader="dot" w:pos="9467"/>
            </w:tabs>
            <w:ind w:left="480"/>
          </w:pPr>
          <w:hyperlink w:anchor="_TOC_250018" w:history="1">
            <w:r>
              <w:t>Base</w:t>
            </w:r>
            <w:r>
              <w:rPr>
                <w:spacing w:val="-2"/>
              </w:rPr>
              <w:t xml:space="preserve"> </w:t>
            </w:r>
            <w:r>
              <w:t>Case</w:t>
            </w:r>
            <w:r>
              <w:rPr>
                <w:spacing w:val="-1"/>
              </w:rPr>
              <w:t xml:space="preserve"> </w:t>
            </w:r>
            <w:r>
              <w:t>Description</w:t>
            </w:r>
            <w:r>
              <w:tab/>
              <w:t>3</w:t>
            </w:r>
          </w:hyperlink>
        </w:p>
        <w:p w:rsidR="00DE6DB9" w:rsidRDefault="00361E6C">
          <w:pPr>
            <w:pStyle w:val="TOC1"/>
            <w:tabs>
              <w:tab w:val="right" w:leader="dot" w:pos="9467"/>
            </w:tabs>
            <w:spacing w:line="268" w:lineRule="exact"/>
            <w:ind w:left="480"/>
          </w:pPr>
          <w:hyperlink w:anchor="_TOC_250017" w:history="1">
            <w:r>
              <w:t>Code</w:t>
            </w:r>
            <w:r>
              <w:rPr>
                <w:spacing w:val="-2"/>
              </w:rPr>
              <w:t xml:space="preserve"> </w:t>
            </w:r>
            <w:r>
              <w:t>Requirements</w:t>
            </w:r>
            <w:r>
              <w:tab/>
              <w:t>4</w:t>
            </w:r>
          </w:hyperlink>
        </w:p>
        <w:p w:rsidR="00DE6DB9" w:rsidRDefault="00361E6C">
          <w:pPr>
            <w:pStyle w:val="TOC1"/>
            <w:tabs>
              <w:tab w:val="right" w:leader="dot" w:pos="9467"/>
            </w:tabs>
            <w:spacing w:line="268" w:lineRule="exact"/>
          </w:pPr>
          <w:hyperlink w:anchor="_TOC_250016" w:history="1">
            <w:r>
              <w:t>Normalizing</w:t>
            </w:r>
            <w:r>
              <w:rPr>
                <w:spacing w:val="-1"/>
              </w:rPr>
              <w:t xml:space="preserve"> </w:t>
            </w:r>
            <w:r>
              <w:t>Unit</w:t>
            </w:r>
            <w:r>
              <w:tab/>
              <w:t>4</w:t>
            </w:r>
          </w:hyperlink>
        </w:p>
        <w:p w:rsidR="00DE6DB9" w:rsidRDefault="00361E6C">
          <w:pPr>
            <w:pStyle w:val="TOC1"/>
            <w:tabs>
              <w:tab w:val="right" w:leader="dot" w:pos="9467"/>
            </w:tabs>
          </w:pPr>
          <w:hyperlink w:anchor="_TOC_250015" w:history="1">
            <w:r>
              <w:t>Program Requirements</w:t>
            </w:r>
            <w:r>
              <w:tab/>
              <w:t>4</w:t>
            </w:r>
          </w:hyperlink>
        </w:p>
        <w:p w:rsidR="00DE6DB9" w:rsidRDefault="00361E6C">
          <w:pPr>
            <w:pStyle w:val="TOC1"/>
            <w:tabs>
              <w:tab w:val="right" w:leader="dot" w:pos="9467"/>
            </w:tabs>
          </w:pPr>
          <w:hyperlink w:anchor="_TOC_250014" w:history="1">
            <w:r>
              <w:t>Program Exclusions</w:t>
            </w:r>
            <w:r>
              <w:tab/>
              <w:t>5</w:t>
            </w:r>
          </w:hyperlink>
        </w:p>
        <w:p w:rsidR="00DE6DB9" w:rsidRDefault="00361E6C">
          <w:pPr>
            <w:pStyle w:val="TOC1"/>
            <w:tabs>
              <w:tab w:val="right" w:leader="dot" w:pos="9467"/>
            </w:tabs>
            <w:spacing w:before="1"/>
          </w:pPr>
          <w:hyperlink w:anchor="_TOC_250013" w:history="1">
            <w:r>
              <w:t>Data</w:t>
            </w:r>
            <w:r>
              <w:rPr>
                <w:spacing w:val="-2"/>
              </w:rPr>
              <w:t xml:space="preserve"> </w:t>
            </w:r>
            <w:r>
              <w:t>Collection</w:t>
            </w:r>
            <w:r>
              <w:rPr>
                <w:spacing w:val="1"/>
              </w:rPr>
              <w:t xml:space="preserve"> </w:t>
            </w:r>
            <w:r>
              <w:t>Requirements</w:t>
            </w:r>
            <w:r>
              <w:tab/>
              <w:t>5</w:t>
            </w:r>
          </w:hyperlink>
        </w:p>
        <w:p w:rsidR="00DE6DB9" w:rsidRDefault="00361E6C">
          <w:pPr>
            <w:pStyle w:val="TOC1"/>
            <w:tabs>
              <w:tab w:val="right" w:leader="dot" w:pos="9467"/>
            </w:tabs>
          </w:pPr>
          <w:hyperlink w:anchor="_TOC_250012" w:history="1">
            <w:r>
              <w:t>Use</w:t>
            </w:r>
            <w:r>
              <w:rPr>
                <w:spacing w:val="-2"/>
              </w:rPr>
              <w:t xml:space="preserve"> </w:t>
            </w:r>
            <w:r>
              <w:t>Category</w:t>
            </w:r>
            <w:r>
              <w:tab/>
              <w:t>5</w:t>
            </w:r>
          </w:hyperlink>
        </w:p>
        <w:p w:rsidR="00DE6DB9" w:rsidRDefault="00361E6C">
          <w:pPr>
            <w:pStyle w:val="TOC1"/>
            <w:tabs>
              <w:tab w:val="right" w:leader="dot" w:pos="9467"/>
            </w:tabs>
          </w:pPr>
          <w:hyperlink w:anchor="_TOC_250011" w:history="1">
            <w:r>
              <w:t>Electric</w:t>
            </w:r>
            <w:r>
              <w:rPr>
                <w:spacing w:val="-1"/>
              </w:rPr>
              <w:t xml:space="preserve"> </w:t>
            </w:r>
            <w:r>
              <w:t>Savings</w:t>
            </w:r>
            <w:r>
              <w:rPr>
                <w:spacing w:val="-1"/>
              </w:rPr>
              <w:t xml:space="preserve"> </w:t>
            </w:r>
            <w:r>
              <w:t>(kWh)</w:t>
            </w:r>
            <w:r>
              <w:tab/>
              <w:t>6</w:t>
            </w:r>
          </w:hyperlink>
        </w:p>
        <w:p w:rsidR="00DE6DB9" w:rsidRDefault="00361E6C">
          <w:pPr>
            <w:pStyle w:val="TOC1"/>
            <w:tabs>
              <w:tab w:val="right" w:leader="dot" w:pos="9468"/>
            </w:tabs>
          </w:pPr>
          <w:hyperlink w:anchor="_TOC_250010" w:history="1">
            <w:r>
              <w:t>Peak Electric Demand</w:t>
            </w:r>
            <w:r>
              <w:rPr>
                <w:spacing w:val="1"/>
              </w:rPr>
              <w:t xml:space="preserve"> </w:t>
            </w:r>
            <w:r>
              <w:t>Reduction</w:t>
            </w:r>
            <w:r>
              <w:rPr>
                <w:spacing w:val="1"/>
              </w:rPr>
              <w:t xml:space="preserve"> </w:t>
            </w:r>
            <w:r>
              <w:t>(kW)</w:t>
            </w:r>
            <w:r>
              <w:tab/>
              <w:t>10</w:t>
            </w:r>
          </w:hyperlink>
        </w:p>
        <w:p w:rsidR="00DE6DB9" w:rsidRDefault="00361E6C">
          <w:pPr>
            <w:pStyle w:val="TOC1"/>
            <w:tabs>
              <w:tab w:val="right" w:leader="dot" w:pos="9468"/>
            </w:tabs>
          </w:pPr>
          <w:hyperlink w:anchor="_TOC_250009" w:history="1">
            <w:r>
              <w:t>Gas</w:t>
            </w:r>
            <w:r>
              <w:rPr>
                <w:spacing w:val="-2"/>
              </w:rPr>
              <w:t xml:space="preserve"> </w:t>
            </w:r>
            <w:r>
              <w:t>Savings</w:t>
            </w:r>
            <w:r>
              <w:rPr>
                <w:spacing w:val="-1"/>
              </w:rPr>
              <w:t xml:space="preserve"> </w:t>
            </w:r>
            <w:r>
              <w:t>(Therms)</w:t>
            </w:r>
            <w:r>
              <w:tab/>
              <w:t>11</w:t>
            </w:r>
          </w:hyperlink>
        </w:p>
        <w:p w:rsidR="00DE6DB9" w:rsidRDefault="00361E6C">
          <w:pPr>
            <w:pStyle w:val="TOC1"/>
            <w:tabs>
              <w:tab w:val="right" w:leader="dot" w:pos="9468"/>
            </w:tabs>
            <w:spacing w:line="268" w:lineRule="exact"/>
          </w:pPr>
          <w:hyperlink w:anchor="_TOC_250008" w:history="1">
            <w:r>
              <w:t>Life</w:t>
            </w:r>
            <w:r>
              <w:rPr>
                <w:spacing w:val="-1"/>
              </w:rPr>
              <w:t xml:space="preserve"> </w:t>
            </w:r>
            <w:r>
              <w:t>Cycle</w:t>
            </w:r>
            <w:r>
              <w:tab/>
              <w:t>11</w:t>
            </w:r>
          </w:hyperlink>
        </w:p>
        <w:p w:rsidR="00DE6DB9" w:rsidRDefault="00361E6C">
          <w:pPr>
            <w:pStyle w:val="TOC1"/>
            <w:tabs>
              <w:tab w:val="right" w:leader="dot" w:pos="9468"/>
            </w:tabs>
            <w:spacing w:line="268" w:lineRule="exact"/>
          </w:pPr>
          <w:hyperlink w:anchor="_TOC_250007" w:history="1">
            <w:r>
              <w:t>Base Case Material</w:t>
            </w:r>
            <w:r>
              <w:rPr>
                <w:spacing w:val="-4"/>
              </w:rPr>
              <w:t xml:space="preserve"> </w:t>
            </w:r>
            <w:r>
              <w:t>Cost</w:t>
            </w:r>
            <w:r>
              <w:rPr>
                <w:spacing w:val="-3"/>
              </w:rPr>
              <w:t xml:space="preserve"> </w:t>
            </w:r>
            <w:r>
              <w:t>($/unit)</w:t>
            </w:r>
            <w:r>
              <w:tab/>
              <w:t>12</w:t>
            </w:r>
          </w:hyperlink>
        </w:p>
        <w:p w:rsidR="00DE6DB9" w:rsidRDefault="00361E6C">
          <w:pPr>
            <w:pStyle w:val="TOC1"/>
            <w:tabs>
              <w:tab w:val="right" w:leader="dot" w:pos="9468"/>
            </w:tabs>
            <w:spacing w:before="1"/>
          </w:pPr>
          <w:hyperlink w:anchor="_TOC_250006" w:history="1">
            <w:r>
              <w:t>Measure Case Material</w:t>
            </w:r>
            <w:r>
              <w:rPr>
                <w:spacing w:val="-4"/>
              </w:rPr>
              <w:t xml:space="preserve"> </w:t>
            </w:r>
            <w:r>
              <w:t>Cost ($/unit)</w:t>
            </w:r>
            <w:r>
              <w:tab/>
              <w:t>12</w:t>
            </w:r>
          </w:hyperlink>
        </w:p>
        <w:p w:rsidR="00DE6DB9" w:rsidRDefault="00361E6C">
          <w:pPr>
            <w:pStyle w:val="TOC1"/>
            <w:tabs>
              <w:tab w:val="right" w:leader="dot" w:pos="9468"/>
            </w:tabs>
          </w:pPr>
          <w:hyperlink w:anchor="_TOC_250005" w:history="1">
            <w:r>
              <w:t>Labor</w:t>
            </w:r>
            <w:r>
              <w:rPr>
                <w:spacing w:val="-2"/>
              </w:rPr>
              <w:t xml:space="preserve"> </w:t>
            </w:r>
            <w:r>
              <w:t>Cost</w:t>
            </w:r>
            <w:r>
              <w:rPr>
                <w:spacing w:val="-3"/>
              </w:rPr>
              <w:t xml:space="preserve"> </w:t>
            </w:r>
            <w:r>
              <w:t>($/unit)</w:t>
            </w:r>
            <w:r>
              <w:tab/>
              <w:t>13</w:t>
            </w:r>
          </w:hyperlink>
        </w:p>
        <w:p w:rsidR="00DE6DB9" w:rsidRDefault="00361E6C">
          <w:pPr>
            <w:pStyle w:val="TOC1"/>
            <w:tabs>
              <w:tab w:val="right" w:leader="dot" w:pos="9468"/>
            </w:tabs>
          </w:pPr>
          <w:hyperlink w:anchor="_TOC_250004" w:history="1">
            <w:r>
              <w:t>Net-to-Gross</w:t>
            </w:r>
            <w:r>
              <w:rPr>
                <w:spacing w:val="-2"/>
              </w:rPr>
              <w:t xml:space="preserve"> </w:t>
            </w:r>
            <w:r>
              <w:t>(NTG)</w:t>
            </w:r>
            <w:r>
              <w:tab/>
              <w:t>13</w:t>
            </w:r>
          </w:hyperlink>
        </w:p>
        <w:p w:rsidR="00DE6DB9" w:rsidRDefault="00361E6C">
          <w:pPr>
            <w:pStyle w:val="TOC1"/>
            <w:tabs>
              <w:tab w:val="right" w:leader="dot" w:pos="9468"/>
            </w:tabs>
          </w:pPr>
          <w:hyperlink w:anchor="_TOC_250003" w:history="1">
            <w:r>
              <w:t>Gross Savings Installation Adjustment (GSIA)</w:t>
            </w:r>
            <w:r>
              <w:tab/>
              <w:t>14</w:t>
            </w:r>
          </w:hyperlink>
        </w:p>
        <w:p w:rsidR="00DE6DB9" w:rsidRDefault="00361E6C">
          <w:pPr>
            <w:pStyle w:val="TOC1"/>
            <w:tabs>
              <w:tab w:val="right" w:leader="dot" w:pos="9468"/>
            </w:tabs>
          </w:pPr>
          <w:hyperlink w:anchor="_TOC_250002" w:history="1">
            <w:r>
              <w:t>Non-Energy</w:t>
            </w:r>
            <w:r>
              <w:rPr>
                <w:spacing w:val="-2"/>
              </w:rPr>
              <w:t xml:space="preserve"> </w:t>
            </w:r>
            <w:r>
              <w:t>Impacts</w:t>
            </w:r>
            <w:r>
              <w:tab/>
              <w:t>14</w:t>
            </w:r>
          </w:hyperlink>
        </w:p>
        <w:p w:rsidR="00DE6DB9" w:rsidRDefault="00361E6C">
          <w:pPr>
            <w:pStyle w:val="TOC1"/>
            <w:tabs>
              <w:tab w:val="right" w:leader="dot" w:pos="9468"/>
            </w:tabs>
          </w:pPr>
          <w:hyperlink w:anchor="_TOC_250001" w:history="1">
            <w:r>
              <w:t>DEER</w:t>
            </w:r>
            <w:r>
              <w:rPr>
                <w:spacing w:val="-3"/>
              </w:rPr>
              <w:t xml:space="preserve"> </w:t>
            </w:r>
            <w:r>
              <w:t>Differences</w:t>
            </w:r>
            <w:r>
              <w:rPr>
                <w:spacing w:val="-1"/>
              </w:rPr>
              <w:t xml:space="preserve"> </w:t>
            </w:r>
            <w:r>
              <w:t>Analysis</w:t>
            </w:r>
            <w:r>
              <w:tab/>
              <w:t>14</w:t>
            </w:r>
          </w:hyperlink>
        </w:p>
        <w:p w:rsidR="00DE6DB9" w:rsidRDefault="00361E6C">
          <w:pPr>
            <w:pStyle w:val="TOC1"/>
            <w:tabs>
              <w:tab w:val="right" w:leader="dot" w:pos="9468"/>
            </w:tabs>
            <w:spacing w:before="1"/>
          </w:pPr>
          <w:hyperlink w:anchor="_TOC_250000" w:history="1">
            <w:r>
              <w:t>Revision History</w:t>
            </w:r>
            <w:r>
              <w:tab/>
              <w:t>16</w:t>
            </w:r>
          </w:hyperlink>
        </w:p>
        <w:p w:rsidR="00DE6DB9" w:rsidRDefault="00361E6C">
          <w:r>
            <w:fldChar w:fldCharType="end"/>
          </w:r>
        </w:p>
      </w:sdtContent>
    </w:sdt>
    <w:p w:rsidR="00DE6DB9" w:rsidRDefault="00DE6DB9">
      <w:pPr>
        <w:sectPr w:rsidR="00DE6DB9">
          <w:footerReference w:type="default" r:id="rId9"/>
          <w:type w:val="continuous"/>
          <w:pgSz w:w="12240" w:h="15840"/>
          <w:pgMar w:top="1220" w:right="1080" w:bottom="1320" w:left="1320" w:header="720" w:footer="1129" w:gutter="0"/>
          <w:pgNumType w:start="1"/>
          <w:cols w:space="720"/>
        </w:sectPr>
      </w:pPr>
    </w:p>
    <w:p w:rsidR="00DE6DB9" w:rsidRDefault="00DE6DB9">
      <w:pPr>
        <w:pStyle w:val="BodyText"/>
        <w:spacing w:before="5"/>
        <w:rPr>
          <w:sz w:val="24"/>
        </w:rPr>
      </w:pPr>
    </w:p>
    <w:p w:rsidR="00DE6DB9" w:rsidRDefault="00361E6C">
      <w:pPr>
        <w:pStyle w:val="Heading1"/>
      </w:pPr>
      <w:bookmarkStart w:id="6" w:name="_TOC_250022"/>
      <w:bookmarkEnd w:id="6"/>
      <w:r>
        <w:rPr>
          <w:color w:val="CFAB79"/>
        </w:rPr>
        <w:t>MEASURE NAME</w:t>
      </w:r>
    </w:p>
    <w:p w:rsidR="00DE6DB9" w:rsidRDefault="00361E6C">
      <w:pPr>
        <w:pStyle w:val="BodyText"/>
        <w:spacing w:before="48"/>
        <w:ind w:left="120"/>
      </w:pPr>
      <w:r>
        <w:t>Medium-temperature Display Case Doors</w:t>
      </w:r>
    </w:p>
    <w:p w:rsidR="00DE6DB9" w:rsidRDefault="00DE6DB9">
      <w:pPr>
        <w:pStyle w:val="BodyText"/>
        <w:spacing w:before="11"/>
        <w:rPr>
          <w:sz w:val="29"/>
        </w:rPr>
      </w:pPr>
    </w:p>
    <w:p w:rsidR="00DE6DB9" w:rsidRDefault="00361E6C">
      <w:pPr>
        <w:pStyle w:val="Heading1"/>
      </w:pPr>
      <w:bookmarkStart w:id="7" w:name="_TOC_250021"/>
      <w:bookmarkEnd w:id="7"/>
      <w:r>
        <w:rPr>
          <w:color w:val="CFAB79"/>
        </w:rPr>
        <w:t>STATEWIDE MEASURE ID</w:t>
      </w:r>
    </w:p>
    <w:p w:rsidR="00DE6DB9" w:rsidRDefault="00361E6C">
      <w:pPr>
        <w:pStyle w:val="BodyText"/>
        <w:spacing w:before="120"/>
        <w:ind w:left="120"/>
      </w:pPr>
      <w:r>
        <w:t>SWCR015-01</w:t>
      </w:r>
    </w:p>
    <w:p w:rsidR="00DE6DB9" w:rsidRDefault="00DE6DB9">
      <w:pPr>
        <w:pStyle w:val="BodyText"/>
      </w:pPr>
    </w:p>
    <w:p w:rsidR="00DE6DB9" w:rsidRDefault="00DE6DB9">
      <w:pPr>
        <w:pStyle w:val="BodyText"/>
        <w:spacing w:before="8"/>
        <w:rPr>
          <w:sz w:val="20"/>
        </w:rPr>
      </w:pPr>
    </w:p>
    <w:p w:rsidR="00DE6DB9" w:rsidRDefault="00361E6C">
      <w:pPr>
        <w:pStyle w:val="Heading1"/>
      </w:pPr>
      <w:bookmarkStart w:id="8" w:name="_TOC_250020"/>
      <w:bookmarkEnd w:id="8"/>
      <w:r>
        <w:rPr>
          <w:color w:val="CFAB79"/>
        </w:rPr>
        <w:t>TECHNOLOGY SUMMARY</w:t>
      </w:r>
    </w:p>
    <w:p w:rsidR="00DE6DB9" w:rsidRDefault="00361E6C">
      <w:pPr>
        <w:pStyle w:val="BodyText"/>
        <w:spacing w:before="115"/>
        <w:ind w:left="119" w:right="450"/>
      </w:pPr>
      <w:r>
        <w:t>This measure pertains to the addition of glass doors on an existing medium–temperature, open-vertical, refrigerated display case (also known as an open multi-deck case). Such display cases are heavily represented in a typical supermarket and can also be found in a variety of other food retail settings, such as smaller grocery stores and some large convenience stores. They can be self-contained systems with a refrigeration compressor and condenser built into the case structure, but more commonly they are served by remote compressors and condensers. In supermarkets, the remote compressors are generally arranged into combined suction groups described as a multiplex system.</w:t>
      </w:r>
    </w:p>
    <w:p w:rsidR="00DE6DB9" w:rsidRDefault="00361E6C">
      <w:pPr>
        <w:pStyle w:val="BodyText"/>
        <w:spacing w:before="119"/>
        <w:ind w:left="118" w:right="377"/>
      </w:pPr>
      <w:r>
        <w:t>Several studies have shown that the infiltration, and thus the total refrigeration load, can be significantly reduced by adding glass doors to the existing open cases. One commonly cited lab-test study, conducted by the Southern California Edison Research and Thermal Test Center found that although air curtains help to reduce the infiltration of non-refrigerated air into the case, the infiltration of warm air and moisture is responsible for 70% to 80% of the refrigeration load on open-vertical refrigerated display case.</w:t>
      </w:r>
      <w:hyperlink w:anchor="_bookmark0" w:history="1">
        <w:r>
          <w:rPr>
            <w:vertAlign w:val="superscript"/>
          </w:rPr>
          <w:t>1</w:t>
        </w:r>
      </w:hyperlink>
    </w:p>
    <w:p w:rsidR="00DE6DB9" w:rsidRDefault="00361E6C">
      <w:pPr>
        <w:pStyle w:val="BodyText"/>
        <w:spacing w:before="122"/>
        <w:ind w:left="119" w:right="413"/>
      </w:pPr>
      <w:r>
        <w:t>Additionally, the cooling load attributable to infiltration was reduced by 68%after retrofitting doors on an open display case. This conclusion was based on lab testing conducted with static ambient temperature and humidity levels. The retrofit differed from the measure described in the paper because the added doors included anti-sweat heaters, which introduce an additional cooling load on the refrigeration system.</w:t>
      </w:r>
    </w:p>
    <w:p w:rsidR="00DE6DB9" w:rsidRDefault="00361E6C">
      <w:pPr>
        <w:pStyle w:val="BodyText"/>
        <w:spacing w:before="119"/>
        <w:ind w:left="119" w:right="423"/>
      </w:pPr>
      <w:r>
        <w:t>Another report, based on lab testing, concluded that the cooling load of open cases decreased 66% versus cases without doors or night covers and 53% when compared to an open case with night covers in place at night.</w:t>
      </w:r>
      <w:hyperlink w:anchor="_bookmark1" w:history="1">
        <w:r>
          <w:rPr>
            <w:vertAlign w:val="superscript"/>
          </w:rPr>
          <w:t>2</w:t>
        </w:r>
      </w:hyperlink>
    </w:p>
    <w:p w:rsidR="00DE6DB9" w:rsidRDefault="00361E6C">
      <w:pPr>
        <w:pStyle w:val="BodyText"/>
        <w:spacing w:before="120"/>
        <w:ind w:left="119" w:right="484"/>
      </w:pPr>
      <w:r>
        <w:t>The American Society of Heating, Refrigerating, and Air-Conditioning Engineers (ASHRAE) sponsored a study to compare energy and sales results of open multi-deck compared to reach-in case for medium- temperature applications.</w:t>
      </w:r>
      <w:hyperlink w:anchor="_bookmark2" w:history="1">
        <w:r>
          <w:rPr>
            <w:vertAlign w:val="superscript"/>
          </w:rPr>
          <w:t>3</w:t>
        </w:r>
        <w:r>
          <w:t xml:space="preserve"> </w:t>
        </w:r>
      </w:hyperlink>
      <w:r>
        <w:t>The display cases that were tested held alcoholic beverages and dairy products, and were located in two stores in Kansas. The report summary showed an 18% reduction in energy, using calculated compressor savings and measured refrigeration load. Even though this research</w:t>
      </w:r>
    </w:p>
    <w:p w:rsidR="00DE6DB9" w:rsidRDefault="00DE6DB9">
      <w:pPr>
        <w:pStyle w:val="BodyText"/>
        <w:rPr>
          <w:sz w:val="20"/>
        </w:rPr>
      </w:pPr>
    </w:p>
    <w:p w:rsidR="00DE6DB9" w:rsidRDefault="0088103E">
      <w:pPr>
        <w:pStyle w:val="BodyText"/>
        <w:spacing w:before="11"/>
        <w:rPr>
          <w:sz w:val="13"/>
        </w:rPr>
      </w:pPr>
      <w:r>
        <w:rPr>
          <w:noProof/>
          <w:lang w:bidi="ar-SA"/>
        </w:rPr>
        <mc:AlternateContent>
          <mc:Choice Requires="wps">
            <w:drawing>
              <wp:anchor distT="0" distB="0" distL="0" distR="0" simplePos="0" relativeHeight="251653120" behindDoc="1" locked="0" layoutInCell="1" allowOverlap="1">
                <wp:simplePos x="0" y="0"/>
                <wp:positionH relativeFrom="page">
                  <wp:posOffset>914400</wp:posOffset>
                </wp:positionH>
                <wp:positionV relativeFrom="paragraph">
                  <wp:posOffset>137795</wp:posOffset>
                </wp:positionV>
                <wp:extent cx="1828800" cy="0"/>
                <wp:effectExtent l="9525" t="13970" r="9525" b="508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85pt" to="3in,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Q9CHgIAAEMEAAAOAAAAZHJzL2Uyb0RvYy54bWysU8GO2jAQvVfqP1i+QxKa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" strokeweight=".72pt">
                <w10:wrap type="topAndBottom" anchorx="page"/>
              </v:line>
            </w:pict>
          </mc:Fallback>
        </mc:AlternateContent>
      </w:r>
    </w:p>
    <w:p w:rsidR="00DE6DB9" w:rsidRDefault="00DE6DB9">
      <w:pPr>
        <w:pStyle w:val="BodyText"/>
        <w:rPr>
          <w:sz w:val="20"/>
        </w:rPr>
      </w:pPr>
    </w:p>
    <w:p w:rsidR="00DE6DB9" w:rsidRDefault="00DE6DB9">
      <w:pPr>
        <w:pStyle w:val="BodyText"/>
        <w:rPr>
          <w:sz w:val="20"/>
        </w:rPr>
      </w:pPr>
    </w:p>
    <w:p w:rsidR="00DE6DB9" w:rsidRDefault="00DE6DB9">
      <w:pPr>
        <w:pStyle w:val="BodyText"/>
        <w:spacing w:before="3"/>
        <w:rPr>
          <w:sz w:val="17"/>
        </w:rPr>
      </w:pPr>
    </w:p>
    <w:p w:rsidR="00DE6DB9" w:rsidRDefault="00361E6C">
      <w:pPr>
        <w:ind w:left="120" w:right="412" w:hanging="1"/>
        <w:rPr>
          <w:sz w:val="18"/>
        </w:rPr>
      </w:pPr>
      <w:bookmarkStart w:id="9" w:name="_bookmark0"/>
      <w:bookmarkEnd w:id="9"/>
      <w:r>
        <w:rPr>
          <w:position w:val="5"/>
          <w:sz w:val="12"/>
        </w:rPr>
        <w:t xml:space="preserve">1 </w:t>
      </w:r>
      <w:r>
        <w:rPr>
          <w:sz w:val="18"/>
        </w:rPr>
        <w:t xml:space="preserve">Faramarzi, R., B. Coburn, and R. Sarhadian. 2002. "Performance and Energy Impact of Installing Glass Doors on an Open Vertical Deli/Dairy Display Case." </w:t>
      </w:r>
      <w:r>
        <w:rPr>
          <w:i/>
          <w:sz w:val="18"/>
        </w:rPr>
        <w:t xml:space="preserve">ASHRAE Transactions: Symposia. </w:t>
      </w:r>
      <w:r>
        <w:rPr>
          <w:sz w:val="18"/>
        </w:rPr>
        <w:t>Page 673.</w:t>
      </w:r>
    </w:p>
    <w:p w:rsidR="00DE6DB9" w:rsidRDefault="00361E6C">
      <w:pPr>
        <w:spacing w:before="122"/>
        <w:ind w:left="120" w:right="504" w:hanging="1"/>
        <w:rPr>
          <w:sz w:val="18"/>
        </w:rPr>
      </w:pPr>
      <w:bookmarkStart w:id="10" w:name="_bookmark1"/>
      <w:bookmarkEnd w:id="10"/>
      <w:r>
        <w:rPr>
          <w:position w:val="5"/>
          <w:sz w:val="12"/>
        </w:rPr>
        <w:t xml:space="preserve">2 </w:t>
      </w:r>
      <w:r>
        <w:rPr>
          <w:sz w:val="18"/>
        </w:rPr>
        <w:t>Lindberg, U., M. Axell, and P. Fahlen. 2010. "Vertical Display Case Cabinets without and with Doors - A Comparison of Measurements in a Laboratory and in a Supermarket." Proceedings of the 1st IIR International Conference on Sustainability and Cold Chain. Cambridge University. Page 5.</w:t>
      </w:r>
    </w:p>
    <w:p w:rsidR="00DE6DB9" w:rsidRDefault="00361E6C">
      <w:pPr>
        <w:spacing w:before="114"/>
        <w:ind w:left="120" w:right="450" w:hanging="1"/>
        <w:rPr>
          <w:i/>
          <w:sz w:val="18"/>
        </w:rPr>
      </w:pPr>
      <w:bookmarkStart w:id="11" w:name="_bookmark2"/>
      <w:bookmarkEnd w:id="11"/>
      <w:r>
        <w:rPr>
          <w:rFonts w:ascii="Arial" w:hAnsi="Arial"/>
          <w:position w:val="7"/>
          <w:sz w:val="12"/>
        </w:rPr>
        <w:t xml:space="preserve">3 </w:t>
      </w:r>
      <w:r>
        <w:rPr>
          <w:sz w:val="18"/>
        </w:rPr>
        <w:t xml:space="preserve">Fricke, B. and B. Becker. 2011. “Comparison of Vertical Display Cases: Energy and Productivity Impacts of Glass Doors Versus Open Vertical Display Cases.” </w:t>
      </w:r>
      <w:r>
        <w:rPr>
          <w:i/>
          <w:sz w:val="18"/>
        </w:rPr>
        <w:t>ASHRAE Transactions.</w:t>
      </w:r>
    </w:p>
    <w:p w:rsidR="00DE6DB9" w:rsidRDefault="00DE6DB9">
      <w:pPr>
        <w:rPr>
          <w:sz w:val="18"/>
        </w:rPr>
        <w:sectPr w:rsidR="00DE6DB9">
          <w:headerReference w:type="default" r:id="rId10"/>
          <w:pgSz w:w="12240" w:h="15840"/>
          <w:pgMar w:top="1220" w:right="1080" w:bottom="1320" w:left="1320" w:header="858" w:footer="1129" w:gutter="0"/>
          <w:cols w:space="720"/>
        </w:sectPr>
      </w:pPr>
    </w:p>
    <w:p w:rsidR="00DE6DB9" w:rsidRDefault="00DE6DB9">
      <w:pPr>
        <w:pStyle w:val="BodyText"/>
        <w:spacing w:before="10"/>
        <w:rPr>
          <w:i/>
          <w:sz w:val="19"/>
        </w:rPr>
      </w:pPr>
    </w:p>
    <w:p w:rsidR="00DE6DB9" w:rsidRDefault="00361E6C">
      <w:pPr>
        <w:pStyle w:val="BodyText"/>
        <w:spacing w:before="56"/>
        <w:ind w:left="119" w:right="362"/>
      </w:pPr>
      <w:r>
        <w:t>compared a new open multi-deck case to a new reach-in case, not adding doors to an existing open multi- deck case, many of the measurements that were taken are valid for comparison to values used in this work paper including: 1) mean door open time for the reach-in case was 12 seconds, occurring six times per hour; 2) average lighting power = 2.0 W/sf in the open case; 3) average fan power = 0.010 kW/ft. in the open case; and 4) supply to return air delta temperature of 10 °F for the open case and 2 °F for the reach-in case.</w:t>
      </w:r>
    </w:p>
    <w:p w:rsidR="00DE6DB9" w:rsidRDefault="00361E6C">
      <w:pPr>
        <w:pStyle w:val="BodyText"/>
        <w:spacing w:before="121"/>
        <w:ind w:left="119" w:right="359"/>
      </w:pPr>
      <w:r>
        <w:t>The State of California Air Resources Board (CARB) estimated that adding doors to all viable open vertical refrigerated display cases in the state would reduce energy consumption by more than 1,000 GWH, or 5% of the total energy consumption attributed to the grocery sector.</w:t>
      </w:r>
      <w:hyperlink w:anchor="_bookmark3" w:history="1">
        <w:r>
          <w:rPr>
            <w:vertAlign w:val="superscript"/>
          </w:rPr>
          <w:t>4</w:t>
        </w:r>
      </w:hyperlink>
    </w:p>
    <w:p w:rsidR="00DE6DB9" w:rsidRDefault="00DE6DB9">
      <w:pPr>
        <w:pStyle w:val="BodyText"/>
        <w:rPr>
          <w:sz w:val="24"/>
        </w:rPr>
      </w:pPr>
    </w:p>
    <w:p w:rsidR="00DE6DB9" w:rsidRDefault="00DE6DB9">
      <w:pPr>
        <w:pStyle w:val="BodyText"/>
        <w:spacing w:before="7"/>
        <w:rPr>
          <w:sz w:val="18"/>
        </w:rPr>
      </w:pPr>
    </w:p>
    <w:p w:rsidR="00DE6DB9" w:rsidRDefault="00361E6C">
      <w:pPr>
        <w:pStyle w:val="Heading1"/>
      </w:pPr>
      <w:bookmarkStart w:id="12" w:name="_TOC_250019"/>
      <w:bookmarkEnd w:id="12"/>
      <w:r>
        <w:rPr>
          <w:color w:val="CFAB79"/>
        </w:rPr>
        <w:t>MEASURE CASE DESCRIPTION</w:t>
      </w:r>
    </w:p>
    <w:p w:rsidR="00DE6DB9" w:rsidRDefault="00361E6C">
      <w:pPr>
        <w:pStyle w:val="BodyText"/>
        <w:spacing w:before="115"/>
        <w:ind w:left="119" w:right="940"/>
      </w:pPr>
      <w:r>
        <w:t>The measure case is defined as the retrofit of glass doors on a medium-temperature, open-vertical, refrigerated display case (also known as an open multi-deck case).</w:t>
      </w:r>
    </w:p>
    <w:p w:rsidR="00DE6DB9" w:rsidRDefault="00DE6DB9">
      <w:pPr>
        <w:pStyle w:val="BodyText"/>
        <w:spacing w:before="3"/>
        <w:rPr>
          <w:sz w:val="23"/>
        </w:rPr>
      </w:pPr>
    </w:p>
    <w:p w:rsidR="00DE6DB9" w:rsidRDefault="00361E6C">
      <w:pPr>
        <w:ind w:left="120"/>
        <w:rPr>
          <w:sz w:val="20"/>
        </w:rPr>
      </w:pPr>
      <w:r>
        <w:rPr>
          <w:sz w:val="20"/>
        </w:rPr>
        <w:t>Measures Offerings</w:t>
      </w:r>
    </w:p>
    <w:p w:rsidR="00DE6DB9" w:rsidRDefault="00DE6DB9">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251"/>
        <w:gridCol w:w="6924"/>
      </w:tblGrid>
      <w:tr w:rsidR="00DE6DB9">
        <w:trPr>
          <w:trHeight w:val="486"/>
        </w:trPr>
        <w:tc>
          <w:tcPr>
            <w:tcW w:w="2251" w:type="dxa"/>
            <w:shd w:val="clear" w:color="auto" w:fill="F1F1F1"/>
          </w:tcPr>
          <w:p w:rsidR="00DE6DB9" w:rsidRDefault="00361E6C">
            <w:pPr>
              <w:pStyle w:val="TableParagraph"/>
              <w:spacing w:before="1" w:line="243" w:lineRule="exact"/>
              <w:ind w:left="324" w:right="319"/>
              <w:jc w:val="center"/>
              <w:rPr>
                <w:sz w:val="20"/>
              </w:rPr>
            </w:pPr>
            <w:r>
              <w:rPr>
                <w:sz w:val="20"/>
              </w:rPr>
              <w:t>Statewide Measure</w:t>
            </w:r>
          </w:p>
          <w:p w:rsidR="00DE6DB9" w:rsidRDefault="00361E6C">
            <w:pPr>
              <w:pStyle w:val="TableParagraph"/>
              <w:spacing w:line="222" w:lineRule="exact"/>
              <w:ind w:left="324" w:right="316"/>
              <w:jc w:val="center"/>
              <w:rPr>
                <w:sz w:val="20"/>
              </w:rPr>
            </w:pPr>
            <w:r>
              <w:rPr>
                <w:sz w:val="20"/>
              </w:rPr>
              <w:t>Offering ID</w:t>
            </w:r>
          </w:p>
        </w:tc>
        <w:tc>
          <w:tcPr>
            <w:tcW w:w="6924" w:type="dxa"/>
            <w:shd w:val="clear" w:color="auto" w:fill="F1F1F1"/>
          </w:tcPr>
          <w:p w:rsidR="00DE6DB9" w:rsidRDefault="00DE6DB9">
            <w:pPr>
              <w:pStyle w:val="TableParagraph"/>
              <w:spacing w:before="11"/>
              <w:rPr>
                <w:sz w:val="19"/>
              </w:rPr>
            </w:pPr>
          </w:p>
          <w:p w:rsidR="00DE6DB9" w:rsidRDefault="00361E6C">
            <w:pPr>
              <w:pStyle w:val="TableParagraph"/>
              <w:spacing w:before="1" w:line="223" w:lineRule="exact"/>
              <w:ind w:left="2294"/>
              <w:rPr>
                <w:sz w:val="20"/>
              </w:rPr>
            </w:pPr>
            <w:r>
              <w:rPr>
                <w:sz w:val="20"/>
              </w:rPr>
              <w:t>Measure Offering Description</w:t>
            </w:r>
          </w:p>
        </w:tc>
      </w:tr>
      <w:tr w:rsidR="00DE6DB9">
        <w:trPr>
          <w:trHeight w:val="290"/>
        </w:trPr>
        <w:tc>
          <w:tcPr>
            <w:tcW w:w="2251" w:type="dxa"/>
          </w:tcPr>
          <w:p w:rsidR="00DE6DB9" w:rsidRDefault="00361E6C">
            <w:pPr>
              <w:pStyle w:val="TableParagraph"/>
              <w:spacing w:before="47" w:line="223" w:lineRule="exact"/>
              <w:ind w:left="107"/>
              <w:rPr>
                <w:sz w:val="20"/>
              </w:rPr>
            </w:pPr>
            <w:r>
              <w:rPr>
                <w:sz w:val="20"/>
              </w:rPr>
              <w:t>SWCR015A</w:t>
            </w:r>
          </w:p>
        </w:tc>
        <w:tc>
          <w:tcPr>
            <w:tcW w:w="6924" w:type="dxa"/>
          </w:tcPr>
          <w:p w:rsidR="00DE6DB9" w:rsidRDefault="00361E6C">
            <w:pPr>
              <w:pStyle w:val="TableParagraph"/>
              <w:spacing w:before="47" w:line="223" w:lineRule="exact"/>
              <w:ind w:left="107"/>
              <w:rPr>
                <w:sz w:val="20"/>
              </w:rPr>
            </w:pPr>
            <w:r>
              <w:rPr>
                <w:sz w:val="20"/>
              </w:rPr>
              <w:t>Vertical Ref Case, Med. Temp: Open w/ Night Covers to Closed (Retrofit)</w:t>
            </w:r>
          </w:p>
        </w:tc>
      </w:tr>
      <w:tr w:rsidR="00DE6DB9">
        <w:trPr>
          <w:trHeight w:val="292"/>
        </w:trPr>
        <w:tc>
          <w:tcPr>
            <w:tcW w:w="2251" w:type="dxa"/>
          </w:tcPr>
          <w:p w:rsidR="00DE6DB9" w:rsidRDefault="00361E6C">
            <w:pPr>
              <w:pStyle w:val="TableParagraph"/>
              <w:spacing w:before="47" w:line="225" w:lineRule="exact"/>
              <w:ind w:left="107"/>
              <w:rPr>
                <w:sz w:val="20"/>
              </w:rPr>
            </w:pPr>
            <w:r>
              <w:rPr>
                <w:sz w:val="20"/>
              </w:rPr>
              <w:t>SWCR015B</w:t>
            </w:r>
          </w:p>
        </w:tc>
        <w:tc>
          <w:tcPr>
            <w:tcW w:w="6924" w:type="dxa"/>
          </w:tcPr>
          <w:p w:rsidR="00DE6DB9" w:rsidRDefault="00361E6C">
            <w:pPr>
              <w:pStyle w:val="TableParagraph"/>
              <w:spacing w:before="47" w:line="225" w:lineRule="exact"/>
              <w:ind w:left="107"/>
              <w:rPr>
                <w:sz w:val="20"/>
              </w:rPr>
            </w:pPr>
            <w:r>
              <w:rPr>
                <w:sz w:val="20"/>
              </w:rPr>
              <w:t>Vertical Ref Case, Med. Temp w/Night Covers: Open to Closed with LED</w:t>
            </w:r>
          </w:p>
        </w:tc>
      </w:tr>
    </w:tbl>
    <w:p w:rsidR="00DE6DB9" w:rsidRDefault="00DE6DB9">
      <w:pPr>
        <w:pStyle w:val="BodyText"/>
        <w:rPr>
          <w:sz w:val="20"/>
        </w:rPr>
      </w:pPr>
    </w:p>
    <w:p w:rsidR="00DE6DB9" w:rsidRDefault="00DE6DB9">
      <w:pPr>
        <w:pStyle w:val="BodyText"/>
        <w:spacing w:before="7"/>
      </w:pPr>
    </w:p>
    <w:p w:rsidR="00DE6DB9" w:rsidRDefault="00361E6C">
      <w:pPr>
        <w:pStyle w:val="Heading1"/>
        <w:spacing w:before="1"/>
      </w:pPr>
      <w:bookmarkStart w:id="13" w:name="_TOC_250018"/>
      <w:bookmarkEnd w:id="13"/>
      <w:r>
        <w:rPr>
          <w:color w:val="CFAB79"/>
        </w:rPr>
        <w:t>BASE CASE DESCRIPTION</w:t>
      </w:r>
    </w:p>
    <w:p w:rsidR="00DE6DB9" w:rsidRDefault="00361E6C">
      <w:pPr>
        <w:pStyle w:val="BodyText"/>
        <w:spacing w:before="112"/>
        <w:ind w:left="120" w:right="775"/>
      </w:pPr>
      <w:r>
        <w:t>The base case is defined as a medium-temperature, open, vertical refrigerated display case. The base case scenario defined for the measure is as follows:</w:t>
      </w:r>
    </w:p>
    <w:p w:rsidR="00DE6DB9" w:rsidRDefault="00361E6C">
      <w:pPr>
        <w:pStyle w:val="ListParagraph"/>
        <w:numPr>
          <w:ilvl w:val="0"/>
          <w:numId w:val="1"/>
        </w:numPr>
        <w:tabs>
          <w:tab w:val="left" w:pos="839"/>
          <w:tab w:val="left" w:pos="840"/>
        </w:tabs>
        <w:spacing w:before="121"/>
        <w:ind w:right="493"/>
      </w:pPr>
      <w:r>
        <w:t>Medium–temperature, open-vertical, refrigerated display case with night covers on for six hours per</w:t>
      </w:r>
      <w:r>
        <w:rPr>
          <w:spacing w:val="1"/>
        </w:rPr>
        <w:t xml:space="preserve"> </w:t>
      </w:r>
      <w:r>
        <w:t>night</w:t>
      </w:r>
    </w:p>
    <w:p w:rsidR="00DE6DB9" w:rsidRDefault="00361E6C">
      <w:pPr>
        <w:pStyle w:val="BodyText"/>
        <w:spacing w:before="120"/>
        <w:ind w:left="119"/>
      </w:pPr>
      <w:r>
        <w:t>The following specifications apply to the base case for both measure offerings:</w:t>
      </w:r>
    </w:p>
    <w:p w:rsidR="00DE6DB9" w:rsidRDefault="00361E6C">
      <w:pPr>
        <w:pStyle w:val="ListParagraph"/>
        <w:numPr>
          <w:ilvl w:val="0"/>
          <w:numId w:val="1"/>
        </w:numPr>
        <w:tabs>
          <w:tab w:val="left" w:pos="839"/>
          <w:tab w:val="left" w:pos="840"/>
        </w:tabs>
        <w:spacing w:before="120"/>
      </w:pPr>
      <w:r>
        <w:t>The supply air temperature is 32</w:t>
      </w:r>
      <w:r>
        <w:rPr>
          <w:spacing w:val="-2"/>
        </w:rPr>
        <w:t xml:space="preserve"> </w:t>
      </w:r>
      <w:r>
        <w:t>°F</w:t>
      </w:r>
    </w:p>
    <w:p w:rsidR="00DE6DB9" w:rsidRDefault="00361E6C">
      <w:pPr>
        <w:pStyle w:val="ListParagraph"/>
        <w:numPr>
          <w:ilvl w:val="0"/>
          <w:numId w:val="1"/>
        </w:numPr>
        <w:tabs>
          <w:tab w:val="left" w:pos="839"/>
          <w:tab w:val="left" w:pos="840"/>
        </w:tabs>
        <w:spacing w:before="20"/>
      </w:pPr>
      <w:r>
        <w:t>The coil capacity is 1,600 Btu/hr.-ft. of</w:t>
      </w:r>
      <w:r>
        <w:rPr>
          <w:spacing w:val="-3"/>
        </w:rPr>
        <w:t xml:space="preserve"> </w:t>
      </w:r>
      <w:r>
        <w:t>case.</w:t>
      </w:r>
    </w:p>
    <w:p w:rsidR="00DE6DB9" w:rsidRDefault="00361E6C">
      <w:pPr>
        <w:pStyle w:val="ListParagraph"/>
        <w:numPr>
          <w:ilvl w:val="0"/>
          <w:numId w:val="1"/>
        </w:numPr>
        <w:tabs>
          <w:tab w:val="left" w:pos="839"/>
          <w:tab w:val="left" w:pos="840"/>
        </w:tabs>
        <w:ind w:left="839" w:right="1122" w:hanging="359"/>
      </w:pPr>
      <w:r>
        <w:t>The case has two rows of T8 light fixtures in the canopy (16 W/ft. of case) and 10 W/ft. of evaporator coil fan electric use</w:t>
      </w:r>
    </w:p>
    <w:p w:rsidR="00DE6DB9" w:rsidRDefault="00361E6C">
      <w:pPr>
        <w:pStyle w:val="ListParagraph"/>
        <w:numPr>
          <w:ilvl w:val="0"/>
          <w:numId w:val="1"/>
        </w:numPr>
        <w:tabs>
          <w:tab w:val="left" w:pos="839"/>
          <w:tab w:val="left" w:pos="840"/>
        </w:tabs>
        <w:spacing w:before="22"/>
      </w:pPr>
      <w:r>
        <w:t>The case uses off-cycle defrost, with four defrost cycles per</w:t>
      </w:r>
      <w:r>
        <w:rPr>
          <w:spacing w:val="-10"/>
        </w:rPr>
        <w:t xml:space="preserve"> </w:t>
      </w:r>
      <w:r>
        <w:rPr>
          <w:spacing w:val="-3"/>
        </w:rPr>
        <w:t>day</w:t>
      </w: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88103E">
      <w:pPr>
        <w:pStyle w:val="BodyText"/>
        <w:spacing w:before="7"/>
        <w:rPr>
          <w:sz w:val="17"/>
        </w:rPr>
      </w:pPr>
      <w:r>
        <w:rPr>
          <w:noProof/>
          <w:lang w:bidi="ar-SA"/>
        </w:rPr>
        <mc:AlternateContent>
          <mc:Choice Requires="wps">
            <w:drawing>
              <wp:anchor distT="0" distB="0" distL="0" distR="0" simplePos="0" relativeHeight="251654144" behindDoc="1" locked="0" layoutInCell="1" allowOverlap="1">
                <wp:simplePos x="0" y="0"/>
                <wp:positionH relativeFrom="page">
                  <wp:posOffset>914400</wp:posOffset>
                </wp:positionH>
                <wp:positionV relativeFrom="paragraph">
                  <wp:posOffset>166370</wp:posOffset>
                </wp:positionV>
                <wp:extent cx="1828800" cy="0"/>
                <wp:effectExtent l="9525" t="13970" r="9525" b="5080"/>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1pt" to="3in,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3"/>
        <w:rPr>
          <w:sz w:val="19"/>
        </w:rPr>
      </w:pPr>
    </w:p>
    <w:p w:rsidR="00DE6DB9" w:rsidRDefault="00361E6C">
      <w:pPr>
        <w:spacing w:before="95"/>
        <w:ind w:left="120" w:right="450" w:hanging="1"/>
        <w:rPr>
          <w:sz w:val="18"/>
        </w:rPr>
      </w:pPr>
      <w:bookmarkStart w:id="14" w:name="_bookmark3"/>
      <w:bookmarkEnd w:id="14"/>
      <w:r>
        <w:rPr>
          <w:rFonts w:ascii="Arial"/>
          <w:position w:val="7"/>
          <w:sz w:val="12"/>
        </w:rPr>
        <w:t xml:space="preserve">4 </w:t>
      </w:r>
      <w:r>
        <w:rPr>
          <w:sz w:val="18"/>
        </w:rPr>
        <w:t xml:space="preserve">State of California Air Resources Board (CARB). 2009. </w:t>
      </w:r>
      <w:r>
        <w:rPr>
          <w:i/>
          <w:sz w:val="18"/>
        </w:rPr>
        <w:t xml:space="preserve">Inventory of Direct and Indirect GHG Emissions from Stationary Air Conditioning and Refrigeration Sources, with Special Emphasis on Retail Food Refrigeration and Unitary Air Conditioning, CARB Agreement No. 06-325. </w:t>
      </w:r>
      <w:r>
        <w:rPr>
          <w:sz w:val="18"/>
        </w:rPr>
        <w:t>Page 74.</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5"/>
        <w:rPr>
          <w:sz w:val="21"/>
        </w:rPr>
      </w:pPr>
    </w:p>
    <w:p w:rsidR="00DE6DB9" w:rsidRDefault="00361E6C">
      <w:pPr>
        <w:pStyle w:val="Heading1"/>
        <w:spacing w:before="51"/>
      </w:pPr>
      <w:bookmarkStart w:id="15" w:name="_TOC_250017"/>
      <w:bookmarkEnd w:id="15"/>
      <w:r>
        <w:rPr>
          <w:color w:val="CFAB79"/>
        </w:rPr>
        <w:t>CODE REQUIREMENTS</w:t>
      </w:r>
    </w:p>
    <w:p w:rsidR="00DE6DB9" w:rsidRDefault="00361E6C">
      <w:pPr>
        <w:pStyle w:val="BodyText"/>
        <w:spacing w:before="113"/>
        <w:ind w:left="119" w:right="413"/>
      </w:pPr>
      <w:r>
        <w:t>This measure is not governed by either state or federal codes and standards. However, Federal standards exist for refrigerated cases produced on or after January 1, 2012.</w:t>
      </w:r>
      <w:hyperlink w:anchor="_bookmark4" w:history="1">
        <w:r>
          <w:rPr>
            <w:vertAlign w:val="superscript"/>
          </w:rPr>
          <w:t>5</w:t>
        </w:r>
        <w:r>
          <w:t xml:space="preserve"> </w:t>
        </w:r>
      </w:hyperlink>
      <w:r>
        <w:t>These standards limit the total energy consumption of the units when tested under conditions outlined in ARI Standard 1200-2006. The federal standards pertain only to new equipment and do not pertain to this measure.</w:t>
      </w:r>
    </w:p>
    <w:p w:rsidR="00DE6DB9" w:rsidRDefault="00DE6DB9">
      <w:pPr>
        <w:pStyle w:val="BodyText"/>
        <w:spacing w:before="3"/>
        <w:rPr>
          <w:sz w:val="23"/>
        </w:rPr>
      </w:pPr>
    </w:p>
    <w:p w:rsidR="00DE6DB9" w:rsidRDefault="00361E6C">
      <w:pPr>
        <w:ind w:left="120"/>
        <w:rPr>
          <w:sz w:val="20"/>
        </w:rPr>
      </w:pPr>
      <w:r>
        <w:rPr>
          <w:sz w:val="20"/>
        </w:rPr>
        <w:t>Applicable State and Federal Codes and Standards</w:t>
      </w:r>
    </w:p>
    <w:p w:rsidR="00DE6DB9" w:rsidRDefault="00DE6DB9">
      <w:pPr>
        <w:pStyle w:val="BodyText"/>
        <w:spacing w:before="5"/>
        <w:rPr>
          <w:sz w:val="6"/>
        </w:rPr>
      </w:pPr>
    </w:p>
    <w:tbl>
      <w:tblPr>
        <w:tblW w:w="0" w:type="auto"/>
        <w:tblInd w:w="23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411"/>
        <w:gridCol w:w="2880"/>
        <w:gridCol w:w="1956"/>
      </w:tblGrid>
      <w:tr w:rsidR="00DE6DB9">
        <w:trPr>
          <w:trHeight w:val="282"/>
        </w:trPr>
        <w:tc>
          <w:tcPr>
            <w:tcW w:w="4411" w:type="dxa"/>
            <w:shd w:val="clear" w:color="auto" w:fill="F1F1F1"/>
          </w:tcPr>
          <w:p w:rsidR="00DE6DB9" w:rsidRDefault="00361E6C">
            <w:pPr>
              <w:pStyle w:val="TableParagraph"/>
              <w:spacing w:before="20" w:line="242" w:lineRule="exact"/>
              <w:ind w:left="107"/>
              <w:rPr>
                <w:sz w:val="20"/>
              </w:rPr>
            </w:pPr>
            <w:r>
              <w:rPr>
                <w:sz w:val="20"/>
              </w:rPr>
              <w:t>Code</w:t>
            </w:r>
          </w:p>
        </w:tc>
        <w:tc>
          <w:tcPr>
            <w:tcW w:w="2880" w:type="dxa"/>
            <w:shd w:val="clear" w:color="auto" w:fill="F1F1F1"/>
          </w:tcPr>
          <w:p w:rsidR="00DE6DB9" w:rsidRDefault="00361E6C">
            <w:pPr>
              <w:pStyle w:val="TableParagraph"/>
              <w:spacing w:before="20" w:line="242" w:lineRule="exact"/>
              <w:ind w:left="340" w:right="330"/>
              <w:jc w:val="center"/>
              <w:rPr>
                <w:sz w:val="20"/>
              </w:rPr>
            </w:pPr>
            <w:r>
              <w:rPr>
                <w:sz w:val="20"/>
              </w:rPr>
              <w:t>Applicable Code Reference</w:t>
            </w:r>
          </w:p>
        </w:tc>
        <w:tc>
          <w:tcPr>
            <w:tcW w:w="1956" w:type="dxa"/>
            <w:shd w:val="clear" w:color="auto" w:fill="F1F1F1"/>
          </w:tcPr>
          <w:p w:rsidR="00DE6DB9" w:rsidRDefault="00361E6C">
            <w:pPr>
              <w:pStyle w:val="TableParagraph"/>
              <w:spacing w:before="20" w:line="242" w:lineRule="exact"/>
              <w:ind w:left="397" w:right="385"/>
              <w:jc w:val="center"/>
              <w:rPr>
                <w:sz w:val="20"/>
              </w:rPr>
            </w:pPr>
            <w:r>
              <w:rPr>
                <w:sz w:val="20"/>
              </w:rPr>
              <w:t>Effective Date</w:t>
            </w:r>
          </w:p>
        </w:tc>
      </w:tr>
      <w:tr w:rsidR="00DE6DB9">
        <w:trPr>
          <w:trHeight w:val="285"/>
        </w:trPr>
        <w:tc>
          <w:tcPr>
            <w:tcW w:w="4411" w:type="dxa"/>
          </w:tcPr>
          <w:p w:rsidR="00DE6DB9" w:rsidRDefault="00361E6C">
            <w:pPr>
              <w:pStyle w:val="TableParagraph"/>
              <w:spacing w:before="20"/>
              <w:ind w:left="107"/>
              <w:rPr>
                <w:sz w:val="20"/>
              </w:rPr>
            </w:pPr>
            <w:r>
              <w:rPr>
                <w:sz w:val="20"/>
              </w:rPr>
              <w:t>CA Appliance Efficiency Regulations – Title 20</w:t>
            </w:r>
          </w:p>
        </w:tc>
        <w:tc>
          <w:tcPr>
            <w:tcW w:w="2880" w:type="dxa"/>
          </w:tcPr>
          <w:p w:rsidR="00DE6DB9" w:rsidRDefault="00361E6C">
            <w:pPr>
              <w:pStyle w:val="TableParagraph"/>
              <w:spacing w:before="20"/>
              <w:ind w:left="335" w:right="330"/>
              <w:jc w:val="center"/>
              <w:rPr>
                <w:sz w:val="20"/>
              </w:rPr>
            </w:pPr>
            <w:r>
              <w:rPr>
                <w:sz w:val="20"/>
              </w:rPr>
              <w:t>None</w:t>
            </w:r>
          </w:p>
        </w:tc>
        <w:tc>
          <w:tcPr>
            <w:tcW w:w="1956" w:type="dxa"/>
          </w:tcPr>
          <w:p w:rsidR="00DE6DB9" w:rsidRDefault="00361E6C">
            <w:pPr>
              <w:pStyle w:val="TableParagraph"/>
              <w:spacing w:before="20"/>
              <w:ind w:left="392" w:right="385"/>
              <w:jc w:val="center"/>
              <w:rPr>
                <w:sz w:val="20"/>
              </w:rPr>
            </w:pPr>
            <w:r>
              <w:rPr>
                <w:sz w:val="20"/>
              </w:rPr>
              <w:t>n/a</w:t>
            </w:r>
          </w:p>
        </w:tc>
      </w:tr>
      <w:tr w:rsidR="00DE6DB9">
        <w:trPr>
          <w:trHeight w:val="282"/>
        </w:trPr>
        <w:tc>
          <w:tcPr>
            <w:tcW w:w="4411" w:type="dxa"/>
          </w:tcPr>
          <w:p w:rsidR="00DE6DB9" w:rsidRDefault="00361E6C">
            <w:pPr>
              <w:pStyle w:val="TableParagraph"/>
              <w:spacing w:before="20" w:line="242" w:lineRule="exact"/>
              <w:ind w:left="107"/>
              <w:rPr>
                <w:sz w:val="20"/>
              </w:rPr>
            </w:pPr>
            <w:r>
              <w:rPr>
                <w:sz w:val="20"/>
              </w:rPr>
              <w:t>CA Building Energy Efficiency Standards – Title 24</w:t>
            </w:r>
          </w:p>
        </w:tc>
        <w:tc>
          <w:tcPr>
            <w:tcW w:w="2880" w:type="dxa"/>
          </w:tcPr>
          <w:p w:rsidR="00DE6DB9" w:rsidRDefault="00361E6C">
            <w:pPr>
              <w:pStyle w:val="TableParagraph"/>
              <w:spacing w:before="20" w:line="242" w:lineRule="exact"/>
              <w:ind w:left="335" w:right="330"/>
              <w:jc w:val="center"/>
              <w:rPr>
                <w:sz w:val="20"/>
              </w:rPr>
            </w:pPr>
            <w:r>
              <w:rPr>
                <w:sz w:val="20"/>
              </w:rPr>
              <w:t>None</w:t>
            </w:r>
          </w:p>
        </w:tc>
        <w:tc>
          <w:tcPr>
            <w:tcW w:w="1956" w:type="dxa"/>
          </w:tcPr>
          <w:p w:rsidR="00DE6DB9" w:rsidRDefault="00361E6C">
            <w:pPr>
              <w:pStyle w:val="TableParagraph"/>
              <w:spacing w:before="20" w:line="242" w:lineRule="exact"/>
              <w:ind w:left="392" w:right="385"/>
              <w:jc w:val="center"/>
              <w:rPr>
                <w:sz w:val="20"/>
              </w:rPr>
            </w:pPr>
            <w:r>
              <w:rPr>
                <w:sz w:val="20"/>
              </w:rPr>
              <w:t>n/a</w:t>
            </w:r>
          </w:p>
        </w:tc>
      </w:tr>
      <w:tr w:rsidR="00DE6DB9">
        <w:trPr>
          <w:trHeight w:val="285"/>
        </w:trPr>
        <w:tc>
          <w:tcPr>
            <w:tcW w:w="4411" w:type="dxa"/>
          </w:tcPr>
          <w:p w:rsidR="00DE6DB9" w:rsidRDefault="00361E6C">
            <w:pPr>
              <w:pStyle w:val="TableParagraph"/>
              <w:spacing w:before="20"/>
              <w:ind w:left="107"/>
              <w:rPr>
                <w:sz w:val="20"/>
              </w:rPr>
            </w:pPr>
            <w:r>
              <w:rPr>
                <w:sz w:val="20"/>
              </w:rPr>
              <w:t>Federal Standards</w:t>
            </w:r>
          </w:p>
        </w:tc>
        <w:tc>
          <w:tcPr>
            <w:tcW w:w="2880" w:type="dxa"/>
          </w:tcPr>
          <w:p w:rsidR="00DE6DB9" w:rsidRDefault="00361E6C">
            <w:pPr>
              <w:pStyle w:val="TableParagraph"/>
              <w:spacing w:before="20"/>
              <w:ind w:left="335" w:right="330"/>
              <w:jc w:val="center"/>
              <w:rPr>
                <w:sz w:val="20"/>
              </w:rPr>
            </w:pPr>
            <w:r>
              <w:rPr>
                <w:sz w:val="20"/>
              </w:rPr>
              <w:t>None</w:t>
            </w:r>
          </w:p>
        </w:tc>
        <w:tc>
          <w:tcPr>
            <w:tcW w:w="1956" w:type="dxa"/>
          </w:tcPr>
          <w:p w:rsidR="00DE6DB9" w:rsidRDefault="00361E6C">
            <w:pPr>
              <w:pStyle w:val="TableParagraph"/>
              <w:spacing w:before="20"/>
              <w:ind w:left="392" w:right="385"/>
              <w:jc w:val="center"/>
              <w:rPr>
                <w:sz w:val="20"/>
              </w:rPr>
            </w:pPr>
            <w:r>
              <w:rPr>
                <w:sz w:val="20"/>
              </w:rPr>
              <w:t>n/a</w:t>
            </w:r>
          </w:p>
        </w:tc>
      </w:tr>
    </w:tbl>
    <w:p w:rsidR="00DE6DB9" w:rsidRDefault="00DE6DB9">
      <w:pPr>
        <w:pStyle w:val="BodyText"/>
        <w:rPr>
          <w:sz w:val="20"/>
        </w:rPr>
      </w:pPr>
    </w:p>
    <w:p w:rsidR="00DE6DB9" w:rsidRDefault="00DE6DB9">
      <w:pPr>
        <w:pStyle w:val="BodyText"/>
        <w:spacing w:before="8"/>
      </w:pPr>
    </w:p>
    <w:p w:rsidR="00DE6DB9" w:rsidRDefault="00361E6C">
      <w:pPr>
        <w:pStyle w:val="Heading1"/>
      </w:pPr>
      <w:bookmarkStart w:id="16" w:name="_TOC_250016"/>
      <w:bookmarkEnd w:id="16"/>
      <w:r>
        <w:rPr>
          <w:color w:val="CFAB79"/>
        </w:rPr>
        <w:t>NORMALIZING UNIT</w:t>
      </w:r>
    </w:p>
    <w:p w:rsidR="00DE6DB9" w:rsidRDefault="00361E6C">
      <w:pPr>
        <w:pStyle w:val="BodyText"/>
        <w:spacing w:before="115"/>
        <w:ind w:left="120"/>
      </w:pPr>
      <w:r>
        <w:t>Linear feet (Len-ft.)</w:t>
      </w:r>
    </w:p>
    <w:p w:rsidR="00DE6DB9" w:rsidRDefault="00DE6DB9">
      <w:pPr>
        <w:pStyle w:val="BodyText"/>
      </w:pPr>
    </w:p>
    <w:p w:rsidR="00DE6DB9" w:rsidRDefault="00DE6DB9">
      <w:pPr>
        <w:pStyle w:val="BodyText"/>
        <w:spacing w:before="8"/>
        <w:rPr>
          <w:sz w:val="20"/>
        </w:rPr>
      </w:pPr>
    </w:p>
    <w:p w:rsidR="00DE6DB9" w:rsidRDefault="00361E6C">
      <w:pPr>
        <w:pStyle w:val="Heading1"/>
      </w:pPr>
      <w:bookmarkStart w:id="17" w:name="_TOC_250015"/>
      <w:bookmarkEnd w:id="17"/>
      <w:r>
        <w:rPr>
          <w:color w:val="CFAB79"/>
        </w:rPr>
        <w:t>PROGRAM REQUIREMENTS</w:t>
      </w:r>
    </w:p>
    <w:p w:rsidR="00DE6DB9" w:rsidRDefault="00361E6C">
      <w:pPr>
        <w:spacing w:before="115"/>
        <w:ind w:left="120"/>
        <w:rPr>
          <w:i/>
        </w:rPr>
      </w:pPr>
      <w:r>
        <w:rPr>
          <w:i/>
          <w:color w:val="5F5F5F"/>
        </w:rPr>
        <w:t xml:space="preserve">Measure Implementation Eligibility </w:t>
      </w:r>
    </w:p>
    <w:p w:rsidR="00DE6DB9" w:rsidRDefault="00361E6C">
      <w:pPr>
        <w:pStyle w:val="BodyText"/>
        <w:spacing w:before="120"/>
        <w:ind w:left="119" w:right="653"/>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rsidR="00DE6DB9" w:rsidRDefault="00361E6C">
      <w:pPr>
        <w:spacing w:before="119"/>
        <w:ind w:left="119" w:right="450"/>
        <w:rPr>
          <w:i/>
        </w:rPr>
      </w:pPr>
      <w:r>
        <w:rPr>
          <w:i/>
        </w:rPr>
        <w:t xml:space="preserve">Note that some of the implementation combinations below may not be allowed for some measure offerings by all program administrators. </w:t>
      </w:r>
    </w:p>
    <w:p w:rsidR="00DE6DB9" w:rsidRDefault="00DE6DB9">
      <w:pPr>
        <w:pStyle w:val="BodyText"/>
        <w:spacing w:before="3"/>
        <w:rPr>
          <w:i/>
          <w:sz w:val="23"/>
        </w:rPr>
      </w:pPr>
    </w:p>
    <w:p w:rsidR="00DE6DB9" w:rsidRDefault="00361E6C">
      <w:pPr>
        <w:ind w:left="120"/>
        <w:rPr>
          <w:sz w:val="20"/>
        </w:rPr>
      </w:pPr>
      <w:r>
        <w:rPr>
          <w:sz w:val="20"/>
        </w:rPr>
        <w:t>Implementation Eligibility</w:t>
      </w:r>
    </w:p>
    <w:p w:rsidR="00DE6DB9" w:rsidRDefault="00DE6DB9">
      <w:pPr>
        <w:pStyle w:val="BodyText"/>
        <w:spacing w:before="3"/>
        <w:rPr>
          <w:sz w:val="6"/>
        </w:rPr>
      </w:pPr>
    </w:p>
    <w:tbl>
      <w:tblPr>
        <w:tblW w:w="0" w:type="auto"/>
        <w:tblInd w:w="23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16"/>
        <w:gridCol w:w="3024"/>
        <w:gridCol w:w="3024"/>
      </w:tblGrid>
      <w:tr w:rsidR="00DE6DB9">
        <w:trPr>
          <w:trHeight w:val="289"/>
        </w:trPr>
        <w:tc>
          <w:tcPr>
            <w:tcW w:w="2916" w:type="dxa"/>
            <w:shd w:val="clear" w:color="auto" w:fill="F1F1F1"/>
          </w:tcPr>
          <w:p w:rsidR="00DE6DB9" w:rsidRDefault="00361E6C">
            <w:pPr>
              <w:pStyle w:val="TableParagraph"/>
              <w:spacing w:before="47" w:line="223" w:lineRule="exact"/>
              <w:ind w:left="107"/>
              <w:rPr>
                <w:sz w:val="20"/>
              </w:rPr>
            </w:pPr>
            <w:r>
              <w:rPr>
                <w:sz w:val="20"/>
              </w:rPr>
              <w:t>Measure Application Type</w:t>
            </w:r>
          </w:p>
        </w:tc>
        <w:tc>
          <w:tcPr>
            <w:tcW w:w="3024" w:type="dxa"/>
            <w:shd w:val="clear" w:color="auto" w:fill="F1F1F1"/>
          </w:tcPr>
          <w:p w:rsidR="00DE6DB9" w:rsidRDefault="00361E6C">
            <w:pPr>
              <w:pStyle w:val="TableParagraph"/>
              <w:spacing w:before="47" w:line="223" w:lineRule="exact"/>
              <w:ind w:left="107"/>
              <w:rPr>
                <w:sz w:val="20"/>
              </w:rPr>
            </w:pPr>
            <w:r>
              <w:rPr>
                <w:sz w:val="20"/>
              </w:rPr>
              <w:t>Delivery Type</w:t>
            </w:r>
          </w:p>
        </w:tc>
        <w:tc>
          <w:tcPr>
            <w:tcW w:w="3024" w:type="dxa"/>
            <w:shd w:val="clear" w:color="auto" w:fill="F1F1F1"/>
          </w:tcPr>
          <w:p w:rsidR="00DE6DB9" w:rsidRDefault="00361E6C">
            <w:pPr>
              <w:pStyle w:val="TableParagraph"/>
              <w:spacing w:before="47" w:line="223" w:lineRule="exact"/>
              <w:ind w:left="107"/>
              <w:rPr>
                <w:sz w:val="20"/>
              </w:rPr>
            </w:pPr>
            <w:r>
              <w:rPr>
                <w:sz w:val="20"/>
              </w:rPr>
              <w:t>Sector</w:t>
            </w:r>
          </w:p>
        </w:tc>
      </w:tr>
      <w:tr w:rsidR="00DE6DB9">
        <w:trPr>
          <w:trHeight w:val="292"/>
        </w:trPr>
        <w:tc>
          <w:tcPr>
            <w:tcW w:w="2916" w:type="dxa"/>
          </w:tcPr>
          <w:p w:rsidR="00DE6DB9" w:rsidRDefault="00361E6C">
            <w:pPr>
              <w:pStyle w:val="TableParagraph"/>
              <w:spacing w:before="20" w:line="252" w:lineRule="exact"/>
              <w:ind w:left="107"/>
            </w:pPr>
            <w:r>
              <w:t>Add-on equipment</w:t>
            </w:r>
          </w:p>
        </w:tc>
        <w:tc>
          <w:tcPr>
            <w:tcW w:w="3024" w:type="dxa"/>
          </w:tcPr>
          <w:p w:rsidR="00DE6DB9" w:rsidRDefault="00361E6C">
            <w:pPr>
              <w:pStyle w:val="TableParagraph"/>
              <w:spacing w:before="20" w:line="252" w:lineRule="exact"/>
              <w:ind w:left="107"/>
            </w:pPr>
            <w:r>
              <w:t>DnDeemed</w:t>
            </w:r>
          </w:p>
        </w:tc>
        <w:tc>
          <w:tcPr>
            <w:tcW w:w="3024" w:type="dxa"/>
          </w:tcPr>
          <w:p w:rsidR="00DE6DB9" w:rsidRDefault="00361E6C">
            <w:pPr>
              <w:pStyle w:val="TableParagraph"/>
              <w:spacing w:before="20" w:line="252" w:lineRule="exact"/>
              <w:ind w:left="107"/>
            </w:pPr>
            <w:r>
              <w:t>Com</w:t>
            </w:r>
          </w:p>
        </w:tc>
      </w:tr>
    </w:tbl>
    <w:p w:rsidR="00DE6DB9" w:rsidRDefault="00DE6DB9">
      <w:pPr>
        <w:pStyle w:val="BodyText"/>
        <w:rPr>
          <w:sz w:val="20"/>
        </w:rPr>
      </w:pPr>
    </w:p>
    <w:p w:rsidR="00DE6DB9" w:rsidRDefault="00DE6DB9">
      <w:pPr>
        <w:pStyle w:val="BodyText"/>
        <w:spacing w:before="8"/>
        <w:rPr>
          <w:sz w:val="21"/>
        </w:rPr>
      </w:pPr>
    </w:p>
    <w:p w:rsidR="00DE6DB9" w:rsidRDefault="00361E6C">
      <w:pPr>
        <w:ind w:left="120"/>
        <w:rPr>
          <w:i/>
        </w:rPr>
      </w:pPr>
      <w:r>
        <w:rPr>
          <w:i/>
          <w:color w:val="5F5F5F"/>
        </w:rPr>
        <w:t xml:space="preserve">Eligible Products </w:t>
      </w:r>
    </w:p>
    <w:p w:rsidR="00DE6DB9" w:rsidRDefault="00361E6C">
      <w:pPr>
        <w:pStyle w:val="BodyText"/>
        <w:spacing w:before="118"/>
        <w:ind w:left="119" w:right="943"/>
      </w:pPr>
      <w:r>
        <w:t>The retrofit of glass doors, or glass doors with LED lights, for a medium-temperature, open-vertical, refrigerated display case must be added to an existing open-vertical, medium temp display case.</w:t>
      </w: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88103E">
      <w:pPr>
        <w:pStyle w:val="BodyText"/>
        <w:spacing w:before="8"/>
        <w:rPr>
          <w:sz w:val="12"/>
        </w:rPr>
      </w:pPr>
      <w:r>
        <w:rPr>
          <w:noProof/>
          <w:lang w:bidi="ar-SA"/>
        </w:rPr>
        <mc:AlternateContent>
          <mc:Choice Requires="wps">
            <w:drawing>
              <wp:anchor distT="0" distB="0" distL="0" distR="0" simplePos="0" relativeHeight="251655168" behindDoc="1" locked="0" layoutInCell="1" allowOverlap="1">
                <wp:simplePos x="0" y="0"/>
                <wp:positionH relativeFrom="page">
                  <wp:posOffset>914400</wp:posOffset>
                </wp:positionH>
                <wp:positionV relativeFrom="paragraph">
                  <wp:posOffset>128270</wp:posOffset>
                </wp:positionV>
                <wp:extent cx="1828800" cy="0"/>
                <wp:effectExtent l="9525" t="13970" r="9525" b="5080"/>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1pt" to="3in,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3"/>
        <w:rPr>
          <w:sz w:val="19"/>
        </w:rPr>
      </w:pPr>
    </w:p>
    <w:p w:rsidR="00DE6DB9" w:rsidRDefault="00361E6C">
      <w:pPr>
        <w:spacing w:before="95"/>
        <w:ind w:left="120"/>
        <w:rPr>
          <w:sz w:val="18"/>
        </w:rPr>
      </w:pPr>
      <w:bookmarkStart w:id="18" w:name="_bookmark4"/>
      <w:bookmarkEnd w:id="18"/>
      <w:r>
        <w:rPr>
          <w:rFonts w:ascii="Arial"/>
          <w:position w:val="7"/>
          <w:sz w:val="12"/>
        </w:rPr>
        <w:t xml:space="preserve">5 </w:t>
      </w:r>
      <w:r>
        <w:rPr>
          <w:sz w:val="18"/>
        </w:rPr>
        <w:t>Code of Federal Regulations at 10 CFR 431. Subpart C.</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10"/>
        <w:rPr>
          <w:sz w:val="19"/>
        </w:rPr>
      </w:pPr>
    </w:p>
    <w:p w:rsidR="00DE6DB9" w:rsidRDefault="00361E6C">
      <w:pPr>
        <w:pStyle w:val="BodyText"/>
        <w:spacing w:before="56"/>
        <w:ind w:left="119" w:right="435"/>
      </w:pPr>
      <w:r>
        <w:t xml:space="preserve">In addition to retrofitting the doors and door frames, the measure may require changes to the refrigeration system serving the affected display case(s). These changes </w:t>
      </w:r>
      <w:r>
        <w:rPr>
          <w:i/>
        </w:rPr>
        <w:t xml:space="preserve">may </w:t>
      </w:r>
      <w:r>
        <w:t>include but are not limited to: replacing the expansion valve and/or evaporator pressure regulating valve, adjusting the evaporator temperature/pressure set point, resizing refrigeration piping, replacing the flood back valve on the condenser, resizing the coil/piping on applicable heat reclaim systems, and replacing or removing compressors. These potential changes stem from the significant reduction in the overall refrigeration load. Due to the complexity in determining which system alterations will be required at a site to maintain optimum system performance, a refrigeration contractor with design experience should be consulted before proceeding with the</w:t>
      </w:r>
      <w:r>
        <w:rPr>
          <w:spacing w:val="-9"/>
        </w:rPr>
        <w:t xml:space="preserve"> </w:t>
      </w:r>
      <w:r>
        <w:t>retrofit.</w:t>
      </w:r>
    </w:p>
    <w:p w:rsidR="00DE6DB9" w:rsidRDefault="00DE6DB9">
      <w:pPr>
        <w:pStyle w:val="BodyText"/>
      </w:pPr>
    </w:p>
    <w:p w:rsidR="00DE6DB9" w:rsidRDefault="00DE6DB9">
      <w:pPr>
        <w:pStyle w:val="BodyText"/>
        <w:spacing w:before="8"/>
        <w:rPr>
          <w:sz w:val="19"/>
        </w:rPr>
      </w:pPr>
    </w:p>
    <w:p w:rsidR="00DE6DB9" w:rsidRDefault="00361E6C">
      <w:pPr>
        <w:ind w:left="119"/>
        <w:rPr>
          <w:i/>
        </w:rPr>
      </w:pPr>
      <w:r>
        <w:rPr>
          <w:i/>
          <w:color w:val="5F5F5F"/>
        </w:rPr>
        <w:t>Eligible Building Types and</w:t>
      </w:r>
      <w:r>
        <w:rPr>
          <w:i/>
          <w:color w:val="5F5F5F"/>
          <w:spacing w:val="-19"/>
        </w:rPr>
        <w:t xml:space="preserve"> </w:t>
      </w:r>
      <w:r>
        <w:rPr>
          <w:i/>
          <w:color w:val="5F5F5F"/>
        </w:rPr>
        <w:t xml:space="preserve">Vintages </w:t>
      </w:r>
    </w:p>
    <w:p w:rsidR="00DE6DB9" w:rsidRDefault="00361E6C">
      <w:pPr>
        <w:pStyle w:val="BodyText"/>
        <w:spacing w:before="120"/>
        <w:ind w:left="119"/>
      </w:pPr>
      <w:r>
        <w:t>This measure is applicable to existing commercial buildings of any vintage.</w:t>
      </w:r>
    </w:p>
    <w:p w:rsidR="00DE6DB9" w:rsidRDefault="00DE6DB9">
      <w:pPr>
        <w:pStyle w:val="BodyText"/>
      </w:pPr>
    </w:p>
    <w:p w:rsidR="00DE6DB9" w:rsidRDefault="00DE6DB9">
      <w:pPr>
        <w:pStyle w:val="BodyText"/>
        <w:spacing w:before="8"/>
        <w:rPr>
          <w:sz w:val="19"/>
        </w:rPr>
      </w:pPr>
    </w:p>
    <w:p w:rsidR="00DE6DB9" w:rsidRDefault="00361E6C">
      <w:pPr>
        <w:spacing w:before="1"/>
        <w:ind w:left="119"/>
        <w:rPr>
          <w:i/>
        </w:rPr>
      </w:pPr>
      <w:r>
        <w:rPr>
          <w:i/>
          <w:color w:val="5F5F5F"/>
        </w:rPr>
        <w:t xml:space="preserve">Eligible Climate Zones </w:t>
      </w:r>
    </w:p>
    <w:p w:rsidR="00DE6DB9" w:rsidRDefault="00361E6C">
      <w:pPr>
        <w:pStyle w:val="BodyText"/>
        <w:spacing w:before="120"/>
        <w:ind w:left="119"/>
      </w:pPr>
      <w:r>
        <w:t>This measure is applicable in all California climate zones.</w:t>
      </w:r>
    </w:p>
    <w:p w:rsidR="00DE6DB9" w:rsidRDefault="00DE6DB9">
      <w:pPr>
        <w:pStyle w:val="BodyText"/>
      </w:pPr>
    </w:p>
    <w:p w:rsidR="00DE6DB9" w:rsidRDefault="00DE6DB9">
      <w:pPr>
        <w:pStyle w:val="BodyText"/>
        <w:spacing w:before="9"/>
        <w:rPr>
          <w:sz w:val="20"/>
        </w:rPr>
      </w:pPr>
    </w:p>
    <w:p w:rsidR="00DE6DB9" w:rsidRDefault="00361E6C">
      <w:pPr>
        <w:pStyle w:val="Heading1"/>
      </w:pPr>
      <w:bookmarkStart w:id="19" w:name="_TOC_250014"/>
      <w:bookmarkEnd w:id="19"/>
      <w:r>
        <w:rPr>
          <w:color w:val="CFAB79"/>
        </w:rPr>
        <w:t>PROGRAM EXCLUSIONS</w:t>
      </w:r>
    </w:p>
    <w:p w:rsidR="00DE6DB9" w:rsidRDefault="00361E6C">
      <w:pPr>
        <w:pStyle w:val="BodyText"/>
        <w:spacing w:before="115"/>
        <w:ind w:left="120"/>
      </w:pPr>
      <w:r>
        <w:t>Exclusions relating to this measure include the following:</w:t>
      </w:r>
    </w:p>
    <w:p w:rsidR="00DE6DB9" w:rsidRDefault="00361E6C">
      <w:pPr>
        <w:pStyle w:val="ListParagraph"/>
        <w:numPr>
          <w:ilvl w:val="0"/>
          <w:numId w:val="1"/>
        </w:numPr>
        <w:tabs>
          <w:tab w:val="left" w:pos="839"/>
          <w:tab w:val="left" w:pos="840"/>
        </w:tabs>
        <w:spacing w:before="118"/>
        <w:ind w:right="825"/>
      </w:pPr>
      <w:r>
        <w:t>The complete removal of the existing display case and replacing it with a new case with glass doors</w:t>
      </w:r>
    </w:p>
    <w:p w:rsidR="00DE6DB9" w:rsidRDefault="00361E6C">
      <w:pPr>
        <w:pStyle w:val="ListParagraph"/>
        <w:numPr>
          <w:ilvl w:val="0"/>
          <w:numId w:val="1"/>
        </w:numPr>
        <w:tabs>
          <w:tab w:val="left" w:pos="839"/>
          <w:tab w:val="left" w:pos="840"/>
        </w:tabs>
        <w:spacing w:before="22"/>
      </w:pPr>
      <w:r>
        <w:t>Total lighting power in the measure case may not exceed total lighting power in the base</w:t>
      </w:r>
      <w:r>
        <w:rPr>
          <w:spacing w:val="-16"/>
        </w:rPr>
        <w:t xml:space="preserve"> </w:t>
      </w:r>
      <w:r>
        <w:t>case</w:t>
      </w:r>
      <w:hyperlink w:anchor="_bookmark5" w:history="1">
        <w:r>
          <w:rPr>
            <w:vertAlign w:val="superscript"/>
          </w:rPr>
          <w:t>6</w:t>
        </w:r>
      </w:hyperlink>
    </w:p>
    <w:p w:rsidR="00DE6DB9" w:rsidRDefault="00361E6C">
      <w:pPr>
        <w:pStyle w:val="ListParagraph"/>
        <w:numPr>
          <w:ilvl w:val="0"/>
          <w:numId w:val="1"/>
        </w:numPr>
        <w:tabs>
          <w:tab w:val="left" w:pos="839"/>
          <w:tab w:val="left" w:pos="840"/>
        </w:tabs>
      </w:pPr>
      <w:r>
        <w:t>Anti-sweat heat (ASH) may not be present in the glass doors or door</w:t>
      </w:r>
      <w:r>
        <w:rPr>
          <w:spacing w:val="-10"/>
        </w:rPr>
        <w:t xml:space="preserve"> </w:t>
      </w:r>
      <w:r>
        <w:t>mounting.</w:t>
      </w:r>
      <w:hyperlink w:anchor="_bookmark6" w:history="1">
        <w:r>
          <w:rPr>
            <w:vertAlign w:val="superscript"/>
          </w:rPr>
          <w:t>7</w:t>
        </w:r>
      </w:hyperlink>
    </w:p>
    <w:p w:rsidR="00DE6DB9" w:rsidRDefault="00DE6DB9">
      <w:pPr>
        <w:pStyle w:val="BodyText"/>
        <w:rPr>
          <w:sz w:val="26"/>
        </w:rPr>
      </w:pPr>
    </w:p>
    <w:p w:rsidR="00DE6DB9" w:rsidRDefault="00361E6C">
      <w:pPr>
        <w:pStyle w:val="Heading1"/>
        <w:spacing w:before="204"/>
      </w:pPr>
      <w:bookmarkStart w:id="20" w:name="_TOC_250013"/>
      <w:bookmarkEnd w:id="20"/>
      <w:r>
        <w:rPr>
          <w:color w:val="CFAB79"/>
        </w:rPr>
        <w:t>DATA COLLECTION REQUIREMENTS</w:t>
      </w:r>
    </w:p>
    <w:p w:rsidR="00DE6DB9" w:rsidRDefault="00361E6C">
      <w:pPr>
        <w:pStyle w:val="BodyText"/>
        <w:spacing w:before="115"/>
        <w:ind w:left="120"/>
      </w:pPr>
      <w:r>
        <w:t>Data requirements are to be determined.</w:t>
      </w:r>
    </w:p>
    <w:p w:rsidR="00DE6DB9" w:rsidRDefault="00DE6DB9">
      <w:pPr>
        <w:pStyle w:val="BodyText"/>
      </w:pPr>
    </w:p>
    <w:p w:rsidR="00DE6DB9" w:rsidRDefault="00DE6DB9">
      <w:pPr>
        <w:pStyle w:val="BodyText"/>
        <w:spacing w:before="8"/>
        <w:rPr>
          <w:sz w:val="20"/>
        </w:rPr>
      </w:pPr>
    </w:p>
    <w:p w:rsidR="00DE6DB9" w:rsidRDefault="00361E6C">
      <w:pPr>
        <w:pStyle w:val="Heading1"/>
      </w:pPr>
      <w:bookmarkStart w:id="21" w:name="_TOC_250012"/>
      <w:bookmarkEnd w:id="21"/>
      <w:r>
        <w:rPr>
          <w:color w:val="CFAB79"/>
        </w:rPr>
        <w:t>USE CATEGORY</w:t>
      </w:r>
    </w:p>
    <w:p w:rsidR="00DE6DB9" w:rsidRDefault="00361E6C">
      <w:pPr>
        <w:pStyle w:val="BodyText"/>
        <w:spacing w:before="115"/>
        <w:ind w:left="120"/>
      </w:pPr>
      <w:r>
        <w:t>Commercial refrigeration (ComRefrig)</w:t>
      </w: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88103E">
      <w:pPr>
        <w:pStyle w:val="BodyText"/>
        <w:spacing w:before="10"/>
        <w:rPr>
          <w:sz w:val="24"/>
        </w:rPr>
      </w:pPr>
      <w:r>
        <w:rPr>
          <w:noProof/>
          <w:lang w:bidi="ar-SA"/>
        </w:rPr>
        <mc:AlternateContent>
          <mc:Choice Requires="wps">
            <w:drawing>
              <wp:anchor distT="0" distB="0" distL="0" distR="0" simplePos="0" relativeHeight="251656192" behindDoc="1" locked="0" layoutInCell="1" allowOverlap="1">
                <wp:simplePos x="0" y="0"/>
                <wp:positionH relativeFrom="page">
                  <wp:posOffset>914400</wp:posOffset>
                </wp:positionH>
                <wp:positionV relativeFrom="paragraph">
                  <wp:posOffset>222250</wp:posOffset>
                </wp:positionV>
                <wp:extent cx="1828800" cy="0"/>
                <wp:effectExtent l="9525" t="12700" r="9525" b="6350"/>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7.5pt" to="3in,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9"/>
        <w:rPr>
          <w:sz w:val="21"/>
        </w:rPr>
      </w:pPr>
    </w:p>
    <w:p w:rsidR="00DE6DB9" w:rsidRDefault="00361E6C">
      <w:pPr>
        <w:spacing w:before="69"/>
        <w:ind w:left="120" w:right="675" w:hanging="1"/>
        <w:rPr>
          <w:sz w:val="18"/>
        </w:rPr>
      </w:pPr>
      <w:bookmarkStart w:id="22" w:name="_bookmark5"/>
      <w:bookmarkEnd w:id="22"/>
      <w:r>
        <w:rPr>
          <w:position w:val="5"/>
          <w:sz w:val="12"/>
        </w:rPr>
        <w:t xml:space="preserve">6 </w:t>
      </w:r>
      <w:r>
        <w:rPr>
          <w:sz w:val="18"/>
        </w:rPr>
        <w:t>Several manufacturers interviewed stated that most retrofits include a switch to more efficient LED case lighting, but not an overall increase in lighting power density.</w:t>
      </w:r>
    </w:p>
    <w:p w:rsidR="00DE6DB9" w:rsidRDefault="00361E6C">
      <w:pPr>
        <w:spacing w:before="120"/>
        <w:ind w:left="120" w:right="559" w:hanging="1"/>
        <w:rPr>
          <w:sz w:val="18"/>
        </w:rPr>
      </w:pPr>
      <w:bookmarkStart w:id="23" w:name="_bookmark6"/>
      <w:bookmarkEnd w:id="23"/>
      <w:r>
        <w:rPr>
          <w:position w:val="5"/>
          <w:sz w:val="12"/>
        </w:rPr>
        <w:t xml:space="preserve">7 </w:t>
      </w:r>
      <w:r>
        <w:rPr>
          <w:sz w:val="18"/>
        </w:rPr>
        <w:t>Two out of three manufacturers stated that their products did not contain ASH in the door or mullion. Thus, it was decided to specifically prohibit door and frame heat, as it does not appear necessary in medium-temperature applications.</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2"/>
        <w:rPr>
          <w:sz w:val="21"/>
        </w:rPr>
      </w:pPr>
    </w:p>
    <w:p w:rsidR="00DE6DB9" w:rsidRDefault="00361E6C">
      <w:pPr>
        <w:pStyle w:val="Heading1"/>
        <w:spacing w:before="52"/>
      </w:pPr>
      <w:bookmarkStart w:id="24" w:name="_TOC_250011"/>
      <w:bookmarkEnd w:id="24"/>
      <w:r>
        <w:rPr>
          <w:color w:val="CFAB79"/>
        </w:rPr>
        <w:t>ELECTRIC SAVINGS (kWh)</w:t>
      </w:r>
    </w:p>
    <w:p w:rsidR="00DE6DB9" w:rsidRDefault="00361E6C">
      <w:pPr>
        <w:pStyle w:val="BodyText"/>
        <w:spacing w:before="115"/>
        <w:ind w:left="119" w:right="533"/>
      </w:pPr>
      <w:r>
        <w:t>The electric unit energy savings (UES) of this measure are based upon the reduction of infiltration, and thus the total refrigeration load by adding double-paned glass to an existing open medium-temperature display case. Energy consumption and therefore savings vary by climate zone and are applicable to all building</w:t>
      </w:r>
      <w:r>
        <w:rPr>
          <w:spacing w:val="-1"/>
        </w:rPr>
        <w:t xml:space="preserve"> </w:t>
      </w:r>
      <w:r>
        <w:t>vintages.</w:t>
      </w:r>
    </w:p>
    <w:p w:rsidR="00DE6DB9" w:rsidRDefault="00361E6C">
      <w:pPr>
        <w:pStyle w:val="BodyText"/>
        <w:spacing w:before="121"/>
        <w:ind w:left="119" w:right="554"/>
      </w:pPr>
      <w:r>
        <w:t>This measure is included in the Database for Energy Efficient Resources (DEER).</w:t>
      </w:r>
      <w:hyperlink w:anchor="_bookmark7" w:history="1">
        <w:r>
          <w:rPr>
            <w:vertAlign w:val="superscript"/>
          </w:rPr>
          <w:t>8</w:t>
        </w:r>
        <w:r>
          <w:t xml:space="preserve"> </w:t>
        </w:r>
      </w:hyperlink>
      <w:r>
        <w:t xml:space="preserve">However, because of significant differences between the DEER measure and the measure defined herein, the UES for this measure were derived from detailed computer simulations based on the DOE-2.2R energy analysis program. DOE-2.2R calculates hour-by-hour building </w:t>
      </w:r>
      <w:r>
        <w:rPr>
          <w:spacing w:val="-2"/>
        </w:rPr>
        <w:t xml:space="preserve">and </w:t>
      </w:r>
      <w:r>
        <w:t>refrigeration system energy consumption over an entire year (8760 hours) using the California Energy Commission (CEC) Title 24 weather data for a representative city in each of the 16 California climate zones. The models utilized test data from the Southern California Edison (SCE) Research and Thermal Test Center (RTTC) and an ASHRAE study to represent changes in display case infiltration, conduction, and refrigeration load for open cases versus cases with</w:t>
      </w:r>
      <w:r>
        <w:rPr>
          <w:spacing w:val="-2"/>
        </w:rPr>
        <w:t xml:space="preserve"> </w:t>
      </w:r>
      <w:r>
        <w:t>doors.</w:t>
      </w:r>
    </w:p>
    <w:p w:rsidR="00DE6DB9" w:rsidRDefault="00361E6C">
      <w:pPr>
        <w:pStyle w:val="BodyText"/>
        <w:spacing w:before="119"/>
        <w:ind w:left="119"/>
      </w:pPr>
      <w:r>
        <w:t>The following subsection describes the base and measure case DOE-2.2R model simulations.</w:t>
      </w:r>
    </w:p>
    <w:p w:rsidR="00DE6DB9" w:rsidRDefault="00DE6DB9">
      <w:pPr>
        <w:pStyle w:val="BodyText"/>
      </w:pPr>
    </w:p>
    <w:p w:rsidR="00DE6DB9" w:rsidRDefault="00DE6DB9">
      <w:pPr>
        <w:pStyle w:val="BodyText"/>
        <w:spacing w:before="9"/>
        <w:rPr>
          <w:sz w:val="20"/>
        </w:rPr>
      </w:pPr>
    </w:p>
    <w:p w:rsidR="00DE6DB9" w:rsidRDefault="00361E6C">
      <w:pPr>
        <w:ind w:left="120"/>
        <w:rPr>
          <w:sz w:val="24"/>
        </w:rPr>
      </w:pPr>
      <w:bookmarkStart w:id="25" w:name="Base_and_Measure_Case_Model_Simulations"/>
      <w:bookmarkEnd w:id="25"/>
      <w:r>
        <w:rPr>
          <w:color w:val="CFAB79"/>
          <w:sz w:val="24"/>
        </w:rPr>
        <w:t>Base and Measure Case Model Simulations</w:t>
      </w:r>
    </w:p>
    <w:p w:rsidR="00DE6DB9" w:rsidRDefault="00361E6C">
      <w:pPr>
        <w:pStyle w:val="BodyText"/>
        <w:spacing w:before="115"/>
        <w:ind w:left="119" w:right="553"/>
      </w:pPr>
      <w:r>
        <w:t>The building energy simulation model DOE-2.2R (via eQuest Refrigeration 3.61) was used to derive base case and measure case unit energy consumption.</w:t>
      </w:r>
      <w:hyperlink w:anchor="_bookmark8" w:history="1">
        <w:r>
          <w:rPr>
            <w:vertAlign w:val="superscript"/>
          </w:rPr>
          <w:t>9</w:t>
        </w:r>
      </w:hyperlink>
    </w:p>
    <w:p w:rsidR="00DE6DB9" w:rsidRDefault="00361E6C">
      <w:pPr>
        <w:pStyle w:val="BodyText"/>
        <w:spacing w:before="118"/>
        <w:ind w:left="119" w:right="608"/>
        <w:jc w:val="both"/>
      </w:pPr>
      <w:r>
        <w:t xml:space="preserve">Base Case </w:t>
      </w:r>
      <w:r>
        <w:rPr>
          <w:spacing w:val="-3"/>
        </w:rPr>
        <w:t xml:space="preserve">Energy Consumption </w:t>
      </w:r>
      <w:r>
        <w:rPr>
          <w:spacing w:val="-2"/>
        </w:rPr>
        <w:t xml:space="preserve">Model. </w:t>
      </w:r>
      <w:r>
        <w:t>The base case model is designed to be representative of existing grocery building stock in California. The model shares many building and space characteristics with the DEER 2020 grocery models. The figure below displays the general site layout and orientation; the basic input values are specified in the following table.</w:t>
      </w: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DE6DB9">
      <w:pPr>
        <w:pStyle w:val="BodyText"/>
        <w:rPr>
          <w:sz w:val="20"/>
        </w:rPr>
      </w:pPr>
    </w:p>
    <w:p w:rsidR="00DE6DB9" w:rsidRDefault="0088103E">
      <w:pPr>
        <w:pStyle w:val="BodyText"/>
        <w:spacing w:before="6"/>
        <w:rPr>
          <w:sz w:val="13"/>
        </w:rPr>
      </w:pPr>
      <w:r>
        <w:rPr>
          <w:noProof/>
          <w:lang w:bidi="ar-SA"/>
        </w:rPr>
        <mc:AlternateContent>
          <mc:Choice Requires="wps">
            <w:drawing>
              <wp:anchor distT="0" distB="0" distL="0" distR="0" simplePos="0" relativeHeight="251657216" behindDoc="1" locked="0" layoutInCell="1" allowOverlap="1">
                <wp:simplePos x="0" y="0"/>
                <wp:positionH relativeFrom="page">
                  <wp:posOffset>914400</wp:posOffset>
                </wp:positionH>
                <wp:positionV relativeFrom="paragraph">
                  <wp:posOffset>134620</wp:posOffset>
                </wp:positionV>
                <wp:extent cx="1828800" cy="0"/>
                <wp:effectExtent l="9525" t="10795" r="9525" b="8255"/>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6pt" to="3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11"/>
        <w:rPr>
          <w:sz w:val="21"/>
        </w:rPr>
      </w:pPr>
    </w:p>
    <w:p w:rsidR="00DE6DB9" w:rsidRDefault="00361E6C">
      <w:pPr>
        <w:spacing w:before="69"/>
        <w:ind w:left="120" w:right="395" w:hanging="1"/>
        <w:rPr>
          <w:sz w:val="18"/>
        </w:rPr>
      </w:pPr>
      <w:bookmarkStart w:id="26" w:name="_bookmark7"/>
      <w:bookmarkEnd w:id="26"/>
      <w:r>
        <w:rPr>
          <w:position w:val="5"/>
          <w:sz w:val="12"/>
        </w:rPr>
        <w:t xml:space="preserve">8 </w:t>
      </w:r>
      <w:r>
        <w:rPr>
          <w:sz w:val="18"/>
        </w:rPr>
        <w:t xml:space="preserve">Itron, Inc. 2005. </w:t>
      </w:r>
      <w:r>
        <w:rPr>
          <w:i/>
          <w:sz w:val="18"/>
        </w:rPr>
        <w:t xml:space="preserve">2004-2005 Database for Energy Efficiency Resources (DEER) Update Study - Final Report. </w:t>
      </w:r>
      <w:r>
        <w:rPr>
          <w:sz w:val="18"/>
        </w:rPr>
        <w:t>Prepared for Southern California Edison.</w:t>
      </w:r>
    </w:p>
    <w:p w:rsidR="00DE6DB9" w:rsidRDefault="00361E6C">
      <w:pPr>
        <w:spacing w:before="120"/>
        <w:ind w:left="120" w:right="869" w:hanging="1"/>
        <w:rPr>
          <w:sz w:val="18"/>
        </w:rPr>
      </w:pPr>
      <w:r>
        <w:rPr>
          <w:sz w:val="18"/>
        </w:rPr>
        <w:t>See Section 6 of the Itron 2004-2005 DEER Update Study for details of DEER Building Prototypes generated by eQuest. See Section 7.3 for general description for grocery refrigeration measures.</w:t>
      </w:r>
    </w:p>
    <w:p w:rsidR="00DE6DB9" w:rsidRDefault="00361E6C">
      <w:pPr>
        <w:spacing w:before="122" w:line="369" w:lineRule="auto"/>
        <w:ind w:left="120" w:right="3885" w:hanging="1"/>
        <w:rPr>
          <w:sz w:val="18"/>
        </w:rPr>
      </w:pPr>
      <w:bookmarkStart w:id="27" w:name="_bookmark8"/>
      <w:bookmarkEnd w:id="27"/>
      <w:r>
        <w:rPr>
          <w:position w:val="5"/>
          <w:sz w:val="12"/>
        </w:rPr>
        <w:t xml:space="preserve">9 </w:t>
      </w:r>
      <w:r>
        <w:rPr>
          <w:sz w:val="18"/>
        </w:rPr>
        <w:t>Pacific Gas and Electric Company (PG&amp;E). 2019. “SWCR015-01 Model Files.zip.” PECI. (n.d.) "PECI Grocery Model: Refrigeration Base Case Description."</w:t>
      </w:r>
    </w:p>
    <w:p w:rsidR="00DE6DB9" w:rsidRDefault="00DE6DB9">
      <w:pPr>
        <w:spacing w:line="369" w:lineRule="auto"/>
        <w:rPr>
          <w:sz w:val="18"/>
        </w:rPr>
        <w:sectPr w:rsidR="00DE6DB9">
          <w:pgSz w:w="12240" w:h="15840"/>
          <w:pgMar w:top="1220" w:right="1080" w:bottom="1320" w:left="1320" w:header="858" w:footer="1129" w:gutter="0"/>
          <w:cols w:space="720"/>
        </w:sectPr>
      </w:pPr>
    </w:p>
    <w:p w:rsidR="00DE6DB9" w:rsidRDefault="00DE6DB9">
      <w:pPr>
        <w:pStyle w:val="BodyText"/>
        <w:spacing w:before="7"/>
        <w:rPr>
          <w:sz w:val="24"/>
        </w:rPr>
      </w:pPr>
    </w:p>
    <w:p w:rsidR="00DE6DB9" w:rsidRDefault="00361E6C">
      <w:pPr>
        <w:pStyle w:val="BodyText"/>
        <w:ind w:left="120"/>
        <w:rPr>
          <w:sz w:val="20"/>
        </w:rPr>
      </w:pPr>
      <w:r>
        <w:rPr>
          <w:noProof/>
          <w:sz w:val="20"/>
          <w:lang w:bidi="ar-SA"/>
        </w:rPr>
        <w:drawing>
          <wp:inline distT="0" distB="0" distL="0" distR="0">
            <wp:extent cx="2588465" cy="238610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2588465" cy="2386107"/>
                    </a:xfrm>
                    <a:prstGeom prst="rect">
                      <a:avLst/>
                    </a:prstGeom>
                  </pic:spPr>
                </pic:pic>
              </a:graphicData>
            </a:graphic>
          </wp:inline>
        </w:drawing>
      </w:r>
    </w:p>
    <w:p w:rsidR="00DE6DB9" w:rsidRDefault="00DE6DB9">
      <w:pPr>
        <w:pStyle w:val="BodyText"/>
        <w:spacing w:before="3"/>
        <w:rPr>
          <w:sz w:val="18"/>
        </w:rPr>
      </w:pPr>
    </w:p>
    <w:p w:rsidR="00DE6DB9" w:rsidRDefault="00361E6C">
      <w:pPr>
        <w:spacing w:before="59"/>
        <w:ind w:left="120"/>
        <w:rPr>
          <w:sz w:val="20"/>
        </w:rPr>
      </w:pPr>
      <w:r>
        <w:rPr>
          <w:sz w:val="20"/>
        </w:rPr>
        <w:t>DOE-2.2R</w:t>
      </w:r>
      <w:r>
        <w:rPr>
          <w:spacing w:val="-17"/>
          <w:sz w:val="20"/>
        </w:rPr>
        <w:t xml:space="preserve"> </w:t>
      </w:r>
      <w:r>
        <w:rPr>
          <w:sz w:val="20"/>
        </w:rPr>
        <w:t>Model</w:t>
      </w:r>
      <w:r>
        <w:rPr>
          <w:spacing w:val="-17"/>
          <w:sz w:val="20"/>
        </w:rPr>
        <w:t xml:space="preserve"> </w:t>
      </w:r>
      <w:r>
        <w:rPr>
          <w:sz w:val="20"/>
        </w:rPr>
        <w:t>Site</w:t>
      </w:r>
      <w:r>
        <w:rPr>
          <w:spacing w:val="-17"/>
          <w:sz w:val="20"/>
        </w:rPr>
        <w:t xml:space="preserve"> </w:t>
      </w:r>
      <w:r>
        <w:rPr>
          <w:sz w:val="20"/>
        </w:rPr>
        <w:t>Layout</w:t>
      </w:r>
    </w:p>
    <w:p w:rsidR="00DE6DB9" w:rsidRDefault="00DE6DB9">
      <w:pPr>
        <w:pStyle w:val="BodyText"/>
        <w:rPr>
          <w:sz w:val="20"/>
        </w:rPr>
      </w:pPr>
    </w:p>
    <w:p w:rsidR="00DE6DB9" w:rsidRDefault="00DE6DB9">
      <w:pPr>
        <w:pStyle w:val="BodyText"/>
        <w:rPr>
          <w:sz w:val="20"/>
        </w:rPr>
      </w:pPr>
    </w:p>
    <w:p w:rsidR="00DE6DB9" w:rsidRDefault="00361E6C">
      <w:pPr>
        <w:spacing w:before="180"/>
        <w:ind w:left="120"/>
        <w:rPr>
          <w:sz w:val="20"/>
        </w:rPr>
      </w:pPr>
      <w:r>
        <w:rPr>
          <w:sz w:val="20"/>
        </w:rPr>
        <w:t>Basic</w:t>
      </w:r>
      <w:r>
        <w:rPr>
          <w:spacing w:val="-18"/>
          <w:sz w:val="20"/>
        </w:rPr>
        <w:t xml:space="preserve"> </w:t>
      </w:r>
      <w:r>
        <w:rPr>
          <w:sz w:val="20"/>
        </w:rPr>
        <w:t>DOE2.2R</w:t>
      </w:r>
      <w:r>
        <w:rPr>
          <w:spacing w:val="-17"/>
          <w:sz w:val="20"/>
        </w:rPr>
        <w:t xml:space="preserve"> </w:t>
      </w:r>
      <w:r>
        <w:rPr>
          <w:sz w:val="20"/>
        </w:rPr>
        <w:t>Model</w:t>
      </w:r>
      <w:r>
        <w:rPr>
          <w:spacing w:val="-16"/>
          <w:sz w:val="20"/>
        </w:rPr>
        <w:t xml:space="preserve"> </w:t>
      </w:r>
      <w:r>
        <w:rPr>
          <w:sz w:val="20"/>
        </w:rPr>
        <w:t>Inputs</w:t>
      </w:r>
    </w:p>
    <w:p w:rsidR="00DE6DB9" w:rsidRDefault="00DE6DB9">
      <w:pPr>
        <w:pStyle w:val="BodyText"/>
        <w:spacing w:before="4"/>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63"/>
        <w:gridCol w:w="2537"/>
        <w:gridCol w:w="3924"/>
      </w:tblGrid>
      <w:tr w:rsidR="00DE6DB9">
        <w:trPr>
          <w:trHeight w:val="282"/>
        </w:trPr>
        <w:tc>
          <w:tcPr>
            <w:tcW w:w="2863" w:type="dxa"/>
            <w:shd w:val="clear" w:color="auto" w:fill="F1F1F1"/>
          </w:tcPr>
          <w:p w:rsidR="00DE6DB9" w:rsidRDefault="00361E6C">
            <w:pPr>
              <w:pStyle w:val="TableParagraph"/>
              <w:spacing w:before="20" w:line="242" w:lineRule="exact"/>
              <w:ind w:left="107"/>
              <w:rPr>
                <w:sz w:val="20"/>
              </w:rPr>
            </w:pPr>
            <w:r>
              <w:rPr>
                <w:sz w:val="20"/>
              </w:rPr>
              <w:t>Building Characteristic</w:t>
            </w:r>
          </w:p>
        </w:tc>
        <w:tc>
          <w:tcPr>
            <w:tcW w:w="2537" w:type="dxa"/>
            <w:shd w:val="clear" w:color="auto" w:fill="F1F1F1"/>
          </w:tcPr>
          <w:p w:rsidR="00DE6DB9" w:rsidRDefault="00361E6C">
            <w:pPr>
              <w:pStyle w:val="TableParagraph"/>
              <w:spacing w:before="20" w:line="242" w:lineRule="exact"/>
              <w:ind w:left="813"/>
              <w:rPr>
                <w:sz w:val="20"/>
              </w:rPr>
            </w:pPr>
            <w:r>
              <w:rPr>
                <w:sz w:val="20"/>
              </w:rPr>
              <w:t>Input Value</w:t>
            </w:r>
          </w:p>
        </w:tc>
        <w:tc>
          <w:tcPr>
            <w:tcW w:w="3924" w:type="dxa"/>
            <w:shd w:val="clear" w:color="auto" w:fill="F1F1F1"/>
          </w:tcPr>
          <w:p w:rsidR="00DE6DB9" w:rsidRDefault="00361E6C">
            <w:pPr>
              <w:pStyle w:val="TableParagraph"/>
              <w:spacing w:before="20" w:line="242" w:lineRule="exact"/>
              <w:ind w:left="1665" w:right="1656"/>
              <w:jc w:val="center"/>
              <w:rPr>
                <w:sz w:val="20"/>
              </w:rPr>
            </w:pPr>
            <w:r>
              <w:rPr>
                <w:sz w:val="20"/>
              </w:rPr>
              <w:t>Source</w:t>
            </w:r>
          </w:p>
        </w:tc>
      </w:tr>
      <w:tr w:rsidR="00DE6DB9">
        <w:trPr>
          <w:trHeight w:val="285"/>
        </w:trPr>
        <w:tc>
          <w:tcPr>
            <w:tcW w:w="2863" w:type="dxa"/>
          </w:tcPr>
          <w:p w:rsidR="00DE6DB9" w:rsidRDefault="00361E6C">
            <w:pPr>
              <w:pStyle w:val="TableParagraph"/>
              <w:spacing w:before="20"/>
              <w:ind w:left="153"/>
              <w:rPr>
                <w:sz w:val="20"/>
              </w:rPr>
            </w:pPr>
            <w:r>
              <w:rPr>
                <w:sz w:val="20"/>
              </w:rPr>
              <w:t>Area</w:t>
            </w:r>
          </w:p>
        </w:tc>
        <w:tc>
          <w:tcPr>
            <w:tcW w:w="2537" w:type="dxa"/>
          </w:tcPr>
          <w:p w:rsidR="00DE6DB9" w:rsidRDefault="00361E6C">
            <w:pPr>
              <w:pStyle w:val="TableParagraph"/>
              <w:spacing w:before="20"/>
              <w:ind w:left="108"/>
              <w:rPr>
                <w:sz w:val="20"/>
              </w:rPr>
            </w:pPr>
            <w:r>
              <w:rPr>
                <w:sz w:val="20"/>
              </w:rPr>
              <w:t>50,000 ft</w:t>
            </w:r>
            <w:r>
              <w:rPr>
                <w:sz w:val="20"/>
                <w:vertAlign w:val="superscript"/>
              </w:rPr>
              <w:t>2</w:t>
            </w:r>
          </w:p>
        </w:tc>
        <w:tc>
          <w:tcPr>
            <w:tcW w:w="3924" w:type="dxa"/>
          </w:tcPr>
          <w:p w:rsidR="00DE6DB9" w:rsidRDefault="00361E6C">
            <w:pPr>
              <w:pStyle w:val="TableParagraph"/>
              <w:spacing w:before="35"/>
              <w:ind w:left="107"/>
              <w:rPr>
                <w:sz w:val="18"/>
              </w:rPr>
            </w:pPr>
            <w:r>
              <w:rPr>
                <w:sz w:val="18"/>
              </w:rPr>
              <w:t>DEER 2020 Grocery Model</w:t>
            </w:r>
          </w:p>
        </w:tc>
      </w:tr>
      <w:tr w:rsidR="00DE6DB9">
        <w:trPr>
          <w:trHeight w:val="527"/>
        </w:trPr>
        <w:tc>
          <w:tcPr>
            <w:tcW w:w="2863" w:type="dxa"/>
          </w:tcPr>
          <w:p w:rsidR="00DE6DB9" w:rsidRDefault="00361E6C">
            <w:pPr>
              <w:pStyle w:val="TableParagraph"/>
              <w:spacing w:before="143"/>
              <w:ind w:left="107"/>
              <w:rPr>
                <w:sz w:val="20"/>
              </w:rPr>
            </w:pPr>
            <w:r>
              <w:rPr>
                <w:sz w:val="20"/>
              </w:rPr>
              <w:t>Shell (Walls, Windows, Roof)</w:t>
            </w:r>
          </w:p>
        </w:tc>
        <w:tc>
          <w:tcPr>
            <w:tcW w:w="2537" w:type="dxa"/>
          </w:tcPr>
          <w:p w:rsidR="00DE6DB9" w:rsidRDefault="00361E6C">
            <w:pPr>
              <w:pStyle w:val="TableParagraph"/>
              <w:spacing w:before="20" w:line="240" w:lineRule="atLeast"/>
              <w:ind w:left="107"/>
              <w:rPr>
                <w:sz w:val="20"/>
              </w:rPr>
            </w:pPr>
            <w:r>
              <w:rPr>
                <w:sz w:val="20"/>
              </w:rPr>
              <w:t>Construction and 1978-85 vintage insulation</w:t>
            </w:r>
          </w:p>
        </w:tc>
        <w:tc>
          <w:tcPr>
            <w:tcW w:w="3924" w:type="dxa"/>
          </w:tcPr>
          <w:p w:rsidR="00DE6DB9" w:rsidRDefault="00361E6C">
            <w:pPr>
              <w:pStyle w:val="TableParagraph"/>
              <w:spacing w:before="155"/>
              <w:ind w:left="107"/>
              <w:rPr>
                <w:sz w:val="18"/>
              </w:rPr>
            </w:pPr>
            <w:r>
              <w:rPr>
                <w:sz w:val="18"/>
              </w:rPr>
              <w:t>DEER 2020 Grocery Model</w:t>
            </w:r>
          </w:p>
        </w:tc>
      </w:tr>
      <w:tr w:rsidR="00DE6DB9">
        <w:trPr>
          <w:trHeight w:val="1401"/>
        </w:trPr>
        <w:tc>
          <w:tcPr>
            <w:tcW w:w="2863" w:type="dxa"/>
          </w:tcPr>
          <w:p w:rsidR="00DE6DB9" w:rsidRDefault="00DE6DB9">
            <w:pPr>
              <w:pStyle w:val="TableParagraph"/>
              <w:rPr>
                <w:sz w:val="20"/>
              </w:rPr>
            </w:pPr>
          </w:p>
          <w:p w:rsidR="00DE6DB9" w:rsidRDefault="00DE6DB9">
            <w:pPr>
              <w:pStyle w:val="TableParagraph"/>
              <w:spacing w:before="6"/>
              <w:rPr>
                <w:sz w:val="27"/>
              </w:rPr>
            </w:pPr>
          </w:p>
          <w:p w:rsidR="00DE6DB9" w:rsidRDefault="00361E6C">
            <w:pPr>
              <w:pStyle w:val="TableParagraph"/>
              <w:ind w:left="107"/>
              <w:rPr>
                <w:sz w:val="20"/>
              </w:rPr>
            </w:pPr>
            <w:r>
              <w:rPr>
                <w:sz w:val="20"/>
              </w:rPr>
              <w:t>Lighting Power Density</w:t>
            </w:r>
          </w:p>
        </w:tc>
        <w:tc>
          <w:tcPr>
            <w:tcW w:w="2537" w:type="dxa"/>
          </w:tcPr>
          <w:p w:rsidR="00DE6DB9" w:rsidRDefault="00DE6DB9">
            <w:pPr>
              <w:pStyle w:val="TableParagraph"/>
            </w:pPr>
          </w:p>
          <w:p w:rsidR="00DE6DB9" w:rsidRDefault="00DE6DB9">
            <w:pPr>
              <w:pStyle w:val="TableParagraph"/>
              <w:spacing w:before="6"/>
              <w:rPr>
                <w:sz w:val="25"/>
              </w:rPr>
            </w:pPr>
          </w:p>
          <w:p w:rsidR="00DE6DB9" w:rsidRDefault="00361E6C">
            <w:pPr>
              <w:pStyle w:val="TableParagraph"/>
              <w:ind w:left="108"/>
              <w:rPr>
                <w:sz w:val="20"/>
              </w:rPr>
            </w:pPr>
            <w:r>
              <w:rPr>
                <w:sz w:val="20"/>
              </w:rPr>
              <w:t>2.0 W/ft</w:t>
            </w:r>
            <w:r>
              <w:rPr>
                <w:sz w:val="20"/>
                <w:vertAlign w:val="superscript"/>
              </w:rPr>
              <w:t>2</w:t>
            </w:r>
          </w:p>
        </w:tc>
        <w:tc>
          <w:tcPr>
            <w:tcW w:w="3924" w:type="dxa"/>
          </w:tcPr>
          <w:p w:rsidR="00DE6DB9" w:rsidRDefault="00361E6C">
            <w:pPr>
              <w:pStyle w:val="TableParagraph"/>
              <w:spacing w:before="20"/>
              <w:ind w:left="107"/>
              <w:rPr>
                <w:sz w:val="18"/>
              </w:rPr>
            </w:pPr>
            <w:r>
              <w:rPr>
                <w:sz w:val="18"/>
              </w:rPr>
              <w:t>DEER 2020 Grocery Model</w:t>
            </w:r>
          </w:p>
          <w:p w:rsidR="00DE6DB9" w:rsidRDefault="00DE6DB9">
            <w:pPr>
              <w:pStyle w:val="TableParagraph"/>
              <w:spacing w:before="4"/>
              <w:rPr>
                <w:sz w:val="21"/>
              </w:rPr>
            </w:pPr>
          </w:p>
          <w:p w:rsidR="00DE6DB9" w:rsidRDefault="00361E6C">
            <w:pPr>
              <w:pStyle w:val="TableParagraph"/>
              <w:spacing w:line="220" w:lineRule="atLeast"/>
              <w:ind w:left="107" w:right="203"/>
              <w:rPr>
                <w:sz w:val="18"/>
              </w:rPr>
            </w:pPr>
            <w:r>
              <w:rPr>
                <w:sz w:val="18"/>
              </w:rPr>
              <w:t xml:space="preserve">National Renewable Energy Laboratory (NREL). 2008. </w:t>
            </w:r>
            <w:r>
              <w:rPr>
                <w:i/>
                <w:sz w:val="18"/>
              </w:rPr>
              <w:t xml:space="preserve">Technical Support Document: Development of the Advanced Energy Design Guide for Grocery Stores-50% Energy Savings. </w:t>
            </w:r>
            <w:r>
              <w:rPr>
                <w:sz w:val="18"/>
              </w:rPr>
              <w:t>NREL/TP-550-42829.</w:t>
            </w:r>
          </w:p>
        </w:tc>
      </w:tr>
      <w:tr w:rsidR="00DE6DB9">
        <w:trPr>
          <w:trHeight w:val="918"/>
        </w:trPr>
        <w:tc>
          <w:tcPr>
            <w:tcW w:w="2863" w:type="dxa"/>
          </w:tcPr>
          <w:p w:rsidR="00DE6DB9" w:rsidRDefault="00DE6DB9">
            <w:pPr>
              <w:pStyle w:val="TableParagraph"/>
              <w:spacing w:before="7"/>
              <w:rPr>
                <w:sz w:val="27"/>
              </w:rPr>
            </w:pPr>
          </w:p>
          <w:p w:rsidR="00DE6DB9" w:rsidRDefault="00361E6C">
            <w:pPr>
              <w:pStyle w:val="TableParagraph"/>
              <w:ind w:left="107"/>
              <w:rPr>
                <w:sz w:val="20"/>
              </w:rPr>
            </w:pPr>
            <w:r>
              <w:rPr>
                <w:sz w:val="20"/>
              </w:rPr>
              <w:t>Miscellaneous Equipment</w:t>
            </w:r>
          </w:p>
        </w:tc>
        <w:tc>
          <w:tcPr>
            <w:tcW w:w="2537" w:type="dxa"/>
          </w:tcPr>
          <w:p w:rsidR="00DE6DB9" w:rsidRDefault="00DE6DB9">
            <w:pPr>
              <w:pStyle w:val="TableParagraph"/>
              <w:spacing w:before="7"/>
              <w:rPr>
                <w:sz w:val="27"/>
              </w:rPr>
            </w:pPr>
          </w:p>
          <w:p w:rsidR="00DE6DB9" w:rsidRDefault="00361E6C">
            <w:pPr>
              <w:pStyle w:val="TableParagraph"/>
              <w:ind w:left="108"/>
              <w:rPr>
                <w:sz w:val="20"/>
              </w:rPr>
            </w:pPr>
            <w:r>
              <w:rPr>
                <w:sz w:val="20"/>
              </w:rPr>
              <w:t>0.5 W/ft</w:t>
            </w:r>
            <w:r>
              <w:rPr>
                <w:sz w:val="20"/>
                <w:vertAlign w:val="superscript"/>
              </w:rPr>
              <w:t>2</w:t>
            </w:r>
          </w:p>
        </w:tc>
        <w:tc>
          <w:tcPr>
            <w:tcW w:w="3924" w:type="dxa"/>
          </w:tcPr>
          <w:p w:rsidR="00DE6DB9" w:rsidRDefault="00361E6C">
            <w:pPr>
              <w:pStyle w:val="TableParagraph"/>
              <w:spacing w:before="20"/>
              <w:ind w:left="107" w:right="203"/>
              <w:rPr>
                <w:i/>
                <w:sz w:val="18"/>
              </w:rPr>
            </w:pPr>
            <w:r>
              <w:rPr>
                <w:sz w:val="18"/>
              </w:rPr>
              <w:t xml:space="preserve">National Renewable Energy Laboratory (NREL). 2008. </w:t>
            </w:r>
            <w:r>
              <w:rPr>
                <w:i/>
                <w:sz w:val="18"/>
              </w:rPr>
              <w:t>Technical Support Document: Development of the Advanced Energy Design Guide for</w:t>
            </w:r>
            <w:r>
              <w:rPr>
                <w:i/>
                <w:spacing w:val="-12"/>
                <w:sz w:val="18"/>
              </w:rPr>
              <w:t xml:space="preserve"> </w:t>
            </w:r>
            <w:r>
              <w:rPr>
                <w:i/>
                <w:sz w:val="18"/>
              </w:rPr>
              <w:t xml:space="preserve">Grocery </w:t>
            </w:r>
          </w:p>
          <w:p w:rsidR="00DE6DB9" w:rsidRDefault="00361E6C">
            <w:pPr>
              <w:pStyle w:val="TableParagraph"/>
              <w:spacing w:before="1" w:line="218" w:lineRule="exact"/>
              <w:ind w:left="107"/>
              <w:rPr>
                <w:sz w:val="18"/>
              </w:rPr>
            </w:pPr>
            <w:r>
              <w:rPr>
                <w:i/>
                <w:sz w:val="18"/>
              </w:rPr>
              <w:t>Stores-50% Energy Savings.</w:t>
            </w:r>
            <w:r>
              <w:rPr>
                <w:i/>
                <w:spacing w:val="-12"/>
                <w:sz w:val="18"/>
              </w:rPr>
              <w:t xml:space="preserve"> </w:t>
            </w:r>
            <w:r>
              <w:rPr>
                <w:sz w:val="18"/>
              </w:rPr>
              <w:t>NREL/TP-550-42829.</w:t>
            </w:r>
          </w:p>
        </w:tc>
      </w:tr>
      <w:tr w:rsidR="00DE6DB9">
        <w:trPr>
          <w:trHeight w:val="285"/>
        </w:trPr>
        <w:tc>
          <w:tcPr>
            <w:tcW w:w="2863" w:type="dxa"/>
          </w:tcPr>
          <w:p w:rsidR="00DE6DB9" w:rsidRDefault="00361E6C">
            <w:pPr>
              <w:pStyle w:val="TableParagraph"/>
              <w:spacing w:before="20"/>
              <w:ind w:left="107"/>
              <w:rPr>
                <w:sz w:val="20"/>
              </w:rPr>
            </w:pPr>
            <w:r>
              <w:rPr>
                <w:sz w:val="20"/>
              </w:rPr>
              <w:t>Whole Building Infiltration</w:t>
            </w:r>
          </w:p>
        </w:tc>
        <w:tc>
          <w:tcPr>
            <w:tcW w:w="2537" w:type="dxa"/>
          </w:tcPr>
          <w:p w:rsidR="00DE6DB9" w:rsidRDefault="00361E6C">
            <w:pPr>
              <w:pStyle w:val="TableParagraph"/>
              <w:spacing w:before="20"/>
              <w:ind w:left="107"/>
              <w:rPr>
                <w:sz w:val="20"/>
              </w:rPr>
            </w:pPr>
            <w:r>
              <w:rPr>
                <w:sz w:val="20"/>
              </w:rPr>
              <w:t>0.07 cfm/ft</w:t>
            </w:r>
            <w:r>
              <w:rPr>
                <w:sz w:val="20"/>
                <w:vertAlign w:val="superscript"/>
              </w:rPr>
              <w:t>2</w:t>
            </w:r>
          </w:p>
        </w:tc>
        <w:tc>
          <w:tcPr>
            <w:tcW w:w="3924" w:type="dxa"/>
          </w:tcPr>
          <w:p w:rsidR="00DE6DB9" w:rsidRDefault="00361E6C">
            <w:pPr>
              <w:pStyle w:val="TableParagraph"/>
              <w:spacing w:before="32"/>
              <w:ind w:left="107"/>
              <w:rPr>
                <w:sz w:val="18"/>
              </w:rPr>
            </w:pPr>
            <w:r>
              <w:rPr>
                <w:sz w:val="18"/>
              </w:rPr>
              <w:t>DEER 2020 Grocery Model</w:t>
            </w:r>
          </w:p>
        </w:tc>
      </w:tr>
      <w:tr w:rsidR="00DE6DB9">
        <w:trPr>
          <w:trHeight w:val="772"/>
        </w:trPr>
        <w:tc>
          <w:tcPr>
            <w:tcW w:w="2863" w:type="dxa"/>
          </w:tcPr>
          <w:p w:rsidR="00DE6DB9" w:rsidRDefault="00DE6DB9">
            <w:pPr>
              <w:pStyle w:val="TableParagraph"/>
              <w:spacing w:before="9"/>
              <w:rPr>
                <w:sz w:val="21"/>
              </w:rPr>
            </w:pPr>
          </w:p>
          <w:p w:rsidR="00DE6DB9" w:rsidRDefault="00361E6C">
            <w:pPr>
              <w:pStyle w:val="TableParagraph"/>
              <w:ind w:left="107"/>
              <w:rPr>
                <w:sz w:val="20"/>
              </w:rPr>
            </w:pPr>
            <w:r>
              <w:rPr>
                <w:sz w:val="20"/>
              </w:rPr>
              <w:t>Sales floor HVAC System Type</w:t>
            </w:r>
          </w:p>
        </w:tc>
        <w:tc>
          <w:tcPr>
            <w:tcW w:w="2537" w:type="dxa"/>
          </w:tcPr>
          <w:p w:rsidR="00DE6DB9" w:rsidRDefault="00361E6C">
            <w:pPr>
              <w:pStyle w:val="TableParagraph"/>
              <w:spacing w:before="20" w:line="240" w:lineRule="atLeast"/>
              <w:ind w:left="108" w:right="135"/>
              <w:rPr>
                <w:sz w:val="20"/>
              </w:rPr>
            </w:pPr>
            <w:r>
              <w:rPr>
                <w:sz w:val="20"/>
              </w:rPr>
              <w:t>Package Variable Volume Variable Temperature set to Constant Volume</w:t>
            </w:r>
          </w:p>
        </w:tc>
        <w:tc>
          <w:tcPr>
            <w:tcW w:w="3924" w:type="dxa"/>
          </w:tcPr>
          <w:p w:rsidR="00DE6DB9" w:rsidRDefault="00DE6DB9">
            <w:pPr>
              <w:pStyle w:val="TableParagraph"/>
              <w:spacing w:before="8"/>
            </w:pPr>
          </w:p>
          <w:p w:rsidR="00DE6DB9" w:rsidRDefault="00361E6C">
            <w:pPr>
              <w:pStyle w:val="TableParagraph"/>
              <w:ind w:left="107"/>
              <w:rPr>
                <w:sz w:val="18"/>
              </w:rPr>
            </w:pPr>
            <w:r>
              <w:rPr>
                <w:sz w:val="18"/>
              </w:rPr>
              <w:t>DEER 2020 Grocery Model</w:t>
            </w:r>
          </w:p>
        </w:tc>
      </w:tr>
      <w:tr w:rsidR="00DE6DB9">
        <w:trPr>
          <w:trHeight w:val="1036"/>
        </w:trPr>
        <w:tc>
          <w:tcPr>
            <w:tcW w:w="2863" w:type="dxa"/>
          </w:tcPr>
          <w:p w:rsidR="00DE6DB9" w:rsidRDefault="00DE6DB9">
            <w:pPr>
              <w:pStyle w:val="TableParagraph"/>
              <w:rPr>
                <w:sz w:val="20"/>
              </w:rPr>
            </w:pPr>
          </w:p>
          <w:p w:rsidR="00DE6DB9" w:rsidRDefault="00361E6C">
            <w:pPr>
              <w:pStyle w:val="TableParagraph"/>
              <w:spacing w:before="153"/>
              <w:ind w:left="107"/>
              <w:rPr>
                <w:sz w:val="20"/>
              </w:rPr>
            </w:pPr>
            <w:r>
              <w:rPr>
                <w:sz w:val="20"/>
              </w:rPr>
              <w:t>Sales Floor Cooling Capacity</w:t>
            </w:r>
          </w:p>
        </w:tc>
        <w:tc>
          <w:tcPr>
            <w:tcW w:w="2537" w:type="dxa"/>
          </w:tcPr>
          <w:p w:rsidR="00DE6DB9" w:rsidRDefault="00361E6C">
            <w:pPr>
              <w:pStyle w:val="TableParagraph"/>
              <w:spacing w:before="20" w:line="249" w:lineRule="auto"/>
              <w:ind w:left="108" w:right="153"/>
              <w:jc w:val="both"/>
              <w:rPr>
                <w:sz w:val="20"/>
              </w:rPr>
            </w:pPr>
            <w:r>
              <w:rPr>
                <w:sz w:val="20"/>
              </w:rPr>
              <w:t>Annual cooling peaks *1.15 (rounded up to the nearest 5 tons with minimum size</w:t>
            </w:r>
            <w:r>
              <w:rPr>
                <w:spacing w:val="-12"/>
                <w:sz w:val="20"/>
              </w:rPr>
              <w:t xml:space="preserve"> </w:t>
            </w:r>
            <w:r>
              <w:rPr>
                <w:sz w:val="20"/>
              </w:rPr>
              <w:t>of</w:t>
            </w:r>
          </w:p>
          <w:p w:rsidR="00DE6DB9" w:rsidRDefault="00361E6C">
            <w:pPr>
              <w:pStyle w:val="TableParagraph"/>
              <w:spacing w:line="234" w:lineRule="exact"/>
              <w:ind w:left="108"/>
              <w:jc w:val="both"/>
              <w:rPr>
                <w:sz w:val="20"/>
              </w:rPr>
            </w:pPr>
            <w:r>
              <w:rPr>
                <w:sz w:val="20"/>
              </w:rPr>
              <w:t>20 tons)</w:t>
            </w:r>
          </w:p>
        </w:tc>
        <w:tc>
          <w:tcPr>
            <w:tcW w:w="3924" w:type="dxa"/>
          </w:tcPr>
          <w:p w:rsidR="00DE6DB9" w:rsidRDefault="00DE6DB9">
            <w:pPr>
              <w:pStyle w:val="TableParagraph"/>
              <w:rPr>
                <w:sz w:val="18"/>
              </w:rPr>
            </w:pPr>
          </w:p>
          <w:p w:rsidR="00DE6DB9" w:rsidRDefault="00DE6DB9">
            <w:pPr>
              <w:pStyle w:val="TableParagraph"/>
              <w:spacing w:before="6"/>
              <w:rPr>
                <w:sz w:val="15"/>
              </w:rPr>
            </w:pPr>
          </w:p>
          <w:p w:rsidR="00DE6DB9" w:rsidRDefault="00361E6C">
            <w:pPr>
              <w:pStyle w:val="TableParagraph"/>
              <w:ind w:left="107"/>
              <w:rPr>
                <w:sz w:val="18"/>
              </w:rPr>
            </w:pPr>
            <w:r>
              <w:rPr>
                <w:sz w:val="18"/>
              </w:rPr>
              <w:t>Professional judgment of PECI engineering staff</w:t>
            </w:r>
          </w:p>
        </w:tc>
      </w:tr>
      <w:tr w:rsidR="00DE6DB9">
        <w:trPr>
          <w:trHeight w:val="791"/>
        </w:trPr>
        <w:tc>
          <w:tcPr>
            <w:tcW w:w="2863" w:type="dxa"/>
          </w:tcPr>
          <w:p w:rsidR="00DE6DB9" w:rsidRDefault="00DE6DB9">
            <w:pPr>
              <w:pStyle w:val="TableParagraph"/>
              <w:spacing w:before="6"/>
            </w:pPr>
          </w:p>
          <w:p w:rsidR="00DE6DB9" w:rsidRDefault="00361E6C">
            <w:pPr>
              <w:pStyle w:val="TableParagraph"/>
              <w:ind w:left="107"/>
              <w:rPr>
                <w:sz w:val="20"/>
              </w:rPr>
            </w:pPr>
            <w:r>
              <w:rPr>
                <w:sz w:val="20"/>
              </w:rPr>
              <w:t>Sales Floor Heating Capacity</w:t>
            </w:r>
          </w:p>
        </w:tc>
        <w:tc>
          <w:tcPr>
            <w:tcW w:w="2537" w:type="dxa"/>
          </w:tcPr>
          <w:p w:rsidR="00DE6DB9" w:rsidRDefault="00361E6C">
            <w:pPr>
              <w:pStyle w:val="TableParagraph"/>
              <w:spacing w:before="20"/>
              <w:ind w:left="107"/>
              <w:rPr>
                <w:sz w:val="20"/>
              </w:rPr>
            </w:pPr>
            <w:r>
              <w:rPr>
                <w:sz w:val="20"/>
              </w:rPr>
              <w:t>Annual heating peaks * 1.2</w:t>
            </w:r>
          </w:p>
          <w:p w:rsidR="00DE6DB9" w:rsidRDefault="00361E6C">
            <w:pPr>
              <w:pStyle w:val="TableParagraph"/>
              <w:spacing w:before="20" w:line="240" w:lineRule="atLeast"/>
              <w:ind w:left="107" w:right="217"/>
              <w:rPr>
                <w:sz w:val="20"/>
              </w:rPr>
            </w:pPr>
            <w:r>
              <w:rPr>
                <w:sz w:val="20"/>
              </w:rPr>
              <w:t>(rounded up to the nearest 100,000 Btu)</w:t>
            </w:r>
          </w:p>
        </w:tc>
        <w:tc>
          <w:tcPr>
            <w:tcW w:w="3924" w:type="dxa"/>
          </w:tcPr>
          <w:p w:rsidR="00DE6DB9" w:rsidRDefault="00DE6DB9">
            <w:pPr>
              <w:pStyle w:val="TableParagraph"/>
              <w:spacing w:before="6"/>
              <w:rPr>
                <w:sz w:val="23"/>
              </w:rPr>
            </w:pPr>
          </w:p>
          <w:p w:rsidR="00DE6DB9" w:rsidRDefault="00361E6C">
            <w:pPr>
              <w:pStyle w:val="TableParagraph"/>
              <w:ind w:left="107"/>
              <w:rPr>
                <w:sz w:val="18"/>
              </w:rPr>
            </w:pPr>
            <w:r>
              <w:rPr>
                <w:sz w:val="18"/>
              </w:rPr>
              <w:t>Professional judgment of PECI engineering staff</w:t>
            </w:r>
          </w:p>
        </w:tc>
      </w:tr>
      <w:tr w:rsidR="00DE6DB9">
        <w:trPr>
          <w:trHeight w:val="530"/>
        </w:trPr>
        <w:tc>
          <w:tcPr>
            <w:tcW w:w="2863" w:type="dxa"/>
          </w:tcPr>
          <w:p w:rsidR="00DE6DB9" w:rsidRDefault="00361E6C">
            <w:pPr>
              <w:pStyle w:val="TableParagraph"/>
              <w:spacing w:before="143"/>
              <w:ind w:left="107"/>
              <w:rPr>
                <w:sz w:val="20"/>
              </w:rPr>
            </w:pPr>
            <w:r>
              <w:rPr>
                <w:sz w:val="20"/>
              </w:rPr>
              <w:t>Sales Floor Design Supply Air</w:t>
            </w:r>
          </w:p>
        </w:tc>
        <w:tc>
          <w:tcPr>
            <w:tcW w:w="2537" w:type="dxa"/>
          </w:tcPr>
          <w:p w:rsidR="00DE6DB9" w:rsidRDefault="00361E6C">
            <w:pPr>
              <w:pStyle w:val="TableParagraph"/>
              <w:spacing w:before="20"/>
              <w:ind w:left="107"/>
              <w:rPr>
                <w:sz w:val="20"/>
              </w:rPr>
            </w:pPr>
            <w:r>
              <w:rPr>
                <w:sz w:val="20"/>
              </w:rPr>
              <w:t>37,200 cfm (equal to 0.85 cfm/ft</w:t>
            </w:r>
            <w:r>
              <w:rPr>
                <w:sz w:val="20"/>
                <w:vertAlign w:val="superscript"/>
              </w:rPr>
              <w:t>2</w:t>
            </w:r>
            <w:r>
              <w:rPr>
                <w:sz w:val="20"/>
              </w:rPr>
              <w:t>)</w:t>
            </w:r>
          </w:p>
        </w:tc>
        <w:tc>
          <w:tcPr>
            <w:tcW w:w="3924" w:type="dxa"/>
          </w:tcPr>
          <w:p w:rsidR="00DE6DB9" w:rsidRDefault="00361E6C">
            <w:pPr>
              <w:pStyle w:val="TableParagraph"/>
              <w:spacing w:before="155"/>
              <w:ind w:left="107"/>
              <w:rPr>
                <w:sz w:val="18"/>
              </w:rPr>
            </w:pPr>
            <w:r>
              <w:rPr>
                <w:sz w:val="18"/>
              </w:rPr>
              <w:t>Professional judgment of PECI engineering staff</w:t>
            </w:r>
          </w:p>
        </w:tc>
      </w:tr>
    </w:tbl>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6"/>
        <w:rPr>
          <w:sz w:val="24"/>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63"/>
        <w:gridCol w:w="2537"/>
        <w:gridCol w:w="3924"/>
      </w:tblGrid>
      <w:tr w:rsidR="00DE6DB9">
        <w:trPr>
          <w:trHeight w:val="285"/>
        </w:trPr>
        <w:tc>
          <w:tcPr>
            <w:tcW w:w="2863" w:type="dxa"/>
            <w:shd w:val="clear" w:color="auto" w:fill="F1F1F1"/>
          </w:tcPr>
          <w:p w:rsidR="00DE6DB9" w:rsidRDefault="00361E6C">
            <w:pPr>
              <w:pStyle w:val="TableParagraph"/>
              <w:spacing w:before="23" w:line="242" w:lineRule="exact"/>
              <w:ind w:left="107"/>
              <w:rPr>
                <w:sz w:val="20"/>
              </w:rPr>
            </w:pPr>
            <w:r>
              <w:rPr>
                <w:sz w:val="20"/>
              </w:rPr>
              <w:t>Building Characteristic</w:t>
            </w:r>
          </w:p>
        </w:tc>
        <w:tc>
          <w:tcPr>
            <w:tcW w:w="2537" w:type="dxa"/>
            <w:shd w:val="clear" w:color="auto" w:fill="F1F1F1"/>
          </w:tcPr>
          <w:p w:rsidR="00DE6DB9" w:rsidRDefault="00361E6C">
            <w:pPr>
              <w:pStyle w:val="TableParagraph"/>
              <w:spacing w:before="23" w:line="242" w:lineRule="exact"/>
              <w:ind w:left="813"/>
              <w:rPr>
                <w:sz w:val="20"/>
              </w:rPr>
            </w:pPr>
            <w:r>
              <w:rPr>
                <w:sz w:val="20"/>
              </w:rPr>
              <w:t>Input Value</w:t>
            </w:r>
          </w:p>
        </w:tc>
        <w:tc>
          <w:tcPr>
            <w:tcW w:w="3924" w:type="dxa"/>
            <w:shd w:val="clear" w:color="auto" w:fill="F1F1F1"/>
          </w:tcPr>
          <w:p w:rsidR="00DE6DB9" w:rsidRDefault="00361E6C">
            <w:pPr>
              <w:pStyle w:val="TableParagraph"/>
              <w:spacing w:before="23" w:line="242" w:lineRule="exact"/>
              <w:ind w:left="1665" w:right="1656"/>
              <w:jc w:val="center"/>
              <w:rPr>
                <w:sz w:val="20"/>
              </w:rPr>
            </w:pPr>
            <w:r>
              <w:rPr>
                <w:sz w:val="20"/>
              </w:rPr>
              <w:t>Source</w:t>
            </w:r>
          </w:p>
        </w:tc>
      </w:tr>
      <w:tr w:rsidR="00DE6DB9">
        <w:trPr>
          <w:trHeight w:val="918"/>
        </w:trPr>
        <w:tc>
          <w:tcPr>
            <w:tcW w:w="2863" w:type="dxa"/>
          </w:tcPr>
          <w:p w:rsidR="00DE6DB9" w:rsidRDefault="00DE6DB9">
            <w:pPr>
              <w:pStyle w:val="TableParagraph"/>
              <w:spacing w:before="10"/>
              <w:rPr>
                <w:sz w:val="27"/>
              </w:rPr>
            </w:pPr>
          </w:p>
          <w:p w:rsidR="00DE6DB9" w:rsidRDefault="00361E6C">
            <w:pPr>
              <w:pStyle w:val="TableParagraph"/>
              <w:ind w:left="107"/>
              <w:rPr>
                <w:sz w:val="20"/>
              </w:rPr>
            </w:pPr>
            <w:r>
              <w:rPr>
                <w:sz w:val="20"/>
              </w:rPr>
              <w:t>Outside Air</w:t>
            </w:r>
          </w:p>
        </w:tc>
        <w:tc>
          <w:tcPr>
            <w:tcW w:w="2537" w:type="dxa"/>
          </w:tcPr>
          <w:p w:rsidR="00DE6DB9" w:rsidRDefault="00DE6DB9">
            <w:pPr>
              <w:pStyle w:val="TableParagraph"/>
              <w:spacing w:before="10"/>
              <w:rPr>
                <w:sz w:val="27"/>
              </w:rPr>
            </w:pPr>
          </w:p>
          <w:p w:rsidR="00DE6DB9" w:rsidRDefault="00361E6C">
            <w:pPr>
              <w:pStyle w:val="TableParagraph"/>
              <w:ind w:left="108"/>
              <w:rPr>
                <w:sz w:val="20"/>
              </w:rPr>
            </w:pPr>
            <w:r>
              <w:rPr>
                <w:sz w:val="20"/>
              </w:rPr>
              <w:t>15 cfm per person</w:t>
            </w:r>
          </w:p>
        </w:tc>
        <w:tc>
          <w:tcPr>
            <w:tcW w:w="3924" w:type="dxa"/>
          </w:tcPr>
          <w:p w:rsidR="00DE6DB9" w:rsidRDefault="00361E6C">
            <w:pPr>
              <w:pStyle w:val="TableParagraph"/>
              <w:spacing w:before="20"/>
              <w:ind w:left="107" w:right="113"/>
              <w:rPr>
                <w:sz w:val="18"/>
              </w:rPr>
            </w:pPr>
            <w:r>
              <w:rPr>
                <w:sz w:val="18"/>
              </w:rPr>
              <w:t>American Society of Heating, Refrigerating and Air- Conditioning Engineers, Inc. (ASHRAE). 2016.</w:t>
            </w:r>
          </w:p>
          <w:p w:rsidR="00DE6DB9" w:rsidRDefault="00361E6C">
            <w:pPr>
              <w:pStyle w:val="TableParagraph"/>
              <w:spacing w:line="219" w:lineRule="exact"/>
              <w:ind w:left="107"/>
              <w:rPr>
                <w:i/>
                <w:sz w:val="18"/>
              </w:rPr>
            </w:pPr>
            <w:r>
              <w:rPr>
                <w:i/>
                <w:sz w:val="18"/>
              </w:rPr>
              <w:t>ASHRAE Standard 62</w:t>
            </w:r>
            <w:r>
              <w:rPr>
                <w:sz w:val="18"/>
              </w:rPr>
              <w:t xml:space="preserve">. </w:t>
            </w:r>
            <w:r>
              <w:rPr>
                <w:i/>
                <w:sz w:val="18"/>
              </w:rPr>
              <w:t xml:space="preserve">Ventilation for Acceptable </w:t>
            </w:r>
          </w:p>
          <w:p w:rsidR="00DE6DB9" w:rsidRDefault="00361E6C">
            <w:pPr>
              <w:pStyle w:val="TableParagraph"/>
              <w:spacing w:before="1" w:line="218" w:lineRule="exact"/>
              <w:ind w:left="107"/>
              <w:rPr>
                <w:sz w:val="18"/>
              </w:rPr>
            </w:pPr>
            <w:r>
              <w:rPr>
                <w:i/>
                <w:sz w:val="18"/>
              </w:rPr>
              <w:t xml:space="preserve">Indoor Air Quality. </w:t>
            </w:r>
            <w:r>
              <w:rPr>
                <w:sz w:val="18"/>
              </w:rPr>
              <w:t>Atlanta (GA): ASHRAE.</w:t>
            </w:r>
          </w:p>
        </w:tc>
      </w:tr>
      <w:tr w:rsidR="00DE6DB9">
        <w:trPr>
          <w:trHeight w:val="1017"/>
        </w:trPr>
        <w:tc>
          <w:tcPr>
            <w:tcW w:w="2863" w:type="dxa"/>
          </w:tcPr>
          <w:p w:rsidR="00DE6DB9" w:rsidRDefault="00DE6DB9">
            <w:pPr>
              <w:pStyle w:val="TableParagraph"/>
              <w:rPr>
                <w:sz w:val="20"/>
              </w:rPr>
            </w:pPr>
          </w:p>
          <w:p w:rsidR="00DE6DB9" w:rsidRDefault="00361E6C">
            <w:pPr>
              <w:pStyle w:val="TableParagraph"/>
              <w:spacing w:before="143"/>
              <w:ind w:left="107"/>
              <w:rPr>
                <w:sz w:val="20"/>
              </w:rPr>
            </w:pPr>
            <w:r>
              <w:rPr>
                <w:sz w:val="20"/>
              </w:rPr>
              <w:t>Refrigeration System</w:t>
            </w:r>
          </w:p>
        </w:tc>
        <w:tc>
          <w:tcPr>
            <w:tcW w:w="2537" w:type="dxa"/>
          </w:tcPr>
          <w:p w:rsidR="00DE6DB9" w:rsidRDefault="00361E6C">
            <w:pPr>
              <w:pStyle w:val="TableParagraph"/>
              <w:spacing w:before="23"/>
              <w:ind w:left="108" w:right="202"/>
              <w:rPr>
                <w:sz w:val="20"/>
              </w:rPr>
            </w:pPr>
            <w:r>
              <w:rPr>
                <w:sz w:val="20"/>
              </w:rPr>
              <w:t>Mix of multiplex and stand- alone compressors, air- cooled condensers in most</w:t>
            </w:r>
          </w:p>
          <w:p w:rsidR="00DE6DB9" w:rsidRDefault="00361E6C">
            <w:pPr>
              <w:pStyle w:val="TableParagraph"/>
              <w:spacing w:line="242" w:lineRule="exact"/>
              <w:ind w:left="108"/>
              <w:rPr>
                <w:sz w:val="20"/>
              </w:rPr>
            </w:pPr>
            <w:r>
              <w:rPr>
                <w:sz w:val="20"/>
              </w:rPr>
              <w:t>climate zones.</w:t>
            </w:r>
          </w:p>
        </w:tc>
        <w:tc>
          <w:tcPr>
            <w:tcW w:w="3924" w:type="dxa"/>
          </w:tcPr>
          <w:p w:rsidR="00DE6DB9" w:rsidRDefault="00DE6DB9">
            <w:pPr>
              <w:pStyle w:val="TableParagraph"/>
              <w:spacing w:before="8"/>
              <w:rPr>
                <w:sz w:val="23"/>
              </w:rPr>
            </w:pPr>
          </w:p>
          <w:p w:rsidR="00DE6DB9" w:rsidRDefault="00361E6C">
            <w:pPr>
              <w:pStyle w:val="TableParagraph"/>
              <w:ind w:left="107" w:right="456"/>
              <w:rPr>
                <w:sz w:val="18"/>
              </w:rPr>
            </w:pPr>
            <w:r>
              <w:rPr>
                <w:sz w:val="18"/>
              </w:rPr>
              <w:t>PECI. 2014. “Program Audit Data.” Proprietary Database.</w:t>
            </w:r>
          </w:p>
        </w:tc>
      </w:tr>
      <w:tr w:rsidR="00DE6DB9">
        <w:trPr>
          <w:trHeight w:val="921"/>
        </w:trPr>
        <w:tc>
          <w:tcPr>
            <w:tcW w:w="2863" w:type="dxa"/>
          </w:tcPr>
          <w:p w:rsidR="00DE6DB9" w:rsidRDefault="00DE6DB9">
            <w:pPr>
              <w:pStyle w:val="TableParagraph"/>
              <w:spacing w:before="10"/>
              <w:rPr>
                <w:sz w:val="27"/>
              </w:rPr>
            </w:pPr>
          </w:p>
          <w:p w:rsidR="00DE6DB9" w:rsidRDefault="00361E6C">
            <w:pPr>
              <w:pStyle w:val="TableParagraph"/>
              <w:ind w:left="107"/>
              <w:rPr>
                <w:sz w:val="20"/>
              </w:rPr>
            </w:pPr>
            <w:r>
              <w:rPr>
                <w:sz w:val="20"/>
              </w:rPr>
              <w:t>Occupancy schedule</w:t>
            </w:r>
          </w:p>
        </w:tc>
        <w:tc>
          <w:tcPr>
            <w:tcW w:w="2537" w:type="dxa"/>
          </w:tcPr>
          <w:p w:rsidR="00DE6DB9" w:rsidRDefault="00361E6C">
            <w:pPr>
              <w:pStyle w:val="TableParagraph"/>
              <w:spacing w:before="95"/>
              <w:ind w:left="107" w:right="212"/>
              <w:rPr>
                <w:sz w:val="20"/>
              </w:rPr>
            </w:pPr>
            <w:r>
              <w:rPr>
                <w:sz w:val="20"/>
              </w:rPr>
              <w:t>Varies throughout day with peak occupancy at 125 ft</w:t>
            </w:r>
            <w:r>
              <w:rPr>
                <w:sz w:val="20"/>
                <w:vertAlign w:val="superscript"/>
              </w:rPr>
              <w:t>2</w:t>
            </w:r>
            <w:r>
              <w:rPr>
                <w:sz w:val="20"/>
              </w:rPr>
              <w:t xml:space="preserve"> per person</w:t>
            </w:r>
          </w:p>
        </w:tc>
        <w:tc>
          <w:tcPr>
            <w:tcW w:w="3924" w:type="dxa"/>
          </w:tcPr>
          <w:p w:rsidR="00DE6DB9" w:rsidRDefault="00361E6C">
            <w:pPr>
              <w:pStyle w:val="TableParagraph"/>
              <w:spacing w:before="20" w:line="220" w:lineRule="atLeast"/>
              <w:ind w:left="107" w:right="203"/>
              <w:rPr>
                <w:sz w:val="18"/>
              </w:rPr>
            </w:pPr>
            <w:r>
              <w:rPr>
                <w:sz w:val="18"/>
              </w:rPr>
              <w:t xml:space="preserve">National Renewable Energy Laboratory (NREL). 2008. </w:t>
            </w:r>
            <w:r>
              <w:rPr>
                <w:i/>
                <w:sz w:val="18"/>
              </w:rPr>
              <w:t xml:space="preserve">Technical Support Document: Development of the Advanced Energy Design Guide for Grocery Stores-50% Energy Savings. </w:t>
            </w:r>
            <w:r>
              <w:rPr>
                <w:sz w:val="18"/>
              </w:rPr>
              <w:t>NREL/TP-550-42829.</w:t>
            </w:r>
          </w:p>
        </w:tc>
      </w:tr>
    </w:tbl>
    <w:p w:rsidR="00DE6DB9" w:rsidRDefault="00DE6DB9">
      <w:pPr>
        <w:pStyle w:val="BodyText"/>
        <w:rPr>
          <w:sz w:val="20"/>
        </w:rPr>
      </w:pPr>
    </w:p>
    <w:p w:rsidR="00DE6DB9" w:rsidRDefault="00DE6DB9">
      <w:pPr>
        <w:pStyle w:val="BodyText"/>
        <w:rPr>
          <w:sz w:val="17"/>
        </w:rPr>
      </w:pPr>
    </w:p>
    <w:p w:rsidR="00DE6DB9" w:rsidRDefault="00361E6C">
      <w:pPr>
        <w:pStyle w:val="BodyText"/>
        <w:spacing w:before="56"/>
        <w:ind w:left="119" w:right="343"/>
      </w:pPr>
      <w:r>
        <w:t xml:space="preserve">The refrigeration system is the primary building system impacted by the measure, with secondary impacts on the HVAC system. Accordingly, the modeled refrigeration system arrangements represented current grocery building stock and the HVAC system was adequately sized to maintain a store temperature of 70 </w:t>
      </w:r>
      <w:r>
        <w:rPr>
          <w:position w:val="8"/>
          <w:sz w:val="14"/>
        </w:rPr>
        <w:t>o</w:t>
      </w:r>
      <w:r>
        <w:t>F. This temperature setpoint is the average temperature recorded by ADM &amp; Associates as part of its research for the 2010 High Impact Measure (HIM) report on door gaskets.</w:t>
      </w:r>
      <w:hyperlink w:anchor="_bookmark9" w:history="1">
        <w:r>
          <w:rPr>
            <w:vertAlign w:val="superscript"/>
          </w:rPr>
          <w:t>10</w:t>
        </w:r>
      </w:hyperlink>
    </w:p>
    <w:p w:rsidR="00DE6DB9" w:rsidRDefault="00361E6C">
      <w:pPr>
        <w:pStyle w:val="BodyText"/>
        <w:spacing w:before="115"/>
        <w:ind w:left="119" w:right="413"/>
      </w:pPr>
      <w:r>
        <w:t>The average whole-building energy use intensity (EUI) of the base case models was equal to 177 kBtu/yr- ft</w:t>
      </w:r>
      <w:r>
        <w:rPr>
          <w:vertAlign w:val="superscript"/>
        </w:rPr>
        <w:t>2</w:t>
      </w:r>
      <w:r>
        <w:t>. For comparison, one analysis of the CBECS data from 2003 found an average EUI of 203.6 kBtu/yr-ft</w:t>
      </w:r>
      <w:r>
        <w:rPr>
          <w:vertAlign w:val="superscript"/>
        </w:rPr>
        <w:t>2</w:t>
      </w:r>
      <w:r>
        <w:t xml:space="preserve"> for grocery sites within ASHRAE climate zone 3, which covers most of California.</w:t>
      </w:r>
      <w:hyperlink w:anchor="_bookmark10" w:history="1">
        <w:r>
          <w:rPr>
            <w:vertAlign w:val="superscript"/>
          </w:rPr>
          <w:t>11</w:t>
        </w:r>
        <w:r>
          <w:t xml:space="preserve"> </w:t>
        </w:r>
      </w:hyperlink>
      <w:r>
        <w:t>Another analysis of the same data conducted by the Oakridge National Laboratory in support of the ASHRAE standard 100 -2006 revision</w:t>
      </w:r>
      <w:hyperlink w:anchor="_bookmark11" w:history="1">
        <w:r>
          <w:rPr>
            <w:vertAlign w:val="superscript"/>
          </w:rPr>
          <w:t>12</w:t>
        </w:r>
        <w:r>
          <w:t xml:space="preserve"> </w:t>
        </w:r>
      </w:hyperlink>
      <w:r>
        <w:t>shows grocery median values in ASHRAE climate zone 3b and 3c as 163 kBtu/yr-ft</w:t>
      </w:r>
      <w:r>
        <w:rPr>
          <w:vertAlign w:val="superscript"/>
        </w:rPr>
        <w:t>2</w:t>
      </w:r>
      <w:r>
        <w:t xml:space="preserve"> to 169 kBtu/yr-ft</w:t>
      </w:r>
      <w:r>
        <w:rPr>
          <w:vertAlign w:val="superscript"/>
        </w:rPr>
        <w:t>2</w:t>
      </w:r>
      <w:r>
        <w:t xml:space="preserve"> and 178 kBtu/yr-ft</w:t>
      </w:r>
      <w:r>
        <w:rPr>
          <w:vertAlign w:val="superscript"/>
        </w:rPr>
        <w:t>2</w:t>
      </w:r>
      <w:r>
        <w:t>, respectively.</w:t>
      </w:r>
    </w:p>
    <w:p w:rsidR="00DE6DB9" w:rsidRDefault="00DE6DB9">
      <w:pPr>
        <w:pStyle w:val="BodyText"/>
        <w:rPr>
          <w:sz w:val="24"/>
        </w:rPr>
      </w:pPr>
    </w:p>
    <w:p w:rsidR="00DE6DB9" w:rsidRDefault="00361E6C">
      <w:pPr>
        <w:pStyle w:val="BodyText"/>
        <w:spacing w:before="215"/>
        <w:ind w:left="118" w:right="447" w:firstLine="1"/>
      </w:pPr>
      <w:r>
        <w:t>Measure Case Energy Consumption Model. The energy consumption of the measure case display cases was modeled with remote compressors and air-cooled condensers, except for CEC climate zones 15 and 16 where an evaporative-cooled condenser was used in the model. There was no modeling of integral units (i.e. display cases with compressor and condenser contained within case). Most of the open vertical cases are on a suction group connected to a multiplex compressor system, with the minority served by a stand-alone compressor in a condensing unit (i.e. a packaged compressor and condenser). Portland Energy Conservation, Inc. (PECI) expert staff indicated multiplex systems comprise a large share of the target market for this measure; therefore, multiplex systems were designated for the measure case modeled refrigeration systems. A survey of EnergySmart Grocer auditors and grocery store design engineers revealed that 90% of stand-alone refrigeration compressors are in condensing units and 10%</w:t>
      </w:r>
    </w:p>
    <w:p w:rsidR="00DE6DB9" w:rsidRDefault="00DE6DB9">
      <w:pPr>
        <w:pStyle w:val="BodyText"/>
        <w:rPr>
          <w:sz w:val="20"/>
        </w:rPr>
      </w:pPr>
    </w:p>
    <w:p w:rsidR="00DE6DB9" w:rsidRDefault="0088103E">
      <w:pPr>
        <w:pStyle w:val="BodyText"/>
        <w:spacing w:before="2"/>
        <w:rPr>
          <w:sz w:val="25"/>
        </w:rPr>
      </w:pPr>
      <w:r>
        <w:rPr>
          <w:noProof/>
          <w:lang w:bidi="ar-SA"/>
        </w:rPr>
        <mc:AlternateContent>
          <mc:Choice Requires="wps">
            <w:drawing>
              <wp:anchor distT="0" distB="0" distL="0" distR="0" simplePos="0" relativeHeight="251658240" behindDoc="1" locked="0" layoutInCell="1" allowOverlap="1">
                <wp:simplePos x="0" y="0"/>
                <wp:positionH relativeFrom="page">
                  <wp:posOffset>914400</wp:posOffset>
                </wp:positionH>
                <wp:positionV relativeFrom="paragraph">
                  <wp:posOffset>225425</wp:posOffset>
                </wp:positionV>
                <wp:extent cx="1828800" cy="0"/>
                <wp:effectExtent l="9525" t="6350" r="9525" b="12700"/>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7.75pt" to="3in,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3"/>
        <w:rPr>
          <w:sz w:val="19"/>
        </w:rPr>
      </w:pPr>
    </w:p>
    <w:p w:rsidR="00DE6DB9" w:rsidRDefault="00361E6C">
      <w:pPr>
        <w:spacing w:before="95"/>
        <w:ind w:left="120" w:right="450"/>
        <w:rPr>
          <w:sz w:val="18"/>
        </w:rPr>
      </w:pPr>
      <w:bookmarkStart w:id="28" w:name="_bookmark9"/>
      <w:bookmarkEnd w:id="28"/>
      <w:r>
        <w:rPr>
          <w:rFonts w:ascii="Arial"/>
          <w:position w:val="7"/>
          <w:sz w:val="12"/>
        </w:rPr>
        <w:t xml:space="preserve">10 </w:t>
      </w:r>
      <w:r>
        <w:rPr>
          <w:sz w:val="18"/>
        </w:rPr>
        <w:t xml:space="preserve">ADM Associates, Inc. 2010. </w:t>
      </w:r>
      <w:r>
        <w:rPr>
          <w:i/>
          <w:sz w:val="18"/>
        </w:rPr>
        <w:t xml:space="preserve">Commercial Facilities Contract Group 2006-2008 Direct Impact Evaluation Study ID: PUC0016.01, Final Report. </w:t>
      </w:r>
      <w:r>
        <w:rPr>
          <w:sz w:val="18"/>
        </w:rPr>
        <w:t>Prepared for the California Public Utilities Commission. Page 5-14. Table 5-7.</w:t>
      </w:r>
    </w:p>
    <w:p w:rsidR="00DE6DB9" w:rsidRDefault="00361E6C">
      <w:pPr>
        <w:spacing w:before="116"/>
        <w:ind w:left="120" w:right="450"/>
        <w:rPr>
          <w:sz w:val="18"/>
        </w:rPr>
      </w:pPr>
      <w:bookmarkStart w:id="29" w:name="_bookmark10"/>
      <w:bookmarkEnd w:id="29"/>
      <w:r>
        <w:rPr>
          <w:rFonts w:ascii="Arial"/>
          <w:position w:val="7"/>
          <w:sz w:val="12"/>
        </w:rPr>
        <w:t xml:space="preserve">11 </w:t>
      </w:r>
      <w:r>
        <w:rPr>
          <w:sz w:val="18"/>
        </w:rPr>
        <w:t xml:space="preserve">National Renewable Energy Laboratory (NREL). 2008. </w:t>
      </w:r>
      <w:r>
        <w:rPr>
          <w:i/>
          <w:sz w:val="18"/>
        </w:rPr>
        <w:t xml:space="preserve">Technical Support Document: Development of the Advanced Energy Design Guide for Grocery Stores-50% Energy Savings. </w:t>
      </w:r>
      <w:r>
        <w:rPr>
          <w:sz w:val="18"/>
        </w:rPr>
        <w:t>NREL/TP-550-42829. Page 24.</w:t>
      </w:r>
    </w:p>
    <w:p w:rsidR="00DE6DB9" w:rsidRDefault="00361E6C">
      <w:pPr>
        <w:spacing w:before="116"/>
        <w:ind w:left="120" w:right="450"/>
        <w:rPr>
          <w:sz w:val="18"/>
        </w:rPr>
      </w:pPr>
      <w:bookmarkStart w:id="30" w:name="_bookmark11"/>
      <w:bookmarkEnd w:id="30"/>
      <w:r>
        <w:rPr>
          <w:rFonts w:ascii="Arial" w:hAnsi="Arial"/>
          <w:position w:val="7"/>
          <w:sz w:val="12"/>
        </w:rPr>
        <w:t xml:space="preserve">12 </w:t>
      </w:r>
      <w:r>
        <w:rPr>
          <w:sz w:val="18"/>
        </w:rPr>
        <w:t xml:space="preserve">Sharp, T. (ORNL). 2010. “Developing Building Energy Use Intensity Benchmarks for Standard 100 Energy Targets.” </w:t>
      </w:r>
      <w:r>
        <w:rPr>
          <w:i/>
          <w:sz w:val="18"/>
        </w:rPr>
        <w:t xml:space="preserve">ASHRAE Annual Conference. </w:t>
      </w:r>
      <w:r>
        <w:rPr>
          <w:sz w:val="18"/>
        </w:rPr>
        <w:t>Albuquerque, NM. June 27.</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4"/>
        <w:rPr>
          <w:sz w:val="18"/>
        </w:rPr>
      </w:pPr>
    </w:p>
    <w:p w:rsidR="00DE6DB9" w:rsidRDefault="00361E6C">
      <w:pPr>
        <w:pStyle w:val="BodyText"/>
        <w:spacing w:before="75"/>
        <w:ind w:left="119" w:right="1436"/>
      </w:pPr>
      <w:r>
        <w:t>are with remote compressors.</w:t>
      </w:r>
      <w:hyperlink w:anchor="_bookmark12" w:history="1">
        <w:r>
          <w:rPr>
            <w:vertAlign w:val="superscript"/>
          </w:rPr>
          <w:t>13</w:t>
        </w:r>
        <w:r>
          <w:t xml:space="preserve"> </w:t>
        </w:r>
      </w:hyperlink>
      <w:r>
        <w:t>The stand-alone systems modeled for this measure used only compressors in condensing units with one fan.</w:t>
      </w:r>
      <w:hyperlink w:anchor="_bookmark13" w:history="1">
        <w:r>
          <w:rPr>
            <w:vertAlign w:val="superscript"/>
          </w:rPr>
          <w:t>14</w:t>
        </w:r>
      </w:hyperlink>
    </w:p>
    <w:p w:rsidR="00DE6DB9" w:rsidRDefault="00361E6C">
      <w:pPr>
        <w:pStyle w:val="BodyText"/>
        <w:spacing w:before="120"/>
        <w:ind w:left="119" w:right="926"/>
      </w:pPr>
      <w:r>
        <w:t>The base case and measure case models for each climate zone are identical, except for the changes detailed in the tables below.</w:t>
      </w:r>
    </w:p>
    <w:p w:rsidR="00DE6DB9" w:rsidRDefault="00DE6DB9">
      <w:pPr>
        <w:pStyle w:val="BodyText"/>
        <w:spacing w:before="3"/>
        <w:rPr>
          <w:sz w:val="23"/>
        </w:rPr>
      </w:pPr>
    </w:p>
    <w:p w:rsidR="00DE6DB9" w:rsidRDefault="00361E6C">
      <w:pPr>
        <w:ind w:left="120"/>
        <w:rPr>
          <w:sz w:val="20"/>
        </w:rPr>
      </w:pPr>
      <w:r>
        <w:rPr>
          <w:sz w:val="20"/>
        </w:rPr>
        <w:t>Model Modifications – Base Case</w:t>
      </w:r>
    </w:p>
    <w:p w:rsidR="00DE6DB9" w:rsidRDefault="00DE6DB9">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50"/>
        <w:gridCol w:w="2100"/>
        <w:gridCol w:w="1793"/>
        <w:gridCol w:w="1663"/>
        <w:gridCol w:w="1944"/>
      </w:tblGrid>
      <w:tr w:rsidR="00DE6DB9">
        <w:trPr>
          <w:trHeight w:val="527"/>
        </w:trPr>
        <w:tc>
          <w:tcPr>
            <w:tcW w:w="1850" w:type="dxa"/>
            <w:shd w:val="clear" w:color="auto" w:fill="F1F1F1"/>
          </w:tcPr>
          <w:p w:rsidR="00DE6DB9" w:rsidRDefault="00361E6C">
            <w:pPr>
              <w:pStyle w:val="TableParagraph"/>
              <w:spacing w:before="143"/>
              <w:ind w:left="115"/>
              <w:rPr>
                <w:sz w:val="20"/>
              </w:rPr>
            </w:pPr>
            <w:r>
              <w:rPr>
                <w:sz w:val="20"/>
              </w:rPr>
              <w:t>Input Description</w:t>
            </w:r>
          </w:p>
        </w:tc>
        <w:tc>
          <w:tcPr>
            <w:tcW w:w="2100" w:type="dxa"/>
            <w:shd w:val="clear" w:color="auto" w:fill="F1F1F1"/>
          </w:tcPr>
          <w:p w:rsidR="00DE6DB9" w:rsidRDefault="00DE6DB9">
            <w:pPr>
              <w:pStyle w:val="TableParagraph"/>
              <w:spacing w:before="9"/>
              <w:rPr>
                <w:sz w:val="21"/>
              </w:rPr>
            </w:pPr>
          </w:p>
          <w:p w:rsidR="00DE6DB9" w:rsidRDefault="00361E6C">
            <w:pPr>
              <w:pStyle w:val="TableParagraph"/>
              <w:spacing w:line="242" w:lineRule="exact"/>
              <w:ind w:left="228"/>
              <w:rPr>
                <w:sz w:val="20"/>
              </w:rPr>
            </w:pPr>
            <w:r>
              <w:rPr>
                <w:sz w:val="20"/>
              </w:rPr>
              <w:t>DOE2.2 Components</w:t>
            </w:r>
          </w:p>
        </w:tc>
        <w:tc>
          <w:tcPr>
            <w:tcW w:w="1793" w:type="dxa"/>
            <w:shd w:val="clear" w:color="auto" w:fill="F1F1F1"/>
          </w:tcPr>
          <w:p w:rsidR="00DE6DB9" w:rsidRDefault="00361E6C">
            <w:pPr>
              <w:pStyle w:val="TableParagraph"/>
              <w:spacing w:before="20" w:line="240" w:lineRule="atLeast"/>
              <w:ind w:left="686" w:hanging="454"/>
              <w:rPr>
                <w:sz w:val="20"/>
              </w:rPr>
            </w:pPr>
            <w:r>
              <w:rPr>
                <w:sz w:val="20"/>
              </w:rPr>
              <w:t>DOE2.2 Keyword Input</w:t>
            </w:r>
          </w:p>
        </w:tc>
        <w:tc>
          <w:tcPr>
            <w:tcW w:w="1663" w:type="dxa"/>
            <w:shd w:val="clear" w:color="auto" w:fill="F1F1F1"/>
          </w:tcPr>
          <w:p w:rsidR="00DE6DB9" w:rsidRDefault="00DE6DB9">
            <w:pPr>
              <w:pStyle w:val="TableParagraph"/>
              <w:spacing w:before="9"/>
              <w:rPr>
                <w:sz w:val="21"/>
              </w:rPr>
            </w:pPr>
          </w:p>
          <w:p w:rsidR="00DE6DB9" w:rsidRDefault="00361E6C">
            <w:pPr>
              <w:pStyle w:val="TableParagraph"/>
              <w:spacing w:line="242" w:lineRule="exact"/>
              <w:ind w:left="349" w:right="339"/>
              <w:jc w:val="center"/>
              <w:rPr>
                <w:sz w:val="20"/>
              </w:rPr>
            </w:pPr>
            <w:r>
              <w:rPr>
                <w:sz w:val="20"/>
              </w:rPr>
              <w:t>Input Value</w:t>
            </w:r>
          </w:p>
        </w:tc>
        <w:tc>
          <w:tcPr>
            <w:tcW w:w="1944" w:type="dxa"/>
            <w:shd w:val="clear" w:color="auto" w:fill="F1F1F1"/>
          </w:tcPr>
          <w:p w:rsidR="00DE6DB9" w:rsidRDefault="00DE6DB9">
            <w:pPr>
              <w:pStyle w:val="TableParagraph"/>
              <w:spacing w:before="9"/>
              <w:rPr>
                <w:sz w:val="21"/>
              </w:rPr>
            </w:pPr>
          </w:p>
          <w:p w:rsidR="00DE6DB9" w:rsidRDefault="00361E6C">
            <w:pPr>
              <w:pStyle w:val="TableParagraph"/>
              <w:spacing w:line="242" w:lineRule="exact"/>
              <w:ind w:left="175" w:right="167"/>
              <w:jc w:val="center"/>
              <w:rPr>
                <w:sz w:val="20"/>
              </w:rPr>
            </w:pPr>
            <w:r>
              <w:rPr>
                <w:sz w:val="20"/>
              </w:rPr>
              <w:t>Explanation</w:t>
            </w:r>
          </w:p>
        </w:tc>
      </w:tr>
      <w:tr w:rsidR="00DE6DB9">
        <w:trPr>
          <w:trHeight w:val="1077"/>
        </w:trPr>
        <w:tc>
          <w:tcPr>
            <w:tcW w:w="1850" w:type="dxa"/>
          </w:tcPr>
          <w:p w:rsidR="00DE6DB9" w:rsidRDefault="00DE6DB9">
            <w:pPr>
              <w:pStyle w:val="TableParagraph"/>
              <w:rPr>
                <w:sz w:val="20"/>
              </w:rPr>
            </w:pPr>
          </w:p>
          <w:p w:rsidR="00DE6DB9" w:rsidRDefault="00361E6C">
            <w:pPr>
              <w:pStyle w:val="TableParagraph"/>
              <w:spacing w:before="172"/>
              <w:ind w:left="115"/>
              <w:rPr>
                <w:sz w:val="20"/>
              </w:rPr>
            </w:pPr>
            <w:r>
              <w:rPr>
                <w:sz w:val="20"/>
              </w:rPr>
              <w:t>Night Covers</w:t>
            </w:r>
          </w:p>
        </w:tc>
        <w:tc>
          <w:tcPr>
            <w:tcW w:w="2100" w:type="dxa"/>
          </w:tcPr>
          <w:p w:rsidR="00DE6DB9" w:rsidRDefault="00361E6C">
            <w:pPr>
              <w:pStyle w:val="TableParagraph"/>
              <w:spacing w:before="20" w:line="261" w:lineRule="auto"/>
              <w:ind w:left="497" w:right="486"/>
              <w:jc w:val="center"/>
              <w:rPr>
                <w:sz w:val="20"/>
              </w:rPr>
            </w:pPr>
            <w:r>
              <w:rPr>
                <w:spacing w:val="-1"/>
                <w:sz w:val="20"/>
              </w:rPr>
              <w:t xml:space="preserve">MT_DeliPasta </w:t>
            </w:r>
            <w:r>
              <w:rPr>
                <w:sz w:val="20"/>
              </w:rPr>
              <w:t>MT_Meat3 MT_Dairy1</w:t>
            </w:r>
          </w:p>
          <w:p w:rsidR="00DE6DB9" w:rsidRDefault="00361E6C">
            <w:pPr>
              <w:pStyle w:val="TableParagraph"/>
              <w:spacing w:line="238" w:lineRule="exact"/>
              <w:ind w:left="491" w:right="486"/>
              <w:jc w:val="center"/>
              <w:rPr>
                <w:sz w:val="20"/>
              </w:rPr>
            </w:pPr>
            <w:r>
              <w:rPr>
                <w:sz w:val="20"/>
              </w:rPr>
              <w:t>MT_Dairy2</w:t>
            </w:r>
          </w:p>
        </w:tc>
        <w:tc>
          <w:tcPr>
            <w:tcW w:w="1793" w:type="dxa"/>
          </w:tcPr>
          <w:p w:rsidR="00DE6DB9" w:rsidRDefault="00DE6DB9">
            <w:pPr>
              <w:pStyle w:val="TableParagraph"/>
              <w:rPr>
                <w:sz w:val="20"/>
              </w:rPr>
            </w:pPr>
          </w:p>
          <w:p w:rsidR="00DE6DB9" w:rsidRDefault="00361E6C">
            <w:pPr>
              <w:pStyle w:val="TableParagraph"/>
              <w:spacing w:before="172"/>
              <w:ind w:left="120" w:right="113"/>
              <w:jc w:val="center"/>
              <w:rPr>
                <w:sz w:val="20"/>
              </w:rPr>
            </w:pPr>
            <w:r>
              <w:rPr>
                <w:sz w:val="20"/>
              </w:rPr>
              <w:t>INF-SCH</w:t>
            </w:r>
          </w:p>
        </w:tc>
        <w:tc>
          <w:tcPr>
            <w:tcW w:w="1663" w:type="dxa"/>
          </w:tcPr>
          <w:p w:rsidR="00DE6DB9" w:rsidRDefault="00DE6DB9">
            <w:pPr>
              <w:pStyle w:val="TableParagraph"/>
              <w:rPr>
                <w:sz w:val="20"/>
              </w:rPr>
            </w:pPr>
          </w:p>
          <w:p w:rsidR="00DE6DB9" w:rsidRDefault="00361E6C">
            <w:pPr>
              <w:pStyle w:val="TableParagraph"/>
              <w:spacing w:before="172"/>
              <w:ind w:left="346" w:right="339"/>
              <w:jc w:val="center"/>
              <w:rPr>
                <w:sz w:val="20"/>
              </w:rPr>
            </w:pPr>
            <w:r>
              <w:rPr>
                <w:sz w:val="20"/>
              </w:rPr>
              <w:t>{unused}</w:t>
            </w:r>
          </w:p>
        </w:tc>
        <w:tc>
          <w:tcPr>
            <w:tcW w:w="1944" w:type="dxa"/>
          </w:tcPr>
          <w:p w:rsidR="00DE6DB9" w:rsidRDefault="00DE6DB9">
            <w:pPr>
              <w:pStyle w:val="TableParagraph"/>
              <w:rPr>
                <w:sz w:val="20"/>
              </w:rPr>
            </w:pPr>
          </w:p>
          <w:p w:rsidR="00DE6DB9" w:rsidRDefault="00361E6C">
            <w:pPr>
              <w:pStyle w:val="TableParagraph"/>
              <w:spacing w:before="172"/>
              <w:ind w:left="175" w:right="169"/>
              <w:jc w:val="center"/>
              <w:rPr>
                <w:sz w:val="20"/>
              </w:rPr>
            </w:pPr>
            <w:r>
              <w:rPr>
                <w:sz w:val="20"/>
              </w:rPr>
              <w:t>DEER Methodology</w:t>
            </w:r>
          </w:p>
        </w:tc>
      </w:tr>
      <w:tr w:rsidR="00DE6DB9">
        <w:trPr>
          <w:trHeight w:val="1074"/>
        </w:trPr>
        <w:tc>
          <w:tcPr>
            <w:tcW w:w="1850" w:type="dxa"/>
          </w:tcPr>
          <w:p w:rsidR="00DE6DB9" w:rsidRDefault="00DE6DB9">
            <w:pPr>
              <w:pStyle w:val="TableParagraph"/>
              <w:spacing w:before="1"/>
              <w:rPr>
                <w:sz w:val="24"/>
              </w:rPr>
            </w:pPr>
          </w:p>
          <w:p w:rsidR="00DE6DB9" w:rsidRDefault="00361E6C">
            <w:pPr>
              <w:pStyle w:val="TableParagraph"/>
              <w:ind w:left="115" w:right="94"/>
              <w:rPr>
                <w:sz w:val="20"/>
              </w:rPr>
            </w:pPr>
            <w:r>
              <w:rPr>
                <w:sz w:val="20"/>
              </w:rPr>
              <w:t>Case Infiltration Load</w:t>
            </w:r>
          </w:p>
        </w:tc>
        <w:tc>
          <w:tcPr>
            <w:tcW w:w="2100" w:type="dxa"/>
          </w:tcPr>
          <w:p w:rsidR="00DE6DB9" w:rsidRDefault="00361E6C">
            <w:pPr>
              <w:pStyle w:val="TableParagraph"/>
              <w:spacing w:before="5" w:line="260" w:lineRule="atLeast"/>
              <w:ind w:left="497" w:right="486"/>
              <w:jc w:val="center"/>
              <w:rPr>
                <w:sz w:val="20"/>
              </w:rPr>
            </w:pPr>
            <w:r>
              <w:rPr>
                <w:sz w:val="20"/>
              </w:rPr>
              <w:t>MT_DeliPasta MT_Meat3 MT_Dairy1, MT_Dairy3</w:t>
            </w:r>
          </w:p>
        </w:tc>
        <w:tc>
          <w:tcPr>
            <w:tcW w:w="1793" w:type="dxa"/>
          </w:tcPr>
          <w:p w:rsidR="00DE6DB9" w:rsidRDefault="00DE6DB9">
            <w:pPr>
              <w:pStyle w:val="TableParagraph"/>
              <w:rPr>
                <w:sz w:val="20"/>
              </w:rPr>
            </w:pPr>
          </w:p>
          <w:p w:rsidR="00DE6DB9" w:rsidRDefault="00361E6C">
            <w:pPr>
              <w:pStyle w:val="TableParagraph"/>
              <w:spacing w:before="172"/>
              <w:ind w:left="120" w:right="110"/>
              <w:jc w:val="center"/>
              <w:rPr>
                <w:sz w:val="20"/>
              </w:rPr>
            </w:pPr>
            <w:r>
              <w:rPr>
                <w:sz w:val="20"/>
              </w:rPr>
              <w:t>INF-LOAD/LEN</w:t>
            </w:r>
          </w:p>
        </w:tc>
        <w:tc>
          <w:tcPr>
            <w:tcW w:w="1663" w:type="dxa"/>
          </w:tcPr>
          <w:p w:rsidR="00DE6DB9" w:rsidRDefault="00DE6DB9">
            <w:pPr>
              <w:pStyle w:val="TableParagraph"/>
              <w:rPr>
                <w:sz w:val="20"/>
              </w:rPr>
            </w:pPr>
          </w:p>
          <w:p w:rsidR="00DE6DB9" w:rsidRDefault="00361E6C">
            <w:pPr>
              <w:pStyle w:val="TableParagraph"/>
              <w:spacing w:before="172"/>
              <w:ind w:left="344" w:right="339"/>
              <w:jc w:val="center"/>
              <w:rPr>
                <w:sz w:val="20"/>
              </w:rPr>
            </w:pPr>
            <w:r>
              <w:rPr>
                <w:sz w:val="20"/>
              </w:rPr>
              <w:t>1306.5</w:t>
            </w:r>
          </w:p>
        </w:tc>
        <w:tc>
          <w:tcPr>
            <w:tcW w:w="1944" w:type="dxa"/>
          </w:tcPr>
          <w:p w:rsidR="00DE6DB9" w:rsidRDefault="00DE6DB9">
            <w:pPr>
              <w:pStyle w:val="TableParagraph"/>
              <w:spacing w:before="1"/>
              <w:rPr>
                <w:sz w:val="24"/>
              </w:rPr>
            </w:pPr>
          </w:p>
          <w:p w:rsidR="00DE6DB9" w:rsidRDefault="00361E6C">
            <w:pPr>
              <w:pStyle w:val="TableParagraph"/>
              <w:ind w:left="444" w:right="131" w:hanging="284"/>
              <w:rPr>
                <w:sz w:val="20"/>
              </w:rPr>
            </w:pPr>
            <w:r>
              <w:rPr>
                <w:sz w:val="20"/>
              </w:rPr>
              <w:t>ASHRAE Handbook - Refrigeration</w:t>
            </w:r>
          </w:p>
        </w:tc>
      </w:tr>
      <w:tr w:rsidR="00DE6DB9">
        <w:trPr>
          <w:trHeight w:val="1058"/>
        </w:trPr>
        <w:tc>
          <w:tcPr>
            <w:tcW w:w="1850" w:type="dxa"/>
          </w:tcPr>
          <w:p w:rsidR="00DE6DB9" w:rsidRDefault="00DE6DB9">
            <w:pPr>
              <w:pStyle w:val="TableParagraph"/>
              <w:spacing w:before="6"/>
              <w:rPr>
                <w:sz w:val="23"/>
              </w:rPr>
            </w:pPr>
          </w:p>
          <w:p w:rsidR="00DE6DB9" w:rsidRDefault="00361E6C">
            <w:pPr>
              <w:pStyle w:val="TableParagraph"/>
              <w:ind w:left="115" w:right="94"/>
              <w:rPr>
                <w:sz w:val="20"/>
              </w:rPr>
            </w:pPr>
            <w:r>
              <w:rPr>
                <w:sz w:val="20"/>
              </w:rPr>
              <w:t>Case Conduction and Radiation Load</w:t>
            </w:r>
          </w:p>
        </w:tc>
        <w:tc>
          <w:tcPr>
            <w:tcW w:w="2100" w:type="dxa"/>
          </w:tcPr>
          <w:p w:rsidR="00DE6DB9" w:rsidRDefault="00361E6C">
            <w:pPr>
              <w:pStyle w:val="TableParagraph"/>
              <w:spacing w:before="23" w:line="249" w:lineRule="auto"/>
              <w:ind w:left="602" w:right="486" w:hanging="106"/>
              <w:jc w:val="both"/>
              <w:rPr>
                <w:sz w:val="20"/>
              </w:rPr>
            </w:pPr>
            <w:r>
              <w:rPr>
                <w:w w:val="95"/>
                <w:sz w:val="20"/>
              </w:rPr>
              <w:t xml:space="preserve">MT_DeliPasta </w:t>
            </w:r>
            <w:r>
              <w:rPr>
                <w:sz w:val="20"/>
              </w:rPr>
              <w:t>MT_Meat3, MT_Dairy1</w:t>
            </w:r>
          </w:p>
          <w:p w:rsidR="00DE6DB9" w:rsidRDefault="00361E6C">
            <w:pPr>
              <w:pStyle w:val="TableParagraph"/>
              <w:spacing w:before="11" w:line="242" w:lineRule="exact"/>
              <w:ind w:left="631"/>
              <w:rPr>
                <w:sz w:val="20"/>
              </w:rPr>
            </w:pPr>
            <w:r>
              <w:rPr>
                <w:sz w:val="20"/>
              </w:rPr>
              <w:t>MT_Dairy4</w:t>
            </w:r>
          </w:p>
        </w:tc>
        <w:tc>
          <w:tcPr>
            <w:tcW w:w="1793" w:type="dxa"/>
          </w:tcPr>
          <w:p w:rsidR="00DE6DB9" w:rsidRDefault="00DE6DB9">
            <w:pPr>
              <w:pStyle w:val="TableParagraph"/>
              <w:rPr>
                <w:sz w:val="20"/>
              </w:rPr>
            </w:pPr>
          </w:p>
          <w:p w:rsidR="00DE6DB9" w:rsidRDefault="00361E6C">
            <w:pPr>
              <w:pStyle w:val="TableParagraph"/>
              <w:spacing w:before="162"/>
              <w:ind w:left="120" w:right="115"/>
              <w:jc w:val="center"/>
              <w:rPr>
                <w:sz w:val="20"/>
              </w:rPr>
            </w:pPr>
            <w:r>
              <w:rPr>
                <w:sz w:val="20"/>
              </w:rPr>
              <w:t>CONDUCTION/LEN</w:t>
            </w:r>
          </w:p>
        </w:tc>
        <w:tc>
          <w:tcPr>
            <w:tcW w:w="1663" w:type="dxa"/>
          </w:tcPr>
          <w:p w:rsidR="00DE6DB9" w:rsidRDefault="00DE6DB9">
            <w:pPr>
              <w:pStyle w:val="TableParagraph"/>
              <w:rPr>
                <w:sz w:val="20"/>
              </w:rPr>
            </w:pPr>
          </w:p>
          <w:p w:rsidR="00DE6DB9" w:rsidRDefault="00361E6C">
            <w:pPr>
              <w:pStyle w:val="TableParagraph"/>
              <w:spacing w:before="162"/>
              <w:ind w:left="344" w:right="339"/>
              <w:jc w:val="center"/>
              <w:rPr>
                <w:sz w:val="20"/>
              </w:rPr>
            </w:pPr>
            <w:r>
              <w:rPr>
                <w:sz w:val="20"/>
              </w:rPr>
              <w:t>217.75</w:t>
            </w:r>
          </w:p>
        </w:tc>
        <w:tc>
          <w:tcPr>
            <w:tcW w:w="1944" w:type="dxa"/>
          </w:tcPr>
          <w:p w:rsidR="00DE6DB9" w:rsidRDefault="00DE6DB9">
            <w:pPr>
              <w:pStyle w:val="TableParagraph"/>
              <w:spacing w:before="6"/>
              <w:rPr>
                <w:sz w:val="23"/>
              </w:rPr>
            </w:pPr>
          </w:p>
          <w:p w:rsidR="00DE6DB9" w:rsidRDefault="00361E6C">
            <w:pPr>
              <w:pStyle w:val="TableParagraph"/>
              <w:ind w:left="444" w:right="131" w:hanging="284"/>
              <w:rPr>
                <w:sz w:val="20"/>
              </w:rPr>
            </w:pPr>
            <w:r>
              <w:rPr>
                <w:sz w:val="20"/>
              </w:rPr>
              <w:t>ASHRAE Handbook - Refrigeration</w:t>
            </w:r>
          </w:p>
        </w:tc>
      </w:tr>
      <w:tr w:rsidR="00DE6DB9">
        <w:trPr>
          <w:trHeight w:val="1077"/>
        </w:trPr>
        <w:tc>
          <w:tcPr>
            <w:tcW w:w="1850" w:type="dxa"/>
          </w:tcPr>
          <w:p w:rsidR="00DE6DB9" w:rsidRDefault="00DE6DB9">
            <w:pPr>
              <w:pStyle w:val="TableParagraph"/>
              <w:rPr>
                <w:sz w:val="20"/>
              </w:rPr>
            </w:pPr>
          </w:p>
          <w:p w:rsidR="00DE6DB9" w:rsidRDefault="00361E6C">
            <w:pPr>
              <w:pStyle w:val="TableParagraph"/>
              <w:spacing w:before="172"/>
              <w:ind w:left="115"/>
              <w:rPr>
                <w:sz w:val="20"/>
              </w:rPr>
            </w:pPr>
            <w:r>
              <w:rPr>
                <w:sz w:val="20"/>
              </w:rPr>
              <w:t>Case Lighting</w:t>
            </w:r>
          </w:p>
        </w:tc>
        <w:tc>
          <w:tcPr>
            <w:tcW w:w="2100" w:type="dxa"/>
          </w:tcPr>
          <w:p w:rsidR="00DE6DB9" w:rsidRDefault="00361E6C">
            <w:pPr>
              <w:pStyle w:val="TableParagraph"/>
              <w:spacing w:before="4" w:line="260" w:lineRule="atLeast"/>
              <w:ind w:left="602" w:hanging="106"/>
              <w:rPr>
                <w:sz w:val="20"/>
              </w:rPr>
            </w:pPr>
            <w:r>
              <w:rPr>
                <w:w w:val="95"/>
                <w:sz w:val="20"/>
              </w:rPr>
              <w:t xml:space="preserve">MT_DeliPasta </w:t>
            </w:r>
            <w:r>
              <w:rPr>
                <w:sz w:val="20"/>
              </w:rPr>
              <w:t>MT_Meat3 MT_Dairy1 MT_Dairy4</w:t>
            </w:r>
          </w:p>
        </w:tc>
        <w:tc>
          <w:tcPr>
            <w:tcW w:w="1793" w:type="dxa"/>
          </w:tcPr>
          <w:p w:rsidR="00DE6DB9" w:rsidRDefault="00DE6DB9">
            <w:pPr>
              <w:pStyle w:val="TableParagraph"/>
              <w:rPr>
                <w:sz w:val="20"/>
              </w:rPr>
            </w:pPr>
          </w:p>
          <w:p w:rsidR="00DE6DB9" w:rsidRDefault="00361E6C">
            <w:pPr>
              <w:pStyle w:val="TableParagraph"/>
              <w:spacing w:before="172"/>
              <w:ind w:left="120" w:right="113"/>
              <w:jc w:val="center"/>
              <w:rPr>
                <w:sz w:val="20"/>
              </w:rPr>
            </w:pPr>
            <w:r>
              <w:rPr>
                <w:sz w:val="20"/>
              </w:rPr>
              <w:t>CANOPY-KW/LEN</w:t>
            </w:r>
          </w:p>
        </w:tc>
        <w:tc>
          <w:tcPr>
            <w:tcW w:w="1663" w:type="dxa"/>
          </w:tcPr>
          <w:p w:rsidR="00DE6DB9" w:rsidRDefault="00DE6DB9">
            <w:pPr>
              <w:pStyle w:val="TableParagraph"/>
              <w:spacing w:before="3"/>
              <w:rPr>
                <w:sz w:val="23"/>
              </w:rPr>
            </w:pPr>
          </w:p>
          <w:p w:rsidR="00DE6DB9" w:rsidRDefault="00361E6C">
            <w:pPr>
              <w:pStyle w:val="TableParagraph"/>
              <w:ind w:left="232"/>
              <w:rPr>
                <w:sz w:val="20"/>
              </w:rPr>
            </w:pPr>
            <w:r>
              <w:rPr>
                <w:sz w:val="20"/>
              </w:rPr>
              <w:t>HA09:</w:t>
            </w:r>
            <w:r>
              <w:rPr>
                <w:spacing w:val="-9"/>
                <w:sz w:val="20"/>
              </w:rPr>
              <w:t xml:space="preserve"> </w:t>
            </w:r>
            <w:r>
              <w:rPr>
                <w:sz w:val="20"/>
              </w:rPr>
              <w:t>0.01833</w:t>
            </w:r>
          </w:p>
          <w:p w:rsidR="00DE6DB9" w:rsidRDefault="00361E6C">
            <w:pPr>
              <w:pStyle w:val="TableParagraph"/>
              <w:spacing w:before="20"/>
              <w:ind w:left="201"/>
              <w:rPr>
                <w:sz w:val="20"/>
              </w:rPr>
            </w:pPr>
            <w:r>
              <w:rPr>
                <w:sz w:val="20"/>
              </w:rPr>
              <w:t>HAxx:</w:t>
            </w:r>
            <w:r>
              <w:rPr>
                <w:spacing w:val="-11"/>
                <w:sz w:val="20"/>
              </w:rPr>
              <w:t xml:space="preserve"> </w:t>
            </w:r>
            <w:r>
              <w:rPr>
                <w:sz w:val="20"/>
              </w:rPr>
              <w:t>0.004171</w:t>
            </w:r>
          </w:p>
        </w:tc>
        <w:tc>
          <w:tcPr>
            <w:tcW w:w="1944" w:type="dxa"/>
          </w:tcPr>
          <w:p w:rsidR="00DE6DB9" w:rsidRDefault="00DE6DB9">
            <w:pPr>
              <w:pStyle w:val="TableParagraph"/>
              <w:rPr>
                <w:sz w:val="24"/>
              </w:rPr>
            </w:pPr>
          </w:p>
          <w:p w:rsidR="00DE6DB9" w:rsidRDefault="00361E6C">
            <w:pPr>
              <w:pStyle w:val="TableParagraph"/>
              <w:spacing w:before="1"/>
              <w:ind w:left="571" w:right="388" w:hanging="154"/>
              <w:rPr>
                <w:sz w:val="20"/>
              </w:rPr>
            </w:pPr>
            <w:r>
              <w:rPr>
                <w:sz w:val="20"/>
              </w:rPr>
              <w:t>DEER Grocery Prototype</w:t>
            </w:r>
          </w:p>
        </w:tc>
      </w:tr>
      <w:tr w:rsidR="00DE6DB9">
        <w:trPr>
          <w:trHeight w:val="1074"/>
        </w:trPr>
        <w:tc>
          <w:tcPr>
            <w:tcW w:w="1850" w:type="dxa"/>
          </w:tcPr>
          <w:p w:rsidR="00DE6DB9" w:rsidRDefault="00DE6DB9">
            <w:pPr>
              <w:pStyle w:val="TableParagraph"/>
              <w:spacing w:before="1"/>
              <w:rPr>
                <w:sz w:val="24"/>
              </w:rPr>
            </w:pPr>
          </w:p>
          <w:p w:rsidR="00DE6DB9" w:rsidRDefault="00361E6C">
            <w:pPr>
              <w:pStyle w:val="TableParagraph"/>
              <w:ind w:left="115" w:right="225"/>
              <w:rPr>
                <w:sz w:val="20"/>
              </w:rPr>
            </w:pPr>
            <w:r>
              <w:rPr>
                <w:sz w:val="20"/>
              </w:rPr>
              <w:t>Case Temperature Setpoint</w:t>
            </w:r>
          </w:p>
        </w:tc>
        <w:tc>
          <w:tcPr>
            <w:tcW w:w="2100" w:type="dxa"/>
          </w:tcPr>
          <w:p w:rsidR="00DE6DB9" w:rsidRDefault="00361E6C">
            <w:pPr>
              <w:pStyle w:val="TableParagraph"/>
              <w:spacing w:before="5" w:line="260" w:lineRule="atLeast"/>
              <w:ind w:left="602" w:hanging="106"/>
              <w:rPr>
                <w:sz w:val="20"/>
              </w:rPr>
            </w:pPr>
            <w:r>
              <w:rPr>
                <w:w w:val="95"/>
                <w:sz w:val="20"/>
              </w:rPr>
              <w:t xml:space="preserve">MT_DeliPasta </w:t>
            </w:r>
            <w:r>
              <w:rPr>
                <w:sz w:val="20"/>
              </w:rPr>
              <w:t>MT_Meat3 MT_Dairy1 MT_Dairy4</w:t>
            </w:r>
          </w:p>
        </w:tc>
        <w:tc>
          <w:tcPr>
            <w:tcW w:w="1793" w:type="dxa"/>
          </w:tcPr>
          <w:p w:rsidR="00DE6DB9" w:rsidRDefault="00DE6DB9">
            <w:pPr>
              <w:pStyle w:val="TableParagraph"/>
              <w:rPr>
                <w:sz w:val="20"/>
              </w:rPr>
            </w:pPr>
          </w:p>
          <w:p w:rsidR="00DE6DB9" w:rsidRDefault="00361E6C">
            <w:pPr>
              <w:pStyle w:val="TableParagraph"/>
              <w:spacing w:before="172"/>
              <w:ind w:left="120" w:right="112"/>
              <w:jc w:val="center"/>
              <w:rPr>
                <w:sz w:val="20"/>
              </w:rPr>
            </w:pPr>
            <w:r>
              <w:rPr>
                <w:sz w:val="20"/>
              </w:rPr>
              <w:t>TEMP-SETPT</w:t>
            </w:r>
          </w:p>
        </w:tc>
        <w:tc>
          <w:tcPr>
            <w:tcW w:w="1663" w:type="dxa"/>
          </w:tcPr>
          <w:p w:rsidR="00DE6DB9" w:rsidRDefault="00DE6DB9">
            <w:pPr>
              <w:pStyle w:val="TableParagraph"/>
              <w:rPr>
                <w:sz w:val="20"/>
              </w:rPr>
            </w:pPr>
          </w:p>
          <w:p w:rsidR="00DE6DB9" w:rsidRDefault="00361E6C">
            <w:pPr>
              <w:pStyle w:val="TableParagraph"/>
              <w:spacing w:before="172"/>
              <w:ind w:left="346" w:right="339"/>
              <w:jc w:val="center"/>
              <w:rPr>
                <w:sz w:val="20"/>
              </w:rPr>
            </w:pPr>
            <w:r>
              <w:rPr>
                <w:sz w:val="20"/>
              </w:rPr>
              <w:t>31</w:t>
            </w:r>
          </w:p>
        </w:tc>
        <w:tc>
          <w:tcPr>
            <w:tcW w:w="1944" w:type="dxa"/>
          </w:tcPr>
          <w:p w:rsidR="00DE6DB9" w:rsidRDefault="00DE6DB9">
            <w:pPr>
              <w:pStyle w:val="TableParagraph"/>
              <w:spacing w:before="1"/>
              <w:rPr>
                <w:sz w:val="24"/>
              </w:rPr>
            </w:pPr>
          </w:p>
          <w:p w:rsidR="00DE6DB9" w:rsidRDefault="00361E6C">
            <w:pPr>
              <w:pStyle w:val="TableParagraph"/>
              <w:ind w:left="571" w:right="388" w:hanging="154"/>
              <w:rPr>
                <w:sz w:val="20"/>
              </w:rPr>
            </w:pPr>
            <w:r>
              <w:rPr>
                <w:sz w:val="20"/>
              </w:rPr>
              <w:t>DEER Grocery Prototype</w:t>
            </w:r>
          </w:p>
        </w:tc>
      </w:tr>
      <w:tr w:rsidR="00DE6DB9">
        <w:trPr>
          <w:trHeight w:val="1077"/>
        </w:trPr>
        <w:tc>
          <w:tcPr>
            <w:tcW w:w="1850" w:type="dxa"/>
          </w:tcPr>
          <w:p w:rsidR="00DE6DB9" w:rsidRDefault="00DE6DB9">
            <w:pPr>
              <w:pStyle w:val="TableParagraph"/>
              <w:rPr>
                <w:sz w:val="20"/>
              </w:rPr>
            </w:pPr>
          </w:p>
          <w:p w:rsidR="00DE6DB9" w:rsidRDefault="00361E6C">
            <w:pPr>
              <w:pStyle w:val="TableParagraph"/>
              <w:spacing w:before="175"/>
              <w:ind w:left="115"/>
              <w:rPr>
                <w:sz w:val="20"/>
              </w:rPr>
            </w:pPr>
            <w:r>
              <w:rPr>
                <w:sz w:val="20"/>
              </w:rPr>
              <w:t>Defrost Schedule</w:t>
            </w:r>
          </w:p>
        </w:tc>
        <w:tc>
          <w:tcPr>
            <w:tcW w:w="2100" w:type="dxa"/>
          </w:tcPr>
          <w:p w:rsidR="00DE6DB9" w:rsidRDefault="00361E6C">
            <w:pPr>
              <w:pStyle w:val="TableParagraph"/>
              <w:spacing w:before="20" w:line="261" w:lineRule="auto"/>
              <w:ind w:left="497" w:right="486"/>
              <w:jc w:val="center"/>
              <w:rPr>
                <w:sz w:val="20"/>
              </w:rPr>
            </w:pPr>
            <w:r>
              <w:rPr>
                <w:spacing w:val="-1"/>
                <w:sz w:val="20"/>
              </w:rPr>
              <w:t xml:space="preserve">MT_DeliPasta </w:t>
            </w:r>
            <w:r>
              <w:rPr>
                <w:sz w:val="20"/>
              </w:rPr>
              <w:t>MT_Meat3 MT_Dairy1</w:t>
            </w:r>
          </w:p>
          <w:p w:rsidR="00DE6DB9" w:rsidRDefault="00361E6C">
            <w:pPr>
              <w:pStyle w:val="TableParagraph"/>
              <w:spacing w:line="238" w:lineRule="exact"/>
              <w:ind w:left="491" w:right="486"/>
              <w:jc w:val="center"/>
              <w:rPr>
                <w:sz w:val="20"/>
              </w:rPr>
            </w:pPr>
            <w:r>
              <w:rPr>
                <w:sz w:val="20"/>
              </w:rPr>
              <w:t>MT_Dairy4</w:t>
            </w:r>
          </w:p>
        </w:tc>
        <w:tc>
          <w:tcPr>
            <w:tcW w:w="1793" w:type="dxa"/>
          </w:tcPr>
          <w:p w:rsidR="00DE6DB9" w:rsidRDefault="00DE6DB9">
            <w:pPr>
              <w:pStyle w:val="TableParagraph"/>
              <w:rPr>
                <w:sz w:val="20"/>
              </w:rPr>
            </w:pPr>
          </w:p>
          <w:p w:rsidR="00DE6DB9" w:rsidRDefault="00361E6C">
            <w:pPr>
              <w:pStyle w:val="TableParagraph"/>
              <w:spacing w:before="174"/>
              <w:ind w:left="120" w:right="114"/>
              <w:jc w:val="center"/>
              <w:rPr>
                <w:sz w:val="20"/>
              </w:rPr>
            </w:pPr>
            <w:r>
              <w:rPr>
                <w:sz w:val="20"/>
              </w:rPr>
              <w:t>DEFROST-SCH</w:t>
            </w:r>
          </w:p>
        </w:tc>
        <w:tc>
          <w:tcPr>
            <w:tcW w:w="1663" w:type="dxa"/>
          </w:tcPr>
          <w:p w:rsidR="00DE6DB9" w:rsidRDefault="00DE6DB9">
            <w:pPr>
              <w:pStyle w:val="TableParagraph"/>
              <w:spacing w:before="3"/>
              <w:rPr>
                <w:sz w:val="24"/>
              </w:rPr>
            </w:pPr>
          </w:p>
          <w:p w:rsidR="00DE6DB9" w:rsidRDefault="00361E6C">
            <w:pPr>
              <w:pStyle w:val="TableParagraph"/>
              <w:ind w:left="741" w:right="54" w:hanging="586"/>
              <w:rPr>
                <w:sz w:val="20"/>
              </w:rPr>
            </w:pPr>
            <w:r>
              <w:rPr>
                <w:w w:val="95"/>
                <w:sz w:val="20"/>
              </w:rPr>
              <w:t xml:space="preserve">"Defrost_5_Sche </w:t>
            </w:r>
            <w:r>
              <w:rPr>
                <w:sz w:val="20"/>
              </w:rPr>
              <w:t>d"</w:t>
            </w:r>
          </w:p>
        </w:tc>
        <w:tc>
          <w:tcPr>
            <w:tcW w:w="1944" w:type="dxa"/>
          </w:tcPr>
          <w:p w:rsidR="00DE6DB9" w:rsidRDefault="00DE6DB9">
            <w:pPr>
              <w:pStyle w:val="TableParagraph"/>
              <w:spacing w:before="3"/>
              <w:rPr>
                <w:sz w:val="24"/>
              </w:rPr>
            </w:pPr>
          </w:p>
          <w:p w:rsidR="00DE6DB9" w:rsidRDefault="00361E6C">
            <w:pPr>
              <w:pStyle w:val="TableParagraph"/>
              <w:ind w:left="571" w:right="388" w:hanging="154"/>
              <w:rPr>
                <w:sz w:val="20"/>
              </w:rPr>
            </w:pPr>
            <w:r>
              <w:rPr>
                <w:sz w:val="20"/>
              </w:rPr>
              <w:t>DEER Grocery Prototype</w:t>
            </w:r>
          </w:p>
        </w:tc>
      </w:tr>
    </w:tbl>
    <w:p w:rsidR="00DE6DB9" w:rsidRDefault="00DE6DB9">
      <w:pPr>
        <w:pStyle w:val="BodyText"/>
        <w:spacing w:before="1"/>
        <w:rPr>
          <w:sz w:val="23"/>
        </w:rPr>
      </w:pPr>
    </w:p>
    <w:p w:rsidR="00DE6DB9" w:rsidRDefault="00361E6C">
      <w:pPr>
        <w:ind w:left="120"/>
        <w:rPr>
          <w:sz w:val="20"/>
        </w:rPr>
      </w:pPr>
      <w:r>
        <w:rPr>
          <w:sz w:val="20"/>
        </w:rPr>
        <w:t>Model Modifications – Measure Case</w:t>
      </w:r>
    </w:p>
    <w:p w:rsidR="00DE6DB9" w:rsidRDefault="00DE6DB9">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48"/>
        <w:gridCol w:w="2107"/>
        <w:gridCol w:w="1800"/>
        <w:gridCol w:w="1620"/>
        <w:gridCol w:w="1975"/>
      </w:tblGrid>
      <w:tr w:rsidR="00DE6DB9">
        <w:trPr>
          <w:trHeight w:val="527"/>
        </w:trPr>
        <w:tc>
          <w:tcPr>
            <w:tcW w:w="1848" w:type="dxa"/>
            <w:shd w:val="clear" w:color="auto" w:fill="F1F1F1"/>
          </w:tcPr>
          <w:p w:rsidR="00DE6DB9" w:rsidRDefault="00361E6C">
            <w:pPr>
              <w:pStyle w:val="TableParagraph"/>
              <w:spacing w:before="143"/>
              <w:ind w:left="107"/>
              <w:rPr>
                <w:sz w:val="20"/>
              </w:rPr>
            </w:pPr>
            <w:r>
              <w:rPr>
                <w:sz w:val="20"/>
              </w:rPr>
              <w:t>Input Description</w:t>
            </w:r>
          </w:p>
        </w:tc>
        <w:tc>
          <w:tcPr>
            <w:tcW w:w="2107" w:type="dxa"/>
            <w:shd w:val="clear" w:color="auto" w:fill="F1F1F1"/>
          </w:tcPr>
          <w:p w:rsidR="00DE6DB9" w:rsidRDefault="00361E6C">
            <w:pPr>
              <w:pStyle w:val="TableParagraph"/>
              <w:spacing w:before="143"/>
              <w:ind w:left="230"/>
              <w:rPr>
                <w:sz w:val="20"/>
              </w:rPr>
            </w:pPr>
            <w:r>
              <w:rPr>
                <w:sz w:val="20"/>
              </w:rPr>
              <w:t>DOE2.2 Components</w:t>
            </w:r>
          </w:p>
        </w:tc>
        <w:tc>
          <w:tcPr>
            <w:tcW w:w="1800" w:type="dxa"/>
            <w:shd w:val="clear" w:color="auto" w:fill="F1F1F1"/>
          </w:tcPr>
          <w:p w:rsidR="00DE6DB9" w:rsidRDefault="00361E6C">
            <w:pPr>
              <w:pStyle w:val="TableParagraph"/>
              <w:spacing w:before="20" w:line="240" w:lineRule="atLeast"/>
              <w:ind w:left="691" w:hanging="432"/>
              <w:rPr>
                <w:sz w:val="20"/>
              </w:rPr>
            </w:pPr>
            <w:r>
              <w:rPr>
                <w:sz w:val="20"/>
              </w:rPr>
              <w:t>DOE2.2 Keyword Input</w:t>
            </w:r>
          </w:p>
        </w:tc>
        <w:tc>
          <w:tcPr>
            <w:tcW w:w="1620" w:type="dxa"/>
            <w:shd w:val="clear" w:color="auto" w:fill="F1F1F1"/>
          </w:tcPr>
          <w:p w:rsidR="00DE6DB9" w:rsidRDefault="00361E6C">
            <w:pPr>
              <w:pStyle w:val="TableParagraph"/>
              <w:spacing w:before="143"/>
              <w:ind w:left="328" w:right="318"/>
              <w:jc w:val="center"/>
              <w:rPr>
                <w:sz w:val="20"/>
              </w:rPr>
            </w:pPr>
            <w:r>
              <w:rPr>
                <w:sz w:val="20"/>
              </w:rPr>
              <w:t>Input Value</w:t>
            </w:r>
          </w:p>
        </w:tc>
        <w:tc>
          <w:tcPr>
            <w:tcW w:w="1975" w:type="dxa"/>
            <w:shd w:val="clear" w:color="auto" w:fill="F1F1F1"/>
          </w:tcPr>
          <w:p w:rsidR="00DE6DB9" w:rsidRDefault="00361E6C">
            <w:pPr>
              <w:pStyle w:val="TableParagraph"/>
              <w:spacing w:before="143"/>
              <w:ind w:left="110" w:right="100"/>
              <w:jc w:val="center"/>
              <w:rPr>
                <w:sz w:val="20"/>
              </w:rPr>
            </w:pPr>
            <w:r>
              <w:rPr>
                <w:sz w:val="20"/>
              </w:rPr>
              <w:t>Explanation</w:t>
            </w:r>
          </w:p>
        </w:tc>
      </w:tr>
      <w:tr w:rsidR="00DE6DB9">
        <w:trPr>
          <w:trHeight w:val="1077"/>
        </w:trPr>
        <w:tc>
          <w:tcPr>
            <w:tcW w:w="1848" w:type="dxa"/>
          </w:tcPr>
          <w:p w:rsidR="00DE6DB9" w:rsidRDefault="00DE6DB9">
            <w:pPr>
              <w:pStyle w:val="TableParagraph"/>
              <w:spacing w:before="3"/>
              <w:rPr>
                <w:sz w:val="24"/>
              </w:rPr>
            </w:pPr>
          </w:p>
          <w:p w:rsidR="00DE6DB9" w:rsidRDefault="00361E6C">
            <w:pPr>
              <w:pStyle w:val="TableParagraph"/>
              <w:ind w:left="107" w:right="440"/>
              <w:rPr>
                <w:sz w:val="20"/>
              </w:rPr>
            </w:pPr>
            <w:r>
              <w:rPr>
                <w:sz w:val="20"/>
              </w:rPr>
              <w:t>Case Infiltration Load</w:t>
            </w:r>
          </w:p>
        </w:tc>
        <w:tc>
          <w:tcPr>
            <w:tcW w:w="2107" w:type="dxa"/>
          </w:tcPr>
          <w:p w:rsidR="00DE6DB9" w:rsidRDefault="00361E6C">
            <w:pPr>
              <w:pStyle w:val="TableParagraph"/>
              <w:spacing w:before="20" w:line="261" w:lineRule="auto"/>
              <w:ind w:left="499" w:right="491"/>
              <w:jc w:val="center"/>
              <w:rPr>
                <w:sz w:val="20"/>
              </w:rPr>
            </w:pPr>
            <w:r>
              <w:rPr>
                <w:spacing w:val="-1"/>
                <w:sz w:val="20"/>
              </w:rPr>
              <w:t xml:space="preserve">MT_DeliPasta </w:t>
            </w:r>
            <w:r>
              <w:rPr>
                <w:sz w:val="20"/>
              </w:rPr>
              <w:t>MT_Meat3 MT_Dairy1</w:t>
            </w:r>
          </w:p>
          <w:p w:rsidR="00DE6DB9" w:rsidRDefault="00361E6C">
            <w:pPr>
              <w:pStyle w:val="TableParagraph"/>
              <w:spacing w:line="238" w:lineRule="exact"/>
              <w:ind w:left="498" w:right="491"/>
              <w:jc w:val="center"/>
              <w:rPr>
                <w:sz w:val="20"/>
              </w:rPr>
            </w:pPr>
            <w:r>
              <w:rPr>
                <w:sz w:val="20"/>
              </w:rPr>
              <w:t>MT_Dairy3</w:t>
            </w:r>
          </w:p>
        </w:tc>
        <w:tc>
          <w:tcPr>
            <w:tcW w:w="1800" w:type="dxa"/>
          </w:tcPr>
          <w:p w:rsidR="00DE6DB9" w:rsidRDefault="00DE6DB9">
            <w:pPr>
              <w:pStyle w:val="TableParagraph"/>
              <w:rPr>
                <w:sz w:val="20"/>
              </w:rPr>
            </w:pPr>
          </w:p>
          <w:p w:rsidR="00DE6DB9" w:rsidRDefault="00361E6C">
            <w:pPr>
              <w:pStyle w:val="TableParagraph"/>
              <w:spacing w:before="172"/>
              <w:ind w:left="319"/>
              <w:rPr>
                <w:sz w:val="20"/>
              </w:rPr>
            </w:pPr>
            <w:r>
              <w:rPr>
                <w:sz w:val="20"/>
              </w:rPr>
              <w:t>INF-LOAD/LEN</w:t>
            </w:r>
          </w:p>
        </w:tc>
        <w:tc>
          <w:tcPr>
            <w:tcW w:w="1620" w:type="dxa"/>
          </w:tcPr>
          <w:p w:rsidR="00DE6DB9" w:rsidRDefault="00DE6DB9">
            <w:pPr>
              <w:pStyle w:val="TableParagraph"/>
              <w:rPr>
                <w:sz w:val="20"/>
              </w:rPr>
            </w:pPr>
          </w:p>
          <w:p w:rsidR="00DE6DB9" w:rsidRDefault="00361E6C">
            <w:pPr>
              <w:pStyle w:val="TableParagraph"/>
              <w:spacing w:before="172"/>
              <w:ind w:left="325" w:right="318"/>
              <w:jc w:val="center"/>
              <w:rPr>
                <w:sz w:val="20"/>
              </w:rPr>
            </w:pPr>
            <w:r>
              <w:rPr>
                <w:sz w:val="20"/>
              </w:rPr>
              <w:t>261.3</w:t>
            </w:r>
          </w:p>
        </w:tc>
        <w:tc>
          <w:tcPr>
            <w:tcW w:w="1975" w:type="dxa"/>
          </w:tcPr>
          <w:p w:rsidR="00DE6DB9" w:rsidRDefault="00DE6DB9">
            <w:pPr>
              <w:pStyle w:val="TableParagraph"/>
              <w:rPr>
                <w:sz w:val="20"/>
              </w:rPr>
            </w:pPr>
          </w:p>
          <w:p w:rsidR="00DE6DB9" w:rsidRDefault="00361E6C">
            <w:pPr>
              <w:pStyle w:val="TableParagraph"/>
              <w:spacing w:before="172"/>
              <w:ind w:left="105" w:right="100"/>
              <w:jc w:val="center"/>
              <w:rPr>
                <w:sz w:val="20"/>
              </w:rPr>
            </w:pPr>
            <w:r>
              <w:rPr>
                <w:sz w:val="20"/>
              </w:rPr>
              <w:t>80% Reduction</w:t>
            </w:r>
          </w:p>
        </w:tc>
      </w:tr>
    </w:tbl>
    <w:p w:rsidR="00DE6DB9" w:rsidRDefault="00DE6DB9">
      <w:pPr>
        <w:pStyle w:val="BodyText"/>
        <w:rPr>
          <w:sz w:val="20"/>
        </w:rPr>
      </w:pPr>
    </w:p>
    <w:p w:rsidR="00DE6DB9" w:rsidRDefault="0088103E">
      <w:pPr>
        <w:pStyle w:val="BodyText"/>
        <w:spacing w:before="1"/>
        <w:rPr>
          <w:sz w:val="17"/>
        </w:rPr>
      </w:pPr>
      <w:r>
        <w:rPr>
          <w:noProof/>
          <w:lang w:bidi="ar-SA"/>
        </w:rPr>
        <mc:AlternateContent>
          <mc:Choice Requires="wps">
            <w:drawing>
              <wp:anchor distT="0" distB="0" distL="0" distR="0" simplePos="0" relativeHeight="251659264" behindDoc="1" locked="0" layoutInCell="1" allowOverlap="1">
                <wp:simplePos x="0" y="0"/>
                <wp:positionH relativeFrom="page">
                  <wp:posOffset>914400</wp:posOffset>
                </wp:positionH>
                <wp:positionV relativeFrom="paragraph">
                  <wp:posOffset>162560</wp:posOffset>
                </wp:positionV>
                <wp:extent cx="1828800" cy="0"/>
                <wp:effectExtent l="9525" t="10160" r="9525" b="8890"/>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8pt" to="3in,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JUSHQIAAEIEAAAOAAAAZHJzL2Uyb0RvYy54bWysU8GO2jAQvVfqP1i+QxI2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7"/>
        <w:rPr>
          <w:sz w:val="27"/>
        </w:rPr>
      </w:pPr>
    </w:p>
    <w:p w:rsidR="00DE6DB9" w:rsidRDefault="00361E6C">
      <w:pPr>
        <w:ind w:left="120"/>
        <w:rPr>
          <w:sz w:val="18"/>
        </w:rPr>
      </w:pPr>
      <w:bookmarkStart w:id="31" w:name="_bookmark12"/>
      <w:bookmarkEnd w:id="31"/>
      <w:r>
        <w:rPr>
          <w:position w:val="5"/>
          <w:sz w:val="12"/>
        </w:rPr>
        <w:t xml:space="preserve">13 </w:t>
      </w:r>
      <w:r>
        <w:rPr>
          <w:sz w:val="18"/>
        </w:rPr>
        <w:t>Reference is unknown.</w:t>
      </w:r>
    </w:p>
    <w:p w:rsidR="00DE6DB9" w:rsidRDefault="00361E6C">
      <w:pPr>
        <w:spacing w:before="119"/>
        <w:ind w:left="120"/>
        <w:rPr>
          <w:sz w:val="18"/>
        </w:rPr>
      </w:pPr>
      <w:bookmarkStart w:id="32" w:name="_bookmark13"/>
      <w:bookmarkEnd w:id="32"/>
      <w:r>
        <w:rPr>
          <w:position w:val="5"/>
          <w:sz w:val="12"/>
        </w:rPr>
        <w:t xml:space="preserve">14 </w:t>
      </w:r>
      <w:r>
        <w:rPr>
          <w:sz w:val="18"/>
        </w:rPr>
        <w:t>PECI. (n.d.) "PECI Grocery Model: Refrigeration Base Case Description."</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48"/>
        <w:gridCol w:w="2107"/>
        <w:gridCol w:w="1800"/>
        <w:gridCol w:w="1620"/>
        <w:gridCol w:w="1975"/>
      </w:tblGrid>
      <w:tr w:rsidR="00DE6DB9">
        <w:trPr>
          <w:trHeight w:val="530"/>
        </w:trPr>
        <w:tc>
          <w:tcPr>
            <w:tcW w:w="1848" w:type="dxa"/>
            <w:shd w:val="clear" w:color="auto" w:fill="F1F1F1"/>
          </w:tcPr>
          <w:p w:rsidR="00DE6DB9" w:rsidRDefault="00361E6C">
            <w:pPr>
              <w:pStyle w:val="TableParagraph"/>
              <w:spacing w:before="143"/>
              <w:ind w:left="107"/>
              <w:rPr>
                <w:sz w:val="20"/>
              </w:rPr>
            </w:pPr>
            <w:r>
              <w:rPr>
                <w:sz w:val="20"/>
              </w:rPr>
              <w:t>Input Description</w:t>
            </w:r>
          </w:p>
        </w:tc>
        <w:tc>
          <w:tcPr>
            <w:tcW w:w="2107" w:type="dxa"/>
            <w:shd w:val="clear" w:color="auto" w:fill="F1F1F1"/>
          </w:tcPr>
          <w:p w:rsidR="00DE6DB9" w:rsidRDefault="00361E6C">
            <w:pPr>
              <w:pStyle w:val="TableParagraph"/>
              <w:spacing w:before="143"/>
              <w:ind w:left="230"/>
              <w:rPr>
                <w:sz w:val="20"/>
              </w:rPr>
            </w:pPr>
            <w:r>
              <w:rPr>
                <w:sz w:val="20"/>
              </w:rPr>
              <w:t>DOE2.2 Components</w:t>
            </w:r>
          </w:p>
        </w:tc>
        <w:tc>
          <w:tcPr>
            <w:tcW w:w="1800" w:type="dxa"/>
            <w:shd w:val="clear" w:color="auto" w:fill="F1F1F1"/>
          </w:tcPr>
          <w:p w:rsidR="00DE6DB9" w:rsidRDefault="00361E6C">
            <w:pPr>
              <w:pStyle w:val="TableParagraph"/>
              <w:spacing w:before="23" w:line="240" w:lineRule="atLeast"/>
              <w:ind w:left="691" w:hanging="432"/>
              <w:rPr>
                <w:sz w:val="20"/>
              </w:rPr>
            </w:pPr>
            <w:r>
              <w:rPr>
                <w:sz w:val="20"/>
              </w:rPr>
              <w:t>DOE2.2 Keyword Input</w:t>
            </w:r>
          </w:p>
        </w:tc>
        <w:tc>
          <w:tcPr>
            <w:tcW w:w="1620" w:type="dxa"/>
            <w:shd w:val="clear" w:color="auto" w:fill="F1F1F1"/>
          </w:tcPr>
          <w:p w:rsidR="00DE6DB9" w:rsidRDefault="00361E6C">
            <w:pPr>
              <w:pStyle w:val="TableParagraph"/>
              <w:spacing w:before="143"/>
              <w:ind w:left="328" w:right="318"/>
              <w:jc w:val="center"/>
              <w:rPr>
                <w:sz w:val="20"/>
              </w:rPr>
            </w:pPr>
            <w:r>
              <w:rPr>
                <w:sz w:val="20"/>
              </w:rPr>
              <w:t>Input Value</w:t>
            </w:r>
          </w:p>
        </w:tc>
        <w:tc>
          <w:tcPr>
            <w:tcW w:w="1975" w:type="dxa"/>
            <w:shd w:val="clear" w:color="auto" w:fill="F1F1F1"/>
          </w:tcPr>
          <w:p w:rsidR="00DE6DB9" w:rsidRDefault="00361E6C">
            <w:pPr>
              <w:pStyle w:val="TableParagraph"/>
              <w:spacing w:before="143"/>
              <w:ind w:left="525"/>
              <w:rPr>
                <w:sz w:val="20"/>
              </w:rPr>
            </w:pPr>
            <w:r>
              <w:rPr>
                <w:sz w:val="20"/>
              </w:rPr>
              <w:t>Explanation</w:t>
            </w:r>
          </w:p>
        </w:tc>
      </w:tr>
      <w:tr w:rsidR="00DE6DB9">
        <w:trPr>
          <w:trHeight w:val="1074"/>
        </w:trPr>
        <w:tc>
          <w:tcPr>
            <w:tcW w:w="1848" w:type="dxa"/>
          </w:tcPr>
          <w:p w:rsidR="00DE6DB9" w:rsidRDefault="00DE6DB9">
            <w:pPr>
              <w:pStyle w:val="TableParagraph"/>
              <w:spacing w:before="1"/>
              <w:rPr>
                <w:sz w:val="24"/>
              </w:rPr>
            </w:pPr>
          </w:p>
          <w:p w:rsidR="00DE6DB9" w:rsidRDefault="00361E6C">
            <w:pPr>
              <w:pStyle w:val="TableParagraph"/>
              <w:ind w:left="107" w:right="100"/>
              <w:rPr>
                <w:sz w:val="20"/>
              </w:rPr>
            </w:pPr>
            <w:r>
              <w:rPr>
                <w:sz w:val="20"/>
              </w:rPr>
              <w:t>Case Conduction and Radiation Load</w:t>
            </w:r>
          </w:p>
        </w:tc>
        <w:tc>
          <w:tcPr>
            <w:tcW w:w="2107" w:type="dxa"/>
          </w:tcPr>
          <w:p w:rsidR="00DE6DB9" w:rsidRDefault="00361E6C">
            <w:pPr>
              <w:pStyle w:val="TableParagraph"/>
              <w:spacing w:before="5" w:line="260" w:lineRule="atLeast"/>
              <w:ind w:left="604" w:hanging="106"/>
              <w:rPr>
                <w:sz w:val="20"/>
              </w:rPr>
            </w:pPr>
            <w:r>
              <w:rPr>
                <w:w w:val="95"/>
                <w:sz w:val="20"/>
              </w:rPr>
              <w:t xml:space="preserve">MT_DeliPasta </w:t>
            </w:r>
            <w:r>
              <w:rPr>
                <w:sz w:val="20"/>
              </w:rPr>
              <w:t>MT_Meat3 MT_Dairy1 MT_Dairy4</w:t>
            </w:r>
          </w:p>
        </w:tc>
        <w:tc>
          <w:tcPr>
            <w:tcW w:w="1800" w:type="dxa"/>
          </w:tcPr>
          <w:p w:rsidR="00DE6DB9" w:rsidRDefault="00DE6DB9">
            <w:pPr>
              <w:pStyle w:val="TableParagraph"/>
              <w:rPr>
                <w:sz w:val="20"/>
              </w:rPr>
            </w:pPr>
          </w:p>
          <w:p w:rsidR="00DE6DB9" w:rsidRDefault="00361E6C">
            <w:pPr>
              <w:pStyle w:val="TableParagraph"/>
              <w:spacing w:before="172"/>
              <w:ind w:left="125" w:right="118"/>
              <w:jc w:val="center"/>
              <w:rPr>
                <w:sz w:val="20"/>
              </w:rPr>
            </w:pPr>
            <w:r>
              <w:rPr>
                <w:sz w:val="20"/>
              </w:rPr>
              <w:t>CONDUCTION/LEN</w:t>
            </w:r>
          </w:p>
        </w:tc>
        <w:tc>
          <w:tcPr>
            <w:tcW w:w="1620" w:type="dxa"/>
          </w:tcPr>
          <w:p w:rsidR="00DE6DB9" w:rsidRDefault="00DE6DB9">
            <w:pPr>
              <w:pStyle w:val="TableParagraph"/>
              <w:rPr>
                <w:sz w:val="20"/>
              </w:rPr>
            </w:pPr>
          </w:p>
          <w:p w:rsidR="00DE6DB9" w:rsidRDefault="00361E6C">
            <w:pPr>
              <w:pStyle w:val="TableParagraph"/>
              <w:spacing w:before="172"/>
              <w:ind w:left="325" w:right="318"/>
              <w:jc w:val="center"/>
              <w:rPr>
                <w:sz w:val="20"/>
              </w:rPr>
            </w:pPr>
            <w:r>
              <w:rPr>
                <w:sz w:val="20"/>
              </w:rPr>
              <w:t>91.45</w:t>
            </w:r>
          </w:p>
        </w:tc>
        <w:tc>
          <w:tcPr>
            <w:tcW w:w="1975" w:type="dxa"/>
          </w:tcPr>
          <w:p w:rsidR="00DE6DB9" w:rsidRDefault="00361E6C">
            <w:pPr>
              <w:pStyle w:val="TableParagraph"/>
              <w:spacing w:before="171"/>
              <w:ind w:left="112" w:right="100"/>
              <w:jc w:val="center"/>
              <w:rPr>
                <w:sz w:val="20"/>
              </w:rPr>
            </w:pPr>
            <w:r>
              <w:rPr>
                <w:sz w:val="20"/>
              </w:rPr>
              <w:t>58% Reduction (conduction and radiation)</w:t>
            </w:r>
          </w:p>
        </w:tc>
      </w:tr>
      <w:tr w:rsidR="00DE6DB9">
        <w:trPr>
          <w:trHeight w:val="1077"/>
        </w:trPr>
        <w:tc>
          <w:tcPr>
            <w:tcW w:w="1848" w:type="dxa"/>
          </w:tcPr>
          <w:p w:rsidR="00DE6DB9" w:rsidRDefault="00DE6DB9">
            <w:pPr>
              <w:pStyle w:val="TableParagraph"/>
              <w:rPr>
                <w:sz w:val="20"/>
              </w:rPr>
            </w:pPr>
          </w:p>
          <w:p w:rsidR="00DE6DB9" w:rsidRDefault="00361E6C">
            <w:pPr>
              <w:pStyle w:val="TableParagraph"/>
              <w:spacing w:before="175"/>
              <w:ind w:left="107"/>
              <w:rPr>
                <w:sz w:val="20"/>
              </w:rPr>
            </w:pPr>
            <w:r>
              <w:rPr>
                <w:sz w:val="20"/>
              </w:rPr>
              <w:t>Case Lighting</w:t>
            </w:r>
          </w:p>
        </w:tc>
        <w:tc>
          <w:tcPr>
            <w:tcW w:w="2107" w:type="dxa"/>
          </w:tcPr>
          <w:p w:rsidR="00DE6DB9" w:rsidRDefault="00361E6C">
            <w:pPr>
              <w:pStyle w:val="TableParagraph"/>
              <w:spacing w:before="7" w:line="260" w:lineRule="atLeast"/>
              <w:ind w:left="604" w:hanging="106"/>
              <w:rPr>
                <w:sz w:val="20"/>
              </w:rPr>
            </w:pPr>
            <w:r>
              <w:rPr>
                <w:w w:val="95"/>
                <w:sz w:val="20"/>
              </w:rPr>
              <w:t xml:space="preserve">MT_DeliPasta </w:t>
            </w:r>
            <w:r>
              <w:rPr>
                <w:sz w:val="20"/>
              </w:rPr>
              <w:t>MT_Meat3 MT_Dairy1 MT_Dairy4</w:t>
            </w:r>
          </w:p>
        </w:tc>
        <w:tc>
          <w:tcPr>
            <w:tcW w:w="1800" w:type="dxa"/>
          </w:tcPr>
          <w:p w:rsidR="00DE6DB9" w:rsidRDefault="00DE6DB9">
            <w:pPr>
              <w:pStyle w:val="TableParagraph"/>
              <w:rPr>
                <w:sz w:val="20"/>
              </w:rPr>
            </w:pPr>
          </w:p>
          <w:p w:rsidR="00DE6DB9" w:rsidRDefault="00361E6C">
            <w:pPr>
              <w:pStyle w:val="TableParagraph"/>
              <w:spacing w:before="174"/>
              <w:ind w:left="122" w:right="118"/>
              <w:jc w:val="center"/>
              <w:rPr>
                <w:sz w:val="20"/>
              </w:rPr>
            </w:pPr>
            <w:r>
              <w:rPr>
                <w:sz w:val="20"/>
              </w:rPr>
              <w:t>CANOPY-KW/LEN</w:t>
            </w:r>
          </w:p>
        </w:tc>
        <w:tc>
          <w:tcPr>
            <w:tcW w:w="1620" w:type="dxa"/>
          </w:tcPr>
          <w:p w:rsidR="00DE6DB9" w:rsidRDefault="00DE6DB9">
            <w:pPr>
              <w:pStyle w:val="TableParagraph"/>
              <w:rPr>
                <w:sz w:val="20"/>
              </w:rPr>
            </w:pPr>
          </w:p>
          <w:p w:rsidR="00DE6DB9" w:rsidRDefault="00361E6C">
            <w:pPr>
              <w:pStyle w:val="TableParagraph"/>
              <w:spacing w:before="174"/>
              <w:ind w:left="323" w:right="318"/>
              <w:jc w:val="center"/>
              <w:rPr>
                <w:sz w:val="20"/>
              </w:rPr>
            </w:pPr>
            <w:r>
              <w:rPr>
                <w:sz w:val="20"/>
              </w:rPr>
              <w:t>0.004171</w:t>
            </w:r>
          </w:p>
        </w:tc>
        <w:tc>
          <w:tcPr>
            <w:tcW w:w="1975" w:type="dxa"/>
          </w:tcPr>
          <w:p w:rsidR="00DE6DB9" w:rsidRDefault="00DE6DB9">
            <w:pPr>
              <w:pStyle w:val="TableParagraph"/>
              <w:spacing w:before="3"/>
              <w:rPr>
                <w:sz w:val="24"/>
              </w:rPr>
            </w:pPr>
          </w:p>
          <w:p w:rsidR="00DE6DB9" w:rsidRDefault="00361E6C">
            <w:pPr>
              <w:pStyle w:val="TableParagraph"/>
              <w:ind w:left="717" w:right="306" w:hanging="382"/>
              <w:rPr>
                <w:sz w:val="20"/>
              </w:rPr>
            </w:pPr>
            <w:r>
              <w:rPr>
                <w:sz w:val="20"/>
              </w:rPr>
              <w:t>Program invoice review</w:t>
            </w:r>
          </w:p>
        </w:tc>
      </w:tr>
      <w:tr w:rsidR="00DE6DB9">
        <w:trPr>
          <w:trHeight w:val="1077"/>
        </w:trPr>
        <w:tc>
          <w:tcPr>
            <w:tcW w:w="1848" w:type="dxa"/>
          </w:tcPr>
          <w:p w:rsidR="00DE6DB9" w:rsidRDefault="00DE6DB9">
            <w:pPr>
              <w:pStyle w:val="TableParagraph"/>
              <w:spacing w:before="1"/>
              <w:rPr>
                <w:sz w:val="24"/>
              </w:rPr>
            </w:pPr>
          </w:p>
          <w:p w:rsidR="00DE6DB9" w:rsidRDefault="00361E6C">
            <w:pPr>
              <w:pStyle w:val="TableParagraph"/>
              <w:spacing w:line="242" w:lineRule="auto"/>
              <w:ind w:left="107" w:right="231"/>
              <w:rPr>
                <w:sz w:val="20"/>
              </w:rPr>
            </w:pPr>
            <w:r>
              <w:rPr>
                <w:sz w:val="20"/>
              </w:rPr>
              <w:t>Case Temperature Setpoint</w:t>
            </w:r>
          </w:p>
        </w:tc>
        <w:tc>
          <w:tcPr>
            <w:tcW w:w="2107" w:type="dxa"/>
          </w:tcPr>
          <w:p w:rsidR="00DE6DB9" w:rsidRDefault="00361E6C">
            <w:pPr>
              <w:pStyle w:val="TableParagraph"/>
              <w:spacing w:before="20" w:line="261" w:lineRule="auto"/>
              <w:ind w:left="499" w:right="491"/>
              <w:jc w:val="center"/>
              <w:rPr>
                <w:sz w:val="20"/>
              </w:rPr>
            </w:pPr>
            <w:r>
              <w:rPr>
                <w:spacing w:val="-1"/>
                <w:sz w:val="20"/>
              </w:rPr>
              <w:t xml:space="preserve">MT_DeliPasta </w:t>
            </w:r>
            <w:r>
              <w:rPr>
                <w:sz w:val="20"/>
              </w:rPr>
              <w:t>MT_Meat3 MT_Dairy1</w:t>
            </w:r>
          </w:p>
          <w:p w:rsidR="00DE6DB9" w:rsidRDefault="00361E6C">
            <w:pPr>
              <w:pStyle w:val="TableParagraph"/>
              <w:spacing w:line="238" w:lineRule="exact"/>
              <w:ind w:left="498" w:right="491"/>
              <w:jc w:val="center"/>
              <w:rPr>
                <w:sz w:val="20"/>
              </w:rPr>
            </w:pPr>
            <w:r>
              <w:rPr>
                <w:sz w:val="20"/>
              </w:rPr>
              <w:t>MT_Dairy4</w:t>
            </w:r>
          </w:p>
        </w:tc>
        <w:tc>
          <w:tcPr>
            <w:tcW w:w="1800" w:type="dxa"/>
          </w:tcPr>
          <w:p w:rsidR="00DE6DB9" w:rsidRDefault="00DE6DB9">
            <w:pPr>
              <w:pStyle w:val="TableParagraph"/>
              <w:rPr>
                <w:sz w:val="20"/>
              </w:rPr>
            </w:pPr>
          </w:p>
          <w:p w:rsidR="00DE6DB9" w:rsidRDefault="00361E6C">
            <w:pPr>
              <w:pStyle w:val="TableParagraph"/>
              <w:spacing w:before="172"/>
              <w:ind w:left="123" w:right="118"/>
              <w:jc w:val="center"/>
              <w:rPr>
                <w:sz w:val="20"/>
              </w:rPr>
            </w:pPr>
            <w:r>
              <w:rPr>
                <w:sz w:val="20"/>
              </w:rPr>
              <w:t>TEMP-SETPT</w:t>
            </w:r>
          </w:p>
        </w:tc>
        <w:tc>
          <w:tcPr>
            <w:tcW w:w="1620" w:type="dxa"/>
          </w:tcPr>
          <w:p w:rsidR="00DE6DB9" w:rsidRDefault="00DE6DB9">
            <w:pPr>
              <w:pStyle w:val="TableParagraph"/>
              <w:rPr>
                <w:sz w:val="20"/>
              </w:rPr>
            </w:pPr>
          </w:p>
          <w:p w:rsidR="00DE6DB9" w:rsidRDefault="00361E6C">
            <w:pPr>
              <w:pStyle w:val="TableParagraph"/>
              <w:spacing w:before="172"/>
              <w:ind w:left="325" w:right="318"/>
              <w:jc w:val="center"/>
              <w:rPr>
                <w:sz w:val="20"/>
              </w:rPr>
            </w:pPr>
            <w:r>
              <w:rPr>
                <w:sz w:val="20"/>
              </w:rPr>
              <w:t>35</w:t>
            </w:r>
          </w:p>
        </w:tc>
        <w:tc>
          <w:tcPr>
            <w:tcW w:w="1975" w:type="dxa"/>
          </w:tcPr>
          <w:p w:rsidR="00DE6DB9" w:rsidRDefault="00361E6C">
            <w:pPr>
              <w:pStyle w:val="TableParagraph"/>
              <w:spacing w:before="51"/>
              <w:ind w:left="148" w:right="137" w:hanging="4"/>
              <w:jc w:val="center"/>
              <w:rPr>
                <w:sz w:val="20"/>
              </w:rPr>
            </w:pPr>
            <w:r>
              <w:rPr>
                <w:sz w:val="20"/>
              </w:rPr>
              <w:t>Allows for proper cooling and</w:t>
            </w:r>
            <w:r>
              <w:rPr>
                <w:spacing w:val="-10"/>
                <w:sz w:val="20"/>
              </w:rPr>
              <w:t xml:space="preserve"> </w:t>
            </w:r>
            <w:r>
              <w:rPr>
                <w:sz w:val="20"/>
              </w:rPr>
              <w:t>maintain product integrity without</w:t>
            </w:r>
            <w:r>
              <w:rPr>
                <w:spacing w:val="-5"/>
                <w:sz w:val="20"/>
              </w:rPr>
              <w:t xml:space="preserve"> </w:t>
            </w:r>
            <w:r>
              <w:rPr>
                <w:sz w:val="20"/>
              </w:rPr>
              <w:t>overcooling</w:t>
            </w:r>
          </w:p>
        </w:tc>
      </w:tr>
      <w:tr w:rsidR="00DE6DB9">
        <w:trPr>
          <w:trHeight w:val="1077"/>
        </w:trPr>
        <w:tc>
          <w:tcPr>
            <w:tcW w:w="1848" w:type="dxa"/>
          </w:tcPr>
          <w:p w:rsidR="00DE6DB9" w:rsidRDefault="00DE6DB9">
            <w:pPr>
              <w:pStyle w:val="TableParagraph"/>
              <w:rPr>
                <w:sz w:val="20"/>
              </w:rPr>
            </w:pPr>
          </w:p>
          <w:p w:rsidR="00DE6DB9" w:rsidRDefault="00361E6C">
            <w:pPr>
              <w:pStyle w:val="TableParagraph"/>
              <w:spacing w:before="172"/>
              <w:ind w:left="107"/>
              <w:rPr>
                <w:sz w:val="20"/>
              </w:rPr>
            </w:pPr>
            <w:r>
              <w:rPr>
                <w:sz w:val="20"/>
              </w:rPr>
              <w:t>Defrost Schedule</w:t>
            </w:r>
          </w:p>
        </w:tc>
        <w:tc>
          <w:tcPr>
            <w:tcW w:w="2107" w:type="dxa"/>
          </w:tcPr>
          <w:p w:rsidR="00DE6DB9" w:rsidRDefault="00361E6C">
            <w:pPr>
              <w:pStyle w:val="TableParagraph"/>
              <w:spacing w:before="4" w:line="260" w:lineRule="atLeast"/>
              <w:ind w:left="604" w:hanging="106"/>
              <w:rPr>
                <w:sz w:val="20"/>
              </w:rPr>
            </w:pPr>
            <w:r>
              <w:rPr>
                <w:w w:val="95"/>
                <w:sz w:val="20"/>
              </w:rPr>
              <w:t xml:space="preserve">MT_DeliPasta </w:t>
            </w:r>
            <w:r>
              <w:rPr>
                <w:sz w:val="20"/>
              </w:rPr>
              <w:t>MT_Meat3 MT_Dairy1 MT_Dairy4</w:t>
            </w:r>
          </w:p>
        </w:tc>
        <w:tc>
          <w:tcPr>
            <w:tcW w:w="1800" w:type="dxa"/>
          </w:tcPr>
          <w:p w:rsidR="00DE6DB9" w:rsidRDefault="00DE6DB9">
            <w:pPr>
              <w:pStyle w:val="TableParagraph"/>
              <w:rPr>
                <w:sz w:val="20"/>
              </w:rPr>
            </w:pPr>
          </w:p>
          <w:p w:rsidR="00DE6DB9" w:rsidRDefault="00361E6C">
            <w:pPr>
              <w:pStyle w:val="TableParagraph"/>
              <w:spacing w:before="172"/>
              <w:ind w:left="125" w:right="117"/>
              <w:jc w:val="center"/>
              <w:rPr>
                <w:sz w:val="20"/>
              </w:rPr>
            </w:pPr>
            <w:r>
              <w:rPr>
                <w:sz w:val="20"/>
              </w:rPr>
              <w:t>DEFROST-SCH</w:t>
            </w:r>
          </w:p>
        </w:tc>
        <w:tc>
          <w:tcPr>
            <w:tcW w:w="1620" w:type="dxa"/>
          </w:tcPr>
          <w:p w:rsidR="00DE6DB9" w:rsidRDefault="00DE6DB9">
            <w:pPr>
              <w:pStyle w:val="TableParagraph"/>
              <w:spacing w:before="1"/>
              <w:rPr>
                <w:sz w:val="24"/>
              </w:rPr>
            </w:pPr>
          </w:p>
          <w:p w:rsidR="00DE6DB9" w:rsidRDefault="00361E6C">
            <w:pPr>
              <w:pStyle w:val="TableParagraph"/>
              <w:ind w:left="720" w:right="32" w:hanging="586"/>
              <w:rPr>
                <w:sz w:val="20"/>
              </w:rPr>
            </w:pPr>
            <w:r>
              <w:rPr>
                <w:w w:val="95"/>
                <w:sz w:val="20"/>
              </w:rPr>
              <w:t xml:space="preserve">"Defrost_3_Sche </w:t>
            </w:r>
            <w:r>
              <w:rPr>
                <w:sz w:val="20"/>
              </w:rPr>
              <w:t>d"</w:t>
            </w:r>
          </w:p>
        </w:tc>
        <w:tc>
          <w:tcPr>
            <w:tcW w:w="1975" w:type="dxa"/>
          </w:tcPr>
          <w:p w:rsidR="00DE6DB9" w:rsidRDefault="00361E6C">
            <w:pPr>
              <w:pStyle w:val="TableParagraph"/>
              <w:spacing w:before="49"/>
              <w:ind w:left="112" w:right="100"/>
              <w:jc w:val="center"/>
              <w:rPr>
                <w:sz w:val="20"/>
              </w:rPr>
            </w:pPr>
            <w:r>
              <w:rPr>
                <w:sz w:val="20"/>
              </w:rPr>
              <w:t>Less defrost required due to less infiltration of moisture into the case</w:t>
            </w:r>
          </w:p>
        </w:tc>
      </w:tr>
    </w:tbl>
    <w:p w:rsidR="00DE6DB9" w:rsidRDefault="00DE6DB9">
      <w:pPr>
        <w:pStyle w:val="BodyText"/>
        <w:rPr>
          <w:sz w:val="20"/>
        </w:rPr>
      </w:pPr>
    </w:p>
    <w:p w:rsidR="00DE6DB9" w:rsidRDefault="00DE6DB9">
      <w:pPr>
        <w:pStyle w:val="BodyText"/>
        <w:spacing w:before="4"/>
        <w:rPr>
          <w:sz w:val="18"/>
        </w:rPr>
      </w:pPr>
    </w:p>
    <w:p w:rsidR="00DE6DB9" w:rsidRDefault="00361E6C">
      <w:pPr>
        <w:spacing w:before="52"/>
        <w:ind w:left="120"/>
        <w:rPr>
          <w:sz w:val="24"/>
        </w:rPr>
      </w:pPr>
      <w:bookmarkStart w:id="33" w:name="Unit_Energy_Savings_Calculation"/>
      <w:bookmarkEnd w:id="33"/>
      <w:r>
        <w:rPr>
          <w:color w:val="CFAB79"/>
          <w:sz w:val="24"/>
        </w:rPr>
        <w:t>Unit Energy Savings Calculation</w:t>
      </w:r>
    </w:p>
    <w:p w:rsidR="00DE6DB9" w:rsidRDefault="00361E6C">
      <w:pPr>
        <w:pStyle w:val="BodyText"/>
        <w:spacing w:before="115"/>
        <w:ind w:left="119" w:right="420"/>
      </w:pPr>
      <w:r>
        <w:t>The electric unit energy savings (UES) was calculated as the difference between the modeled base case and the measure case annual unit energy consumption (UEC) . The difference was divided by the number of units of measure implementation that were modeled (length of the display case line-up).</w:t>
      </w:r>
    </w:p>
    <w:p w:rsidR="00DE6DB9" w:rsidRDefault="00361E6C">
      <w:pPr>
        <w:spacing w:before="90" w:line="172" w:lineRule="exact"/>
        <w:ind w:left="1663"/>
        <w:rPr>
          <w:rFonts w:ascii="Cambria Math" w:eastAsia="Cambria Math" w:hAnsi="Cambria Math"/>
          <w:sz w:val="13"/>
        </w:rPr>
      </w:pPr>
      <w:r>
        <w:rPr>
          <w:rFonts w:ascii="Cambria Math" w:eastAsia="Cambria Math" w:hAnsi="Cambria Math"/>
          <w:w w:val="70"/>
          <w:position w:val="4"/>
          <w:sz w:val="18"/>
        </w:rPr>
        <w:t>𝑈𝑈𝑈𝑈𝑈𝑈</w:t>
      </w:r>
      <w:r>
        <w:rPr>
          <w:rFonts w:ascii="Cambria Math" w:eastAsia="Cambria Math" w:hAnsi="Cambria Math"/>
          <w:w w:val="70"/>
          <w:sz w:val="13"/>
        </w:rPr>
        <w:t xml:space="preserve">𝑏𝑏𝑏𝑏𝑏𝑏𝑒𝑒 </w:t>
      </w:r>
      <w:r>
        <w:rPr>
          <w:rFonts w:ascii="Cambria Math" w:eastAsia="Cambria Math" w:hAnsi="Cambria Math"/>
          <w:w w:val="80"/>
          <w:position w:val="4"/>
          <w:sz w:val="18"/>
        </w:rPr>
        <w:t xml:space="preserve">− </w:t>
      </w:r>
      <w:r>
        <w:rPr>
          <w:rFonts w:ascii="Cambria Math" w:eastAsia="Cambria Math" w:hAnsi="Cambria Math"/>
          <w:w w:val="70"/>
          <w:position w:val="4"/>
          <w:sz w:val="18"/>
        </w:rPr>
        <w:t>𝑈𝑈𝑈𝑈𝑈𝑈</w:t>
      </w:r>
      <w:r>
        <w:rPr>
          <w:rFonts w:ascii="Cambria Math" w:eastAsia="Cambria Math" w:hAnsi="Cambria Math"/>
          <w:w w:val="70"/>
          <w:sz w:val="13"/>
        </w:rPr>
        <w:t>𝑚𝑚𝑒𝑒𝑏𝑏𝑏𝑏𝑚𝑚𝑚𝑚𝑒𝑒</w:t>
      </w:r>
    </w:p>
    <w:p w:rsidR="00DE6DB9" w:rsidRDefault="00DE6DB9">
      <w:pPr>
        <w:spacing w:line="172" w:lineRule="exact"/>
        <w:rPr>
          <w:rFonts w:ascii="Cambria Math" w:eastAsia="Cambria Math" w:hAnsi="Cambria Math"/>
          <w:sz w:val="13"/>
        </w:rPr>
        <w:sectPr w:rsidR="00DE6DB9">
          <w:pgSz w:w="12240" w:h="15840"/>
          <w:pgMar w:top="1220" w:right="1080" w:bottom="1320" w:left="1320" w:header="858" w:footer="1129" w:gutter="0"/>
          <w:cols w:space="720"/>
        </w:sectPr>
      </w:pPr>
    </w:p>
    <w:p w:rsidR="00DE6DB9" w:rsidRDefault="0088103E">
      <w:pPr>
        <w:spacing w:line="210" w:lineRule="exact"/>
        <w:ind w:left="840"/>
        <w:rPr>
          <w:rFonts w:ascii="Cambria Math" w:eastAsia="Cambria Math"/>
          <w:sz w:val="18"/>
        </w:rPr>
      </w:pPr>
      <w:r>
        <w:rPr>
          <w:noProof/>
          <w:lang w:bidi="ar-SA"/>
        </w:rPr>
        <w:lastRenderedPageBreak/>
        <mc:AlternateContent>
          <mc:Choice Requires="wps">
            <w:drawing>
              <wp:anchor distT="0" distB="0" distL="114300" distR="114300" simplePos="0" relativeHeight="251651072" behindDoc="0" locked="0" layoutInCell="1" allowOverlap="1">
                <wp:simplePos x="0" y="0"/>
                <wp:positionH relativeFrom="page">
                  <wp:posOffset>1894205</wp:posOffset>
                </wp:positionH>
                <wp:positionV relativeFrom="paragraph">
                  <wp:posOffset>56515</wp:posOffset>
                </wp:positionV>
                <wp:extent cx="1115695" cy="0"/>
                <wp:effectExtent l="8255" t="8890" r="9525" b="1016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5695" cy="0"/>
                        </a:xfrm>
                        <a:prstGeom prst="line">
                          <a:avLst/>
                        </a:prstGeom>
                        <a:noFill/>
                        <a:ln w="76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9.15pt,4.45pt" to="237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j2HQIAAEI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" strokeweight=".21131mm">
                <w10:wrap anchorx="page"/>
              </v:line>
            </w:pict>
          </mc:Fallback>
        </mc:AlternateContent>
      </w:r>
      <w:r w:rsidR="00361E6C">
        <w:rPr>
          <w:rFonts w:ascii="Cambria Math" w:eastAsia="Cambria Math"/>
          <w:w w:val="50"/>
          <w:sz w:val="18"/>
        </w:rPr>
        <w:t>𝑈𝑈𝑈𝑈𝑈𝑈</w:t>
      </w:r>
      <w:r w:rsidR="00361E6C">
        <w:rPr>
          <w:rFonts w:ascii="Cambria Math" w:eastAsia="Cambria Math"/>
          <w:w w:val="50"/>
          <w:position w:val="-3"/>
          <w:sz w:val="13"/>
        </w:rPr>
        <w:t xml:space="preserve">𝑒𝑒𝑒𝑒𝑒𝑒𝑒𝑒 </w:t>
      </w:r>
      <w:r w:rsidR="00361E6C">
        <w:rPr>
          <w:rFonts w:ascii="Cambria Math" w:eastAsia="Cambria Math"/>
          <w:w w:val="50"/>
          <w:sz w:val="18"/>
        </w:rPr>
        <w:t>=</w:t>
      </w:r>
    </w:p>
    <w:p w:rsidR="00DE6DB9" w:rsidRDefault="00361E6C">
      <w:pPr>
        <w:spacing w:before="90"/>
        <w:ind w:left="135"/>
        <w:rPr>
          <w:rFonts w:ascii="Cambria Math" w:eastAsia="Cambria Math" w:hAnsi="Cambria Math"/>
          <w:sz w:val="18"/>
        </w:rPr>
      </w:pPr>
      <w:r>
        <w:br w:type="column"/>
      </w:r>
      <w:r>
        <w:rPr>
          <w:rFonts w:ascii="Cambria Math" w:eastAsia="Cambria Math" w:hAnsi="Cambria Math"/>
          <w:w w:val="50"/>
          <w:sz w:val="18"/>
        </w:rPr>
        <w:lastRenderedPageBreak/>
        <w:t>𝐿𝐿</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57"/>
          <w:sz w:val="18"/>
        </w:rPr>
        <w:t>𝐿𝐿</w:t>
      </w:r>
      <w:r>
        <w:rPr>
          <w:rFonts w:ascii="Cambria Math" w:eastAsia="Cambria Math" w:hAnsi="Cambria Math"/>
          <w:w w:val="37"/>
          <w:sz w:val="18"/>
        </w:rPr>
        <w:t>𝐿𝐿</w:t>
      </w:r>
      <w:r>
        <w:rPr>
          <w:rFonts w:ascii="Cambria Math" w:eastAsia="Cambria Math" w:hAnsi="Cambria Math"/>
          <w:sz w:val="18"/>
        </w:rPr>
        <w:t>ℎ</w:t>
      </w:r>
    </w:p>
    <w:p w:rsidR="00DE6DB9" w:rsidRDefault="00361E6C">
      <w:pPr>
        <w:pStyle w:val="BodyText"/>
        <w:spacing w:before="9"/>
        <w:rPr>
          <w:rFonts w:ascii="Cambria Math"/>
          <w:sz w:val="14"/>
        </w:rPr>
      </w:pPr>
      <w:r>
        <w:br w:type="column"/>
      </w:r>
    </w:p>
    <w:p w:rsidR="00DE6DB9" w:rsidRDefault="00361E6C">
      <w:pPr>
        <w:ind w:left="-32"/>
        <w:rPr>
          <w:rFonts w:ascii="Cambria Math" w:eastAsia="Cambria Math" w:hAnsi="Cambria Math"/>
          <w:sz w:val="13"/>
        </w:rPr>
      </w:pPr>
      <w:r>
        <w:rPr>
          <w:rFonts w:ascii="Cambria Math" w:eastAsia="Cambria Math" w:hAnsi="Cambria Math"/>
          <w:w w:val="51"/>
          <w:sz w:val="13"/>
        </w:rPr>
        <w:t>𝑇</w:t>
      </w:r>
      <w:r>
        <w:rPr>
          <w:rFonts w:ascii="Cambria Math" w:eastAsia="Cambria Math" w:hAnsi="Cambria Math"/>
          <w:spacing w:val="-1"/>
          <w:w w:val="51"/>
          <w:sz w:val="13"/>
        </w:rPr>
        <w:t>𝑇</w:t>
      </w:r>
      <w:r>
        <w:rPr>
          <w:rFonts w:ascii="Cambria Math" w:eastAsia="Cambria Math" w:hAnsi="Cambria Math"/>
          <w:w w:val="43"/>
          <w:sz w:val="13"/>
        </w:rPr>
        <w:t>𝑇𝑇𝑇𝑇</w:t>
      </w:r>
      <w:r>
        <w:rPr>
          <w:rFonts w:ascii="Cambria Math" w:eastAsia="Cambria Math" w:hAnsi="Cambria Math"/>
          <w:w w:val="57"/>
          <w:sz w:val="13"/>
        </w:rPr>
        <w:t>𝑏𝑏</w:t>
      </w:r>
      <w:r>
        <w:rPr>
          <w:rFonts w:ascii="Cambria Math" w:eastAsia="Cambria Math" w:hAnsi="Cambria Math"/>
          <w:w w:val="35"/>
          <w:sz w:val="13"/>
        </w:rPr>
        <w:t>𝑒𝑒</w:t>
      </w:r>
      <w:r>
        <w:rPr>
          <w:rFonts w:ascii="Cambria Math" w:eastAsia="Cambria Math" w:hAnsi="Cambria Math"/>
          <w:spacing w:val="2"/>
          <w:sz w:val="13"/>
        </w:rPr>
        <w:t xml:space="preserve"> </w:t>
      </w:r>
      <w:r>
        <w:rPr>
          <w:rFonts w:ascii="Cambria Math" w:eastAsia="Cambria Math" w:hAnsi="Cambria Math"/>
          <w:w w:val="51"/>
          <w:sz w:val="13"/>
        </w:rPr>
        <w:t>𝐿</w:t>
      </w:r>
      <w:r>
        <w:rPr>
          <w:rFonts w:ascii="Cambria Math" w:eastAsia="Cambria Math" w:hAnsi="Cambria Math"/>
          <w:spacing w:val="1"/>
          <w:w w:val="51"/>
          <w:sz w:val="13"/>
        </w:rPr>
        <w:t>𝐿</w:t>
      </w:r>
      <w:r>
        <w:rPr>
          <w:rFonts w:ascii="Cambria Math" w:eastAsia="Cambria Math" w:hAnsi="Cambria Math"/>
          <w:w w:val="32"/>
          <w:sz w:val="13"/>
        </w:rPr>
        <w:t>𝐿𝐿</w:t>
      </w:r>
      <w:r>
        <w:rPr>
          <w:rFonts w:ascii="Cambria Math" w:eastAsia="Cambria Math" w:hAnsi="Cambria Math"/>
          <w:w w:val="60"/>
          <w:sz w:val="13"/>
        </w:rPr>
        <w:t>𝐿</w:t>
      </w:r>
      <w:r>
        <w:rPr>
          <w:rFonts w:ascii="Cambria Math" w:eastAsia="Cambria Math" w:hAnsi="Cambria Math"/>
          <w:spacing w:val="-1"/>
          <w:w w:val="60"/>
          <w:sz w:val="13"/>
        </w:rPr>
        <w:t>𝐿</w:t>
      </w:r>
      <w:r>
        <w:rPr>
          <w:rFonts w:ascii="Cambria Math" w:eastAsia="Cambria Math" w:hAnsi="Cambria Math"/>
          <w:w w:val="54"/>
          <w:sz w:val="13"/>
        </w:rPr>
        <w:t>𝑒</w:t>
      </w:r>
      <w:r>
        <w:rPr>
          <w:rFonts w:ascii="Cambria Math" w:eastAsia="Cambria Math" w:hAnsi="Cambria Math"/>
          <w:spacing w:val="1"/>
          <w:w w:val="54"/>
          <w:sz w:val="13"/>
        </w:rPr>
        <w:t>𝑒</w:t>
      </w:r>
      <w:r>
        <w:rPr>
          <w:rFonts w:ascii="Cambria Math" w:eastAsia="Cambria Math" w:hAnsi="Cambria Math"/>
          <w:spacing w:val="1"/>
          <w:w w:val="97"/>
          <w:sz w:val="13"/>
        </w:rPr>
        <w:t>−</w:t>
      </w:r>
      <w:r>
        <w:rPr>
          <w:rFonts w:ascii="Cambria Math" w:eastAsia="Cambria Math" w:hAnsi="Cambria Math"/>
          <w:spacing w:val="-1"/>
          <w:w w:val="48"/>
          <w:sz w:val="13"/>
        </w:rPr>
        <w:t>𝑈𝑈𝑈𝑈</w:t>
      </w:r>
    </w:p>
    <w:p w:rsidR="00DE6DB9" w:rsidRDefault="00DE6DB9">
      <w:pPr>
        <w:rPr>
          <w:rFonts w:ascii="Cambria Math" w:eastAsia="Cambria Math" w:hAnsi="Cambria Math"/>
          <w:sz w:val="13"/>
        </w:rPr>
        <w:sectPr w:rsidR="00DE6DB9">
          <w:type w:val="continuous"/>
          <w:pgSz w:w="12240" w:h="15840"/>
          <w:pgMar w:top="1220" w:right="1080" w:bottom="1320" w:left="1320" w:header="720" w:footer="720" w:gutter="0"/>
          <w:cols w:num="3" w:space="720" w:equalWidth="0">
            <w:col w:w="1613" w:space="40"/>
            <w:col w:w="706" w:space="39"/>
            <w:col w:w="7442"/>
          </w:cols>
        </w:sectPr>
      </w:pPr>
    </w:p>
    <w:p w:rsidR="00DE6DB9" w:rsidRDefault="00DE6DB9">
      <w:pPr>
        <w:pStyle w:val="BodyText"/>
        <w:rPr>
          <w:rFonts w:ascii="Cambria Math"/>
          <w:sz w:val="20"/>
        </w:rPr>
      </w:pPr>
    </w:p>
    <w:p w:rsidR="00DE6DB9" w:rsidRDefault="00DE6DB9">
      <w:pPr>
        <w:pStyle w:val="BodyText"/>
        <w:spacing w:before="2"/>
        <w:rPr>
          <w:rFonts w:ascii="Cambria Math"/>
          <w:sz w:val="18"/>
        </w:rPr>
      </w:pPr>
    </w:p>
    <w:p w:rsidR="00DE6DB9" w:rsidRDefault="00361E6C">
      <w:pPr>
        <w:tabs>
          <w:tab w:val="left" w:pos="3359"/>
        </w:tabs>
        <w:spacing w:before="1"/>
        <w:ind w:left="1559"/>
        <w:rPr>
          <w:rFonts w:ascii="Cambria Math"/>
          <w:i/>
          <w:sz w:val="19"/>
        </w:rPr>
      </w:pPr>
      <w:r>
        <w:rPr>
          <w:rFonts w:ascii="Cambria Math"/>
          <w:i/>
          <w:sz w:val="19"/>
        </w:rPr>
        <w:t>UES</w:t>
      </w:r>
      <w:r>
        <w:rPr>
          <w:rFonts w:ascii="Cambria Math"/>
          <w:i/>
          <w:spacing w:val="-9"/>
          <w:sz w:val="19"/>
        </w:rPr>
        <w:t xml:space="preserve"> </w:t>
      </w:r>
      <w:r>
        <w:rPr>
          <w:rFonts w:ascii="Cambria Math"/>
          <w:i/>
          <w:sz w:val="19"/>
        </w:rPr>
        <w:t>=</w:t>
      </w:r>
      <w:r>
        <w:rPr>
          <w:rFonts w:ascii="Cambria Math"/>
          <w:i/>
          <w:sz w:val="19"/>
        </w:rPr>
        <w:tab/>
        <w:t>Annual</w:t>
      </w:r>
      <w:r>
        <w:rPr>
          <w:rFonts w:ascii="Cambria Math"/>
          <w:i/>
          <w:spacing w:val="-6"/>
          <w:sz w:val="19"/>
        </w:rPr>
        <w:t xml:space="preserve"> </w:t>
      </w:r>
      <w:r>
        <w:rPr>
          <w:rFonts w:ascii="Cambria Math"/>
          <w:i/>
          <w:sz w:val="19"/>
        </w:rPr>
        <w:t>electric</w:t>
      </w:r>
      <w:r>
        <w:rPr>
          <w:rFonts w:ascii="Cambria Math"/>
          <w:i/>
          <w:spacing w:val="-5"/>
          <w:sz w:val="19"/>
        </w:rPr>
        <w:t xml:space="preserve"> </w:t>
      </w:r>
      <w:r>
        <w:rPr>
          <w:rFonts w:ascii="Cambria Math"/>
          <w:i/>
          <w:sz w:val="19"/>
        </w:rPr>
        <w:t>unit</w:t>
      </w:r>
      <w:r>
        <w:rPr>
          <w:rFonts w:ascii="Cambria Math"/>
          <w:i/>
          <w:spacing w:val="-8"/>
          <w:sz w:val="19"/>
        </w:rPr>
        <w:t xml:space="preserve"> </w:t>
      </w:r>
      <w:r>
        <w:rPr>
          <w:rFonts w:ascii="Cambria Math"/>
          <w:i/>
          <w:sz w:val="19"/>
        </w:rPr>
        <w:t>energy</w:t>
      </w:r>
      <w:r>
        <w:rPr>
          <w:rFonts w:ascii="Cambria Math"/>
          <w:i/>
          <w:spacing w:val="-7"/>
          <w:sz w:val="19"/>
        </w:rPr>
        <w:t xml:space="preserve"> </w:t>
      </w:r>
      <w:r>
        <w:rPr>
          <w:rFonts w:ascii="Cambria Math"/>
          <w:i/>
          <w:sz w:val="19"/>
        </w:rPr>
        <w:t>savings</w:t>
      </w:r>
      <w:r>
        <w:rPr>
          <w:rFonts w:ascii="Cambria Math"/>
          <w:i/>
          <w:spacing w:val="-5"/>
          <w:sz w:val="19"/>
        </w:rPr>
        <w:t xml:space="preserve"> </w:t>
      </w:r>
      <w:r>
        <w:rPr>
          <w:rFonts w:ascii="Cambria Math"/>
          <w:i/>
          <w:sz w:val="19"/>
        </w:rPr>
        <w:t>per</w:t>
      </w:r>
      <w:r>
        <w:rPr>
          <w:rFonts w:ascii="Cambria Math"/>
          <w:i/>
          <w:spacing w:val="-6"/>
          <w:sz w:val="19"/>
        </w:rPr>
        <w:t xml:space="preserve"> </w:t>
      </w:r>
      <w:r>
        <w:rPr>
          <w:rFonts w:ascii="Cambria Math"/>
          <w:i/>
          <w:sz w:val="19"/>
        </w:rPr>
        <w:t>unit</w:t>
      </w:r>
      <w:r>
        <w:rPr>
          <w:rFonts w:ascii="Cambria Math"/>
          <w:i/>
          <w:spacing w:val="-5"/>
          <w:sz w:val="19"/>
        </w:rPr>
        <w:t xml:space="preserve"> </w:t>
      </w:r>
      <w:r>
        <w:rPr>
          <w:rFonts w:ascii="Cambria Math"/>
          <w:i/>
          <w:sz w:val="19"/>
        </w:rPr>
        <w:t>(kWh/yr)</w:t>
      </w:r>
    </w:p>
    <w:p w:rsidR="00DE6DB9" w:rsidRDefault="00361E6C">
      <w:pPr>
        <w:tabs>
          <w:tab w:val="left" w:pos="3359"/>
        </w:tabs>
        <w:spacing w:before="7" w:line="254" w:lineRule="auto"/>
        <w:ind w:left="1559" w:right="1084"/>
        <w:rPr>
          <w:rFonts w:ascii="Cambria Math"/>
          <w:i/>
          <w:sz w:val="19"/>
        </w:rPr>
      </w:pPr>
      <w:r>
        <w:rPr>
          <w:rFonts w:ascii="Cambria Math"/>
          <w:i/>
          <w:position w:val="1"/>
          <w:sz w:val="19"/>
        </w:rPr>
        <w:t>UEC</w:t>
      </w:r>
      <w:r>
        <w:rPr>
          <w:rFonts w:ascii="Cambria Math"/>
          <w:i/>
          <w:sz w:val="12"/>
        </w:rPr>
        <w:t>base</w:t>
      </w:r>
      <w:r>
        <w:rPr>
          <w:rFonts w:ascii="Cambria Math"/>
          <w:i/>
          <w:spacing w:val="-7"/>
          <w:sz w:val="12"/>
        </w:rPr>
        <w:t xml:space="preserve"> </w:t>
      </w:r>
      <w:r>
        <w:rPr>
          <w:rFonts w:ascii="Cambria Math"/>
          <w:i/>
          <w:position w:val="1"/>
          <w:sz w:val="19"/>
        </w:rPr>
        <w:t>=</w:t>
      </w:r>
      <w:r>
        <w:rPr>
          <w:rFonts w:ascii="Cambria Math"/>
          <w:i/>
          <w:position w:val="1"/>
          <w:sz w:val="19"/>
        </w:rPr>
        <w:tab/>
        <w:t>Annual unit energy consumption of the base case model (kWh/yr) UEC</w:t>
      </w:r>
      <w:r>
        <w:rPr>
          <w:rFonts w:ascii="Cambria Math"/>
          <w:i/>
          <w:sz w:val="12"/>
        </w:rPr>
        <w:t>measure</w:t>
      </w:r>
      <w:r>
        <w:rPr>
          <w:rFonts w:ascii="Cambria Math"/>
          <w:i/>
          <w:spacing w:val="-7"/>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Annual</w:t>
      </w:r>
      <w:r>
        <w:rPr>
          <w:rFonts w:ascii="Cambria Math"/>
          <w:i/>
          <w:spacing w:val="-5"/>
          <w:w w:val="95"/>
          <w:position w:val="1"/>
          <w:sz w:val="19"/>
        </w:rPr>
        <w:t xml:space="preserve"> </w:t>
      </w:r>
      <w:r>
        <w:rPr>
          <w:rFonts w:ascii="Cambria Math"/>
          <w:i/>
          <w:w w:val="95"/>
          <w:position w:val="1"/>
          <w:sz w:val="19"/>
        </w:rPr>
        <w:t>unit</w:t>
      </w:r>
      <w:r>
        <w:rPr>
          <w:rFonts w:ascii="Cambria Math"/>
          <w:i/>
          <w:spacing w:val="-5"/>
          <w:w w:val="95"/>
          <w:position w:val="1"/>
          <w:sz w:val="19"/>
        </w:rPr>
        <w:t xml:space="preserve"> </w:t>
      </w:r>
      <w:r>
        <w:rPr>
          <w:rFonts w:ascii="Cambria Math"/>
          <w:i/>
          <w:w w:val="95"/>
          <w:position w:val="1"/>
          <w:sz w:val="19"/>
        </w:rPr>
        <w:t>energy</w:t>
      </w:r>
      <w:r>
        <w:rPr>
          <w:rFonts w:ascii="Cambria Math"/>
          <w:i/>
          <w:spacing w:val="-3"/>
          <w:w w:val="95"/>
          <w:position w:val="1"/>
          <w:sz w:val="19"/>
        </w:rPr>
        <w:t xml:space="preserve"> </w:t>
      </w:r>
      <w:r>
        <w:rPr>
          <w:rFonts w:ascii="Cambria Math"/>
          <w:i/>
          <w:w w:val="95"/>
          <w:position w:val="1"/>
          <w:sz w:val="19"/>
        </w:rPr>
        <w:t>consumption</w:t>
      </w:r>
      <w:r>
        <w:rPr>
          <w:rFonts w:ascii="Cambria Math"/>
          <w:i/>
          <w:spacing w:val="-4"/>
          <w:w w:val="95"/>
          <w:position w:val="1"/>
          <w:sz w:val="19"/>
        </w:rPr>
        <w:t xml:space="preserve"> </w:t>
      </w:r>
      <w:r>
        <w:rPr>
          <w:rFonts w:ascii="Cambria Math"/>
          <w:i/>
          <w:w w:val="95"/>
          <w:position w:val="1"/>
          <w:sz w:val="19"/>
        </w:rPr>
        <w:t>of</w:t>
      </w:r>
      <w:r>
        <w:rPr>
          <w:rFonts w:ascii="Cambria Math"/>
          <w:i/>
          <w:spacing w:val="-5"/>
          <w:w w:val="95"/>
          <w:position w:val="1"/>
          <w:sz w:val="19"/>
        </w:rPr>
        <w:t xml:space="preserve"> </w:t>
      </w:r>
      <w:r>
        <w:rPr>
          <w:rFonts w:ascii="Cambria Math"/>
          <w:i/>
          <w:w w:val="95"/>
          <w:position w:val="1"/>
          <w:sz w:val="19"/>
        </w:rPr>
        <w:t>the</w:t>
      </w:r>
      <w:r>
        <w:rPr>
          <w:rFonts w:ascii="Cambria Math"/>
          <w:i/>
          <w:spacing w:val="-4"/>
          <w:w w:val="95"/>
          <w:position w:val="1"/>
          <w:sz w:val="19"/>
        </w:rPr>
        <w:t xml:space="preserve"> </w:t>
      </w:r>
      <w:r>
        <w:rPr>
          <w:rFonts w:ascii="Cambria Math"/>
          <w:i/>
          <w:w w:val="95"/>
          <w:position w:val="1"/>
          <w:sz w:val="19"/>
        </w:rPr>
        <w:t>measure</w:t>
      </w:r>
      <w:r>
        <w:rPr>
          <w:rFonts w:ascii="Cambria Math"/>
          <w:i/>
          <w:spacing w:val="-3"/>
          <w:w w:val="95"/>
          <w:position w:val="1"/>
          <w:sz w:val="19"/>
        </w:rPr>
        <w:t xml:space="preserve"> </w:t>
      </w:r>
      <w:r>
        <w:rPr>
          <w:rFonts w:ascii="Cambria Math"/>
          <w:i/>
          <w:w w:val="95"/>
          <w:position w:val="1"/>
          <w:sz w:val="19"/>
        </w:rPr>
        <w:t>case</w:t>
      </w:r>
      <w:r>
        <w:rPr>
          <w:rFonts w:ascii="Cambria Math"/>
          <w:i/>
          <w:spacing w:val="-3"/>
          <w:w w:val="95"/>
          <w:position w:val="1"/>
          <w:sz w:val="19"/>
        </w:rPr>
        <w:t xml:space="preserve"> </w:t>
      </w:r>
      <w:r>
        <w:rPr>
          <w:rFonts w:ascii="Cambria Math"/>
          <w:i/>
          <w:w w:val="95"/>
          <w:position w:val="1"/>
          <w:sz w:val="19"/>
        </w:rPr>
        <w:t>model</w:t>
      </w:r>
      <w:r>
        <w:rPr>
          <w:rFonts w:ascii="Cambria Math"/>
          <w:i/>
          <w:spacing w:val="-4"/>
          <w:w w:val="95"/>
          <w:position w:val="1"/>
          <w:sz w:val="19"/>
        </w:rPr>
        <w:t xml:space="preserve"> </w:t>
      </w:r>
      <w:r>
        <w:rPr>
          <w:rFonts w:ascii="Cambria Math"/>
          <w:i/>
          <w:w w:val="95"/>
          <w:position w:val="1"/>
          <w:sz w:val="19"/>
        </w:rPr>
        <w:t xml:space="preserve">(kWh/yr) </w:t>
      </w:r>
      <w:r>
        <w:rPr>
          <w:rFonts w:ascii="Cambria Math"/>
          <w:i/>
          <w:position w:val="1"/>
          <w:sz w:val="19"/>
        </w:rPr>
        <w:t>Length</w:t>
      </w:r>
      <w:r>
        <w:rPr>
          <w:rFonts w:ascii="Cambria Math"/>
          <w:i/>
          <w:sz w:val="12"/>
        </w:rPr>
        <w:t>Total</w:t>
      </w:r>
      <w:r>
        <w:rPr>
          <w:rFonts w:ascii="Cambria Math"/>
          <w:i/>
          <w:spacing w:val="-6"/>
          <w:sz w:val="12"/>
        </w:rPr>
        <w:t xml:space="preserve"> </w:t>
      </w:r>
      <w:r>
        <w:rPr>
          <w:rFonts w:ascii="Cambria Math"/>
          <w:i/>
          <w:sz w:val="12"/>
        </w:rPr>
        <w:t>Line-Up</w:t>
      </w:r>
      <w:r>
        <w:rPr>
          <w:rFonts w:ascii="Cambria Math"/>
          <w:i/>
          <w:spacing w:val="-7"/>
          <w:sz w:val="12"/>
        </w:rPr>
        <w:t xml:space="preserve"> </w:t>
      </w:r>
      <w:r>
        <w:rPr>
          <w:rFonts w:ascii="Cambria Math"/>
          <w:i/>
          <w:position w:val="1"/>
          <w:sz w:val="19"/>
        </w:rPr>
        <w:t>=</w:t>
      </w:r>
      <w:r>
        <w:rPr>
          <w:rFonts w:ascii="Cambria Math"/>
          <w:i/>
          <w:position w:val="1"/>
          <w:sz w:val="19"/>
        </w:rPr>
        <w:tab/>
        <w:t>Length of the total door line-up</w:t>
      </w:r>
      <w:r>
        <w:rPr>
          <w:rFonts w:ascii="Cambria Math"/>
          <w:i/>
          <w:spacing w:val="-27"/>
          <w:position w:val="1"/>
          <w:sz w:val="19"/>
        </w:rPr>
        <w:t xml:space="preserve"> </w:t>
      </w:r>
      <w:r>
        <w:rPr>
          <w:rFonts w:ascii="Cambria Math"/>
          <w:i/>
          <w:position w:val="1"/>
          <w:sz w:val="19"/>
        </w:rPr>
        <w:t>(len-ft)</w:t>
      </w:r>
    </w:p>
    <w:p w:rsidR="00DE6DB9" w:rsidRDefault="00DE6DB9">
      <w:pPr>
        <w:pStyle w:val="BodyText"/>
        <w:rPr>
          <w:rFonts w:ascii="Cambria Math"/>
          <w:i/>
          <w:sz w:val="18"/>
        </w:rPr>
      </w:pPr>
    </w:p>
    <w:p w:rsidR="00DE6DB9" w:rsidRDefault="00DE6DB9">
      <w:pPr>
        <w:pStyle w:val="BodyText"/>
        <w:rPr>
          <w:rFonts w:ascii="Cambria Math"/>
          <w:i/>
          <w:sz w:val="25"/>
        </w:rPr>
      </w:pPr>
    </w:p>
    <w:p w:rsidR="00DE6DB9" w:rsidRDefault="00361E6C">
      <w:pPr>
        <w:pStyle w:val="Heading1"/>
      </w:pPr>
      <w:bookmarkStart w:id="34" w:name="_TOC_250010"/>
      <w:bookmarkEnd w:id="34"/>
      <w:r>
        <w:rPr>
          <w:color w:val="CFAB79"/>
        </w:rPr>
        <w:t>PEAK ELECTRIC DEMAND REDUCTION (KW)</w:t>
      </w:r>
    </w:p>
    <w:p w:rsidR="00DE6DB9" w:rsidRDefault="00361E6C">
      <w:pPr>
        <w:pStyle w:val="BodyText"/>
        <w:spacing w:before="115"/>
        <w:ind w:left="120" w:right="488" w:hanging="1"/>
      </w:pPr>
      <w:r>
        <w:t>This measure is included in the Database for Energy Efficient Resources (DEER).</w:t>
      </w:r>
      <w:hyperlink w:anchor="_bookmark14" w:history="1">
        <w:r>
          <w:rPr>
            <w:vertAlign w:val="superscript"/>
          </w:rPr>
          <w:t>15</w:t>
        </w:r>
        <w:r>
          <w:t xml:space="preserve"> </w:t>
        </w:r>
      </w:hyperlink>
      <w:r>
        <w:t>However, because of significant differences between the DEER measure and the measure defined herein, the unit peak demand reduction values for this measure were derived from DOE-2.2R building energy use simulations.</w:t>
      </w:r>
    </w:p>
    <w:p w:rsidR="00DE6DB9" w:rsidRDefault="00361E6C">
      <w:pPr>
        <w:pStyle w:val="BodyText"/>
        <w:spacing w:before="120"/>
        <w:ind w:left="119"/>
      </w:pPr>
      <w:r>
        <w:t>See Electric Savings for details of the base case and measure case simulation models.</w:t>
      </w:r>
    </w:p>
    <w:p w:rsidR="00DE6DB9" w:rsidRDefault="00DE6DB9">
      <w:pPr>
        <w:pStyle w:val="BodyText"/>
        <w:rPr>
          <w:sz w:val="20"/>
        </w:rPr>
      </w:pPr>
    </w:p>
    <w:p w:rsidR="00DE6DB9" w:rsidRDefault="0088103E">
      <w:pPr>
        <w:pStyle w:val="BodyText"/>
        <w:spacing w:before="10"/>
        <w:rPr>
          <w:sz w:val="11"/>
        </w:rPr>
      </w:pPr>
      <w:r>
        <w:rPr>
          <w:noProof/>
          <w:lang w:bidi="ar-SA"/>
        </w:rPr>
        <mc:AlternateContent>
          <mc:Choice Requires="wps">
            <w:drawing>
              <wp:anchor distT="0" distB="0" distL="0" distR="0" simplePos="0" relativeHeight="251660288" behindDoc="1" locked="0" layoutInCell="1" allowOverlap="1">
                <wp:simplePos x="0" y="0"/>
                <wp:positionH relativeFrom="page">
                  <wp:posOffset>914400</wp:posOffset>
                </wp:positionH>
                <wp:positionV relativeFrom="paragraph">
                  <wp:posOffset>121920</wp:posOffset>
                </wp:positionV>
                <wp:extent cx="1828800" cy="0"/>
                <wp:effectExtent l="9525" t="7620" r="9525" b="1143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6pt" to="3in,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BRIHQIAAEIEAAAOAAAAZHJzL2Uyb0RvYy54bWysU8GO2jAQvVfqP1i+QxKasi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9"/>
        <w:rPr>
          <w:sz w:val="21"/>
        </w:rPr>
      </w:pPr>
    </w:p>
    <w:p w:rsidR="00DE6DB9" w:rsidRDefault="00361E6C">
      <w:pPr>
        <w:spacing w:before="69"/>
        <w:ind w:left="120" w:right="1041" w:hanging="1"/>
        <w:rPr>
          <w:sz w:val="18"/>
        </w:rPr>
      </w:pPr>
      <w:bookmarkStart w:id="35" w:name="_bookmark14"/>
      <w:bookmarkEnd w:id="35"/>
      <w:r>
        <w:rPr>
          <w:position w:val="5"/>
          <w:sz w:val="12"/>
        </w:rPr>
        <w:t xml:space="preserve">15 </w:t>
      </w:r>
      <w:r>
        <w:rPr>
          <w:sz w:val="18"/>
        </w:rPr>
        <w:t xml:space="preserve">Itron, Inc. 2005. </w:t>
      </w:r>
      <w:r>
        <w:rPr>
          <w:i/>
          <w:sz w:val="18"/>
        </w:rPr>
        <w:t xml:space="preserve">2004-2005 Database for Energy Efficiency Resources (DEER) Update Study - Final Report. </w:t>
      </w:r>
      <w:r>
        <w:rPr>
          <w:sz w:val="18"/>
        </w:rPr>
        <w:t>Prepared for Southern California Edison.</w:t>
      </w:r>
    </w:p>
    <w:p w:rsidR="00DE6DB9" w:rsidRDefault="00361E6C">
      <w:pPr>
        <w:spacing w:before="120"/>
        <w:ind w:left="120" w:right="869" w:hanging="1"/>
        <w:rPr>
          <w:sz w:val="18"/>
        </w:rPr>
      </w:pPr>
      <w:r>
        <w:rPr>
          <w:sz w:val="18"/>
        </w:rPr>
        <w:t>See Section 6 of the Itron 2004-2005 DEER Update Study for details of DEER Building Prototypes generated by eQuest. See Section 7.3 for general description for grocery refrigeration measures.</w:t>
      </w:r>
    </w:p>
    <w:p w:rsidR="00DE6DB9" w:rsidRDefault="00DE6DB9">
      <w:pPr>
        <w:rPr>
          <w:sz w:val="18"/>
        </w:rPr>
        <w:sectPr w:rsidR="00DE6DB9">
          <w:type w:val="continuous"/>
          <w:pgSz w:w="12240" w:h="15840"/>
          <w:pgMar w:top="1220" w:right="1080" w:bottom="1320" w:left="1320" w:header="720" w:footer="720" w:gutter="0"/>
          <w:cols w:space="720"/>
        </w:sectPr>
      </w:pPr>
    </w:p>
    <w:p w:rsidR="00DE6DB9" w:rsidRDefault="00DE6DB9">
      <w:pPr>
        <w:pStyle w:val="BodyText"/>
        <w:spacing w:before="10"/>
        <w:rPr>
          <w:sz w:val="19"/>
        </w:rPr>
      </w:pPr>
    </w:p>
    <w:p w:rsidR="00DE6DB9" w:rsidRDefault="00361E6C">
      <w:pPr>
        <w:pStyle w:val="BodyText"/>
        <w:spacing w:before="56"/>
        <w:ind w:left="119" w:right="354"/>
      </w:pPr>
      <w:r>
        <w:t>Peak demand was calculated as the average of the electrical power draw between 4:00 p.m. to 9:00 p.m. in conformance with the Database for Energy Efficiency Resources (DEER) peak definition for each climate zone.</w:t>
      </w:r>
      <w:hyperlink w:anchor="_bookmark15" w:history="1">
        <w:r>
          <w:rPr>
            <w:vertAlign w:val="superscript"/>
          </w:rPr>
          <w:t>16</w:t>
        </w:r>
        <w:r>
          <w:t xml:space="preserve"> </w:t>
        </w:r>
      </w:hyperlink>
      <w:r>
        <w:t>Peak demand reduction is calculated as the difference between the modeled base case and measure case peak demand. The unit demand reduction was calculated as the total demand reduction divided by the total line-up length of the display case.</w:t>
      </w:r>
    </w:p>
    <w:p w:rsidR="00DE6DB9" w:rsidRDefault="00361E6C">
      <w:pPr>
        <w:spacing w:before="122"/>
        <w:ind w:left="840"/>
        <w:rPr>
          <w:rFonts w:ascii="Cambria Math" w:eastAsia="Cambria Math" w:hAnsi="Cambria Math"/>
          <w:sz w:val="18"/>
        </w:rPr>
      </w:pPr>
      <w:r>
        <w:rPr>
          <w:rFonts w:ascii="Cambria Math" w:eastAsia="Cambria Math" w:hAnsi="Cambria Math"/>
          <w:w w:val="50"/>
          <w:sz w:val="18"/>
        </w:rPr>
        <w:t>𝑃</w:t>
      </w:r>
      <w:r>
        <w:rPr>
          <w:rFonts w:ascii="Cambria Math" w:eastAsia="Cambria Math" w:hAnsi="Cambria Math"/>
          <w:spacing w:val="1"/>
          <w:w w:val="50"/>
          <w:sz w:val="18"/>
        </w:rPr>
        <w:t>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44"/>
          <w:sz w:val="18"/>
        </w:rPr>
        <w:t>𝑃𝑃𝑃</w:t>
      </w:r>
      <w:r>
        <w:rPr>
          <w:rFonts w:ascii="Cambria Math" w:eastAsia="Cambria Math" w:hAnsi="Cambria Math"/>
          <w:spacing w:val="-1"/>
          <w:w w:val="44"/>
          <w:sz w:val="18"/>
        </w:rPr>
        <w:t>𝑃</w:t>
      </w:r>
      <w:r>
        <w:rPr>
          <w:rFonts w:ascii="Cambria Math" w:eastAsia="Cambria Math" w:hAnsi="Cambria Math"/>
          <w:w w:val="55"/>
          <w:sz w:val="18"/>
        </w:rPr>
        <w:t>𝑃𝑃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67"/>
          <w:sz w:val="18"/>
        </w:rPr>
        <w:t>𝑃𝑃</w:t>
      </w:r>
      <w:r>
        <w:rPr>
          <w:rFonts w:ascii="Cambria Math" w:eastAsia="Cambria Math" w:hAnsi="Cambria Math"/>
          <w:w w:val="44"/>
          <w:sz w:val="18"/>
        </w:rPr>
        <w:t>𝑃𝑃</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46"/>
          <w:sz w:val="18"/>
        </w:rPr>
        <w:t>𝑃</w:t>
      </w:r>
      <w:r>
        <w:rPr>
          <w:rFonts w:ascii="Cambria Math" w:eastAsia="Cambria Math" w:hAnsi="Cambria Math"/>
          <w:spacing w:val="-2"/>
          <w:w w:val="46"/>
          <w:sz w:val="18"/>
        </w:rPr>
        <w:t>𝑃</w:t>
      </w:r>
      <w:r>
        <w:rPr>
          <w:rFonts w:ascii="Cambria Math" w:eastAsia="Cambria Math" w:hAnsi="Cambria Math"/>
          <w:w w:val="38"/>
          <w:sz w:val="18"/>
        </w:rPr>
        <w:t>𝑈𝑈</w:t>
      </w:r>
      <w:r>
        <w:rPr>
          <w:rFonts w:ascii="Cambria Math" w:eastAsia="Cambria Math" w:hAnsi="Cambria Math"/>
          <w:w w:val="44"/>
          <w:sz w:val="18"/>
        </w:rPr>
        <w:t>𝑃𝑃𝑃</w:t>
      </w:r>
      <w:r>
        <w:rPr>
          <w:rFonts w:ascii="Cambria Math" w:eastAsia="Cambria Math" w:hAnsi="Cambria Math"/>
          <w:spacing w:val="5"/>
          <w:w w:val="44"/>
          <w:sz w:val="18"/>
        </w:rPr>
        <w:t>𝑃</w:t>
      </w:r>
      <w:r>
        <w:rPr>
          <w:rFonts w:ascii="Cambria Math" w:eastAsia="Cambria Math" w:hAnsi="Cambria Math"/>
          <w:w w:val="46"/>
          <w:sz w:val="18"/>
          <w:vertAlign w:val="subscript"/>
        </w:rPr>
        <w:t>𝑇</w:t>
      </w:r>
      <w:r>
        <w:rPr>
          <w:rFonts w:ascii="Cambria Math" w:eastAsia="Cambria Math" w:hAnsi="Cambria Math"/>
          <w:spacing w:val="-1"/>
          <w:w w:val="46"/>
          <w:sz w:val="18"/>
          <w:vertAlign w:val="subscript"/>
        </w:rPr>
        <w:t>𝑇</w:t>
      </w:r>
      <w:r>
        <w:rPr>
          <w:rFonts w:ascii="Cambria Math" w:eastAsia="Cambria Math" w:hAnsi="Cambria Math"/>
          <w:w w:val="38"/>
          <w:sz w:val="18"/>
          <w:vertAlign w:val="subscript"/>
        </w:rPr>
        <w:t>𝑇𝑇𝑇𝑇</w:t>
      </w:r>
      <w:r>
        <w:rPr>
          <w:rFonts w:ascii="Cambria Math" w:eastAsia="Cambria Math" w:hAnsi="Cambria Math"/>
          <w:w w:val="52"/>
          <w:sz w:val="18"/>
          <w:vertAlign w:val="subscript"/>
        </w:rPr>
        <w:t>𝑏𝑏</w:t>
      </w:r>
      <w:r>
        <w:rPr>
          <w:rFonts w:ascii="Cambria Math" w:eastAsia="Cambria Math" w:hAnsi="Cambria Math"/>
          <w:w w:val="31"/>
          <w:sz w:val="18"/>
          <w:vertAlign w:val="subscript"/>
        </w:rPr>
        <w:t>𝑒𝑒</w:t>
      </w:r>
      <w:r>
        <w:rPr>
          <w:rFonts w:ascii="Cambria Math" w:eastAsia="Cambria Math" w:hAnsi="Cambria Math"/>
          <w:spacing w:val="-9"/>
          <w:sz w:val="18"/>
        </w:rPr>
        <w:t xml:space="preserve"> </w:t>
      </w:r>
      <w:r>
        <w:rPr>
          <w:rFonts w:ascii="Cambria Math" w:eastAsia="Cambria Math" w:hAnsi="Cambria Math"/>
          <w:w w:val="46"/>
          <w:sz w:val="18"/>
          <w:vertAlign w:val="subscript"/>
        </w:rPr>
        <w:t>𝐿</w:t>
      </w:r>
      <w:r>
        <w:rPr>
          <w:rFonts w:ascii="Cambria Math" w:eastAsia="Cambria Math" w:hAnsi="Cambria Math"/>
          <w:spacing w:val="1"/>
          <w:w w:val="46"/>
          <w:sz w:val="18"/>
          <w:vertAlign w:val="subscript"/>
        </w:rPr>
        <w:t>𝐿</w:t>
      </w:r>
      <w:r>
        <w:rPr>
          <w:rFonts w:ascii="Cambria Math" w:eastAsia="Cambria Math" w:hAnsi="Cambria Math"/>
          <w:w w:val="29"/>
          <w:sz w:val="18"/>
          <w:vertAlign w:val="subscript"/>
        </w:rPr>
        <w:t>𝐿𝐿</w:t>
      </w:r>
      <w:r>
        <w:rPr>
          <w:rFonts w:ascii="Cambria Math" w:eastAsia="Cambria Math" w:hAnsi="Cambria Math"/>
          <w:w w:val="54"/>
          <w:sz w:val="18"/>
          <w:vertAlign w:val="subscript"/>
        </w:rPr>
        <w:t>𝐿</w:t>
      </w:r>
      <w:r>
        <w:rPr>
          <w:rFonts w:ascii="Cambria Math" w:eastAsia="Cambria Math" w:hAnsi="Cambria Math"/>
          <w:spacing w:val="-1"/>
          <w:w w:val="54"/>
          <w:sz w:val="18"/>
          <w:vertAlign w:val="subscript"/>
        </w:rPr>
        <w:t>𝐿</w:t>
      </w:r>
      <w:r>
        <w:rPr>
          <w:rFonts w:ascii="Cambria Math" w:eastAsia="Cambria Math" w:hAnsi="Cambria Math"/>
          <w:w w:val="49"/>
          <w:sz w:val="18"/>
          <w:vertAlign w:val="subscript"/>
        </w:rPr>
        <w:t>𝑒</w:t>
      </w:r>
      <w:r>
        <w:rPr>
          <w:rFonts w:ascii="Cambria Math" w:eastAsia="Cambria Math" w:hAnsi="Cambria Math"/>
          <w:spacing w:val="4"/>
          <w:w w:val="49"/>
          <w:sz w:val="18"/>
          <w:vertAlign w:val="subscript"/>
        </w:rPr>
        <w:t>𝑒</w:t>
      </w:r>
      <w:r>
        <w:rPr>
          <w:rFonts w:ascii="Cambria Math" w:eastAsia="Cambria Math" w:hAnsi="Cambria Math"/>
          <w:spacing w:val="-1"/>
          <w:w w:val="87"/>
          <w:sz w:val="18"/>
          <w:vertAlign w:val="subscript"/>
        </w:rPr>
        <w:t>−</w:t>
      </w:r>
      <w:r>
        <w:rPr>
          <w:rFonts w:ascii="Cambria Math" w:eastAsia="Cambria Math" w:hAnsi="Cambria Math"/>
          <w:spacing w:val="-1"/>
          <w:w w:val="44"/>
          <w:sz w:val="18"/>
          <w:vertAlign w:val="subscript"/>
        </w:rPr>
        <w:t>𝑈𝑈𝑈</w:t>
      </w:r>
      <w:r>
        <w:rPr>
          <w:rFonts w:ascii="Cambria Math" w:eastAsia="Cambria Math" w:hAnsi="Cambria Math"/>
          <w:w w:val="44"/>
          <w:sz w:val="18"/>
          <w:vertAlign w:val="subscript"/>
        </w:rPr>
        <w:t>𝑈</w:t>
      </w:r>
      <w:r>
        <w:rPr>
          <w:rFonts w:ascii="Cambria Math" w:eastAsia="Cambria Math" w:hAnsi="Cambria Math"/>
          <w:sz w:val="18"/>
        </w:rPr>
        <w:t xml:space="preserve"> </w:t>
      </w:r>
      <w:r>
        <w:rPr>
          <w:rFonts w:ascii="Cambria Math" w:eastAsia="Cambria Math" w:hAnsi="Cambria Math"/>
          <w:spacing w:val="-20"/>
          <w:sz w:val="18"/>
        </w:rPr>
        <w:t xml:space="preserve"> </w:t>
      </w:r>
      <w:r>
        <w:rPr>
          <w:rFonts w:ascii="Cambria Math" w:eastAsia="Cambria Math" w:hAnsi="Cambria Math"/>
          <w:sz w:val="18"/>
        </w:rPr>
        <w:t>=</w:t>
      </w:r>
      <w:r>
        <w:rPr>
          <w:rFonts w:ascii="Cambria Math" w:eastAsia="Cambria Math" w:hAnsi="Cambria Math"/>
          <w:spacing w:val="10"/>
          <w:sz w:val="18"/>
        </w:rPr>
        <w:t xml:space="preserve"> </w:t>
      </w:r>
      <w:r>
        <w:rPr>
          <w:rFonts w:ascii="Cambria Math" w:eastAsia="Cambria Math" w:hAnsi="Cambria Math"/>
          <w:w w:val="50"/>
          <w:sz w:val="18"/>
        </w:rPr>
        <w:t>𝑃</w:t>
      </w:r>
      <w:r>
        <w:rPr>
          <w:rFonts w:ascii="Cambria Math" w:eastAsia="Cambria Math" w:hAnsi="Cambria Math"/>
          <w:spacing w:val="1"/>
          <w:w w:val="50"/>
          <w:sz w:val="18"/>
        </w:rPr>
        <w:t>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44"/>
          <w:sz w:val="18"/>
        </w:rPr>
        <w:t>𝑃𝑃𝑃</w:t>
      </w:r>
      <w:r>
        <w:rPr>
          <w:rFonts w:ascii="Cambria Math" w:eastAsia="Cambria Math" w:hAnsi="Cambria Math"/>
          <w:spacing w:val="-1"/>
          <w:w w:val="44"/>
          <w:sz w:val="18"/>
        </w:rPr>
        <w:t>𝑃</w:t>
      </w:r>
      <w:r>
        <w:rPr>
          <w:rFonts w:ascii="Cambria Math" w:eastAsia="Cambria Math" w:hAnsi="Cambria Math"/>
          <w:w w:val="55"/>
          <w:sz w:val="18"/>
        </w:rPr>
        <w:t>𝑃𝑃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67"/>
          <w:sz w:val="18"/>
        </w:rPr>
        <w:t>𝑃𝑃</w:t>
      </w:r>
      <w:r>
        <w:rPr>
          <w:rFonts w:ascii="Cambria Math" w:eastAsia="Cambria Math" w:hAnsi="Cambria Math"/>
          <w:w w:val="44"/>
          <w:sz w:val="18"/>
        </w:rPr>
        <w:t>𝑃𝑃</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46"/>
          <w:sz w:val="18"/>
        </w:rPr>
        <w:t>𝑃</w:t>
      </w:r>
      <w:r>
        <w:rPr>
          <w:rFonts w:ascii="Cambria Math" w:eastAsia="Cambria Math" w:hAnsi="Cambria Math"/>
          <w:spacing w:val="-2"/>
          <w:w w:val="46"/>
          <w:sz w:val="18"/>
        </w:rPr>
        <w:t>𝑃</w:t>
      </w:r>
      <w:r>
        <w:rPr>
          <w:rFonts w:ascii="Cambria Math" w:eastAsia="Cambria Math" w:hAnsi="Cambria Math"/>
          <w:w w:val="46"/>
          <w:sz w:val="18"/>
          <w:vertAlign w:val="subscript"/>
        </w:rPr>
        <w:t>𝐵𝐵</w:t>
      </w:r>
      <w:r>
        <w:rPr>
          <w:rFonts w:ascii="Cambria Math" w:eastAsia="Cambria Math" w:hAnsi="Cambria Math"/>
          <w:w w:val="52"/>
          <w:sz w:val="18"/>
          <w:vertAlign w:val="subscript"/>
        </w:rPr>
        <w:t>𝑏𝑏</w:t>
      </w:r>
      <w:r>
        <w:rPr>
          <w:rFonts w:ascii="Cambria Math" w:eastAsia="Cambria Math" w:hAnsi="Cambria Math"/>
          <w:w w:val="40"/>
          <w:sz w:val="18"/>
          <w:vertAlign w:val="subscript"/>
        </w:rPr>
        <w:t>𝑏</w:t>
      </w:r>
      <w:r>
        <w:rPr>
          <w:rFonts w:ascii="Cambria Math" w:eastAsia="Cambria Math" w:hAnsi="Cambria Math"/>
          <w:spacing w:val="-1"/>
          <w:w w:val="40"/>
          <w:sz w:val="18"/>
          <w:vertAlign w:val="subscript"/>
        </w:rPr>
        <w:t>𝑏</w:t>
      </w:r>
      <w:r>
        <w:rPr>
          <w:rFonts w:ascii="Cambria Math" w:eastAsia="Cambria Math" w:hAnsi="Cambria Math"/>
          <w:w w:val="49"/>
          <w:sz w:val="18"/>
          <w:vertAlign w:val="subscript"/>
        </w:rPr>
        <w:t>𝑒𝑒</w:t>
      </w:r>
      <w:r>
        <w:rPr>
          <w:rFonts w:ascii="Cambria Math" w:eastAsia="Cambria Math" w:hAnsi="Cambria Math"/>
          <w:spacing w:val="12"/>
          <w:sz w:val="18"/>
        </w:rPr>
        <w:t xml:space="preserve"> </w:t>
      </w:r>
      <w:r>
        <w:rPr>
          <w:rFonts w:ascii="Cambria Math" w:eastAsia="Cambria Math" w:hAnsi="Cambria Math"/>
          <w:sz w:val="18"/>
        </w:rPr>
        <w:t>−</w:t>
      </w:r>
      <w:r>
        <w:rPr>
          <w:rFonts w:ascii="Cambria Math" w:eastAsia="Cambria Math" w:hAnsi="Cambria Math"/>
          <w:spacing w:val="1"/>
          <w:sz w:val="18"/>
        </w:rPr>
        <w:t xml:space="preserve"> </w:t>
      </w:r>
      <w:r>
        <w:rPr>
          <w:rFonts w:ascii="Cambria Math" w:eastAsia="Cambria Math" w:hAnsi="Cambria Math"/>
          <w:w w:val="50"/>
          <w:sz w:val="18"/>
        </w:rPr>
        <w:t>𝑃</w:t>
      </w:r>
      <w:r>
        <w:rPr>
          <w:rFonts w:ascii="Cambria Math" w:eastAsia="Cambria Math" w:hAnsi="Cambria Math"/>
          <w:spacing w:val="1"/>
          <w:w w:val="50"/>
          <w:sz w:val="18"/>
        </w:rPr>
        <w:t>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44"/>
          <w:sz w:val="18"/>
        </w:rPr>
        <w:t>𝑃𝑃𝑃</w:t>
      </w:r>
      <w:r>
        <w:rPr>
          <w:rFonts w:ascii="Cambria Math" w:eastAsia="Cambria Math" w:hAnsi="Cambria Math"/>
          <w:spacing w:val="-1"/>
          <w:w w:val="44"/>
          <w:sz w:val="18"/>
        </w:rPr>
        <w:t>𝑃</w:t>
      </w:r>
      <w:r>
        <w:rPr>
          <w:rFonts w:ascii="Cambria Math" w:eastAsia="Cambria Math" w:hAnsi="Cambria Math"/>
          <w:w w:val="55"/>
          <w:sz w:val="18"/>
        </w:rPr>
        <w:t>𝑃𝑃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67"/>
          <w:sz w:val="18"/>
        </w:rPr>
        <w:t>𝑃𝑃</w:t>
      </w:r>
      <w:r>
        <w:rPr>
          <w:rFonts w:ascii="Cambria Math" w:eastAsia="Cambria Math" w:hAnsi="Cambria Math"/>
          <w:w w:val="44"/>
          <w:sz w:val="18"/>
        </w:rPr>
        <w:t>𝑃𝑃</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46"/>
          <w:sz w:val="18"/>
        </w:rPr>
        <w:t>𝑃</w:t>
      </w:r>
      <w:r>
        <w:rPr>
          <w:rFonts w:ascii="Cambria Math" w:eastAsia="Cambria Math" w:hAnsi="Cambria Math"/>
          <w:spacing w:val="-1"/>
          <w:w w:val="46"/>
          <w:sz w:val="18"/>
        </w:rPr>
        <w:t>𝑃</w:t>
      </w:r>
      <w:r>
        <w:rPr>
          <w:rFonts w:ascii="Cambria Math" w:eastAsia="Cambria Math" w:hAnsi="Cambria Math"/>
          <w:w w:val="46"/>
          <w:sz w:val="18"/>
          <w:vertAlign w:val="subscript"/>
        </w:rPr>
        <w:t>𝑀</w:t>
      </w:r>
      <w:r>
        <w:rPr>
          <w:rFonts w:ascii="Cambria Math" w:eastAsia="Cambria Math" w:hAnsi="Cambria Math"/>
          <w:spacing w:val="1"/>
          <w:w w:val="46"/>
          <w:sz w:val="18"/>
          <w:vertAlign w:val="subscript"/>
        </w:rPr>
        <w:t>𝑀</w:t>
      </w:r>
      <w:r>
        <w:rPr>
          <w:rFonts w:ascii="Cambria Math" w:eastAsia="Cambria Math" w:hAnsi="Cambria Math"/>
          <w:spacing w:val="-1"/>
          <w:w w:val="50"/>
          <w:sz w:val="18"/>
          <w:vertAlign w:val="subscript"/>
        </w:rPr>
        <w:t>𝑒𝑒𝑏</w:t>
      </w:r>
      <w:r>
        <w:rPr>
          <w:rFonts w:ascii="Cambria Math" w:eastAsia="Cambria Math" w:hAnsi="Cambria Math"/>
          <w:w w:val="50"/>
          <w:sz w:val="18"/>
          <w:vertAlign w:val="subscript"/>
        </w:rPr>
        <w:t>𝑏</w:t>
      </w:r>
      <w:r>
        <w:rPr>
          <w:rFonts w:ascii="Cambria Math" w:eastAsia="Cambria Math" w:hAnsi="Cambria Math"/>
          <w:w w:val="40"/>
          <w:sz w:val="18"/>
          <w:vertAlign w:val="subscript"/>
        </w:rPr>
        <w:t>𝑏</w:t>
      </w:r>
      <w:r>
        <w:rPr>
          <w:rFonts w:ascii="Cambria Math" w:eastAsia="Cambria Math" w:hAnsi="Cambria Math"/>
          <w:spacing w:val="-1"/>
          <w:w w:val="40"/>
          <w:sz w:val="18"/>
          <w:vertAlign w:val="subscript"/>
        </w:rPr>
        <w:t>𝑏</w:t>
      </w:r>
      <w:r>
        <w:rPr>
          <w:rFonts w:ascii="Cambria Math" w:eastAsia="Cambria Math" w:hAnsi="Cambria Math"/>
          <w:w w:val="34"/>
          <w:sz w:val="18"/>
          <w:vertAlign w:val="subscript"/>
        </w:rPr>
        <w:t>𝑚</w:t>
      </w:r>
      <w:r>
        <w:rPr>
          <w:rFonts w:ascii="Cambria Math" w:eastAsia="Cambria Math" w:hAnsi="Cambria Math"/>
          <w:spacing w:val="-1"/>
          <w:w w:val="34"/>
          <w:sz w:val="18"/>
          <w:vertAlign w:val="subscript"/>
        </w:rPr>
        <w:t>𝑚</w:t>
      </w:r>
      <w:r>
        <w:rPr>
          <w:rFonts w:ascii="Cambria Math" w:eastAsia="Cambria Math" w:hAnsi="Cambria Math"/>
          <w:w w:val="28"/>
          <w:sz w:val="18"/>
          <w:vertAlign w:val="subscript"/>
        </w:rPr>
        <w:t>𝑚</w:t>
      </w:r>
      <w:r>
        <w:rPr>
          <w:rFonts w:ascii="Cambria Math" w:eastAsia="Cambria Math" w:hAnsi="Cambria Math"/>
          <w:spacing w:val="1"/>
          <w:w w:val="28"/>
          <w:sz w:val="18"/>
          <w:vertAlign w:val="subscript"/>
        </w:rPr>
        <w:t>𝑚</w:t>
      </w:r>
      <w:r>
        <w:rPr>
          <w:rFonts w:ascii="Cambria Math" w:eastAsia="Cambria Math" w:hAnsi="Cambria Math"/>
          <w:w w:val="49"/>
          <w:sz w:val="18"/>
          <w:vertAlign w:val="subscript"/>
        </w:rPr>
        <w:t>𝑒𝑒</w:t>
      </w:r>
    </w:p>
    <w:p w:rsidR="00DE6DB9" w:rsidRDefault="00DE6DB9">
      <w:pPr>
        <w:pStyle w:val="BodyText"/>
        <w:rPr>
          <w:rFonts w:ascii="Cambria Math"/>
          <w:sz w:val="20"/>
        </w:rPr>
      </w:pPr>
    </w:p>
    <w:p w:rsidR="00DE6DB9" w:rsidRDefault="00DE6DB9">
      <w:pPr>
        <w:rPr>
          <w:rFonts w:ascii="Cambria Math"/>
          <w:sz w:val="20"/>
        </w:rPr>
        <w:sectPr w:rsidR="00DE6DB9">
          <w:pgSz w:w="12240" w:h="15840"/>
          <w:pgMar w:top="1220" w:right="1080" w:bottom="1320" w:left="1320" w:header="858" w:footer="1129" w:gutter="0"/>
          <w:cols w:space="720"/>
        </w:sectPr>
      </w:pPr>
    </w:p>
    <w:p w:rsidR="00DE6DB9" w:rsidRDefault="00DE6DB9">
      <w:pPr>
        <w:pStyle w:val="BodyText"/>
        <w:rPr>
          <w:rFonts w:ascii="Cambria Math"/>
          <w:sz w:val="20"/>
        </w:rPr>
      </w:pPr>
    </w:p>
    <w:p w:rsidR="00DE6DB9" w:rsidRDefault="00361E6C">
      <w:pPr>
        <w:spacing w:before="133"/>
        <w:ind w:left="840"/>
        <w:rPr>
          <w:rFonts w:ascii="Cambria Math" w:eastAsia="Cambria Math" w:hAnsi="Cambria Math"/>
          <w:sz w:val="18"/>
        </w:rPr>
      </w:pPr>
      <w:r>
        <w:rPr>
          <w:rFonts w:ascii="Cambria Math" w:eastAsia="Cambria Math" w:hAnsi="Cambria Math"/>
          <w:w w:val="50"/>
          <w:sz w:val="18"/>
        </w:rPr>
        <w:t>𝑈𝑈</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22"/>
          <w:sz w:val="18"/>
        </w:rPr>
        <w:t>𝑈𝑈</w:t>
      </w:r>
      <w:r>
        <w:rPr>
          <w:rFonts w:ascii="Cambria Math" w:eastAsia="Cambria Math" w:hAnsi="Cambria Math"/>
          <w:w w:val="37"/>
          <w:sz w:val="18"/>
        </w:rPr>
        <w:t>𝐿𝐿</w:t>
      </w:r>
      <w:r>
        <w:rPr>
          <w:rFonts w:ascii="Cambria Math" w:eastAsia="Cambria Math" w:hAnsi="Cambria Math"/>
          <w:w w:val="50"/>
          <w:sz w:val="18"/>
        </w:rPr>
        <w:t>𝑃</w:t>
      </w:r>
      <w:r>
        <w:rPr>
          <w:rFonts w:ascii="Cambria Math" w:eastAsia="Cambria Math" w:hAnsi="Cambria Math"/>
          <w:spacing w:val="1"/>
          <w:w w:val="50"/>
          <w:sz w:val="18"/>
        </w:rPr>
        <w:t>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44"/>
          <w:sz w:val="18"/>
        </w:rPr>
        <w:t>𝑃𝑃𝑃</w:t>
      </w:r>
      <w:r>
        <w:rPr>
          <w:rFonts w:ascii="Cambria Math" w:eastAsia="Cambria Math" w:hAnsi="Cambria Math"/>
          <w:spacing w:val="-1"/>
          <w:w w:val="44"/>
          <w:sz w:val="18"/>
        </w:rPr>
        <w:t>𝑃</w:t>
      </w:r>
      <w:r>
        <w:rPr>
          <w:rFonts w:ascii="Cambria Math" w:eastAsia="Cambria Math" w:hAnsi="Cambria Math"/>
          <w:w w:val="55"/>
          <w:sz w:val="18"/>
        </w:rPr>
        <w:t>𝑃𝑃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67"/>
          <w:sz w:val="18"/>
        </w:rPr>
        <w:t>𝑃𝑃</w:t>
      </w:r>
      <w:r>
        <w:rPr>
          <w:rFonts w:ascii="Cambria Math" w:eastAsia="Cambria Math" w:hAnsi="Cambria Math"/>
          <w:w w:val="49"/>
          <w:sz w:val="18"/>
        </w:rPr>
        <w:t>𝑃𝑃𝐿</w:t>
      </w:r>
      <w:r>
        <w:rPr>
          <w:rFonts w:ascii="Cambria Math" w:eastAsia="Cambria Math" w:hAnsi="Cambria Math"/>
          <w:spacing w:val="-1"/>
          <w:w w:val="49"/>
          <w:sz w:val="18"/>
        </w:rPr>
        <w:t>𝐿</w:t>
      </w:r>
      <w:r>
        <w:rPr>
          <w:rFonts w:ascii="Cambria Math" w:eastAsia="Cambria Math" w:hAnsi="Cambria Math"/>
          <w:w w:val="46"/>
          <w:sz w:val="18"/>
        </w:rPr>
        <w:t>𝑃</w:t>
      </w:r>
      <w:r>
        <w:rPr>
          <w:rFonts w:ascii="Cambria Math" w:eastAsia="Cambria Math" w:hAnsi="Cambria Math"/>
          <w:spacing w:val="-1"/>
          <w:w w:val="46"/>
          <w:sz w:val="18"/>
        </w:rPr>
        <w:t>𝑃</w:t>
      </w:r>
      <w:r>
        <w:rPr>
          <w:rFonts w:ascii="Cambria Math" w:eastAsia="Cambria Math" w:hAnsi="Cambria Math"/>
          <w:w w:val="38"/>
          <w:sz w:val="18"/>
        </w:rPr>
        <w:t>𝑈𝑈</w:t>
      </w:r>
      <w:r>
        <w:rPr>
          <w:rFonts w:ascii="Cambria Math" w:eastAsia="Cambria Math" w:hAnsi="Cambria Math"/>
          <w:w w:val="44"/>
          <w:sz w:val="18"/>
        </w:rPr>
        <w:t>𝑃𝑃𝑃</w:t>
      </w:r>
      <w:r>
        <w:rPr>
          <w:rFonts w:ascii="Cambria Math" w:eastAsia="Cambria Math" w:hAnsi="Cambria Math"/>
          <w:spacing w:val="-2"/>
          <w:w w:val="44"/>
          <w:sz w:val="18"/>
        </w:rPr>
        <w:t>𝑃</w:t>
      </w:r>
      <w:r>
        <w:rPr>
          <w:rFonts w:ascii="Cambria Math" w:eastAsia="Cambria Math" w:hAnsi="Cambria Math"/>
          <w:w w:val="46"/>
          <w:sz w:val="18"/>
          <w:vertAlign w:val="subscript"/>
        </w:rPr>
        <w:t>𝐿</w:t>
      </w:r>
      <w:r>
        <w:rPr>
          <w:rFonts w:ascii="Cambria Math" w:eastAsia="Cambria Math" w:hAnsi="Cambria Math"/>
          <w:spacing w:val="-2"/>
          <w:w w:val="46"/>
          <w:sz w:val="18"/>
          <w:vertAlign w:val="subscript"/>
        </w:rPr>
        <w:t>𝐿</w:t>
      </w:r>
      <w:r>
        <w:rPr>
          <w:rFonts w:ascii="Cambria Math" w:eastAsia="Cambria Math" w:hAnsi="Cambria Math"/>
          <w:w w:val="49"/>
          <w:sz w:val="18"/>
          <w:vertAlign w:val="subscript"/>
        </w:rPr>
        <w:t>𝑒</w:t>
      </w:r>
      <w:r>
        <w:rPr>
          <w:rFonts w:ascii="Cambria Math" w:eastAsia="Cambria Math" w:hAnsi="Cambria Math"/>
          <w:spacing w:val="-1"/>
          <w:w w:val="49"/>
          <w:sz w:val="18"/>
          <w:vertAlign w:val="subscript"/>
        </w:rPr>
        <w:t>𝑒</w:t>
      </w:r>
      <w:r>
        <w:rPr>
          <w:rFonts w:ascii="Cambria Math" w:eastAsia="Cambria Math" w:hAnsi="Cambria Math"/>
          <w:w w:val="54"/>
          <w:sz w:val="18"/>
          <w:vertAlign w:val="subscript"/>
        </w:rPr>
        <w:t>𝐿</w:t>
      </w:r>
      <w:r>
        <w:rPr>
          <w:rFonts w:ascii="Cambria Math" w:eastAsia="Cambria Math" w:hAnsi="Cambria Math"/>
          <w:spacing w:val="2"/>
          <w:w w:val="54"/>
          <w:sz w:val="18"/>
          <w:vertAlign w:val="subscript"/>
        </w:rPr>
        <w:t>𝐿</w:t>
      </w:r>
      <w:r>
        <w:rPr>
          <w:rFonts w:ascii="Cambria Math" w:eastAsia="Cambria Math" w:hAnsi="Cambria Math"/>
          <w:spacing w:val="-1"/>
          <w:w w:val="87"/>
          <w:sz w:val="18"/>
          <w:vertAlign w:val="subscript"/>
        </w:rPr>
        <w:t>−</w:t>
      </w:r>
      <w:r>
        <w:rPr>
          <w:rFonts w:ascii="Cambria Math" w:eastAsia="Cambria Math" w:hAnsi="Cambria Math"/>
          <w:w w:val="49"/>
          <w:sz w:val="18"/>
          <w:vertAlign w:val="subscript"/>
        </w:rPr>
        <w:t>𝑓</w:t>
      </w:r>
      <w:r>
        <w:rPr>
          <w:rFonts w:ascii="Cambria Math" w:eastAsia="Cambria Math" w:hAnsi="Cambria Math"/>
          <w:spacing w:val="-1"/>
          <w:w w:val="49"/>
          <w:sz w:val="18"/>
          <w:vertAlign w:val="subscript"/>
        </w:rPr>
        <w:t>𝑓</w:t>
      </w:r>
      <w:r>
        <w:rPr>
          <w:rFonts w:ascii="Cambria Math" w:eastAsia="Cambria Math" w:hAnsi="Cambria Math"/>
          <w:w w:val="33"/>
          <w:sz w:val="18"/>
          <w:vertAlign w:val="subscript"/>
        </w:rPr>
        <w:t>𝑇𝑇</w:t>
      </w:r>
      <w:r>
        <w:rPr>
          <w:rFonts w:ascii="Cambria Math" w:eastAsia="Cambria Math" w:hAnsi="Cambria Math"/>
          <w:sz w:val="18"/>
        </w:rPr>
        <w:t xml:space="preserve"> </w:t>
      </w:r>
      <w:r>
        <w:rPr>
          <w:rFonts w:ascii="Cambria Math" w:eastAsia="Cambria Math" w:hAnsi="Cambria Math"/>
          <w:spacing w:val="-17"/>
          <w:sz w:val="18"/>
        </w:rPr>
        <w:t xml:space="preserve"> </w:t>
      </w:r>
      <w:r>
        <w:rPr>
          <w:rFonts w:ascii="Cambria Math" w:eastAsia="Cambria Math" w:hAnsi="Cambria Math"/>
          <w:sz w:val="18"/>
        </w:rPr>
        <w:t>=</w:t>
      </w:r>
    </w:p>
    <w:p w:rsidR="00DE6DB9" w:rsidRDefault="00361E6C">
      <w:pPr>
        <w:pStyle w:val="BodyText"/>
        <w:spacing w:before="1"/>
        <w:rPr>
          <w:rFonts w:ascii="Cambria Math"/>
          <w:sz w:val="19"/>
        </w:rPr>
      </w:pPr>
      <w:r>
        <w:br w:type="column"/>
      </w:r>
    </w:p>
    <w:p w:rsidR="00DE6DB9" w:rsidRDefault="00361E6C">
      <w:pPr>
        <w:ind w:left="10"/>
        <w:rPr>
          <w:rFonts w:ascii="Cambria Math" w:eastAsia="Cambria Math" w:hAnsi="Cambria Math"/>
          <w:sz w:val="18"/>
        </w:rPr>
      </w:pPr>
      <w:r>
        <w:rPr>
          <w:rFonts w:ascii="Cambria Math" w:eastAsia="Cambria Math" w:hAnsi="Cambria Math"/>
          <w:w w:val="50"/>
          <w:sz w:val="18"/>
        </w:rPr>
        <w:t>𝑃</w:t>
      </w:r>
      <w:r>
        <w:rPr>
          <w:rFonts w:ascii="Cambria Math" w:eastAsia="Cambria Math" w:hAnsi="Cambria Math"/>
          <w:spacing w:val="1"/>
          <w:w w:val="50"/>
          <w:sz w:val="18"/>
        </w:rPr>
        <w:t>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44"/>
          <w:sz w:val="18"/>
        </w:rPr>
        <w:t>𝑃𝑃𝑃</w:t>
      </w:r>
      <w:r>
        <w:rPr>
          <w:rFonts w:ascii="Cambria Math" w:eastAsia="Cambria Math" w:hAnsi="Cambria Math"/>
          <w:spacing w:val="-1"/>
          <w:w w:val="44"/>
          <w:sz w:val="18"/>
        </w:rPr>
        <w:t>𝑃</w:t>
      </w:r>
      <w:r>
        <w:rPr>
          <w:rFonts w:ascii="Cambria Math" w:eastAsia="Cambria Math" w:hAnsi="Cambria Math"/>
          <w:w w:val="55"/>
          <w:sz w:val="18"/>
        </w:rPr>
        <w:t>𝑃𝑃</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67"/>
          <w:sz w:val="18"/>
        </w:rPr>
        <w:t>𝑃𝑃</w:t>
      </w:r>
      <w:r>
        <w:rPr>
          <w:rFonts w:ascii="Cambria Math" w:eastAsia="Cambria Math" w:hAnsi="Cambria Math"/>
          <w:w w:val="44"/>
          <w:sz w:val="18"/>
        </w:rPr>
        <w:t>𝑃𝑃</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46"/>
          <w:sz w:val="18"/>
        </w:rPr>
        <w:t>𝑃</w:t>
      </w:r>
      <w:r>
        <w:rPr>
          <w:rFonts w:ascii="Cambria Math" w:eastAsia="Cambria Math" w:hAnsi="Cambria Math"/>
          <w:spacing w:val="-2"/>
          <w:w w:val="46"/>
          <w:sz w:val="18"/>
        </w:rPr>
        <w:t>𝑃</w:t>
      </w:r>
      <w:r>
        <w:rPr>
          <w:rFonts w:ascii="Cambria Math" w:eastAsia="Cambria Math" w:hAnsi="Cambria Math"/>
          <w:w w:val="38"/>
          <w:sz w:val="18"/>
        </w:rPr>
        <w:t>𝑈𝑈</w:t>
      </w:r>
      <w:r>
        <w:rPr>
          <w:rFonts w:ascii="Cambria Math" w:eastAsia="Cambria Math" w:hAnsi="Cambria Math"/>
          <w:w w:val="44"/>
          <w:sz w:val="18"/>
        </w:rPr>
        <w:t>𝑃𝑃𝑃</w:t>
      </w:r>
      <w:r>
        <w:rPr>
          <w:rFonts w:ascii="Cambria Math" w:eastAsia="Cambria Math" w:hAnsi="Cambria Math"/>
          <w:spacing w:val="5"/>
          <w:w w:val="44"/>
          <w:sz w:val="18"/>
        </w:rPr>
        <w:t>𝑃</w:t>
      </w:r>
      <w:r>
        <w:rPr>
          <w:rFonts w:ascii="Cambria Math" w:eastAsia="Cambria Math" w:hAnsi="Cambria Math"/>
          <w:w w:val="46"/>
          <w:sz w:val="18"/>
          <w:vertAlign w:val="subscript"/>
        </w:rPr>
        <w:t>𝑇</w:t>
      </w:r>
      <w:r>
        <w:rPr>
          <w:rFonts w:ascii="Cambria Math" w:eastAsia="Cambria Math" w:hAnsi="Cambria Math"/>
          <w:spacing w:val="-1"/>
          <w:w w:val="46"/>
          <w:sz w:val="18"/>
          <w:vertAlign w:val="subscript"/>
        </w:rPr>
        <w:t>𝑇</w:t>
      </w:r>
      <w:r>
        <w:rPr>
          <w:rFonts w:ascii="Cambria Math" w:eastAsia="Cambria Math" w:hAnsi="Cambria Math"/>
          <w:w w:val="38"/>
          <w:sz w:val="18"/>
          <w:vertAlign w:val="subscript"/>
        </w:rPr>
        <w:t>𝑇𝑇𝑇𝑇</w:t>
      </w:r>
      <w:r>
        <w:rPr>
          <w:rFonts w:ascii="Cambria Math" w:eastAsia="Cambria Math" w:hAnsi="Cambria Math"/>
          <w:w w:val="52"/>
          <w:sz w:val="18"/>
          <w:vertAlign w:val="subscript"/>
        </w:rPr>
        <w:t>𝑏𝑏</w:t>
      </w:r>
      <w:r>
        <w:rPr>
          <w:rFonts w:ascii="Cambria Math" w:eastAsia="Cambria Math" w:hAnsi="Cambria Math"/>
          <w:w w:val="31"/>
          <w:sz w:val="18"/>
          <w:vertAlign w:val="subscript"/>
        </w:rPr>
        <w:t>𝑒𝑒</w:t>
      </w:r>
      <w:r>
        <w:rPr>
          <w:rFonts w:ascii="Cambria Math" w:eastAsia="Cambria Math" w:hAnsi="Cambria Math"/>
          <w:spacing w:val="-9"/>
          <w:sz w:val="18"/>
        </w:rPr>
        <w:t xml:space="preserve"> </w:t>
      </w:r>
      <w:r>
        <w:rPr>
          <w:rFonts w:ascii="Cambria Math" w:eastAsia="Cambria Math" w:hAnsi="Cambria Math"/>
          <w:w w:val="46"/>
          <w:sz w:val="18"/>
          <w:vertAlign w:val="subscript"/>
        </w:rPr>
        <w:t>𝐿</w:t>
      </w:r>
      <w:r>
        <w:rPr>
          <w:rFonts w:ascii="Cambria Math" w:eastAsia="Cambria Math" w:hAnsi="Cambria Math"/>
          <w:spacing w:val="1"/>
          <w:w w:val="46"/>
          <w:sz w:val="18"/>
          <w:vertAlign w:val="subscript"/>
        </w:rPr>
        <w:t>𝐿</w:t>
      </w:r>
      <w:r>
        <w:rPr>
          <w:rFonts w:ascii="Cambria Math" w:eastAsia="Cambria Math" w:hAnsi="Cambria Math"/>
          <w:w w:val="29"/>
          <w:sz w:val="18"/>
          <w:vertAlign w:val="subscript"/>
        </w:rPr>
        <w:t>𝐿𝐿</w:t>
      </w:r>
      <w:r>
        <w:rPr>
          <w:rFonts w:ascii="Cambria Math" w:eastAsia="Cambria Math" w:hAnsi="Cambria Math"/>
          <w:w w:val="54"/>
          <w:sz w:val="18"/>
          <w:vertAlign w:val="subscript"/>
        </w:rPr>
        <w:t>𝐿</w:t>
      </w:r>
      <w:r>
        <w:rPr>
          <w:rFonts w:ascii="Cambria Math" w:eastAsia="Cambria Math" w:hAnsi="Cambria Math"/>
          <w:spacing w:val="-1"/>
          <w:w w:val="54"/>
          <w:sz w:val="18"/>
          <w:vertAlign w:val="subscript"/>
        </w:rPr>
        <w:t>𝐿</w:t>
      </w:r>
      <w:r>
        <w:rPr>
          <w:rFonts w:ascii="Cambria Math" w:eastAsia="Cambria Math" w:hAnsi="Cambria Math"/>
          <w:w w:val="49"/>
          <w:sz w:val="18"/>
          <w:vertAlign w:val="subscript"/>
        </w:rPr>
        <w:t>𝑒</w:t>
      </w:r>
      <w:r>
        <w:rPr>
          <w:rFonts w:ascii="Cambria Math" w:eastAsia="Cambria Math" w:hAnsi="Cambria Math"/>
          <w:spacing w:val="4"/>
          <w:w w:val="49"/>
          <w:sz w:val="18"/>
          <w:vertAlign w:val="subscript"/>
        </w:rPr>
        <w:t>𝑒</w:t>
      </w:r>
      <w:r>
        <w:rPr>
          <w:rFonts w:ascii="Cambria Math" w:eastAsia="Cambria Math" w:hAnsi="Cambria Math"/>
          <w:spacing w:val="-1"/>
          <w:w w:val="87"/>
          <w:sz w:val="18"/>
          <w:vertAlign w:val="subscript"/>
        </w:rPr>
        <w:t>−</w:t>
      </w:r>
      <w:r>
        <w:rPr>
          <w:rFonts w:ascii="Cambria Math" w:eastAsia="Cambria Math" w:hAnsi="Cambria Math"/>
          <w:spacing w:val="-1"/>
          <w:w w:val="44"/>
          <w:sz w:val="18"/>
          <w:vertAlign w:val="subscript"/>
        </w:rPr>
        <w:t>𝑈𝑈𝑈𝑈</w:t>
      </w:r>
    </w:p>
    <w:p w:rsidR="00DE6DB9" w:rsidRDefault="00DE6DB9">
      <w:pPr>
        <w:pStyle w:val="BodyText"/>
        <w:spacing w:before="11"/>
        <w:rPr>
          <w:rFonts w:ascii="Cambria Math"/>
          <w:sz w:val="3"/>
        </w:rPr>
      </w:pPr>
    </w:p>
    <w:p w:rsidR="00DE6DB9" w:rsidRDefault="0088103E">
      <w:pPr>
        <w:pStyle w:val="BodyText"/>
        <w:spacing w:line="20" w:lineRule="exact"/>
        <w:ind w:left="4"/>
        <w:rPr>
          <w:rFonts w:ascii="Cambria Math"/>
          <w:sz w:val="2"/>
        </w:rPr>
      </w:pPr>
      <w:r>
        <w:rPr>
          <w:rFonts w:ascii="Cambria Math"/>
          <w:noProof/>
          <w:sz w:val="2"/>
          <w:lang w:bidi="ar-SA"/>
        </w:rPr>
        <mc:AlternateContent>
          <mc:Choice Requires="wpg">
            <w:drawing>
              <wp:inline distT="0" distB="0" distL="0" distR="0">
                <wp:extent cx="1460500" cy="7620"/>
                <wp:effectExtent l="9525" t="9525" r="635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0500" cy="7620"/>
                          <a:chOff x="0" y="0"/>
                          <a:chExt cx="2300" cy="12"/>
                        </a:xfrm>
                      </wpg:grpSpPr>
                      <wps:wsp>
                        <wps:cNvPr id="10" name="Line 6"/>
                        <wps:cNvCnPr/>
                        <wps:spPr bwMode="auto">
                          <a:xfrm>
                            <a:off x="0" y="6"/>
                            <a:ext cx="229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5" o:spid="_x0000_s1026" style="width:115pt;height:.6pt;mso-position-horizontal-relative:char;mso-position-vertical-relative:line" coordsize="23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">
                <v:line id="Line 6" o:spid="_x0000_s1027" style="position:absolute;visibility:visible;mso-wrap-style:square" from="0,6" to="22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N0q8UAAADbAAAADwAAAGRycy9kb3ducmV2LnhtbESPT2sCQQzF70K/w5BCbzqrlFJWRxFR&#10;8NAiVQv1Fnayf3AnM+5M3e23bw6F3hLey3u/LFaDa9Wduth4NjCdZKCIC28brgycT7vxK6iYkC22&#10;nsnAD0VYLR9GC8yt7/mD7sdUKQnhmKOBOqWQax2LmhzGiQ/EopW+c5hk7SptO+wl3LV6lmUv2mHD&#10;0lBjoE1NxfX47QyUfdievqaHG9vyc70/PIf3t3Qx5ulxWM9BJRrSv/nvem8FX+jlFxl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N0q8UAAADbAAAADwAAAAAAAAAA&#10;AAAAAAChAgAAZHJzL2Rvd25yZXYueG1sUEsFBgAAAAAEAAQA+QAAAJMDAAAAAA==&#10;" strokeweight=".6pt"/>
                <w10:anchorlock/>
              </v:group>
            </w:pict>
          </mc:Fallback>
        </mc:AlternateContent>
      </w:r>
    </w:p>
    <w:p w:rsidR="00DE6DB9" w:rsidRDefault="00361E6C">
      <w:pPr>
        <w:spacing w:line="93" w:lineRule="exact"/>
        <w:ind w:left="408"/>
        <w:rPr>
          <w:rFonts w:ascii="Cambria Math" w:eastAsia="Cambria Math" w:hAnsi="Cambria Math"/>
          <w:sz w:val="18"/>
        </w:rPr>
      </w:pPr>
      <w:r>
        <w:rPr>
          <w:rFonts w:ascii="Cambria Math" w:eastAsia="Cambria Math" w:hAnsi="Cambria Math"/>
          <w:w w:val="50"/>
          <w:sz w:val="18"/>
        </w:rPr>
        <w:t>𝐿𝐿</w:t>
      </w:r>
      <w:r>
        <w:rPr>
          <w:rFonts w:ascii="Cambria Math" w:eastAsia="Cambria Math" w:hAnsi="Cambria Math"/>
          <w:w w:val="46"/>
          <w:sz w:val="18"/>
        </w:rPr>
        <w:t>𝐿</w:t>
      </w:r>
      <w:r>
        <w:rPr>
          <w:rFonts w:ascii="Cambria Math" w:eastAsia="Cambria Math" w:hAnsi="Cambria Math"/>
          <w:spacing w:val="-1"/>
          <w:w w:val="46"/>
          <w:sz w:val="18"/>
        </w:rPr>
        <w:t>𝐿</w:t>
      </w:r>
      <w:r>
        <w:rPr>
          <w:rFonts w:ascii="Cambria Math" w:eastAsia="Cambria Math" w:hAnsi="Cambria Math"/>
          <w:w w:val="53"/>
          <w:sz w:val="18"/>
        </w:rPr>
        <w:t>𝐿</w:t>
      </w:r>
      <w:r>
        <w:rPr>
          <w:rFonts w:ascii="Cambria Math" w:eastAsia="Cambria Math" w:hAnsi="Cambria Math"/>
          <w:spacing w:val="-1"/>
          <w:w w:val="53"/>
          <w:sz w:val="18"/>
        </w:rPr>
        <w:t>𝐿</w:t>
      </w:r>
      <w:r>
        <w:rPr>
          <w:rFonts w:ascii="Cambria Math" w:eastAsia="Cambria Math" w:hAnsi="Cambria Math"/>
          <w:w w:val="57"/>
          <w:sz w:val="18"/>
        </w:rPr>
        <w:t>𝐿𝐿</w:t>
      </w:r>
      <w:r>
        <w:rPr>
          <w:rFonts w:ascii="Cambria Math" w:eastAsia="Cambria Math" w:hAnsi="Cambria Math"/>
          <w:w w:val="37"/>
          <w:sz w:val="18"/>
        </w:rPr>
        <w:t>𝐿𝐿</w:t>
      </w:r>
      <w:r>
        <w:rPr>
          <w:rFonts w:ascii="Cambria Math" w:eastAsia="Cambria Math" w:hAnsi="Cambria Math"/>
          <w:sz w:val="18"/>
        </w:rPr>
        <w:t>ℎ</w:t>
      </w:r>
    </w:p>
    <w:p w:rsidR="00DE6DB9" w:rsidRDefault="00DE6DB9">
      <w:pPr>
        <w:spacing w:line="93" w:lineRule="exact"/>
        <w:rPr>
          <w:rFonts w:ascii="Cambria Math" w:eastAsia="Cambria Math" w:hAnsi="Cambria Math"/>
          <w:sz w:val="18"/>
        </w:rPr>
        <w:sectPr w:rsidR="00DE6DB9">
          <w:type w:val="continuous"/>
          <w:pgSz w:w="12240" w:h="15840"/>
          <w:pgMar w:top="1220" w:right="1080" w:bottom="1320" w:left="1320" w:header="720" w:footer="720" w:gutter="0"/>
          <w:cols w:num="2" w:space="720" w:equalWidth="0">
            <w:col w:w="3214" w:space="40"/>
            <w:col w:w="6586"/>
          </w:cols>
        </w:sectPr>
      </w:pPr>
    </w:p>
    <w:p w:rsidR="00DE6DB9" w:rsidRDefault="00361E6C">
      <w:pPr>
        <w:spacing w:line="130" w:lineRule="exact"/>
        <w:ind w:left="3782" w:right="4224"/>
        <w:jc w:val="center"/>
        <w:rPr>
          <w:rFonts w:ascii="Cambria Math" w:eastAsia="Cambria Math" w:hAnsi="Cambria Math"/>
          <w:sz w:val="13"/>
        </w:rPr>
      </w:pPr>
      <w:r>
        <w:rPr>
          <w:rFonts w:ascii="Cambria Math" w:eastAsia="Cambria Math" w:hAnsi="Cambria Math"/>
          <w:w w:val="51"/>
          <w:sz w:val="13"/>
        </w:rPr>
        <w:lastRenderedPageBreak/>
        <w:t>𝑇</w:t>
      </w:r>
      <w:r>
        <w:rPr>
          <w:rFonts w:ascii="Cambria Math" w:eastAsia="Cambria Math" w:hAnsi="Cambria Math"/>
          <w:spacing w:val="-1"/>
          <w:w w:val="51"/>
          <w:sz w:val="13"/>
        </w:rPr>
        <w:t>𝑇</w:t>
      </w:r>
      <w:r>
        <w:rPr>
          <w:rFonts w:ascii="Cambria Math" w:eastAsia="Cambria Math" w:hAnsi="Cambria Math"/>
          <w:w w:val="43"/>
          <w:sz w:val="13"/>
        </w:rPr>
        <w:t>𝑇𝑇𝑇𝑇</w:t>
      </w:r>
      <w:r>
        <w:rPr>
          <w:rFonts w:ascii="Cambria Math" w:eastAsia="Cambria Math" w:hAnsi="Cambria Math"/>
          <w:w w:val="57"/>
          <w:sz w:val="13"/>
        </w:rPr>
        <w:t>𝑏</w:t>
      </w:r>
      <w:r>
        <w:rPr>
          <w:rFonts w:ascii="Cambria Math" w:eastAsia="Cambria Math" w:hAnsi="Cambria Math"/>
          <w:spacing w:val="-2"/>
          <w:w w:val="57"/>
          <w:sz w:val="13"/>
        </w:rPr>
        <w:t>𝑏</w:t>
      </w:r>
      <w:r>
        <w:rPr>
          <w:rFonts w:ascii="Cambria Math" w:eastAsia="Cambria Math" w:hAnsi="Cambria Math"/>
          <w:w w:val="35"/>
          <w:sz w:val="13"/>
        </w:rPr>
        <w:t>𝑒𝑒</w:t>
      </w:r>
      <w:r>
        <w:rPr>
          <w:rFonts w:ascii="Cambria Math" w:eastAsia="Cambria Math" w:hAnsi="Cambria Math"/>
          <w:spacing w:val="2"/>
          <w:sz w:val="13"/>
        </w:rPr>
        <w:t xml:space="preserve"> </w:t>
      </w:r>
      <w:r>
        <w:rPr>
          <w:rFonts w:ascii="Cambria Math" w:eastAsia="Cambria Math" w:hAnsi="Cambria Math"/>
          <w:w w:val="51"/>
          <w:sz w:val="13"/>
        </w:rPr>
        <w:t>𝐿</w:t>
      </w:r>
      <w:r>
        <w:rPr>
          <w:rFonts w:ascii="Cambria Math" w:eastAsia="Cambria Math" w:hAnsi="Cambria Math"/>
          <w:spacing w:val="1"/>
          <w:w w:val="51"/>
          <w:sz w:val="13"/>
        </w:rPr>
        <w:t>𝐿</w:t>
      </w:r>
      <w:r>
        <w:rPr>
          <w:rFonts w:ascii="Cambria Math" w:eastAsia="Cambria Math" w:hAnsi="Cambria Math"/>
          <w:w w:val="32"/>
          <w:sz w:val="13"/>
        </w:rPr>
        <w:t>𝐿𝐿</w:t>
      </w:r>
      <w:r>
        <w:rPr>
          <w:rFonts w:ascii="Cambria Math" w:eastAsia="Cambria Math" w:hAnsi="Cambria Math"/>
          <w:w w:val="60"/>
          <w:sz w:val="13"/>
        </w:rPr>
        <w:t>𝐿</w:t>
      </w:r>
      <w:r>
        <w:rPr>
          <w:rFonts w:ascii="Cambria Math" w:eastAsia="Cambria Math" w:hAnsi="Cambria Math"/>
          <w:spacing w:val="-1"/>
          <w:w w:val="60"/>
          <w:sz w:val="13"/>
        </w:rPr>
        <w:t>𝐿</w:t>
      </w:r>
      <w:r>
        <w:rPr>
          <w:rFonts w:ascii="Cambria Math" w:eastAsia="Cambria Math" w:hAnsi="Cambria Math"/>
          <w:w w:val="54"/>
          <w:sz w:val="13"/>
        </w:rPr>
        <w:t>𝑒</w:t>
      </w:r>
      <w:r>
        <w:rPr>
          <w:rFonts w:ascii="Cambria Math" w:eastAsia="Cambria Math" w:hAnsi="Cambria Math"/>
          <w:spacing w:val="4"/>
          <w:w w:val="54"/>
          <w:sz w:val="13"/>
        </w:rPr>
        <w:t>𝑒</w:t>
      </w:r>
      <w:r>
        <w:rPr>
          <w:rFonts w:ascii="Cambria Math" w:eastAsia="Cambria Math" w:hAnsi="Cambria Math"/>
          <w:spacing w:val="-1"/>
          <w:w w:val="97"/>
          <w:sz w:val="13"/>
        </w:rPr>
        <w:t>−</w:t>
      </w:r>
      <w:r>
        <w:rPr>
          <w:rFonts w:ascii="Cambria Math" w:eastAsia="Cambria Math" w:hAnsi="Cambria Math"/>
          <w:spacing w:val="-1"/>
          <w:w w:val="48"/>
          <w:sz w:val="13"/>
        </w:rPr>
        <w:t>𝑈𝑈𝑈𝑈</w:t>
      </w:r>
    </w:p>
    <w:p w:rsidR="00DE6DB9" w:rsidRDefault="00DE6DB9">
      <w:pPr>
        <w:pStyle w:val="BodyText"/>
        <w:rPr>
          <w:rFonts w:ascii="Cambria Math"/>
          <w:sz w:val="20"/>
        </w:rPr>
      </w:pPr>
    </w:p>
    <w:p w:rsidR="00DE6DB9" w:rsidRDefault="00DE6DB9">
      <w:pPr>
        <w:pStyle w:val="BodyText"/>
        <w:rPr>
          <w:rFonts w:ascii="Cambria Math"/>
          <w:sz w:val="19"/>
        </w:rPr>
      </w:pPr>
    </w:p>
    <w:p w:rsidR="00DE6DB9" w:rsidRDefault="00361E6C">
      <w:pPr>
        <w:tabs>
          <w:tab w:val="left" w:pos="3899"/>
        </w:tabs>
        <w:spacing w:line="259" w:lineRule="auto"/>
        <w:ind w:left="1560" w:right="888" w:hanging="1"/>
        <w:rPr>
          <w:rFonts w:ascii="Cambria Math"/>
          <w:i/>
          <w:sz w:val="19"/>
        </w:rPr>
      </w:pPr>
      <w:r>
        <w:rPr>
          <w:rFonts w:ascii="Cambria Math"/>
          <w:i/>
          <w:position w:val="1"/>
          <w:sz w:val="19"/>
        </w:rPr>
        <w:t>PeakDemandSav</w:t>
      </w:r>
      <w:r>
        <w:rPr>
          <w:rFonts w:ascii="Cambria Math"/>
          <w:i/>
          <w:sz w:val="12"/>
        </w:rPr>
        <w:t xml:space="preserve">Total Line-Up </w:t>
      </w:r>
      <w:r>
        <w:rPr>
          <w:rFonts w:ascii="Cambria Math"/>
          <w:i/>
          <w:position w:val="1"/>
          <w:sz w:val="19"/>
        </w:rPr>
        <w:t xml:space="preserve">= Total peak demand reduction for the entire line-up (kW) </w:t>
      </w:r>
      <w:r>
        <w:rPr>
          <w:rFonts w:ascii="Cambria Math"/>
          <w:i/>
          <w:sz w:val="19"/>
        </w:rPr>
        <w:t>PeakDemand</w:t>
      </w:r>
      <w:r>
        <w:rPr>
          <w:rFonts w:ascii="Cambria Math"/>
          <w:i/>
          <w:spacing w:val="-20"/>
          <w:sz w:val="19"/>
        </w:rPr>
        <w:t xml:space="preserve"> </w:t>
      </w:r>
      <w:r>
        <w:rPr>
          <w:rFonts w:ascii="Cambria Math"/>
          <w:i/>
          <w:sz w:val="19"/>
        </w:rPr>
        <w:t>=</w:t>
      </w:r>
      <w:r>
        <w:rPr>
          <w:rFonts w:ascii="Cambria Math"/>
          <w:i/>
          <w:sz w:val="19"/>
        </w:rPr>
        <w:tab/>
      </w:r>
      <w:r>
        <w:rPr>
          <w:rFonts w:ascii="Cambria Math"/>
          <w:i/>
          <w:w w:val="95"/>
          <w:sz w:val="19"/>
        </w:rPr>
        <w:t>Modeled</w:t>
      </w:r>
      <w:r>
        <w:rPr>
          <w:rFonts w:ascii="Cambria Math"/>
          <w:i/>
          <w:spacing w:val="-4"/>
          <w:w w:val="95"/>
          <w:sz w:val="19"/>
        </w:rPr>
        <w:t xml:space="preserve"> </w:t>
      </w:r>
      <w:r>
        <w:rPr>
          <w:rFonts w:ascii="Cambria Math"/>
          <w:i/>
          <w:w w:val="95"/>
          <w:sz w:val="19"/>
        </w:rPr>
        <w:t>peak</w:t>
      </w:r>
      <w:r>
        <w:rPr>
          <w:rFonts w:ascii="Cambria Math"/>
          <w:i/>
          <w:spacing w:val="-4"/>
          <w:w w:val="95"/>
          <w:sz w:val="19"/>
        </w:rPr>
        <w:t xml:space="preserve"> </w:t>
      </w:r>
      <w:r>
        <w:rPr>
          <w:rFonts w:ascii="Cambria Math"/>
          <w:i/>
          <w:w w:val="95"/>
          <w:sz w:val="19"/>
        </w:rPr>
        <w:t>demand</w:t>
      </w:r>
      <w:r>
        <w:rPr>
          <w:rFonts w:ascii="Cambria Math"/>
          <w:i/>
          <w:spacing w:val="-4"/>
          <w:w w:val="95"/>
          <w:sz w:val="19"/>
        </w:rPr>
        <w:t xml:space="preserve"> </w:t>
      </w:r>
      <w:r>
        <w:rPr>
          <w:rFonts w:ascii="Cambria Math"/>
          <w:i/>
          <w:w w:val="95"/>
          <w:sz w:val="19"/>
        </w:rPr>
        <w:t>for</w:t>
      </w:r>
      <w:r>
        <w:rPr>
          <w:rFonts w:ascii="Cambria Math"/>
          <w:i/>
          <w:spacing w:val="-5"/>
          <w:w w:val="95"/>
          <w:sz w:val="19"/>
        </w:rPr>
        <w:t xml:space="preserve"> </w:t>
      </w:r>
      <w:r>
        <w:rPr>
          <w:rFonts w:ascii="Cambria Math"/>
          <w:i/>
          <w:w w:val="95"/>
          <w:sz w:val="19"/>
        </w:rPr>
        <w:t>base</w:t>
      </w:r>
      <w:r>
        <w:rPr>
          <w:rFonts w:ascii="Cambria Math"/>
          <w:i/>
          <w:spacing w:val="-6"/>
          <w:w w:val="95"/>
          <w:sz w:val="19"/>
        </w:rPr>
        <w:t xml:space="preserve"> </w:t>
      </w:r>
      <w:r>
        <w:rPr>
          <w:rFonts w:ascii="Cambria Math"/>
          <w:i/>
          <w:w w:val="95"/>
          <w:sz w:val="19"/>
        </w:rPr>
        <w:t>case</w:t>
      </w:r>
      <w:r>
        <w:rPr>
          <w:rFonts w:ascii="Cambria Math"/>
          <w:i/>
          <w:spacing w:val="-2"/>
          <w:w w:val="95"/>
          <w:sz w:val="19"/>
        </w:rPr>
        <w:t xml:space="preserve"> </w:t>
      </w:r>
      <w:r>
        <w:rPr>
          <w:rFonts w:ascii="Cambria Math"/>
          <w:i/>
          <w:w w:val="95"/>
          <w:sz w:val="19"/>
        </w:rPr>
        <w:t>and</w:t>
      </w:r>
      <w:r>
        <w:rPr>
          <w:rFonts w:ascii="Cambria Math"/>
          <w:i/>
          <w:spacing w:val="-1"/>
          <w:w w:val="95"/>
          <w:sz w:val="19"/>
        </w:rPr>
        <w:t xml:space="preserve"> </w:t>
      </w:r>
      <w:r>
        <w:rPr>
          <w:rFonts w:ascii="Cambria Math"/>
          <w:i/>
          <w:w w:val="95"/>
          <w:sz w:val="19"/>
        </w:rPr>
        <w:t>measure</w:t>
      </w:r>
      <w:r>
        <w:rPr>
          <w:rFonts w:ascii="Cambria Math"/>
          <w:i/>
          <w:spacing w:val="-2"/>
          <w:w w:val="95"/>
          <w:sz w:val="19"/>
        </w:rPr>
        <w:t xml:space="preserve"> </w:t>
      </w:r>
      <w:r>
        <w:rPr>
          <w:rFonts w:ascii="Cambria Math"/>
          <w:i/>
          <w:w w:val="95"/>
          <w:sz w:val="19"/>
        </w:rPr>
        <w:t>case</w:t>
      </w:r>
      <w:r>
        <w:rPr>
          <w:rFonts w:ascii="Cambria Math"/>
          <w:i/>
          <w:spacing w:val="-4"/>
          <w:w w:val="95"/>
          <w:sz w:val="19"/>
        </w:rPr>
        <w:t xml:space="preserve"> </w:t>
      </w:r>
      <w:r>
        <w:rPr>
          <w:rFonts w:ascii="Cambria Math"/>
          <w:i/>
          <w:w w:val="95"/>
          <w:sz w:val="19"/>
        </w:rPr>
        <w:t>units</w:t>
      </w:r>
      <w:r>
        <w:rPr>
          <w:rFonts w:ascii="Cambria Math"/>
          <w:i/>
          <w:spacing w:val="-4"/>
          <w:w w:val="95"/>
          <w:sz w:val="19"/>
        </w:rPr>
        <w:t xml:space="preserve"> </w:t>
      </w:r>
      <w:r>
        <w:rPr>
          <w:rFonts w:ascii="Cambria Math"/>
          <w:i/>
          <w:w w:val="95"/>
          <w:sz w:val="19"/>
        </w:rPr>
        <w:t xml:space="preserve">(kW) </w:t>
      </w:r>
      <w:r>
        <w:rPr>
          <w:rFonts w:ascii="Cambria Math"/>
          <w:i/>
          <w:w w:val="95"/>
          <w:position w:val="1"/>
          <w:sz w:val="19"/>
        </w:rPr>
        <w:t>UnitPeakDemandSav</w:t>
      </w:r>
      <w:r>
        <w:rPr>
          <w:rFonts w:ascii="Cambria Math"/>
          <w:i/>
          <w:w w:val="95"/>
          <w:sz w:val="12"/>
        </w:rPr>
        <w:t>Len-ft</w:t>
      </w:r>
      <w:r>
        <w:rPr>
          <w:rFonts w:ascii="Cambria Math"/>
          <w:i/>
          <w:spacing w:val="13"/>
          <w:w w:val="95"/>
          <w:sz w:val="12"/>
        </w:rPr>
        <w:t xml:space="preserve"> </w:t>
      </w:r>
      <w:r>
        <w:rPr>
          <w:rFonts w:ascii="Cambria Math"/>
          <w:i/>
          <w:w w:val="95"/>
          <w:position w:val="1"/>
          <w:sz w:val="19"/>
        </w:rPr>
        <w:t>=</w:t>
      </w:r>
      <w:r>
        <w:rPr>
          <w:rFonts w:ascii="Cambria Math"/>
          <w:i/>
          <w:w w:val="95"/>
          <w:position w:val="1"/>
          <w:sz w:val="19"/>
        </w:rPr>
        <w:tab/>
      </w:r>
      <w:r>
        <w:rPr>
          <w:rFonts w:ascii="Cambria Math"/>
          <w:i/>
          <w:position w:val="1"/>
          <w:sz w:val="19"/>
        </w:rPr>
        <w:t>Unit peak demand reduction</w:t>
      </w:r>
      <w:r>
        <w:rPr>
          <w:rFonts w:ascii="Cambria Math"/>
          <w:i/>
          <w:spacing w:val="-23"/>
          <w:position w:val="1"/>
          <w:sz w:val="19"/>
        </w:rPr>
        <w:t xml:space="preserve"> </w:t>
      </w:r>
      <w:r>
        <w:rPr>
          <w:rFonts w:ascii="Cambria Math"/>
          <w:i/>
          <w:position w:val="1"/>
          <w:sz w:val="19"/>
        </w:rPr>
        <w:t>(kW/Len-ft)</w:t>
      </w:r>
    </w:p>
    <w:p w:rsidR="00DE6DB9" w:rsidRDefault="00361E6C">
      <w:pPr>
        <w:tabs>
          <w:tab w:val="left" w:pos="3899"/>
        </w:tabs>
        <w:spacing w:line="221" w:lineRule="exact"/>
        <w:ind w:left="1560"/>
        <w:rPr>
          <w:rFonts w:ascii="Cambria Math"/>
          <w:i/>
          <w:sz w:val="19"/>
        </w:rPr>
      </w:pPr>
      <w:r>
        <w:rPr>
          <w:rFonts w:ascii="Cambria Math"/>
          <w:i/>
          <w:position w:val="1"/>
          <w:sz w:val="19"/>
        </w:rPr>
        <w:t>Length</w:t>
      </w:r>
      <w:r>
        <w:rPr>
          <w:rFonts w:ascii="Cambria Math"/>
          <w:i/>
          <w:sz w:val="12"/>
        </w:rPr>
        <w:t>Total</w:t>
      </w:r>
      <w:r>
        <w:rPr>
          <w:rFonts w:ascii="Cambria Math"/>
          <w:i/>
          <w:spacing w:val="-6"/>
          <w:sz w:val="12"/>
        </w:rPr>
        <w:t xml:space="preserve"> </w:t>
      </w:r>
      <w:r>
        <w:rPr>
          <w:rFonts w:ascii="Cambria Math"/>
          <w:i/>
          <w:sz w:val="12"/>
        </w:rPr>
        <w:t>Line-Up</w:t>
      </w:r>
      <w:r>
        <w:rPr>
          <w:rFonts w:ascii="Cambria Math"/>
          <w:i/>
          <w:spacing w:val="-7"/>
          <w:sz w:val="12"/>
        </w:rPr>
        <w:t xml:space="preserve"> </w:t>
      </w:r>
      <w:r>
        <w:rPr>
          <w:rFonts w:ascii="Cambria Math"/>
          <w:i/>
          <w:position w:val="1"/>
          <w:sz w:val="19"/>
        </w:rPr>
        <w:t>=</w:t>
      </w:r>
      <w:r>
        <w:rPr>
          <w:rFonts w:ascii="Cambria Math"/>
          <w:i/>
          <w:position w:val="1"/>
          <w:sz w:val="19"/>
        </w:rPr>
        <w:tab/>
        <w:t>Length of the total door line-up</w:t>
      </w:r>
      <w:r>
        <w:rPr>
          <w:rFonts w:ascii="Cambria Math"/>
          <w:i/>
          <w:spacing w:val="-25"/>
          <w:position w:val="1"/>
          <w:sz w:val="19"/>
        </w:rPr>
        <w:t xml:space="preserve"> </w:t>
      </w:r>
      <w:r>
        <w:rPr>
          <w:rFonts w:ascii="Cambria Math"/>
          <w:i/>
          <w:position w:val="1"/>
          <w:sz w:val="19"/>
        </w:rPr>
        <w:t>(len-ft)</w:t>
      </w:r>
    </w:p>
    <w:p w:rsidR="00DE6DB9" w:rsidRDefault="00DE6DB9">
      <w:pPr>
        <w:pStyle w:val="BodyText"/>
        <w:rPr>
          <w:rFonts w:ascii="Cambria Math"/>
          <w:i/>
          <w:sz w:val="18"/>
        </w:rPr>
      </w:pPr>
    </w:p>
    <w:p w:rsidR="00DE6DB9" w:rsidRDefault="00DE6DB9">
      <w:pPr>
        <w:pStyle w:val="BodyText"/>
        <w:spacing w:before="3"/>
        <w:rPr>
          <w:rFonts w:ascii="Cambria Math"/>
          <w:i/>
          <w:sz w:val="26"/>
        </w:rPr>
      </w:pPr>
    </w:p>
    <w:p w:rsidR="00DE6DB9" w:rsidRDefault="00361E6C">
      <w:pPr>
        <w:pStyle w:val="Heading1"/>
      </w:pPr>
      <w:bookmarkStart w:id="36" w:name="_TOC_250009"/>
      <w:bookmarkEnd w:id="36"/>
      <w:r>
        <w:rPr>
          <w:color w:val="CFAB79"/>
        </w:rPr>
        <w:t>GAS SAVINGS (THERMS)</w:t>
      </w:r>
    </w:p>
    <w:p w:rsidR="00DE6DB9" w:rsidRDefault="00361E6C">
      <w:pPr>
        <w:pStyle w:val="BodyText"/>
        <w:spacing w:before="113"/>
        <w:ind w:left="120" w:right="564" w:hanging="1"/>
      </w:pPr>
      <w:r>
        <w:t>This measure is included in the Database for Energy Efficient Resources (DEER).</w:t>
      </w:r>
      <w:hyperlink w:anchor="_bookmark16" w:history="1">
        <w:r>
          <w:rPr>
            <w:vertAlign w:val="superscript"/>
          </w:rPr>
          <w:t>17</w:t>
        </w:r>
        <w:r>
          <w:t xml:space="preserve"> </w:t>
        </w:r>
      </w:hyperlink>
      <w:r>
        <w:t>However, because of significant differences between the DEER measure and the measure defined herein, the gas unit energy savings (UES) for this measure were derived from DOE-2.2R building energy use simulations.</w:t>
      </w:r>
    </w:p>
    <w:p w:rsidR="00DE6DB9" w:rsidRDefault="00361E6C">
      <w:pPr>
        <w:pStyle w:val="BodyText"/>
        <w:spacing w:before="120"/>
        <w:ind w:left="119" w:right="1135"/>
      </w:pPr>
      <w:r>
        <w:t>See Electric Savings for details of the base case and measure case simulation models and the UES calculation.</w:t>
      </w:r>
    </w:p>
    <w:p w:rsidR="00DE6DB9" w:rsidRDefault="00DE6DB9">
      <w:pPr>
        <w:pStyle w:val="BodyText"/>
      </w:pPr>
    </w:p>
    <w:p w:rsidR="00DE6DB9" w:rsidRDefault="00DE6DB9">
      <w:pPr>
        <w:pStyle w:val="BodyText"/>
        <w:spacing w:before="9"/>
        <w:rPr>
          <w:sz w:val="20"/>
        </w:rPr>
      </w:pPr>
    </w:p>
    <w:p w:rsidR="00DE6DB9" w:rsidRDefault="00361E6C">
      <w:pPr>
        <w:pStyle w:val="Heading1"/>
      </w:pPr>
      <w:bookmarkStart w:id="37" w:name="_TOC_250008"/>
      <w:bookmarkEnd w:id="37"/>
      <w:r>
        <w:rPr>
          <w:color w:val="CFAB79"/>
        </w:rPr>
        <w:t>LIFE CYCLE</w:t>
      </w:r>
    </w:p>
    <w:p w:rsidR="00DE6DB9" w:rsidRDefault="00361E6C">
      <w:pPr>
        <w:pStyle w:val="BodyText"/>
        <w:spacing w:before="115"/>
        <w:ind w:left="119" w:right="350"/>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The RUL is only applicable to the first baseline period for a retrofit measure with an applicable code baseline.</w:t>
      </w:r>
    </w:p>
    <w:p w:rsidR="00DE6DB9" w:rsidRDefault="00361E6C">
      <w:pPr>
        <w:pStyle w:val="BodyText"/>
        <w:spacing w:before="119"/>
        <w:ind w:left="119" w:right="407"/>
      </w:pPr>
      <w:r>
        <w:t>The methodology to calculate the RUL conforms with Version 5 of the Energy Efficiency Policy Manual, which recommends “one-third of the effective useful life in DEER as the remaining useful life until further study results are available to establish more accurate values.”</w:t>
      </w:r>
      <w:hyperlink w:anchor="_bookmark17" w:history="1">
        <w:r>
          <w:rPr>
            <w:vertAlign w:val="superscript"/>
          </w:rPr>
          <w:t>18</w:t>
        </w:r>
        <w:r>
          <w:t xml:space="preserve"> </w:t>
        </w:r>
      </w:hyperlink>
      <w:r>
        <w:t>This approach provides a reasonable RUL</w:t>
      </w:r>
    </w:p>
    <w:p w:rsidR="00DE6DB9" w:rsidRDefault="00DE6DB9">
      <w:pPr>
        <w:pStyle w:val="BodyText"/>
        <w:rPr>
          <w:sz w:val="20"/>
        </w:rPr>
      </w:pPr>
    </w:p>
    <w:p w:rsidR="00DE6DB9" w:rsidRDefault="0088103E">
      <w:pPr>
        <w:pStyle w:val="BodyText"/>
        <w:spacing w:before="8"/>
        <w:rPr>
          <w:sz w:val="13"/>
        </w:rPr>
      </w:pPr>
      <w:r>
        <w:rPr>
          <w:noProof/>
          <w:lang w:bidi="ar-SA"/>
        </w:rPr>
        <mc:AlternateContent>
          <mc:Choice Requires="wps">
            <w:drawing>
              <wp:anchor distT="0" distB="0" distL="0" distR="0" simplePos="0" relativeHeight="251661312" behindDoc="1" locked="0" layoutInCell="1" allowOverlap="1">
                <wp:simplePos x="0" y="0"/>
                <wp:positionH relativeFrom="page">
                  <wp:posOffset>914400</wp:posOffset>
                </wp:positionH>
                <wp:positionV relativeFrom="paragraph">
                  <wp:posOffset>135890</wp:posOffset>
                </wp:positionV>
                <wp:extent cx="1828800" cy="0"/>
                <wp:effectExtent l="9525" t="12065" r="9525" b="698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7pt" to="3in,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d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11"/>
        <w:rPr>
          <w:sz w:val="21"/>
        </w:rPr>
      </w:pPr>
    </w:p>
    <w:p w:rsidR="00DE6DB9" w:rsidRDefault="00361E6C">
      <w:pPr>
        <w:spacing w:before="69"/>
        <w:ind w:left="120"/>
        <w:rPr>
          <w:sz w:val="18"/>
        </w:rPr>
      </w:pPr>
      <w:bookmarkStart w:id="38" w:name="_bookmark15"/>
      <w:bookmarkEnd w:id="38"/>
      <w:r>
        <w:rPr>
          <w:position w:val="5"/>
          <w:sz w:val="12"/>
        </w:rPr>
        <w:t xml:space="preserve">16 </w:t>
      </w:r>
      <w:r>
        <w:rPr>
          <w:sz w:val="18"/>
        </w:rPr>
        <w:t xml:space="preserve">California Public Utilities Commission (CPUC). 2018. </w:t>
      </w:r>
      <w:r>
        <w:rPr>
          <w:i/>
          <w:sz w:val="18"/>
        </w:rPr>
        <w:t xml:space="preserve">Resolution E-4952. </w:t>
      </w:r>
      <w:r>
        <w:rPr>
          <w:sz w:val="18"/>
        </w:rPr>
        <w:t>October 12.</w:t>
      </w:r>
    </w:p>
    <w:p w:rsidR="00DE6DB9" w:rsidRDefault="00361E6C">
      <w:pPr>
        <w:spacing w:before="119"/>
        <w:ind w:left="120" w:right="1041" w:hanging="1"/>
        <w:rPr>
          <w:sz w:val="18"/>
        </w:rPr>
      </w:pPr>
      <w:bookmarkStart w:id="39" w:name="_bookmark16"/>
      <w:bookmarkEnd w:id="39"/>
      <w:r>
        <w:rPr>
          <w:position w:val="5"/>
          <w:sz w:val="12"/>
        </w:rPr>
        <w:t xml:space="preserve">17 </w:t>
      </w:r>
      <w:r>
        <w:rPr>
          <w:sz w:val="18"/>
        </w:rPr>
        <w:t xml:space="preserve">Itron, Inc. 2005. </w:t>
      </w:r>
      <w:r>
        <w:rPr>
          <w:i/>
          <w:sz w:val="18"/>
        </w:rPr>
        <w:t xml:space="preserve">2004-2005 Database for Energy Efficiency Resources (DEER) Update Study - Final Report. </w:t>
      </w:r>
      <w:r>
        <w:rPr>
          <w:sz w:val="18"/>
        </w:rPr>
        <w:t>Prepared for Southern California Edison.</w:t>
      </w:r>
    </w:p>
    <w:p w:rsidR="00DE6DB9" w:rsidRDefault="00361E6C">
      <w:pPr>
        <w:spacing w:before="122" w:line="372" w:lineRule="auto"/>
        <w:ind w:left="120" w:right="4303" w:hanging="1"/>
        <w:rPr>
          <w:sz w:val="18"/>
        </w:rPr>
      </w:pPr>
      <w:r>
        <w:rPr>
          <w:sz w:val="18"/>
        </w:rPr>
        <w:t>See Section 6 for details of DEER Building Prototypes generated by eQuest. See Section 7.3 for general description for grocery refrigeration measures.</w:t>
      </w:r>
    </w:p>
    <w:p w:rsidR="00DE6DB9" w:rsidRDefault="00361E6C">
      <w:pPr>
        <w:spacing w:line="218" w:lineRule="exact"/>
        <w:ind w:left="120"/>
        <w:rPr>
          <w:sz w:val="18"/>
        </w:rPr>
      </w:pPr>
      <w:bookmarkStart w:id="40" w:name="_bookmark17"/>
      <w:bookmarkEnd w:id="40"/>
      <w:r>
        <w:rPr>
          <w:position w:val="5"/>
          <w:sz w:val="12"/>
        </w:rPr>
        <w:t xml:space="preserve">18 </w:t>
      </w:r>
      <w:r>
        <w:rPr>
          <w:sz w:val="18"/>
        </w:rPr>
        <w:t xml:space="preserve">California Public Utilities Commission (CPUC), Energy Division. 2013. </w:t>
      </w:r>
      <w:r>
        <w:rPr>
          <w:i/>
          <w:sz w:val="18"/>
        </w:rPr>
        <w:t>Energy Efficiency Policy Manual Version 5</w:t>
      </w:r>
      <w:r>
        <w:rPr>
          <w:sz w:val="18"/>
        </w:rPr>
        <w:t>. Page 32.</w:t>
      </w:r>
    </w:p>
    <w:p w:rsidR="00DE6DB9" w:rsidRDefault="00DE6DB9">
      <w:pPr>
        <w:spacing w:line="218" w:lineRule="exact"/>
        <w:rPr>
          <w:sz w:val="18"/>
        </w:rPr>
        <w:sectPr w:rsidR="00DE6DB9">
          <w:type w:val="continuous"/>
          <w:pgSz w:w="12240" w:h="15840"/>
          <w:pgMar w:top="1220" w:right="1080" w:bottom="1320" w:left="1320" w:header="720" w:footer="720" w:gutter="0"/>
          <w:cols w:space="720"/>
        </w:sectPr>
      </w:pPr>
    </w:p>
    <w:p w:rsidR="00DE6DB9" w:rsidRDefault="00DE6DB9">
      <w:pPr>
        <w:pStyle w:val="BodyText"/>
        <w:spacing w:before="10"/>
        <w:rPr>
          <w:sz w:val="19"/>
        </w:rPr>
      </w:pPr>
    </w:p>
    <w:p w:rsidR="00DE6DB9" w:rsidRDefault="00361E6C">
      <w:pPr>
        <w:pStyle w:val="BodyText"/>
        <w:spacing w:before="56"/>
        <w:ind w:left="119" w:right="658"/>
      </w:pPr>
      <w:r>
        <w:t>estimate without the requiring any a priori knowledge about the age of the equipment being replaced.</w:t>
      </w:r>
      <w:hyperlink w:anchor="_bookmark18" w:history="1">
        <w:r>
          <w:rPr>
            <w:vertAlign w:val="superscript"/>
          </w:rPr>
          <w:t>19</w:t>
        </w:r>
        <w:r>
          <w:t xml:space="preserve"> </w:t>
        </w:r>
      </w:hyperlink>
      <w:r>
        <w:t xml:space="preserve">Further, as per Resolution E-4807, the California Public Utilities Commission (CPUC) revised add-on equipment measures so that the “EUL of the measure is equal to the lower of the RUL of the modified system or equipment or the EUL of the add-on component.” </w:t>
      </w:r>
      <w:hyperlink w:anchor="_bookmark19" w:history="1">
        <w:r>
          <w:rPr>
            <w:vertAlign w:val="superscript"/>
          </w:rPr>
          <w:t>20</w:t>
        </w:r>
      </w:hyperlink>
    </w:p>
    <w:p w:rsidR="00DE6DB9" w:rsidRDefault="00361E6C">
      <w:pPr>
        <w:pStyle w:val="BodyText"/>
        <w:spacing w:before="121"/>
        <w:ind w:left="119" w:right="460"/>
      </w:pPr>
      <w:r>
        <w:t>The estimated life of the measure and the host equipment are specified below. The host equipment for this measure is a grocery refrigeration condenser for which the EUL was established for the 2005 version of the Database for Energy Efficient Resources (DEER 2005).</w:t>
      </w:r>
    </w:p>
    <w:p w:rsidR="00DE6DB9" w:rsidRDefault="00DE6DB9">
      <w:pPr>
        <w:pStyle w:val="BodyText"/>
        <w:spacing w:before="3"/>
        <w:rPr>
          <w:sz w:val="23"/>
        </w:rPr>
      </w:pPr>
    </w:p>
    <w:p w:rsidR="00DE6DB9" w:rsidRDefault="00361E6C">
      <w:pPr>
        <w:ind w:left="120"/>
        <w:rPr>
          <w:sz w:val="20"/>
        </w:rPr>
      </w:pPr>
      <w:r>
        <w:rPr>
          <w:sz w:val="20"/>
        </w:rPr>
        <w:t>Effective Useful Life and Remaining Useful Life</w:t>
      </w:r>
    </w:p>
    <w:p w:rsidR="00DE6DB9" w:rsidRDefault="00DE6DB9">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426"/>
        <w:gridCol w:w="1708"/>
        <w:gridCol w:w="5152"/>
      </w:tblGrid>
      <w:tr w:rsidR="00DE6DB9">
        <w:trPr>
          <w:trHeight w:val="309"/>
        </w:trPr>
        <w:tc>
          <w:tcPr>
            <w:tcW w:w="2426" w:type="dxa"/>
            <w:shd w:val="clear" w:color="auto" w:fill="F1F1F1"/>
          </w:tcPr>
          <w:p w:rsidR="00DE6DB9" w:rsidRDefault="00361E6C">
            <w:pPr>
              <w:pStyle w:val="TableParagraph"/>
              <w:spacing w:before="47" w:line="242" w:lineRule="exact"/>
              <w:ind w:left="107"/>
              <w:rPr>
                <w:sz w:val="20"/>
              </w:rPr>
            </w:pPr>
            <w:r>
              <w:rPr>
                <w:sz w:val="20"/>
              </w:rPr>
              <w:t>Parameter</w:t>
            </w:r>
          </w:p>
        </w:tc>
        <w:tc>
          <w:tcPr>
            <w:tcW w:w="1708" w:type="dxa"/>
            <w:shd w:val="clear" w:color="auto" w:fill="F1F1F1"/>
          </w:tcPr>
          <w:p w:rsidR="00DE6DB9" w:rsidRDefault="00361E6C">
            <w:pPr>
              <w:pStyle w:val="TableParagraph"/>
              <w:spacing w:before="23" w:line="266" w:lineRule="exact"/>
              <w:ind w:right="597"/>
              <w:jc w:val="right"/>
            </w:pPr>
            <w:r>
              <w:t>Value</w:t>
            </w:r>
          </w:p>
        </w:tc>
        <w:tc>
          <w:tcPr>
            <w:tcW w:w="5152" w:type="dxa"/>
            <w:shd w:val="clear" w:color="auto" w:fill="F1F1F1"/>
          </w:tcPr>
          <w:p w:rsidR="00DE6DB9" w:rsidRDefault="00361E6C">
            <w:pPr>
              <w:pStyle w:val="TableParagraph"/>
              <w:spacing w:before="47" w:line="242" w:lineRule="exact"/>
              <w:ind w:left="2281" w:right="2268"/>
              <w:jc w:val="center"/>
              <w:rPr>
                <w:sz w:val="20"/>
              </w:rPr>
            </w:pPr>
            <w:r>
              <w:rPr>
                <w:sz w:val="20"/>
              </w:rPr>
              <w:t>Source</w:t>
            </w:r>
          </w:p>
        </w:tc>
      </w:tr>
      <w:tr w:rsidR="00DE6DB9">
        <w:trPr>
          <w:trHeight w:val="479"/>
        </w:trPr>
        <w:tc>
          <w:tcPr>
            <w:tcW w:w="2426" w:type="dxa"/>
          </w:tcPr>
          <w:p w:rsidR="00DE6DB9" w:rsidRDefault="00361E6C">
            <w:pPr>
              <w:pStyle w:val="TableParagraph"/>
              <w:spacing w:before="119"/>
              <w:ind w:left="107"/>
              <w:rPr>
                <w:sz w:val="20"/>
              </w:rPr>
            </w:pPr>
            <w:r>
              <w:rPr>
                <w:sz w:val="20"/>
              </w:rPr>
              <w:t>EUL (Years) – measure</w:t>
            </w:r>
          </w:p>
        </w:tc>
        <w:tc>
          <w:tcPr>
            <w:tcW w:w="1708" w:type="dxa"/>
          </w:tcPr>
          <w:p w:rsidR="00DE6DB9" w:rsidRDefault="00361E6C">
            <w:pPr>
              <w:pStyle w:val="TableParagraph"/>
              <w:spacing w:before="119"/>
              <w:ind w:right="618"/>
              <w:jc w:val="right"/>
              <w:rPr>
                <w:sz w:val="20"/>
              </w:rPr>
            </w:pPr>
            <w:r>
              <w:rPr>
                <w:w w:val="95"/>
                <w:sz w:val="20"/>
              </w:rPr>
              <w:t>15.0</w:t>
            </w:r>
          </w:p>
        </w:tc>
        <w:tc>
          <w:tcPr>
            <w:tcW w:w="5152" w:type="dxa"/>
          </w:tcPr>
          <w:p w:rsidR="00DE6DB9" w:rsidRDefault="00361E6C">
            <w:pPr>
              <w:pStyle w:val="TableParagraph"/>
              <w:spacing w:before="20" w:line="220" w:lineRule="atLeast"/>
              <w:ind w:left="108" w:right="125"/>
              <w:rPr>
                <w:sz w:val="18"/>
              </w:rPr>
            </w:pPr>
            <w:r>
              <w:rPr>
                <w:sz w:val="18"/>
              </w:rPr>
              <w:t>California Public Utilities Commission (CPUC), Energy Division. 2014. “DEER2014-EUL-table-update_2014-02-05.xlsx”</w:t>
            </w:r>
          </w:p>
        </w:tc>
      </w:tr>
      <w:tr w:rsidR="00DE6DB9">
        <w:trPr>
          <w:trHeight w:val="530"/>
        </w:trPr>
        <w:tc>
          <w:tcPr>
            <w:tcW w:w="2426" w:type="dxa"/>
          </w:tcPr>
          <w:p w:rsidR="00DE6DB9" w:rsidRDefault="00361E6C">
            <w:pPr>
              <w:pStyle w:val="TableParagraph"/>
              <w:spacing w:before="20"/>
              <w:ind w:left="107" w:right="526"/>
              <w:rPr>
                <w:sz w:val="20"/>
              </w:rPr>
            </w:pPr>
            <w:r>
              <w:rPr>
                <w:sz w:val="20"/>
              </w:rPr>
              <w:t>EUL (years) –modified system</w:t>
            </w:r>
          </w:p>
        </w:tc>
        <w:tc>
          <w:tcPr>
            <w:tcW w:w="1708" w:type="dxa"/>
          </w:tcPr>
          <w:p w:rsidR="00DE6DB9" w:rsidRDefault="00361E6C">
            <w:pPr>
              <w:pStyle w:val="TableParagraph"/>
              <w:spacing w:before="143"/>
              <w:ind w:right="618"/>
              <w:jc w:val="right"/>
              <w:rPr>
                <w:sz w:val="20"/>
              </w:rPr>
            </w:pPr>
            <w:r>
              <w:rPr>
                <w:w w:val="95"/>
                <w:sz w:val="20"/>
              </w:rPr>
              <w:t>15.0</w:t>
            </w:r>
          </w:p>
        </w:tc>
        <w:tc>
          <w:tcPr>
            <w:tcW w:w="5152" w:type="dxa"/>
          </w:tcPr>
          <w:p w:rsidR="00DE6DB9" w:rsidRDefault="00361E6C">
            <w:pPr>
              <w:pStyle w:val="TableParagraph"/>
              <w:spacing w:before="44"/>
              <w:ind w:left="108" w:right="125"/>
              <w:rPr>
                <w:sz w:val="18"/>
              </w:rPr>
            </w:pPr>
            <w:r>
              <w:rPr>
                <w:sz w:val="18"/>
              </w:rPr>
              <w:t>California Public Utilities Commission (CPUC), Energy Division. 2008. “EUL_Summary_10-1-08.xls.”</w:t>
            </w:r>
          </w:p>
        </w:tc>
      </w:tr>
      <w:tr w:rsidR="00DE6DB9">
        <w:trPr>
          <w:trHeight w:val="527"/>
        </w:trPr>
        <w:tc>
          <w:tcPr>
            <w:tcW w:w="2426" w:type="dxa"/>
          </w:tcPr>
          <w:p w:rsidR="00DE6DB9" w:rsidRDefault="00361E6C">
            <w:pPr>
              <w:pStyle w:val="TableParagraph"/>
              <w:spacing w:before="20" w:line="240" w:lineRule="atLeast"/>
              <w:ind w:left="107" w:right="466"/>
              <w:rPr>
                <w:sz w:val="20"/>
              </w:rPr>
            </w:pPr>
            <w:r>
              <w:rPr>
                <w:sz w:val="20"/>
              </w:rPr>
              <w:t>RUL (Years) – modified system</w:t>
            </w:r>
          </w:p>
        </w:tc>
        <w:tc>
          <w:tcPr>
            <w:tcW w:w="1708" w:type="dxa"/>
          </w:tcPr>
          <w:p w:rsidR="00DE6DB9" w:rsidRDefault="00361E6C">
            <w:pPr>
              <w:pStyle w:val="TableParagraph"/>
              <w:spacing w:before="143"/>
              <w:ind w:right="618"/>
              <w:jc w:val="right"/>
              <w:rPr>
                <w:sz w:val="20"/>
              </w:rPr>
            </w:pPr>
            <w:r>
              <w:rPr>
                <w:w w:val="95"/>
                <w:sz w:val="20"/>
              </w:rPr>
              <w:t>5.0</w:t>
            </w:r>
          </w:p>
        </w:tc>
        <w:tc>
          <w:tcPr>
            <w:tcW w:w="5152" w:type="dxa"/>
          </w:tcPr>
          <w:p w:rsidR="00DE6DB9" w:rsidRDefault="00361E6C">
            <w:pPr>
              <w:pStyle w:val="TableParagraph"/>
              <w:spacing w:before="155"/>
              <w:ind w:left="108"/>
              <w:rPr>
                <w:sz w:val="18"/>
              </w:rPr>
            </w:pPr>
            <w:r>
              <w:rPr>
                <w:sz w:val="18"/>
              </w:rPr>
              <w:t>1/3 of EUL</w:t>
            </w:r>
          </w:p>
        </w:tc>
      </w:tr>
    </w:tbl>
    <w:p w:rsidR="00DE6DB9" w:rsidRDefault="00DE6DB9">
      <w:pPr>
        <w:pStyle w:val="BodyText"/>
        <w:rPr>
          <w:sz w:val="20"/>
        </w:rPr>
      </w:pPr>
    </w:p>
    <w:p w:rsidR="00DE6DB9" w:rsidRDefault="00DE6DB9">
      <w:pPr>
        <w:pStyle w:val="BodyText"/>
        <w:spacing w:before="7"/>
      </w:pPr>
    </w:p>
    <w:p w:rsidR="00DE6DB9" w:rsidRDefault="00361E6C">
      <w:pPr>
        <w:pStyle w:val="Heading1"/>
        <w:spacing w:before="1"/>
      </w:pPr>
      <w:bookmarkStart w:id="41" w:name="_TOC_250007"/>
      <w:bookmarkEnd w:id="41"/>
      <w:r>
        <w:rPr>
          <w:color w:val="CFAB79"/>
        </w:rPr>
        <w:t>BASE CASE MATERIAL COST ($/UNIT)</w:t>
      </w:r>
    </w:p>
    <w:p w:rsidR="00DE6DB9" w:rsidRDefault="00361E6C">
      <w:pPr>
        <w:pStyle w:val="BodyText"/>
        <w:spacing w:before="114"/>
        <w:ind w:left="119" w:right="613"/>
      </w:pPr>
      <w:r>
        <w:t>Insofar as the addition of glass doors to an open vertical refrigerated display case is add-on equipment, the base case assumes that the existing refrigerated display cases are not equipped with doors.</w:t>
      </w:r>
    </w:p>
    <w:p w:rsidR="00DE6DB9" w:rsidRDefault="00361E6C">
      <w:pPr>
        <w:pStyle w:val="BodyText"/>
        <w:spacing w:before="1"/>
        <w:ind w:left="119"/>
      </w:pPr>
      <w:r>
        <w:t>Therefore, the base case cost is $0.</w:t>
      </w:r>
    </w:p>
    <w:p w:rsidR="00DE6DB9" w:rsidRDefault="00DE6DB9">
      <w:pPr>
        <w:pStyle w:val="BodyText"/>
      </w:pPr>
    </w:p>
    <w:p w:rsidR="00DE6DB9" w:rsidRDefault="00DE6DB9">
      <w:pPr>
        <w:pStyle w:val="BodyText"/>
        <w:spacing w:before="6"/>
        <w:rPr>
          <w:sz w:val="20"/>
        </w:rPr>
      </w:pPr>
    </w:p>
    <w:p w:rsidR="00DE6DB9" w:rsidRDefault="00361E6C">
      <w:pPr>
        <w:pStyle w:val="Heading1"/>
      </w:pPr>
      <w:bookmarkStart w:id="42" w:name="_TOC_250006"/>
      <w:bookmarkEnd w:id="42"/>
      <w:r>
        <w:rPr>
          <w:color w:val="CFAB79"/>
        </w:rPr>
        <w:t>MEASURE CASE MATERIAL COST ($/UNIT)</w:t>
      </w:r>
    </w:p>
    <w:p w:rsidR="00DE6DB9" w:rsidRDefault="00361E6C">
      <w:pPr>
        <w:pStyle w:val="BodyText"/>
        <w:spacing w:before="115"/>
        <w:ind w:left="119" w:right="753"/>
      </w:pPr>
      <w:r>
        <w:t>The direct measure material costs were calculated as the average of costs of quotes obtained in 2017 from three project quotes from two different vendors.</w:t>
      </w:r>
      <w:hyperlink w:anchor="_bookmark20" w:history="1">
        <w:r>
          <w:rPr>
            <w:vertAlign w:val="superscript"/>
          </w:rPr>
          <w:t>21</w:t>
        </w:r>
      </w:hyperlink>
    </w:p>
    <w:p w:rsidR="00DE6DB9" w:rsidRDefault="00361E6C">
      <w:pPr>
        <w:pStyle w:val="BodyText"/>
        <w:spacing w:before="120"/>
        <w:ind w:left="119" w:right="512"/>
      </w:pPr>
      <w:r>
        <w:t>If the costs deviated from one source to another, an average value was used. The costs of labor and materials were not shown as individual line items on the bids; thus, a separate estimation of labor hours and cost was developed for each measure component. The cost of materials is calculated as the full project cost less the estimated labor cost.</w:t>
      </w:r>
    </w:p>
    <w:p w:rsidR="00DE6DB9" w:rsidRDefault="00361E6C">
      <w:pPr>
        <w:pStyle w:val="BodyText"/>
        <w:spacing w:before="121"/>
        <w:ind w:left="119" w:right="366"/>
      </w:pPr>
      <w:r>
        <w:t>The measure material costs include doors, door frames, LED lighting, shelving, a new expansion valve, and some additional new piping. The doors, door frames, lighting and shelving is generally sold as a package by the vendor. If required, the expansion valve and piping will generally be installed by a refrigeration contractor working in coordination with the door supplier/installer. The assumptions used to generate the costs for these refrigeration components were that each 8-ft. refrigerated case will require a</w:t>
      </w:r>
      <w:r>
        <w:rPr>
          <w:spacing w:val="-27"/>
        </w:rPr>
        <w:t xml:space="preserve"> </w:t>
      </w:r>
      <w:r>
        <w:t>new</w:t>
      </w:r>
    </w:p>
    <w:p w:rsidR="00DE6DB9" w:rsidRDefault="00DE6DB9">
      <w:pPr>
        <w:pStyle w:val="BodyText"/>
        <w:rPr>
          <w:sz w:val="20"/>
        </w:rPr>
      </w:pPr>
    </w:p>
    <w:p w:rsidR="00DE6DB9" w:rsidRDefault="00DE6DB9">
      <w:pPr>
        <w:pStyle w:val="BodyText"/>
        <w:rPr>
          <w:sz w:val="20"/>
        </w:rPr>
      </w:pPr>
    </w:p>
    <w:p w:rsidR="00DE6DB9" w:rsidRDefault="0088103E">
      <w:pPr>
        <w:pStyle w:val="BodyText"/>
        <w:spacing w:before="11"/>
        <w:rPr>
          <w:sz w:val="28"/>
        </w:rPr>
      </w:pPr>
      <w:r>
        <w:rPr>
          <w:noProof/>
          <w:lang w:bidi="ar-SA"/>
        </w:rPr>
        <mc:AlternateContent>
          <mc:Choice Requires="wps">
            <w:drawing>
              <wp:anchor distT="0" distB="0" distL="0" distR="0" simplePos="0" relativeHeight="251662336" behindDoc="1" locked="0" layoutInCell="1" allowOverlap="1">
                <wp:simplePos x="0" y="0"/>
                <wp:positionH relativeFrom="page">
                  <wp:posOffset>914400</wp:posOffset>
                </wp:positionH>
                <wp:positionV relativeFrom="paragraph">
                  <wp:posOffset>254000</wp:posOffset>
                </wp:positionV>
                <wp:extent cx="1828800" cy="0"/>
                <wp:effectExtent l="9525" t="6350" r="9525" b="12700"/>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20pt" to="3in,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11"/>
        <w:rPr>
          <w:sz w:val="21"/>
        </w:rPr>
      </w:pPr>
    </w:p>
    <w:p w:rsidR="00DE6DB9" w:rsidRDefault="00361E6C">
      <w:pPr>
        <w:spacing w:before="69"/>
        <w:ind w:left="120"/>
        <w:rPr>
          <w:sz w:val="18"/>
        </w:rPr>
      </w:pPr>
      <w:bookmarkStart w:id="43" w:name="_bookmark18"/>
      <w:bookmarkEnd w:id="43"/>
      <w:r>
        <w:rPr>
          <w:position w:val="5"/>
          <w:sz w:val="12"/>
        </w:rPr>
        <w:t xml:space="preserve">19 </w:t>
      </w:r>
      <w:r>
        <w:rPr>
          <w:sz w:val="18"/>
        </w:rPr>
        <w:t>KEMA, Inc. 2008. "Summary of EUL-RUL Analysis for the April 2008 Update to DEER." Memorandum submitted to Itron, Inc.</w:t>
      </w:r>
    </w:p>
    <w:p w:rsidR="00DE6DB9" w:rsidRDefault="00361E6C">
      <w:pPr>
        <w:spacing w:before="121"/>
        <w:ind w:left="120"/>
        <w:rPr>
          <w:sz w:val="18"/>
        </w:rPr>
      </w:pPr>
      <w:bookmarkStart w:id="44" w:name="_bookmark19"/>
      <w:bookmarkEnd w:id="44"/>
      <w:r>
        <w:rPr>
          <w:position w:val="5"/>
          <w:sz w:val="12"/>
        </w:rPr>
        <w:t xml:space="preserve">20 </w:t>
      </w:r>
      <w:r>
        <w:rPr>
          <w:sz w:val="18"/>
        </w:rPr>
        <w:t xml:space="preserve">California Public Utilities Commission (CPUC). 2016. </w:t>
      </w:r>
      <w:r>
        <w:rPr>
          <w:i/>
          <w:sz w:val="18"/>
        </w:rPr>
        <w:t xml:space="preserve">Resolution E-4807. </w:t>
      </w:r>
      <w:r>
        <w:rPr>
          <w:sz w:val="18"/>
        </w:rPr>
        <w:t>December 16. Page 13.</w:t>
      </w:r>
    </w:p>
    <w:p w:rsidR="00DE6DB9" w:rsidRDefault="00361E6C">
      <w:pPr>
        <w:spacing w:before="119"/>
        <w:ind w:left="120"/>
        <w:rPr>
          <w:sz w:val="18"/>
        </w:rPr>
      </w:pPr>
      <w:bookmarkStart w:id="45" w:name="_bookmark20"/>
      <w:bookmarkEnd w:id="45"/>
      <w:r>
        <w:rPr>
          <w:position w:val="5"/>
          <w:sz w:val="12"/>
        </w:rPr>
        <w:t xml:space="preserve">21 </w:t>
      </w:r>
      <w:r>
        <w:rPr>
          <w:sz w:val="18"/>
        </w:rPr>
        <w:t>EnergySmart Grocer. (2017). “PGE3PREF116_Costs.zip” Proprietary database.</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10"/>
        <w:rPr>
          <w:sz w:val="19"/>
        </w:rPr>
      </w:pPr>
    </w:p>
    <w:p w:rsidR="00DE6DB9" w:rsidRDefault="00361E6C">
      <w:pPr>
        <w:pStyle w:val="BodyText"/>
        <w:spacing w:before="56"/>
        <w:ind w:left="120" w:right="1079" w:hanging="1"/>
      </w:pPr>
      <w:r>
        <w:t>expansion valve and 50 ft. of new copper piping. These assumptions are consistent with PECI staff discussions with a major refrigeration services contractor.</w:t>
      </w:r>
    </w:p>
    <w:p w:rsidR="00DE6DB9" w:rsidRDefault="00361E6C">
      <w:pPr>
        <w:pStyle w:val="BodyText"/>
        <w:spacing w:before="121"/>
        <w:ind w:left="120"/>
      </w:pPr>
      <w:r>
        <w:t>Note that these costs do not change when night covers are in place in the base case.</w:t>
      </w:r>
    </w:p>
    <w:p w:rsidR="00DE6DB9" w:rsidRDefault="00DE6DB9">
      <w:pPr>
        <w:pStyle w:val="BodyText"/>
      </w:pPr>
    </w:p>
    <w:p w:rsidR="00DE6DB9" w:rsidRDefault="00DE6DB9">
      <w:pPr>
        <w:pStyle w:val="BodyText"/>
        <w:spacing w:before="8"/>
        <w:rPr>
          <w:sz w:val="20"/>
        </w:rPr>
      </w:pPr>
    </w:p>
    <w:p w:rsidR="00DE6DB9" w:rsidRDefault="00361E6C">
      <w:pPr>
        <w:pStyle w:val="Heading1"/>
      </w:pPr>
      <w:bookmarkStart w:id="46" w:name="_TOC_250005"/>
      <w:bookmarkEnd w:id="46"/>
      <w:r>
        <w:rPr>
          <w:color w:val="CFAB79"/>
        </w:rPr>
        <w:t>LABOR COST ($/UNIT)</w:t>
      </w:r>
    </w:p>
    <w:p w:rsidR="00DE6DB9" w:rsidRDefault="00361E6C">
      <w:pPr>
        <w:pStyle w:val="BodyText"/>
        <w:spacing w:before="115"/>
        <w:ind w:left="119" w:right="528"/>
      </w:pPr>
      <w:r>
        <w:t>The estimated labor costs were calculated as the average labor cost derived from quotes from several projects in 2017 where the described measure was proposed.</w:t>
      </w:r>
      <w:hyperlink w:anchor="_bookmark21" w:history="1">
        <w:r>
          <w:rPr>
            <w:vertAlign w:val="superscript"/>
          </w:rPr>
          <w:t>22</w:t>
        </w:r>
        <w:r>
          <w:t xml:space="preserve"> </w:t>
        </w:r>
      </w:hyperlink>
      <w:r>
        <w:t>If the costs deviated from one source to another, an average value was used. The costs of labor and materials were not shown as individual line items on the bids; a separate estimation of labor hours and cost was developed for each measure component.</w:t>
      </w:r>
    </w:p>
    <w:p w:rsidR="00DE6DB9" w:rsidRDefault="00361E6C">
      <w:pPr>
        <w:pStyle w:val="BodyText"/>
        <w:spacing w:before="119"/>
        <w:ind w:left="119" w:right="738"/>
      </w:pPr>
      <w:r>
        <w:t>The estimated labor cost includes time to scope the project, install the doors, alter the refrigeration system, and commission the refrigeration system controls to ensure proper system performance. The installation of the doors and lighting is generally included in the bid from the door vendor.</w:t>
      </w:r>
    </w:p>
    <w:p w:rsidR="00DE6DB9" w:rsidRDefault="00361E6C">
      <w:pPr>
        <w:pStyle w:val="BodyText"/>
        <w:spacing w:before="120"/>
        <w:ind w:left="119" w:right="367"/>
      </w:pPr>
      <w:r>
        <w:t>The labor cost also includes the cost for a refrigeration contractor to retrofit several system components and commission the applicable controls to maintain performance. Assumptions to develop labor costs are specified below.</w:t>
      </w:r>
    </w:p>
    <w:p w:rsidR="00DE6DB9" w:rsidRDefault="00DE6DB9">
      <w:pPr>
        <w:pStyle w:val="BodyText"/>
        <w:spacing w:before="4"/>
        <w:rPr>
          <w:sz w:val="23"/>
        </w:rPr>
      </w:pPr>
    </w:p>
    <w:p w:rsidR="00DE6DB9" w:rsidRDefault="00361E6C">
      <w:pPr>
        <w:ind w:left="120"/>
        <w:rPr>
          <w:sz w:val="20"/>
        </w:rPr>
      </w:pPr>
      <w:r>
        <w:rPr>
          <w:sz w:val="20"/>
        </w:rPr>
        <w:t>Labor Cost Inputs</w:t>
      </w:r>
    </w:p>
    <w:p w:rsidR="00DE6DB9" w:rsidRDefault="00DE6DB9">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888"/>
        <w:gridCol w:w="1531"/>
        <w:gridCol w:w="4176"/>
      </w:tblGrid>
      <w:tr w:rsidR="00DE6DB9">
        <w:trPr>
          <w:trHeight w:val="282"/>
        </w:trPr>
        <w:tc>
          <w:tcPr>
            <w:tcW w:w="3888" w:type="dxa"/>
            <w:shd w:val="clear" w:color="auto" w:fill="F1F1F1"/>
          </w:tcPr>
          <w:p w:rsidR="00DE6DB9" w:rsidRDefault="00361E6C">
            <w:pPr>
              <w:pStyle w:val="TableParagraph"/>
              <w:spacing w:before="20" w:line="242" w:lineRule="exact"/>
              <w:ind w:left="107"/>
              <w:rPr>
                <w:sz w:val="20"/>
              </w:rPr>
            </w:pPr>
            <w:r>
              <w:rPr>
                <w:sz w:val="20"/>
              </w:rPr>
              <w:t>Parameter</w:t>
            </w:r>
          </w:p>
        </w:tc>
        <w:tc>
          <w:tcPr>
            <w:tcW w:w="1531" w:type="dxa"/>
            <w:shd w:val="clear" w:color="auto" w:fill="F1F1F1"/>
          </w:tcPr>
          <w:p w:rsidR="00DE6DB9" w:rsidRDefault="00361E6C">
            <w:pPr>
              <w:pStyle w:val="TableParagraph"/>
              <w:spacing w:before="20" w:line="242" w:lineRule="exact"/>
              <w:ind w:left="427" w:right="418"/>
              <w:jc w:val="center"/>
              <w:rPr>
                <w:sz w:val="20"/>
              </w:rPr>
            </w:pPr>
            <w:r>
              <w:rPr>
                <w:sz w:val="20"/>
              </w:rPr>
              <w:t>Value</w:t>
            </w:r>
          </w:p>
        </w:tc>
        <w:tc>
          <w:tcPr>
            <w:tcW w:w="4176" w:type="dxa"/>
            <w:shd w:val="clear" w:color="auto" w:fill="F1F1F1"/>
          </w:tcPr>
          <w:p w:rsidR="00DE6DB9" w:rsidRDefault="00361E6C">
            <w:pPr>
              <w:pStyle w:val="TableParagraph"/>
              <w:spacing w:before="20" w:line="242" w:lineRule="exact"/>
              <w:ind w:left="1793" w:right="1781"/>
              <w:jc w:val="center"/>
              <w:rPr>
                <w:sz w:val="20"/>
              </w:rPr>
            </w:pPr>
            <w:r>
              <w:rPr>
                <w:sz w:val="20"/>
              </w:rPr>
              <w:t>Source</w:t>
            </w:r>
          </w:p>
        </w:tc>
      </w:tr>
      <w:tr w:rsidR="00DE6DB9">
        <w:trPr>
          <w:trHeight w:val="527"/>
        </w:trPr>
        <w:tc>
          <w:tcPr>
            <w:tcW w:w="3888" w:type="dxa"/>
          </w:tcPr>
          <w:p w:rsidR="00DE6DB9" w:rsidRDefault="00361E6C">
            <w:pPr>
              <w:pStyle w:val="TableParagraph"/>
              <w:spacing w:before="20" w:line="240" w:lineRule="atLeast"/>
              <w:ind w:left="107" w:right="658"/>
              <w:rPr>
                <w:sz w:val="20"/>
              </w:rPr>
            </w:pPr>
            <w:r>
              <w:rPr>
                <w:sz w:val="20"/>
              </w:rPr>
              <w:t>Install doors, commission refrigeration controls, optimize system ($/ft)</w:t>
            </w:r>
          </w:p>
        </w:tc>
        <w:tc>
          <w:tcPr>
            <w:tcW w:w="1531" w:type="dxa"/>
          </w:tcPr>
          <w:p w:rsidR="00DE6DB9" w:rsidRDefault="00361E6C">
            <w:pPr>
              <w:pStyle w:val="TableParagraph"/>
              <w:spacing w:before="143"/>
              <w:ind w:left="507" w:right="418"/>
              <w:jc w:val="center"/>
              <w:rPr>
                <w:sz w:val="20"/>
              </w:rPr>
            </w:pPr>
            <w:r>
              <w:rPr>
                <w:sz w:val="20"/>
              </w:rPr>
              <w:t>$35.24</w:t>
            </w:r>
          </w:p>
        </w:tc>
        <w:tc>
          <w:tcPr>
            <w:tcW w:w="4176" w:type="dxa"/>
            <w:vMerge w:val="restart"/>
          </w:tcPr>
          <w:p w:rsidR="00DE6DB9" w:rsidRDefault="00DE6DB9">
            <w:pPr>
              <w:pStyle w:val="TableParagraph"/>
              <w:rPr>
                <w:sz w:val="20"/>
              </w:rPr>
            </w:pPr>
          </w:p>
          <w:p w:rsidR="00DE6DB9" w:rsidRDefault="00DE6DB9">
            <w:pPr>
              <w:pStyle w:val="TableParagraph"/>
              <w:spacing w:before="11"/>
              <w:rPr>
                <w:sz w:val="25"/>
              </w:rPr>
            </w:pPr>
          </w:p>
          <w:p w:rsidR="00DE6DB9" w:rsidRDefault="00361E6C">
            <w:pPr>
              <w:pStyle w:val="TableParagraph"/>
              <w:ind w:left="108" w:right="93"/>
              <w:rPr>
                <w:sz w:val="20"/>
              </w:rPr>
            </w:pPr>
            <w:r>
              <w:rPr>
                <w:sz w:val="20"/>
              </w:rPr>
              <w:t>EnergySmart Grocer. (2017) “PGE3PREF116_Costs.zip.” Proprietary Database.</w:t>
            </w:r>
          </w:p>
        </w:tc>
      </w:tr>
      <w:tr w:rsidR="00DE6DB9">
        <w:trPr>
          <w:trHeight w:val="530"/>
        </w:trPr>
        <w:tc>
          <w:tcPr>
            <w:tcW w:w="3888" w:type="dxa"/>
          </w:tcPr>
          <w:p w:rsidR="00DE6DB9" w:rsidRDefault="00361E6C">
            <w:pPr>
              <w:pStyle w:val="TableParagraph"/>
              <w:spacing w:before="23" w:line="240" w:lineRule="atLeast"/>
              <w:ind w:left="107" w:right="155"/>
              <w:rPr>
                <w:sz w:val="20"/>
              </w:rPr>
            </w:pPr>
            <w:r>
              <w:rPr>
                <w:sz w:val="20"/>
              </w:rPr>
              <w:t>Refrigeration Contractor Labor Rate ($/hour) for additional refrigeration system retrofit</w:t>
            </w:r>
          </w:p>
        </w:tc>
        <w:tc>
          <w:tcPr>
            <w:tcW w:w="1531" w:type="dxa"/>
          </w:tcPr>
          <w:p w:rsidR="00DE6DB9" w:rsidRDefault="00361E6C">
            <w:pPr>
              <w:pStyle w:val="TableParagraph"/>
              <w:spacing w:before="143"/>
              <w:ind w:left="507" w:right="418"/>
              <w:jc w:val="center"/>
              <w:rPr>
                <w:sz w:val="20"/>
              </w:rPr>
            </w:pPr>
            <w:r>
              <w:rPr>
                <w:sz w:val="20"/>
              </w:rPr>
              <w:t>$90.00</w:t>
            </w:r>
          </w:p>
        </w:tc>
        <w:tc>
          <w:tcPr>
            <w:tcW w:w="4176" w:type="dxa"/>
            <w:vMerge/>
            <w:tcBorders>
              <w:top w:val="nil"/>
            </w:tcBorders>
          </w:tcPr>
          <w:p w:rsidR="00DE6DB9" w:rsidRDefault="00DE6DB9">
            <w:pPr>
              <w:rPr>
                <w:sz w:val="2"/>
                <w:szCs w:val="2"/>
              </w:rPr>
            </w:pPr>
          </w:p>
        </w:tc>
      </w:tr>
      <w:tr w:rsidR="00DE6DB9">
        <w:trPr>
          <w:trHeight w:val="527"/>
        </w:trPr>
        <w:tc>
          <w:tcPr>
            <w:tcW w:w="3888" w:type="dxa"/>
          </w:tcPr>
          <w:p w:rsidR="00DE6DB9" w:rsidRDefault="00361E6C">
            <w:pPr>
              <w:pStyle w:val="TableParagraph"/>
              <w:spacing w:before="20" w:line="240" w:lineRule="atLeast"/>
              <w:ind w:left="107" w:right="1023"/>
              <w:rPr>
                <w:sz w:val="20"/>
              </w:rPr>
            </w:pPr>
            <w:r>
              <w:rPr>
                <w:sz w:val="20"/>
              </w:rPr>
              <w:t>Labor Hours (hours) for additional refrigeration system retrofit</w:t>
            </w:r>
          </w:p>
        </w:tc>
        <w:tc>
          <w:tcPr>
            <w:tcW w:w="1531" w:type="dxa"/>
          </w:tcPr>
          <w:p w:rsidR="00DE6DB9" w:rsidRDefault="00361E6C">
            <w:pPr>
              <w:pStyle w:val="TableParagraph"/>
              <w:spacing w:before="143"/>
              <w:ind w:left="507" w:right="397"/>
              <w:jc w:val="center"/>
              <w:rPr>
                <w:sz w:val="20"/>
              </w:rPr>
            </w:pPr>
            <w:r>
              <w:rPr>
                <w:sz w:val="20"/>
              </w:rPr>
              <w:t>40.0</w:t>
            </w:r>
          </w:p>
        </w:tc>
        <w:tc>
          <w:tcPr>
            <w:tcW w:w="4176" w:type="dxa"/>
            <w:vMerge/>
            <w:tcBorders>
              <w:top w:val="nil"/>
            </w:tcBorders>
          </w:tcPr>
          <w:p w:rsidR="00DE6DB9" w:rsidRDefault="00DE6DB9">
            <w:pPr>
              <w:rPr>
                <w:sz w:val="2"/>
                <w:szCs w:val="2"/>
              </w:rPr>
            </w:pPr>
          </w:p>
        </w:tc>
      </w:tr>
      <w:tr w:rsidR="00DE6DB9">
        <w:trPr>
          <w:trHeight w:val="285"/>
        </w:trPr>
        <w:tc>
          <w:tcPr>
            <w:tcW w:w="3888" w:type="dxa"/>
          </w:tcPr>
          <w:p w:rsidR="00DE6DB9" w:rsidRDefault="00361E6C">
            <w:pPr>
              <w:pStyle w:val="TableParagraph"/>
              <w:spacing w:before="20"/>
              <w:ind w:left="107"/>
              <w:rPr>
                <w:sz w:val="20"/>
              </w:rPr>
            </w:pPr>
            <w:r>
              <w:rPr>
                <w:sz w:val="20"/>
              </w:rPr>
              <w:t>Line-up Length (ft)</w:t>
            </w:r>
          </w:p>
        </w:tc>
        <w:tc>
          <w:tcPr>
            <w:tcW w:w="1531" w:type="dxa"/>
          </w:tcPr>
          <w:p w:rsidR="00DE6DB9" w:rsidRDefault="00361E6C">
            <w:pPr>
              <w:pStyle w:val="TableParagraph"/>
              <w:spacing w:before="20"/>
              <w:ind w:left="428" w:right="418"/>
              <w:jc w:val="center"/>
              <w:rPr>
                <w:sz w:val="20"/>
              </w:rPr>
            </w:pPr>
            <w:r>
              <w:rPr>
                <w:sz w:val="20"/>
              </w:rPr>
              <w:t>195.0</w:t>
            </w:r>
          </w:p>
        </w:tc>
        <w:tc>
          <w:tcPr>
            <w:tcW w:w="4176" w:type="dxa"/>
          </w:tcPr>
          <w:p w:rsidR="00DE6DB9" w:rsidRDefault="00361E6C">
            <w:pPr>
              <w:pStyle w:val="TableParagraph"/>
              <w:spacing w:before="32"/>
              <w:ind w:left="108"/>
              <w:rPr>
                <w:sz w:val="18"/>
              </w:rPr>
            </w:pPr>
            <w:r>
              <w:rPr>
                <w:sz w:val="18"/>
              </w:rPr>
              <w:t>DOE-2.2R built-in model</w:t>
            </w:r>
          </w:p>
        </w:tc>
      </w:tr>
    </w:tbl>
    <w:p w:rsidR="00DE6DB9" w:rsidRDefault="00DE6DB9">
      <w:pPr>
        <w:pStyle w:val="BodyText"/>
        <w:rPr>
          <w:sz w:val="20"/>
        </w:rPr>
      </w:pPr>
    </w:p>
    <w:p w:rsidR="00DE6DB9" w:rsidRDefault="00DE6DB9">
      <w:pPr>
        <w:pStyle w:val="BodyText"/>
        <w:spacing w:before="7"/>
      </w:pPr>
    </w:p>
    <w:p w:rsidR="00DE6DB9" w:rsidRDefault="00361E6C">
      <w:pPr>
        <w:pStyle w:val="Heading1"/>
      </w:pPr>
      <w:bookmarkStart w:id="47" w:name="_TOC_250004"/>
      <w:bookmarkEnd w:id="47"/>
      <w:r>
        <w:rPr>
          <w:color w:val="CFAB79"/>
        </w:rPr>
        <w:t>NET-TO-GROSS (NTG)</w:t>
      </w:r>
    </w:p>
    <w:p w:rsidR="00DE6DB9" w:rsidRDefault="00361E6C">
      <w:pPr>
        <w:pStyle w:val="BodyText"/>
        <w:spacing w:before="113"/>
        <w:ind w:left="119" w:right="448"/>
      </w:pPr>
      <w:r>
        <w:t>The net-to-gross (NTG) ratio represents the portion of gross impacts that are determined to be directly attributed to a specific program intervention. These NTG values are based upon the average of all NTG ratios for all evaluated 2006 – 2008 commercial, industrial, and agriculture programs, as documented in the 2011 DEER Update Study conducted by Itron, Inc. These sector average NTG (“default NTG”) are applicable to all energy efficiency measures that have been offered through 2008 commercial, industrial, and agriculture sector programs for more than two years and for which impact evaluation results are not available.</w:t>
      </w:r>
    </w:p>
    <w:p w:rsidR="00DE6DB9" w:rsidRDefault="00DE6DB9">
      <w:pPr>
        <w:pStyle w:val="BodyText"/>
        <w:spacing w:before="4"/>
        <w:rPr>
          <w:sz w:val="23"/>
        </w:rPr>
      </w:pPr>
    </w:p>
    <w:p w:rsidR="00DE6DB9" w:rsidRDefault="00361E6C">
      <w:pPr>
        <w:ind w:left="120"/>
        <w:rPr>
          <w:sz w:val="20"/>
        </w:rPr>
      </w:pPr>
      <w:r>
        <w:rPr>
          <w:sz w:val="20"/>
        </w:rPr>
        <w:t>Net-to-Gross Ratios</w:t>
      </w:r>
    </w:p>
    <w:p w:rsidR="00DE6DB9" w:rsidRDefault="00DE6DB9">
      <w:pPr>
        <w:pStyle w:val="BodyText"/>
        <w:rPr>
          <w:sz w:val="20"/>
        </w:rPr>
      </w:pPr>
    </w:p>
    <w:p w:rsidR="00DE6DB9" w:rsidRDefault="00DE6DB9">
      <w:pPr>
        <w:pStyle w:val="BodyText"/>
        <w:rPr>
          <w:sz w:val="20"/>
        </w:rPr>
      </w:pPr>
    </w:p>
    <w:p w:rsidR="00DE6DB9" w:rsidRDefault="0088103E">
      <w:pPr>
        <w:pStyle w:val="BodyText"/>
        <w:spacing w:before="5"/>
        <w:rPr>
          <w:sz w:val="15"/>
        </w:rPr>
      </w:pPr>
      <w:r>
        <w:rPr>
          <w:noProof/>
          <w:lang w:bidi="ar-SA"/>
        </w:rPr>
        <mc:AlternateContent>
          <mc:Choice Requires="wps">
            <w:drawing>
              <wp:anchor distT="0" distB="0" distL="0" distR="0" simplePos="0" relativeHeight="251663360" behindDoc="1" locked="0" layoutInCell="1" allowOverlap="1">
                <wp:simplePos x="0" y="0"/>
                <wp:positionH relativeFrom="page">
                  <wp:posOffset>914400</wp:posOffset>
                </wp:positionH>
                <wp:positionV relativeFrom="paragraph">
                  <wp:posOffset>149860</wp:posOffset>
                </wp:positionV>
                <wp:extent cx="1828800" cy="0"/>
                <wp:effectExtent l="9525" t="6985" r="9525" b="1206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1.8pt" to="3in,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lFzHA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" strokeweight=".72pt">
                <w10:wrap type="topAndBottom" anchorx="page"/>
              </v:line>
            </w:pict>
          </mc:Fallback>
        </mc:AlternateContent>
      </w:r>
    </w:p>
    <w:p w:rsidR="00DE6DB9" w:rsidRDefault="00DE6DB9">
      <w:pPr>
        <w:pStyle w:val="BodyText"/>
        <w:rPr>
          <w:sz w:val="20"/>
        </w:rPr>
      </w:pPr>
    </w:p>
    <w:p w:rsidR="00DE6DB9" w:rsidRDefault="00DE6DB9">
      <w:pPr>
        <w:pStyle w:val="BodyText"/>
        <w:spacing w:before="9"/>
        <w:rPr>
          <w:sz w:val="21"/>
        </w:rPr>
      </w:pPr>
    </w:p>
    <w:p w:rsidR="00DE6DB9" w:rsidRDefault="00361E6C">
      <w:pPr>
        <w:spacing w:before="69"/>
        <w:ind w:left="120"/>
        <w:rPr>
          <w:sz w:val="18"/>
        </w:rPr>
      </w:pPr>
      <w:bookmarkStart w:id="48" w:name="_bookmark21"/>
      <w:bookmarkEnd w:id="48"/>
      <w:r>
        <w:rPr>
          <w:position w:val="5"/>
          <w:sz w:val="12"/>
        </w:rPr>
        <w:t xml:space="preserve">22 </w:t>
      </w:r>
      <w:r>
        <w:rPr>
          <w:sz w:val="18"/>
        </w:rPr>
        <w:t>EnergySmart Grocer. (2017). “PGE3PREF116_Costs.zip.” Proprietary Database.</w:t>
      </w:r>
    </w:p>
    <w:p w:rsidR="00DE6DB9" w:rsidRDefault="00DE6DB9">
      <w:pPr>
        <w:rPr>
          <w:sz w:val="18"/>
        </w:rPr>
        <w:sectPr w:rsidR="00DE6DB9">
          <w:pgSz w:w="12240" w:h="15840"/>
          <w:pgMar w:top="1220" w:right="1080" w:bottom="1320" w:left="1320" w:header="858" w:footer="1129" w:gutter="0"/>
          <w:cols w:space="720"/>
        </w:sectPr>
      </w:pPr>
    </w:p>
    <w:p w:rsidR="00DE6DB9" w:rsidRDefault="00DE6DB9">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426"/>
        <w:gridCol w:w="1800"/>
        <w:gridCol w:w="5242"/>
      </w:tblGrid>
      <w:tr w:rsidR="00DE6DB9">
        <w:trPr>
          <w:trHeight w:val="309"/>
        </w:trPr>
        <w:tc>
          <w:tcPr>
            <w:tcW w:w="2426" w:type="dxa"/>
            <w:shd w:val="clear" w:color="auto" w:fill="F1F1F1"/>
          </w:tcPr>
          <w:p w:rsidR="00DE6DB9" w:rsidRDefault="00361E6C">
            <w:pPr>
              <w:pStyle w:val="TableParagraph"/>
              <w:spacing w:before="35"/>
              <w:ind w:right="783"/>
              <w:jc w:val="right"/>
              <w:rPr>
                <w:sz w:val="20"/>
              </w:rPr>
            </w:pPr>
            <w:r>
              <w:rPr>
                <w:w w:val="95"/>
                <w:sz w:val="20"/>
              </w:rPr>
              <w:t>Parameter</w:t>
            </w:r>
          </w:p>
        </w:tc>
        <w:tc>
          <w:tcPr>
            <w:tcW w:w="1800" w:type="dxa"/>
            <w:shd w:val="clear" w:color="auto" w:fill="F1F1F1"/>
          </w:tcPr>
          <w:p w:rsidR="00DE6DB9" w:rsidRDefault="00361E6C">
            <w:pPr>
              <w:pStyle w:val="TableParagraph"/>
              <w:spacing w:before="23" w:line="266" w:lineRule="exact"/>
              <w:ind w:left="652"/>
            </w:pPr>
            <w:r>
              <w:t>Value</w:t>
            </w:r>
          </w:p>
        </w:tc>
        <w:tc>
          <w:tcPr>
            <w:tcW w:w="5242" w:type="dxa"/>
            <w:shd w:val="clear" w:color="auto" w:fill="F1F1F1"/>
          </w:tcPr>
          <w:p w:rsidR="00DE6DB9" w:rsidRDefault="00361E6C">
            <w:pPr>
              <w:pStyle w:val="TableParagraph"/>
              <w:spacing w:before="35"/>
              <w:ind w:left="2323" w:right="2316"/>
              <w:jc w:val="center"/>
              <w:rPr>
                <w:sz w:val="20"/>
              </w:rPr>
            </w:pPr>
            <w:r>
              <w:rPr>
                <w:sz w:val="20"/>
              </w:rPr>
              <w:t>Source</w:t>
            </w:r>
          </w:p>
        </w:tc>
      </w:tr>
      <w:tr w:rsidR="00DE6DB9">
        <w:trPr>
          <w:trHeight w:val="700"/>
        </w:trPr>
        <w:tc>
          <w:tcPr>
            <w:tcW w:w="2426" w:type="dxa"/>
          </w:tcPr>
          <w:p w:rsidR="00DE6DB9" w:rsidRDefault="00DE6DB9">
            <w:pPr>
              <w:pStyle w:val="TableParagraph"/>
              <w:spacing w:before="9"/>
              <w:rPr>
                <w:sz w:val="18"/>
              </w:rPr>
            </w:pPr>
          </w:p>
          <w:p w:rsidR="00DE6DB9" w:rsidRDefault="00361E6C">
            <w:pPr>
              <w:pStyle w:val="TableParagraph"/>
              <w:ind w:right="805"/>
              <w:jc w:val="right"/>
              <w:rPr>
                <w:sz w:val="20"/>
              </w:rPr>
            </w:pPr>
            <w:r>
              <w:rPr>
                <w:sz w:val="20"/>
              </w:rPr>
              <w:t>NTG – Commercial</w:t>
            </w:r>
          </w:p>
        </w:tc>
        <w:tc>
          <w:tcPr>
            <w:tcW w:w="1800" w:type="dxa"/>
          </w:tcPr>
          <w:p w:rsidR="00DE6DB9" w:rsidRDefault="00DE6DB9">
            <w:pPr>
              <w:pStyle w:val="TableParagraph"/>
              <w:spacing w:before="9"/>
              <w:rPr>
                <w:sz w:val="18"/>
              </w:rPr>
            </w:pPr>
          </w:p>
          <w:p w:rsidR="00DE6DB9" w:rsidRDefault="00361E6C">
            <w:pPr>
              <w:pStyle w:val="TableParagraph"/>
              <w:ind w:left="720"/>
              <w:rPr>
                <w:sz w:val="20"/>
              </w:rPr>
            </w:pPr>
            <w:r>
              <w:rPr>
                <w:sz w:val="20"/>
              </w:rPr>
              <w:t>0.60</w:t>
            </w:r>
          </w:p>
        </w:tc>
        <w:tc>
          <w:tcPr>
            <w:tcW w:w="5242" w:type="dxa"/>
          </w:tcPr>
          <w:p w:rsidR="00DE6DB9" w:rsidRDefault="00361E6C">
            <w:pPr>
              <w:pStyle w:val="TableParagraph"/>
              <w:spacing w:before="20" w:line="220" w:lineRule="atLeast"/>
              <w:ind w:left="105" w:right="388"/>
              <w:rPr>
                <w:sz w:val="18"/>
              </w:rPr>
            </w:pPr>
            <w:r>
              <w:rPr>
                <w:sz w:val="18"/>
              </w:rPr>
              <w:t xml:space="preserve">Itron, Inc. 2011. </w:t>
            </w:r>
            <w:r>
              <w:rPr>
                <w:i/>
                <w:sz w:val="18"/>
              </w:rPr>
              <w:t xml:space="preserve">DEER Database 2011 Update Documentation. </w:t>
            </w:r>
            <w:r>
              <w:rPr>
                <w:sz w:val="18"/>
              </w:rPr>
              <w:t>Prepared for the California Public Utilities Commission. Page 15-4 Table 15-3.</w:t>
            </w:r>
          </w:p>
        </w:tc>
      </w:tr>
    </w:tbl>
    <w:p w:rsidR="00DE6DB9" w:rsidRDefault="00DE6DB9">
      <w:pPr>
        <w:pStyle w:val="BodyText"/>
        <w:rPr>
          <w:sz w:val="20"/>
        </w:rPr>
      </w:pPr>
    </w:p>
    <w:p w:rsidR="00DE6DB9" w:rsidRDefault="00DE6DB9">
      <w:pPr>
        <w:pStyle w:val="BodyText"/>
        <w:spacing w:before="4"/>
        <w:rPr>
          <w:sz w:val="18"/>
        </w:rPr>
      </w:pPr>
    </w:p>
    <w:p w:rsidR="00DE6DB9" w:rsidRDefault="00361E6C">
      <w:pPr>
        <w:pStyle w:val="Heading1"/>
        <w:spacing w:before="52"/>
      </w:pPr>
      <w:bookmarkStart w:id="49" w:name="_TOC_250003"/>
      <w:bookmarkEnd w:id="49"/>
      <w:r>
        <w:rPr>
          <w:color w:val="CFAB79"/>
        </w:rPr>
        <w:t>GROSS SAVINGS INSTALLATION ADJUSTMENT (GSIA)</w:t>
      </w:r>
    </w:p>
    <w:p w:rsidR="00DE6DB9" w:rsidRDefault="00361E6C">
      <w:pPr>
        <w:pStyle w:val="BodyText"/>
        <w:spacing w:before="115"/>
        <w:ind w:left="120" w:right="353"/>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 approved.</w:t>
      </w:r>
    </w:p>
    <w:p w:rsidR="00DE6DB9" w:rsidRDefault="00DE6DB9">
      <w:pPr>
        <w:pStyle w:val="BodyText"/>
        <w:spacing w:before="3"/>
        <w:rPr>
          <w:sz w:val="23"/>
        </w:rPr>
      </w:pPr>
    </w:p>
    <w:p w:rsidR="00DE6DB9" w:rsidRDefault="00361E6C">
      <w:pPr>
        <w:ind w:left="120"/>
        <w:rPr>
          <w:sz w:val="20"/>
        </w:rPr>
      </w:pPr>
      <w:r>
        <w:rPr>
          <w:sz w:val="20"/>
        </w:rPr>
        <w:t>Gross Savings Installation Adjustment Rates</w:t>
      </w:r>
    </w:p>
    <w:p w:rsidR="00DE6DB9" w:rsidRDefault="00DE6DB9">
      <w:pPr>
        <w:pStyle w:val="BodyText"/>
        <w:spacing w:before="3"/>
        <w:rPr>
          <w:sz w:val="6"/>
        </w:rPr>
      </w:pPr>
    </w:p>
    <w:tbl>
      <w:tblPr>
        <w:tblW w:w="0" w:type="auto"/>
        <w:tblInd w:w="23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318"/>
        <w:gridCol w:w="2181"/>
        <w:gridCol w:w="4859"/>
      </w:tblGrid>
      <w:tr w:rsidR="00DE6DB9">
        <w:trPr>
          <w:trHeight w:val="309"/>
        </w:trPr>
        <w:tc>
          <w:tcPr>
            <w:tcW w:w="2318" w:type="dxa"/>
            <w:shd w:val="clear" w:color="auto" w:fill="F1F1F1"/>
          </w:tcPr>
          <w:p w:rsidR="00DE6DB9" w:rsidRDefault="00361E6C">
            <w:pPr>
              <w:pStyle w:val="TableParagraph"/>
              <w:spacing w:before="47" w:line="242" w:lineRule="exact"/>
              <w:ind w:left="107"/>
              <w:rPr>
                <w:sz w:val="20"/>
              </w:rPr>
            </w:pPr>
            <w:r>
              <w:rPr>
                <w:sz w:val="20"/>
              </w:rPr>
              <w:t>Parameter</w:t>
            </w:r>
          </w:p>
        </w:tc>
        <w:tc>
          <w:tcPr>
            <w:tcW w:w="2181" w:type="dxa"/>
            <w:shd w:val="clear" w:color="auto" w:fill="F1F1F1"/>
          </w:tcPr>
          <w:p w:rsidR="00DE6DB9" w:rsidRDefault="00361E6C">
            <w:pPr>
              <w:pStyle w:val="TableParagraph"/>
              <w:spacing w:before="20"/>
              <w:ind w:left="821" w:right="812"/>
              <w:jc w:val="center"/>
            </w:pPr>
            <w:r>
              <w:t>Value</w:t>
            </w:r>
          </w:p>
        </w:tc>
        <w:tc>
          <w:tcPr>
            <w:tcW w:w="4859" w:type="dxa"/>
            <w:shd w:val="clear" w:color="auto" w:fill="F1F1F1"/>
          </w:tcPr>
          <w:p w:rsidR="00DE6DB9" w:rsidRDefault="00361E6C">
            <w:pPr>
              <w:pStyle w:val="TableParagraph"/>
              <w:spacing w:before="47" w:line="242" w:lineRule="exact"/>
              <w:ind w:left="2134" w:right="2122"/>
              <w:jc w:val="center"/>
              <w:rPr>
                <w:sz w:val="20"/>
              </w:rPr>
            </w:pPr>
            <w:r>
              <w:rPr>
                <w:sz w:val="20"/>
              </w:rPr>
              <w:t>Source</w:t>
            </w:r>
          </w:p>
        </w:tc>
      </w:tr>
      <w:tr w:rsidR="00DE6DB9">
        <w:trPr>
          <w:trHeight w:val="479"/>
        </w:trPr>
        <w:tc>
          <w:tcPr>
            <w:tcW w:w="2318" w:type="dxa"/>
          </w:tcPr>
          <w:p w:rsidR="00DE6DB9" w:rsidRDefault="00361E6C">
            <w:pPr>
              <w:pStyle w:val="TableParagraph"/>
              <w:spacing w:before="119"/>
              <w:ind w:left="107"/>
              <w:rPr>
                <w:sz w:val="20"/>
              </w:rPr>
            </w:pPr>
            <w:r>
              <w:rPr>
                <w:sz w:val="20"/>
              </w:rPr>
              <w:t>GSIA</w:t>
            </w:r>
          </w:p>
        </w:tc>
        <w:tc>
          <w:tcPr>
            <w:tcW w:w="2181" w:type="dxa"/>
          </w:tcPr>
          <w:p w:rsidR="00DE6DB9" w:rsidRDefault="00361E6C">
            <w:pPr>
              <w:pStyle w:val="TableParagraph"/>
              <w:spacing w:before="119"/>
              <w:ind w:left="815" w:right="812"/>
              <w:jc w:val="center"/>
              <w:rPr>
                <w:sz w:val="20"/>
              </w:rPr>
            </w:pPr>
            <w:r>
              <w:rPr>
                <w:sz w:val="20"/>
              </w:rPr>
              <w:t>1.0</w:t>
            </w:r>
          </w:p>
        </w:tc>
        <w:tc>
          <w:tcPr>
            <w:tcW w:w="4859" w:type="dxa"/>
          </w:tcPr>
          <w:p w:rsidR="00DE6DB9" w:rsidRDefault="00361E6C">
            <w:pPr>
              <w:pStyle w:val="TableParagraph"/>
              <w:spacing w:before="20" w:line="220" w:lineRule="atLeast"/>
              <w:ind w:left="108" w:right="268"/>
              <w:rPr>
                <w:sz w:val="18"/>
              </w:rPr>
            </w:pPr>
            <w:r>
              <w:rPr>
                <w:sz w:val="18"/>
              </w:rPr>
              <w:t xml:space="preserve">California Public Utilities Commission (CPUC), Energy Division. 2013. </w:t>
            </w:r>
            <w:r>
              <w:rPr>
                <w:i/>
                <w:sz w:val="18"/>
              </w:rPr>
              <w:t>Energy Efficiency Policy Manual Version 5</w:t>
            </w:r>
            <w:r>
              <w:rPr>
                <w:sz w:val="18"/>
              </w:rPr>
              <w:t>. Page 31.</w:t>
            </w:r>
          </w:p>
        </w:tc>
      </w:tr>
    </w:tbl>
    <w:p w:rsidR="00DE6DB9" w:rsidRDefault="00DE6DB9">
      <w:pPr>
        <w:pStyle w:val="BodyText"/>
        <w:rPr>
          <w:sz w:val="20"/>
        </w:rPr>
      </w:pPr>
    </w:p>
    <w:p w:rsidR="00DE6DB9" w:rsidRDefault="00DE6DB9">
      <w:pPr>
        <w:pStyle w:val="BodyText"/>
        <w:spacing w:before="7"/>
      </w:pPr>
    </w:p>
    <w:p w:rsidR="00DE6DB9" w:rsidRDefault="00361E6C">
      <w:pPr>
        <w:pStyle w:val="Heading1"/>
      </w:pPr>
      <w:bookmarkStart w:id="50" w:name="_TOC_250002"/>
      <w:bookmarkEnd w:id="50"/>
      <w:r>
        <w:rPr>
          <w:color w:val="CFAB79"/>
        </w:rPr>
        <w:t>NON-ENERGY IMPACTS</w:t>
      </w:r>
    </w:p>
    <w:p w:rsidR="00DE6DB9" w:rsidRDefault="00361E6C">
      <w:pPr>
        <w:pStyle w:val="BodyText"/>
        <w:spacing w:before="115"/>
        <w:ind w:left="120"/>
      </w:pPr>
      <w:r>
        <w:t>Non-energy impacts for this measure have not been quantified.</w:t>
      </w:r>
    </w:p>
    <w:p w:rsidR="00DE6DB9" w:rsidRDefault="00DE6DB9">
      <w:pPr>
        <w:pStyle w:val="BodyText"/>
      </w:pPr>
    </w:p>
    <w:p w:rsidR="00DE6DB9" w:rsidRDefault="00DE6DB9">
      <w:pPr>
        <w:pStyle w:val="BodyText"/>
        <w:spacing w:before="9"/>
        <w:rPr>
          <w:sz w:val="20"/>
        </w:rPr>
      </w:pPr>
    </w:p>
    <w:p w:rsidR="00DE6DB9" w:rsidRDefault="00361E6C">
      <w:pPr>
        <w:pStyle w:val="Heading1"/>
      </w:pPr>
      <w:bookmarkStart w:id="51" w:name="_TOC_250001"/>
      <w:bookmarkEnd w:id="51"/>
      <w:r>
        <w:rPr>
          <w:color w:val="CFAB79"/>
        </w:rPr>
        <w:t>DEER DIFFERENCES ANALYSIS</w:t>
      </w:r>
    </w:p>
    <w:p w:rsidR="00DE6DB9" w:rsidRDefault="00361E6C">
      <w:pPr>
        <w:pStyle w:val="BodyText"/>
        <w:spacing w:before="115"/>
        <w:ind w:left="119" w:right="356"/>
      </w:pPr>
      <w:r>
        <w:t>This section provides a summary of DEER-based inputs and methods, and the rationale for inputs and methods that are not DEER-based. The data cited by DEER is not applicable to this measure because this measure does not employ the same technology or use. Specifically, DEER Measure ID D03-206 is intended to represent retrofitting glass doors to medium-temperature, open-vertical refrigerated display cases. It differs from this measure with respect to the following:</w:t>
      </w:r>
    </w:p>
    <w:p w:rsidR="00DE6DB9" w:rsidRDefault="00361E6C">
      <w:pPr>
        <w:pStyle w:val="ListParagraph"/>
        <w:numPr>
          <w:ilvl w:val="0"/>
          <w:numId w:val="1"/>
        </w:numPr>
        <w:tabs>
          <w:tab w:val="left" w:pos="839"/>
          <w:tab w:val="left" w:pos="840"/>
        </w:tabs>
        <w:spacing w:before="119"/>
        <w:ind w:left="839" w:right="464" w:hanging="359"/>
      </w:pPr>
      <w:r>
        <w:t>The DEER measure (formerly DEER ID D03-206) assumed that additional lighting and anti-sweat heaters (ASH) would be installed as part of the retrofit. This measure specifically excludes adding ASH equipment</w:t>
      </w:r>
      <w:r>
        <w:rPr>
          <w:spacing w:val="-1"/>
        </w:rPr>
        <w:t xml:space="preserve"> </w:t>
      </w:r>
      <w:r>
        <w:t>load.</w:t>
      </w:r>
    </w:p>
    <w:p w:rsidR="00DE6DB9" w:rsidRDefault="00361E6C">
      <w:pPr>
        <w:pStyle w:val="ListParagraph"/>
        <w:numPr>
          <w:ilvl w:val="0"/>
          <w:numId w:val="1"/>
        </w:numPr>
        <w:tabs>
          <w:tab w:val="left" w:pos="839"/>
          <w:tab w:val="left" w:pos="840"/>
        </w:tabs>
        <w:ind w:left="839" w:right="394" w:hanging="359"/>
      </w:pPr>
      <w:r>
        <w:t>The DEER measure (formerly DEER ID D03-206) does not allow for night covers in the base case. Because night covers have gained in market acceptance since the DEER team modeled the refrigeration measures, and because significant savings potential still exists for cases with existing night covers, this measure has specific measure iterations to account for night covers in the base case.</w:t>
      </w:r>
    </w:p>
    <w:p w:rsidR="00DE6DB9" w:rsidRDefault="00361E6C">
      <w:pPr>
        <w:pStyle w:val="BodyText"/>
        <w:spacing w:before="121"/>
        <w:ind w:left="119" w:right="554"/>
      </w:pPr>
      <w:r>
        <w:t>Additional differences between the model used to develop this measure and the DEER model are noted below:</w:t>
      </w:r>
    </w:p>
    <w:p w:rsidR="00DE6DB9" w:rsidRDefault="00361E6C">
      <w:pPr>
        <w:pStyle w:val="ListParagraph"/>
        <w:numPr>
          <w:ilvl w:val="0"/>
          <w:numId w:val="1"/>
        </w:numPr>
        <w:tabs>
          <w:tab w:val="left" w:pos="839"/>
          <w:tab w:val="left" w:pos="840"/>
        </w:tabs>
        <w:spacing w:before="121"/>
        <w:ind w:left="839" w:right="560" w:hanging="359"/>
      </w:pPr>
      <w:r>
        <w:t>The DEER models have a reduced case evaporator coil capacity to match the smaller load found after the measure has been implemented. Evaporator coil adjustments are not part of the retrofits currently being offered on the market, so coil capacity was not changed in the models used to develop this work</w:t>
      </w:r>
      <w:r>
        <w:rPr>
          <w:spacing w:val="1"/>
        </w:rPr>
        <w:t xml:space="preserve"> </w:t>
      </w:r>
      <w:r>
        <w:t>paper.</w:t>
      </w:r>
    </w:p>
    <w:p w:rsidR="00DE6DB9" w:rsidRDefault="00361E6C">
      <w:pPr>
        <w:pStyle w:val="ListParagraph"/>
        <w:numPr>
          <w:ilvl w:val="0"/>
          <w:numId w:val="1"/>
        </w:numPr>
        <w:tabs>
          <w:tab w:val="left" w:pos="839"/>
          <w:tab w:val="left" w:pos="840"/>
        </w:tabs>
        <w:spacing w:before="20"/>
        <w:ind w:right="1132"/>
      </w:pPr>
      <w:r>
        <w:t>The DEER models represent a store with two multiplex refrigeration systems. The models developed in support of this work paper represent a mix of multiplex and</w:t>
      </w:r>
      <w:r>
        <w:rPr>
          <w:spacing w:val="-20"/>
        </w:rPr>
        <w:t xml:space="preserve"> </w:t>
      </w:r>
      <w:r>
        <w:t>stand-alone</w:t>
      </w:r>
    </w:p>
    <w:p w:rsidR="00DE6DB9" w:rsidRDefault="00DE6DB9">
      <w:pPr>
        <w:sectPr w:rsidR="00DE6DB9">
          <w:pgSz w:w="12240" w:h="15840"/>
          <w:pgMar w:top="1220" w:right="1080" w:bottom="1320" w:left="1320" w:header="858" w:footer="1129" w:gutter="0"/>
          <w:cols w:space="720"/>
        </w:sectPr>
      </w:pPr>
    </w:p>
    <w:p w:rsidR="00DE6DB9" w:rsidRDefault="00DE6DB9">
      <w:pPr>
        <w:pStyle w:val="BodyText"/>
        <w:spacing w:before="10"/>
        <w:rPr>
          <w:sz w:val="19"/>
        </w:rPr>
      </w:pPr>
    </w:p>
    <w:p w:rsidR="00DE6DB9" w:rsidRDefault="00361E6C">
      <w:pPr>
        <w:pStyle w:val="BodyText"/>
        <w:spacing w:before="56"/>
        <w:ind w:left="840" w:right="466"/>
      </w:pPr>
      <w:r>
        <w:t>compressors for the refrigeration system. The ratio of compressors for each system is based on market data collected during California EnergySmart Grocer program implementation (n=4,550).</w:t>
      </w:r>
    </w:p>
    <w:p w:rsidR="00DE6DB9" w:rsidRDefault="00361E6C">
      <w:pPr>
        <w:pStyle w:val="ListParagraph"/>
        <w:numPr>
          <w:ilvl w:val="0"/>
          <w:numId w:val="1"/>
        </w:numPr>
        <w:tabs>
          <w:tab w:val="left" w:pos="839"/>
          <w:tab w:val="left" w:pos="840"/>
        </w:tabs>
        <w:spacing w:before="20"/>
        <w:ind w:right="688"/>
      </w:pPr>
      <w:r>
        <w:t>The DEER models reduce the differential temperature from the supply to the return air in the display case from the base to the measure case. The models, used to develop this work paper, have a reduced approach temperature between evaporator coil and supply air in the measure case runs instead. This phenomenon occurs because of the coil being designed to meet a significantly larger load. The oversized coil supplies air to display case that is closer to the coil temperature than it did before the retrofit</w:t>
      </w:r>
      <w:r>
        <w:rPr>
          <w:spacing w:val="-9"/>
        </w:rPr>
        <w:t xml:space="preserve"> </w:t>
      </w:r>
      <w:r>
        <w:t>occurred.</w:t>
      </w:r>
    </w:p>
    <w:p w:rsidR="00DE6DB9" w:rsidRDefault="00361E6C">
      <w:pPr>
        <w:pStyle w:val="ListParagraph"/>
        <w:numPr>
          <w:ilvl w:val="0"/>
          <w:numId w:val="1"/>
        </w:numPr>
        <w:tabs>
          <w:tab w:val="left" w:pos="839"/>
          <w:tab w:val="left" w:pos="840"/>
        </w:tabs>
        <w:spacing w:before="21"/>
        <w:ind w:right="736"/>
      </w:pPr>
      <w:r>
        <w:t>This measure has two base cases. The first is equivalent to DEER base case. The second uses a reduced infiltration schedule for six hours at nighttime to model night covers in</w:t>
      </w:r>
      <w:r>
        <w:rPr>
          <w:spacing w:val="-21"/>
        </w:rPr>
        <w:t xml:space="preserve"> </w:t>
      </w:r>
      <w:r>
        <w:t>use.</w:t>
      </w:r>
    </w:p>
    <w:p w:rsidR="00DE6DB9" w:rsidRDefault="00361E6C">
      <w:pPr>
        <w:pStyle w:val="ListParagraph"/>
        <w:numPr>
          <w:ilvl w:val="0"/>
          <w:numId w:val="1"/>
        </w:numPr>
        <w:tabs>
          <w:tab w:val="left" w:pos="839"/>
          <w:tab w:val="left" w:pos="840"/>
        </w:tabs>
        <w:ind w:left="839" w:right="508" w:hanging="359"/>
      </w:pPr>
      <w:r>
        <w:t>The models used to develop this measure used test data by the Southern California Edison (SCE) Research and Thermal Test Center (RTTC) and an ASHRAE research project to inform the models for changes in display case infiltration, conduction and refrigeration load for open cases versus cases with</w:t>
      </w:r>
      <w:r>
        <w:rPr>
          <w:spacing w:val="-2"/>
        </w:rPr>
        <w:t xml:space="preserve"> </w:t>
      </w:r>
      <w:r>
        <w:t>doors.</w:t>
      </w:r>
    </w:p>
    <w:p w:rsidR="00DE6DB9" w:rsidRDefault="00361E6C">
      <w:pPr>
        <w:pStyle w:val="ListParagraph"/>
        <w:numPr>
          <w:ilvl w:val="0"/>
          <w:numId w:val="1"/>
        </w:numPr>
        <w:tabs>
          <w:tab w:val="left" w:pos="839"/>
          <w:tab w:val="left" w:pos="840"/>
        </w:tabs>
        <w:spacing w:before="21"/>
        <w:ind w:left="839" w:right="428" w:hanging="359"/>
      </w:pPr>
      <w:r>
        <w:t>The DEER models increased the lighting W/ft and added ASH to the retrofit doors. The terms and conditions of this measure do not allow ASH to be used and requires that total lighting power remains the same or decreases. The models used for this measure maintain a consistent auxiliary load between the base case and measure</w:t>
      </w:r>
      <w:r>
        <w:rPr>
          <w:spacing w:val="-4"/>
        </w:rPr>
        <w:t xml:space="preserve"> </w:t>
      </w:r>
      <w:r>
        <w:t>runs.</w:t>
      </w:r>
    </w:p>
    <w:p w:rsidR="00DE6DB9" w:rsidRDefault="00DE6DB9">
      <w:pPr>
        <w:pStyle w:val="BodyText"/>
      </w:pPr>
    </w:p>
    <w:p w:rsidR="00DE6DB9" w:rsidRDefault="00DE6DB9">
      <w:pPr>
        <w:pStyle w:val="BodyText"/>
      </w:pPr>
    </w:p>
    <w:p w:rsidR="00DE6DB9" w:rsidRDefault="00361E6C">
      <w:pPr>
        <w:spacing w:before="135"/>
        <w:ind w:left="120"/>
        <w:rPr>
          <w:sz w:val="20"/>
        </w:rPr>
      </w:pPr>
      <w:r>
        <w:rPr>
          <w:sz w:val="20"/>
        </w:rPr>
        <w:t>DEER Difference Summary</w:t>
      </w:r>
    </w:p>
    <w:p w:rsidR="00DE6DB9" w:rsidRDefault="00DE6DB9">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34"/>
        <w:gridCol w:w="6516"/>
      </w:tblGrid>
      <w:tr w:rsidR="00DE6DB9">
        <w:trPr>
          <w:trHeight w:val="285"/>
        </w:trPr>
        <w:tc>
          <w:tcPr>
            <w:tcW w:w="2834" w:type="dxa"/>
            <w:shd w:val="clear" w:color="auto" w:fill="F1F1F1"/>
          </w:tcPr>
          <w:p w:rsidR="00DE6DB9" w:rsidRDefault="00361E6C">
            <w:pPr>
              <w:pStyle w:val="TableParagraph"/>
              <w:spacing w:before="23" w:line="242" w:lineRule="exact"/>
              <w:ind w:left="115"/>
              <w:rPr>
                <w:sz w:val="20"/>
              </w:rPr>
            </w:pPr>
            <w:r>
              <w:rPr>
                <w:sz w:val="20"/>
              </w:rPr>
              <w:t>DEER Item</w:t>
            </w:r>
          </w:p>
        </w:tc>
        <w:tc>
          <w:tcPr>
            <w:tcW w:w="6516" w:type="dxa"/>
            <w:shd w:val="clear" w:color="auto" w:fill="F1F1F1"/>
          </w:tcPr>
          <w:p w:rsidR="00DE6DB9" w:rsidRDefault="00361E6C">
            <w:pPr>
              <w:pStyle w:val="TableParagraph"/>
              <w:spacing w:before="23" w:line="242" w:lineRule="exact"/>
              <w:ind w:left="113"/>
              <w:rPr>
                <w:sz w:val="20"/>
              </w:rPr>
            </w:pPr>
            <w:r>
              <w:rPr>
                <w:sz w:val="20"/>
              </w:rPr>
              <w:t>Comment / Used for Workpaper</w:t>
            </w:r>
          </w:p>
        </w:tc>
      </w:tr>
      <w:tr w:rsidR="00DE6DB9">
        <w:trPr>
          <w:trHeight w:val="285"/>
        </w:trPr>
        <w:tc>
          <w:tcPr>
            <w:tcW w:w="2834" w:type="dxa"/>
          </w:tcPr>
          <w:p w:rsidR="00DE6DB9" w:rsidRDefault="00361E6C">
            <w:pPr>
              <w:pStyle w:val="TableParagraph"/>
              <w:spacing w:before="20"/>
              <w:ind w:left="115"/>
              <w:rPr>
                <w:sz w:val="20"/>
              </w:rPr>
            </w:pPr>
            <w:r>
              <w:rPr>
                <w:sz w:val="20"/>
              </w:rPr>
              <w:t>Modified DEER methodology</w:t>
            </w:r>
          </w:p>
        </w:tc>
        <w:tc>
          <w:tcPr>
            <w:tcW w:w="6516" w:type="dxa"/>
          </w:tcPr>
          <w:p w:rsidR="00DE6DB9" w:rsidRDefault="00361E6C">
            <w:pPr>
              <w:pStyle w:val="TableParagraph"/>
              <w:spacing w:before="20"/>
              <w:ind w:left="112"/>
              <w:rPr>
                <w:sz w:val="20"/>
              </w:rPr>
            </w:pPr>
            <w:r>
              <w:rPr>
                <w:sz w:val="20"/>
              </w:rPr>
              <w:t>No</w:t>
            </w:r>
          </w:p>
        </w:tc>
      </w:tr>
      <w:tr w:rsidR="00DE6DB9">
        <w:trPr>
          <w:trHeight w:val="282"/>
        </w:trPr>
        <w:tc>
          <w:tcPr>
            <w:tcW w:w="2834" w:type="dxa"/>
          </w:tcPr>
          <w:p w:rsidR="00DE6DB9" w:rsidRDefault="00361E6C">
            <w:pPr>
              <w:pStyle w:val="TableParagraph"/>
              <w:spacing w:before="20" w:line="242" w:lineRule="exact"/>
              <w:ind w:left="115"/>
              <w:rPr>
                <w:sz w:val="20"/>
              </w:rPr>
            </w:pPr>
            <w:r>
              <w:rPr>
                <w:sz w:val="20"/>
              </w:rPr>
              <w:t>Scaled DEER measure</w:t>
            </w:r>
          </w:p>
        </w:tc>
        <w:tc>
          <w:tcPr>
            <w:tcW w:w="6516" w:type="dxa"/>
          </w:tcPr>
          <w:p w:rsidR="00DE6DB9" w:rsidRDefault="00361E6C">
            <w:pPr>
              <w:pStyle w:val="TableParagraph"/>
              <w:spacing w:before="20" w:line="242" w:lineRule="exact"/>
              <w:ind w:left="113"/>
              <w:rPr>
                <w:sz w:val="20"/>
              </w:rPr>
            </w:pPr>
            <w:r>
              <w:rPr>
                <w:sz w:val="20"/>
              </w:rPr>
              <w:t>No</w:t>
            </w:r>
          </w:p>
        </w:tc>
      </w:tr>
      <w:tr w:rsidR="00DE6DB9">
        <w:trPr>
          <w:trHeight w:val="285"/>
        </w:trPr>
        <w:tc>
          <w:tcPr>
            <w:tcW w:w="2834" w:type="dxa"/>
          </w:tcPr>
          <w:p w:rsidR="00DE6DB9" w:rsidRDefault="00361E6C">
            <w:pPr>
              <w:pStyle w:val="TableParagraph"/>
              <w:spacing w:before="20"/>
              <w:ind w:left="115"/>
              <w:rPr>
                <w:sz w:val="20"/>
              </w:rPr>
            </w:pPr>
            <w:r>
              <w:rPr>
                <w:sz w:val="20"/>
              </w:rPr>
              <w:t>DEER Base Case</w:t>
            </w:r>
          </w:p>
        </w:tc>
        <w:tc>
          <w:tcPr>
            <w:tcW w:w="6516" w:type="dxa"/>
          </w:tcPr>
          <w:p w:rsidR="00DE6DB9" w:rsidRDefault="00361E6C">
            <w:pPr>
              <w:pStyle w:val="TableParagraph"/>
              <w:spacing w:before="20"/>
              <w:ind w:left="112"/>
              <w:rPr>
                <w:sz w:val="20"/>
              </w:rPr>
            </w:pPr>
            <w:r>
              <w:rPr>
                <w:sz w:val="20"/>
              </w:rPr>
              <w:t>Yes</w:t>
            </w:r>
          </w:p>
        </w:tc>
      </w:tr>
      <w:tr w:rsidR="00DE6DB9">
        <w:trPr>
          <w:trHeight w:val="282"/>
        </w:trPr>
        <w:tc>
          <w:tcPr>
            <w:tcW w:w="2834" w:type="dxa"/>
          </w:tcPr>
          <w:p w:rsidR="00DE6DB9" w:rsidRDefault="00361E6C">
            <w:pPr>
              <w:pStyle w:val="TableParagraph"/>
              <w:spacing w:before="20" w:line="242" w:lineRule="exact"/>
              <w:ind w:left="115"/>
              <w:rPr>
                <w:sz w:val="20"/>
              </w:rPr>
            </w:pPr>
            <w:r>
              <w:rPr>
                <w:sz w:val="20"/>
              </w:rPr>
              <w:t>DEER Measure Case</w:t>
            </w:r>
          </w:p>
        </w:tc>
        <w:tc>
          <w:tcPr>
            <w:tcW w:w="6516" w:type="dxa"/>
          </w:tcPr>
          <w:p w:rsidR="00DE6DB9" w:rsidRDefault="00361E6C">
            <w:pPr>
              <w:pStyle w:val="TableParagraph"/>
              <w:spacing w:before="20" w:line="242" w:lineRule="exact"/>
              <w:ind w:left="113"/>
              <w:rPr>
                <w:sz w:val="20"/>
              </w:rPr>
            </w:pPr>
            <w:r>
              <w:rPr>
                <w:sz w:val="20"/>
              </w:rPr>
              <w:t>Yes</w:t>
            </w:r>
          </w:p>
        </w:tc>
      </w:tr>
      <w:tr w:rsidR="00DE6DB9">
        <w:trPr>
          <w:trHeight w:val="285"/>
        </w:trPr>
        <w:tc>
          <w:tcPr>
            <w:tcW w:w="2834" w:type="dxa"/>
          </w:tcPr>
          <w:p w:rsidR="00DE6DB9" w:rsidRDefault="00361E6C">
            <w:pPr>
              <w:pStyle w:val="TableParagraph"/>
              <w:spacing w:before="20"/>
              <w:ind w:left="115"/>
              <w:rPr>
                <w:sz w:val="20"/>
              </w:rPr>
            </w:pPr>
            <w:r>
              <w:rPr>
                <w:sz w:val="20"/>
              </w:rPr>
              <w:t>DEER Building Types</w:t>
            </w:r>
          </w:p>
        </w:tc>
        <w:tc>
          <w:tcPr>
            <w:tcW w:w="6516" w:type="dxa"/>
          </w:tcPr>
          <w:p w:rsidR="00DE6DB9" w:rsidRDefault="00361E6C">
            <w:pPr>
              <w:pStyle w:val="TableParagraph"/>
              <w:spacing w:before="20"/>
              <w:ind w:left="112"/>
              <w:rPr>
                <w:sz w:val="20"/>
              </w:rPr>
            </w:pPr>
            <w:r>
              <w:rPr>
                <w:sz w:val="20"/>
              </w:rPr>
              <w:t>Grocery</w:t>
            </w:r>
          </w:p>
        </w:tc>
      </w:tr>
      <w:tr w:rsidR="00DE6DB9">
        <w:trPr>
          <w:trHeight w:val="282"/>
        </w:trPr>
        <w:tc>
          <w:tcPr>
            <w:tcW w:w="2834" w:type="dxa"/>
          </w:tcPr>
          <w:p w:rsidR="00DE6DB9" w:rsidRDefault="00361E6C">
            <w:pPr>
              <w:pStyle w:val="TableParagraph"/>
              <w:spacing w:before="20" w:line="242" w:lineRule="exact"/>
              <w:ind w:left="115"/>
              <w:rPr>
                <w:sz w:val="20"/>
              </w:rPr>
            </w:pPr>
            <w:r>
              <w:rPr>
                <w:sz w:val="20"/>
              </w:rPr>
              <w:t>DEER Operating Hours</w:t>
            </w:r>
          </w:p>
        </w:tc>
        <w:tc>
          <w:tcPr>
            <w:tcW w:w="6516" w:type="dxa"/>
          </w:tcPr>
          <w:p w:rsidR="00DE6DB9" w:rsidRDefault="00361E6C">
            <w:pPr>
              <w:pStyle w:val="TableParagraph"/>
              <w:spacing w:before="20" w:line="242" w:lineRule="exact"/>
              <w:ind w:left="113"/>
              <w:rPr>
                <w:sz w:val="20"/>
              </w:rPr>
            </w:pPr>
            <w:r>
              <w:rPr>
                <w:sz w:val="20"/>
              </w:rPr>
              <w:t>Grocery</w:t>
            </w:r>
          </w:p>
        </w:tc>
      </w:tr>
      <w:tr w:rsidR="00DE6DB9">
        <w:trPr>
          <w:trHeight w:val="285"/>
        </w:trPr>
        <w:tc>
          <w:tcPr>
            <w:tcW w:w="2834" w:type="dxa"/>
          </w:tcPr>
          <w:p w:rsidR="00DE6DB9" w:rsidRDefault="00361E6C">
            <w:pPr>
              <w:pStyle w:val="TableParagraph"/>
              <w:spacing w:before="23" w:line="242" w:lineRule="exact"/>
              <w:ind w:left="115"/>
              <w:rPr>
                <w:sz w:val="20"/>
              </w:rPr>
            </w:pPr>
            <w:r>
              <w:rPr>
                <w:sz w:val="20"/>
              </w:rPr>
              <w:t>DEER eQUEST Prototypes</w:t>
            </w:r>
          </w:p>
        </w:tc>
        <w:tc>
          <w:tcPr>
            <w:tcW w:w="6516" w:type="dxa"/>
          </w:tcPr>
          <w:p w:rsidR="00DE6DB9" w:rsidRDefault="00361E6C">
            <w:pPr>
              <w:pStyle w:val="TableParagraph"/>
              <w:spacing w:before="23" w:line="242" w:lineRule="exact"/>
              <w:ind w:left="113"/>
              <w:rPr>
                <w:sz w:val="20"/>
              </w:rPr>
            </w:pPr>
            <w:r>
              <w:rPr>
                <w:sz w:val="20"/>
              </w:rPr>
              <w:t>Grocery Prototype</w:t>
            </w:r>
          </w:p>
        </w:tc>
      </w:tr>
      <w:tr w:rsidR="00DE6DB9">
        <w:trPr>
          <w:trHeight w:val="282"/>
        </w:trPr>
        <w:tc>
          <w:tcPr>
            <w:tcW w:w="2834" w:type="dxa"/>
          </w:tcPr>
          <w:p w:rsidR="00DE6DB9" w:rsidRDefault="00361E6C">
            <w:pPr>
              <w:pStyle w:val="TableParagraph"/>
              <w:spacing w:before="20" w:line="242" w:lineRule="exact"/>
              <w:ind w:left="115"/>
              <w:rPr>
                <w:sz w:val="20"/>
              </w:rPr>
            </w:pPr>
            <w:r>
              <w:rPr>
                <w:sz w:val="20"/>
              </w:rPr>
              <w:t>DEER Version</w:t>
            </w:r>
          </w:p>
        </w:tc>
        <w:tc>
          <w:tcPr>
            <w:tcW w:w="6516" w:type="dxa"/>
          </w:tcPr>
          <w:p w:rsidR="00DE6DB9" w:rsidRDefault="00361E6C">
            <w:pPr>
              <w:pStyle w:val="TableParagraph"/>
              <w:spacing w:before="20" w:line="242" w:lineRule="exact"/>
              <w:ind w:left="113"/>
              <w:rPr>
                <w:sz w:val="20"/>
              </w:rPr>
            </w:pPr>
            <w:r>
              <w:rPr>
                <w:sz w:val="20"/>
              </w:rPr>
              <w:t>DEER2020</w:t>
            </w:r>
          </w:p>
        </w:tc>
      </w:tr>
      <w:tr w:rsidR="00DE6DB9">
        <w:trPr>
          <w:trHeight w:val="285"/>
        </w:trPr>
        <w:tc>
          <w:tcPr>
            <w:tcW w:w="2834" w:type="dxa"/>
          </w:tcPr>
          <w:p w:rsidR="00DE6DB9" w:rsidRDefault="00361E6C">
            <w:pPr>
              <w:pStyle w:val="TableParagraph"/>
              <w:spacing w:before="23" w:line="242" w:lineRule="exact"/>
              <w:ind w:left="115"/>
              <w:rPr>
                <w:sz w:val="20"/>
              </w:rPr>
            </w:pPr>
            <w:r>
              <w:rPr>
                <w:sz w:val="20"/>
              </w:rPr>
              <w:t>Reason for Deviation from DEER</w:t>
            </w:r>
          </w:p>
        </w:tc>
        <w:tc>
          <w:tcPr>
            <w:tcW w:w="6516" w:type="dxa"/>
          </w:tcPr>
          <w:p w:rsidR="00DE6DB9" w:rsidRDefault="00361E6C">
            <w:pPr>
              <w:pStyle w:val="TableParagraph"/>
              <w:spacing w:before="23" w:line="242" w:lineRule="exact"/>
              <w:ind w:left="113"/>
              <w:rPr>
                <w:sz w:val="20"/>
              </w:rPr>
            </w:pPr>
            <w:r>
              <w:rPr>
                <w:sz w:val="20"/>
              </w:rPr>
              <w:t>n/a</w:t>
            </w:r>
          </w:p>
        </w:tc>
      </w:tr>
      <w:tr w:rsidR="00DE6DB9">
        <w:trPr>
          <w:trHeight w:val="285"/>
        </w:trPr>
        <w:tc>
          <w:tcPr>
            <w:tcW w:w="2834" w:type="dxa"/>
          </w:tcPr>
          <w:p w:rsidR="00DE6DB9" w:rsidRDefault="00361E6C">
            <w:pPr>
              <w:pStyle w:val="TableParagraph"/>
              <w:spacing w:before="20"/>
              <w:ind w:left="115"/>
              <w:rPr>
                <w:sz w:val="20"/>
              </w:rPr>
            </w:pPr>
            <w:r>
              <w:rPr>
                <w:sz w:val="20"/>
              </w:rPr>
              <w:t>DEER Measure IDs Used</w:t>
            </w:r>
          </w:p>
        </w:tc>
        <w:tc>
          <w:tcPr>
            <w:tcW w:w="6516" w:type="dxa"/>
          </w:tcPr>
          <w:p w:rsidR="00DE6DB9" w:rsidRDefault="00361E6C">
            <w:pPr>
              <w:pStyle w:val="TableParagraph"/>
              <w:spacing w:before="20"/>
              <w:ind w:left="113"/>
              <w:rPr>
                <w:sz w:val="20"/>
              </w:rPr>
            </w:pPr>
            <w:r>
              <w:rPr>
                <w:sz w:val="20"/>
              </w:rPr>
              <w:t>D03-206</w:t>
            </w:r>
          </w:p>
        </w:tc>
      </w:tr>
      <w:tr w:rsidR="00DE6DB9">
        <w:trPr>
          <w:trHeight w:val="527"/>
        </w:trPr>
        <w:tc>
          <w:tcPr>
            <w:tcW w:w="2834" w:type="dxa"/>
          </w:tcPr>
          <w:p w:rsidR="00DE6DB9" w:rsidRDefault="00361E6C">
            <w:pPr>
              <w:pStyle w:val="TableParagraph"/>
              <w:spacing w:before="20"/>
              <w:ind w:left="115"/>
              <w:rPr>
                <w:sz w:val="20"/>
              </w:rPr>
            </w:pPr>
            <w:r>
              <w:rPr>
                <w:sz w:val="20"/>
              </w:rPr>
              <w:t>NTG</w:t>
            </w:r>
          </w:p>
        </w:tc>
        <w:tc>
          <w:tcPr>
            <w:tcW w:w="6516" w:type="dxa"/>
          </w:tcPr>
          <w:p w:rsidR="00DE6DB9" w:rsidRDefault="00361E6C">
            <w:pPr>
              <w:pStyle w:val="TableParagraph"/>
              <w:spacing w:before="20" w:line="240" w:lineRule="atLeast"/>
              <w:ind w:left="113"/>
              <w:rPr>
                <w:i/>
                <w:sz w:val="20"/>
              </w:rPr>
            </w:pPr>
            <w:r>
              <w:rPr>
                <w:sz w:val="20"/>
              </w:rPr>
              <w:t>Source: DEER2016. The value of 0.60 is associated with NTG ID</w:t>
            </w:r>
            <w:r>
              <w:rPr>
                <w:i/>
                <w:sz w:val="20"/>
              </w:rPr>
              <w:t xml:space="preserve">: Com- Default&gt;2yrs </w:t>
            </w:r>
          </w:p>
        </w:tc>
      </w:tr>
      <w:tr w:rsidR="00DE6DB9">
        <w:trPr>
          <w:trHeight w:val="282"/>
        </w:trPr>
        <w:tc>
          <w:tcPr>
            <w:tcW w:w="2834" w:type="dxa"/>
          </w:tcPr>
          <w:p w:rsidR="00DE6DB9" w:rsidRDefault="00361E6C">
            <w:pPr>
              <w:pStyle w:val="TableParagraph"/>
              <w:spacing w:before="20" w:line="242" w:lineRule="exact"/>
              <w:ind w:left="115"/>
              <w:rPr>
                <w:sz w:val="20"/>
              </w:rPr>
            </w:pPr>
            <w:r>
              <w:rPr>
                <w:sz w:val="20"/>
              </w:rPr>
              <w:t>GSIA</w:t>
            </w:r>
          </w:p>
        </w:tc>
        <w:tc>
          <w:tcPr>
            <w:tcW w:w="6516" w:type="dxa"/>
          </w:tcPr>
          <w:p w:rsidR="00DE6DB9" w:rsidRDefault="00361E6C">
            <w:pPr>
              <w:pStyle w:val="TableParagraph"/>
              <w:spacing w:before="20" w:line="242" w:lineRule="exact"/>
              <w:ind w:left="113"/>
              <w:rPr>
                <w:i/>
                <w:sz w:val="20"/>
              </w:rPr>
            </w:pPr>
            <w:r>
              <w:rPr>
                <w:sz w:val="20"/>
              </w:rPr>
              <w:t>Source: DEER READI. The value of 1.0 is associated with GSIA ID</w:t>
            </w:r>
            <w:r>
              <w:rPr>
                <w:i/>
                <w:sz w:val="20"/>
              </w:rPr>
              <w:t>: Def-GSIA</w:t>
            </w:r>
          </w:p>
        </w:tc>
      </w:tr>
      <w:tr w:rsidR="00DE6DB9">
        <w:trPr>
          <w:trHeight w:val="774"/>
        </w:trPr>
        <w:tc>
          <w:tcPr>
            <w:tcW w:w="2834" w:type="dxa"/>
          </w:tcPr>
          <w:p w:rsidR="00DE6DB9" w:rsidRDefault="00361E6C">
            <w:pPr>
              <w:pStyle w:val="TableParagraph"/>
              <w:spacing w:before="23"/>
              <w:ind w:left="115"/>
              <w:rPr>
                <w:sz w:val="20"/>
              </w:rPr>
            </w:pPr>
            <w:r>
              <w:rPr>
                <w:sz w:val="20"/>
              </w:rPr>
              <w:t>EUL/RUL</w:t>
            </w:r>
          </w:p>
        </w:tc>
        <w:tc>
          <w:tcPr>
            <w:tcW w:w="6516" w:type="dxa"/>
          </w:tcPr>
          <w:p w:rsidR="00DE6DB9" w:rsidRDefault="00361E6C">
            <w:pPr>
              <w:pStyle w:val="TableParagraph"/>
              <w:spacing w:before="23"/>
              <w:ind w:left="113" w:right="28" w:hanging="1"/>
              <w:rPr>
                <w:i/>
                <w:sz w:val="20"/>
              </w:rPr>
            </w:pPr>
            <w:r>
              <w:rPr>
                <w:sz w:val="20"/>
              </w:rPr>
              <w:t xml:space="preserve">Source: DEER2016. The EUL of 12 years is associated with EUL ID: </w:t>
            </w:r>
            <w:r>
              <w:rPr>
                <w:i/>
                <w:sz w:val="20"/>
              </w:rPr>
              <w:t>GrocDisp- FixtDoors</w:t>
            </w:r>
            <w:r>
              <w:rPr>
                <w:sz w:val="20"/>
              </w:rPr>
              <w:t xml:space="preserve">. The EUL of 15 years for the modified system is RUL ID: </w:t>
            </w:r>
            <w:r>
              <w:rPr>
                <w:i/>
                <w:sz w:val="20"/>
              </w:rPr>
              <w:t>GrocSys- Cndsr</w:t>
            </w:r>
          </w:p>
        </w:tc>
      </w:tr>
    </w:tbl>
    <w:p w:rsidR="00DE6DB9" w:rsidRDefault="00DE6DB9">
      <w:pPr>
        <w:rPr>
          <w:sz w:val="20"/>
        </w:rPr>
        <w:sectPr w:rsidR="00DE6DB9">
          <w:pgSz w:w="12240" w:h="15840"/>
          <w:pgMar w:top="1220" w:right="1080" w:bottom="1320" w:left="1320" w:header="858" w:footer="1129" w:gutter="0"/>
          <w:cols w:space="720"/>
        </w:sectPr>
      </w:pPr>
    </w:p>
    <w:p w:rsidR="00DE6DB9" w:rsidRDefault="00DE6DB9">
      <w:pPr>
        <w:pStyle w:val="BodyText"/>
        <w:spacing w:before="2"/>
        <w:rPr>
          <w:sz w:val="21"/>
        </w:rPr>
      </w:pPr>
    </w:p>
    <w:p w:rsidR="00DE6DB9" w:rsidRDefault="00361E6C">
      <w:pPr>
        <w:pStyle w:val="Heading1"/>
        <w:spacing w:before="52"/>
      </w:pPr>
      <w:bookmarkStart w:id="52" w:name="_TOC_250000"/>
      <w:bookmarkEnd w:id="52"/>
      <w:r>
        <w:rPr>
          <w:color w:val="CFAB79"/>
        </w:rPr>
        <w:t>REVISION HISTORY</w:t>
      </w:r>
    </w:p>
    <w:p w:rsidR="00DE6DB9" w:rsidRDefault="00DE6DB9">
      <w:pPr>
        <w:pStyle w:val="BodyText"/>
        <w:spacing w:before="9"/>
      </w:pPr>
    </w:p>
    <w:p w:rsidR="00DE6DB9" w:rsidRDefault="00361E6C">
      <w:pPr>
        <w:ind w:left="120"/>
        <w:rPr>
          <w:sz w:val="20"/>
        </w:rPr>
      </w:pPr>
      <w:r>
        <w:rPr>
          <w:sz w:val="20"/>
        </w:rPr>
        <w:t>Measure Characterization Revision History</w:t>
      </w:r>
    </w:p>
    <w:p w:rsidR="00DE6DB9" w:rsidRDefault="00DE6DB9">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6"/>
        <w:gridCol w:w="1980"/>
        <w:gridCol w:w="4764"/>
      </w:tblGrid>
      <w:tr w:rsidR="00DE6DB9">
        <w:trPr>
          <w:trHeight w:val="527"/>
        </w:trPr>
        <w:tc>
          <w:tcPr>
            <w:tcW w:w="941" w:type="dxa"/>
            <w:shd w:val="clear" w:color="auto" w:fill="F1F1F1"/>
          </w:tcPr>
          <w:p w:rsidR="00DE6DB9" w:rsidRDefault="00361E6C">
            <w:pPr>
              <w:pStyle w:val="TableParagraph"/>
              <w:spacing w:before="20" w:line="240" w:lineRule="atLeast"/>
              <w:ind w:left="115"/>
              <w:rPr>
                <w:sz w:val="20"/>
              </w:rPr>
            </w:pPr>
            <w:r>
              <w:rPr>
                <w:w w:val="95"/>
                <w:sz w:val="20"/>
              </w:rPr>
              <w:t xml:space="preserve">Revision </w:t>
            </w:r>
            <w:r>
              <w:rPr>
                <w:sz w:val="20"/>
              </w:rPr>
              <w:t>Number</w:t>
            </w:r>
          </w:p>
        </w:tc>
        <w:tc>
          <w:tcPr>
            <w:tcW w:w="1666" w:type="dxa"/>
            <w:shd w:val="clear" w:color="auto" w:fill="F1F1F1"/>
          </w:tcPr>
          <w:p w:rsidR="00DE6DB9" w:rsidRDefault="00361E6C">
            <w:pPr>
              <w:pStyle w:val="TableParagraph"/>
              <w:spacing w:before="20" w:line="240" w:lineRule="atLeast"/>
              <w:ind w:left="114" w:right="113"/>
              <w:rPr>
                <w:sz w:val="20"/>
              </w:rPr>
            </w:pPr>
            <w:r>
              <w:rPr>
                <w:sz w:val="20"/>
              </w:rPr>
              <w:t>Revision Complete Date</w:t>
            </w:r>
          </w:p>
        </w:tc>
        <w:tc>
          <w:tcPr>
            <w:tcW w:w="1980" w:type="dxa"/>
            <w:shd w:val="clear" w:color="auto" w:fill="F1F1F1"/>
          </w:tcPr>
          <w:p w:rsidR="00DE6DB9" w:rsidRDefault="00361E6C">
            <w:pPr>
              <w:pStyle w:val="TableParagraph"/>
              <w:spacing w:before="20" w:line="240" w:lineRule="atLeast"/>
              <w:ind w:left="111"/>
              <w:rPr>
                <w:sz w:val="20"/>
              </w:rPr>
            </w:pPr>
            <w:r>
              <w:rPr>
                <w:sz w:val="20"/>
              </w:rPr>
              <w:t>Primary Author, Title, Organization</w:t>
            </w:r>
          </w:p>
        </w:tc>
        <w:tc>
          <w:tcPr>
            <w:tcW w:w="4764" w:type="dxa"/>
            <w:shd w:val="clear" w:color="auto" w:fill="F1F1F1"/>
          </w:tcPr>
          <w:p w:rsidR="00DE6DB9" w:rsidRDefault="00DE6DB9">
            <w:pPr>
              <w:pStyle w:val="TableParagraph"/>
              <w:spacing w:before="9"/>
              <w:rPr>
                <w:sz w:val="21"/>
              </w:rPr>
            </w:pPr>
          </w:p>
          <w:p w:rsidR="00DE6DB9" w:rsidRDefault="00361E6C">
            <w:pPr>
              <w:pStyle w:val="TableParagraph"/>
              <w:spacing w:line="242" w:lineRule="exact"/>
              <w:ind w:left="111"/>
              <w:rPr>
                <w:sz w:val="20"/>
              </w:rPr>
            </w:pPr>
            <w:r>
              <w:rPr>
                <w:sz w:val="20"/>
              </w:rPr>
              <w:t>Revision Summary and Rationale for Revision</w:t>
            </w:r>
          </w:p>
        </w:tc>
      </w:tr>
      <w:tr w:rsidR="00DE6DB9">
        <w:trPr>
          <w:trHeight w:val="549"/>
        </w:trPr>
        <w:tc>
          <w:tcPr>
            <w:tcW w:w="941" w:type="dxa"/>
            <w:tcBorders>
              <w:bottom w:val="nil"/>
            </w:tcBorders>
          </w:tcPr>
          <w:p w:rsidR="00DE6DB9" w:rsidRDefault="00361E6C">
            <w:pPr>
              <w:pStyle w:val="TableParagraph"/>
              <w:spacing w:before="23"/>
              <w:ind w:left="115"/>
              <w:rPr>
                <w:sz w:val="20"/>
              </w:rPr>
            </w:pPr>
            <w:r>
              <w:rPr>
                <w:sz w:val="20"/>
              </w:rPr>
              <w:t>01</w:t>
            </w:r>
          </w:p>
        </w:tc>
        <w:tc>
          <w:tcPr>
            <w:tcW w:w="1666" w:type="dxa"/>
            <w:tcBorders>
              <w:bottom w:val="nil"/>
            </w:tcBorders>
          </w:tcPr>
          <w:p w:rsidR="00DE6DB9" w:rsidRDefault="00361E6C">
            <w:pPr>
              <w:pStyle w:val="TableParagraph"/>
              <w:spacing w:before="23"/>
              <w:ind w:left="114"/>
              <w:rPr>
                <w:sz w:val="20"/>
              </w:rPr>
            </w:pPr>
            <w:r>
              <w:rPr>
                <w:sz w:val="20"/>
              </w:rPr>
              <w:t>03/31/2018</w:t>
            </w:r>
          </w:p>
        </w:tc>
        <w:tc>
          <w:tcPr>
            <w:tcW w:w="1980" w:type="dxa"/>
            <w:tcBorders>
              <w:bottom w:val="nil"/>
            </w:tcBorders>
          </w:tcPr>
          <w:p w:rsidR="00DE6DB9" w:rsidRDefault="00361E6C">
            <w:pPr>
              <w:pStyle w:val="TableParagraph"/>
              <w:spacing w:before="7" w:line="260" w:lineRule="atLeast"/>
              <w:ind w:left="111" w:right="546"/>
              <w:rPr>
                <w:sz w:val="20"/>
              </w:rPr>
            </w:pPr>
            <w:r>
              <w:rPr>
                <w:sz w:val="20"/>
              </w:rPr>
              <w:t>Jennifer Holmes Cal TF Staff</w:t>
            </w:r>
          </w:p>
        </w:tc>
        <w:tc>
          <w:tcPr>
            <w:tcW w:w="4764" w:type="dxa"/>
            <w:tcBorders>
              <w:bottom w:val="nil"/>
            </w:tcBorders>
          </w:tcPr>
          <w:p w:rsidR="00DE6DB9" w:rsidRDefault="00361E6C">
            <w:pPr>
              <w:pStyle w:val="TableParagraph"/>
              <w:spacing w:before="23"/>
              <w:ind w:left="111" w:right="209"/>
              <w:rPr>
                <w:sz w:val="20"/>
              </w:rPr>
            </w:pPr>
            <w:r>
              <w:rPr>
                <w:sz w:val="20"/>
              </w:rPr>
              <w:t>Draft of consolidated text for this statewide measure is based upon:</w:t>
            </w:r>
          </w:p>
        </w:tc>
      </w:tr>
      <w:tr w:rsidR="00DE6DB9">
        <w:trPr>
          <w:trHeight w:val="254"/>
        </w:trPr>
        <w:tc>
          <w:tcPr>
            <w:tcW w:w="941" w:type="dxa"/>
            <w:tcBorders>
              <w:top w:val="nil"/>
              <w:bottom w:val="nil"/>
            </w:tcBorders>
          </w:tcPr>
          <w:p w:rsidR="00DE6DB9" w:rsidRDefault="00DE6DB9">
            <w:pPr>
              <w:pStyle w:val="TableParagraph"/>
              <w:rPr>
                <w:rFonts w:ascii="Times New Roman"/>
                <w:sz w:val="18"/>
              </w:rPr>
            </w:pPr>
          </w:p>
        </w:tc>
        <w:tc>
          <w:tcPr>
            <w:tcW w:w="1666" w:type="dxa"/>
            <w:tcBorders>
              <w:top w:val="nil"/>
              <w:bottom w:val="nil"/>
            </w:tcBorders>
          </w:tcPr>
          <w:p w:rsidR="00DE6DB9" w:rsidRDefault="00DE6DB9">
            <w:pPr>
              <w:pStyle w:val="TableParagraph"/>
              <w:rPr>
                <w:rFonts w:ascii="Times New Roman"/>
                <w:sz w:val="18"/>
              </w:rPr>
            </w:pPr>
          </w:p>
        </w:tc>
        <w:tc>
          <w:tcPr>
            <w:tcW w:w="1980" w:type="dxa"/>
            <w:tcBorders>
              <w:top w:val="nil"/>
              <w:bottom w:val="nil"/>
            </w:tcBorders>
          </w:tcPr>
          <w:p w:rsidR="00DE6DB9" w:rsidRDefault="00DE6DB9">
            <w:pPr>
              <w:pStyle w:val="TableParagraph"/>
              <w:rPr>
                <w:rFonts w:ascii="Times New Roman"/>
                <w:sz w:val="18"/>
              </w:rPr>
            </w:pPr>
          </w:p>
        </w:tc>
        <w:tc>
          <w:tcPr>
            <w:tcW w:w="4764" w:type="dxa"/>
            <w:tcBorders>
              <w:top w:val="nil"/>
              <w:bottom w:val="nil"/>
            </w:tcBorders>
          </w:tcPr>
          <w:p w:rsidR="00DE6DB9" w:rsidRDefault="00361E6C">
            <w:pPr>
              <w:pStyle w:val="TableParagraph"/>
              <w:spacing w:line="226" w:lineRule="exact"/>
              <w:ind w:left="111"/>
              <w:rPr>
                <w:sz w:val="20"/>
              </w:rPr>
            </w:pPr>
            <w:r>
              <w:rPr>
                <w:sz w:val="20"/>
              </w:rPr>
              <w:t>PGE3PREF116 Revision 2 (January 1, 2016)</w:t>
            </w:r>
          </w:p>
        </w:tc>
      </w:tr>
      <w:tr w:rsidR="00DE6DB9">
        <w:trPr>
          <w:trHeight w:val="263"/>
        </w:trPr>
        <w:tc>
          <w:tcPr>
            <w:tcW w:w="941" w:type="dxa"/>
            <w:tcBorders>
              <w:top w:val="nil"/>
              <w:bottom w:val="nil"/>
            </w:tcBorders>
          </w:tcPr>
          <w:p w:rsidR="00DE6DB9" w:rsidRDefault="00DE6DB9">
            <w:pPr>
              <w:pStyle w:val="TableParagraph"/>
              <w:rPr>
                <w:rFonts w:ascii="Times New Roman"/>
                <w:sz w:val="18"/>
              </w:rPr>
            </w:pPr>
          </w:p>
        </w:tc>
        <w:tc>
          <w:tcPr>
            <w:tcW w:w="1666" w:type="dxa"/>
            <w:tcBorders>
              <w:top w:val="nil"/>
              <w:bottom w:val="nil"/>
            </w:tcBorders>
          </w:tcPr>
          <w:p w:rsidR="00DE6DB9" w:rsidRDefault="00DE6DB9">
            <w:pPr>
              <w:pStyle w:val="TableParagraph"/>
              <w:rPr>
                <w:rFonts w:ascii="Times New Roman"/>
                <w:sz w:val="18"/>
              </w:rPr>
            </w:pPr>
          </w:p>
        </w:tc>
        <w:tc>
          <w:tcPr>
            <w:tcW w:w="1980" w:type="dxa"/>
            <w:tcBorders>
              <w:top w:val="nil"/>
              <w:bottom w:val="nil"/>
            </w:tcBorders>
          </w:tcPr>
          <w:p w:rsidR="00DE6DB9" w:rsidRDefault="00DE6DB9">
            <w:pPr>
              <w:pStyle w:val="TableParagraph"/>
              <w:rPr>
                <w:rFonts w:ascii="Times New Roman"/>
                <w:sz w:val="18"/>
              </w:rPr>
            </w:pPr>
          </w:p>
        </w:tc>
        <w:tc>
          <w:tcPr>
            <w:tcW w:w="4764" w:type="dxa"/>
            <w:tcBorders>
              <w:top w:val="nil"/>
              <w:bottom w:val="nil"/>
            </w:tcBorders>
          </w:tcPr>
          <w:p w:rsidR="00DE6DB9" w:rsidRDefault="00361E6C">
            <w:pPr>
              <w:pStyle w:val="TableParagraph"/>
              <w:spacing w:line="235" w:lineRule="exact"/>
              <w:ind w:left="111"/>
              <w:rPr>
                <w:sz w:val="20"/>
              </w:rPr>
            </w:pPr>
            <w:r>
              <w:rPr>
                <w:sz w:val="20"/>
              </w:rPr>
              <w:t>SCE13RN027 Revision 9 (July 21, 2014)</w:t>
            </w:r>
          </w:p>
        </w:tc>
      </w:tr>
      <w:tr w:rsidR="00DE6DB9">
        <w:trPr>
          <w:trHeight w:val="253"/>
        </w:trPr>
        <w:tc>
          <w:tcPr>
            <w:tcW w:w="941" w:type="dxa"/>
            <w:tcBorders>
              <w:top w:val="nil"/>
            </w:tcBorders>
          </w:tcPr>
          <w:p w:rsidR="00DE6DB9" w:rsidRDefault="00DE6DB9">
            <w:pPr>
              <w:pStyle w:val="TableParagraph"/>
              <w:rPr>
                <w:rFonts w:ascii="Times New Roman"/>
                <w:sz w:val="18"/>
              </w:rPr>
            </w:pPr>
          </w:p>
        </w:tc>
        <w:tc>
          <w:tcPr>
            <w:tcW w:w="1666" w:type="dxa"/>
            <w:tcBorders>
              <w:top w:val="nil"/>
            </w:tcBorders>
          </w:tcPr>
          <w:p w:rsidR="00DE6DB9" w:rsidRDefault="00DE6DB9">
            <w:pPr>
              <w:pStyle w:val="TableParagraph"/>
              <w:rPr>
                <w:rFonts w:ascii="Times New Roman"/>
                <w:sz w:val="18"/>
              </w:rPr>
            </w:pPr>
          </w:p>
        </w:tc>
        <w:tc>
          <w:tcPr>
            <w:tcW w:w="1980" w:type="dxa"/>
            <w:tcBorders>
              <w:top w:val="nil"/>
            </w:tcBorders>
          </w:tcPr>
          <w:p w:rsidR="00DE6DB9" w:rsidRDefault="00DE6DB9">
            <w:pPr>
              <w:pStyle w:val="TableParagraph"/>
              <w:rPr>
                <w:rFonts w:ascii="Times New Roman"/>
                <w:sz w:val="18"/>
              </w:rPr>
            </w:pPr>
          </w:p>
        </w:tc>
        <w:tc>
          <w:tcPr>
            <w:tcW w:w="4764" w:type="dxa"/>
            <w:tcBorders>
              <w:top w:val="nil"/>
            </w:tcBorders>
          </w:tcPr>
          <w:p w:rsidR="00DE6DB9" w:rsidRDefault="00361E6C">
            <w:pPr>
              <w:pStyle w:val="TableParagraph"/>
              <w:spacing w:line="234" w:lineRule="exact"/>
              <w:ind w:left="111"/>
              <w:rPr>
                <w:sz w:val="20"/>
              </w:rPr>
            </w:pPr>
            <w:r>
              <w:rPr>
                <w:sz w:val="20"/>
              </w:rPr>
              <w:t>Consensus reached among Cal TF members.</w:t>
            </w:r>
          </w:p>
        </w:tc>
      </w:tr>
      <w:tr w:rsidR="00DE6DB9">
        <w:trPr>
          <w:trHeight w:val="278"/>
        </w:trPr>
        <w:tc>
          <w:tcPr>
            <w:tcW w:w="941" w:type="dxa"/>
            <w:vMerge w:val="restart"/>
          </w:tcPr>
          <w:p w:rsidR="00DE6DB9" w:rsidRDefault="00DE6DB9">
            <w:pPr>
              <w:pStyle w:val="TableParagraph"/>
              <w:rPr>
                <w:rFonts w:ascii="Times New Roman"/>
                <w:sz w:val="18"/>
              </w:rPr>
            </w:pPr>
          </w:p>
        </w:tc>
        <w:tc>
          <w:tcPr>
            <w:tcW w:w="1666" w:type="dxa"/>
            <w:tcBorders>
              <w:bottom w:val="nil"/>
            </w:tcBorders>
          </w:tcPr>
          <w:p w:rsidR="00DE6DB9" w:rsidRDefault="00361E6C">
            <w:pPr>
              <w:pStyle w:val="TableParagraph"/>
              <w:spacing w:before="20" w:line="238" w:lineRule="exact"/>
              <w:ind w:left="114"/>
              <w:rPr>
                <w:sz w:val="20"/>
              </w:rPr>
            </w:pPr>
            <w:r>
              <w:rPr>
                <w:sz w:val="20"/>
              </w:rPr>
              <w:t>06/14/2019</w:t>
            </w:r>
          </w:p>
        </w:tc>
        <w:tc>
          <w:tcPr>
            <w:tcW w:w="1980" w:type="dxa"/>
            <w:tcBorders>
              <w:bottom w:val="nil"/>
            </w:tcBorders>
          </w:tcPr>
          <w:p w:rsidR="00DE6DB9" w:rsidRDefault="00361E6C">
            <w:pPr>
              <w:pStyle w:val="TableParagraph"/>
              <w:spacing w:before="20" w:line="238" w:lineRule="exact"/>
              <w:ind w:left="111"/>
              <w:rPr>
                <w:sz w:val="20"/>
              </w:rPr>
            </w:pPr>
            <w:r>
              <w:rPr>
                <w:sz w:val="20"/>
              </w:rPr>
              <w:t>Randy Kwok</w:t>
            </w:r>
          </w:p>
        </w:tc>
        <w:tc>
          <w:tcPr>
            <w:tcW w:w="4764" w:type="dxa"/>
            <w:tcBorders>
              <w:bottom w:val="nil"/>
            </w:tcBorders>
          </w:tcPr>
          <w:p w:rsidR="00DE6DB9" w:rsidRDefault="00361E6C">
            <w:pPr>
              <w:pStyle w:val="TableParagraph"/>
              <w:spacing w:before="20" w:line="238" w:lineRule="exact"/>
              <w:ind w:left="111"/>
              <w:rPr>
                <w:sz w:val="20"/>
              </w:rPr>
            </w:pPr>
            <w:r>
              <w:rPr>
                <w:sz w:val="20"/>
              </w:rPr>
              <w:t>Updates for:</w:t>
            </w:r>
          </w:p>
        </w:tc>
      </w:tr>
      <w:tr w:rsidR="00DE6DB9">
        <w:trPr>
          <w:trHeight w:val="263"/>
        </w:trPr>
        <w:tc>
          <w:tcPr>
            <w:tcW w:w="941" w:type="dxa"/>
            <w:vMerge/>
            <w:tcBorders>
              <w:top w:val="nil"/>
            </w:tcBorders>
          </w:tcPr>
          <w:p w:rsidR="00DE6DB9" w:rsidRDefault="00DE6DB9">
            <w:pPr>
              <w:rPr>
                <w:sz w:val="2"/>
                <w:szCs w:val="2"/>
              </w:rPr>
            </w:pPr>
          </w:p>
        </w:tc>
        <w:tc>
          <w:tcPr>
            <w:tcW w:w="1666" w:type="dxa"/>
            <w:tcBorders>
              <w:top w:val="nil"/>
              <w:bottom w:val="nil"/>
            </w:tcBorders>
          </w:tcPr>
          <w:p w:rsidR="00DE6DB9" w:rsidRDefault="00DE6DB9">
            <w:pPr>
              <w:pStyle w:val="TableParagraph"/>
              <w:rPr>
                <w:rFonts w:ascii="Times New Roman"/>
                <w:sz w:val="18"/>
              </w:rPr>
            </w:pPr>
          </w:p>
        </w:tc>
        <w:tc>
          <w:tcPr>
            <w:tcW w:w="1980" w:type="dxa"/>
            <w:tcBorders>
              <w:top w:val="nil"/>
              <w:bottom w:val="nil"/>
            </w:tcBorders>
          </w:tcPr>
          <w:p w:rsidR="00DE6DB9" w:rsidRDefault="00361E6C">
            <w:pPr>
              <w:pStyle w:val="TableParagraph"/>
              <w:spacing w:line="221" w:lineRule="exact"/>
              <w:ind w:left="111"/>
              <w:rPr>
                <w:sz w:val="20"/>
              </w:rPr>
            </w:pPr>
            <w:r>
              <w:rPr>
                <w:sz w:val="20"/>
              </w:rPr>
              <w:t>PG&amp;E</w:t>
            </w:r>
          </w:p>
        </w:tc>
        <w:tc>
          <w:tcPr>
            <w:tcW w:w="4764" w:type="dxa"/>
            <w:tcBorders>
              <w:top w:val="nil"/>
              <w:bottom w:val="nil"/>
            </w:tcBorders>
          </w:tcPr>
          <w:p w:rsidR="00DE6DB9" w:rsidRDefault="00361E6C">
            <w:pPr>
              <w:pStyle w:val="TableParagraph"/>
              <w:spacing w:line="240" w:lineRule="exact"/>
              <w:ind w:left="111"/>
              <w:rPr>
                <w:sz w:val="20"/>
              </w:rPr>
            </w:pPr>
            <w:r>
              <w:rPr>
                <w:sz w:val="20"/>
              </w:rPr>
              <w:t>PGE3PREF116 Revision 3</w:t>
            </w:r>
          </w:p>
        </w:tc>
      </w:tr>
      <w:tr w:rsidR="00DE6DB9">
        <w:trPr>
          <w:trHeight w:val="244"/>
        </w:trPr>
        <w:tc>
          <w:tcPr>
            <w:tcW w:w="941" w:type="dxa"/>
            <w:vMerge/>
            <w:tcBorders>
              <w:top w:val="nil"/>
            </w:tcBorders>
          </w:tcPr>
          <w:p w:rsidR="00DE6DB9" w:rsidRDefault="00DE6DB9">
            <w:pPr>
              <w:rPr>
                <w:sz w:val="2"/>
                <w:szCs w:val="2"/>
              </w:rPr>
            </w:pPr>
          </w:p>
        </w:tc>
        <w:tc>
          <w:tcPr>
            <w:tcW w:w="1666" w:type="dxa"/>
            <w:tcBorders>
              <w:top w:val="nil"/>
              <w:bottom w:val="nil"/>
            </w:tcBorders>
          </w:tcPr>
          <w:p w:rsidR="00DE6DB9" w:rsidRDefault="00DE6DB9">
            <w:pPr>
              <w:pStyle w:val="TableParagraph"/>
              <w:rPr>
                <w:rFonts w:ascii="Times New Roman"/>
                <w:sz w:val="16"/>
              </w:rPr>
            </w:pPr>
          </w:p>
        </w:tc>
        <w:tc>
          <w:tcPr>
            <w:tcW w:w="1980" w:type="dxa"/>
            <w:tcBorders>
              <w:top w:val="nil"/>
              <w:bottom w:val="nil"/>
            </w:tcBorders>
          </w:tcPr>
          <w:p w:rsidR="00DE6DB9" w:rsidRDefault="00DE6DB9">
            <w:pPr>
              <w:pStyle w:val="TableParagraph"/>
              <w:rPr>
                <w:rFonts w:ascii="Times New Roman"/>
                <w:sz w:val="16"/>
              </w:rPr>
            </w:pPr>
          </w:p>
        </w:tc>
        <w:tc>
          <w:tcPr>
            <w:tcW w:w="4764" w:type="dxa"/>
            <w:tcBorders>
              <w:top w:val="nil"/>
              <w:bottom w:val="nil"/>
            </w:tcBorders>
          </w:tcPr>
          <w:p w:rsidR="00DE6DB9" w:rsidRDefault="00361E6C">
            <w:pPr>
              <w:pStyle w:val="TableParagraph"/>
              <w:spacing w:line="224" w:lineRule="exact"/>
              <w:ind w:left="111"/>
              <w:rPr>
                <w:sz w:val="20"/>
              </w:rPr>
            </w:pPr>
            <w:r>
              <w:rPr>
                <w:sz w:val="20"/>
              </w:rPr>
              <w:t>Revisions for submittal of version 01.</w:t>
            </w:r>
          </w:p>
        </w:tc>
      </w:tr>
      <w:tr w:rsidR="00DE6DB9">
        <w:trPr>
          <w:trHeight w:val="234"/>
        </w:trPr>
        <w:tc>
          <w:tcPr>
            <w:tcW w:w="941" w:type="dxa"/>
            <w:vMerge/>
            <w:tcBorders>
              <w:top w:val="nil"/>
            </w:tcBorders>
          </w:tcPr>
          <w:p w:rsidR="00DE6DB9" w:rsidRDefault="00DE6DB9">
            <w:pPr>
              <w:rPr>
                <w:sz w:val="2"/>
                <w:szCs w:val="2"/>
              </w:rPr>
            </w:pPr>
          </w:p>
        </w:tc>
        <w:tc>
          <w:tcPr>
            <w:tcW w:w="1666" w:type="dxa"/>
            <w:tcBorders>
              <w:top w:val="nil"/>
              <w:bottom w:val="nil"/>
            </w:tcBorders>
          </w:tcPr>
          <w:p w:rsidR="00DE6DB9" w:rsidRDefault="00DE6DB9">
            <w:pPr>
              <w:pStyle w:val="TableParagraph"/>
              <w:rPr>
                <w:rFonts w:ascii="Times New Roman"/>
                <w:sz w:val="16"/>
              </w:rPr>
            </w:pPr>
          </w:p>
        </w:tc>
        <w:tc>
          <w:tcPr>
            <w:tcW w:w="1980" w:type="dxa"/>
            <w:tcBorders>
              <w:top w:val="nil"/>
              <w:bottom w:val="nil"/>
            </w:tcBorders>
          </w:tcPr>
          <w:p w:rsidR="00DE6DB9" w:rsidRDefault="00361E6C">
            <w:pPr>
              <w:pStyle w:val="TableParagraph"/>
              <w:spacing w:line="215" w:lineRule="exact"/>
              <w:ind w:left="111"/>
              <w:rPr>
                <w:sz w:val="20"/>
              </w:rPr>
            </w:pPr>
            <w:r>
              <w:rPr>
                <w:sz w:val="20"/>
              </w:rPr>
              <w:t>Jennifer Holmes</w:t>
            </w:r>
          </w:p>
        </w:tc>
        <w:tc>
          <w:tcPr>
            <w:tcW w:w="4764" w:type="dxa"/>
            <w:tcBorders>
              <w:top w:val="nil"/>
              <w:bottom w:val="nil"/>
            </w:tcBorders>
          </w:tcPr>
          <w:p w:rsidR="00DE6DB9" w:rsidRDefault="00DE6DB9">
            <w:pPr>
              <w:pStyle w:val="TableParagraph"/>
              <w:rPr>
                <w:rFonts w:ascii="Times New Roman"/>
                <w:sz w:val="16"/>
              </w:rPr>
            </w:pPr>
          </w:p>
        </w:tc>
      </w:tr>
      <w:tr w:rsidR="00DE6DB9">
        <w:trPr>
          <w:trHeight w:val="239"/>
        </w:trPr>
        <w:tc>
          <w:tcPr>
            <w:tcW w:w="941" w:type="dxa"/>
            <w:vMerge/>
            <w:tcBorders>
              <w:top w:val="nil"/>
            </w:tcBorders>
          </w:tcPr>
          <w:p w:rsidR="00DE6DB9" w:rsidRDefault="00DE6DB9">
            <w:pPr>
              <w:rPr>
                <w:sz w:val="2"/>
                <w:szCs w:val="2"/>
              </w:rPr>
            </w:pPr>
          </w:p>
        </w:tc>
        <w:tc>
          <w:tcPr>
            <w:tcW w:w="1666" w:type="dxa"/>
            <w:tcBorders>
              <w:top w:val="nil"/>
            </w:tcBorders>
          </w:tcPr>
          <w:p w:rsidR="00DE6DB9" w:rsidRDefault="00DE6DB9">
            <w:pPr>
              <w:pStyle w:val="TableParagraph"/>
              <w:rPr>
                <w:rFonts w:ascii="Times New Roman"/>
                <w:sz w:val="16"/>
              </w:rPr>
            </w:pPr>
          </w:p>
        </w:tc>
        <w:tc>
          <w:tcPr>
            <w:tcW w:w="1980" w:type="dxa"/>
            <w:tcBorders>
              <w:top w:val="nil"/>
            </w:tcBorders>
          </w:tcPr>
          <w:p w:rsidR="00DE6DB9" w:rsidRDefault="00361E6C">
            <w:pPr>
              <w:pStyle w:val="TableParagraph"/>
              <w:spacing w:line="219" w:lineRule="exact"/>
              <w:ind w:left="111"/>
              <w:rPr>
                <w:sz w:val="20"/>
              </w:rPr>
            </w:pPr>
            <w:r>
              <w:rPr>
                <w:sz w:val="20"/>
              </w:rPr>
              <w:t>Cal TF Staff</w:t>
            </w:r>
          </w:p>
        </w:tc>
        <w:tc>
          <w:tcPr>
            <w:tcW w:w="4764" w:type="dxa"/>
            <w:tcBorders>
              <w:top w:val="nil"/>
            </w:tcBorders>
          </w:tcPr>
          <w:p w:rsidR="00DE6DB9" w:rsidRDefault="00DE6DB9">
            <w:pPr>
              <w:pStyle w:val="TableParagraph"/>
              <w:rPr>
                <w:rFonts w:ascii="Times New Roman"/>
                <w:sz w:val="16"/>
              </w:rPr>
            </w:pPr>
          </w:p>
        </w:tc>
      </w:tr>
    </w:tbl>
    <w:p w:rsidR="00361E6C" w:rsidRDefault="00361E6C" w:rsidP="00361E6C">
      <w:pPr>
        <w:ind w:left="115"/>
        <w:rPr>
          <w:i/>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5"/>
        <w:gridCol w:w="1673"/>
        <w:gridCol w:w="1988"/>
        <w:gridCol w:w="4783"/>
      </w:tblGrid>
      <w:tr w:rsidR="00361E6C" w:rsidTr="00361E6C">
        <w:trPr>
          <w:trHeight w:val="216"/>
        </w:trPr>
        <w:tc>
          <w:tcPr>
            <w:tcW w:w="945" w:type="dxa"/>
            <w:vMerge w:val="restart"/>
          </w:tcPr>
          <w:p w:rsidR="00361E6C" w:rsidRDefault="00361E6C" w:rsidP="00361E6C">
            <w:pPr>
              <w:pStyle w:val="TableParagraph"/>
              <w:rPr>
                <w:rFonts w:ascii="Times New Roman"/>
                <w:sz w:val="18"/>
              </w:rPr>
            </w:pPr>
          </w:p>
        </w:tc>
        <w:tc>
          <w:tcPr>
            <w:tcW w:w="1673" w:type="dxa"/>
            <w:tcBorders>
              <w:bottom w:val="nil"/>
            </w:tcBorders>
          </w:tcPr>
          <w:p w:rsidR="00361E6C" w:rsidRDefault="00361E6C" w:rsidP="00361E6C">
            <w:pPr>
              <w:pStyle w:val="TableParagraph"/>
              <w:spacing w:before="20" w:line="238" w:lineRule="exact"/>
              <w:ind w:left="114"/>
              <w:rPr>
                <w:sz w:val="20"/>
              </w:rPr>
            </w:pPr>
            <w:r>
              <w:rPr>
                <w:sz w:val="20"/>
              </w:rPr>
              <w:t>7/16/2019</w:t>
            </w:r>
          </w:p>
        </w:tc>
        <w:tc>
          <w:tcPr>
            <w:tcW w:w="1988" w:type="dxa"/>
            <w:tcBorders>
              <w:bottom w:val="nil"/>
            </w:tcBorders>
          </w:tcPr>
          <w:p w:rsidR="00361E6C" w:rsidRDefault="00361E6C" w:rsidP="00361E6C">
            <w:pPr>
              <w:pStyle w:val="TableParagraph"/>
              <w:spacing w:before="20" w:line="238" w:lineRule="exact"/>
              <w:ind w:left="111"/>
              <w:rPr>
                <w:sz w:val="20"/>
              </w:rPr>
            </w:pPr>
            <w:r>
              <w:rPr>
                <w:sz w:val="20"/>
              </w:rPr>
              <w:t>Randy Kwok</w:t>
            </w:r>
          </w:p>
        </w:tc>
        <w:tc>
          <w:tcPr>
            <w:tcW w:w="4783" w:type="dxa"/>
            <w:tcBorders>
              <w:bottom w:val="nil"/>
            </w:tcBorders>
          </w:tcPr>
          <w:p w:rsidR="00361E6C" w:rsidRDefault="00361E6C" w:rsidP="00361E6C">
            <w:pPr>
              <w:pStyle w:val="TableParagraph"/>
              <w:spacing w:before="20" w:line="238" w:lineRule="exact"/>
              <w:ind w:left="111"/>
              <w:rPr>
                <w:sz w:val="20"/>
              </w:rPr>
            </w:pPr>
            <w:r>
              <w:rPr>
                <w:sz w:val="20"/>
              </w:rPr>
              <w:t>Update:</w:t>
            </w:r>
          </w:p>
        </w:tc>
      </w:tr>
      <w:tr w:rsidR="00361E6C" w:rsidTr="00361E6C">
        <w:trPr>
          <w:trHeight w:val="204"/>
        </w:trPr>
        <w:tc>
          <w:tcPr>
            <w:tcW w:w="945" w:type="dxa"/>
            <w:vMerge/>
            <w:tcBorders>
              <w:top w:val="nil"/>
            </w:tcBorders>
          </w:tcPr>
          <w:p w:rsidR="00361E6C" w:rsidRDefault="00361E6C" w:rsidP="00361E6C">
            <w:pPr>
              <w:rPr>
                <w:sz w:val="2"/>
                <w:szCs w:val="2"/>
              </w:rPr>
            </w:pPr>
          </w:p>
        </w:tc>
        <w:tc>
          <w:tcPr>
            <w:tcW w:w="1673" w:type="dxa"/>
            <w:tcBorders>
              <w:top w:val="nil"/>
              <w:bottom w:val="nil"/>
            </w:tcBorders>
          </w:tcPr>
          <w:p w:rsidR="00361E6C" w:rsidRDefault="00361E6C" w:rsidP="00361E6C">
            <w:pPr>
              <w:pStyle w:val="TableParagraph"/>
              <w:rPr>
                <w:rFonts w:ascii="Times New Roman"/>
                <w:sz w:val="18"/>
              </w:rPr>
            </w:pPr>
          </w:p>
        </w:tc>
        <w:tc>
          <w:tcPr>
            <w:tcW w:w="1988" w:type="dxa"/>
            <w:tcBorders>
              <w:top w:val="nil"/>
              <w:bottom w:val="nil"/>
            </w:tcBorders>
          </w:tcPr>
          <w:p w:rsidR="00361E6C" w:rsidRDefault="00361E6C" w:rsidP="00361E6C">
            <w:pPr>
              <w:pStyle w:val="TableParagraph"/>
              <w:spacing w:line="221" w:lineRule="exact"/>
              <w:ind w:left="111"/>
              <w:rPr>
                <w:sz w:val="20"/>
              </w:rPr>
            </w:pPr>
            <w:r>
              <w:rPr>
                <w:sz w:val="20"/>
              </w:rPr>
              <w:t>PG&amp;E</w:t>
            </w:r>
          </w:p>
        </w:tc>
        <w:tc>
          <w:tcPr>
            <w:tcW w:w="4783" w:type="dxa"/>
            <w:tcBorders>
              <w:top w:val="nil"/>
              <w:bottom w:val="nil"/>
            </w:tcBorders>
          </w:tcPr>
          <w:p w:rsidR="00361E6C" w:rsidRDefault="00361E6C" w:rsidP="00361E6C">
            <w:pPr>
              <w:pStyle w:val="TableParagraph"/>
              <w:spacing w:line="240" w:lineRule="exact"/>
              <w:ind w:left="111"/>
              <w:rPr>
                <w:sz w:val="20"/>
              </w:rPr>
            </w:pPr>
            <w:r>
              <w:rPr>
                <w:sz w:val="20"/>
              </w:rPr>
              <w:t>Corrected the average lighting power to 2.0 W/sf (on p.3) to match the model input.</w:t>
            </w:r>
          </w:p>
          <w:p w:rsidR="0088103E" w:rsidRDefault="0088103E" w:rsidP="00361E6C">
            <w:pPr>
              <w:pStyle w:val="TableParagraph"/>
              <w:spacing w:line="240" w:lineRule="exact"/>
              <w:ind w:left="111"/>
              <w:rPr>
                <w:sz w:val="20"/>
              </w:rPr>
            </w:pPr>
            <w:r>
              <w:rPr>
                <w:sz w:val="20"/>
              </w:rPr>
              <w:t>No change in the workpaper version #.</w:t>
            </w:r>
          </w:p>
        </w:tc>
      </w:tr>
      <w:tr w:rsidR="00361E6C" w:rsidTr="00361E6C">
        <w:trPr>
          <w:trHeight w:val="189"/>
        </w:trPr>
        <w:tc>
          <w:tcPr>
            <w:tcW w:w="945" w:type="dxa"/>
            <w:vMerge/>
            <w:tcBorders>
              <w:top w:val="nil"/>
            </w:tcBorders>
          </w:tcPr>
          <w:p w:rsidR="00361E6C" w:rsidRDefault="00361E6C" w:rsidP="00361E6C">
            <w:pPr>
              <w:rPr>
                <w:sz w:val="2"/>
                <w:szCs w:val="2"/>
              </w:rPr>
            </w:pPr>
          </w:p>
        </w:tc>
        <w:tc>
          <w:tcPr>
            <w:tcW w:w="1673" w:type="dxa"/>
            <w:tcBorders>
              <w:top w:val="nil"/>
              <w:bottom w:val="nil"/>
            </w:tcBorders>
          </w:tcPr>
          <w:p w:rsidR="00361E6C" w:rsidRDefault="00361E6C" w:rsidP="00361E6C">
            <w:pPr>
              <w:pStyle w:val="TableParagraph"/>
              <w:rPr>
                <w:rFonts w:ascii="Times New Roman"/>
                <w:sz w:val="16"/>
              </w:rPr>
            </w:pPr>
          </w:p>
        </w:tc>
        <w:tc>
          <w:tcPr>
            <w:tcW w:w="1988" w:type="dxa"/>
            <w:tcBorders>
              <w:top w:val="nil"/>
              <w:bottom w:val="nil"/>
            </w:tcBorders>
          </w:tcPr>
          <w:p w:rsidR="00361E6C" w:rsidRDefault="00361E6C" w:rsidP="00361E6C">
            <w:pPr>
              <w:pStyle w:val="TableParagraph"/>
              <w:rPr>
                <w:rFonts w:ascii="Times New Roman"/>
                <w:sz w:val="16"/>
              </w:rPr>
            </w:pPr>
          </w:p>
        </w:tc>
        <w:tc>
          <w:tcPr>
            <w:tcW w:w="4783" w:type="dxa"/>
            <w:tcBorders>
              <w:top w:val="nil"/>
              <w:bottom w:val="nil"/>
            </w:tcBorders>
          </w:tcPr>
          <w:p w:rsidR="00361E6C" w:rsidRDefault="00361E6C" w:rsidP="00361E6C">
            <w:pPr>
              <w:pStyle w:val="TableParagraph"/>
              <w:spacing w:line="224" w:lineRule="exact"/>
              <w:ind w:left="111"/>
              <w:rPr>
                <w:sz w:val="20"/>
              </w:rPr>
            </w:pPr>
          </w:p>
        </w:tc>
      </w:tr>
      <w:tr w:rsidR="00361E6C" w:rsidTr="00361E6C">
        <w:trPr>
          <w:trHeight w:val="182"/>
        </w:trPr>
        <w:tc>
          <w:tcPr>
            <w:tcW w:w="945" w:type="dxa"/>
            <w:vMerge/>
            <w:tcBorders>
              <w:top w:val="nil"/>
            </w:tcBorders>
          </w:tcPr>
          <w:p w:rsidR="00361E6C" w:rsidRDefault="00361E6C" w:rsidP="00361E6C">
            <w:pPr>
              <w:rPr>
                <w:sz w:val="2"/>
                <w:szCs w:val="2"/>
              </w:rPr>
            </w:pPr>
          </w:p>
        </w:tc>
        <w:tc>
          <w:tcPr>
            <w:tcW w:w="1673" w:type="dxa"/>
            <w:tcBorders>
              <w:top w:val="nil"/>
              <w:bottom w:val="nil"/>
            </w:tcBorders>
          </w:tcPr>
          <w:p w:rsidR="00361E6C" w:rsidRDefault="00361E6C" w:rsidP="00361E6C">
            <w:pPr>
              <w:pStyle w:val="TableParagraph"/>
              <w:rPr>
                <w:rFonts w:ascii="Times New Roman"/>
                <w:sz w:val="16"/>
              </w:rPr>
            </w:pPr>
          </w:p>
        </w:tc>
        <w:tc>
          <w:tcPr>
            <w:tcW w:w="1988" w:type="dxa"/>
            <w:tcBorders>
              <w:top w:val="nil"/>
              <w:bottom w:val="nil"/>
            </w:tcBorders>
          </w:tcPr>
          <w:p w:rsidR="00361E6C" w:rsidRDefault="00361E6C" w:rsidP="00361E6C">
            <w:pPr>
              <w:pStyle w:val="TableParagraph"/>
              <w:spacing w:line="215" w:lineRule="exact"/>
              <w:ind w:left="111"/>
              <w:rPr>
                <w:sz w:val="20"/>
              </w:rPr>
            </w:pPr>
          </w:p>
        </w:tc>
        <w:tc>
          <w:tcPr>
            <w:tcW w:w="4783" w:type="dxa"/>
            <w:tcBorders>
              <w:top w:val="nil"/>
              <w:bottom w:val="nil"/>
            </w:tcBorders>
          </w:tcPr>
          <w:p w:rsidR="00361E6C" w:rsidRDefault="00361E6C" w:rsidP="00361E6C">
            <w:pPr>
              <w:pStyle w:val="TableParagraph"/>
              <w:rPr>
                <w:rFonts w:ascii="Times New Roman"/>
                <w:sz w:val="16"/>
              </w:rPr>
            </w:pPr>
          </w:p>
        </w:tc>
      </w:tr>
      <w:tr w:rsidR="00361E6C" w:rsidTr="00361E6C">
        <w:trPr>
          <w:trHeight w:val="47"/>
        </w:trPr>
        <w:tc>
          <w:tcPr>
            <w:tcW w:w="945" w:type="dxa"/>
            <w:vMerge/>
            <w:tcBorders>
              <w:top w:val="nil"/>
            </w:tcBorders>
          </w:tcPr>
          <w:p w:rsidR="00361E6C" w:rsidRDefault="00361E6C" w:rsidP="00361E6C">
            <w:pPr>
              <w:rPr>
                <w:sz w:val="2"/>
                <w:szCs w:val="2"/>
              </w:rPr>
            </w:pPr>
          </w:p>
        </w:tc>
        <w:tc>
          <w:tcPr>
            <w:tcW w:w="1673" w:type="dxa"/>
            <w:tcBorders>
              <w:top w:val="nil"/>
            </w:tcBorders>
          </w:tcPr>
          <w:p w:rsidR="00361E6C" w:rsidRDefault="00361E6C" w:rsidP="00361E6C">
            <w:pPr>
              <w:pStyle w:val="TableParagraph"/>
              <w:rPr>
                <w:rFonts w:ascii="Times New Roman"/>
                <w:sz w:val="16"/>
              </w:rPr>
            </w:pPr>
          </w:p>
        </w:tc>
        <w:tc>
          <w:tcPr>
            <w:tcW w:w="1988" w:type="dxa"/>
            <w:tcBorders>
              <w:top w:val="nil"/>
            </w:tcBorders>
          </w:tcPr>
          <w:p w:rsidR="00361E6C" w:rsidRDefault="00361E6C" w:rsidP="00361E6C">
            <w:pPr>
              <w:pStyle w:val="TableParagraph"/>
              <w:spacing w:line="219" w:lineRule="exact"/>
              <w:ind w:left="111"/>
              <w:rPr>
                <w:sz w:val="20"/>
              </w:rPr>
            </w:pPr>
          </w:p>
        </w:tc>
        <w:tc>
          <w:tcPr>
            <w:tcW w:w="4783" w:type="dxa"/>
            <w:tcBorders>
              <w:top w:val="nil"/>
            </w:tcBorders>
          </w:tcPr>
          <w:p w:rsidR="00361E6C" w:rsidRDefault="00361E6C" w:rsidP="00361E6C">
            <w:pPr>
              <w:pStyle w:val="TableParagraph"/>
              <w:rPr>
                <w:rFonts w:ascii="Times New Roman"/>
                <w:sz w:val="16"/>
              </w:rPr>
            </w:pPr>
          </w:p>
        </w:tc>
      </w:tr>
    </w:tbl>
    <w:p w:rsidR="00DE6DB9" w:rsidRDefault="00DE6DB9">
      <w:pPr>
        <w:spacing w:before="36"/>
        <w:ind w:left="120"/>
        <w:rPr>
          <w:i/>
        </w:rPr>
      </w:pPr>
    </w:p>
    <w:sectPr w:rsidR="00DE6DB9">
      <w:pgSz w:w="12240" w:h="15840"/>
      <w:pgMar w:top="1220" w:right="1080" w:bottom="1320" w:left="1320" w:header="858" w:footer="112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D0" w:rsidRDefault="008443D0">
      <w:r>
        <w:separator/>
      </w:r>
    </w:p>
  </w:endnote>
  <w:endnote w:type="continuationSeparator" w:id="0">
    <w:p w:rsidR="008443D0" w:rsidRDefault="00844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C" w:rsidRDefault="00361E6C">
    <w:pPr>
      <w:pStyle w:val="BodyText"/>
      <w:spacing w:line="14" w:lineRule="auto"/>
      <w:rPr>
        <w:sz w:val="20"/>
      </w:rPr>
    </w:pPr>
    <w:r>
      <w:rPr>
        <w:noProof/>
        <w:lang w:bidi="ar-SA"/>
      </w:rPr>
      <w:drawing>
        <wp:anchor distT="0" distB="0" distL="0" distR="0" simplePos="0" relativeHeight="268400615" behindDoc="1" locked="0" layoutInCell="1" allowOverlap="1">
          <wp:simplePos x="0" y="0"/>
          <wp:positionH relativeFrom="page">
            <wp:posOffset>3593515</wp:posOffset>
          </wp:positionH>
          <wp:positionV relativeFrom="page">
            <wp:posOffset>9214522</wp:posOffset>
          </wp:positionV>
          <wp:extent cx="579031" cy="20667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9031" cy="206676"/>
                  </a:xfrm>
                  <a:prstGeom prst="rect">
                    <a:avLst/>
                  </a:prstGeom>
                </pic:spPr>
              </pic:pic>
            </a:graphicData>
          </a:graphic>
        </wp:anchor>
      </w:drawing>
    </w:r>
    <w:r w:rsidR="0088103E">
      <w:rPr>
        <w:noProof/>
        <w:lang w:bidi="ar-SA"/>
      </w:rPr>
      <mc:AlternateContent>
        <mc:Choice Requires="wps">
          <w:drawing>
            <wp:anchor distT="0" distB="0" distL="114300" distR="114300" simplePos="0" relativeHeight="503281664" behindDoc="1" locked="0" layoutInCell="1" allowOverlap="1">
              <wp:simplePos x="0" y="0"/>
              <wp:positionH relativeFrom="page">
                <wp:posOffset>3815080</wp:posOffset>
              </wp:positionH>
              <wp:positionV relativeFrom="page">
                <wp:posOffset>9421495</wp:posOffset>
              </wp:positionV>
              <wp:extent cx="139700" cy="114300"/>
              <wp:effectExtent l="0" t="127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1E6C" w:rsidRDefault="00361E6C">
                          <w:pPr>
                            <w:spacing w:line="162" w:lineRule="exact"/>
                            <w:ind w:left="40"/>
                            <w:rPr>
                              <w:rFonts w:ascii="Calibri"/>
                              <w:sz w:val="14"/>
                            </w:rPr>
                          </w:pPr>
                          <w:r>
                            <w:fldChar w:fldCharType="begin"/>
                          </w:r>
                          <w:r>
                            <w:rPr>
                              <w:rFonts w:ascii="Calibri"/>
                              <w:color w:val="808080"/>
                              <w:sz w:val="14"/>
                            </w:rPr>
                            <w:instrText xml:space="preserve"> PAGE </w:instrText>
                          </w:r>
                          <w:r>
                            <w:fldChar w:fldCharType="separate"/>
                          </w:r>
                          <w:r w:rsidR="0088103E">
                            <w:rPr>
                              <w:rFonts w:ascii="Calibri"/>
                              <w:noProof/>
                              <w:color w:val="808080"/>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00.4pt;margin-top:741.85pt;width:11pt;height:9pt;z-index:-3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" filled="f" stroked="f">
              <v:textbox inset="0,0,0,0">
                <w:txbxContent>
                  <w:p w:rsidR="00361E6C" w:rsidRDefault="00361E6C">
                    <w:pPr>
                      <w:spacing w:line="162" w:lineRule="exact"/>
                      <w:ind w:left="40"/>
                      <w:rPr>
                        <w:rFonts w:ascii="Calibri"/>
                        <w:sz w:val="14"/>
                      </w:rPr>
                    </w:pPr>
                    <w:r>
                      <w:fldChar w:fldCharType="begin"/>
                    </w:r>
                    <w:r>
                      <w:rPr>
                        <w:rFonts w:ascii="Calibri"/>
                        <w:color w:val="808080"/>
                        <w:sz w:val="14"/>
                      </w:rPr>
                      <w:instrText xml:space="preserve"> PAGE </w:instrText>
                    </w:r>
                    <w:r>
                      <w:fldChar w:fldCharType="separate"/>
                    </w:r>
                    <w:r w:rsidR="0088103E">
                      <w:rPr>
                        <w:rFonts w:ascii="Calibri"/>
                        <w:noProof/>
                        <w:color w:val="808080"/>
                        <w:sz w:val="1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D0" w:rsidRDefault="008443D0">
      <w:r>
        <w:separator/>
      </w:r>
    </w:p>
  </w:footnote>
  <w:footnote w:type="continuationSeparator" w:id="0">
    <w:p w:rsidR="008443D0" w:rsidRDefault="00844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6C" w:rsidRDefault="0088103E">
    <w:pPr>
      <w:pStyle w:val="BodyText"/>
      <w:spacing w:line="14" w:lineRule="auto"/>
      <w:rPr>
        <w:sz w:val="20"/>
      </w:rPr>
    </w:pPr>
    <w:r>
      <w:rPr>
        <w:noProof/>
        <w:lang w:bidi="ar-SA"/>
      </w:rPr>
      <mc:AlternateContent>
        <mc:Choice Requires="wps">
          <w:drawing>
            <wp:anchor distT="0" distB="0" distL="114300" distR="114300" simplePos="0" relativeHeight="503281688" behindDoc="1" locked="0" layoutInCell="1" allowOverlap="1">
              <wp:simplePos x="0" y="0"/>
              <wp:positionH relativeFrom="page">
                <wp:posOffset>2323465</wp:posOffset>
              </wp:positionH>
              <wp:positionV relativeFrom="page">
                <wp:posOffset>541655</wp:posOffset>
              </wp:positionV>
              <wp:extent cx="3126740" cy="142875"/>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674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1E6C" w:rsidRDefault="00361E6C">
                          <w:pPr>
                            <w:spacing w:before="12"/>
                            <w:ind w:left="20"/>
                            <w:rPr>
                              <w:sz w:val="16"/>
                            </w:rPr>
                          </w:pPr>
                          <w:r>
                            <w:rPr>
                              <w:color w:val="5F5F5F"/>
                              <w:sz w:val="16"/>
                            </w:rPr>
                            <w:t xml:space="preserve">COMMERCIAL REFRIGERATION </w:t>
                          </w:r>
                          <w:r>
                            <w:rPr>
                              <w:rFonts w:ascii="Wingdings" w:hAnsi="Wingdings"/>
                              <w:color w:val="8DC53E"/>
                              <w:sz w:val="16"/>
                            </w:rPr>
                            <w:t></w:t>
                          </w:r>
                          <w:r>
                            <w:rPr>
                              <w:rFonts w:ascii="Times New Roman" w:hAnsi="Times New Roman"/>
                              <w:color w:val="8DC53E"/>
                              <w:sz w:val="16"/>
                            </w:rPr>
                            <w:t xml:space="preserve"> </w:t>
                          </w:r>
                          <w:r>
                            <w:rPr>
                              <w:color w:val="5F5F5F"/>
                              <w:sz w:val="16"/>
                            </w:rPr>
                            <w:t>Medium-Temperature Display Case Doors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182.95pt;margin-top:42.65pt;width:246.2pt;height:11.25pt;z-index:-34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0yrwIAALA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" filled="f" stroked="f">
              <v:textbox inset="0,0,0,0">
                <w:txbxContent>
                  <w:p w:rsidR="00361E6C" w:rsidRDefault="00361E6C">
                    <w:pPr>
                      <w:spacing w:before="12"/>
                      <w:ind w:left="20"/>
                      <w:rPr>
                        <w:sz w:val="16"/>
                      </w:rPr>
                    </w:pPr>
                    <w:r>
                      <w:rPr>
                        <w:color w:val="5F5F5F"/>
                        <w:sz w:val="16"/>
                      </w:rPr>
                      <w:t xml:space="preserve">COMMERCIAL REFRIGERATION </w:t>
                    </w:r>
                    <w:r>
                      <w:rPr>
                        <w:rFonts w:ascii="Wingdings" w:hAnsi="Wingdings"/>
                        <w:color w:val="8DC53E"/>
                        <w:sz w:val="16"/>
                      </w:rPr>
                      <w:t></w:t>
                    </w:r>
                    <w:r>
                      <w:rPr>
                        <w:rFonts w:ascii="Times New Roman" w:hAnsi="Times New Roman"/>
                        <w:color w:val="8DC53E"/>
                        <w:sz w:val="16"/>
                      </w:rPr>
                      <w:t xml:space="preserve"> </w:t>
                    </w:r>
                    <w:r>
                      <w:rPr>
                        <w:color w:val="5F5F5F"/>
                        <w:sz w:val="16"/>
                      </w:rPr>
                      <w:t>Medium-Temperature Display Case Doors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87495"/>
    <w:multiLevelType w:val="hybridMultilevel"/>
    <w:tmpl w:val="846CBA4E"/>
    <w:lvl w:ilvl="0" w:tplc="E786AD74">
      <w:numFmt w:val="bullet"/>
      <w:lvlText w:val=""/>
      <w:lvlJc w:val="left"/>
      <w:pPr>
        <w:ind w:left="840" w:hanging="360"/>
      </w:pPr>
      <w:rPr>
        <w:rFonts w:ascii="Symbol" w:eastAsia="Symbol" w:hAnsi="Symbol" w:cs="Symbol" w:hint="default"/>
        <w:color w:val="808080"/>
        <w:w w:val="99"/>
        <w:sz w:val="20"/>
        <w:szCs w:val="20"/>
        <w:lang w:val="en-US" w:eastAsia="en-US" w:bidi="en-US"/>
      </w:rPr>
    </w:lvl>
    <w:lvl w:ilvl="1" w:tplc="C7080B3C">
      <w:numFmt w:val="bullet"/>
      <w:lvlText w:val="•"/>
      <w:lvlJc w:val="left"/>
      <w:pPr>
        <w:ind w:left="1740" w:hanging="360"/>
      </w:pPr>
      <w:rPr>
        <w:rFonts w:hint="default"/>
        <w:lang w:val="en-US" w:eastAsia="en-US" w:bidi="en-US"/>
      </w:rPr>
    </w:lvl>
    <w:lvl w:ilvl="2" w:tplc="45C6325C">
      <w:numFmt w:val="bullet"/>
      <w:lvlText w:val="•"/>
      <w:lvlJc w:val="left"/>
      <w:pPr>
        <w:ind w:left="2640" w:hanging="360"/>
      </w:pPr>
      <w:rPr>
        <w:rFonts w:hint="default"/>
        <w:lang w:val="en-US" w:eastAsia="en-US" w:bidi="en-US"/>
      </w:rPr>
    </w:lvl>
    <w:lvl w:ilvl="3" w:tplc="5DF60D94">
      <w:numFmt w:val="bullet"/>
      <w:lvlText w:val="•"/>
      <w:lvlJc w:val="left"/>
      <w:pPr>
        <w:ind w:left="3540" w:hanging="360"/>
      </w:pPr>
      <w:rPr>
        <w:rFonts w:hint="default"/>
        <w:lang w:val="en-US" w:eastAsia="en-US" w:bidi="en-US"/>
      </w:rPr>
    </w:lvl>
    <w:lvl w:ilvl="4" w:tplc="602E63AE">
      <w:numFmt w:val="bullet"/>
      <w:lvlText w:val="•"/>
      <w:lvlJc w:val="left"/>
      <w:pPr>
        <w:ind w:left="4440" w:hanging="360"/>
      </w:pPr>
      <w:rPr>
        <w:rFonts w:hint="default"/>
        <w:lang w:val="en-US" w:eastAsia="en-US" w:bidi="en-US"/>
      </w:rPr>
    </w:lvl>
    <w:lvl w:ilvl="5" w:tplc="93049D86">
      <w:numFmt w:val="bullet"/>
      <w:lvlText w:val="•"/>
      <w:lvlJc w:val="left"/>
      <w:pPr>
        <w:ind w:left="5340" w:hanging="360"/>
      </w:pPr>
      <w:rPr>
        <w:rFonts w:hint="default"/>
        <w:lang w:val="en-US" w:eastAsia="en-US" w:bidi="en-US"/>
      </w:rPr>
    </w:lvl>
    <w:lvl w:ilvl="6" w:tplc="866A2502">
      <w:numFmt w:val="bullet"/>
      <w:lvlText w:val="•"/>
      <w:lvlJc w:val="left"/>
      <w:pPr>
        <w:ind w:left="6240" w:hanging="360"/>
      </w:pPr>
      <w:rPr>
        <w:rFonts w:hint="default"/>
        <w:lang w:val="en-US" w:eastAsia="en-US" w:bidi="en-US"/>
      </w:rPr>
    </w:lvl>
    <w:lvl w:ilvl="7" w:tplc="323E017E">
      <w:numFmt w:val="bullet"/>
      <w:lvlText w:val="•"/>
      <w:lvlJc w:val="left"/>
      <w:pPr>
        <w:ind w:left="7140" w:hanging="360"/>
      </w:pPr>
      <w:rPr>
        <w:rFonts w:hint="default"/>
        <w:lang w:val="en-US" w:eastAsia="en-US" w:bidi="en-US"/>
      </w:rPr>
    </w:lvl>
    <w:lvl w:ilvl="8" w:tplc="BC605AEC">
      <w:numFmt w:val="bullet"/>
      <w:lvlText w:val="•"/>
      <w:lvlJc w:val="left"/>
      <w:pPr>
        <w:ind w:left="8040"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DB9"/>
    <w:rsid w:val="00361E6C"/>
    <w:rsid w:val="008443D0"/>
    <w:rsid w:val="0088103E"/>
    <w:rsid w:val="00DE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79"/>
    </w:pPr>
  </w:style>
  <w:style w:type="paragraph" w:styleId="BodyText">
    <w:name w:val="Body Text"/>
    <w:basedOn w:val="Normal"/>
    <w:uiPriority w:val="1"/>
    <w:qFormat/>
  </w:style>
  <w:style w:type="paragraph" w:styleId="ListParagraph">
    <w:name w:val="List Paragraph"/>
    <w:basedOn w:val="Normal"/>
    <w:uiPriority w:val="1"/>
    <w:qFormat/>
    <w:pPr>
      <w:spacing w:before="19"/>
      <w:ind w:left="8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61E6C"/>
    <w:rPr>
      <w:rFonts w:ascii="Tahoma" w:hAnsi="Tahoma" w:cs="Tahoma"/>
      <w:sz w:val="16"/>
      <w:szCs w:val="16"/>
    </w:rPr>
  </w:style>
  <w:style w:type="character" w:customStyle="1" w:styleId="BalloonTextChar">
    <w:name w:val="Balloon Text Char"/>
    <w:basedOn w:val="DefaultParagraphFont"/>
    <w:link w:val="BalloonText"/>
    <w:uiPriority w:val="99"/>
    <w:semiHidden/>
    <w:rsid w:val="00361E6C"/>
    <w:rPr>
      <w:rFonts w:ascii="Tahoma" w:eastAsia="Calibri Light"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79"/>
    </w:pPr>
  </w:style>
  <w:style w:type="paragraph" w:styleId="BodyText">
    <w:name w:val="Body Text"/>
    <w:basedOn w:val="Normal"/>
    <w:uiPriority w:val="1"/>
    <w:qFormat/>
  </w:style>
  <w:style w:type="paragraph" w:styleId="ListParagraph">
    <w:name w:val="List Paragraph"/>
    <w:basedOn w:val="Normal"/>
    <w:uiPriority w:val="1"/>
    <w:qFormat/>
    <w:pPr>
      <w:spacing w:before="19"/>
      <w:ind w:left="84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61E6C"/>
    <w:rPr>
      <w:rFonts w:ascii="Tahoma" w:hAnsi="Tahoma" w:cs="Tahoma"/>
      <w:sz w:val="16"/>
      <w:szCs w:val="16"/>
    </w:rPr>
  </w:style>
  <w:style w:type="character" w:customStyle="1" w:styleId="BalloonTextChar">
    <w:name w:val="Balloon Text Char"/>
    <w:basedOn w:val="DefaultParagraphFont"/>
    <w:link w:val="BalloonText"/>
    <w:uiPriority w:val="99"/>
    <w:semiHidden/>
    <w:rsid w:val="00361E6C"/>
    <w:rPr>
      <w:rFonts w:ascii="Tahoma" w:eastAsia="Calibri Light"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5296</Words>
  <Characters>30191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Pacific Gas and Electric</Company>
  <LinksUpToDate>false</LinksUpToDate>
  <CharactersWithSpaces>35417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Kwok, Randy</cp:lastModifiedBy>
  <cp:revision>2</cp:revision>
  <dcterms:created xsi:type="dcterms:W3CDTF">2019-07-18T01:30:00Z</dcterms:created>
  <dcterms:modified xsi:type="dcterms:W3CDTF">2019-07-18T01:30:00Z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2019-06-27T00:00:00Z</vt:filetime>
  </property>
  <property fmtid="{D5CDD505-2E9C-101B-9397-08002B2CF9AE}" pid="3" name="Creator">
    <vt:lpwstr>Acrobat PDFMaker 19 for Word</vt:lpwstr>
  </property>
  <property fmtid="{D5CDD505-2E9C-101B-9397-08002B2CF9AE}" pid="4" name="LastSaved">
    <vt:filetime>2019-07-18T00:00:00Z</vt:filetime>
  </property>
</Properties>
</file>