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EDC3FB" w14:textId="77777777" w:rsidR="00C04E14" w:rsidRDefault="00C04E14" w:rsidP="0053748E">
      <w:pPr>
        <w:jc w:val="center"/>
        <w:rPr>
          <w:spacing w:val="80"/>
          <w:sz w:val="28"/>
        </w:rPr>
      </w:pPr>
      <w:r>
        <w:rPr>
          <w:noProof/>
        </w:rPr>
        <w:drawing>
          <wp:inline distT="0" distB="0" distL="0" distR="0" wp14:anchorId="64BC0D7B" wp14:editId="1D5E263D">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p w14:paraId="5053F343" w14:textId="1F845B83" w:rsidR="00181E01" w:rsidRDefault="00181E01" w:rsidP="0053748E">
      <w:pPr>
        <w:jc w:val="center"/>
        <w:rPr>
          <w:spacing w:val="80"/>
          <w:sz w:val="28"/>
        </w:rPr>
      </w:pPr>
    </w:p>
    <w:tbl>
      <w:tblPr>
        <w:tblStyle w:val="TableGrid"/>
        <w:tblW w:w="907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75"/>
      </w:tblGrid>
      <w:tr w:rsidR="000110D9" w:rsidRPr="000110D9" w14:paraId="1962BDB2" w14:textId="77777777" w:rsidTr="0042436F">
        <w:trPr>
          <w:cantSplit/>
          <w:trHeight w:hRule="exact" w:val="1984"/>
          <w:jc w:val="right"/>
        </w:trPr>
        <w:tc>
          <w:tcPr>
            <w:tcW w:w="9075" w:type="dxa"/>
            <w:shd w:val="clear" w:color="auto" w:fill="8DC63F"/>
            <w:vAlign w:val="center"/>
          </w:tcPr>
          <w:p w14:paraId="3FA8440E" w14:textId="77777777" w:rsidR="00BD221D" w:rsidRPr="000110D9" w:rsidRDefault="008F03CB" w:rsidP="00BD221D">
            <w:pPr>
              <w:pStyle w:val="eTRMHeading1"/>
              <w:jc w:val="center"/>
            </w:pPr>
            <w:r>
              <w:t>REFRIGERATION</w:t>
            </w:r>
          </w:p>
          <w:p w14:paraId="4051666E" w14:textId="77546167" w:rsidR="00BD221D" w:rsidRDefault="00C04E14" w:rsidP="00A468F4">
            <w:pPr>
              <w:pStyle w:val="eTRMHeading2"/>
              <w:rPr>
                <w:color w:val="FFFFFF" w:themeColor="background1"/>
                <w:spacing w:val="60"/>
              </w:rPr>
            </w:pPr>
            <w:r>
              <w:rPr>
                <w:color w:val="FFFFFF" w:themeColor="background1"/>
                <w:spacing w:val="60"/>
              </w:rPr>
              <w:t>Floating head pressure controls, multiplex</w:t>
            </w:r>
          </w:p>
          <w:p w14:paraId="3547AA73" w14:textId="1A5D9D52" w:rsidR="008B28FB" w:rsidRPr="000110D9" w:rsidRDefault="00BF778A" w:rsidP="00A468F4">
            <w:pPr>
              <w:pStyle w:val="eTRMHeading2"/>
              <w:rPr>
                <w:color w:val="FFFFFF" w:themeColor="background1"/>
              </w:rPr>
            </w:pPr>
            <w:r>
              <w:rPr>
                <w:color w:val="FFFFFF" w:themeColor="background1"/>
                <w:spacing w:val="0"/>
                <w:sz w:val="28"/>
              </w:rPr>
              <w:t>SWCR007-02</w:t>
            </w:r>
          </w:p>
        </w:tc>
      </w:tr>
    </w:tbl>
    <w:p w14:paraId="7C1406D0" w14:textId="77777777" w:rsidR="00BD221D" w:rsidRDefault="00BD221D" w:rsidP="00BD221D"/>
    <w:p w14:paraId="27565FC3" w14:textId="77777777" w:rsidR="00D12B8C" w:rsidRPr="00E14349" w:rsidRDefault="007E1F66" w:rsidP="0053748E">
      <w:pPr>
        <w:jc w:val="center"/>
        <w:rPr>
          <w:spacing w:val="80"/>
          <w:sz w:val="28"/>
        </w:rPr>
      </w:pPr>
      <w:r w:rsidRPr="00E14349">
        <w:rPr>
          <w:spacing w:val="80"/>
          <w:sz w:val="28"/>
        </w:rPr>
        <w:t>CONTENTS</w:t>
      </w:r>
    </w:p>
    <w:p w14:paraId="3DCB2A34" w14:textId="59CC0F3C" w:rsidR="00E228E3" w:rsidRDefault="00491519">
      <w:pPr>
        <w:pStyle w:val="TOC3"/>
        <w:rPr>
          <w:rFonts w:asciiTheme="minorHAnsi" w:hAnsiTheme="minorHAnsi"/>
          <w:noProof/>
          <w:szCs w:val="22"/>
          <w:lang w:eastAsia="ko-KR"/>
        </w:rPr>
      </w:pPr>
      <w:r>
        <w:fldChar w:fldCharType="begin"/>
      </w:r>
      <w:r w:rsidR="001C6C9B">
        <w:instrText xml:space="preserve"> TOC \t "eTRM Heading 3,3" </w:instrText>
      </w:r>
      <w:r>
        <w:fldChar w:fldCharType="separate"/>
      </w:r>
      <w:r w:rsidR="00E228E3">
        <w:rPr>
          <w:noProof/>
        </w:rPr>
        <w:t>Measure Name</w:t>
      </w:r>
      <w:r w:rsidR="00E228E3">
        <w:rPr>
          <w:noProof/>
        </w:rPr>
        <w:tab/>
      </w:r>
      <w:r w:rsidR="00E228E3">
        <w:rPr>
          <w:noProof/>
        </w:rPr>
        <w:fldChar w:fldCharType="begin"/>
      </w:r>
      <w:r w:rsidR="00E228E3">
        <w:rPr>
          <w:noProof/>
        </w:rPr>
        <w:instrText xml:space="preserve"> PAGEREF _Toc58512433 \h </w:instrText>
      </w:r>
      <w:r w:rsidR="00E228E3">
        <w:rPr>
          <w:noProof/>
        </w:rPr>
      </w:r>
      <w:r w:rsidR="00E228E3">
        <w:rPr>
          <w:noProof/>
        </w:rPr>
        <w:fldChar w:fldCharType="separate"/>
      </w:r>
      <w:r w:rsidR="00E228E3">
        <w:rPr>
          <w:noProof/>
        </w:rPr>
        <w:t>2</w:t>
      </w:r>
      <w:r w:rsidR="00E228E3">
        <w:rPr>
          <w:noProof/>
        </w:rPr>
        <w:fldChar w:fldCharType="end"/>
      </w:r>
    </w:p>
    <w:p w14:paraId="361EF2F2" w14:textId="2B5EBC97" w:rsidR="00E228E3" w:rsidRDefault="00E228E3">
      <w:pPr>
        <w:pStyle w:val="TOC3"/>
        <w:rPr>
          <w:rFonts w:asciiTheme="minorHAnsi" w:hAnsiTheme="minorHAnsi"/>
          <w:noProof/>
          <w:szCs w:val="22"/>
          <w:lang w:eastAsia="ko-KR"/>
        </w:rPr>
      </w:pPr>
      <w:r>
        <w:rPr>
          <w:noProof/>
        </w:rPr>
        <w:t>Statewide Measure ID</w:t>
      </w:r>
      <w:r>
        <w:rPr>
          <w:noProof/>
        </w:rPr>
        <w:tab/>
      </w:r>
      <w:r>
        <w:rPr>
          <w:noProof/>
        </w:rPr>
        <w:fldChar w:fldCharType="begin"/>
      </w:r>
      <w:r>
        <w:rPr>
          <w:noProof/>
        </w:rPr>
        <w:instrText xml:space="preserve"> PAGEREF _Toc58512434 \h </w:instrText>
      </w:r>
      <w:r>
        <w:rPr>
          <w:noProof/>
        </w:rPr>
      </w:r>
      <w:r>
        <w:rPr>
          <w:noProof/>
        </w:rPr>
        <w:fldChar w:fldCharType="separate"/>
      </w:r>
      <w:r>
        <w:rPr>
          <w:noProof/>
        </w:rPr>
        <w:t>2</w:t>
      </w:r>
      <w:r>
        <w:rPr>
          <w:noProof/>
        </w:rPr>
        <w:fldChar w:fldCharType="end"/>
      </w:r>
    </w:p>
    <w:p w14:paraId="5C5AF086" w14:textId="6037F53F" w:rsidR="00E228E3" w:rsidRDefault="00E228E3">
      <w:pPr>
        <w:pStyle w:val="TOC3"/>
        <w:rPr>
          <w:rFonts w:asciiTheme="minorHAnsi" w:hAnsiTheme="minorHAnsi"/>
          <w:noProof/>
          <w:szCs w:val="22"/>
          <w:lang w:eastAsia="ko-KR"/>
        </w:rPr>
      </w:pPr>
      <w:r>
        <w:rPr>
          <w:noProof/>
        </w:rPr>
        <w:t>Technology Summary</w:t>
      </w:r>
      <w:r>
        <w:rPr>
          <w:noProof/>
        </w:rPr>
        <w:tab/>
      </w:r>
      <w:r>
        <w:rPr>
          <w:noProof/>
        </w:rPr>
        <w:fldChar w:fldCharType="begin"/>
      </w:r>
      <w:r>
        <w:rPr>
          <w:noProof/>
        </w:rPr>
        <w:instrText xml:space="preserve"> PAGEREF _Toc58512435 \h </w:instrText>
      </w:r>
      <w:r>
        <w:rPr>
          <w:noProof/>
        </w:rPr>
      </w:r>
      <w:r>
        <w:rPr>
          <w:noProof/>
        </w:rPr>
        <w:fldChar w:fldCharType="separate"/>
      </w:r>
      <w:r>
        <w:rPr>
          <w:noProof/>
        </w:rPr>
        <w:t>2</w:t>
      </w:r>
      <w:r>
        <w:rPr>
          <w:noProof/>
        </w:rPr>
        <w:fldChar w:fldCharType="end"/>
      </w:r>
    </w:p>
    <w:p w14:paraId="27CA30E1" w14:textId="57BD9754" w:rsidR="00E228E3" w:rsidRDefault="00E228E3">
      <w:pPr>
        <w:pStyle w:val="TOC3"/>
        <w:rPr>
          <w:rFonts w:asciiTheme="minorHAnsi" w:hAnsiTheme="minorHAnsi"/>
          <w:noProof/>
          <w:szCs w:val="22"/>
          <w:lang w:eastAsia="ko-KR"/>
        </w:rPr>
      </w:pPr>
      <w:r>
        <w:rPr>
          <w:noProof/>
        </w:rPr>
        <w:t>Measure Case Description</w:t>
      </w:r>
      <w:r>
        <w:rPr>
          <w:noProof/>
        </w:rPr>
        <w:tab/>
      </w:r>
      <w:r>
        <w:rPr>
          <w:noProof/>
        </w:rPr>
        <w:fldChar w:fldCharType="begin"/>
      </w:r>
      <w:r>
        <w:rPr>
          <w:noProof/>
        </w:rPr>
        <w:instrText xml:space="preserve"> PAGEREF _Toc58512436 \h </w:instrText>
      </w:r>
      <w:r>
        <w:rPr>
          <w:noProof/>
        </w:rPr>
      </w:r>
      <w:r>
        <w:rPr>
          <w:noProof/>
        </w:rPr>
        <w:fldChar w:fldCharType="separate"/>
      </w:r>
      <w:r>
        <w:rPr>
          <w:noProof/>
        </w:rPr>
        <w:t>3</w:t>
      </w:r>
      <w:r>
        <w:rPr>
          <w:noProof/>
        </w:rPr>
        <w:fldChar w:fldCharType="end"/>
      </w:r>
    </w:p>
    <w:p w14:paraId="12C1E64E" w14:textId="2F22F436" w:rsidR="00E228E3" w:rsidRDefault="00E228E3">
      <w:pPr>
        <w:pStyle w:val="TOC3"/>
        <w:rPr>
          <w:rFonts w:asciiTheme="minorHAnsi" w:hAnsiTheme="minorHAnsi"/>
          <w:noProof/>
          <w:szCs w:val="22"/>
          <w:lang w:eastAsia="ko-KR"/>
        </w:rPr>
      </w:pPr>
      <w:r>
        <w:rPr>
          <w:noProof/>
        </w:rPr>
        <w:t>Base Case Description</w:t>
      </w:r>
      <w:r>
        <w:rPr>
          <w:noProof/>
        </w:rPr>
        <w:tab/>
      </w:r>
      <w:r>
        <w:rPr>
          <w:noProof/>
        </w:rPr>
        <w:fldChar w:fldCharType="begin"/>
      </w:r>
      <w:r>
        <w:rPr>
          <w:noProof/>
        </w:rPr>
        <w:instrText xml:space="preserve"> PAGEREF _Toc58512437 \h </w:instrText>
      </w:r>
      <w:r>
        <w:rPr>
          <w:noProof/>
        </w:rPr>
      </w:r>
      <w:r>
        <w:rPr>
          <w:noProof/>
        </w:rPr>
        <w:fldChar w:fldCharType="separate"/>
      </w:r>
      <w:r>
        <w:rPr>
          <w:noProof/>
        </w:rPr>
        <w:t>3</w:t>
      </w:r>
      <w:r>
        <w:rPr>
          <w:noProof/>
        </w:rPr>
        <w:fldChar w:fldCharType="end"/>
      </w:r>
    </w:p>
    <w:p w14:paraId="33AD0B83" w14:textId="671B1722" w:rsidR="00E228E3" w:rsidRDefault="00E228E3">
      <w:pPr>
        <w:pStyle w:val="TOC3"/>
        <w:rPr>
          <w:rFonts w:asciiTheme="minorHAnsi" w:hAnsiTheme="minorHAnsi"/>
          <w:noProof/>
          <w:szCs w:val="22"/>
          <w:lang w:eastAsia="ko-KR"/>
        </w:rPr>
      </w:pPr>
      <w:r>
        <w:rPr>
          <w:noProof/>
        </w:rPr>
        <w:t>Code Requirements</w:t>
      </w:r>
      <w:r>
        <w:rPr>
          <w:noProof/>
        </w:rPr>
        <w:tab/>
      </w:r>
      <w:r>
        <w:rPr>
          <w:noProof/>
        </w:rPr>
        <w:fldChar w:fldCharType="begin"/>
      </w:r>
      <w:r>
        <w:rPr>
          <w:noProof/>
        </w:rPr>
        <w:instrText xml:space="preserve"> PAGEREF _Toc58512438 \h </w:instrText>
      </w:r>
      <w:r>
        <w:rPr>
          <w:noProof/>
        </w:rPr>
      </w:r>
      <w:r>
        <w:rPr>
          <w:noProof/>
        </w:rPr>
        <w:fldChar w:fldCharType="separate"/>
      </w:r>
      <w:r>
        <w:rPr>
          <w:noProof/>
        </w:rPr>
        <w:t>3</w:t>
      </w:r>
      <w:r>
        <w:rPr>
          <w:noProof/>
        </w:rPr>
        <w:fldChar w:fldCharType="end"/>
      </w:r>
    </w:p>
    <w:p w14:paraId="109F7DE1" w14:textId="5F3951C7" w:rsidR="00E228E3" w:rsidRDefault="00E228E3">
      <w:pPr>
        <w:pStyle w:val="TOC3"/>
        <w:rPr>
          <w:rFonts w:asciiTheme="minorHAnsi" w:hAnsiTheme="minorHAnsi"/>
          <w:noProof/>
          <w:szCs w:val="22"/>
          <w:lang w:eastAsia="ko-KR"/>
        </w:rPr>
      </w:pPr>
      <w:r>
        <w:rPr>
          <w:noProof/>
        </w:rPr>
        <w:t>Normalizing Unit</w:t>
      </w:r>
      <w:r>
        <w:rPr>
          <w:noProof/>
        </w:rPr>
        <w:tab/>
      </w:r>
      <w:r>
        <w:rPr>
          <w:noProof/>
        </w:rPr>
        <w:fldChar w:fldCharType="begin"/>
      </w:r>
      <w:r>
        <w:rPr>
          <w:noProof/>
        </w:rPr>
        <w:instrText xml:space="preserve"> PAGEREF _Toc58512439 \h </w:instrText>
      </w:r>
      <w:r>
        <w:rPr>
          <w:noProof/>
        </w:rPr>
      </w:r>
      <w:r>
        <w:rPr>
          <w:noProof/>
        </w:rPr>
        <w:fldChar w:fldCharType="separate"/>
      </w:r>
      <w:r>
        <w:rPr>
          <w:noProof/>
        </w:rPr>
        <w:t>4</w:t>
      </w:r>
      <w:r>
        <w:rPr>
          <w:noProof/>
        </w:rPr>
        <w:fldChar w:fldCharType="end"/>
      </w:r>
    </w:p>
    <w:p w14:paraId="51ACD9AF" w14:textId="031AA3A6" w:rsidR="00E228E3" w:rsidRDefault="00E228E3">
      <w:pPr>
        <w:pStyle w:val="TOC3"/>
        <w:rPr>
          <w:rFonts w:asciiTheme="minorHAnsi" w:hAnsiTheme="minorHAnsi"/>
          <w:noProof/>
          <w:szCs w:val="22"/>
          <w:lang w:eastAsia="ko-KR"/>
        </w:rPr>
      </w:pPr>
      <w:r>
        <w:rPr>
          <w:noProof/>
        </w:rPr>
        <w:t>Program Requirements</w:t>
      </w:r>
      <w:r>
        <w:rPr>
          <w:noProof/>
        </w:rPr>
        <w:tab/>
      </w:r>
      <w:r>
        <w:rPr>
          <w:noProof/>
        </w:rPr>
        <w:fldChar w:fldCharType="begin"/>
      </w:r>
      <w:r>
        <w:rPr>
          <w:noProof/>
        </w:rPr>
        <w:instrText xml:space="preserve"> PAGEREF _Toc58512440 \h </w:instrText>
      </w:r>
      <w:r>
        <w:rPr>
          <w:noProof/>
        </w:rPr>
      </w:r>
      <w:r>
        <w:rPr>
          <w:noProof/>
        </w:rPr>
        <w:fldChar w:fldCharType="separate"/>
      </w:r>
      <w:r>
        <w:rPr>
          <w:noProof/>
        </w:rPr>
        <w:t>4</w:t>
      </w:r>
      <w:r>
        <w:rPr>
          <w:noProof/>
        </w:rPr>
        <w:fldChar w:fldCharType="end"/>
      </w:r>
    </w:p>
    <w:p w14:paraId="6F27EA35" w14:textId="1D00532E" w:rsidR="00E228E3" w:rsidRDefault="00E228E3">
      <w:pPr>
        <w:pStyle w:val="TOC3"/>
        <w:rPr>
          <w:rFonts w:asciiTheme="minorHAnsi" w:hAnsiTheme="minorHAnsi"/>
          <w:noProof/>
          <w:szCs w:val="22"/>
          <w:lang w:eastAsia="ko-KR"/>
        </w:rPr>
      </w:pPr>
      <w:r>
        <w:rPr>
          <w:noProof/>
        </w:rPr>
        <w:t>Program Exclusions</w:t>
      </w:r>
      <w:r>
        <w:rPr>
          <w:noProof/>
        </w:rPr>
        <w:tab/>
      </w:r>
      <w:r>
        <w:rPr>
          <w:noProof/>
        </w:rPr>
        <w:fldChar w:fldCharType="begin"/>
      </w:r>
      <w:r>
        <w:rPr>
          <w:noProof/>
        </w:rPr>
        <w:instrText xml:space="preserve"> PAGEREF _Toc58512441 \h </w:instrText>
      </w:r>
      <w:r>
        <w:rPr>
          <w:noProof/>
        </w:rPr>
      </w:r>
      <w:r>
        <w:rPr>
          <w:noProof/>
        </w:rPr>
        <w:fldChar w:fldCharType="separate"/>
      </w:r>
      <w:r>
        <w:rPr>
          <w:noProof/>
        </w:rPr>
        <w:t>6</w:t>
      </w:r>
      <w:r>
        <w:rPr>
          <w:noProof/>
        </w:rPr>
        <w:fldChar w:fldCharType="end"/>
      </w:r>
    </w:p>
    <w:p w14:paraId="6950F913" w14:textId="12B80116" w:rsidR="00E228E3" w:rsidRDefault="00E228E3">
      <w:pPr>
        <w:pStyle w:val="TOC3"/>
        <w:rPr>
          <w:rFonts w:asciiTheme="minorHAnsi" w:hAnsiTheme="minorHAnsi"/>
          <w:noProof/>
          <w:szCs w:val="22"/>
          <w:lang w:eastAsia="ko-KR"/>
        </w:rPr>
      </w:pPr>
      <w:r>
        <w:rPr>
          <w:noProof/>
        </w:rPr>
        <w:t>Data Collection Requirements</w:t>
      </w:r>
      <w:r>
        <w:rPr>
          <w:noProof/>
        </w:rPr>
        <w:tab/>
      </w:r>
      <w:r>
        <w:rPr>
          <w:noProof/>
        </w:rPr>
        <w:fldChar w:fldCharType="begin"/>
      </w:r>
      <w:r>
        <w:rPr>
          <w:noProof/>
        </w:rPr>
        <w:instrText xml:space="preserve"> PAGEREF _Toc58512442 \h </w:instrText>
      </w:r>
      <w:r>
        <w:rPr>
          <w:noProof/>
        </w:rPr>
      </w:r>
      <w:r>
        <w:rPr>
          <w:noProof/>
        </w:rPr>
        <w:fldChar w:fldCharType="separate"/>
      </w:r>
      <w:r>
        <w:rPr>
          <w:noProof/>
        </w:rPr>
        <w:t>6</w:t>
      </w:r>
      <w:r>
        <w:rPr>
          <w:noProof/>
        </w:rPr>
        <w:fldChar w:fldCharType="end"/>
      </w:r>
    </w:p>
    <w:p w14:paraId="627037A0" w14:textId="75DD5FA1" w:rsidR="00E228E3" w:rsidRDefault="00E228E3">
      <w:pPr>
        <w:pStyle w:val="TOC3"/>
        <w:rPr>
          <w:rFonts w:asciiTheme="minorHAnsi" w:hAnsiTheme="minorHAnsi"/>
          <w:noProof/>
          <w:szCs w:val="22"/>
          <w:lang w:eastAsia="ko-KR"/>
        </w:rPr>
      </w:pPr>
      <w:r>
        <w:rPr>
          <w:noProof/>
        </w:rPr>
        <w:t>Use Category</w:t>
      </w:r>
      <w:r>
        <w:rPr>
          <w:noProof/>
        </w:rPr>
        <w:tab/>
      </w:r>
      <w:r>
        <w:rPr>
          <w:noProof/>
        </w:rPr>
        <w:fldChar w:fldCharType="begin"/>
      </w:r>
      <w:r>
        <w:rPr>
          <w:noProof/>
        </w:rPr>
        <w:instrText xml:space="preserve"> PAGEREF _Toc58512443 \h </w:instrText>
      </w:r>
      <w:r>
        <w:rPr>
          <w:noProof/>
        </w:rPr>
      </w:r>
      <w:r>
        <w:rPr>
          <w:noProof/>
        </w:rPr>
        <w:fldChar w:fldCharType="separate"/>
      </w:r>
      <w:r>
        <w:rPr>
          <w:noProof/>
        </w:rPr>
        <w:t>6</w:t>
      </w:r>
      <w:r>
        <w:rPr>
          <w:noProof/>
        </w:rPr>
        <w:fldChar w:fldCharType="end"/>
      </w:r>
    </w:p>
    <w:p w14:paraId="0612DA48" w14:textId="773FF52F" w:rsidR="00E228E3" w:rsidRDefault="00E228E3">
      <w:pPr>
        <w:pStyle w:val="TOC3"/>
        <w:rPr>
          <w:rFonts w:asciiTheme="minorHAnsi" w:hAnsiTheme="minorHAnsi"/>
          <w:noProof/>
          <w:szCs w:val="22"/>
          <w:lang w:eastAsia="ko-KR"/>
        </w:rPr>
      </w:pPr>
      <w:r>
        <w:rPr>
          <w:noProof/>
        </w:rPr>
        <w:t>Electric Savings (kWh)</w:t>
      </w:r>
      <w:r>
        <w:rPr>
          <w:noProof/>
        </w:rPr>
        <w:tab/>
      </w:r>
      <w:r>
        <w:rPr>
          <w:noProof/>
        </w:rPr>
        <w:fldChar w:fldCharType="begin"/>
      </w:r>
      <w:r>
        <w:rPr>
          <w:noProof/>
        </w:rPr>
        <w:instrText xml:space="preserve"> PAGEREF _Toc58512444 \h </w:instrText>
      </w:r>
      <w:r>
        <w:rPr>
          <w:noProof/>
        </w:rPr>
      </w:r>
      <w:r>
        <w:rPr>
          <w:noProof/>
        </w:rPr>
        <w:fldChar w:fldCharType="separate"/>
      </w:r>
      <w:r>
        <w:rPr>
          <w:noProof/>
        </w:rPr>
        <w:t>6</w:t>
      </w:r>
      <w:r>
        <w:rPr>
          <w:noProof/>
        </w:rPr>
        <w:fldChar w:fldCharType="end"/>
      </w:r>
    </w:p>
    <w:p w14:paraId="1C4CB7E0" w14:textId="78AC8296" w:rsidR="00E228E3" w:rsidRDefault="00E228E3">
      <w:pPr>
        <w:pStyle w:val="TOC3"/>
        <w:rPr>
          <w:rFonts w:asciiTheme="minorHAnsi" w:hAnsiTheme="minorHAnsi"/>
          <w:noProof/>
          <w:szCs w:val="22"/>
          <w:lang w:eastAsia="ko-KR"/>
        </w:rPr>
      </w:pPr>
      <w:r>
        <w:rPr>
          <w:noProof/>
        </w:rPr>
        <w:t>Peak Electric Demand Reduction (kW)</w:t>
      </w:r>
      <w:r>
        <w:rPr>
          <w:noProof/>
        </w:rPr>
        <w:tab/>
      </w:r>
      <w:r>
        <w:rPr>
          <w:noProof/>
        </w:rPr>
        <w:fldChar w:fldCharType="begin"/>
      </w:r>
      <w:r>
        <w:rPr>
          <w:noProof/>
        </w:rPr>
        <w:instrText xml:space="preserve"> PAGEREF _Toc58512445 \h </w:instrText>
      </w:r>
      <w:r>
        <w:rPr>
          <w:noProof/>
        </w:rPr>
      </w:r>
      <w:r>
        <w:rPr>
          <w:noProof/>
        </w:rPr>
        <w:fldChar w:fldCharType="separate"/>
      </w:r>
      <w:r>
        <w:rPr>
          <w:noProof/>
        </w:rPr>
        <w:t>8</w:t>
      </w:r>
      <w:r>
        <w:rPr>
          <w:noProof/>
        </w:rPr>
        <w:fldChar w:fldCharType="end"/>
      </w:r>
    </w:p>
    <w:p w14:paraId="4636DD4C" w14:textId="122F2497" w:rsidR="00E228E3" w:rsidRDefault="00E228E3">
      <w:pPr>
        <w:pStyle w:val="TOC3"/>
        <w:rPr>
          <w:rFonts w:asciiTheme="minorHAnsi" w:hAnsiTheme="minorHAnsi"/>
          <w:noProof/>
          <w:szCs w:val="22"/>
          <w:lang w:eastAsia="ko-KR"/>
        </w:rPr>
      </w:pPr>
      <w:r>
        <w:rPr>
          <w:noProof/>
        </w:rPr>
        <w:t>Gas Savings (Therms)</w:t>
      </w:r>
      <w:r>
        <w:rPr>
          <w:noProof/>
        </w:rPr>
        <w:tab/>
      </w:r>
      <w:r>
        <w:rPr>
          <w:noProof/>
        </w:rPr>
        <w:fldChar w:fldCharType="begin"/>
      </w:r>
      <w:r>
        <w:rPr>
          <w:noProof/>
        </w:rPr>
        <w:instrText xml:space="preserve"> PAGEREF _Toc58512446 \h </w:instrText>
      </w:r>
      <w:r>
        <w:rPr>
          <w:noProof/>
        </w:rPr>
      </w:r>
      <w:r>
        <w:rPr>
          <w:noProof/>
        </w:rPr>
        <w:fldChar w:fldCharType="separate"/>
      </w:r>
      <w:r>
        <w:rPr>
          <w:noProof/>
        </w:rPr>
        <w:t>8</w:t>
      </w:r>
      <w:r>
        <w:rPr>
          <w:noProof/>
        </w:rPr>
        <w:fldChar w:fldCharType="end"/>
      </w:r>
    </w:p>
    <w:p w14:paraId="41D48D0B" w14:textId="158BA156" w:rsidR="00E228E3" w:rsidRDefault="00E228E3">
      <w:pPr>
        <w:pStyle w:val="TOC3"/>
        <w:rPr>
          <w:rFonts w:asciiTheme="minorHAnsi" w:hAnsiTheme="minorHAnsi"/>
          <w:noProof/>
          <w:szCs w:val="22"/>
          <w:lang w:eastAsia="ko-KR"/>
        </w:rPr>
      </w:pPr>
      <w:r>
        <w:rPr>
          <w:noProof/>
        </w:rPr>
        <w:t>Life Cycle</w:t>
      </w:r>
      <w:r>
        <w:rPr>
          <w:noProof/>
        </w:rPr>
        <w:tab/>
      </w:r>
      <w:r>
        <w:rPr>
          <w:noProof/>
        </w:rPr>
        <w:fldChar w:fldCharType="begin"/>
      </w:r>
      <w:r>
        <w:rPr>
          <w:noProof/>
        </w:rPr>
        <w:instrText xml:space="preserve"> PAGEREF _Toc58512447 \h </w:instrText>
      </w:r>
      <w:r>
        <w:rPr>
          <w:noProof/>
        </w:rPr>
      </w:r>
      <w:r>
        <w:rPr>
          <w:noProof/>
        </w:rPr>
        <w:fldChar w:fldCharType="separate"/>
      </w:r>
      <w:r>
        <w:rPr>
          <w:noProof/>
        </w:rPr>
        <w:t>8</w:t>
      </w:r>
      <w:r>
        <w:rPr>
          <w:noProof/>
        </w:rPr>
        <w:fldChar w:fldCharType="end"/>
      </w:r>
    </w:p>
    <w:p w14:paraId="1233B012" w14:textId="199BCEE4" w:rsidR="00E228E3" w:rsidRDefault="00E228E3">
      <w:pPr>
        <w:pStyle w:val="TOC3"/>
        <w:rPr>
          <w:rFonts w:asciiTheme="minorHAnsi" w:hAnsiTheme="minorHAnsi"/>
          <w:noProof/>
          <w:szCs w:val="22"/>
          <w:lang w:eastAsia="ko-KR"/>
        </w:rPr>
      </w:pPr>
      <w:r>
        <w:rPr>
          <w:noProof/>
        </w:rPr>
        <w:t>Base Case Material Cost ($/unit)</w:t>
      </w:r>
      <w:r>
        <w:rPr>
          <w:noProof/>
        </w:rPr>
        <w:tab/>
      </w:r>
      <w:r>
        <w:rPr>
          <w:noProof/>
        </w:rPr>
        <w:fldChar w:fldCharType="begin"/>
      </w:r>
      <w:r>
        <w:rPr>
          <w:noProof/>
        </w:rPr>
        <w:instrText xml:space="preserve"> PAGEREF _Toc58512448 \h </w:instrText>
      </w:r>
      <w:r>
        <w:rPr>
          <w:noProof/>
        </w:rPr>
      </w:r>
      <w:r>
        <w:rPr>
          <w:noProof/>
        </w:rPr>
        <w:fldChar w:fldCharType="separate"/>
      </w:r>
      <w:r>
        <w:rPr>
          <w:noProof/>
        </w:rPr>
        <w:t>8</w:t>
      </w:r>
      <w:r>
        <w:rPr>
          <w:noProof/>
        </w:rPr>
        <w:fldChar w:fldCharType="end"/>
      </w:r>
    </w:p>
    <w:p w14:paraId="63F66A8B" w14:textId="303F07D1" w:rsidR="00E228E3" w:rsidRDefault="00E228E3">
      <w:pPr>
        <w:pStyle w:val="TOC3"/>
        <w:rPr>
          <w:rFonts w:asciiTheme="minorHAnsi" w:hAnsiTheme="minorHAnsi"/>
          <w:noProof/>
          <w:szCs w:val="22"/>
          <w:lang w:eastAsia="ko-KR"/>
        </w:rPr>
      </w:pPr>
      <w:r>
        <w:rPr>
          <w:noProof/>
        </w:rPr>
        <w:t>Measure Case Material Cost ($/unit)</w:t>
      </w:r>
      <w:r>
        <w:rPr>
          <w:noProof/>
        </w:rPr>
        <w:tab/>
      </w:r>
      <w:r>
        <w:rPr>
          <w:noProof/>
        </w:rPr>
        <w:fldChar w:fldCharType="begin"/>
      </w:r>
      <w:r>
        <w:rPr>
          <w:noProof/>
        </w:rPr>
        <w:instrText xml:space="preserve"> PAGEREF _Toc58512449 \h </w:instrText>
      </w:r>
      <w:r>
        <w:rPr>
          <w:noProof/>
        </w:rPr>
      </w:r>
      <w:r>
        <w:rPr>
          <w:noProof/>
        </w:rPr>
        <w:fldChar w:fldCharType="separate"/>
      </w:r>
      <w:r>
        <w:rPr>
          <w:noProof/>
        </w:rPr>
        <w:t>9</w:t>
      </w:r>
      <w:r>
        <w:rPr>
          <w:noProof/>
        </w:rPr>
        <w:fldChar w:fldCharType="end"/>
      </w:r>
    </w:p>
    <w:p w14:paraId="7F6245B0" w14:textId="5C3AEE3A" w:rsidR="00E228E3" w:rsidRDefault="00E228E3">
      <w:pPr>
        <w:pStyle w:val="TOC3"/>
        <w:rPr>
          <w:rFonts w:asciiTheme="minorHAnsi" w:hAnsiTheme="minorHAnsi"/>
          <w:noProof/>
          <w:szCs w:val="22"/>
          <w:lang w:eastAsia="ko-KR"/>
        </w:rPr>
      </w:pPr>
      <w:r>
        <w:rPr>
          <w:noProof/>
        </w:rPr>
        <w:t>Labor Cost ($/unit)</w:t>
      </w:r>
      <w:r>
        <w:rPr>
          <w:noProof/>
        </w:rPr>
        <w:tab/>
      </w:r>
      <w:r>
        <w:rPr>
          <w:noProof/>
        </w:rPr>
        <w:fldChar w:fldCharType="begin"/>
      </w:r>
      <w:r>
        <w:rPr>
          <w:noProof/>
        </w:rPr>
        <w:instrText xml:space="preserve"> PAGEREF _Toc58512450 \h </w:instrText>
      </w:r>
      <w:r>
        <w:rPr>
          <w:noProof/>
        </w:rPr>
      </w:r>
      <w:r>
        <w:rPr>
          <w:noProof/>
        </w:rPr>
        <w:fldChar w:fldCharType="separate"/>
      </w:r>
      <w:r>
        <w:rPr>
          <w:noProof/>
        </w:rPr>
        <w:t>9</w:t>
      </w:r>
      <w:r>
        <w:rPr>
          <w:noProof/>
        </w:rPr>
        <w:fldChar w:fldCharType="end"/>
      </w:r>
    </w:p>
    <w:p w14:paraId="7818600E" w14:textId="465E4E90" w:rsidR="00E228E3" w:rsidRDefault="00E228E3">
      <w:pPr>
        <w:pStyle w:val="TOC3"/>
        <w:rPr>
          <w:rFonts w:asciiTheme="minorHAnsi" w:hAnsiTheme="minorHAnsi"/>
          <w:noProof/>
          <w:szCs w:val="22"/>
          <w:lang w:eastAsia="ko-KR"/>
        </w:rPr>
      </w:pPr>
      <w:r>
        <w:rPr>
          <w:noProof/>
        </w:rPr>
        <w:t>Net-to-Gross (NTG)</w:t>
      </w:r>
      <w:r>
        <w:rPr>
          <w:noProof/>
        </w:rPr>
        <w:tab/>
      </w:r>
      <w:r>
        <w:rPr>
          <w:noProof/>
        </w:rPr>
        <w:fldChar w:fldCharType="begin"/>
      </w:r>
      <w:r>
        <w:rPr>
          <w:noProof/>
        </w:rPr>
        <w:instrText xml:space="preserve"> PAGEREF _Toc58512451 \h </w:instrText>
      </w:r>
      <w:r>
        <w:rPr>
          <w:noProof/>
        </w:rPr>
      </w:r>
      <w:r>
        <w:rPr>
          <w:noProof/>
        </w:rPr>
        <w:fldChar w:fldCharType="separate"/>
      </w:r>
      <w:r>
        <w:rPr>
          <w:noProof/>
        </w:rPr>
        <w:t>9</w:t>
      </w:r>
      <w:r>
        <w:rPr>
          <w:noProof/>
        </w:rPr>
        <w:fldChar w:fldCharType="end"/>
      </w:r>
    </w:p>
    <w:p w14:paraId="5A29E14F" w14:textId="4CA7021C" w:rsidR="00E228E3" w:rsidRDefault="00E228E3">
      <w:pPr>
        <w:pStyle w:val="TOC3"/>
        <w:rPr>
          <w:rFonts w:asciiTheme="minorHAnsi" w:hAnsiTheme="minorHAnsi"/>
          <w:noProof/>
          <w:szCs w:val="22"/>
          <w:lang w:eastAsia="ko-KR"/>
        </w:rPr>
      </w:pPr>
      <w:r>
        <w:rPr>
          <w:noProof/>
        </w:rPr>
        <w:t>Gross Savings Installation Adjustment (GSIA)</w:t>
      </w:r>
      <w:r>
        <w:rPr>
          <w:noProof/>
        </w:rPr>
        <w:tab/>
      </w:r>
      <w:r>
        <w:rPr>
          <w:noProof/>
        </w:rPr>
        <w:fldChar w:fldCharType="begin"/>
      </w:r>
      <w:r>
        <w:rPr>
          <w:noProof/>
        </w:rPr>
        <w:instrText xml:space="preserve"> PAGEREF _Toc58512452 \h </w:instrText>
      </w:r>
      <w:r>
        <w:rPr>
          <w:noProof/>
        </w:rPr>
      </w:r>
      <w:r>
        <w:rPr>
          <w:noProof/>
        </w:rPr>
        <w:fldChar w:fldCharType="separate"/>
      </w:r>
      <w:r>
        <w:rPr>
          <w:noProof/>
        </w:rPr>
        <w:t>9</w:t>
      </w:r>
      <w:r>
        <w:rPr>
          <w:noProof/>
        </w:rPr>
        <w:fldChar w:fldCharType="end"/>
      </w:r>
    </w:p>
    <w:p w14:paraId="13B58704" w14:textId="78EFBD51" w:rsidR="00E228E3" w:rsidRDefault="00E228E3">
      <w:pPr>
        <w:pStyle w:val="TOC3"/>
        <w:rPr>
          <w:rFonts w:asciiTheme="minorHAnsi" w:hAnsiTheme="minorHAnsi"/>
          <w:noProof/>
          <w:szCs w:val="22"/>
          <w:lang w:eastAsia="ko-KR"/>
        </w:rPr>
      </w:pPr>
      <w:r>
        <w:rPr>
          <w:noProof/>
        </w:rPr>
        <w:t>Non-Energy Impacts</w:t>
      </w:r>
      <w:r>
        <w:rPr>
          <w:noProof/>
        </w:rPr>
        <w:tab/>
      </w:r>
      <w:r>
        <w:rPr>
          <w:noProof/>
        </w:rPr>
        <w:fldChar w:fldCharType="begin"/>
      </w:r>
      <w:r>
        <w:rPr>
          <w:noProof/>
        </w:rPr>
        <w:instrText xml:space="preserve"> PAGEREF _Toc58512453 \h </w:instrText>
      </w:r>
      <w:r>
        <w:rPr>
          <w:noProof/>
        </w:rPr>
      </w:r>
      <w:r>
        <w:rPr>
          <w:noProof/>
        </w:rPr>
        <w:fldChar w:fldCharType="separate"/>
      </w:r>
      <w:r>
        <w:rPr>
          <w:noProof/>
        </w:rPr>
        <w:t>10</w:t>
      </w:r>
      <w:r>
        <w:rPr>
          <w:noProof/>
        </w:rPr>
        <w:fldChar w:fldCharType="end"/>
      </w:r>
    </w:p>
    <w:p w14:paraId="36096CD6" w14:textId="12BBD847" w:rsidR="00E228E3" w:rsidRDefault="00E228E3">
      <w:pPr>
        <w:pStyle w:val="TOC3"/>
        <w:rPr>
          <w:rFonts w:asciiTheme="minorHAnsi" w:hAnsiTheme="minorHAnsi"/>
          <w:noProof/>
          <w:szCs w:val="22"/>
          <w:lang w:eastAsia="ko-KR"/>
        </w:rPr>
      </w:pPr>
      <w:r>
        <w:rPr>
          <w:noProof/>
        </w:rPr>
        <w:t>DEER Differences Analysis</w:t>
      </w:r>
      <w:r>
        <w:rPr>
          <w:noProof/>
        </w:rPr>
        <w:tab/>
      </w:r>
      <w:r>
        <w:rPr>
          <w:noProof/>
        </w:rPr>
        <w:fldChar w:fldCharType="begin"/>
      </w:r>
      <w:r>
        <w:rPr>
          <w:noProof/>
        </w:rPr>
        <w:instrText xml:space="preserve"> PAGEREF _Toc58512454 \h </w:instrText>
      </w:r>
      <w:r>
        <w:rPr>
          <w:noProof/>
        </w:rPr>
      </w:r>
      <w:r>
        <w:rPr>
          <w:noProof/>
        </w:rPr>
        <w:fldChar w:fldCharType="separate"/>
      </w:r>
      <w:r>
        <w:rPr>
          <w:noProof/>
        </w:rPr>
        <w:t>10</w:t>
      </w:r>
      <w:r>
        <w:rPr>
          <w:noProof/>
        </w:rPr>
        <w:fldChar w:fldCharType="end"/>
      </w:r>
    </w:p>
    <w:p w14:paraId="22A1130E" w14:textId="495462A4" w:rsidR="00E228E3" w:rsidRDefault="00E228E3">
      <w:pPr>
        <w:pStyle w:val="TOC3"/>
        <w:rPr>
          <w:rFonts w:asciiTheme="minorHAnsi" w:hAnsiTheme="minorHAnsi"/>
          <w:noProof/>
          <w:szCs w:val="22"/>
          <w:lang w:eastAsia="ko-KR"/>
        </w:rPr>
      </w:pPr>
      <w:r>
        <w:rPr>
          <w:noProof/>
        </w:rPr>
        <w:t>Revision History</w:t>
      </w:r>
      <w:r>
        <w:rPr>
          <w:noProof/>
        </w:rPr>
        <w:tab/>
      </w:r>
      <w:r>
        <w:rPr>
          <w:noProof/>
        </w:rPr>
        <w:fldChar w:fldCharType="begin"/>
      </w:r>
      <w:r>
        <w:rPr>
          <w:noProof/>
        </w:rPr>
        <w:instrText xml:space="preserve"> PAGEREF _Toc58512455 \h </w:instrText>
      </w:r>
      <w:r>
        <w:rPr>
          <w:noProof/>
        </w:rPr>
      </w:r>
      <w:r>
        <w:rPr>
          <w:noProof/>
        </w:rPr>
        <w:fldChar w:fldCharType="separate"/>
      </w:r>
      <w:r>
        <w:rPr>
          <w:noProof/>
        </w:rPr>
        <w:t>10</w:t>
      </w:r>
      <w:r>
        <w:rPr>
          <w:noProof/>
        </w:rPr>
        <w:fldChar w:fldCharType="end"/>
      </w:r>
    </w:p>
    <w:p w14:paraId="7512AED5" w14:textId="5AB44C4B" w:rsidR="001C6C9B" w:rsidRPr="00D12B8C" w:rsidRDefault="00491519" w:rsidP="00D12B8C">
      <w:r>
        <w:fldChar w:fldCharType="end"/>
      </w:r>
    </w:p>
    <w:p w14:paraId="68CA1C8F" w14:textId="7956171F" w:rsidR="000E60FE" w:rsidRDefault="000E60FE">
      <w:pPr>
        <w:spacing w:before="0" w:after="0" w:line="240" w:lineRule="auto"/>
      </w:pPr>
      <w:r>
        <w:br w:type="page"/>
      </w:r>
    </w:p>
    <w:p w14:paraId="7323DD19" w14:textId="77777777" w:rsidR="005211C6" w:rsidRPr="007E1F66" w:rsidRDefault="005211C6" w:rsidP="005211C6">
      <w:pPr>
        <w:pStyle w:val="eTRMHeading3"/>
      </w:pPr>
      <w:bookmarkStart w:id="0" w:name="_Toc528753388"/>
      <w:bookmarkStart w:id="1" w:name="_Toc58512433"/>
      <w:r w:rsidRPr="007E1F66">
        <w:lastRenderedPageBreak/>
        <w:t>Measure Name</w:t>
      </w:r>
      <w:bookmarkEnd w:id="0"/>
      <w:bookmarkEnd w:id="1"/>
    </w:p>
    <w:p w14:paraId="5A6EF655" w14:textId="6E8CDAB7" w:rsidR="00E14349" w:rsidRPr="0042436F" w:rsidRDefault="00C04E14" w:rsidP="00E14349">
      <w:pPr>
        <w:pStyle w:val="TableFootnote"/>
        <w:rPr>
          <w:rFonts w:eastAsia="Times New Roman" w:cs="Calibri Light"/>
          <w:color w:val="auto"/>
          <w:sz w:val="22"/>
          <w:szCs w:val="22"/>
        </w:rPr>
      </w:pPr>
      <w:r>
        <w:rPr>
          <w:rFonts w:eastAsia="Times New Roman" w:cs="Calibri Light"/>
          <w:color w:val="auto"/>
          <w:sz w:val="22"/>
          <w:szCs w:val="22"/>
        </w:rPr>
        <w:t>Floating Head Pressure Controls, Multiplex</w:t>
      </w:r>
    </w:p>
    <w:p w14:paraId="34B89A4F" w14:textId="77777777" w:rsidR="000E60FE" w:rsidRDefault="000E60FE" w:rsidP="00DF1B80">
      <w:pPr>
        <w:pStyle w:val="eTRMHeading3"/>
      </w:pPr>
      <w:bookmarkStart w:id="2" w:name="_Toc528753389"/>
    </w:p>
    <w:p w14:paraId="1DF61FE0" w14:textId="77777777" w:rsidR="00DF1B80" w:rsidRPr="00074E3E" w:rsidRDefault="00DF1B80" w:rsidP="00DF1B80">
      <w:pPr>
        <w:pStyle w:val="eTRMHeading3"/>
      </w:pPr>
      <w:bookmarkStart w:id="3" w:name="_Toc58512434"/>
      <w:r>
        <w:t>Statewide Measure ID</w:t>
      </w:r>
      <w:bookmarkEnd w:id="2"/>
      <w:bookmarkEnd w:id="3"/>
    </w:p>
    <w:p w14:paraId="21172ABF" w14:textId="3CB49869" w:rsidR="003621CB" w:rsidRDefault="00BF778A" w:rsidP="00DF1B80">
      <w:r>
        <w:t>SWCR007-02</w:t>
      </w:r>
    </w:p>
    <w:p w14:paraId="7E188E9B" w14:textId="77777777" w:rsidR="00DF1B80" w:rsidRPr="00D873BC" w:rsidRDefault="00DF1B80" w:rsidP="0042436F"/>
    <w:p w14:paraId="6DED05B9" w14:textId="77777777" w:rsidR="00E70CBD" w:rsidRPr="00154391" w:rsidRDefault="00E70CBD" w:rsidP="00437D63">
      <w:pPr>
        <w:pStyle w:val="eTRMHeading3"/>
      </w:pPr>
      <w:bookmarkStart w:id="4" w:name="_Toc486490847"/>
      <w:bookmarkStart w:id="5" w:name="_Toc486580918"/>
      <w:bookmarkStart w:id="6" w:name="_Toc58512435"/>
      <w:r w:rsidRPr="00154391">
        <w:t>Technology Summary</w:t>
      </w:r>
      <w:bookmarkEnd w:id="4"/>
      <w:bookmarkEnd w:id="5"/>
      <w:bookmarkEnd w:id="6"/>
      <w:r w:rsidRPr="00154391">
        <w:t xml:space="preserve"> </w:t>
      </w:r>
    </w:p>
    <w:p w14:paraId="39018B29" w14:textId="00D513C6" w:rsidR="00214B46" w:rsidRPr="00E35542" w:rsidRDefault="00214B46" w:rsidP="00897E40">
      <w:pPr>
        <w:pStyle w:val="Reminder"/>
        <w:spacing w:before="0" w:after="120"/>
        <w:rPr>
          <w:rFonts w:ascii="Calibri Light" w:hAnsi="Calibri Light" w:cs="Calibri Light"/>
          <w:i w:val="0"/>
          <w:color w:val="auto"/>
          <w:szCs w:val="22"/>
        </w:rPr>
      </w:pPr>
      <w:r w:rsidRPr="000071A9">
        <w:rPr>
          <w:rFonts w:ascii="Calibri Light" w:hAnsi="Calibri Light" w:cs="Calibri Light"/>
          <w:i w:val="0"/>
          <w:color w:val="auto"/>
          <w:szCs w:val="22"/>
        </w:rPr>
        <w:t xml:space="preserve">This </w:t>
      </w:r>
      <w:r w:rsidR="00520426">
        <w:rPr>
          <w:rFonts w:ascii="Calibri Light" w:hAnsi="Calibri Light" w:cs="Calibri Light"/>
          <w:i w:val="0"/>
          <w:color w:val="auto"/>
          <w:szCs w:val="22"/>
        </w:rPr>
        <w:t>measure</w:t>
      </w:r>
      <w:r w:rsidRPr="000071A9">
        <w:rPr>
          <w:rFonts w:ascii="Calibri Light" w:hAnsi="Calibri Light" w:cs="Calibri Light"/>
          <w:i w:val="0"/>
          <w:color w:val="auto"/>
          <w:szCs w:val="22"/>
        </w:rPr>
        <w:t xml:space="preserve"> focuses on floating head pressure control retrofits on existing commercial multiplex </w:t>
      </w:r>
      <w:r w:rsidR="001C7DB0">
        <w:rPr>
          <w:rFonts w:ascii="Calibri Light" w:hAnsi="Calibri Light" w:cs="Calibri Light"/>
          <w:i w:val="0"/>
          <w:color w:val="auto"/>
          <w:szCs w:val="22"/>
        </w:rPr>
        <w:t xml:space="preserve">refrigeration </w:t>
      </w:r>
      <w:r w:rsidRPr="000071A9">
        <w:rPr>
          <w:rFonts w:ascii="Calibri Light" w:hAnsi="Calibri Light" w:cs="Calibri Light"/>
          <w:i w:val="0"/>
          <w:color w:val="auto"/>
          <w:szCs w:val="22"/>
        </w:rPr>
        <w:t xml:space="preserve">systems with fixed head pressure controls. The largest energy consuming components of a refrigeration system are the compressor(s) and the heat </w:t>
      </w:r>
      <w:r w:rsidRPr="00E35542">
        <w:rPr>
          <w:rFonts w:ascii="Calibri Light" w:hAnsi="Calibri Light" w:cs="Calibri Light"/>
          <w:i w:val="0"/>
          <w:color w:val="auto"/>
          <w:szCs w:val="22"/>
        </w:rPr>
        <w:t>rejection fan(s). Critical processes in a refrigeration cycle are described as follows:</w:t>
      </w:r>
    </w:p>
    <w:p w14:paraId="0B446E9A" w14:textId="1DDDC2DE" w:rsidR="00214B46" w:rsidRPr="001003E3" w:rsidRDefault="007B7A0C" w:rsidP="001003E3">
      <w:pPr>
        <w:pStyle w:val="eTRMBulletedText"/>
      </w:pPr>
      <w:r w:rsidRPr="001003E3">
        <w:t>The r</w:t>
      </w:r>
      <w:r w:rsidR="00214B46" w:rsidRPr="001003E3">
        <w:t xml:space="preserve">efrigerant close to its saturated vapor state is compressed to a super-heated vapor state at a higher pressure and temperature. </w:t>
      </w:r>
    </w:p>
    <w:p w14:paraId="5B53C117" w14:textId="55E5F0EF" w:rsidR="00214B46" w:rsidRPr="001003E3" w:rsidRDefault="00214B46" w:rsidP="001003E3">
      <w:pPr>
        <w:pStyle w:val="eTRMBulletedText"/>
      </w:pPr>
      <w:r w:rsidRPr="001003E3">
        <w:t xml:space="preserve">The superheated vapor is fed to the fan-powered condenser where heat is rejected to the ambient via air for air-cooled condenser or the combination of air and evaporating water for evaporative condenser. The condenser is designed to cool the refrigerant to the saturated-liquid state by rejecting </w:t>
      </w:r>
      <w:r w:rsidR="007E0938">
        <w:t>heat from the refrigerant at a high temperature</w:t>
      </w:r>
      <w:r w:rsidRPr="001003E3">
        <w:t xml:space="preserve"> to the ambient at lower temperature. </w:t>
      </w:r>
    </w:p>
    <w:p w14:paraId="37238392" w14:textId="0B76B93B" w:rsidR="00214B46" w:rsidRPr="001003E3" w:rsidRDefault="007B7A0C" w:rsidP="001003E3">
      <w:pPr>
        <w:pStyle w:val="eTRMBulletedText"/>
      </w:pPr>
      <w:r w:rsidRPr="001003E3">
        <w:t>The r</w:t>
      </w:r>
      <w:r w:rsidR="00214B46" w:rsidRPr="001003E3">
        <w:t xml:space="preserve">efrigerant at the exit of the condenser is then flashed to a lower pressure and temperature via an expansion valve which enables it to absorb heat from the refrigerated zones which are maintained at a higher temperature relative to the refrigerant. This heat absorption brings it back to the saturated vapor state at the start of the compression process. </w:t>
      </w:r>
    </w:p>
    <w:p w14:paraId="5D0E409D" w14:textId="5FD56919" w:rsidR="00437D63" w:rsidRDefault="00437D63" w:rsidP="00897E40">
      <w:pPr>
        <w:pStyle w:val="Reminders"/>
        <w:spacing w:before="0" w:after="120"/>
        <w:rPr>
          <w:rFonts w:ascii="Calibri Light" w:hAnsi="Calibri Light" w:cs="Calibri Light"/>
          <w:i w:val="0"/>
          <w:color w:val="auto"/>
          <w:szCs w:val="22"/>
        </w:rPr>
      </w:pPr>
    </w:p>
    <w:p w14:paraId="687B4750" w14:textId="394FA94E" w:rsidR="00214B46" w:rsidRPr="00F36FCB" w:rsidRDefault="00214B46" w:rsidP="00897E40">
      <w:pPr>
        <w:pStyle w:val="Reminders"/>
        <w:spacing w:before="0" w:after="120"/>
        <w:rPr>
          <w:rFonts w:ascii="Calibri Light" w:hAnsi="Calibri Light" w:cs="Calibri Light"/>
          <w:i w:val="0"/>
          <w:color w:val="auto"/>
          <w:szCs w:val="22"/>
        </w:rPr>
      </w:pPr>
      <w:r w:rsidRPr="00F36FCB">
        <w:rPr>
          <w:rFonts w:ascii="Calibri Light" w:hAnsi="Calibri Light" w:cs="Calibri Light"/>
          <w:i w:val="0"/>
          <w:color w:val="auto"/>
          <w:szCs w:val="22"/>
        </w:rPr>
        <w:t xml:space="preserve">The common method for head pressure control </w:t>
      </w:r>
      <w:r w:rsidR="007C2147">
        <w:rPr>
          <w:rFonts w:ascii="Calibri Light" w:hAnsi="Calibri Light" w:cs="Calibri Light"/>
          <w:i w:val="0"/>
          <w:color w:val="auto"/>
          <w:szCs w:val="22"/>
        </w:rPr>
        <w:t>utilizes</w:t>
      </w:r>
      <w:r w:rsidRPr="00F36FCB">
        <w:rPr>
          <w:rFonts w:ascii="Calibri Light" w:hAnsi="Calibri Light" w:cs="Calibri Light"/>
          <w:i w:val="0"/>
          <w:color w:val="auto"/>
          <w:szCs w:val="22"/>
        </w:rPr>
        <w:t xml:space="preserve"> condenser fan control. The amount of air (moist air) passing through the air cooled (evap</w:t>
      </w:r>
      <w:r w:rsidR="00F309E7" w:rsidRPr="00F36FCB">
        <w:rPr>
          <w:rFonts w:ascii="Calibri Light" w:hAnsi="Calibri Light" w:cs="Calibri Light"/>
          <w:i w:val="0"/>
          <w:color w:val="auto"/>
          <w:szCs w:val="22"/>
        </w:rPr>
        <w:t>orator</w:t>
      </w:r>
      <w:r w:rsidRPr="00F36FCB">
        <w:rPr>
          <w:rFonts w:ascii="Calibri Light" w:hAnsi="Calibri Light" w:cs="Calibri Light"/>
          <w:i w:val="0"/>
          <w:color w:val="auto"/>
          <w:szCs w:val="22"/>
        </w:rPr>
        <w:t xml:space="preserve">-cooled) condenser is regulated to control condenser </w:t>
      </w:r>
      <w:r w:rsidR="008F03CB">
        <w:rPr>
          <w:rFonts w:ascii="Calibri Light" w:hAnsi="Calibri Light" w:cs="Calibri Light"/>
          <w:i w:val="0"/>
          <w:color w:val="auto"/>
          <w:szCs w:val="22"/>
        </w:rPr>
        <w:t>capacity and head pressure. Air-</w:t>
      </w:r>
      <w:r w:rsidRPr="00F36FCB">
        <w:rPr>
          <w:rFonts w:ascii="Calibri Light" w:hAnsi="Calibri Light" w:cs="Calibri Light"/>
          <w:i w:val="0"/>
          <w:color w:val="auto"/>
          <w:szCs w:val="22"/>
        </w:rPr>
        <w:t>flow control is achieved through the following schemes:</w:t>
      </w:r>
    </w:p>
    <w:p w14:paraId="5C6BA8A5" w14:textId="77777777" w:rsidR="00214B46" w:rsidRPr="001003E3" w:rsidRDefault="00214B46" w:rsidP="003F014B">
      <w:pPr>
        <w:pStyle w:val="ListParagraph"/>
        <w:numPr>
          <w:ilvl w:val="0"/>
          <w:numId w:val="27"/>
        </w:numPr>
      </w:pPr>
      <w:r w:rsidRPr="001003E3">
        <w:t xml:space="preserve">Fan cycling </w:t>
      </w:r>
    </w:p>
    <w:p w14:paraId="2931A0F4" w14:textId="77777777" w:rsidR="00214B46" w:rsidRPr="001003E3" w:rsidRDefault="00214B46" w:rsidP="003F014B">
      <w:pPr>
        <w:pStyle w:val="ListParagraph"/>
        <w:numPr>
          <w:ilvl w:val="0"/>
          <w:numId w:val="27"/>
        </w:numPr>
      </w:pPr>
      <w:r w:rsidRPr="001003E3">
        <w:t>Fan staging</w:t>
      </w:r>
      <w:r w:rsidR="008F03CB" w:rsidRPr="001003E3">
        <w:t xml:space="preserve"> </w:t>
      </w:r>
      <w:r w:rsidRPr="001003E3">
        <w:t xml:space="preserve"> </w:t>
      </w:r>
    </w:p>
    <w:p w14:paraId="6FF87067" w14:textId="77777777" w:rsidR="00214B46" w:rsidRPr="001003E3" w:rsidRDefault="00214B46" w:rsidP="003F014B">
      <w:pPr>
        <w:pStyle w:val="ListParagraph"/>
        <w:numPr>
          <w:ilvl w:val="0"/>
          <w:numId w:val="27"/>
        </w:numPr>
      </w:pPr>
      <w:r w:rsidRPr="001003E3">
        <w:t xml:space="preserve">Fan speed modulation </w:t>
      </w:r>
    </w:p>
    <w:p w14:paraId="0F4324A7" w14:textId="3C6580F2" w:rsidR="00214B46" w:rsidRPr="00F36FCB" w:rsidRDefault="00214B46" w:rsidP="00F309E7">
      <w:pPr>
        <w:pStyle w:val="Reminders"/>
        <w:spacing w:before="0" w:after="120"/>
        <w:rPr>
          <w:rFonts w:ascii="Calibri Light" w:hAnsi="Calibri Light" w:cs="Calibri Light"/>
          <w:i w:val="0"/>
          <w:color w:val="auto"/>
          <w:szCs w:val="22"/>
        </w:rPr>
      </w:pPr>
      <w:r w:rsidRPr="00F36FCB">
        <w:rPr>
          <w:rFonts w:ascii="Calibri Light" w:hAnsi="Calibri Light" w:cs="Calibri Light"/>
          <w:i w:val="0"/>
          <w:color w:val="auto"/>
          <w:szCs w:val="22"/>
        </w:rPr>
        <w:t>A</w:t>
      </w:r>
      <w:r w:rsidR="008F03CB">
        <w:rPr>
          <w:rFonts w:ascii="Calibri Light" w:hAnsi="Calibri Light" w:cs="Calibri Light"/>
          <w:i w:val="0"/>
          <w:color w:val="auto"/>
          <w:szCs w:val="22"/>
        </w:rPr>
        <w:t>n a</w:t>
      </w:r>
      <w:r w:rsidRPr="00F36FCB">
        <w:rPr>
          <w:rFonts w:ascii="Calibri Light" w:hAnsi="Calibri Light" w:cs="Calibri Light"/>
          <w:i w:val="0"/>
          <w:color w:val="auto"/>
          <w:szCs w:val="22"/>
        </w:rPr>
        <w:t>lternate method for head pressure c</w:t>
      </w:r>
      <w:r w:rsidR="00F309E7" w:rsidRPr="00F36FCB">
        <w:rPr>
          <w:rFonts w:ascii="Calibri Light" w:hAnsi="Calibri Light" w:cs="Calibri Light"/>
          <w:i w:val="0"/>
          <w:color w:val="auto"/>
          <w:szCs w:val="22"/>
        </w:rPr>
        <w:t xml:space="preserve">ontrol is condenser back-flood. </w:t>
      </w:r>
      <w:r w:rsidRPr="00F36FCB">
        <w:rPr>
          <w:rFonts w:ascii="Calibri Light" w:hAnsi="Calibri Light" w:cs="Calibri Light"/>
          <w:i w:val="0"/>
          <w:color w:val="auto"/>
          <w:szCs w:val="22"/>
        </w:rPr>
        <w:t xml:space="preserve">Liquid refrigerant is </w:t>
      </w:r>
      <w:proofErr w:type="gramStart"/>
      <w:r w:rsidRPr="00F36FCB">
        <w:rPr>
          <w:rFonts w:ascii="Calibri Light" w:hAnsi="Calibri Light" w:cs="Calibri Light"/>
          <w:i w:val="0"/>
          <w:color w:val="auto"/>
          <w:szCs w:val="22"/>
        </w:rPr>
        <w:t>back-flooded</w:t>
      </w:r>
      <w:proofErr w:type="gramEnd"/>
      <w:r w:rsidRPr="00F36FCB">
        <w:rPr>
          <w:rFonts w:ascii="Calibri Light" w:hAnsi="Calibri Light" w:cs="Calibri Light"/>
          <w:i w:val="0"/>
          <w:color w:val="auto"/>
          <w:szCs w:val="22"/>
        </w:rPr>
        <w:t xml:space="preserve"> to (or retained in) the condenser to reduce the effective condensing surface and condenser capacity. As liquid refrigerant accumulates in the condenser, the condenser pressure increases which directly affect the compress</w:t>
      </w:r>
      <w:r w:rsidR="00F309E7" w:rsidRPr="00F36FCB">
        <w:rPr>
          <w:rFonts w:ascii="Calibri Light" w:hAnsi="Calibri Light" w:cs="Calibri Light"/>
          <w:i w:val="0"/>
          <w:color w:val="auto"/>
          <w:szCs w:val="22"/>
        </w:rPr>
        <w:t>or discharge pressure. The back-</w:t>
      </w:r>
      <w:r w:rsidRPr="00F36FCB">
        <w:rPr>
          <w:rFonts w:ascii="Calibri Light" w:hAnsi="Calibri Light" w:cs="Calibri Light"/>
          <w:i w:val="0"/>
          <w:color w:val="auto"/>
          <w:szCs w:val="22"/>
        </w:rPr>
        <w:t xml:space="preserve">flood control setpoint (BSC) controls the temperature at or above which liquid refrigerant is retained in condenser. </w:t>
      </w:r>
    </w:p>
    <w:p w14:paraId="1DE1C12F" w14:textId="37C9EDF8" w:rsidR="00214B46" w:rsidRPr="00F36FCB" w:rsidRDefault="00214B46" w:rsidP="00897E40">
      <w:pPr>
        <w:pStyle w:val="Reminder"/>
        <w:spacing w:before="0" w:after="120"/>
        <w:rPr>
          <w:rFonts w:ascii="Calibri Light" w:hAnsi="Calibri Light" w:cs="Calibri Light"/>
          <w:i w:val="0"/>
          <w:color w:val="auto"/>
          <w:szCs w:val="22"/>
        </w:rPr>
      </w:pPr>
      <w:r w:rsidRPr="00F36FCB">
        <w:rPr>
          <w:rFonts w:ascii="Calibri Light" w:hAnsi="Calibri Light" w:cs="Calibri Light"/>
          <w:i w:val="0"/>
          <w:color w:val="auto"/>
          <w:szCs w:val="22"/>
        </w:rPr>
        <w:t>The installation of floating head pressure controls reduces the compressor power draw by reducing the compressor discharge pressure when the ambient</w:t>
      </w:r>
      <w:r w:rsidR="00CF756F">
        <w:rPr>
          <w:rFonts w:ascii="Calibri Light" w:hAnsi="Calibri Light" w:cs="Calibri Light"/>
          <w:i w:val="0"/>
          <w:color w:val="auto"/>
          <w:szCs w:val="22"/>
        </w:rPr>
        <w:t xml:space="preserve"> dry-bulb,</w:t>
      </w:r>
      <w:r w:rsidRPr="00F36FCB">
        <w:rPr>
          <w:rFonts w:ascii="Calibri Light" w:hAnsi="Calibri Light" w:cs="Calibri Light"/>
          <w:i w:val="0"/>
          <w:color w:val="auto"/>
          <w:szCs w:val="22"/>
        </w:rPr>
        <w:t xml:space="preserve"> </w:t>
      </w:r>
      <m:oMath>
        <m:sSub>
          <m:sSubPr>
            <m:ctrlPr>
              <w:rPr>
                <w:rFonts w:ascii="Cambria Math" w:hAnsi="Cambria Math" w:cs="Calibri Light"/>
                <w:color w:val="auto"/>
                <w:szCs w:val="22"/>
              </w:rPr>
            </m:ctrlPr>
          </m:sSubPr>
          <m:e>
            <m:r>
              <w:rPr>
                <w:rFonts w:ascii="Cambria Math" w:hAnsi="Cambria Math" w:cs="Calibri Light"/>
                <w:color w:val="auto"/>
                <w:szCs w:val="22"/>
              </w:rPr>
              <m:t>T</m:t>
            </m:r>
          </m:e>
          <m:sub>
            <m:r>
              <w:rPr>
                <w:rFonts w:ascii="Cambria Math" w:hAnsi="Cambria Math" w:cs="Calibri Light"/>
                <w:color w:val="auto"/>
                <w:szCs w:val="22"/>
              </w:rPr>
              <m:t>db</m:t>
            </m:r>
          </m:sub>
        </m:sSub>
      </m:oMath>
      <w:r w:rsidR="00CF756F">
        <w:rPr>
          <w:rFonts w:ascii="Calibri Light" w:hAnsi="Calibri Light" w:cs="Calibri Light"/>
          <w:i w:val="0"/>
          <w:color w:val="auto"/>
          <w:szCs w:val="22"/>
        </w:rPr>
        <w:t>,</w:t>
      </w:r>
      <w:r w:rsidRPr="00F36FCB">
        <w:rPr>
          <w:rFonts w:ascii="Calibri Light" w:hAnsi="Calibri Light" w:cs="Calibri Light"/>
          <w:i w:val="0"/>
          <w:color w:val="auto"/>
          <w:szCs w:val="22"/>
        </w:rPr>
        <w:t xml:space="preserve"> (</w:t>
      </w:r>
      <w:r w:rsidR="00CF756F">
        <w:rPr>
          <w:rFonts w:ascii="Calibri Light" w:hAnsi="Calibri Light" w:cs="Calibri Light"/>
          <w:i w:val="0"/>
          <w:color w:val="auto"/>
          <w:szCs w:val="22"/>
        </w:rPr>
        <w:t xml:space="preserve">wet-bulb, </w:t>
      </w:r>
      <m:oMath>
        <m:sSub>
          <m:sSubPr>
            <m:ctrlPr>
              <w:rPr>
                <w:rFonts w:ascii="Cambria Math" w:hAnsi="Cambria Math" w:cs="Calibri Light"/>
                <w:color w:val="auto"/>
                <w:szCs w:val="22"/>
              </w:rPr>
            </m:ctrlPr>
          </m:sSubPr>
          <m:e>
            <m:r>
              <w:rPr>
                <w:rFonts w:ascii="Cambria Math" w:hAnsi="Cambria Math" w:cs="Calibri Light"/>
                <w:color w:val="auto"/>
                <w:szCs w:val="22"/>
              </w:rPr>
              <m:t>T</m:t>
            </m:r>
          </m:e>
          <m:sub>
            <m:r>
              <w:rPr>
                <w:rFonts w:ascii="Cambria Math" w:hAnsi="Cambria Math" w:cs="Calibri Light"/>
                <w:color w:val="auto"/>
                <w:szCs w:val="22"/>
              </w:rPr>
              <m:t>wb</m:t>
            </m:r>
          </m:sub>
        </m:sSub>
      </m:oMath>
      <w:r w:rsidRPr="00F36FCB">
        <w:rPr>
          <w:rFonts w:ascii="Calibri Light" w:hAnsi="Calibri Light" w:cs="Calibri Light"/>
          <w:i w:val="0"/>
          <w:color w:val="auto"/>
          <w:szCs w:val="22"/>
        </w:rPr>
        <w:t>) temperatures are lower than what the air-cooled (evap</w:t>
      </w:r>
      <w:proofErr w:type="spellStart"/>
      <w:r w:rsidR="008F03CB">
        <w:rPr>
          <w:rFonts w:ascii="Calibri Light" w:hAnsi="Calibri Light" w:cs="Calibri Light"/>
          <w:i w:val="0"/>
          <w:color w:val="auto"/>
          <w:szCs w:val="22"/>
        </w:rPr>
        <w:t>orative</w:t>
      </w:r>
      <w:proofErr w:type="spellEnd"/>
      <w:r w:rsidRPr="00F36FCB">
        <w:rPr>
          <w:rFonts w:ascii="Calibri Light" w:hAnsi="Calibri Light" w:cs="Calibri Light"/>
          <w:i w:val="0"/>
          <w:color w:val="auto"/>
          <w:szCs w:val="22"/>
        </w:rPr>
        <w:t xml:space="preserve">-cooled) refrigeration system was designed for. The refrigeration system is set to have a minimum </w:t>
      </w:r>
      <w:r w:rsidR="009C7A73">
        <w:rPr>
          <w:rFonts w:ascii="Calibri Light" w:hAnsi="Calibri Light" w:cs="Calibri Light"/>
          <w:i w:val="0"/>
          <w:color w:val="auto"/>
          <w:szCs w:val="22"/>
        </w:rPr>
        <w:t>saturated condensing temperature (</w:t>
      </w:r>
      <w:r w:rsidRPr="00F36FCB">
        <w:rPr>
          <w:rFonts w:ascii="Calibri Light" w:hAnsi="Calibri Light" w:cs="Calibri Light"/>
          <w:i w:val="0"/>
          <w:color w:val="auto"/>
          <w:szCs w:val="22"/>
        </w:rPr>
        <w:t>SCT</w:t>
      </w:r>
      <w:r w:rsidR="009C7A73">
        <w:rPr>
          <w:rFonts w:ascii="Calibri Light" w:hAnsi="Calibri Light" w:cs="Calibri Light"/>
          <w:i w:val="0"/>
          <w:color w:val="auto"/>
          <w:szCs w:val="22"/>
        </w:rPr>
        <w:t>)</w:t>
      </w:r>
      <w:r w:rsidRPr="00F36FCB">
        <w:rPr>
          <w:rFonts w:ascii="Calibri Light" w:hAnsi="Calibri Light" w:cs="Calibri Light"/>
          <w:i w:val="0"/>
          <w:color w:val="auto"/>
          <w:szCs w:val="22"/>
        </w:rPr>
        <w:t xml:space="preserve"> to maintain refrigerant pressure at the</w:t>
      </w:r>
      <w:r w:rsidR="00F309E7" w:rsidRPr="00F36FCB">
        <w:rPr>
          <w:rFonts w:ascii="Calibri Light" w:hAnsi="Calibri Light" w:cs="Calibri Light"/>
          <w:i w:val="0"/>
          <w:color w:val="auto"/>
          <w:szCs w:val="22"/>
        </w:rPr>
        <w:t xml:space="preserve"> inlet of the expansion valve. </w:t>
      </w:r>
    </w:p>
    <w:p w14:paraId="78BCE97C" w14:textId="5B3EB601" w:rsidR="00214B46" w:rsidRDefault="00214B46" w:rsidP="00897E40">
      <w:pPr>
        <w:pStyle w:val="Reminder"/>
        <w:spacing w:before="0" w:after="120"/>
        <w:rPr>
          <w:rFonts w:ascii="Calibri Light" w:hAnsi="Calibri Light" w:cs="Calibri Light"/>
          <w:i w:val="0"/>
          <w:color w:val="auto"/>
          <w:szCs w:val="22"/>
        </w:rPr>
      </w:pPr>
      <w:r w:rsidRPr="00F36FCB">
        <w:rPr>
          <w:rFonts w:ascii="Calibri Light" w:hAnsi="Calibri Light" w:cs="Calibri Light"/>
          <w:i w:val="0"/>
          <w:color w:val="auto"/>
          <w:szCs w:val="22"/>
        </w:rPr>
        <w:t xml:space="preserve">Under a constant head pressure operation in cooler ambient conditions, the condenser heat rejection can be accomplished by taking advantage of larger temperature difference (TD) between SCT and ambient </w:t>
      </w:r>
      <w:r w:rsidRPr="00F36FCB">
        <w:rPr>
          <w:rFonts w:ascii="Calibri Light" w:hAnsi="Calibri Light" w:cs="Calibri Light"/>
          <w:i w:val="0"/>
          <w:color w:val="auto"/>
          <w:szCs w:val="22"/>
        </w:rPr>
        <w:lastRenderedPageBreak/>
        <w:t>temperatures and the condenser fan can be cycled off (or throttled down) more frequently. However, under floating head pressure controls, SCT follows the ambient temperature to maintain a specified TD and the condenser fan will consume more energy as it will operate more often to accomplish heat rejection. However, this increase in fan energy usage is offset by the decrea</w:t>
      </w:r>
      <w:r w:rsidR="00F309E7" w:rsidRPr="00F36FCB">
        <w:rPr>
          <w:rFonts w:ascii="Calibri Light" w:hAnsi="Calibri Light" w:cs="Calibri Light"/>
          <w:i w:val="0"/>
          <w:color w:val="auto"/>
          <w:szCs w:val="22"/>
        </w:rPr>
        <w:t xml:space="preserve">se in compressor energy usage. </w:t>
      </w:r>
    </w:p>
    <w:p w14:paraId="3E8FF73F" w14:textId="77777777" w:rsidR="008F03CB" w:rsidRPr="003F1AC4" w:rsidRDefault="008F03CB" w:rsidP="003F1AC4">
      <w:pPr>
        <w:pStyle w:val="Reminder"/>
        <w:spacing w:before="0" w:after="120"/>
        <w:rPr>
          <w:rFonts w:ascii="Calibri Light" w:hAnsi="Calibri Light" w:cs="Calibri Light"/>
          <w:i w:val="0"/>
          <w:color w:val="auto"/>
          <w:szCs w:val="22"/>
        </w:rPr>
      </w:pPr>
    </w:p>
    <w:p w14:paraId="340CF312" w14:textId="77777777" w:rsidR="007D230B" w:rsidRPr="004B06E3" w:rsidRDefault="007D230B" w:rsidP="00437D63">
      <w:pPr>
        <w:pStyle w:val="eTRMHeading3"/>
      </w:pPr>
      <w:bookmarkStart w:id="7" w:name="_Toc486490848"/>
      <w:bookmarkStart w:id="8" w:name="_Toc486580919"/>
      <w:bookmarkStart w:id="9" w:name="_Toc58512436"/>
      <w:r w:rsidRPr="004B06E3">
        <w:t>Measure Case Description</w:t>
      </w:r>
      <w:bookmarkEnd w:id="7"/>
      <w:bookmarkEnd w:id="8"/>
      <w:bookmarkEnd w:id="9"/>
    </w:p>
    <w:p w14:paraId="6FD5D972" w14:textId="0B5D1312" w:rsidR="001C26F2" w:rsidRPr="00530DD1" w:rsidRDefault="007B7A0C" w:rsidP="00530DD1">
      <w:pPr>
        <w:spacing w:before="0" w:line="240" w:lineRule="auto"/>
        <w:rPr>
          <w:szCs w:val="22"/>
        </w:rPr>
      </w:pPr>
      <w:r>
        <w:rPr>
          <w:szCs w:val="22"/>
        </w:rPr>
        <w:t>This measure includes the following measure offerings:</w:t>
      </w:r>
    </w:p>
    <w:p w14:paraId="3FDE2A45" w14:textId="77777777" w:rsidR="00D81E78" w:rsidRDefault="00D81E78" w:rsidP="00D81E78">
      <w:r>
        <w:t>Floating head pressure control for commercial air-cooled multiplex refrigeration systems:</w:t>
      </w:r>
    </w:p>
    <w:p w14:paraId="49085E60" w14:textId="3D832397" w:rsidR="00D81E78" w:rsidRPr="00530DD1" w:rsidRDefault="009E1CC8" w:rsidP="0042436F">
      <w:pPr>
        <w:pStyle w:val="ListParagraph"/>
        <w:numPr>
          <w:ilvl w:val="0"/>
          <w:numId w:val="28"/>
        </w:numPr>
      </w:pPr>
      <w:r w:rsidRPr="00461B68">
        <w:t>SWCR007</w:t>
      </w:r>
      <w:r>
        <w:t xml:space="preserve"> A - </w:t>
      </w:r>
      <w:r w:rsidR="00D81E78">
        <w:t xml:space="preserve">Control SCT to ambient +12 </w:t>
      </w:r>
      <w:r w:rsidR="00D81E78" w:rsidRPr="00235D35">
        <w:rPr>
          <w:rFonts w:ascii="Times New Roman" w:hAnsi="Times New Roman" w:cs="Times New Roman"/>
        </w:rPr>
        <w:t>°</w:t>
      </w:r>
      <w:r w:rsidR="00D81E78">
        <w:t xml:space="preserve">F TD, 70 </w:t>
      </w:r>
      <w:r w:rsidR="00D81E78" w:rsidRPr="00235D35">
        <w:rPr>
          <w:rFonts w:ascii="Times New Roman" w:hAnsi="Times New Roman" w:cs="Times New Roman"/>
        </w:rPr>
        <w:t>°</w:t>
      </w:r>
      <w:r w:rsidR="00D81E78">
        <w:t xml:space="preserve">F min, </w:t>
      </w:r>
      <w:proofErr w:type="spellStart"/>
      <w:r w:rsidR="00D81E78">
        <w:t>backflood</w:t>
      </w:r>
      <w:proofErr w:type="spellEnd"/>
      <w:r w:rsidR="00D81E78">
        <w:t xml:space="preserve"> setpoint of 68 </w:t>
      </w:r>
      <w:r w:rsidR="00D81E78" w:rsidRPr="00235D35">
        <w:rPr>
          <w:rFonts w:ascii="Times New Roman" w:hAnsi="Times New Roman" w:cs="Times New Roman"/>
        </w:rPr>
        <w:t>°</w:t>
      </w:r>
      <w:r w:rsidR="00D81E78">
        <w:t xml:space="preserve">F </w:t>
      </w:r>
    </w:p>
    <w:p w14:paraId="61196363" w14:textId="6F353411" w:rsidR="00D81E78" w:rsidRDefault="009E1CC8" w:rsidP="0042436F">
      <w:pPr>
        <w:pStyle w:val="ListParagraph"/>
        <w:numPr>
          <w:ilvl w:val="0"/>
          <w:numId w:val="28"/>
        </w:numPr>
      </w:pPr>
      <w:r w:rsidRPr="00461B68">
        <w:t>SWCR007</w:t>
      </w:r>
      <w:r>
        <w:t xml:space="preserve"> B - </w:t>
      </w:r>
      <w:r w:rsidR="00D81E78">
        <w:t xml:space="preserve">Control SCT to ambient +12 </w:t>
      </w:r>
      <w:r w:rsidR="00D81E78" w:rsidRPr="00235D35">
        <w:rPr>
          <w:rFonts w:ascii="Times New Roman" w:hAnsi="Times New Roman" w:cs="Times New Roman"/>
        </w:rPr>
        <w:t>°</w:t>
      </w:r>
      <w:r w:rsidR="00D81E78">
        <w:t xml:space="preserve">F TD, 70 </w:t>
      </w:r>
      <w:r w:rsidR="00D81E78" w:rsidRPr="00235D35">
        <w:rPr>
          <w:rFonts w:ascii="Times New Roman" w:hAnsi="Times New Roman" w:cs="Times New Roman"/>
        </w:rPr>
        <w:t>°</w:t>
      </w:r>
      <w:r w:rsidR="00D81E78">
        <w:t xml:space="preserve">F min, </w:t>
      </w:r>
      <w:proofErr w:type="spellStart"/>
      <w:r w:rsidR="00D81E78">
        <w:t>backflood</w:t>
      </w:r>
      <w:proofErr w:type="spellEnd"/>
      <w:r w:rsidR="00D81E78">
        <w:t xml:space="preserve"> setpoint of 68 </w:t>
      </w:r>
      <w:r w:rsidR="00D81E78" w:rsidRPr="00235D35">
        <w:rPr>
          <w:rFonts w:ascii="Times New Roman" w:hAnsi="Times New Roman" w:cs="Times New Roman"/>
        </w:rPr>
        <w:t>°</w:t>
      </w:r>
      <w:r w:rsidR="00D81E78">
        <w:t xml:space="preserve">F with variable-speed fan control </w:t>
      </w:r>
    </w:p>
    <w:p w14:paraId="2606B6FE" w14:textId="77777777" w:rsidR="00D81E78" w:rsidRPr="00530DD1" w:rsidRDefault="00D81E78" w:rsidP="00D81E78">
      <w:r>
        <w:t>Floating head pressure control for commercial evaporative-cooled multiplex refrigeration systems:</w:t>
      </w:r>
    </w:p>
    <w:p w14:paraId="6AA6E292" w14:textId="1C0A1CA0" w:rsidR="00D81E78" w:rsidRPr="00530DD1" w:rsidRDefault="009E1CC8" w:rsidP="0042436F">
      <w:pPr>
        <w:pStyle w:val="ListParagraph"/>
        <w:numPr>
          <w:ilvl w:val="0"/>
          <w:numId w:val="29"/>
        </w:numPr>
      </w:pPr>
      <w:r w:rsidRPr="00461B68">
        <w:t>SWCR007</w:t>
      </w:r>
      <w:r>
        <w:t xml:space="preserve"> C - </w:t>
      </w:r>
      <w:r w:rsidR="00D81E78">
        <w:t xml:space="preserve">Control SCT to </w:t>
      </w:r>
      <w:proofErr w:type="spellStart"/>
      <w:r w:rsidR="00D81E78">
        <w:t>wetbulb</w:t>
      </w:r>
      <w:proofErr w:type="spellEnd"/>
      <w:r w:rsidR="00D81E78">
        <w:t xml:space="preserve"> +17 </w:t>
      </w:r>
      <w:r w:rsidR="00D81E78" w:rsidRPr="00235D35">
        <w:rPr>
          <w:rFonts w:ascii="Times New Roman" w:hAnsi="Times New Roman" w:cs="Times New Roman"/>
        </w:rPr>
        <w:t>°</w:t>
      </w:r>
      <w:r w:rsidR="00D81E78">
        <w:t xml:space="preserve">F TD, 70 </w:t>
      </w:r>
      <w:r w:rsidR="00D81E78" w:rsidRPr="00235D35">
        <w:rPr>
          <w:rFonts w:ascii="Times New Roman" w:hAnsi="Times New Roman" w:cs="Times New Roman"/>
        </w:rPr>
        <w:t>°</w:t>
      </w:r>
      <w:r w:rsidR="00D81E78">
        <w:t xml:space="preserve">F min, </w:t>
      </w:r>
      <w:proofErr w:type="spellStart"/>
      <w:r w:rsidR="00D81E78">
        <w:t>backflood</w:t>
      </w:r>
      <w:proofErr w:type="spellEnd"/>
      <w:r w:rsidR="00D81E78">
        <w:t xml:space="preserve"> setpoint of 68 </w:t>
      </w:r>
      <w:r w:rsidR="00D81E78" w:rsidRPr="00235D35">
        <w:rPr>
          <w:rFonts w:ascii="Times New Roman" w:hAnsi="Times New Roman" w:cs="Times New Roman"/>
        </w:rPr>
        <w:t>°</w:t>
      </w:r>
      <w:r w:rsidR="00D81E78">
        <w:t xml:space="preserve">F </w:t>
      </w:r>
    </w:p>
    <w:p w14:paraId="1F4EF300" w14:textId="05AC83A5" w:rsidR="00D81E78" w:rsidRPr="00530DD1" w:rsidRDefault="009E1CC8" w:rsidP="0042436F">
      <w:pPr>
        <w:pStyle w:val="ListParagraph"/>
        <w:numPr>
          <w:ilvl w:val="0"/>
          <w:numId w:val="29"/>
        </w:numPr>
      </w:pPr>
      <w:r w:rsidRPr="00461B68">
        <w:t>SWCR007</w:t>
      </w:r>
      <w:r>
        <w:t xml:space="preserve"> D - </w:t>
      </w:r>
      <w:r w:rsidR="00D81E78">
        <w:t xml:space="preserve">Control SCT to </w:t>
      </w:r>
      <w:proofErr w:type="spellStart"/>
      <w:r w:rsidR="00D81E78">
        <w:t>wetbulb</w:t>
      </w:r>
      <w:proofErr w:type="spellEnd"/>
      <w:r w:rsidR="00D81E78">
        <w:t xml:space="preserve"> +17 </w:t>
      </w:r>
      <w:r w:rsidR="00D81E78" w:rsidRPr="00235D35">
        <w:rPr>
          <w:rFonts w:ascii="Times New Roman" w:hAnsi="Times New Roman" w:cs="Times New Roman"/>
        </w:rPr>
        <w:t>°</w:t>
      </w:r>
      <w:r w:rsidR="00D81E78">
        <w:t xml:space="preserve">F TD, 70 </w:t>
      </w:r>
      <w:r w:rsidR="00D81E78" w:rsidRPr="00235D35">
        <w:rPr>
          <w:rFonts w:ascii="Times New Roman" w:hAnsi="Times New Roman" w:cs="Times New Roman"/>
        </w:rPr>
        <w:t>°</w:t>
      </w:r>
      <w:r w:rsidR="00D81E78">
        <w:t xml:space="preserve">F min, </w:t>
      </w:r>
      <w:proofErr w:type="spellStart"/>
      <w:r w:rsidR="00D81E78">
        <w:t>backflood</w:t>
      </w:r>
      <w:proofErr w:type="spellEnd"/>
      <w:r w:rsidR="00D81E78">
        <w:t xml:space="preserve"> setpoint of 68 </w:t>
      </w:r>
      <w:r w:rsidR="00D81E78" w:rsidRPr="00235D35">
        <w:rPr>
          <w:rFonts w:ascii="Times New Roman" w:hAnsi="Times New Roman" w:cs="Times New Roman"/>
        </w:rPr>
        <w:t>°</w:t>
      </w:r>
      <w:r w:rsidR="00D81E78">
        <w:t xml:space="preserve">F with variable-speed fan control </w:t>
      </w:r>
    </w:p>
    <w:p w14:paraId="08578A77" w14:textId="6A516237" w:rsidR="007B7A0C" w:rsidRDefault="007B7A0C" w:rsidP="00530DD1">
      <w:pPr>
        <w:spacing w:before="0" w:line="240" w:lineRule="auto"/>
        <w:rPr>
          <w:szCs w:val="22"/>
        </w:rPr>
      </w:pPr>
    </w:p>
    <w:p w14:paraId="4F31B93D" w14:textId="7C8F51F9" w:rsidR="007C2147" w:rsidRDefault="007C2147" w:rsidP="00530DD1">
      <w:pPr>
        <w:spacing w:before="0" w:line="240" w:lineRule="auto"/>
        <w:rPr>
          <w:szCs w:val="22"/>
        </w:rPr>
      </w:pPr>
      <w:r>
        <w:rPr>
          <w:szCs w:val="22"/>
        </w:rPr>
        <w:t xml:space="preserve">The application type for this measure is: </w:t>
      </w:r>
      <w:r w:rsidR="00D17900">
        <w:rPr>
          <w:szCs w:val="22"/>
        </w:rPr>
        <w:t xml:space="preserve">Add-on </w:t>
      </w:r>
      <w:r w:rsidR="00920F18">
        <w:rPr>
          <w:szCs w:val="22"/>
        </w:rPr>
        <w:t>equipment</w:t>
      </w:r>
      <w:r>
        <w:rPr>
          <w:szCs w:val="22"/>
        </w:rPr>
        <w:t xml:space="preserve"> (</w:t>
      </w:r>
      <w:r w:rsidR="00920F18">
        <w:rPr>
          <w:szCs w:val="22"/>
        </w:rPr>
        <w:t>AOE</w:t>
      </w:r>
      <w:r>
        <w:rPr>
          <w:szCs w:val="22"/>
        </w:rPr>
        <w:t>).</w:t>
      </w:r>
    </w:p>
    <w:p w14:paraId="69793775" w14:textId="77777777" w:rsidR="007C2147" w:rsidRDefault="007C2147" w:rsidP="00530DD1">
      <w:pPr>
        <w:spacing w:before="0" w:line="240" w:lineRule="auto"/>
        <w:rPr>
          <w:szCs w:val="22"/>
        </w:rPr>
      </w:pPr>
    </w:p>
    <w:p w14:paraId="0AC3FA16" w14:textId="2452ED9D" w:rsidR="00E70CBD" w:rsidRPr="00171BB8" w:rsidRDefault="00E70CBD" w:rsidP="00630A1A">
      <w:pPr>
        <w:pStyle w:val="eTRMHeading3"/>
      </w:pPr>
      <w:bookmarkStart w:id="10" w:name="_Toc486490849"/>
      <w:bookmarkStart w:id="11" w:name="_Toc486580920"/>
      <w:bookmarkStart w:id="12" w:name="_Toc58512437"/>
      <w:r w:rsidRPr="004B06E3">
        <w:t>Base Case Description</w:t>
      </w:r>
      <w:bookmarkEnd w:id="10"/>
      <w:bookmarkEnd w:id="11"/>
      <w:bookmarkEnd w:id="12"/>
      <w:r w:rsidRPr="00171BB8">
        <w:t xml:space="preserve"> </w:t>
      </w:r>
    </w:p>
    <w:p w14:paraId="1B5DC987" w14:textId="4C41CEC9" w:rsidR="009A50FC" w:rsidRDefault="00D81E78" w:rsidP="009A50FC">
      <w:pPr>
        <w:rPr>
          <w:rFonts w:cs="Calibri Light"/>
          <w:szCs w:val="22"/>
        </w:rPr>
      </w:pPr>
      <w:r>
        <w:rPr>
          <w:rFonts w:cs="Calibri Light"/>
          <w:szCs w:val="22"/>
        </w:rPr>
        <w:t xml:space="preserve">The base case is defined by </w:t>
      </w:r>
      <w:r w:rsidR="00483720">
        <w:rPr>
          <w:rFonts w:cs="Calibri Light"/>
          <w:szCs w:val="22"/>
        </w:rPr>
        <w:t>two</w:t>
      </w:r>
      <w:r w:rsidR="009A50FC" w:rsidRPr="00B327AE">
        <w:rPr>
          <w:rFonts w:cs="Calibri Light"/>
          <w:szCs w:val="22"/>
        </w:rPr>
        <w:t xml:space="preserve"> technologies</w:t>
      </w:r>
      <w:r w:rsidR="001003E3">
        <w:rPr>
          <w:rFonts w:cs="Calibri Light"/>
          <w:szCs w:val="22"/>
        </w:rPr>
        <w:t>,</w:t>
      </w:r>
      <w:r w:rsidR="001C05A3">
        <w:rPr>
          <w:rFonts w:cs="Calibri Light"/>
          <w:szCs w:val="22"/>
        </w:rPr>
        <w:t xml:space="preserve"> one each for air-cooled multiplex refrigeration systems and evaporative-cooled multiplex refrigeration systems</w:t>
      </w:r>
      <w:r w:rsidR="009A50FC" w:rsidRPr="00B327AE">
        <w:rPr>
          <w:rFonts w:cs="Calibri Light"/>
          <w:szCs w:val="22"/>
        </w:rPr>
        <w:t>:</w:t>
      </w:r>
    </w:p>
    <w:p w14:paraId="780907F9" w14:textId="77777777" w:rsidR="00471847" w:rsidRPr="005174A7" w:rsidRDefault="00483720" w:rsidP="007C2147">
      <w:pPr>
        <w:pStyle w:val="eTRMBulletedText"/>
        <w:numPr>
          <w:ilvl w:val="0"/>
          <w:numId w:val="30"/>
        </w:numPr>
        <w:rPr>
          <w:rFonts w:cs="Calibri Light"/>
        </w:rPr>
      </w:pPr>
      <w:r>
        <w:t>Commercial air-cooled multiplex refrigeration systems, vintage dependent, and having a fixed condensing setpoint per vintage.</w:t>
      </w:r>
    </w:p>
    <w:p w14:paraId="0D83C3B0" w14:textId="77777777" w:rsidR="00471847" w:rsidRDefault="00483720" w:rsidP="007C2147">
      <w:pPr>
        <w:pStyle w:val="eTRMBulletedText"/>
        <w:numPr>
          <w:ilvl w:val="0"/>
          <w:numId w:val="30"/>
        </w:numPr>
        <w:rPr>
          <w:rFonts w:cs="Calibri Light"/>
        </w:rPr>
      </w:pPr>
      <w:r>
        <w:t>Commercial evap</w:t>
      </w:r>
      <w:r w:rsidR="00604C68">
        <w:t>orative</w:t>
      </w:r>
      <w:r>
        <w:t xml:space="preserve">-cooled multiplex refrigeration systems, </w:t>
      </w:r>
      <w:r w:rsidR="00604C68">
        <w:t xml:space="preserve">vintage dependent </w:t>
      </w:r>
      <w:r>
        <w:t>and having a fixed condensing setpoint per vintage.</w:t>
      </w:r>
    </w:p>
    <w:p w14:paraId="12F6DD87" w14:textId="77777777" w:rsidR="005B529B" w:rsidRPr="004E5CE1" w:rsidRDefault="005B529B" w:rsidP="00C74FA3">
      <w:pPr>
        <w:rPr>
          <w:rFonts w:cs="Calibri Light"/>
          <w:szCs w:val="22"/>
        </w:rPr>
      </w:pPr>
    </w:p>
    <w:p w14:paraId="239D4C6D" w14:textId="77777777" w:rsidR="007D230B" w:rsidRPr="00171BB8" w:rsidRDefault="007D230B" w:rsidP="00437D63">
      <w:pPr>
        <w:pStyle w:val="eTRMHeading3"/>
      </w:pPr>
      <w:bookmarkStart w:id="13" w:name="_Toc486490850"/>
      <w:bookmarkStart w:id="14" w:name="_Toc486580921"/>
      <w:bookmarkStart w:id="15" w:name="_Toc58512438"/>
      <w:r w:rsidRPr="004B06E3">
        <w:t>Code Requirements</w:t>
      </w:r>
      <w:bookmarkEnd w:id="13"/>
      <w:bookmarkEnd w:id="14"/>
      <w:bookmarkEnd w:id="15"/>
    </w:p>
    <w:p w14:paraId="10C9B917" w14:textId="77777777" w:rsidR="00C863C8" w:rsidRDefault="00C863C8" w:rsidP="00C863C8">
      <w:r>
        <w:t>The 2019 California Building Energy Efficiency Standards (Title 24)</w:t>
      </w:r>
      <w:r w:rsidRPr="00ED1180">
        <w:rPr>
          <w:rStyle w:val="FootnoteReference"/>
        </w:rPr>
        <w:t xml:space="preserve"> </w:t>
      </w:r>
      <w:r>
        <w:rPr>
          <w:rStyle w:val="FootnoteReference"/>
        </w:rPr>
        <w:footnoteReference w:id="1"/>
      </w:r>
      <w:r>
        <w:t xml:space="preserve">, effective January 1, 2020, Section 120.6(b)-Mandatory Requirements for Commercial Refrigeration, requires the </w:t>
      </w:r>
      <w:proofErr w:type="gramStart"/>
      <w:r>
        <w:t>following</w:t>
      </w:r>
      <w:proofErr w:type="gramEnd"/>
      <w:r>
        <w:t xml:space="preserve"> that are related to the measures in the workpaper.  </w:t>
      </w:r>
    </w:p>
    <w:p w14:paraId="25CE64CC" w14:textId="77777777" w:rsidR="00C863C8" w:rsidRPr="001B73D4" w:rsidRDefault="00C863C8" w:rsidP="00C863C8">
      <w:pPr>
        <w:pStyle w:val="ListParagraph"/>
        <w:numPr>
          <w:ilvl w:val="0"/>
          <w:numId w:val="34"/>
        </w:numPr>
      </w:pPr>
      <w:r w:rsidRPr="001B73D4">
        <w:lastRenderedPageBreak/>
        <w:t xml:space="preserve">Air-cooled condensers shall use variable setpoint control logic to reset the condensing temperature setpoint in response to ambient </w:t>
      </w:r>
      <w:r w:rsidRPr="00032C6D">
        <w:t>dry bulb</w:t>
      </w:r>
      <w:r>
        <w:t xml:space="preserve"> </w:t>
      </w:r>
      <w:r w:rsidRPr="001B73D4">
        <w:t>temperature</w:t>
      </w:r>
    </w:p>
    <w:p w14:paraId="79FDBDD9" w14:textId="77777777" w:rsidR="00C863C8" w:rsidRPr="001B73D4" w:rsidRDefault="00C863C8" w:rsidP="00C863C8">
      <w:pPr>
        <w:pStyle w:val="ListParagraph"/>
        <w:numPr>
          <w:ilvl w:val="0"/>
          <w:numId w:val="34"/>
        </w:numPr>
      </w:pPr>
      <w:r>
        <w:t>E</w:t>
      </w:r>
      <w:r w:rsidRPr="001B73D4">
        <w:t>vaporative-cooled condensers shall use variable-setpoint control logic to reset the condensing temperature setpoint in response to ambient</w:t>
      </w:r>
      <w:r>
        <w:t xml:space="preserve"> </w:t>
      </w:r>
      <w:r w:rsidRPr="00032C6D">
        <w:t>wet bulb</w:t>
      </w:r>
      <w:r w:rsidRPr="001B73D4">
        <w:t xml:space="preserve"> temperature.</w:t>
      </w:r>
    </w:p>
    <w:p w14:paraId="16692293" w14:textId="77777777" w:rsidR="00C863C8" w:rsidRPr="001B73D4" w:rsidRDefault="00C863C8" w:rsidP="00C863C8">
      <w:pPr>
        <w:pStyle w:val="ListParagraph"/>
        <w:numPr>
          <w:ilvl w:val="0"/>
          <w:numId w:val="34"/>
        </w:numPr>
      </w:pPr>
      <w:r w:rsidRPr="001B73D4">
        <w:t>The minimum condensing temperature setpoint shall be less than or equal to 70°F.</w:t>
      </w:r>
    </w:p>
    <w:p w14:paraId="5A6014E0" w14:textId="77777777" w:rsidR="00C863C8" w:rsidRPr="001B73D4" w:rsidRDefault="00C863C8" w:rsidP="00C863C8">
      <w:pPr>
        <w:pStyle w:val="ListParagraph"/>
        <w:numPr>
          <w:ilvl w:val="0"/>
          <w:numId w:val="34"/>
        </w:numPr>
        <w:autoSpaceDE w:val="0"/>
        <w:autoSpaceDN w:val="0"/>
        <w:adjustRightInd w:val="0"/>
      </w:pPr>
      <w:r w:rsidRPr="001B73D4">
        <w:t>Compressors and multiple-compressor suction groups shall include control systems that use floating suction pressure logic to reset the target saturated suction temperature based on the temperature requirements of the attached refrigeration display cases or walk-ins.</w:t>
      </w:r>
    </w:p>
    <w:p w14:paraId="330DCD69" w14:textId="77777777" w:rsidR="00C863C8" w:rsidRDefault="00C863C8" w:rsidP="00C863C8">
      <w:pPr>
        <w:pStyle w:val="eTRMBulletedText"/>
        <w:numPr>
          <w:ilvl w:val="0"/>
          <w:numId w:val="0"/>
        </w:numPr>
        <w:rPr>
          <w:i/>
        </w:rPr>
      </w:pPr>
      <w:r w:rsidRPr="001478F1">
        <w:t>Title 24</w:t>
      </w:r>
      <w:r>
        <w:t xml:space="preserve"> started including commercial refrigeration and refrigerated warehouses from 2013 standards (Effective July 1, 2014). The code requirements remained the same until the latest version, Title-24 2019.  Hence, this measure is only eligible for vintage 2013 and before. </w:t>
      </w:r>
    </w:p>
    <w:p w14:paraId="6489B6E8" w14:textId="481F998E" w:rsidR="009C7A73" w:rsidRPr="00503DB3" w:rsidRDefault="009C7A73" w:rsidP="00910CEF">
      <w:pPr>
        <w:rPr>
          <w:i/>
        </w:rPr>
      </w:pPr>
      <w:r>
        <w:t xml:space="preserve">This </w:t>
      </w:r>
      <w:r w:rsidR="00380318">
        <w:t>measure pertains to</w:t>
      </w:r>
      <w:r>
        <w:t xml:space="preserve"> </w:t>
      </w:r>
      <w:r w:rsidR="00BC3DF0">
        <w:t>Add-on Equipment</w:t>
      </w:r>
      <w:r w:rsidR="006D4AE0">
        <w:t xml:space="preserve"> </w:t>
      </w:r>
      <w:r w:rsidR="00630A1A">
        <w:t>(</w:t>
      </w:r>
      <w:r w:rsidR="00BC3DF0">
        <w:t>AOE</w:t>
      </w:r>
      <w:r w:rsidR="00630A1A">
        <w:t xml:space="preserve">) </w:t>
      </w:r>
      <w:r>
        <w:t xml:space="preserve">type measures </w:t>
      </w:r>
      <w:r w:rsidR="006D4AE0">
        <w:t>for which</w:t>
      </w:r>
      <w:r>
        <w:t xml:space="preserve"> savings are not </w:t>
      </w:r>
      <w:r w:rsidR="006D4AE0">
        <w:t>determined</w:t>
      </w:r>
      <w:r w:rsidRPr="00B42C18">
        <w:t xml:space="preserve"> </w:t>
      </w:r>
      <w:r w:rsidR="00630A1A">
        <w:t>relative to</w:t>
      </w:r>
      <w:r w:rsidRPr="00B42C18">
        <w:t xml:space="preserve"> code standards. </w:t>
      </w:r>
      <w:r w:rsidR="007B7A0C">
        <w:t xml:space="preserve">Thus, </w:t>
      </w:r>
      <w:proofErr w:type="gramStart"/>
      <w:r w:rsidR="007B7A0C">
        <w:t>state</w:t>
      </w:r>
      <w:proofErr w:type="gramEnd"/>
      <w:r w:rsidR="007B7A0C">
        <w:t xml:space="preserve"> and feder</w:t>
      </w:r>
      <w:r w:rsidR="007C2147">
        <w:t>al standards are not applicable</w:t>
      </w:r>
      <w:r w:rsidR="007C2147" w:rsidRPr="007C2147">
        <w:t xml:space="preserve"> </w:t>
      </w:r>
      <w:r w:rsidR="007C2147">
        <w:t>(</w:t>
      </w:r>
      <w:r w:rsidR="007C2147">
        <w:rPr>
          <w:i/>
        </w:rPr>
        <w:fldChar w:fldCharType="begin"/>
      </w:r>
      <w:r w:rsidR="007C2147">
        <w:instrText xml:space="preserve"> REF _Ref491889723 \h </w:instrText>
      </w:r>
      <w:r w:rsidR="007C2147">
        <w:rPr>
          <w:i/>
        </w:rPr>
      </w:r>
      <w:r w:rsidR="007C2147">
        <w:rPr>
          <w:i/>
        </w:rPr>
        <w:fldChar w:fldCharType="separate"/>
      </w:r>
      <w:r w:rsidR="006E46EC">
        <w:t xml:space="preserve">Table </w:t>
      </w:r>
      <w:r w:rsidR="006E46EC">
        <w:rPr>
          <w:noProof/>
        </w:rPr>
        <w:t>1</w:t>
      </w:r>
      <w:r w:rsidR="007C2147">
        <w:rPr>
          <w:i/>
        </w:rPr>
        <w:fldChar w:fldCharType="end"/>
      </w:r>
      <w:r w:rsidR="007C2147" w:rsidRPr="00630A1A">
        <w:t>)</w:t>
      </w:r>
      <w:r w:rsidR="007C2147">
        <w:t>.</w:t>
      </w:r>
    </w:p>
    <w:p w14:paraId="123ABCCC" w14:textId="3C1B24B7" w:rsidR="009C7A73" w:rsidRPr="00500C4E" w:rsidRDefault="006D4AE0" w:rsidP="006D4AE0">
      <w:pPr>
        <w:pStyle w:val="Caption"/>
        <w:rPr>
          <w:rFonts w:cstheme="minorHAnsi"/>
          <w:szCs w:val="22"/>
        </w:rPr>
      </w:pPr>
      <w:bookmarkStart w:id="16" w:name="_Ref491889723"/>
      <w:r>
        <w:t xml:space="preserve">Table </w:t>
      </w:r>
      <w:r w:rsidR="000C4751">
        <w:rPr>
          <w:noProof/>
        </w:rPr>
        <w:fldChar w:fldCharType="begin"/>
      </w:r>
      <w:r w:rsidR="000C4751">
        <w:rPr>
          <w:noProof/>
        </w:rPr>
        <w:instrText xml:space="preserve"> SEQ Table \* ARABIC </w:instrText>
      </w:r>
      <w:r w:rsidR="000C4751">
        <w:rPr>
          <w:noProof/>
        </w:rPr>
        <w:fldChar w:fldCharType="separate"/>
      </w:r>
      <w:r w:rsidR="006E46EC">
        <w:rPr>
          <w:noProof/>
        </w:rPr>
        <w:t>1</w:t>
      </w:r>
      <w:r w:rsidR="000C4751">
        <w:rPr>
          <w:noProof/>
        </w:rPr>
        <w:fldChar w:fldCharType="end"/>
      </w:r>
      <w:bookmarkEnd w:id="16"/>
      <w:r>
        <w:t xml:space="preserve">. Applicable State and Federal </w:t>
      </w:r>
      <w:r w:rsidRPr="00CD6698">
        <w:t>Code</w:t>
      </w:r>
      <w:r>
        <w:t>s and Standards</w:t>
      </w:r>
    </w:p>
    <w:tbl>
      <w:tblPr>
        <w:tblW w:w="9355" w:type="dxa"/>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55"/>
        <w:gridCol w:w="1890"/>
        <w:gridCol w:w="2610"/>
      </w:tblGrid>
      <w:tr w:rsidR="006D4AE0" w:rsidRPr="00154391" w14:paraId="5B05AF11" w14:textId="77777777" w:rsidTr="007B7A0C">
        <w:tc>
          <w:tcPr>
            <w:tcW w:w="4855" w:type="dxa"/>
            <w:shd w:val="clear" w:color="auto" w:fill="F2F2F2" w:themeFill="background1" w:themeFillShade="F2"/>
            <w:vAlign w:val="bottom"/>
          </w:tcPr>
          <w:p w14:paraId="7269A1C4" w14:textId="77777777" w:rsidR="006D4AE0" w:rsidRPr="00154391" w:rsidRDefault="006D4AE0" w:rsidP="006D0DB8">
            <w:pPr>
              <w:keepNext/>
              <w:keepLines/>
              <w:spacing w:before="20" w:after="20"/>
              <w:rPr>
                <w:b/>
                <w:sz w:val="20"/>
                <w:szCs w:val="20"/>
              </w:rPr>
            </w:pPr>
            <w:r w:rsidRPr="0079498E">
              <w:rPr>
                <w:b/>
                <w:sz w:val="20"/>
              </w:rPr>
              <w:t>Code</w:t>
            </w:r>
          </w:p>
        </w:tc>
        <w:tc>
          <w:tcPr>
            <w:tcW w:w="1890" w:type="dxa"/>
            <w:shd w:val="clear" w:color="auto" w:fill="F2F2F2" w:themeFill="background1" w:themeFillShade="F2"/>
            <w:vAlign w:val="bottom"/>
          </w:tcPr>
          <w:p w14:paraId="596FDD3A" w14:textId="77777777" w:rsidR="006D4AE0" w:rsidRPr="00154391" w:rsidRDefault="006D4AE0" w:rsidP="006D0DB8">
            <w:pPr>
              <w:keepNext/>
              <w:keepLines/>
              <w:spacing w:before="20" w:after="20"/>
              <w:jc w:val="center"/>
              <w:rPr>
                <w:b/>
                <w:sz w:val="20"/>
                <w:szCs w:val="20"/>
              </w:rPr>
            </w:pPr>
            <w:r w:rsidRPr="0079498E">
              <w:rPr>
                <w:b/>
                <w:sz w:val="20"/>
              </w:rPr>
              <w:t>Applicable Code Reference</w:t>
            </w:r>
          </w:p>
        </w:tc>
        <w:tc>
          <w:tcPr>
            <w:tcW w:w="2610" w:type="dxa"/>
            <w:shd w:val="clear" w:color="auto" w:fill="F2F2F2" w:themeFill="background1" w:themeFillShade="F2"/>
            <w:vAlign w:val="bottom"/>
          </w:tcPr>
          <w:p w14:paraId="3386F22E" w14:textId="77777777" w:rsidR="006D4AE0" w:rsidRPr="00154391" w:rsidRDefault="006D4AE0" w:rsidP="006D0DB8">
            <w:pPr>
              <w:keepNext/>
              <w:keepLines/>
              <w:spacing w:before="20" w:after="20"/>
              <w:jc w:val="center"/>
              <w:rPr>
                <w:b/>
                <w:sz w:val="20"/>
                <w:szCs w:val="20"/>
              </w:rPr>
            </w:pPr>
            <w:r w:rsidRPr="0079498E">
              <w:rPr>
                <w:b/>
                <w:sz w:val="20"/>
              </w:rPr>
              <w:t>Effective Date</w:t>
            </w:r>
          </w:p>
        </w:tc>
      </w:tr>
      <w:tr w:rsidR="006D4AE0" w:rsidRPr="00FB030E" w14:paraId="078CD5FE" w14:textId="77777777" w:rsidTr="007B7A0C">
        <w:trPr>
          <w:cantSplit/>
          <w:trHeight w:val="20"/>
        </w:trPr>
        <w:tc>
          <w:tcPr>
            <w:tcW w:w="4855" w:type="dxa"/>
            <w:shd w:val="clear" w:color="auto" w:fill="auto"/>
            <w:vAlign w:val="center"/>
          </w:tcPr>
          <w:p w14:paraId="041A0FA6" w14:textId="53944593" w:rsidR="006D4AE0" w:rsidRPr="00BD6838" w:rsidRDefault="006D4AE0" w:rsidP="007B7A0C">
            <w:pPr>
              <w:keepNext/>
              <w:keepLines/>
              <w:spacing w:before="20" w:after="20"/>
              <w:rPr>
                <w:sz w:val="20"/>
                <w:szCs w:val="20"/>
              </w:rPr>
            </w:pPr>
            <w:r w:rsidRPr="00BD6838">
              <w:rPr>
                <w:sz w:val="20"/>
              </w:rPr>
              <w:t xml:space="preserve">CA Appliance Efficiency Regulations – Title 20 </w:t>
            </w:r>
          </w:p>
        </w:tc>
        <w:tc>
          <w:tcPr>
            <w:tcW w:w="1890" w:type="dxa"/>
            <w:shd w:val="clear" w:color="auto" w:fill="auto"/>
            <w:vAlign w:val="center"/>
          </w:tcPr>
          <w:p w14:paraId="76D6F911" w14:textId="77777777" w:rsidR="006D4AE0" w:rsidRPr="00436BE3" w:rsidRDefault="006D4AE0" w:rsidP="007B7A0C">
            <w:pPr>
              <w:keepNext/>
              <w:keepLines/>
              <w:spacing w:before="20" w:after="20"/>
              <w:rPr>
                <w:sz w:val="20"/>
                <w:szCs w:val="20"/>
              </w:rPr>
            </w:pPr>
            <w:r>
              <w:rPr>
                <w:rFonts w:cstheme="minorHAnsi"/>
                <w:sz w:val="20"/>
                <w:szCs w:val="20"/>
              </w:rPr>
              <w:t>None.</w:t>
            </w:r>
          </w:p>
        </w:tc>
        <w:tc>
          <w:tcPr>
            <w:tcW w:w="2610" w:type="dxa"/>
            <w:shd w:val="clear" w:color="auto" w:fill="auto"/>
            <w:vAlign w:val="center"/>
          </w:tcPr>
          <w:p w14:paraId="301DEFFF" w14:textId="77777777" w:rsidR="006D4AE0" w:rsidRPr="002E74E2" w:rsidRDefault="006D4AE0" w:rsidP="007B7A0C">
            <w:pPr>
              <w:keepNext/>
              <w:keepLines/>
              <w:spacing w:before="20" w:after="20"/>
              <w:rPr>
                <w:sz w:val="20"/>
                <w:szCs w:val="20"/>
              </w:rPr>
            </w:pPr>
            <w:r>
              <w:rPr>
                <w:sz w:val="20"/>
              </w:rPr>
              <w:t>n/a</w:t>
            </w:r>
          </w:p>
        </w:tc>
      </w:tr>
      <w:tr w:rsidR="006D4AE0" w:rsidRPr="00FB030E" w14:paraId="6D08ACE1" w14:textId="77777777" w:rsidTr="007B7A0C">
        <w:trPr>
          <w:cantSplit/>
          <w:trHeight w:val="20"/>
        </w:trPr>
        <w:tc>
          <w:tcPr>
            <w:tcW w:w="4855" w:type="dxa"/>
            <w:shd w:val="clear" w:color="auto" w:fill="auto"/>
            <w:vAlign w:val="center"/>
          </w:tcPr>
          <w:p w14:paraId="40FA2845" w14:textId="7A3DEAF8" w:rsidR="006D4AE0" w:rsidRPr="00BD6838" w:rsidRDefault="006D4AE0" w:rsidP="007B7A0C">
            <w:pPr>
              <w:keepNext/>
              <w:keepLines/>
              <w:spacing w:before="20" w:after="20"/>
              <w:rPr>
                <w:sz w:val="20"/>
                <w:szCs w:val="20"/>
              </w:rPr>
            </w:pPr>
            <w:r w:rsidRPr="00BD6838">
              <w:rPr>
                <w:sz w:val="20"/>
              </w:rPr>
              <w:t xml:space="preserve">CA Building Energy Efficiency Standards – Title 24 </w:t>
            </w:r>
          </w:p>
        </w:tc>
        <w:tc>
          <w:tcPr>
            <w:tcW w:w="1890" w:type="dxa"/>
            <w:shd w:val="clear" w:color="auto" w:fill="auto"/>
            <w:vAlign w:val="center"/>
          </w:tcPr>
          <w:p w14:paraId="57E7C558" w14:textId="7F52B200" w:rsidR="006D4AE0" w:rsidRPr="00FB030E" w:rsidRDefault="00C863C8" w:rsidP="007B7A0C">
            <w:pPr>
              <w:keepNext/>
              <w:keepLines/>
              <w:spacing w:before="20" w:after="20"/>
              <w:rPr>
                <w:sz w:val="20"/>
                <w:szCs w:val="20"/>
              </w:rPr>
            </w:pPr>
            <w:r w:rsidRPr="00C863C8">
              <w:rPr>
                <w:sz w:val="20"/>
              </w:rPr>
              <w:t>Section 120.6(b)-Mandatory Requirements for Commercial Refrigeration</w:t>
            </w:r>
          </w:p>
        </w:tc>
        <w:tc>
          <w:tcPr>
            <w:tcW w:w="2610" w:type="dxa"/>
            <w:shd w:val="clear" w:color="auto" w:fill="auto"/>
            <w:vAlign w:val="center"/>
          </w:tcPr>
          <w:p w14:paraId="718A987B" w14:textId="2283ACE7" w:rsidR="006D4AE0" w:rsidRPr="00FB030E" w:rsidRDefault="00C863C8" w:rsidP="007B7A0C">
            <w:pPr>
              <w:keepNext/>
              <w:keepLines/>
              <w:spacing w:before="20" w:after="20"/>
              <w:rPr>
                <w:sz w:val="20"/>
                <w:szCs w:val="20"/>
              </w:rPr>
            </w:pPr>
            <w:r>
              <w:rPr>
                <w:sz w:val="20"/>
              </w:rPr>
              <w:t>1/1/2014</w:t>
            </w:r>
          </w:p>
        </w:tc>
      </w:tr>
      <w:tr w:rsidR="006D4AE0" w:rsidRPr="00FB030E" w14:paraId="393FF61A" w14:textId="77777777" w:rsidTr="007B7A0C">
        <w:trPr>
          <w:cantSplit/>
          <w:trHeight w:val="20"/>
        </w:trPr>
        <w:tc>
          <w:tcPr>
            <w:tcW w:w="4855" w:type="dxa"/>
            <w:shd w:val="clear" w:color="auto" w:fill="auto"/>
            <w:vAlign w:val="center"/>
          </w:tcPr>
          <w:p w14:paraId="00DD19DF" w14:textId="77777777" w:rsidR="006D4AE0" w:rsidRPr="00BD6838" w:rsidRDefault="006D4AE0" w:rsidP="007B7A0C">
            <w:pPr>
              <w:keepNext/>
              <w:keepLines/>
              <w:spacing w:before="20" w:after="20"/>
              <w:rPr>
                <w:sz w:val="20"/>
                <w:szCs w:val="20"/>
              </w:rPr>
            </w:pPr>
            <w:r w:rsidRPr="00BD6838">
              <w:rPr>
                <w:sz w:val="20"/>
              </w:rPr>
              <w:t>Federal Standards</w:t>
            </w:r>
          </w:p>
        </w:tc>
        <w:tc>
          <w:tcPr>
            <w:tcW w:w="1890" w:type="dxa"/>
            <w:shd w:val="clear" w:color="auto" w:fill="auto"/>
            <w:vAlign w:val="center"/>
          </w:tcPr>
          <w:p w14:paraId="3D36234E" w14:textId="77777777" w:rsidR="006D4AE0" w:rsidRPr="00FB030E" w:rsidRDefault="006D4AE0" w:rsidP="007B7A0C">
            <w:pPr>
              <w:keepNext/>
              <w:keepLines/>
              <w:spacing w:before="20" w:after="20"/>
              <w:rPr>
                <w:sz w:val="20"/>
                <w:szCs w:val="20"/>
              </w:rPr>
            </w:pPr>
            <w:r>
              <w:rPr>
                <w:sz w:val="20"/>
              </w:rPr>
              <w:t>None.</w:t>
            </w:r>
          </w:p>
        </w:tc>
        <w:tc>
          <w:tcPr>
            <w:tcW w:w="2610" w:type="dxa"/>
            <w:shd w:val="clear" w:color="auto" w:fill="auto"/>
            <w:vAlign w:val="center"/>
          </w:tcPr>
          <w:p w14:paraId="60F53004" w14:textId="77777777" w:rsidR="006D4AE0" w:rsidRPr="00FB030E" w:rsidRDefault="006D4AE0" w:rsidP="007B7A0C">
            <w:pPr>
              <w:keepNext/>
              <w:keepLines/>
              <w:spacing w:before="20" w:after="20"/>
              <w:rPr>
                <w:sz w:val="20"/>
                <w:szCs w:val="20"/>
              </w:rPr>
            </w:pPr>
            <w:r>
              <w:rPr>
                <w:sz w:val="20"/>
              </w:rPr>
              <w:t>n/a</w:t>
            </w:r>
          </w:p>
        </w:tc>
      </w:tr>
    </w:tbl>
    <w:p w14:paraId="74A2E6F5" w14:textId="77777777" w:rsidR="009C7A73" w:rsidRDefault="009C7A73" w:rsidP="006D4AE0">
      <w:pPr>
        <w:pStyle w:val="BodyText"/>
      </w:pPr>
    </w:p>
    <w:p w14:paraId="2883358C" w14:textId="77777777" w:rsidR="007D230B" w:rsidRPr="00171BB8" w:rsidRDefault="007D230B" w:rsidP="00437D63">
      <w:pPr>
        <w:pStyle w:val="eTRMHeading3"/>
      </w:pPr>
      <w:bookmarkStart w:id="17" w:name="_Toc486490851"/>
      <w:bookmarkStart w:id="18" w:name="_Toc486580922"/>
      <w:bookmarkStart w:id="19" w:name="_Toc58512439"/>
      <w:r w:rsidRPr="00A83458">
        <w:t>Normalizing</w:t>
      </w:r>
      <w:r w:rsidRPr="00171BB8">
        <w:t xml:space="preserve"> Unit</w:t>
      </w:r>
      <w:bookmarkEnd w:id="17"/>
      <w:bookmarkEnd w:id="18"/>
      <w:bookmarkEnd w:id="19"/>
    </w:p>
    <w:p w14:paraId="4CAA0F1B" w14:textId="7F6DA3C0" w:rsidR="008F03CB" w:rsidRDefault="004C1205" w:rsidP="006D4AE0">
      <w:pPr>
        <w:pStyle w:val="BodyText"/>
      </w:pPr>
      <w:bookmarkStart w:id="20" w:name="_Toc486490852"/>
      <w:bookmarkStart w:id="21" w:name="_Toc486580923"/>
      <w:r>
        <w:t>Cap-ton (</w:t>
      </w:r>
      <w:r w:rsidR="00B21BF6">
        <w:t xml:space="preserve">ton of </w:t>
      </w:r>
      <w:r w:rsidR="00632788">
        <w:t xml:space="preserve">refrigeration </w:t>
      </w:r>
      <w:r>
        <w:t>capacity)</w:t>
      </w:r>
    </w:p>
    <w:p w14:paraId="33125115" w14:textId="77777777" w:rsidR="00910CEF" w:rsidRPr="00B94A0B" w:rsidRDefault="00910CEF" w:rsidP="006D4AE0">
      <w:pPr>
        <w:pStyle w:val="BodyText"/>
      </w:pPr>
    </w:p>
    <w:p w14:paraId="60BD5709" w14:textId="77777777" w:rsidR="007D230B" w:rsidRPr="004B06E3" w:rsidRDefault="007D230B" w:rsidP="00437D63">
      <w:pPr>
        <w:pStyle w:val="eTRMHeading3"/>
      </w:pPr>
      <w:bookmarkStart w:id="22" w:name="_Toc58512440"/>
      <w:r w:rsidRPr="004B06E3">
        <w:t>Program Requirements</w:t>
      </w:r>
      <w:bookmarkEnd w:id="20"/>
      <w:bookmarkEnd w:id="21"/>
      <w:bookmarkEnd w:id="22"/>
      <w:r w:rsidRPr="004B06E3">
        <w:t xml:space="preserve"> </w:t>
      </w:r>
    </w:p>
    <w:p w14:paraId="215E4D5A" w14:textId="77777777" w:rsidR="008D50DE" w:rsidRPr="000229F1" w:rsidRDefault="008D50DE" w:rsidP="008D50DE">
      <w:pPr>
        <w:pStyle w:val="eTRMHeading5"/>
      </w:pPr>
      <w:r>
        <w:t xml:space="preserve">Measure </w:t>
      </w:r>
      <w:r w:rsidRPr="000229F1">
        <w:t>Implementation Eligibility</w:t>
      </w:r>
    </w:p>
    <w:p w14:paraId="39CA2F9E" w14:textId="77777777" w:rsidR="008D50DE" w:rsidRDefault="008D50DE" w:rsidP="008D50DE">
      <w:bookmarkStart w:id="23" w:name="_Hlk527543844"/>
      <w:bookmarkStart w:id="24"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3"/>
    </w:p>
    <w:bookmarkEnd w:id="24"/>
    <w:p w14:paraId="1C918389" w14:textId="77777777" w:rsidR="008D50DE" w:rsidRPr="00CC4643" w:rsidRDefault="008D50DE" w:rsidP="008D50DE">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F08BFCD" w14:textId="77777777" w:rsidR="00C04E14" w:rsidRDefault="00C04E14" w:rsidP="008D50DE">
      <w:pPr>
        <w:pStyle w:val="Caption"/>
        <w:keepNext w:val="0"/>
        <w:keepLines w:val="0"/>
      </w:pPr>
    </w:p>
    <w:p w14:paraId="156FEF05" w14:textId="34D493E1" w:rsidR="008D50DE" w:rsidRDefault="008D50DE" w:rsidP="008D50DE">
      <w:pPr>
        <w:pStyle w:val="Caption"/>
        <w:keepNext w:val="0"/>
        <w:keepLines w:val="0"/>
      </w:pPr>
      <w:r>
        <w:lastRenderedPageBreak/>
        <w:t>Implementation Eligibility</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8D50DE" w14:paraId="5ED971D4" w14:textId="77777777" w:rsidTr="00C863C8">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2315AE7" w14:textId="77777777" w:rsidR="008D50DE" w:rsidRPr="00830614" w:rsidRDefault="008D50DE" w:rsidP="00C863C8">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3A78F95B" w14:textId="77777777" w:rsidR="008D50DE" w:rsidRPr="00830614" w:rsidRDefault="008D50DE" w:rsidP="00C863C8">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4E02DCB2" w14:textId="77777777" w:rsidR="008D50DE" w:rsidRPr="00830614" w:rsidRDefault="008D50DE" w:rsidP="00C863C8">
            <w:pPr>
              <w:spacing w:before="0" w:after="0" w:line="240" w:lineRule="exact"/>
              <w:rPr>
                <w:b/>
                <w:bCs/>
                <w:sz w:val="20"/>
                <w:szCs w:val="20"/>
              </w:rPr>
            </w:pPr>
            <w:r w:rsidRPr="00830614">
              <w:rPr>
                <w:b/>
                <w:bCs/>
                <w:sz w:val="20"/>
                <w:szCs w:val="20"/>
              </w:rPr>
              <w:t>Sector</w:t>
            </w:r>
          </w:p>
        </w:tc>
      </w:tr>
      <w:tr w:rsidR="008D50DE" w14:paraId="79E51EC4" w14:textId="77777777" w:rsidTr="00C863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F0B1B3" w14:textId="77777777" w:rsidR="008D50DE" w:rsidRPr="00830614" w:rsidRDefault="008D50DE" w:rsidP="00C863C8">
            <w:pPr>
              <w:spacing w:before="0" w:after="0" w:line="240" w:lineRule="exact"/>
              <w:rPr>
                <w:color w:val="000000"/>
                <w:sz w:val="20"/>
                <w:szCs w:val="20"/>
              </w:rPr>
            </w:pPr>
            <w:r>
              <w:rPr>
                <w:rFonts w:cs="Calibri Light"/>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ADDF824" w14:textId="77777777" w:rsidR="008D50DE" w:rsidRPr="00830614" w:rsidRDefault="008D50DE" w:rsidP="00C863C8">
            <w:pPr>
              <w:spacing w:before="0" w:after="0" w:line="240" w:lineRule="exact"/>
              <w:rPr>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0856E4B" w14:textId="77777777" w:rsidR="008D50DE" w:rsidRPr="00830614" w:rsidRDefault="008D50DE" w:rsidP="00C863C8">
            <w:pPr>
              <w:spacing w:before="0" w:after="0" w:line="240" w:lineRule="exact"/>
              <w:rPr>
                <w:color w:val="000000"/>
                <w:sz w:val="20"/>
                <w:szCs w:val="20"/>
              </w:rPr>
            </w:pPr>
            <w:r>
              <w:rPr>
                <w:rFonts w:cs="Calibri Light"/>
                <w:color w:val="000000"/>
                <w:sz w:val="20"/>
                <w:szCs w:val="20"/>
              </w:rPr>
              <w:t>Com</w:t>
            </w:r>
          </w:p>
        </w:tc>
      </w:tr>
      <w:tr w:rsidR="008D50DE" w14:paraId="032B36AD" w14:textId="77777777" w:rsidTr="00C863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DA3824" w14:textId="77777777" w:rsidR="008D50DE" w:rsidRPr="00830614" w:rsidRDefault="008D50DE" w:rsidP="00C863C8">
            <w:pPr>
              <w:spacing w:before="0" w:after="0" w:line="240" w:lineRule="exact"/>
              <w:rPr>
                <w:color w:val="000000"/>
                <w:sz w:val="20"/>
                <w:szCs w:val="20"/>
              </w:rPr>
            </w:pPr>
            <w:r>
              <w:rPr>
                <w:rFonts w:cs="Calibri Light"/>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FA8AF7D" w14:textId="77777777" w:rsidR="008D50DE" w:rsidRPr="00830614" w:rsidRDefault="008D50DE" w:rsidP="00C863C8">
            <w:pPr>
              <w:spacing w:before="0" w:after="0" w:line="240" w:lineRule="exact"/>
              <w:rPr>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5615CA1" w14:textId="77777777" w:rsidR="008D50DE" w:rsidRPr="00830614" w:rsidRDefault="008D50DE" w:rsidP="00C863C8">
            <w:pPr>
              <w:spacing w:before="0" w:after="0" w:line="240" w:lineRule="exact"/>
              <w:rPr>
                <w:color w:val="000000"/>
                <w:sz w:val="20"/>
                <w:szCs w:val="20"/>
              </w:rPr>
            </w:pPr>
            <w:r>
              <w:rPr>
                <w:rFonts w:cs="Calibri Light"/>
                <w:color w:val="000000"/>
                <w:sz w:val="20"/>
                <w:szCs w:val="20"/>
              </w:rPr>
              <w:t>Com</w:t>
            </w:r>
          </w:p>
        </w:tc>
      </w:tr>
      <w:tr w:rsidR="00B87CAB" w14:paraId="3C6C7657" w14:textId="77777777" w:rsidTr="00C863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356873D" w14:textId="40626C1F" w:rsidR="00B87CAB" w:rsidRDefault="00B87CAB" w:rsidP="00B87CAB">
            <w:pPr>
              <w:spacing w:before="0" w:after="0" w:line="240" w:lineRule="exact"/>
              <w:rPr>
                <w:rFonts w:cs="Calibri Light"/>
                <w:color w:val="000000"/>
                <w:sz w:val="20"/>
                <w:szCs w:val="20"/>
              </w:rPr>
            </w:pPr>
            <w:r>
              <w:rPr>
                <w:rFonts w:cs="Calibri Light"/>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98F0075" w14:textId="1ADAAD51" w:rsidR="00B87CAB" w:rsidRDefault="00B87CAB" w:rsidP="00B87CAB">
            <w:pPr>
              <w:spacing w:before="0" w:after="0" w:line="240" w:lineRule="exact"/>
              <w:rPr>
                <w:rFonts w:cs="Calibri Light"/>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11656A" w14:textId="007BBD60" w:rsidR="00B87CAB" w:rsidRDefault="00B87CAB" w:rsidP="00B87CAB">
            <w:pPr>
              <w:spacing w:before="0" w:after="0" w:line="240" w:lineRule="exact"/>
              <w:rPr>
                <w:rFonts w:cs="Calibri Light"/>
                <w:color w:val="000000"/>
                <w:sz w:val="20"/>
                <w:szCs w:val="20"/>
              </w:rPr>
            </w:pPr>
            <w:r>
              <w:rPr>
                <w:rFonts w:cs="Calibri Light"/>
                <w:color w:val="000000"/>
                <w:sz w:val="20"/>
                <w:szCs w:val="20"/>
              </w:rPr>
              <w:t>Ind</w:t>
            </w:r>
          </w:p>
        </w:tc>
      </w:tr>
      <w:tr w:rsidR="00B87CAB" w14:paraId="616CAB7A" w14:textId="77777777" w:rsidTr="00C863C8">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FDD57A3" w14:textId="3F7D8A68" w:rsidR="00B87CAB" w:rsidRDefault="00B87CAB" w:rsidP="00B87CAB">
            <w:pPr>
              <w:spacing w:before="0" w:after="0" w:line="240" w:lineRule="exact"/>
              <w:rPr>
                <w:rFonts w:cs="Calibri Light"/>
                <w:color w:val="000000"/>
                <w:sz w:val="20"/>
                <w:szCs w:val="20"/>
              </w:rPr>
            </w:pPr>
            <w:r>
              <w:rPr>
                <w:rFonts w:cs="Calibri Light"/>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977E92C" w14:textId="4E338DCC" w:rsidR="00B87CAB" w:rsidRDefault="00B87CAB" w:rsidP="00B87CAB">
            <w:pPr>
              <w:spacing w:before="0" w:after="0" w:line="240" w:lineRule="exact"/>
              <w:rPr>
                <w:rFonts w:cs="Calibri Light"/>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391879" w14:textId="78D47B85" w:rsidR="00B87CAB" w:rsidRDefault="00B87CAB" w:rsidP="00B87CAB">
            <w:pPr>
              <w:spacing w:before="0" w:after="0" w:line="240" w:lineRule="exact"/>
              <w:rPr>
                <w:rFonts w:cs="Calibri Light"/>
                <w:color w:val="000000"/>
                <w:sz w:val="20"/>
                <w:szCs w:val="20"/>
              </w:rPr>
            </w:pPr>
            <w:r>
              <w:rPr>
                <w:rFonts w:cs="Calibri Light"/>
                <w:color w:val="000000"/>
                <w:sz w:val="20"/>
                <w:szCs w:val="20"/>
              </w:rPr>
              <w:t>Ind</w:t>
            </w:r>
          </w:p>
        </w:tc>
      </w:tr>
    </w:tbl>
    <w:p w14:paraId="36296B7E" w14:textId="01A3DB3C" w:rsidR="006D6BA0" w:rsidRDefault="006D6BA0">
      <w:pPr>
        <w:spacing w:before="0" w:after="0" w:line="240" w:lineRule="auto"/>
        <w:rPr>
          <w:i/>
          <w:color w:val="5F5F5F"/>
        </w:rPr>
      </w:pPr>
    </w:p>
    <w:p w14:paraId="5AC0EE40" w14:textId="0566070F" w:rsidR="0047621C" w:rsidRDefault="00196649" w:rsidP="00D503C0">
      <w:pPr>
        <w:pStyle w:val="eTRMHeading5"/>
      </w:pPr>
      <w:r>
        <w:t>Eligible Products</w:t>
      </w:r>
    </w:p>
    <w:p w14:paraId="365E92EB" w14:textId="3B477B1B" w:rsidR="00583BE6" w:rsidRDefault="007B7A0C" w:rsidP="00583BE6">
      <w:r>
        <w:t xml:space="preserve">The </w:t>
      </w:r>
      <w:r w:rsidR="00583BE6">
        <w:t xml:space="preserve">eligible </w:t>
      </w:r>
      <w:r>
        <w:t>measure offerings</w:t>
      </w:r>
      <w:r w:rsidR="000D025E">
        <w:t xml:space="preserve"> defined for the refrigeration case </w:t>
      </w:r>
      <w:r>
        <w:rPr>
          <w:rFonts w:cs="Calibri Light"/>
          <w:szCs w:val="22"/>
        </w:rPr>
        <w:t>saturated condensing temperature (</w:t>
      </w:r>
      <w:r w:rsidRPr="00F36FCB">
        <w:rPr>
          <w:rFonts w:cs="Calibri Light"/>
          <w:szCs w:val="22"/>
        </w:rPr>
        <w:t>SCT</w:t>
      </w:r>
      <w:r>
        <w:rPr>
          <w:rFonts w:cs="Calibri Light"/>
          <w:szCs w:val="22"/>
        </w:rPr>
        <w:t xml:space="preserve">) </w:t>
      </w:r>
      <w:r w:rsidR="000D025E">
        <w:t>control measure</w:t>
      </w:r>
      <w:r w:rsidR="00F87635">
        <w:t xml:space="preserve"> are</w:t>
      </w:r>
      <w:r w:rsidR="00583BE6">
        <w:t>:</w:t>
      </w:r>
    </w:p>
    <w:p w14:paraId="3DAF9D63" w14:textId="018C4C7E" w:rsidR="007B7A0C" w:rsidRDefault="007B7A0C" w:rsidP="00583BE6">
      <w:r>
        <w:t>Floating head pressure control for commercial air-cooled multiplex refrigeration systems:</w:t>
      </w:r>
    </w:p>
    <w:p w14:paraId="0A9520E7" w14:textId="0E85F21C" w:rsidR="00583BE6" w:rsidRPr="00530DD1" w:rsidRDefault="00583BE6" w:rsidP="007C2147">
      <w:pPr>
        <w:pStyle w:val="eTRMBulletedText"/>
        <w:numPr>
          <w:ilvl w:val="0"/>
          <w:numId w:val="31"/>
        </w:numPr>
      </w:pPr>
      <w:r>
        <w:t>Control SCT to ambient +12</w:t>
      </w:r>
      <w:r w:rsidR="00420330">
        <w:t xml:space="preserve"> </w:t>
      </w:r>
      <w:r w:rsidRPr="001003E3">
        <w:rPr>
          <w:rFonts w:ascii="Times New Roman" w:hAnsi="Times New Roman" w:cs="Times New Roman"/>
        </w:rPr>
        <w:t>°</w:t>
      </w:r>
      <w:r>
        <w:t>F TD, 70</w:t>
      </w:r>
      <w:r w:rsidR="00420330">
        <w:t xml:space="preserve"> </w:t>
      </w:r>
      <w:r w:rsidRPr="001003E3">
        <w:rPr>
          <w:rFonts w:ascii="Times New Roman" w:hAnsi="Times New Roman" w:cs="Times New Roman"/>
        </w:rPr>
        <w:t>°</w:t>
      </w:r>
      <w:r>
        <w:t xml:space="preserve">F min, </w:t>
      </w:r>
      <w:proofErr w:type="spellStart"/>
      <w:r>
        <w:t>backflood</w:t>
      </w:r>
      <w:proofErr w:type="spellEnd"/>
      <w:r>
        <w:t xml:space="preserve"> setpoint of 68</w:t>
      </w:r>
      <w:r w:rsidR="00420330">
        <w:t xml:space="preserve"> </w:t>
      </w:r>
      <w:r w:rsidRPr="001003E3">
        <w:rPr>
          <w:rFonts w:ascii="Times New Roman" w:hAnsi="Times New Roman" w:cs="Times New Roman"/>
        </w:rPr>
        <w:t>°</w:t>
      </w:r>
      <w:r>
        <w:t xml:space="preserve">F </w:t>
      </w:r>
    </w:p>
    <w:p w14:paraId="161BE69B" w14:textId="43A5D139" w:rsidR="00583BE6" w:rsidRDefault="00583BE6" w:rsidP="007C2147">
      <w:pPr>
        <w:pStyle w:val="eTRMBulletedText"/>
        <w:numPr>
          <w:ilvl w:val="0"/>
          <w:numId w:val="31"/>
        </w:numPr>
      </w:pPr>
      <w:r>
        <w:t>Control SCT to ambient +12</w:t>
      </w:r>
      <w:r w:rsidR="00420330">
        <w:t xml:space="preserve"> </w:t>
      </w:r>
      <w:r>
        <w:rPr>
          <w:rFonts w:ascii="Times New Roman" w:hAnsi="Times New Roman" w:cs="Times New Roman"/>
        </w:rPr>
        <w:t>°</w:t>
      </w:r>
      <w:r>
        <w:t>F TD, 70</w:t>
      </w:r>
      <w:r w:rsidR="00420330">
        <w:t xml:space="preserve"> </w:t>
      </w:r>
      <w:r>
        <w:rPr>
          <w:rFonts w:ascii="Times New Roman" w:hAnsi="Times New Roman" w:cs="Times New Roman"/>
        </w:rPr>
        <w:t>°</w:t>
      </w:r>
      <w:r>
        <w:t xml:space="preserve">F min, </w:t>
      </w:r>
      <w:proofErr w:type="spellStart"/>
      <w:r>
        <w:t>backflood</w:t>
      </w:r>
      <w:proofErr w:type="spellEnd"/>
      <w:r>
        <w:t xml:space="preserve"> setpoint of 68</w:t>
      </w:r>
      <w:r w:rsidR="00420330">
        <w:t xml:space="preserve"> </w:t>
      </w:r>
      <w:r>
        <w:rPr>
          <w:rFonts w:ascii="Times New Roman" w:hAnsi="Times New Roman" w:cs="Times New Roman"/>
        </w:rPr>
        <w:t>°</w:t>
      </w:r>
      <w:r>
        <w:t xml:space="preserve">F with variable-speed fan control </w:t>
      </w:r>
    </w:p>
    <w:p w14:paraId="1931839D" w14:textId="56C2B9A6" w:rsidR="007B7A0C" w:rsidRPr="00530DD1" w:rsidRDefault="007B7A0C" w:rsidP="007B7A0C">
      <w:r>
        <w:t>Floating head pressure control for commercial evaporative-cooled multiplex refrigeration systems:</w:t>
      </w:r>
    </w:p>
    <w:p w14:paraId="476A93FC" w14:textId="4B584243" w:rsidR="00583BE6" w:rsidRPr="00530DD1" w:rsidRDefault="00583BE6" w:rsidP="007C2147">
      <w:pPr>
        <w:pStyle w:val="eTRMBulletedText"/>
        <w:numPr>
          <w:ilvl w:val="0"/>
          <w:numId w:val="32"/>
        </w:numPr>
      </w:pPr>
      <w:r>
        <w:t xml:space="preserve">Control SCT to </w:t>
      </w:r>
      <w:proofErr w:type="spellStart"/>
      <w:r>
        <w:t>wetbulb</w:t>
      </w:r>
      <w:proofErr w:type="spellEnd"/>
      <w:r>
        <w:t xml:space="preserve"> +17</w:t>
      </w:r>
      <w:r w:rsidR="00420330">
        <w:t xml:space="preserve"> </w:t>
      </w:r>
      <w:r>
        <w:rPr>
          <w:rFonts w:ascii="Times New Roman" w:hAnsi="Times New Roman" w:cs="Times New Roman"/>
        </w:rPr>
        <w:t>°</w:t>
      </w:r>
      <w:r>
        <w:t>F TD, 70</w:t>
      </w:r>
      <w:r w:rsidR="00420330">
        <w:t xml:space="preserve"> </w:t>
      </w:r>
      <w:r>
        <w:rPr>
          <w:rFonts w:ascii="Times New Roman" w:hAnsi="Times New Roman" w:cs="Times New Roman"/>
        </w:rPr>
        <w:t>°</w:t>
      </w:r>
      <w:r>
        <w:t xml:space="preserve">F min, </w:t>
      </w:r>
      <w:proofErr w:type="spellStart"/>
      <w:r>
        <w:t>backflood</w:t>
      </w:r>
      <w:proofErr w:type="spellEnd"/>
      <w:r>
        <w:t xml:space="preserve"> setpoint of 68</w:t>
      </w:r>
      <w:r w:rsidR="00420330">
        <w:t xml:space="preserve"> </w:t>
      </w:r>
      <w:r>
        <w:rPr>
          <w:rFonts w:ascii="Times New Roman" w:hAnsi="Times New Roman" w:cs="Times New Roman"/>
        </w:rPr>
        <w:t>°</w:t>
      </w:r>
      <w:r>
        <w:t xml:space="preserve">F </w:t>
      </w:r>
    </w:p>
    <w:p w14:paraId="5EBC15EB" w14:textId="13F2D3EB" w:rsidR="00583BE6" w:rsidRPr="00530DD1" w:rsidRDefault="00583BE6" w:rsidP="007C2147">
      <w:pPr>
        <w:pStyle w:val="eTRMBulletedText"/>
        <w:numPr>
          <w:ilvl w:val="0"/>
          <w:numId w:val="32"/>
        </w:numPr>
      </w:pPr>
      <w:r>
        <w:t xml:space="preserve">Control SCT to </w:t>
      </w:r>
      <w:proofErr w:type="spellStart"/>
      <w:r>
        <w:t>wetbulb</w:t>
      </w:r>
      <w:proofErr w:type="spellEnd"/>
      <w:r>
        <w:t xml:space="preserve"> +17</w:t>
      </w:r>
      <w:r w:rsidR="00420330">
        <w:t xml:space="preserve"> </w:t>
      </w:r>
      <w:r>
        <w:rPr>
          <w:rFonts w:ascii="Times New Roman" w:hAnsi="Times New Roman" w:cs="Times New Roman"/>
        </w:rPr>
        <w:t>°</w:t>
      </w:r>
      <w:r>
        <w:t>F TD, 70</w:t>
      </w:r>
      <w:r w:rsidR="00420330">
        <w:t xml:space="preserve"> </w:t>
      </w:r>
      <w:r>
        <w:rPr>
          <w:rFonts w:ascii="Times New Roman" w:hAnsi="Times New Roman" w:cs="Times New Roman"/>
        </w:rPr>
        <w:t>°</w:t>
      </w:r>
      <w:r>
        <w:t xml:space="preserve">F min, </w:t>
      </w:r>
      <w:proofErr w:type="spellStart"/>
      <w:r>
        <w:t>backflood</w:t>
      </w:r>
      <w:proofErr w:type="spellEnd"/>
      <w:r>
        <w:t xml:space="preserve"> setpoint of 68</w:t>
      </w:r>
      <w:r w:rsidR="00420330">
        <w:t xml:space="preserve"> </w:t>
      </w:r>
      <w:r>
        <w:rPr>
          <w:rFonts w:ascii="Times New Roman" w:hAnsi="Times New Roman" w:cs="Times New Roman"/>
        </w:rPr>
        <w:t>°</w:t>
      </w:r>
      <w:r>
        <w:t xml:space="preserve">F with variable-speed fan control </w:t>
      </w:r>
    </w:p>
    <w:p w14:paraId="653703AE" w14:textId="77777777" w:rsidR="00583BE6" w:rsidRPr="00583BE6" w:rsidRDefault="00583BE6" w:rsidP="00583BE6"/>
    <w:p w14:paraId="3681025D" w14:textId="7BF545C4" w:rsidR="00B13A08" w:rsidRPr="005114FD" w:rsidRDefault="00B13A08" w:rsidP="00910CEF">
      <w:r w:rsidRPr="005114FD">
        <w:t xml:space="preserve">For reducing or floating head pressure to lower SCTs, the </w:t>
      </w:r>
      <w:r w:rsidR="00F87635">
        <w:t>equipment</w:t>
      </w:r>
      <w:r w:rsidRPr="005114FD">
        <w:t xml:space="preserve"> must</w:t>
      </w:r>
      <w:r w:rsidR="004B5EE9">
        <w:t xml:space="preserve"> meet the following requirements</w:t>
      </w:r>
      <w:r w:rsidRPr="005114FD">
        <w:t>:</w:t>
      </w:r>
    </w:p>
    <w:p w14:paraId="0E447FF5" w14:textId="21212172" w:rsidR="005C175B" w:rsidRPr="005174A7" w:rsidRDefault="005C175B" w:rsidP="001003E3">
      <w:pPr>
        <w:pStyle w:val="eTRMBulletedText"/>
        <w:numPr>
          <w:ilvl w:val="0"/>
          <w:numId w:val="20"/>
        </w:numPr>
        <w:rPr>
          <w:b/>
        </w:rPr>
      </w:pPr>
      <w:r w:rsidRPr="00D503C0">
        <w:t>Add controls to float head pressure down to a lower p</w:t>
      </w:r>
      <w:r w:rsidR="005174A7">
        <w:t>ressure when conditions permit (</w:t>
      </w:r>
      <w:r w:rsidRPr="00D503C0">
        <w:t>i.e., changes control from fixed set point to floating set point</w:t>
      </w:r>
      <w:r w:rsidR="005174A7">
        <w:t>)</w:t>
      </w:r>
      <w:r w:rsidRPr="00D503C0">
        <w:t>.</w:t>
      </w:r>
    </w:p>
    <w:p w14:paraId="74ED8922" w14:textId="21EFE543" w:rsidR="005C175B" w:rsidRPr="008F03CB" w:rsidRDefault="00D503C0" w:rsidP="001003E3">
      <w:pPr>
        <w:pStyle w:val="eTRMBulletedText"/>
        <w:numPr>
          <w:ilvl w:val="0"/>
          <w:numId w:val="20"/>
        </w:numPr>
        <w:rPr>
          <w:b/>
        </w:rPr>
      </w:pPr>
      <w:r>
        <w:t>Apply</w:t>
      </w:r>
      <w:r w:rsidR="005C175B" w:rsidRPr="00D503C0">
        <w:t xml:space="preserve"> only to refrigeration systems having multiplex compressor systems with existing control of </w:t>
      </w:r>
      <w:r w:rsidR="004B5EE9">
        <w:t>SCT at a fixed set</w:t>
      </w:r>
      <w:r w:rsidR="005C175B" w:rsidRPr="00D503C0">
        <w:t xml:space="preserve">point. </w:t>
      </w:r>
    </w:p>
    <w:p w14:paraId="57B2C0DB" w14:textId="36934299" w:rsidR="005C175B" w:rsidRPr="00D503C0" w:rsidRDefault="004B5EE9" w:rsidP="001003E3">
      <w:pPr>
        <w:pStyle w:val="eTRMBulletedText"/>
        <w:numPr>
          <w:ilvl w:val="0"/>
          <w:numId w:val="20"/>
        </w:numPr>
      </w:pPr>
      <w:r>
        <w:t>The n</w:t>
      </w:r>
      <w:r w:rsidR="005174A7">
        <w:t>ew SCT set</w:t>
      </w:r>
      <w:r w:rsidR="005C175B" w:rsidRPr="00D503C0">
        <w:t>point must be ambient following by controlling condenser fans with variable-speed drives or by staging condenser fans.</w:t>
      </w:r>
    </w:p>
    <w:p w14:paraId="54BBF605" w14:textId="77777777" w:rsidR="00F43581" w:rsidRDefault="00F43581" w:rsidP="00C92DBD">
      <w:pPr>
        <w:pStyle w:val="eTRMHeading5"/>
      </w:pPr>
    </w:p>
    <w:p w14:paraId="3F5FC4E0" w14:textId="49DA06B7" w:rsidR="00C92DBD" w:rsidRDefault="00C92DBD" w:rsidP="00C92DBD">
      <w:pPr>
        <w:pStyle w:val="eTRMHeading5"/>
      </w:pPr>
      <w:r w:rsidRPr="00401C43">
        <w:t>Eligible Building Types</w:t>
      </w:r>
      <w:r>
        <w:t xml:space="preserve"> and Vintages</w:t>
      </w:r>
    </w:p>
    <w:p w14:paraId="437B3D4D" w14:textId="346FF17E" w:rsidR="004B5EE9" w:rsidRDefault="004C1205" w:rsidP="00EB3855">
      <w:r>
        <w:t xml:space="preserve">This measure is applicable to any </w:t>
      </w:r>
      <w:r w:rsidR="004B5EE9">
        <w:t xml:space="preserve">existing </w:t>
      </w:r>
      <w:r w:rsidR="00B21F8F">
        <w:t xml:space="preserve">Non-Residential </w:t>
      </w:r>
      <w:r>
        <w:t>building type</w:t>
      </w:r>
      <w:r w:rsidR="005B6777">
        <w:t xml:space="preserve"> in commercial </w:t>
      </w:r>
      <w:r w:rsidR="00B87CAB">
        <w:t xml:space="preserve">and industrial </w:t>
      </w:r>
      <w:r w:rsidR="005B6777">
        <w:t>sector</w:t>
      </w:r>
      <w:r>
        <w:t xml:space="preserve">, </w:t>
      </w:r>
      <w:r w:rsidR="004B5EE9">
        <w:t>and the</w:t>
      </w:r>
      <w:r>
        <w:t xml:space="preserve"> vintage categories </w:t>
      </w:r>
      <w:r w:rsidR="004B5EE9">
        <w:t>listed below</w:t>
      </w:r>
      <w:r>
        <w:t xml:space="preserve">: </w:t>
      </w:r>
    </w:p>
    <w:p w14:paraId="5D998E9A" w14:textId="648FB85C" w:rsidR="004B5EE9" w:rsidRDefault="004B5EE9" w:rsidP="00037714">
      <w:pPr>
        <w:pStyle w:val="eTRMBulletedText"/>
        <w:numPr>
          <w:ilvl w:val="0"/>
          <w:numId w:val="33"/>
        </w:numPr>
      </w:pPr>
      <w:r>
        <w:t>Prior to 1978 (</w:t>
      </w:r>
      <w:r w:rsidR="004C1E01">
        <w:t xml:space="preserve">represented by typical year </w:t>
      </w:r>
      <w:r>
        <w:t>“1975”)</w:t>
      </w:r>
    </w:p>
    <w:p w14:paraId="20398A79" w14:textId="79A3BE3B" w:rsidR="004B5EE9" w:rsidRDefault="004B5EE9" w:rsidP="00037714">
      <w:pPr>
        <w:pStyle w:val="eTRMBulletedText"/>
        <w:numPr>
          <w:ilvl w:val="0"/>
          <w:numId w:val="33"/>
        </w:numPr>
      </w:pPr>
      <w:r>
        <w:t xml:space="preserve">1978 </w:t>
      </w:r>
      <w:r w:rsidR="004C1E01">
        <w:t xml:space="preserve">through </w:t>
      </w:r>
      <w:r>
        <w:t>1992 (“1985”)</w:t>
      </w:r>
    </w:p>
    <w:p w14:paraId="6C55F3B0" w14:textId="19C5E5E1" w:rsidR="004B5EE9" w:rsidRDefault="004C1205" w:rsidP="00037714">
      <w:pPr>
        <w:pStyle w:val="eTRMBulletedText"/>
        <w:numPr>
          <w:ilvl w:val="0"/>
          <w:numId w:val="33"/>
        </w:numPr>
      </w:pPr>
      <w:r>
        <w:t xml:space="preserve">1993 </w:t>
      </w:r>
      <w:r w:rsidR="004C1E01">
        <w:t>through</w:t>
      </w:r>
      <w:r>
        <w:t xml:space="preserve"> 2001</w:t>
      </w:r>
      <w:r w:rsidR="004B5EE9">
        <w:t xml:space="preserve"> (“1996”)</w:t>
      </w:r>
    </w:p>
    <w:p w14:paraId="179DF633" w14:textId="14B248B3" w:rsidR="004B5EE9" w:rsidRDefault="004C1205" w:rsidP="00037714">
      <w:pPr>
        <w:pStyle w:val="eTRMBulletedText"/>
        <w:numPr>
          <w:ilvl w:val="0"/>
          <w:numId w:val="33"/>
        </w:numPr>
      </w:pPr>
      <w:r>
        <w:t xml:space="preserve">2002 </w:t>
      </w:r>
      <w:r w:rsidR="004C1E01">
        <w:t xml:space="preserve">through </w:t>
      </w:r>
      <w:r>
        <w:t>2005</w:t>
      </w:r>
      <w:r w:rsidR="004B5EE9">
        <w:t xml:space="preserve"> (“2003”)</w:t>
      </w:r>
    </w:p>
    <w:p w14:paraId="56A6A3F9" w14:textId="169BC7FB" w:rsidR="008F03CB" w:rsidRDefault="004C1205" w:rsidP="00037714">
      <w:pPr>
        <w:pStyle w:val="eTRMBulletedText"/>
        <w:numPr>
          <w:ilvl w:val="0"/>
          <w:numId w:val="33"/>
        </w:numPr>
      </w:pPr>
      <w:r>
        <w:t xml:space="preserve">2006 </w:t>
      </w:r>
      <w:r w:rsidR="004C1E01">
        <w:t xml:space="preserve">through </w:t>
      </w:r>
      <w:r>
        <w:t>2009</w:t>
      </w:r>
      <w:r w:rsidR="004B5EE9">
        <w:t xml:space="preserve"> (“2007”)</w:t>
      </w:r>
    </w:p>
    <w:p w14:paraId="77A76888" w14:textId="314358C4" w:rsidR="004C1E01" w:rsidRDefault="004C1E01" w:rsidP="00037714">
      <w:pPr>
        <w:pStyle w:val="eTRMBulletedText"/>
        <w:numPr>
          <w:ilvl w:val="0"/>
          <w:numId w:val="33"/>
        </w:numPr>
      </w:pPr>
      <w:r>
        <w:t>2010 through 2013 (“2011”)</w:t>
      </w:r>
    </w:p>
    <w:p w14:paraId="16441ACE" w14:textId="77777777" w:rsidR="004B5EE9" w:rsidRDefault="004B5EE9" w:rsidP="00EB3855"/>
    <w:p w14:paraId="51ED693D" w14:textId="77777777" w:rsidR="007B6A74" w:rsidRPr="004B06E3" w:rsidRDefault="00196649" w:rsidP="00630A1A">
      <w:pPr>
        <w:pStyle w:val="eTRMHeading5"/>
        <w:keepNext/>
        <w:keepLines/>
      </w:pPr>
      <w:r>
        <w:lastRenderedPageBreak/>
        <w:t>Eligible Climate Zones</w:t>
      </w:r>
    </w:p>
    <w:p w14:paraId="1BEB2493" w14:textId="109FF42F" w:rsidR="006C41AD" w:rsidRDefault="004C1205" w:rsidP="00630A1A">
      <w:pPr>
        <w:keepNext/>
        <w:keepLines/>
        <w:rPr>
          <w:rFonts w:cs="Calibri Light"/>
          <w:szCs w:val="22"/>
        </w:rPr>
      </w:pPr>
      <w:r>
        <w:rPr>
          <w:rFonts w:cs="Calibri Light"/>
          <w:szCs w:val="22"/>
        </w:rPr>
        <w:t>This</w:t>
      </w:r>
      <w:r w:rsidR="005114FD">
        <w:rPr>
          <w:rFonts w:cs="Calibri Light"/>
          <w:szCs w:val="22"/>
        </w:rPr>
        <w:t xml:space="preserve"> measure</w:t>
      </w:r>
      <w:r>
        <w:rPr>
          <w:rFonts w:cs="Calibri Light"/>
          <w:szCs w:val="22"/>
        </w:rPr>
        <w:t xml:space="preserve"> is</w:t>
      </w:r>
      <w:r w:rsidR="00384225">
        <w:rPr>
          <w:rFonts w:cs="Calibri Light"/>
          <w:szCs w:val="22"/>
        </w:rPr>
        <w:t xml:space="preserve"> applicable </w:t>
      </w:r>
      <w:r w:rsidR="00992D60">
        <w:rPr>
          <w:rFonts w:cs="Calibri Light"/>
          <w:szCs w:val="22"/>
        </w:rPr>
        <w:t>in</w:t>
      </w:r>
      <w:r w:rsidR="00384225">
        <w:rPr>
          <w:rFonts w:cs="Calibri Light"/>
          <w:szCs w:val="22"/>
        </w:rPr>
        <w:t xml:space="preserve"> a</w:t>
      </w:r>
      <w:r w:rsidR="00F32413">
        <w:rPr>
          <w:rFonts w:cs="Calibri Light"/>
          <w:szCs w:val="22"/>
        </w:rPr>
        <w:t>ll California clima</w:t>
      </w:r>
      <w:r w:rsidR="00F54570">
        <w:rPr>
          <w:rFonts w:cs="Calibri Light"/>
          <w:szCs w:val="22"/>
        </w:rPr>
        <w:t>te zones</w:t>
      </w:r>
      <w:r w:rsidR="00F32413">
        <w:rPr>
          <w:rFonts w:cs="Calibri Light"/>
          <w:szCs w:val="22"/>
        </w:rPr>
        <w:t>.</w:t>
      </w:r>
    </w:p>
    <w:p w14:paraId="26E6E5F5" w14:textId="77777777" w:rsidR="008F03CB" w:rsidRPr="00994D92" w:rsidRDefault="008F03CB" w:rsidP="004B06E3">
      <w:pPr>
        <w:rPr>
          <w:rFonts w:cs="Calibri Light"/>
          <w:szCs w:val="22"/>
        </w:rPr>
      </w:pPr>
    </w:p>
    <w:p w14:paraId="0310B795" w14:textId="77777777" w:rsidR="007D230B" w:rsidRPr="004B06E3" w:rsidRDefault="007D230B" w:rsidP="00437D63">
      <w:pPr>
        <w:pStyle w:val="eTRMHeading3"/>
      </w:pPr>
      <w:bookmarkStart w:id="25" w:name="_Toc486490853"/>
      <w:bookmarkStart w:id="26" w:name="_Toc486580924"/>
      <w:bookmarkStart w:id="27" w:name="_Toc58512441"/>
      <w:r w:rsidRPr="004B06E3">
        <w:t>Program Exclusions</w:t>
      </w:r>
      <w:bookmarkEnd w:id="25"/>
      <w:bookmarkEnd w:id="26"/>
      <w:bookmarkEnd w:id="27"/>
      <w:r w:rsidRPr="004B06E3">
        <w:t xml:space="preserve"> </w:t>
      </w:r>
    </w:p>
    <w:p w14:paraId="335F7EDC" w14:textId="77777777" w:rsidR="007B6A74" w:rsidRDefault="00196649" w:rsidP="00154391">
      <w:pPr>
        <w:pStyle w:val="eTRMHeading5"/>
      </w:pPr>
      <w:r>
        <w:t>Ineligible Products</w:t>
      </w:r>
    </w:p>
    <w:p w14:paraId="71928C72" w14:textId="77777777" w:rsidR="004300CB" w:rsidRPr="00A823A7" w:rsidRDefault="004300CB" w:rsidP="00A823A7">
      <w:pPr>
        <w:spacing w:before="0" w:line="240" w:lineRule="auto"/>
        <w:rPr>
          <w:rFonts w:cs="Calibri Light"/>
        </w:rPr>
      </w:pPr>
      <w:r w:rsidRPr="00A823A7">
        <w:rPr>
          <w:rFonts w:cs="Calibri Light"/>
        </w:rPr>
        <w:t>Products cannot be used in conjunction with measures that already incorporate floating head pressure controls.</w:t>
      </w:r>
    </w:p>
    <w:p w14:paraId="1E22F00C" w14:textId="77777777" w:rsidR="00C46A84" w:rsidRPr="00A823A7" w:rsidRDefault="004300CB" w:rsidP="00A823A7">
      <w:pPr>
        <w:spacing w:before="0" w:line="240" w:lineRule="auto"/>
        <w:rPr>
          <w:rFonts w:cs="Calibri Light"/>
        </w:rPr>
      </w:pPr>
      <w:r w:rsidRPr="00A823A7">
        <w:rPr>
          <w:rFonts w:cs="Calibri Light"/>
        </w:rPr>
        <w:t>In addition, the following are ineligible:</w:t>
      </w:r>
    </w:p>
    <w:p w14:paraId="3D5FAEF0" w14:textId="77777777" w:rsidR="004300CB" w:rsidRPr="006B7411" w:rsidRDefault="004300CB" w:rsidP="002F063C">
      <w:pPr>
        <w:pStyle w:val="eTRMBulletedText"/>
        <w:numPr>
          <w:ilvl w:val="0"/>
          <w:numId w:val="23"/>
        </w:numPr>
      </w:pPr>
      <w:r w:rsidRPr="006B7411">
        <w:t>Projects that only reprogram a controller; new hardware must be installed.</w:t>
      </w:r>
    </w:p>
    <w:p w14:paraId="1AC6F7F8" w14:textId="36B5149D" w:rsidR="009C0C39" w:rsidRPr="006B7411" w:rsidRDefault="007B7175" w:rsidP="002F063C">
      <w:pPr>
        <w:pStyle w:val="eTRMBulletedText"/>
        <w:numPr>
          <w:ilvl w:val="0"/>
          <w:numId w:val="23"/>
        </w:numPr>
      </w:pPr>
      <w:r>
        <w:t>New construction installations</w:t>
      </w:r>
    </w:p>
    <w:p w14:paraId="18391859" w14:textId="7D9EBFC4" w:rsidR="00A823A7" w:rsidRPr="006B7411" w:rsidRDefault="009C0C39" w:rsidP="002F063C">
      <w:pPr>
        <w:pStyle w:val="eTRMBulletedText"/>
        <w:numPr>
          <w:ilvl w:val="0"/>
          <w:numId w:val="23"/>
        </w:numPr>
      </w:pPr>
      <w:r w:rsidRPr="006B7411">
        <w:t>Any improvements which results in increased system energy use</w:t>
      </w:r>
      <w:r w:rsidR="00A823A7" w:rsidRPr="006B7411">
        <w:t>.</w:t>
      </w:r>
    </w:p>
    <w:p w14:paraId="6167DDFB" w14:textId="77777777" w:rsidR="008F03CB" w:rsidRDefault="008F03CB" w:rsidP="00A823A7">
      <w:pPr>
        <w:pStyle w:val="Reminders"/>
        <w:spacing w:before="0" w:after="120"/>
        <w:rPr>
          <w:rFonts w:ascii="Calibri Light" w:hAnsi="Calibri Light" w:cs="Calibri Light"/>
          <w:i w:val="0"/>
          <w:color w:val="auto"/>
          <w:szCs w:val="22"/>
        </w:rPr>
      </w:pPr>
    </w:p>
    <w:p w14:paraId="68BBC33E" w14:textId="2CDFAEB4" w:rsidR="009C0C39" w:rsidRDefault="009C0C39" w:rsidP="00A823A7">
      <w:pPr>
        <w:pStyle w:val="Reminders"/>
        <w:spacing w:before="0" w:after="120"/>
        <w:rPr>
          <w:rFonts w:ascii="Calibri Light" w:hAnsi="Calibri Light" w:cs="Calibri Light"/>
          <w:i w:val="0"/>
          <w:color w:val="auto"/>
          <w:szCs w:val="22"/>
        </w:rPr>
      </w:pPr>
      <w:r w:rsidRPr="00A823A7">
        <w:rPr>
          <w:rFonts w:ascii="Calibri Light" w:hAnsi="Calibri Light" w:cs="Calibri Light"/>
          <w:i w:val="0"/>
          <w:color w:val="auto"/>
          <w:szCs w:val="22"/>
        </w:rPr>
        <w:t>Additionally,</w:t>
      </w:r>
      <w:r w:rsidR="005174A7">
        <w:rPr>
          <w:rFonts w:ascii="Calibri Light" w:hAnsi="Calibri Light" w:cs="Calibri Light"/>
          <w:i w:val="0"/>
          <w:color w:val="auto"/>
          <w:szCs w:val="22"/>
        </w:rPr>
        <w:t xml:space="preserve"> the</w:t>
      </w:r>
      <w:r w:rsidRPr="00A823A7">
        <w:rPr>
          <w:rFonts w:ascii="Calibri Light" w:hAnsi="Calibri Light" w:cs="Calibri Light"/>
          <w:i w:val="0"/>
          <w:color w:val="auto"/>
          <w:szCs w:val="22"/>
        </w:rPr>
        <w:t xml:space="preserve"> calculation of the design cooling load (tons) is to be based on connected display cases, walk-in coolers and freezers, coole</w:t>
      </w:r>
      <w:r w:rsidR="005174A7">
        <w:rPr>
          <w:rFonts w:ascii="Calibri Light" w:hAnsi="Calibri Light" w:cs="Calibri Light"/>
          <w:i w:val="0"/>
          <w:color w:val="auto"/>
          <w:szCs w:val="22"/>
        </w:rPr>
        <w:t xml:space="preserve">d </w:t>
      </w:r>
      <w:proofErr w:type="gramStart"/>
      <w:r w:rsidR="005174A7">
        <w:rPr>
          <w:rFonts w:ascii="Calibri Light" w:hAnsi="Calibri Light" w:cs="Calibri Light"/>
          <w:i w:val="0"/>
          <w:color w:val="auto"/>
          <w:szCs w:val="22"/>
        </w:rPr>
        <w:t>storage</w:t>
      </w:r>
      <w:proofErr w:type="gramEnd"/>
      <w:r w:rsidR="005174A7">
        <w:rPr>
          <w:rFonts w:ascii="Calibri Light" w:hAnsi="Calibri Light" w:cs="Calibri Light"/>
          <w:i w:val="0"/>
          <w:color w:val="auto"/>
          <w:szCs w:val="22"/>
        </w:rPr>
        <w:t xml:space="preserve"> and prep areas only. </w:t>
      </w:r>
      <w:r w:rsidRPr="00A823A7">
        <w:rPr>
          <w:rFonts w:ascii="Calibri Light" w:hAnsi="Calibri Light" w:cs="Calibri Light"/>
          <w:i w:val="0"/>
          <w:color w:val="auto"/>
          <w:szCs w:val="22"/>
        </w:rPr>
        <w:t>Sub</w:t>
      </w:r>
      <w:r w:rsidR="007A0645">
        <w:rPr>
          <w:rFonts w:ascii="Calibri Light" w:hAnsi="Calibri Light" w:cs="Calibri Light"/>
          <w:i w:val="0"/>
          <w:color w:val="auto"/>
          <w:szCs w:val="22"/>
        </w:rPr>
        <w:t>-</w:t>
      </w:r>
      <w:r w:rsidRPr="00A823A7">
        <w:rPr>
          <w:rFonts w:ascii="Calibri Light" w:hAnsi="Calibri Light" w:cs="Calibri Light"/>
          <w:i w:val="0"/>
          <w:color w:val="auto"/>
          <w:szCs w:val="22"/>
        </w:rPr>
        <w:t>cooler loads and air conditioning loads are ineligible for consideration.</w:t>
      </w:r>
    </w:p>
    <w:p w14:paraId="0F2A3C0B" w14:textId="5707C1B9" w:rsidR="009E1D3E" w:rsidRDefault="009E1D3E" w:rsidP="00A823A7">
      <w:pPr>
        <w:pStyle w:val="Reminders"/>
        <w:spacing w:before="0" w:after="120"/>
        <w:rPr>
          <w:rFonts w:ascii="Calibri Light" w:hAnsi="Calibri Light" w:cs="Calibri Light"/>
          <w:i w:val="0"/>
          <w:color w:val="auto"/>
          <w:szCs w:val="22"/>
        </w:rPr>
      </w:pPr>
      <w:r>
        <w:rPr>
          <w:rFonts w:ascii="Calibri Light" w:hAnsi="Calibri Light" w:cs="Calibri Light"/>
          <w:i w:val="0"/>
          <w:color w:val="auto"/>
          <w:szCs w:val="22"/>
        </w:rPr>
        <w:t>Building vintage</w:t>
      </w:r>
      <w:r w:rsidR="003968E2">
        <w:rPr>
          <w:rFonts w:ascii="Calibri Light" w:hAnsi="Calibri Light" w:cs="Calibri Light"/>
          <w:i w:val="0"/>
          <w:color w:val="auto"/>
          <w:szCs w:val="22"/>
        </w:rPr>
        <w:t xml:space="preserve"> and</w:t>
      </w:r>
      <w:r>
        <w:rPr>
          <w:rFonts w:ascii="Calibri Light" w:hAnsi="Calibri Light" w:cs="Calibri Light"/>
          <w:i w:val="0"/>
          <w:color w:val="auto"/>
          <w:szCs w:val="22"/>
        </w:rPr>
        <w:t xml:space="preserve"> </w:t>
      </w:r>
      <w:r w:rsidR="00272C78">
        <w:rPr>
          <w:rFonts w:ascii="Calibri Light" w:hAnsi="Calibri Light" w:cs="Calibri Light"/>
          <w:i w:val="0"/>
          <w:color w:val="auto"/>
          <w:szCs w:val="22"/>
        </w:rPr>
        <w:t xml:space="preserve">refrigeration multiplex </w:t>
      </w:r>
      <w:r>
        <w:rPr>
          <w:rFonts w:ascii="Calibri Light" w:hAnsi="Calibri Light" w:cs="Calibri Light"/>
          <w:i w:val="0"/>
          <w:color w:val="auto"/>
          <w:szCs w:val="22"/>
        </w:rPr>
        <w:t xml:space="preserve">system vintage </w:t>
      </w:r>
      <w:r w:rsidR="002C2900">
        <w:rPr>
          <w:rFonts w:ascii="Calibri Light" w:hAnsi="Calibri Light" w:cs="Calibri Light"/>
          <w:i w:val="0"/>
          <w:color w:val="auto"/>
          <w:szCs w:val="22"/>
        </w:rPr>
        <w:t xml:space="preserve">after 2013. </w:t>
      </w:r>
    </w:p>
    <w:p w14:paraId="063E124B" w14:textId="77777777" w:rsidR="008F03CB" w:rsidRPr="00A823A7" w:rsidRDefault="008F03CB" w:rsidP="00A823A7">
      <w:pPr>
        <w:pStyle w:val="Reminders"/>
        <w:spacing w:before="0" w:after="120"/>
        <w:rPr>
          <w:rFonts w:ascii="Calibri Light" w:hAnsi="Calibri Light" w:cs="Calibri Light"/>
          <w:i w:val="0"/>
          <w:color w:val="auto"/>
          <w:szCs w:val="22"/>
        </w:rPr>
      </w:pPr>
    </w:p>
    <w:p w14:paraId="165088E3" w14:textId="77777777" w:rsidR="007D230B" w:rsidRPr="004B06E3" w:rsidRDefault="007D230B" w:rsidP="00437D63">
      <w:pPr>
        <w:pStyle w:val="eTRMHeading3"/>
      </w:pPr>
      <w:bookmarkStart w:id="28" w:name="_Toc486490854"/>
      <w:bookmarkStart w:id="29" w:name="_Toc486580925"/>
      <w:bookmarkStart w:id="30" w:name="_Toc58512442"/>
      <w:r w:rsidRPr="004B06E3">
        <w:t>Data Collection Requirements</w:t>
      </w:r>
      <w:bookmarkEnd w:id="28"/>
      <w:bookmarkEnd w:id="29"/>
      <w:bookmarkEnd w:id="30"/>
      <w:r w:rsidRPr="004B06E3">
        <w:t xml:space="preserve"> </w:t>
      </w:r>
    </w:p>
    <w:p w14:paraId="0E4835FB" w14:textId="6ED0D1B8" w:rsidR="003968E2" w:rsidRDefault="00EA5845">
      <w:pPr>
        <w:pStyle w:val="Reminders"/>
        <w:spacing w:before="0" w:after="120"/>
        <w:rPr>
          <w:rFonts w:ascii="Calibri Light" w:hAnsi="Calibri Light" w:cs="Calibri Light"/>
          <w:i w:val="0"/>
          <w:color w:val="auto"/>
          <w:szCs w:val="22"/>
        </w:rPr>
      </w:pPr>
      <w:r>
        <w:rPr>
          <w:rFonts w:ascii="Calibri Light" w:hAnsi="Calibri Light" w:cs="Calibri Light"/>
          <w:i w:val="0"/>
          <w:color w:val="auto"/>
          <w:szCs w:val="22"/>
        </w:rPr>
        <w:t xml:space="preserve">The program should collect </w:t>
      </w:r>
      <w:r w:rsidR="000715CD">
        <w:rPr>
          <w:rFonts w:ascii="Calibri Light" w:hAnsi="Calibri Light" w:cs="Calibri Light"/>
          <w:i w:val="0"/>
          <w:color w:val="auto"/>
          <w:szCs w:val="22"/>
        </w:rPr>
        <w:t xml:space="preserve">and verify </w:t>
      </w:r>
      <w:r>
        <w:rPr>
          <w:rFonts w:ascii="Calibri Light" w:hAnsi="Calibri Light" w:cs="Calibri Light"/>
          <w:i w:val="0"/>
          <w:color w:val="auto"/>
          <w:szCs w:val="22"/>
        </w:rPr>
        <w:t xml:space="preserve">the vintage </w:t>
      </w:r>
      <w:r w:rsidR="009E1D3E">
        <w:rPr>
          <w:rFonts w:ascii="Calibri Light" w:hAnsi="Calibri Light" w:cs="Calibri Light"/>
          <w:i w:val="0"/>
          <w:color w:val="auto"/>
          <w:szCs w:val="22"/>
        </w:rPr>
        <w:t xml:space="preserve">of the building and </w:t>
      </w:r>
      <w:r w:rsidR="003968E2">
        <w:rPr>
          <w:rFonts w:ascii="Calibri Light" w:hAnsi="Calibri Light" w:cs="Calibri Light"/>
          <w:i w:val="0"/>
          <w:color w:val="auto"/>
          <w:szCs w:val="22"/>
        </w:rPr>
        <w:t>the refrigeration multiplex system</w:t>
      </w:r>
      <w:r w:rsidR="00297FBC">
        <w:rPr>
          <w:rFonts w:ascii="Calibri Light" w:hAnsi="Calibri Light" w:cs="Calibri Light"/>
          <w:i w:val="0"/>
          <w:color w:val="auto"/>
          <w:szCs w:val="22"/>
        </w:rPr>
        <w:t xml:space="preserve">. The offerings are ineligible for multiplex systems majorly upgraded or installed after </w:t>
      </w:r>
      <w:r w:rsidR="00373041">
        <w:rPr>
          <w:rFonts w:ascii="Calibri Light" w:hAnsi="Calibri Light" w:cs="Calibri Light"/>
          <w:i w:val="0"/>
          <w:color w:val="auto"/>
          <w:szCs w:val="22"/>
        </w:rPr>
        <w:t>July 1, 2014</w:t>
      </w:r>
      <w:r w:rsidR="00297FBC">
        <w:rPr>
          <w:rFonts w:ascii="Calibri Light" w:hAnsi="Calibri Light" w:cs="Calibri Light"/>
          <w:i w:val="0"/>
          <w:color w:val="auto"/>
          <w:szCs w:val="22"/>
        </w:rPr>
        <w:t xml:space="preserve"> since the Title-24 code </w:t>
      </w:r>
      <w:r w:rsidR="00C613A2">
        <w:rPr>
          <w:rFonts w:ascii="Calibri Light" w:hAnsi="Calibri Light" w:cs="Calibri Light"/>
          <w:i w:val="0"/>
          <w:color w:val="auto"/>
          <w:szCs w:val="22"/>
        </w:rPr>
        <w:t xml:space="preserve">mandates the floating controls since July 1, 2014. </w:t>
      </w:r>
    </w:p>
    <w:p w14:paraId="5CA2AA76" w14:textId="77777777" w:rsidR="007D230B" w:rsidRPr="004B06E3" w:rsidRDefault="007D230B" w:rsidP="0042436F">
      <w:pPr>
        <w:pStyle w:val="Reminders"/>
        <w:spacing w:before="0" w:after="120"/>
      </w:pPr>
    </w:p>
    <w:p w14:paraId="67725F89" w14:textId="77777777" w:rsidR="007D230B" w:rsidRPr="004B06E3" w:rsidRDefault="007D230B" w:rsidP="00437D63">
      <w:pPr>
        <w:pStyle w:val="eTRMHeading3"/>
      </w:pPr>
      <w:bookmarkStart w:id="31" w:name="_Toc486490855"/>
      <w:bookmarkStart w:id="32" w:name="_Toc486580926"/>
      <w:bookmarkStart w:id="33" w:name="_Toc58512443"/>
      <w:r w:rsidRPr="004B06E3">
        <w:t>Use Category</w:t>
      </w:r>
      <w:bookmarkEnd w:id="31"/>
      <w:bookmarkEnd w:id="32"/>
      <w:bookmarkEnd w:id="33"/>
    </w:p>
    <w:p w14:paraId="29C7EF7A" w14:textId="77777777" w:rsidR="00910CEF" w:rsidRDefault="00910CEF" w:rsidP="00910CEF">
      <w:proofErr w:type="spellStart"/>
      <w:r>
        <w:t>ComRefrig</w:t>
      </w:r>
      <w:proofErr w:type="spellEnd"/>
    </w:p>
    <w:p w14:paraId="763AD397" w14:textId="77777777" w:rsidR="00910CEF" w:rsidRPr="00910CEF" w:rsidRDefault="00910CEF" w:rsidP="00910CEF"/>
    <w:p w14:paraId="33CDE2CB" w14:textId="77777777" w:rsidR="007D230B" w:rsidRPr="004B06E3" w:rsidRDefault="007D230B" w:rsidP="00437D63">
      <w:pPr>
        <w:pStyle w:val="eTRMHeading3"/>
      </w:pPr>
      <w:bookmarkStart w:id="34" w:name="_Toc486490857"/>
      <w:bookmarkStart w:id="35" w:name="_Toc486580928"/>
      <w:bookmarkStart w:id="36" w:name="_Toc58512444"/>
      <w:r w:rsidRPr="004B06E3">
        <w:t>Electric Savings</w:t>
      </w:r>
      <w:r w:rsidR="00245AFF" w:rsidRPr="004B06E3">
        <w:t xml:space="preserve"> (</w:t>
      </w:r>
      <w:r w:rsidR="00E14349" w:rsidRPr="00E14349">
        <w:t>k</w:t>
      </w:r>
      <w:r w:rsidR="00245AFF" w:rsidRPr="004B06E3">
        <w:t>Wh)</w:t>
      </w:r>
      <w:bookmarkEnd w:id="34"/>
      <w:bookmarkEnd w:id="35"/>
      <w:bookmarkEnd w:id="36"/>
    </w:p>
    <w:p w14:paraId="4248595C" w14:textId="2BB0EED7" w:rsidR="00B32647" w:rsidRDefault="00391292" w:rsidP="007C4B21">
      <w:pPr>
        <w:rPr>
          <w:rFonts w:cstheme="minorHAnsi"/>
        </w:rPr>
      </w:pPr>
      <w:r>
        <w:t>The measure</w:t>
      </w:r>
      <w:r w:rsidR="00DC76C8">
        <w:t xml:space="preserve"> offerings existed in previous version of </w:t>
      </w:r>
      <w:r w:rsidR="00DC76C8">
        <w:rPr>
          <w:rFonts w:cs="Calibri Light"/>
          <w:szCs w:val="22"/>
        </w:rPr>
        <w:t>Database for Energy Efficient Resources (DEER)</w:t>
      </w:r>
      <w:r w:rsidR="001B6C36">
        <w:rPr>
          <w:rFonts w:cs="Calibri Light"/>
          <w:szCs w:val="22"/>
        </w:rPr>
        <w:t xml:space="preserve"> as measures </w:t>
      </w:r>
      <w:r w:rsidR="001B6C36">
        <w:t>D03-223, D03-224, D03-225, and D03-226</w:t>
      </w:r>
      <w:r w:rsidR="001B6C36" w:rsidRPr="00752D8A">
        <w:rPr>
          <w:rFonts w:cstheme="minorHAnsi"/>
        </w:rPr>
        <w:t>.</w:t>
      </w:r>
      <w:r w:rsidR="001B6C36">
        <w:rPr>
          <w:rStyle w:val="FootnoteReference"/>
        </w:rPr>
        <w:footnoteReference w:id="2"/>
      </w:r>
      <w:r w:rsidR="00AF4792">
        <w:rPr>
          <w:rFonts w:cstheme="minorHAnsi"/>
        </w:rPr>
        <w:t xml:space="preserve"> </w:t>
      </w:r>
      <w:r w:rsidR="00AF4792" w:rsidRPr="00992D60">
        <w:t xml:space="preserve">The original measures and energy </w:t>
      </w:r>
      <w:r w:rsidR="00825B56">
        <w:t>prototypes</w:t>
      </w:r>
      <w:r w:rsidR="00AF4792">
        <w:t xml:space="preserve"> were created with DEER 2005, and m</w:t>
      </w:r>
      <w:r w:rsidR="00AF4792" w:rsidRPr="00992D60">
        <w:t xml:space="preserve">easure information was updated in DEER 2008. </w:t>
      </w:r>
      <w:r w:rsidR="001B6C36">
        <w:rPr>
          <w:rFonts w:cstheme="minorHAnsi"/>
        </w:rPr>
        <w:t>These measures are not updated with DEER2020 release</w:t>
      </w:r>
      <w:r w:rsidR="001B3ACE">
        <w:rPr>
          <w:rFonts w:cstheme="minorHAnsi"/>
        </w:rPr>
        <w:t>,</w:t>
      </w:r>
      <w:r w:rsidR="001B6C36">
        <w:rPr>
          <w:rFonts w:cstheme="minorHAnsi"/>
        </w:rPr>
        <w:t xml:space="preserve"> and the refrigeration end use in corresponding DEER prototypes</w:t>
      </w:r>
      <w:r w:rsidR="003E7C21">
        <w:rPr>
          <w:rFonts w:cstheme="minorHAnsi"/>
        </w:rPr>
        <w:t xml:space="preserve"> (grocery building prototypes)</w:t>
      </w:r>
      <w:r w:rsidR="001B6C36">
        <w:rPr>
          <w:rFonts w:cstheme="minorHAnsi"/>
        </w:rPr>
        <w:t xml:space="preserve"> has not been updated since DEER2005. </w:t>
      </w:r>
    </w:p>
    <w:p w14:paraId="16D3B2D4" w14:textId="2CCE0CCB" w:rsidR="00E334F2" w:rsidRDefault="007A3818" w:rsidP="007C4B21">
      <w:pPr>
        <w:rPr>
          <w:rFonts w:cstheme="minorHAnsi"/>
        </w:rPr>
      </w:pPr>
      <w:r>
        <w:rPr>
          <w:rFonts w:cstheme="minorHAnsi"/>
        </w:rPr>
        <w:lastRenderedPageBreak/>
        <w:t xml:space="preserve">SCE </w:t>
      </w:r>
      <w:r w:rsidR="00A505FA">
        <w:rPr>
          <w:rFonts w:cstheme="minorHAnsi"/>
        </w:rPr>
        <w:t xml:space="preserve">undertook </w:t>
      </w:r>
      <w:r w:rsidR="00ED37BA">
        <w:rPr>
          <w:rFonts w:cstheme="minorHAnsi"/>
        </w:rPr>
        <w:t>the task of updating the refrigeration end use in DEER prototypes and rel</w:t>
      </w:r>
      <w:r w:rsidR="00B83DC1">
        <w:rPr>
          <w:rFonts w:cstheme="minorHAnsi"/>
        </w:rPr>
        <w:t>eased the report</w:t>
      </w:r>
      <w:r w:rsidR="00B83DC1">
        <w:rPr>
          <w:rStyle w:val="FootnoteReference"/>
          <w:rFonts w:cstheme="minorHAnsi"/>
        </w:rPr>
        <w:footnoteReference w:id="3"/>
      </w:r>
      <w:r w:rsidR="00ED37BA">
        <w:rPr>
          <w:rFonts w:cstheme="minorHAnsi"/>
        </w:rPr>
        <w:t xml:space="preserve">. </w:t>
      </w:r>
      <w:r w:rsidR="0010025A">
        <w:rPr>
          <w:rFonts w:cstheme="minorHAnsi"/>
        </w:rPr>
        <w:t xml:space="preserve">SCE identified no </w:t>
      </w:r>
      <w:r w:rsidR="0014230D">
        <w:rPr>
          <w:rFonts w:cstheme="minorHAnsi"/>
        </w:rPr>
        <w:t>updates</w:t>
      </w:r>
      <w:r w:rsidR="0010025A">
        <w:rPr>
          <w:rFonts w:cstheme="minorHAnsi"/>
        </w:rPr>
        <w:t xml:space="preserve"> needed</w:t>
      </w:r>
      <w:r w:rsidR="0014230D">
        <w:rPr>
          <w:rFonts w:cstheme="minorHAnsi"/>
        </w:rPr>
        <w:t xml:space="preserve"> for vintages </w:t>
      </w:r>
      <w:r w:rsidR="00DD3FA1">
        <w:rPr>
          <w:rFonts w:cstheme="minorHAnsi"/>
        </w:rPr>
        <w:t xml:space="preserve">2011 and </w:t>
      </w:r>
      <w:r w:rsidR="0010025A">
        <w:rPr>
          <w:rFonts w:cstheme="minorHAnsi"/>
        </w:rPr>
        <w:t xml:space="preserve">prior because </w:t>
      </w:r>
      <w:r w:rsidR="00620FD2">
        <w:rPr>
          <w:rFonts w:cstheme="minorHAnsi"/>
        </w:rPr>
        <w:t>the code and industry standard practice</w:t>
      </w:r>
      <w:r w:rsidR="0047405E">
        <w:rPr>
          <w:rFonts w:cstheme="minorHAnsi"/>
        </w:rPr>
        <w:t xml:space="preserve"> did not impact the </w:t>
      </w:r>
      <w:r w:rsidR="00E577B5">
        <w:rPr>
          <w:rFonts w:cstheme="minorHAnsi"/>
        </w:rPr>
        <w:t xml:space="preserve">DEER porotypes developed in 2005 and updated in </w:t>
      </w:r>
      <w:proofErr w:type="gramStart"/>
      <w:r w:rsidR="00E577B5">
        <w:rPr>
          <w:rFonts w:cstheme="minorHAnsi"/>
        </w:rPr>
        <w:t>2008</w:t>
      </w:r>
      <w:r w:rsidR="0010025A">
        <w:rPr>
          <w:rFonts w:cstheme="minorHAnsi"/>
        </w:rPr>
        <w:t xml:space="preserve"> </w:t>
      </w:r>
      <w:r w:rsidR="00DD3FA1">
        <w:rPr>
          <w:rFonts w:cstheme="minorHAnsi"/>
        </w:rPr>
        <w:t>.</w:t>
      </w:r>
      <w:proofErr w:type="gramEnd"/>
      <w:r w:rsidR="00B32647">
        <w:rPr>
          <w:rFonts w:cstheme="minorHAnsi"/>
        </w:rPr>
        <w:t xml:space="preserve"> </w:t>
      </w:r>
      <w:r w:rsidR="00DD3FA1">
        <w:rPr>
          <w:rFonts w:cstheme="minorHAnsi"/>
        </w:rPr>
        <w:t xml:space="preserve"> </w:t>
      </w:r>
      <w:r w:rsidR="00E334F2">
        <w:rPr>
          <w:rFonts w:cstheme="minorHAnsi"/>
        </w:rPr>
        <w:t xml:space="preserve">Since the measure offerings are only eligible for vintage </w:t>
      </w:r>
      <w:r w:rsidR="002F14BA">
        <w:rPr>
          <w:rFonts w:cstheme="minorHAnsi"/>
        </w:rPr>
        <w:t xml:space="preserve">2011 and </w:t>
      </w:r>
      <w:r w:rsidR="00CC5962">
        <w:rPr>
          <w:rFonts w:cstheme="minorHAnsi"/>
        </w:rPr>
        <w:t>before</w:t>
      </w:r>
      <w:r w:rsidR="002F14BA">
        <w:rPr>
          <w:rFonts w:cstheme="minorHAnsi"/>
        </w:rPr>
        <w:t xml:space="preserve">, the grocery prototypes from DEER2020 can be used without any revisions. </w:t>
      </w:r>
    </w:p>
    <w:p w14:paraId="4972AF42" w14:textId="63A086AC" w:rsidR="00D64EDD" w:rsidRDefault="00B32647" w:rsidP="00BF5FB2">
      <w:r>
        <w:rPr>
          <w:rFonts w:cstheme="minorHAnsi"/>
        </w:rPr>
        <w:t>MASC</w:t>
      </w:r>
      <w:r w:rsidR="00947FF4">
        <w:rPr>
          <w:rFonts w:cstheme="minorHAnsi"/>
        </w:rPr>
        <w:t>o</w:t>
      </w:r>
      <w:r>
        <w:rPr>
          <w:rFonts w:cstheme="minorHAnsi"/>
        </w:rPr>
        <w:t>ntrol3</w:t>
      </w:r>
      <w:r w:rsidR="00AD229E">
        <w:rPr>
          <w:rFonts w:cstheme="minorHAnsi"/>
        </w:rPr>
        <w:t xml:space="preserve">, </w:t>
      </w:r>
      <w:r w:rsidR="00AD229E" w:rsidRPr="0042436F">
        <w:rPr>
          <w:rFonts w:cstheme="minorHAnsi"/>
        </w:rPr>
        <w:t>an updated version of the measure analysis software</w:t>
      </w:r>
      <w:r w:rsidR="00AD229E">
        <w:rPr>
          <w:rFonts w:cstheme="minorHAnsi"/>
        </w:rPr>
        <w:t xml:space="preserve"> for DEER2020 is used to </w:t>
      </w:r>
      <w:r w:rsidR="004E3FF8">
        <w:rPr>
          <w:rFonts w:cstheme="minorHAnsi"/>
        </w:rPr>
        <w:t xml:space="preserve">generate energy usage and savings for grocery building prototypes. </w:t>
      </w:r>
      <w:r w:rsidR="00D64EDD">
        <w:t>MASControl3</w:t>
      </w:r>
      <w:r w:rsidR="006F7D53">
        <w:t>, r</w:t>
      </w:r>
      <w:r w:rsidR="00D64EDD">
        <w:t xml:space="preserve">eleased on 30 Sept 2018, uses the </w:t>
      </w:r>
      <w:r w:rsidR="00D64EDD" w:rsidRPr="00D64EDD">
        <w:t>DOE-2.2-R52o</w:t>
      </w:r>
      <w:r w:rsidR="00D64EDD">
        <w:t xml:space="preserve"> simulation engine</w:t>
      </w:r>
      <w:r w:rsidR="001B1B3B">
        <w:t xml:space="preserve"> </w:t>
      </w:r>
      <w:r w:rsidR="00ED68F2">
        <w:t xml:space="preserve">with </w:t>
      </w:r>
      <w:proofErr w:type="spellStart"/>
      <w:r w:rsidR="00ED68F2">
        <w:t>eQuest</w:t>
      </w:r>
      <w:proofErr w:type="spellEnd"/>
      <w:r w:rsidR="00ED68F2">
        <w:t xml:space="preserve"> Refrigeration </w:t>
      </w:r>
      <w:proofErr w:type="gramStart"/>
      <w:r w:rsidR="00ED68F2">
        <w:t>interface</w:t>
      </w:r>
      <w:proofErr w:type="gramEnd"/>
      <w:r w:rsidR="00ED68F2">
        <w:t xml:space="preserve"> </w:t>
      </w:r>
      <w:r w:rsidR="001B1B3B">
        <w:t xml:space="preserve">and </w:t>
      </w:r>
      <w:r w:rsidR="00D64EDD">
        <w:t xml:space="preserve">provides processing scripts for computing DEER peak demand and applying </w:t>
      </w:r>
      <w:r w:rsidR="0039590B">
        <w:t xml:space="preserve">DEER2020 </w:t>
      </w:r>
      <w:r w:rsidR="00D64EDD">
        <w:t>vintage weights. Attributes of the modeled measures are noted below:</w:t>
      </w:r>
    </w:p>
    <w:p w14:paraId="4FBA5623" w14:textId="6EC0BF4E" w:rsidR="00D64EDD" w:rsidRDefault="00D64EDD" w:rsidP="00D64EDD">
      <w:pPr>
        <w:pStyle w:val="eTRMBulletedText"/>
        <w:numPr>
          <w:ilvl w:val="0"/>
          <w:numId w:val="24"/>
        </w:numPr>
      </w:pPr>
      <w:r>
        <w:t>Since nonresidential technology codes for these measures were not distributed with MASControl3, the following technology codes were created</w:t>
      </w:r>
      <w:r w:rsidR="00702F14">
        <w:t xml:space="preserve">. These have the same effect as similar technology codes from </w:t>
      </w:r>
      <w:r w:rsidR="00AF4792">
        <w:t>D</w:t>
      </w:r>
      <w:r w:rsidR="00034242">
        <w:t xml:space="preserve">EER </w:t>
      </w:r>
      <w:r w:rsidR="00AF4792">
        <w:t>2008</w:t>
      </w:r>
      <w:r w:rsidR="00702F14">
        <w:t>.</w:t>
      </w:r>
    </w:p>
    <w:p w14:paraId="3A874A6B" w14:textId="01C4B111" w:rsidR="00D64EDD" w:rsidRDefault="00702F14" w:rsidP="00D64EDD">
      <w:pPr>
        <w:pStyle w:val="eTRMBulletedText"/>
        <w:numPr>
          <w:ilvl w:val="1"/>
          <w:numId w:val="24"/>
        </w:numPr>
      </w:pPr>
      <w:proofErr w:type="spellStart"/>
      <w:r w:rsidRPr="00702F14">
        <w:t>GrocRefg-AirCool</w:t>
      </w:r>
      <w:proofErr w:type="spellEnd"/>
    </w:p>
    <w:p w14:paraId="12E65E2B" w14:textId="77777777" w:rsidR="00702F14" w:rsidRDefault="00702F14" w:rsidP="00702F14">
      <w:pPr>
        <w:pStyle w:val="eTRMBulletedText"/>
        <w:numPr>
          <w:ilvl w:val="1"/>
          <w:numId w:val="24"/>
        </w:numPr>
      </w:pPr>
      <w:proofErr w:type="spellStart"/>
      <w:r>
        <w:t>GrocRefg-AirCool-FltHdPres-VarSCT</w:t>
      </w:r>
      <w:proofErr w:type="spellEnd"/>
    </w:p>
    <w:p w14:paraId="2AB74C26" w14:textId="77777777" w:rsidR="00702F14" w:rsidRDefault="00702F14" w:rsidP="00702F14">
      <w:pPr>
        <w:pStyle w:val="eTRMBulletedText"/>
        <w:numPr>
          <w:ilvl w:val="1"/>
          <w:numId w:val="24"/>
        </w:numPr>
      </w:pPr>
      <w:proofErr w:type="spellStart"/>
      <w:r>
        <w:t>GrocRefg-AirCool-FltHdPres-VarSCT-VSDFan</w:t>
      </w:r>
      <w:proofErr w:type="spellEnd"/>
    </w:p>
    <w:p w14:paraId="6FDD2FD9" w14:textId="6A73A877" w:rsidR="00702F14" w:rsidRDefault="00702F14" w:rsidP="00702F14">
      <w:pPr>
        <w:pStyle w:val="eTRMBulletedText"/>
        <w:numPr>
          <w:ilvl w:val="1"/>
          <w:numId w:val="24"/>
        </w:numPr>
      </w:pPr>
      <w:proofErr w:type="spellStart"/>
      <w:r w:rsidRPr="00702F14">
        <w:t>GrocRefg-EvapCool</w:t>
      </w:r>
      <w:proofErr w:type="spellEnd"/>
    </w:p>
    <w:p w14:paraId="3EB0C2F9" w14:textId="77777777" w:rsidR="00702F14" w:rsidRDefault="00702F14" w:rsidP="00702F14">
      <w:pPr>
        <w:pStyle w:val="eTRMBulletedText"/>
        <w:numPr>
          <w:ilvl w:val="1"/>
          <w:numId w:val="24"/>
        </w:numPr>
      </w:pPr>
      <w:proofErr w:type="spellStart"/>
      <w:r>
        <w:t>GrocRefg-EvapCool-FltHdPres-VarSCT</w:t>
      </w:r>
      <w:proofErr w:type="spellEnd"/>
    </w:p>
    <w:p w14:paraId="1E349DEE" w14:textId="77777777" w:rsidR="00702F14" w:rsidRDefault="00702F14" w:rsidP="00702F14">
      <w:pPr>
        <w:pStyle w:val="eTRMBulletedText"/>
        <w:numPr>
          <w:ilvl w:val="1"/>
          <w:numId w:val="24"/>
        </w:numPr>
      </w:pPr>
      <w:proofErr w:type="spellStart"/>
      <w:r>
        <w:t>GrocRefg-EvapCool-FltHdPres-VarSCT-VSDFan</w:t>
      </w:r>
      <w:proofErr w:type="spellEnd"/>
    </w:p>
    <w:p w14:paraId="139FB0B9" w14:textId="77777777" w:rsidR="00D64EDD" w:rsidRDefault="00D64EDD" w:rsidP="00D64EDD">
      <w:pPr>
        <w:pStyle w:val="eTRMBulletedText"/>
        <w:numPr>
          <w:ilvl w:val="0"/>
          <w:numId w:val="24"/>
        </w:numPr>
      </w:pPr>
      <w:r>
        <w:t xml:space="preserve">The Grocery building type was selected for all climate zones (1 – 16) and for vintage codes 1975, 1985, 1996, 2003, 2007, and 2011.  </w:t>
      </w:r>
    </w:p>
    <w:p w14:paraId="704B7183" w14:textId="53D80987" w:rsidR="00D64EDD" w:rsidRDefault="00D64EDD" w:rsidP="00D64EDD">
      <w:pPr>
        <w:pStyle w:val="eTRMBulletedText"/>
        <w:numPr>
          <w:ilvl w:val="0"/>
          <w:numId w:val="24"/>
        </w:numPr>
      </w:pPr>
      <w:r>
        <w:t>The base case is defined as a standard air-cooled or evaporative cooled multiplex refrigeration system</w:t>
      </w:r>
      <w:r w:rsidR="00D60463">
        <w:t xml:space="preserve"> with fixed </w:t>
      </w:r>
      <w:r>
        <w:t xml:space="preserve">SCT </w:t>
      </w:r>
      <w:r w:rsidR="00D60463">
        <w:t xml:space="preserve">control. </w:t>
      </w:r>
      <w:r>
        <w:t xml:space="preserve"> </w:t>
      </w:r>
    </w:p>
    <w:p w14:paraId="02272B7A" w14:textId="20D5FE64" w:rsidR="006C331D" w:rsidRPr="009D0A9D" w:rsidRDefault="006C331D" w:rsidP="006C331D">
      <w:pPr>
        <w:pStyle w:val="eTRMBulletedText"/>
        <w:numPr>
          <w:ilvl w:val="1"/>
          <w:numId w:val="24"/>
        </w:numPr>
      </w:pPr>
      <w:r>
        <w:t>SCT CONTROL: FIXED</w:t>
      </w:r>
    </w:p>
    <w:p w14:paraId="194E934C" w14:textId="68CB2C25" w:rsidR="00D64EDD" w:rsidRDefault="00D64EDD" w:rsidP="00D64EDD">
      <w:pPr>
        <w:pStyle w:val="eTRMBulletedText"/>
        <w:numPr>
          <w:ilvl w:val="0"/>
          <w:numId w:val="24"/>
        </w:numPr>
      </w:pPr>
      <w:r>
        <w:t xml:space="preserve">The measure case is </w:t>
      </w:r>
      <w:r w:rsidR="007D276C">
        <w:t xml:space="preserve">as </w:t>
      </w:r>
      <w:r>
        <w:t>defined in DEER 2008</w:t>
      </w:r>
    </w:p>
    <w:p w14:paraId="03E533BF" w14:textId="547366B1" w:rsidR="00105B8B" w:rsidRPr="0042436F" w:rsidRDefault="00B0500C" w:rsidP="00105B8B">
      <w:pPr>
        <w:pStyle w:val="eTRMBulletedText"/>
        <w:numPr>
          <w:ilvl w:val="1"/>
          <w:numId w:val="24"/>
        </w:numPr>
      </w:pPr>
      <w:r>
        <w:t xml:space="preserve">SCT CONTROL: </w:t>
      </w:r>
      <w:r w:rsidRPr="00A10BA7">
        <w:t>DRYBUL</w:t>
      </w:r>
      <w:r w:rsidR="00FE30E1">
        <w:t>B</w:t>
      </w:r>
      <w:r w:rsidRPr="00A10BA7">
        <w:t>-RESET</w:t>
      </w:r>
      <w:r w:rsidR="00356F2E">
        <w:t xml:space="preserve"> or </w:t>
      </w:r>
      <w:r w:rsidR="006B49A3" w:rsidRPr="00A10BA7">
        <w:t>WETBULB-RESET</w:t>
      </w:r>
    </w:p>
    <w:p w14:paraId="218995A1" w14:textId="5569658D" w:rsidR="00A723D9" w:rsidRDefault="00105B8B">
      <w:pPr>
        <w:pStyle w:val="eTRMBulletedText"/>
        <w:numPr>
          <w:ilvl w:val="1"/>
          <w:numId w:val="24"/>
        </w:numPr>
        <w:rPr>
          <w:rFonts w:eastAsia="Times New Roman"/>
        </w:rPr>
      </w:pPr>
      <w:r>
        <w:rPr>
          <w:rFonts w:eastAsia="Times New Roman"/>
        </w:rPr>
        <w:t>REFG-</w:t>
      </w:r>
      <w:proofErr w:type="gramStart"/>
      <w:r>
        <w:rPr>
          <w:rFonts w:eastAsia="Times New Roman"/>
        </w:rPr>
        <w:t>SYSTEM:SCT</w:t>
      </w:r>
      <w:proofErr w:type="gramEnd"/>
      <w:r>
        <w:rPr>
          <w:rFonts w:eastAsia="Times New Roman"/>
        </w:rPr>
        <w:t>-SETPT = 70</w:t>
      </w:r>
      <w:r>
        <w:rPr>
          <w:rFonts w:eastAsia="Times New Roman"/>
        </w:rPr>
        <w:br/>
        <w:t>REFG-SYSTEM:BACKFLOOD-SETPT  = 68</w:t>
      </w:r>
    </w:p>
    <w:p w14:paraId="5D66C483" w14:textId="4ECB470E" w:rsidR="00FB262D" w:rsidRDefault="00FB262D" w:rsidP="00FB262D">
      <w:pPr>
        <w:pStyle w:val="eTRMBulletedText"/>
        <w:numPr>
          <w:ilvl w:val="0"/>
          <w:numId w:val="24"/>
        </w:numPr>
      </w:pPr>
      <w:r w:rsidRPr="009E256B">
        <w:t>DEER2020 commercial vintage weights are applied to roll up the savings into “Ex” vintage</w:t>
      </w:r>
    </w:p>
    <w:p w14:paraId="6771B322" w14:textId="791D42C4" w:rsidR="00C76D21" w:rsidRDefault="00C76D21">
      <w:pPr>
        <w:pStyle w:val="eTRMBulletedText"/>
        <w:numPr>
          <w:ilvl w:val="0"/>
          <w:numId w:val="24"/>
        </w:numPr>
      </w:pPr>
      <w:r>
        <w:t xml:space="preserve">The </w:t>
      </w:r>
      <w:r w:rsidR="00837905">
        <w:t xml:space="preserve">value of </w:t>
      </w:r>
      <w:r>
        <w:t xml:space="preserve">normalizing unit </w:t>
      </w:r>
      <w:r w:rsidR="00837905">
        <w:t>“</w:t>
      </w:r>
      <w:r w:rsidR="00280085">
        <w:t>c</w:t>
      </w:r>
      <w:r w:rsidR="00837905">
        <w:t xml:space="preserve">ap-tons” used in the MASControl3 processing is </w:t>
      </w:r>
      <w:r w:rsidR="00CB4701">
        <w:t>the cooling capacities of refrigeration units</w:t>
      </w:r>
      <w:r w:rsidR="00083FDC">
        <w:t xml:space="preserve"> (freezers and coolers) </w:t>
      </w:r>
      <w:r w:rsidR="00BB37B1">
        <w:t xml:space="preserve">determined to be 17.55 tons. However, </w:t>
      </w:r>
      <w:r w:rsidR="00280085">
        <w:t xml:space="preserve">the cap-tons should be the rated capacity of </w:t>
      </w:r>
      <w:r w:rsidR="002958C7">
        <w:t xml:space="preserve">compressors serving the multiplex system. </w:t>
      </w:r>
      <w:r w:rsidR="00992FA8">
        <w:t xml:space="preserve">This information is not directly available from DEER prototypes </w:t>
      </w:r>
      <w:r w:rsidR="00F14737">
        <w:t xml:space="preserve">where the compressor capacity is in </w:t>
      </w:r>
      <w:proofErr w:type="spellStart"/>
      <w:r w:rsidR="00F14737">
        <w:t>lbs</w:t>
      </w:r>
      <w:proofErr w:type="spellEnd"/>
      <w:r w:rsidR="00F14737">
        <w:t xml:space="preserve">/hr. </w:t>
      </w:r>
      <w:r w:rsidR="00A83D51">
        <w:t xml:space="preserve">The closest </w:t>
      </w:r>
      <w:r w:rsidR="003F0A80">
        <w:t xml:space="preserve">information to determine the </w:t>
      </w:r>
      <w:r w:rsidR="00833AD2">
        <w:t xml:space="preserve">compressor </w:t>
      </w:r>
      <w:r w:rsidR="00ED68F2">
        <w:t>capacity from</w:t>
      </w:r>
      <w:r w:rsidR="003F0A80">
        <w:t xml:space="preserve"> DEER prototypes is the </w:t>
      </w:r>
      <w:r w:rsidR="00833AD2">
        <w:t xml:space="preserve">peak load from </w:t>
      </w:r>
      <w:r w:rsidR="00ED68F2">
        <w:t xml:space="preserve">.SIM files. </w:t>
      </w:r>
      <w:r w:rsidR="00840101">
        <w:t>The total peak capacity of all the compressors is compared with previous DEER measures normalizing units. While they are not same, they are of the similar magnitude. Since the previous DEER measures are peer reviewed, the capacity-tons</w:t>
      </w:r>
      <w:r w:rsidR="00E21D43">
        <w:t xml:space="preserve"> </w:t>
      </w:r>
      <w:r w:rsidR="00F53E07">
        <w:t>from DEER measures which</w:t>
      </w:r>
      <w:r w:rsidR="00E21D43">
        <w:t xml:space="preserve"> vary by climate zone</w:t>
      </w:r>
      <w:r w:rsidR="00840101">
        <w:t xml:space="preserve"> are used</w:t>
      </w:r>
      <w:r w:rsidR="00E21D43">
        <w:t xml:space="preserve"> to calculate the </w:t>
      </w:r>
      <w:r w:rsidR="003A37AF">
        <w:t xml:space="preserve">normalized savings. </w:t>
      </w:r>
      <w:r w:rsidR="00840101">
        <w:t xml:space="preserve">  </w:t>
      </w:r>
    </w:p>
    <w:p w14:paraId="1B31AA27" w14:textId="4769B175" w:rsidR="00105B8B" w:rsidRPr="00BF5FB2" w:rsidRDefault="00105B8B" w:rsidP="0042436F">
      <w:pPr>
        <w:pStyle w:val="eTRMBulletedText"/>
        <w:numPr>
          <w:ilvl w:val="0"/>
          <w:numId w:val="0"/>
        </w:numPr>
        <w:rPr>
          <w:rFonts w:asciiTheme="minorHAnsi" w:hAnsiTheme="minorHAnsi" w:cstheme="minorHAnsi"/>
        </w:rPr>
      </w:pPr>
    </w:p>
    <w:p w14:paraId="09D2B907" w14:textId="40942422" w:rsidR="00844E31" w:rsidRDefault="00531E98" w:rsidP="00844E31">
      <w:r>
        <w:lastRenderedPageBreak/>
        <w:t xml:space="preserve">Please refer to </w:t>
      </w:r>
      <w:r w:rsidR="00A07DD4">
        <w:t>the folder</w:t>
      </w:r>
      <w:r w:rsidR="001E740F">
        <w:rPr>
          <w:rStyle w:val="FootnoteReference"/>
        </w:rPr>
        <w:footnoteReference w:id="4"/>
      </w:r>
      <w:r w:rsidR="001E740F">
        <w:t xml:space="preserve"> for the workbooks </w:t>
      </w:r>
      <w:r w:rsidR="005155C9">
        <w:t xml:space="preserve">and back-up folders </w:t>
      </w:r>
      <w:r w:rsidR="001E740F">
        <w:t xml:space="preserve">required </w:t>
      </w:r>
      <w:r w:rsidR="005155C9">
        <w:t xml:space="preserve">to enable the measures in MASControl3 </w:t>
      </w:r>
      <w:r w:rsidR="00EF57D5">
        <w:t xml:space="preserve">and the </w:t>
      </w:r>
      <w:proofErr w:type="spellStart"/>
      <w:r w:rsidR="00DC6575">
        <w:t>eQuest</w:t>
      </w:r>
      <w:proofErr w:type="spellEnd"/>
      <w:r w:rsidR="00DC6575">
        <w:t xml:space="preserve"> .</w:t>
      </w:r>
      <w:proofErr w:type="spellStart"/>
      <w:r w:rsidR="00DC6575">
        <w:t>inp</w:t>
      </w:r>
      <w:proofErr w:type="spellEnd"/>
      <w:r w:rsidR="00DC6575">
        <w:t xml:space="preserve"> files generated by running the measures in MASControl3</w:t>
      </w:r>
      <w:r w:rsidR="00EF57D5">
        <w:t xml:space="preserve">. </w:t>
      </w:r>
      <w:r w:rsidR="0025090E">
        <w:t xml:space="preserve">Please </w:t>
      </w:r>
      <w:r w:rsidR="00F11FE3">
        <w:t>refer</w:t>
      </w:r>
      <w:r w:rsidR="0025090E">
        <w:t xml:space="preserve"> to the </w:t>
      </w:r>
      <w:r w:rsidR="00F11FE3">
        <w:t>calculation file</w:t>
      </w:r>
      <w:r w:rsidR="00E9090E">
        <w:rPr>
          <w:rStyle w:val="FootnoteReference"/>
        </w:rPr>
        <w:footnoteReference w:id="5"/>
      </w:r>
      <w:r w:rsidR="00F11FE3">
        <w:t xml:space="preserve"> for post </w:t>
      </w:r>
      <w:r w:rsidR="00052DB7">
        <w:t>processing</w:t>
      </w:r>
      <w:r w:rsidR="00F53E07">
        <w:t xml:space="preserve"> analysis. </w:t>
      </w:r>
    </w:p>
    <w:p w14:paraId="0ECC929A" w14:textId="77777777" w:rsidR="00992D60" w:rsidRPr="004B06E3" w:rsidRDefault="00992D60" w:rsidP="00992D60">
      <w:pPr>
        <w:pStyle w:val="eTRMHeading3"/>
      </w:pPr>
      <w:bookmarkStart w:id="37" w:name="_Toc486490856"/>
      <w:bookmarkStart w:id="38" w:name="_Toc486580927"/>
      <w:bookmarkStart w:id="39" w:name="_Toc58512445"/>
      <w:r w:rsidRPr="004B06E3">
        <w:t>Peak Electric Demand Reduction (kW)</w:t>
      </w:r>
      <w:bookmarkEnd w:id="37"/>
      <w:bookmarkEnd w:id="38"/>
      <w:bookmarkEnd w:id="39"/>
    </w:p>
    <w:p w14:paraId="7DB2D95C" w14:textId="77777777" w:rsidR="00C04E14" w:rsidRDefault="00896E05" w:rsidP="00992D60">
      <w:r>
        <w:t xml:space="preserve">As </w:t>
      </w:r>
      <w:proofErr w:type="gramStart"/>
      <w:r>
        <w:t>stated</w:t>
      </w:r>
      <w:proofErr w:type="gramEnd"/>
      <w:r>
        <w:t xml:space="preserve"> before MASControl3 provides processing scripts for computing DEER peak demand. The scripts for 4</w:t>
      </w:r>
      <w:r w:rsidR="005A0C6F">
        <w:t xml:space="preserve">PM-9PM peak period is used to generate the peak kW savings meeting the DEER2020 peak period definition. </w:t>
      </w:r>
    </w:p>
    <w:p w14:paraId="5DC68E9C" w14:textId="77777777" w:rsidR="00992D60" w:rsidRDefault="00992D60" w:rsidP="00992D60"/>
    <w:p w14:paraId="0E2AE37B" w14:textId="77777777" w:rsidR="007D230B" w:rsidRPr="004B06E3" w:rsidRDefault="007D230B" w:rsidP="00437D63">
      <w:pPr>
        <w:pStyle w:val="eTRMHeading3"/>
      </w:pPr>
      <w:bookmarkStart w:id="40" w:name="_Toc486490858"/>
      <w:bookmarkStart w:id="41" w:name="_Toc486580929"/>
      <w:bookmarkStart w:id="42" w:name="_Toc58512446"/>
      <w:r w:rsidRPr="004B06E3">
        <w:t>Gas Savings</w:t>
      </w:r>
      <w:r w:rsidR="00245AFF" w:rsidRPr="004B06E3">
        <w:t xml:space="preserve"> (Therms)</w:t>
      </w:r>
      <w:bookmarkEnd w:id="40"/>
      <w:bookmarkEnd w:id="41"/>
      <w:bookmarkEnd w:id="42"/>
    </w:p>
    <w:p w14:paraId="1E65A4C7" w14:textId="758B45F0" w:rsidR="004142EF" w:rsidRDefault="002A44E9" w:rsidP="004B06E3">
      <w:r>
        <w:t xml:space="preserve">The </w:t>
      </w:r>
      <w:proofErr w:type="spellStart"/>
      <w:r>
        <w:t>therms</w:t>
      </w:r>
      <w:proofErr w:type="spellEnd"/>
      <w:r>
        <w:t xml:space="preserve"> savings are also generated </w:t>
      </w:r>
      <w:r w:rsidR="0036686B">
        <w:t xml:space="preserve">from </w:t>
      </w:r>
      <w:r>
        <w:t>MASControl3</w:t>
      </w:r>
      <w:r w:rsidR="0036686B">
        <w:t xml:space="preserve">. </w:t>
      </w:r>
    </w:p>
    <w:p w14:paraId="3C6F1785" w14:textId="77777777" w:rsidR="00A8013A" w:rsidRPr="004B06E3" w:rsidRDefault="00A8013A" w:rsidP="004B06E3"/>
    <w:p w14:paraId="0CE6301F" w14:textId="12A5BB8C" w:rsidR="007D230B" w:rsidRPr="004B06E3" w:rsidRDefault="00245AFF" w:rsidP="00437D63">
      <w:pPr>
        <w:pStyle w:val="eTRMHeading3"/>
      </w:pPr>
      <w:bookmarkStart w:id="43" w:name="_Toc58512447"/>
      <w:bookmarkStart w:id="44" w:name="_Toc486490859"/>
      <w:bookmarkStart w:id="45" w:name="_Toc486580930"/>
      <w:r w:rsidRPr="004B06E3">
        <w:t>Life Cycle</w:t>
      </w:r>
      <w:bookmarkEnd w:id="43"/>
      <w:r w:rsidR="007D230B" w:rsidRPr="004B06E3">
        <w:t xml:space="preserve"> </w:t>
      </w:r>
      <w:bookmarkEnd w:id="44"/>
      <w:bookmarkEnd w:id="45"/>
    </w:p>
    <w:p w14:paraId="6102F3AC" w14:textId="77777777" w:rsidR="007208B0" w:rsidRDefault="007208B0" w:rsidP="007208B0">
      <w:pPr>
        <w:rPr>
          <w:rStyle w:val="eTRMFootnoteTextChar"/>
        </w:rPr>
      </w:pPr>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rsidRPr="00951F20">
        <w:t xml:space="preserve"> </w:t>
      </w:r>
      <w:r>
        <w:t xml:space="preserve">The RUL is only applicable to the first baseline period for a retrofit measure with an applicable code baseline. </w:t>
      </w:r>
    </w:p>
    <w:p w14:paraId="494AF99B" w14:textId="2304162E" w:rsidR="007208B0" w:rsidRDefault="007208B0" w:rsidP="007208B0">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6"/>
      </w:r>
      <w:r>
        <w:t xml:space="preserve"> </w:t>
      </w:r>
      <w:r w:rsidRPr="008F087F">
        <w:rPr>
          <w:rFonts w:eastAsia="Times New Roman"/>
        </w:rPr>
        <w:t>This approach provides a reasonable RUL estimate without the requiring any a prior knowledge about the age of the equipment being replaced.</w:t>
      </w:r>
      <w:r>
        <w:rPr>
          <w:rStyle w:val="FootnoteReference"/>
          <w:rFonts w:eastAsia="Times New Roman"/>
        </w:rPr>
        <w:footnoteReference w:id="7"/>
      </w:r>
      <w:r w:rsidRPr="008F087F">
        <w:rPr>
          <w:rFonts w:eastAsia="Times New Roman"/>
        </w:rPr>
        <w:t> </w:t>
      </w:r>
      <w:r>
        <w:rPr>
          <w:rFonts w:eastAsia="Times New Roman"/>
        </w:rPr>
        <w:t>Further, a</w:t>
      </w:r>
      <w:r w:rsidRPr="00951F20">
        <w:t xml:space="preserve">s per Resolution E-4807, the California Public Utilities Commission (CPUC) revised </w:t>
      </w:r>
      <w:r w:rsidR="00FE30E1">
        <w:t>Add</w:t>
      </w:r>
      <w:r w:rsidR="008A7B46">
        <w:t>-on Equipment (AOE)</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8"/>
      </w:r>
    </w:p>
    <w:p w14:paraId="75D0D0D4" w14:textId="78FF5910" w:rsidR="0043339C" w:rsidRDefault="0043339C" w:rsidP="0043339C">
      <w:r>
        <w:t>The E</w:t>
      </w:r>
      <w:r w:rsidR="004C1205">
        <w:t xml:space="preserve">UL and </w:t>
      </w:r>
      <w:r>
        <w:t xml:space="preserve">RUL established for refrigeration case SCT control is specified in </w:t>
      </w:r>
      <w:r w:rsidR="00630A1A">
        <w:fldChar w:fldCharType="begin"/>
      </w:r>
      <w:r w:rsidR="00630A1A">
        <w:instrText xml:space="preserve"> REF _Ref491891582 \h </w:instrText>
      </w:r>
      <w:r w:rsidR="00630A1A">
        <w:fldChar w:fldCharType="separate"/>
      </w:r>
      <w:r w:rsidR="006E46EC">
        <w:t xml:space="preserve">Table </w:t>
      </w:r>
      <w:r w:rsidR="006E46EC">
        <w:rPr>
          <w:noProof/>
        </w:rPr>
        <w:t>2</w:t>
      </w:r>
      <w:r w:rsidR="00630A1A">
        <w:fldChar w:fldCharType="end"/>
      </w:r>
      <w:r>
        <w:t>.</w:t>
      </w:r>
    </w:p>
    <w:p w14:paraId="66E83E5D" w14:textId="0675CABD" w:rsidR="0043339C" w:rsidRPr="00920905" w:rsidRDefault="00630A1A" w:rsidP="00630A1A">
      <w:pPr>
        <w:pStyle w:val="Caption"/>
      </w:pPr>
      <w:bookmarkStart w:id="46" w:name="_Ref491891582"/>
      <w:r>
        <w:lastRenderedPageBreak/>
        <w:t xml:space="preserve">Table </w:t>
      </w:r>
      <w:r w:rsidR="000C4751">
        <w:rPr>
          <w:noProof/>
        </w:rPr>
        <w:fldChar w:fldCharType="begin"/>
      </w:r>
      <w:r w:rsidR="000C4751">
        <w:rPr>
          <w:noProof/>
        </w:rPr>
        <w:instrText xml:space="preserve"> SEQ Table \* ARABIC </w:instrText>
      </w:r>
      <w:r w:rsidR="000C4751">
        <w:rPr>
          <w:noProof/>
        </w:rPr>
        <w:fldChar w:fldCharType="separate"/>
      </w:r>
      <w:r w:rsidR="006E46EC">
        <w:rPr>
          <w:noProof/>
        </w:rPr>
        <w:t>2</w:t>
      </w:r>
      <w:r w:rsidR="000C4751">
        <w:rPr>
          <w:noProof/>
        </w:rPr>
        <w:fldChar w:fldCharType="end"/>
      </w:r>
      <w:bookmarkEnd w:id="46"/>
      <w:r>
        <w:t xml:space="preserve">. </w:t>
      </w:r>
      <w:r w:rsidR="0043339C">
        <w:t>Effective Useful Life</w:t>
      </w:r>
    </w:p>
    <w:tbl>
      <w:tblPr>
        <w:tblW w:w="955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5"/>
        <w:gridCol w:w="1913"/>
        <w:gridCol w:w="5130"/>
      </w:tblGrid>
      <w:tr w:rsidR="007208B0" w:rsidRPr="00500C4E" w14:paraId="68CDBD3C" w14:textId="77777777" w:rsidTr="0042436F">
        <w:trPr>
          <w:cantSplit/>
          <w:trHeight w:val="20"/>
        </w:trPr>
        <w:tc>
          <w:tcPr>
            <w:tcW w:w="2515" w:type="dxa"/>
            <w:shd w:val="clear" w:color="auto" w:fill="F2F2F2" w:themeFill="background1" w:themeFillShade="F2"/>
            <w:vAlign w:val="bottom"/>
          </w:tcPr>
          <w:p w14:paraId="400D88DB" w14:textId="77777777" w:rsidR="007208B0" w:rsidRPr="008C556F" w:rsidRDefault="007208B0" w:rsidP="00D22652">
            <w:pPr>
              <w:keepNext/>
              <w:keepLines/>
              <w:spacing w:before="20" w:after="20"/>
              <w:rPr>
                <w:rFonts w:cs="Calibri Light"/>
                <w:b/>
                <w:sz w:val="20"/>
                <w:szCs w:val="20"/>
              </w:rPr>
            </w:pPr>
            <w:bookmarkStart w:id="47" w:name="_Toc486490860"/>
            <w:bookmarkStart w:id="48" w:name="_Toc486580931"/>
            <w:r w:rsidRPr="008C556F">
              <w:rPr>
                <w:rFonts w:cs="Calibri Light"/>
                <w:b/>
                <w:sz w:val="20"/>
                <w:szCs w:val="20"/>
              </w:rPr>
              <w:t>Parameter</w:t>
            </w:r>
          </w:p>
        </w:tc>
        <w:tc>
          <w:tcPr>
            <w:tcW w:w="1913" w:type="dxa"/>
            <w:shd w:val="clear" w:color="auto" w:fill="F2F2F2" w:themeFill="background1" w:themeFillShade="F2"/>
            <w:vAlign w:val="bottom"/>
          </w:tcPr>
          <w:p w14:paraId="62481F76" w14:textId="61861387" w:rsidR="007208B0" w:rsidRPr="008C556F" w:rsidRDefault="007208B0" w:rsidP="00D22652">
            <w:pPr>
              <w:keepNext/>
              <w:keepLines/>
              <w:spacing w:before="20" w:after="20"/>
              <w:jc w:val="center"/>
              <w:rPr>
                <w:rFonts w:cs="Calibri Light"/>
                <w:b/>
                <w:sz w:val="20"/>
                <w:szCs w:val="20"/>
              </w:rPr>
            </w:pPr>
            <w:r>
              <w:rPr>
                <w:rFonts w:cs="Calibri Light"/>
                <w:b/>
                <w:sz w:val="20"/>
                <w:szCs w:val="20"/>
              </w:rPr>
              <w:t>Refrigeration Case SCT Controls</w:t>
            </w:r>
          </w:p>
        </w:tc>
        <w:tc>
          <w:tcPr>
            <w:tcW w:w="5130" w:type="dxa"/>
            <w:shd w:val="clear" w:color="auto" w:fill="F2F2F2" w:themeFill="background1" w:themeFillShade="F2"/>
            <w:vAlign w:val="bottom"/>
          </w:tcPr>
          <w:p w14:paraId="0820AE5C" w14:textId="77777777" w:rsidR="007208B0" w:rsidRPr="008C556F" w:rsidRDefault="007208B0" w:rsidP="00D22652">
            <w:pPr>
              <w:keepNext/>
              <w:keepLines/>
              <w:spacing w:before="20" w:after="20"/>
              <w:jc w:val="center"/>
              <w:rPr>
                <w:rFonts w:cs="Calibri Light"/>
                <w:b/>
                <w:sz w:val="20"/>
                <w:szCs w:val="20"/>
              </w:rPr>
            </w:pPr>
            <w:r w:rsidRPr="008C556F">
              <w:rPr>
                <w:rFonts w:cs="Calibri Light"/>
                <w:b/>
                <w:sz w:val="20"/>
                <w:szCs w:val="20"/>
              </w:rPr>
              <w:t>Source</w:t>
            </w:r>
          </w:p>
        </w:tc>
      </w:tr>
      <w:tr w:rsidR="00EA67F7" w:rsidRPr="00500C4E" w14:paraId="111BD6E7" w14:textId="77777777" w:rsidTr="0042436F">
        <w:trPr>
          <w:cantSplit/>
          <w:trHeight w:val="269"/>
        </w:trPr>
        <w:tc>
          <w:tcPr>
            <w:tcW w:w="2515" w:type="dxa"/>
            <w:vAlign w:val="center"/>
          </w:tcPr>
          <w:p w14:paraId="2C4B8DBF" w14:textId="6ED3AA0A" w:rsidR="00EA67F7" w:rsidRPr="000C77DF" w:rsidRDefault="00E16D80" w:rsidP="00EA67F7">
            <w:pPr>
              <w:keepNext/>
              <w:keepLines/>
              <w:spacing w:before="20" w:after="20"/>
              <w:rPr>
                <w:sz w:val="20"/>
                <w:szCs w:val="20"/>
              </w:rPr>
            </w:pPr>
            <w:r>
              <w:rPr>
                <w:rFonts w:cstheme="minorHAnsi"/>
                <w:sz w:val="20"/>
                <w:szCs w:val="20"/>
              </w:rPr>
              <w:t>E</w:t>
            </w:r>
            <w:r w:rsidR="00EA67F7" w:rsidRPr="000C77DF">
              <w:rPr>
                <w:rFonts w:cstheme="minorHAnsi"/>
                <w:sz w:val="20"/>
                <w:szCs w:val="20"/>
              </w:rPr>
              <w:t xml:space="preserve">UL (Years) – SCT controls </w:t>
            </w:r>
          </w:p>
        </w:tc>
        <w:tc>
          <w:tcPr>
            <w:tcW w:w="1913" w:type="dxa"/>
            <w:vAlign w:val="center"/>
          </w:tcPr>
          <w:p w14:paraId="6989A676" w14:textId="77EE52E6" w:rsidR="00EA67F7" w:rsidRPr="0042436F" w:rsidRDefault="00EA67F7" w:rsidP="0042436F">
            <w:pPr>
              <w:keepNext/>
              <w:keepLines/>
              <w:spacing w:before="20" w:after="20"/>
              <w:ind w:right="430"/>
              <w:jc w:val="center"/>
              <w:rPr>
                <w:sz w:val="20"/>
                <w:szCs w:val="20"/>
              </w:rPr>
            </w:pPr>
            <w:r w:rsidRPr="0042436F">
              <w:rPr>
                <w:sz w:val="20"/>
                <w:szCs w:val="20"/>
              </w:rPr>
              <w:t>6.67</w:t>
            </w:r>
          </w:p>
        </w:tc>
        <w:tc>
          <w:tcPr>
            <w:tcW w:w="5130" w:type="dxa"/>
            <w:vAlign w:val="center"/>
          </w:tcPr>
          <w:p w14:paraId="559D5D94" w14:textId="5075E33A" w:rsidR="00EA67F7" w:rsidRPr="00BF5FB2" w:rsidRDefault="00C04E14" w:rsidP="00EA67F7">
            <w:pPr>
              <w:keepNext/>
              <w:keepLines/>
              <w:spacing w:before="20" w:after="20"/>
              <w:rPr>
                <w:sz w:val="18"/>
                <w:szCs w:val="20"/>
              </w:rPr>
            </w:pPr>
            <w:r w:rsidRPr="00CF1B1F">
              <w:rPr>
                <w:sz w:val="18"/>
              </w:rPr>
              <w:t xml:space="preserve">California Public Utilities Commission (CPUC), Energy Division. 2013. </w:t>
            </w:r>
            <w:r w:rsidRPr="00CF1B1F">
              <w:rPr>
                <w:i/>
                <w:sz w:val="18"/>
              </w:rPr>
              <w:t>Energy Efficiency Policy Manual Version 5</w:t>
            </w:r>
            <w:r w:rsidRPr="00CF1B1F">
              <w:rPr>
                <w:sz w:val="18"/>
              </w:rPr>
              <w:t xml:space="preserve">. </w:t>
            </w:r>
            <w:r w:rsidR="00EA67F7" w:rsidRPr="00BF5FB2">
              <w:rPr>
                <w:sz w:val="18"/>
              </w:rPr>
              <w:t>RUL = 1/3 EUL</w:t>
            </w:r>
            <w:r w:rsidR="00947FF4">
              <w:rPr>
                <w:sz w:val="18"/>
              </w:rPr>
              <w:t xml:space="preserve"> </w:t>
            </w:r>
            <w:r w:rsidR="0019552D">
              <w:rPr>
                <w:sz w:val="18"/>
              </w:rPr>
              <w:t>HOST capped at EUL of control</w:t>
            </w:r>
            <w:r w:rsidR="00915174">
              <w:rPr>
                <w:sz w:val="18"/>
              </w:rPr>
              <w:t xml:space="preserve"> based on </w:t>
            </w:r>
            <w:r w:rsidR="00915174" w:rsidRPr="00915174">
              <w:rPr>
                <w:sz w:val="18"/>
              </w:rPr>
              <w:t>2015 SCE Ex Ante Adjustments</w:t>
            </w:r>
            <w:r w:rsidR="00915174">
              <w:rPr>
                <w:rStyle w:val="FootnoteReference"/>
                <w:sz w:val="18"/>
              </w:rPr>
              <w:footnoteReference w:id="9"/>
            </w:r>
          </w:p>
        </w:tc>
      </w:tr>
    </w:tbl>
    <w:p w14:paraId="7410111D" w14:textId="77777777" w:rsidR="007208B0" w:rsidRPr="004B06E3" w:rsidRDefault="007208B0" w:rsidP="007208B0"/>
    <w:p w14:paraId="60D10EE2" w14:textId="774E10B3" w:rsidR="007D230B" w:rsidRPr="004B06E3" w:rsidRDefault="007D230B" w:rsidP="00437D63">
      <w:pPr>
        <w:pStyle w:val="eTRMHeading3"/>
      </w:pPr>
      <w:bookmarkStart w:id="49" w:name="_Toc58512448"/>
      <w:r w:rsidRPr="004B06E3">
        <w:t>Base Case Material Cost ($/unit)</w:t>
      </w:r>
      <w:bookmarkEnd w:id="47"/>
      <w:bookmarkEnd w:id="48"/>
      <w:bookmarkEnd w:id="49"/>
    </w:p>
    <w:p w14:paraId="4F34D535" w14:textId="55C9B0E2" w:rsidR="007D230B" w:rsidRDefault="00910CEF" w:rsidP="00910CEF">
      <w:r>
        <w:t>Insofar</w:t>
      </w:r>
      <w:r w:rsidR="004C1205">
        <w:t xml:space="preserve"> as these measures are retrofit/</w:t>
      </w:r>
      <w:r>
        <w:t xml:space="preserve">add-on measures, the base case costs are equal to $0.00. </w:t>
      </w:r>
    </w:p>
    <w:p w14:paraId="38E43BAE" w14:textId="77777777" w:rsidR="00910CEF" w:rsidRDefault="00910CEF" w:rsidP="00910CEF"/>
    <w:p w14:paraId="26D24B7E" w14:textId="77777777" w:rsidR="007D230B" w:rsidRDefault="007D230B" w:rsidP="00437D63">
      <w:pPr>
        <w:pStyle w:val="eTRMHeading3"/>
      </w:pPr>
      <w:bookmarkStart w:id="50" w:name="_Toc486490861"/>
      <w:bookmarkStart w:id="51" w:name="_Toc486580932"/>
      <w:bookmarkStart w:id="52" w:name="_Toc58512449"/>
      <w:r w:rsidRPr="004B06E3">
        <w:t>Measure Case Material Cost ($/unit)</w:t>
      </w:r>
      <w:bookmarkEnd w:id="50"/>
      <w:bookmarkEnd w:id="51"/>
      <w:bookmarkEnd w:id="52"/>
    </w:p>
    <w:p w14:paraId="2CB098F9" w14:textId="40D6753F" w:rsidR="001053F9" w:rsidRDefault="001053F9" w:rsidP="00577924">
      <w:r>
        <w:t xml:space="preserve">The </w:t>
      </w:r>
      <w:r w:rsidR="00152A4C">
        <w:t xml:space="preserve">measure labor cost was determined based on </w:t>
      </w:r>
      <w:bookmarkStart w:id="53" w:name="_Hlk58943903"/>
      <w:r w:rsidR="00CC5962">
        <w:t xml:space="preserve">SCE’s deemed programs </w:t>
      </w:r>
      <w:r w:rsidR="00DF34AC">
        <w:t>participation in the years 2019 and up until Q3 of 2020</w:t>
      </w:r>
      <w:r w:rsidR="00872178">
        <w:t xml:space="preserve">. The average measure case material cost was calculated </w:t>
      </w:r>
      <w:r w:rsidR="005908B6">
        <w:t xml:space="preserve">for </w:t>
      </w:r>
      <w:r w:rsidR="00872178">
        <w:t xml:space="preserve">each of the (4) measure offerings. During the program period, the aggregated refrigeration tons </w:t>
      </w:r>
      <w:r w:rsidR="00577924">
        <w:t>for measure ranged from 98 tons to 245 tons indicating that the cost is from a representative sample</w:t>
      </w:r>
      <w:bookmarkEnd w:id="53"/>
      <w:r w:rsidR="00577924">
        <w:t>.</w:t>
      </w:r>
      <w:r w:rsidR="00F66162">
        <w:t xml:space="preserve"> </w:t>
      </w:r>
      <w:r w:rsidR="006610EF">
        <w:t xml:space="preserve">Please </w:t>
      </w:r>
      <w:r w:rsidR="00CF68DD">
        <w:t>see the supporting file for details</w:t>
      </w:r>
      <w:r w:rsidR="00CD4124">
        <w:rPr>
          <w:rStyle w:val="FootnoteReference"/>
        </w:rPr>
        <w:footnoteReference w:id="10"/>
      </w:r>
      <w:r w:rsidR="00CF68DD">
        <w:t>.</w:t>
      </w:r>
    </w:p>
    <w:p w14:paraId="62DBE74A" w14:textId="7BBADFE0" w:rsidR="00F538DF" w:rsidRDefault="00F538DF" w:rsidP="00F538DF">
      <w:pPr>
        <w:rPr>
          <w:rFonts w:cs="Arial"/>
          <w:color w:val="FF0000"/>
          <w:szCs w:val="22"/>
        </w:rPr>
      </w:pPr>
    </w:p>
    <w:p w14:paraId="2944FAAB" w14:textId="77777777" w:rsidR="007D230B" w:rsidRPr="004B06E3" w:rsidRDefault="007D230B" w:rsidP="00437D63">
      <w:pPr>
        <w:pStyle w:val="eTRMHeading3"/>
      </w:pPr>
      <w:bookmarkStart w:id="54" w:name="_Toc486490862"/>
      <w:bookmarkStart w:id="55" w:name="_Toc486580933"/>
      <w:bookmarkStart w:id="56" w:name="_Toc58512450"/>
      <w:r w:rsidRPr="004B06E3">
        <w:t>Labor Cost ($/unit)</w:t>
      </w:r>
      <w:bookmarkEnd w:id="54"/>
      <w:bookmarkEnd w:id="55"/>
      <w:bookmarkEnd w:id="56"/>
    </w:p>
    <w:p w14:paraId="56514477" w14:textId="3CB268A3" w:rsidR="007D230B" w:rsidRDefault="00D22652" w:rsidP="004142EF">
      <w:r>
        <w:t xml:space="preserve">Labor costs were derived using the same methodology as measure case costs. </w:t>
      </w:r>
      <w:r w:rsidR="00000C2F">
        <w:t xml:space="preserve">See </w:t>
      </w:r>
      <w:r w:rsidR="001106F5">
        <w:t>Measure Case Material Cost section.</w:t>
      </w:r>
    </w:p>
    <w:p w14:paraId="06BC7AFA" w14:textId="77777777" w:rsidR="00910CEF" w:rsidRPr="004B06E3" w:rsidRDefault="00910CEF" w:rsidP="004142EF"/>
    <w:p w14:paraId="07C671F6" w14:textId="77777777" w:rsidR="007D230B" w:rsidRPr="004B06E3" w:rsidRDefault="004B06E3" w:rsidP="00437D63">
      <w:pPr>
        <w:pStyle w:val="eTRMHeading3"/>
      </w:pPr>
      <w:bookmarkStart w:id="57" w:name="_Toc486490863"/>
      <w:bookmarkStart w:id="58" w:name="_Toc486580934"/>
      <w:bookmarkStart w:id="59" w:name="_Toc58512451"/>
      <w:r>
        <w:t>Net-to-Gross</w:t>
      </w:r>
      <w:bookmarkEnd w:id="57"/>
      <w:bookmarkEnd w:id="58"/>
      <w:r w:rsidR="00DA7A80">
        <w:t xml:space="preserve"> (NTG)</w:t>
      </w:r>
      <w:bookmarkEnd w:id="59"/>
    </w:p>
    <w:p w14:paraId="18BB3AB1" w14:textId="06611456" w:rsidR="000C77DF" w:rsidRPr="00C733AC" w:rsidRDefault="000C77DF" w:rsidP="000C77DF">
      <w:bookmarkStart w:id="60" w:name="_Ref489017989"/>
      <w:r w:rsidRPr="00AF3038">
        <w:t xml:space="preserve">The net-to-gross (NTG) ratio represents the portion of gross impacts that are determined to be directly attributed to a specific program intervention. </w:t>
      </w:r>
      <w:r w:rsidRPr="00860FEC">
        <w:t xml:space="preserve">The relevant NTG value for the </w:t>
      </w:r>
      <w:r>
        <w:t>refrigeration case SCT Control</w:t>
      </w:r>
      <w:r w:rsidRPr="00860FEC">
        <w:t xml:space="preserve"> measures </w:t>
      </w:r>
      <w:r>
        <w:t>is</w:t>
      </w:r>
      <w:r w:rsidRPr="00860FEC">
        <w:t xml:space="preserve"> specified</w:t>
      </w:r>
      <w:r>
        <w:t xml:space="preserve"> </w:t>
      </w:r>
      <w:r w:rsidRPr="004D069A">
        <w:t>in</w:t>
      </w:r>
      <w:r>
        <w:t xml:space="preserve"> </w:t>
      </w:r>
      <w:r>
        <w:fldChar w:fldCharType="begin"/>
      </w:r>
      <w:r>
        <w:instrText xml:space="preserve"> REF _Ref504930898 \h </w:instrText>
      </w:r>
      <w:r>
        <w:fldChar w:fldCharType="separate"/>
      </w:r>
      <w:r w:rsidR="006E46EC">
        <w:t xml:space="preserve">Table </w:t>
      </w:r>
      <w:r w:rsidR="006E46EC">
        <w:rPr>
          <w:noProof/>
        </w:rPr>
        <w:t>3</w:t>
      </w:r>
      <w:r>
        <w:fldChar w:fldCharType="end"/>
      </w:r>
      <w:r w:rsidRPr="00AF3038">
        <w:t>. These NTG values are based upon the average of all NTG ratios for all ev</w:t>
      </w:r>
      <w:r>
        <w:t xml:space="preserve">aluated 2006 – 2008 commercial </w:t>
      </w:r>
      <w:r w:rsidRPr="00AF3038">
        <w:t xml:space="preserve">programs, as documented in the 2011 DEER Update Study conducted by </w:t>
      </w:r>
      <w:proofErr w:type="spellStart"/>
      <w:r w:rsidRPr="00AF3038">
        <w:t>Itron</w:t>
      </w:r>
      <w:proofErr w:type="spellEnd"/>
      <w:r w:rsidRPr="00AF3038">
        <w:t xml:space="preserve">, Inc. </w:t>
      </w:r>
      <w:r>
        <w:t>This</w:t>
      </w:r>
      <w:r w:rsidRPr="00AF3038">
        <w:t xml:space="preserve"> sector average NTG (“default NTG”) are applicable </w:t>
      </w:r>
      <w:r>
        <w:t xml:space="preserve">to </w:t>
      </w:r>
      <w:r w:rsidRPr="00AF3038">
        <w:t xml:space="preserve">all energy efficiency measures that have been offered </w:t>
      </w:r>
      <w:r>
        <w:t>through</w:t>
      </w:r>
      <w:r w:rsidRPr="00AF3038">
        <w:t xml:space="preserve"> </w:t>
      </w:r>
      <w:r w:rsidR="009C563C">
        <w:t xml:space="preserve">commercial </w:t>
      </w:r>
      <w:r>
        <w:t xml:space="preserve">sector </w:t>
      </w:r>
      <w:r w:rsidRPr="00AF3038">
        <w:t>programs for more than two years and for which impact evaluation results are not available.</w:t>
      </w:r>
      <w:r w:rsidRPr="00765218">
        <w:t> </w:t>
      </w:r>
    </w:p>
    <w:p w14:paraId="61C758E3" w14:textId="69B4CFA5" w:rsidR="000C77DF" w:rsidRPr="0059426D" w:rsidRDefault="000C77DF" w:rsidP="000C77DF">
      <w:pPr>
        <w:pStyle w:val="Caption"/>
      </w:pPr>
      <w:bookmarkStart w:id="61" w:name="_Ref504930898"/>
      <w:r>
        <w:lastRenderedPageBreak/>
        <w:t xml:space="preserve">Table </w:t>
      </w:r>
      <w:r w:rsidR="000C4751">
        <w:rPr>
          <w:noProof/>
        </w:rPr>
        <w:fldChar w:fldCharType="begin"/>
      </w:r>
      <w:r w:rsidR="000C4751">
        <w:rPr>
          <w:noProof/>
        </w:rPr>
        <w:instrText xml:space="preserve"> SEQ Table \* ARABIC </w:instrText>
      </w:r>
      <w:r w:rsidR="000C4751">
        <w:rPr>
          <w:noProof/>
        </w:rPr>
        <w:fldChar w:fldCharType="separate"/>
      </w:r>
      <w:r w:rsidR="00473BE0">
        <w:rPr>
          <w:noProof/>
        </w:rPr>
        <w:t>3</w:t>
      </w:r>
      <w:r w:rsidR="000C4751">
        <w:rPr>
          <w:noProof/>
        </w:rPr>
        <w:fldChar w:fldCharType="end"/>
      </w:r>
      <w:bookmarkEnd w:id="60"/>
      <w:bookmarkEnd w:id="61"/>
      <w:r>
        <w:t>. 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1800"/>
        <w:gridCol w:w="5220"/>
      </w:tblGrid>
      <w:tr w:rsidR="000C77DF" w:rsidRPr="00500C4E" w14:paraId="2FD976BD" w14:textId="77777777" w:rsidTr="00CF6384">
        <w:trPr>
          <w:cantSplit/>
          <w:trHeight w:val="20"/>
        </w:trPr>
        <w:tc>
          <w:tcPr>
            <w:tcW w:w="2425" w:type="dxa"/>
            <w:shd w:val="clear" w:color="auto" w:fill="F2F2F2" w:themeFill="background1" w:themeFillShade="F2"/>
            <w:vAlign w:val="bottom"/>
          </w:tcPr>
          <w:p w14:paraId="37A9EC55" w14:textId="77777777" w:rsidR="000C77DF" w:rsidRPr="008C556F" w:rsidRDefault="000C77DF" w:rsidP="00CF6384">
            <w:pPr>
              <w:keepNext/>
              <w:keepLines/>
              <w:spacing w:before="20" w:after="20"/>
              <w:rPr>
                <w:rFonts w:cs="Calibri Light"/>
                <w:b/>
                <w:sz w:val="20"/>
                <w:szCs w:val="20"/>
              </w:rPr>
            </w:pPr>
            <w:r w:rsidRPr="008C556F">
              <w:rPr>
                <w:rFonts w:cs="Calibri Light"/>
                <w:b/>
                <w:sz w:val="20"/>
                <w:szCs w:val="20"/>
              </w:rPr>
              <w:t>Parameter</w:t>
            </w:r>
          </w:p>
        </w:tc>
        <w:tc>
          <w:tcPr>
            <w:tcW w:w="1800" w:type="dxa"/>
            <w:shd w:val="clear" w:color="auto" w:fill="F2F2F2" w:themeFill="background1" w:themeFillShade="F2"/>
            <w:vAlign w:val="bottom"/>
          </w:tcPr>
          <w:p w14:paraId="0CDC59FD" w14:textId="5345905F" w:rsidR="000C77DF" w:rsidRPr="00B36E2B" w:rsidRDefault="000C77DF" w:rsidP="00CF6384">
            <w:pPr>
              <w:keepNext/>
              <w:keepLines/>
              <w:spacing w:before="20" w:after="20"/>
              <w:jc w:val="center"/>
              <w:rPr>
                <w:rFonts w:cs="Calibri Light"/>
                <w:b/>
                <w:sz w:val="20"/>
                <w:szCs w:val="20"/>
              </w:rPr>
            </w:pPr>
            <w:r>
              <w:rPr>
                <w:rFonts w:cstheme="minorHAnsi"/>
                <w:b/>
                <w:sz w:val="20"/>
                <w:szCs w:val="20"/>
              </w:rPr>
              <w:t>Refrigeration Case SCT Controls</w:t>
            </w:r>
          </w:p>
        </w:tc>
        <w:tc>
          <w:tcPr>
            <w:tcW w:w="5220" w:type="dxa"/>
            <w:shd w:val="clear" w:color="auto" w:fill="F2F2F2" w:themeFill="background1" w:themeFillShade="F2"/>
            <w:vAlign w:val="bottom"/>
          </w:tcPr>
          <w:p w14:paraId="7C7501F8" w14:textId="77777777" w:rsidR="000C77DF" w:rsidRPr="008C556F" w:rsidRDefault="000C77DF" w:rsidP="00CF6384">
            <w:pPr>
              <w:keepNext/>
              <w:keepLines/>
              <w:spacing w:before="20" w:after="20"/>
              <w:jc w:val="center"/>
              <w:rPr>
                <w:rFonts w:cs="Calibri Light"/>
                <w:b/>
                <w:sz w:val="20"/>
                <w:szCs w:val="20"/>
              </w:rPr>
            </w:pPr>
            <w:r w:rsidRPr="008C556F">
              <w:rPr>
                <w:rFonts w:cs="Calibri Light"/>
                <w:b/>
                <w:sz w:val="20"/>
                <w:szCs w:val="20"/>
              </w:rPr>
              <w:t>Source</w:t>
            </w:r>
          </w:p>
        </w:tc>
      </w:tr>
      <w:tr w:rsidR="000C77DF" w:rsidRPr="00500C4E" w14:paraId="339A0B9A" w14:textId="77777777" w:rsidTr="00CF6384">
        <w:trPr>
          <w:cantSplit/>
          <w:trHeight w:val="20"/>
        </w:trPr>
        <w:tc>
          <w:tcPr>
            <w:tcW w:w="2425" w:type="dxa"/>
            <w:vAlign w:val="center"/>
          </w:tcPr>
          <w:p w14:paraId="44ACFD03" w14:textId="77777777" w:rsidR="000C77DF" w:rsidRPr="00BE693E" w:rsidRDefault="000C77DF" w:rsidP="00CF6384">
            <w:pPr>
              <w:keepNext/>
              <w:keepLines/>
              <w:spacing w:before="20" w:after="20"/>
              <w:rPr>
                <w:rFonts w:cstheme="minorHAnsi"/>
                <w:sz w:val="20"/>
                <w:szCs w:val="20"/>
              </w:rPr>
            </w:pPr>
            <w:r>
              <w:rPr>
                <w:rFonts w:cstheme="minorHAnsi"/>
                <w:sz w:val="20"/>
                <w:szCs w:val="20"/>
              </w:rPr>
              <w:t>NTG - Commercial</w:t>
            </w:r>
          </w:p>
        </w:tc>
        <w:tc>
          <w:tcPr>
            <w:tcW w:w="1800" w:type="dxa"/>
            <w:vAlign w:val="center"/>
          </w:tcPr>
          <w:p w14:paraId="3B733973" w14:textId="77777777" w:rsidR="000C77DF" w:rsidRPr="004C51A4" w:rsidRDefault="000C77DF" w:rsidP="00BF5FB2">
            <w:pPr>
              <w:keepNext/>
              <w:keepLines/>
              <w:spacing w:before="20" w:after="20"/>
              <w:jc w:val="center"/>
              <w:rPr>
                <w:sz w:val="18"/>
              </w:rPr>
            </w:pPr>
            <w:r w:rsidRPr="004C51A4">
              <w:rPr>
                <w:sz w:val="18"/>
              </w:rPr>
              <w:t>0.60</w:t>
            </w:r>
          </w:p>
        </w:tc>
        <w:tc>
          <w:tcPr>
            <w:tcW w:w="5220" w:type="dxa"/>
            <w:vAlign w:val="center"/>
          </w:tcPr>
          <w:p w14:paraId="4E6FD70E" w14:textId="77777777" w:rsidR="000C77DF" w:rsidRPr="00F237D2" w:rsidRDefault="000C77DF" w:rsidP="00CF6384">
            <w:pPr>
              <w:keepNext/>
              <w:keepLines/>
              <w:spacing w:before="20" w:after="20"/>
              <w:rPr>
                <w:sz w:val="18"/>
                <w:szCs w:val="20"/>
              </w:rPr>
            </w:pPr>
            <w:proofErr w:type="spellStart"/>
            <w:r w:rsidRPr="00F237D2">
              <w:rPr>
                <w:sz w:val="18"/>
              </w:rPr>
              <w:t>Itron</w:t>
            </w:r>
            <w:proofErr w:type="spellEnd"/>
            <w:r w:rsidRPr="00F237D2">
              <w:rPr>
                <w:sz w:val="18"/>
              </w:rPr>
              <w:t xml:space="preserve">, Inc. 2011. </w:t>
            </w:r>
            <w:r w:rsidRPr="00F237D2">
              <w:rPr>
                <w:i/>
                <w:sz w:val="18"/>
              </w:rPr>
              <w:t>DEER Database 2011 Update Documentation.</w:t>
            </w:r>
            <w:r w:rsidRPr="00F237D2">
              <w:rPr>
                <w:sz w:val="18"/>
              </w:rPr>
              <w:t xml:space="preserve"> Prepared for the California Public Utilities Commission. Page 15-4 Table 15-3.</w:t>
            </w:r>
          </w:p>
        </w:tc>
      </w:tr>
      <w:tr w:rsidR="00B87CAB" w:rsidRPr="00500C4E" w14:paraId="1B7A3B03" w14:textId="77777777" w:rsidTr="00CF6384">
        <w:trPr>
          <w:cantSplit/>
          <w:trHeight w:val="20"/>
        </w:trPr>
        <w:tc>
          <w:tcPr>
            <w:tcW w:w="2425" w:type="dxa"/>
            <w:vAlign w:val="center"/>
          </w:tcPr>
          <w:p w14:paraId="142F7DAD" w14:textId="12EAC046" w:rsidR="00B87CAB" w:rsidRDefault="00B87CAB" w:rsidP="00B87CAB">
            <w:pPr>
              <w:keepNext/>
              <w:keepLines/>
              <w:spacing w:before="20" w:after="20"/>
              <w:rPr>
                <w:rFonts w:cstheme="minorHAnsi"/>
                <w:sz w:val="20"/>
                <w:szCs w:val="20"/>
              </w:rPr>
            </w:pPr>
            <w:r>
              <w:rPr>
                <w:rFonts w:cstheme="minorHAnsi"/>
                <w:sz w:val="20"/>
                <w:szCs w:val="20"/>
              </w:rPr>
              <w:t>NTG - Industrial</w:t>
            </w:r>
          </w:p>
        </w:tc>
        <w:tc>
          <w:tcPr>
            <w:tcW w:w="1800" w:type="dxa"/>
            <w:vAlign w:val="center"/>
          </w:tcPr>
          <w:p w14:paraId="7CF5032D" w14:textId="4D75D8FC" w:rsidR="00B87CAB" w:rsidRPr="004C51A4" w:rsidRDefault="00B87CAB" w:rsidP="00B87CAB">
            <w:pPr>
              <w:keepNext/>
              <w:keepLines/>
              <w:spacing w:before="20" w:after="20"/>
              <w:jc w:val="center"/>
              <w:rPr>
                <w:sz w:val="18"/>
              </w:rPr>
            </w:pPr>
            <w:r w:rsidRPr="004C51A4">
              <w:rPr>
                <w:sz w:val="18"/>
              </w:rPr>
              <w:t>0.60</w:t>
            </w:r>
          </w:p>
        </w:tc>
        <w:tc>
          <w:tcPr>
            <w:tcW w:w="5220" w:type="dxa"/>
            <w:vAlign w:val="center"/>
          </w:tcPr>
          <w:p w14:paraId="5E87D16D" w14:textId="3D120E7E" w:rsidR="00B87CAB" w:rsidRPr="00F237D2" w:rsidRDefault="00B87CAB" w:rsidP="00B87CAB">
            <w:pPr>
              <w:keepNext/>
              <w:keepLines/>
              <w:spacing w:before="20" w:after="20"/>
              <w:rPr>
                <w:sz w:val="18"/>
              </w:rPr>
            </w:pPr>
            <w:proofErr w:type="spellStart"/>
            <w:r w:rsidRPr="00F237D2">
              <w:rPr>
                <w:sz w:val="18"/>
              </w:rPr>
              <w:t>Itron</w:t>
            </w:r>
            <w:proofErr w:type="spellEnd"/>
            <w:r w:rsidRPr="00F237D2">
              <w:rPr>
                <w:sz w:val="18"/>
              </w:rPr>
              <w:t xml:space="preserve">, Inc. 2011. </w:t>
            </w:r>
            <w:r w:rsidRPr="00F237D2">
              <w:rPr>
                <w:i/>
                <w:sz w:val="18"/>
              </w:rPr>
              <w:t>DEER Database 2011 Update Documentation.</w:t>
            </w:r>
            <w:r w:rsidRPr="00F237D2">
              <w:rPr>
                <w:sz w:val="18"/>
              </w:rPr>
              <w:t xml:space="preserve"> Prepared for the California Public Utilities Commission. Page 15-4 Table 15-3.</w:t>
            </w:r>
          </w:p>
        </w:tc>
      </w:tr>
    </w:tbl>
    <w:p w14:paraId="37BBF2C8" w14:textId="77777777" w:rsidR="000C77DF" w:rsidRPr="004B06E3" w:rsidRDefault="000C77DF" w:rsidP="000C77DF"/>
    <w:p w14:paraId="301C9DF8" w14:textId="77777777" w:rsidR="007D230B" w:rsidRPr="004B06E3" w:rsidRDefault="00DA7A80" w:rsidP="00437D63">
      <w:pPr>
        <w:pStyle w:val="eTRMHeading3"/>
      </w:pPr>
      <w:bookmarkStart w:id="62" w:name="_Toc486490864"/>
      <w:bookmarkStart w:id="63" w:name="_Toc486580935"/>
      <w:bookmarkStart w:id="64" w:name="_Toc58512452"/>
      <w:r>
        <w:t>Gross Savings Installation Adjustment (</w:t>
      </w:r>
      <w:r w:rsidR="007D230B" w:rsidRPr="004B06E3">
        <w:t>GSIA</w:t>
      </w:r>
      <w:bookmarkEnd w:id="62"/>
      <w:bookmarkEnd w:id="63"/>
      <w:r>
        <w:t>)</w:t>
      </w:r>
      <w:bookmarkEnd w:id="64"/>
    </w:p>
    <w:p w14:paraId="72591C8E" w14:textId="59BAFCA6" w:rsidR="00B63D94" w:rsidRPr="00AD00D3" w:rsidRDefault="000C77DF" w:rsidP="00B63D94">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B63D94">
        <w:t>The</w:t>
      </w:r>
      <w:r w:rsidR="00B63D94" w:rsidRPr="00AD00D3">
        <w:t xml:space="preserve"> </w:t>
      </w:r>
      <w:r w:rsidR="00B63D94">
        <w:t>GSIA</w:t>
      </w:r>
      <w:r w:rsidR="00B63D94" w:rsidRPr="00AD00D3">
        <w:t xml:space="preserve"> </w:t>
      </w:r>
      <w:r w:rsidR="00B63D94">
        <w:t xml:space="preserve">rate </w:t>
      </w:r>
      <w:r w:rsidR="00B63D94" w:rsidRPr="00AD00D3">
        <w:t>specific for</w:t>
      </w:r>
      <w:r w:rsidR="00B63D94">
        <w:t xml:space="preserve"> refrigeration case SCT control is</w:t>
      </w:r>
      <w:r w:rsidR="00B63D94" w:rsidRPr="00AD00D3">
        <w:t xml:space="preserve"> shown in </w:t>
      </w:r>
      <w:r w:rsidR="00EE0919">
        <w:fldChar w:fldCharType="begin"/>
      </w:r>
      <w:r w:rsidR="00EE0919">
        <w:instrText xml:space="preserve"> REF _Ref491891748 \h </w:instrText>
      </w:r>
      <w:r w:rsidR="00EE0919">
        <w:fldChar w:fldCharType="separate"/>
      </w:r>
      <w:r w:rsidR="006E46EC">
        <w:t xml:space="preserve">Table </w:t>
      </w:r>
      <w:r w:rsidR="006E46EC">
        <w:rPr>
          <w:noProof/>
        </w:rPr>
        <w:t>4</w:t>
      </w:r>
      <w:r w:rsidR="00EE0919">
        <w:fldChar w:fldCharType="end"/>
      </w:r>
      <w:r w:rsidR="00B63D94" w:rsidRPr="00AD00D3">
        <w:t>.</w:t>
      </w:r>
      <w:r w:rsidRPr="000C77DF">
        <w:t xml:space="preserve"> </w:t>
      </w:r>
      <w:r>
        <w:t>This GSIA rate is the current “default” rate specified for measures for which an alternative GSIA has not been estimated and approved.</w:t>
      </w:r>
    </w:p>
    <w:p w14:paraId="5FA95BE2" w14:textId="3F8A6F82" w:rsidR="00B63D94" w:rsidRPr="008F48E1" w:rsidRDefault="00EE0919" w:rsidP="00EE0919">
      <w:pPr>
        <w:pStyle w:val="Caption"/>
      </w:pPr>
      <w:bookmarkStart w:id="65" w:name="_Ref491891748"/>
      <w:r>
        <w:t xml:space="preserve">Table </w:t>
      </w:r>
      <w:r w:rsidR="000C4751">
        <w:rPr>
          <w:noProof/>
        </w:rPr>
        <w:fldChar w:fldCharType="begin"/>
      </w:r>
      <w:r w:rsidR="000C4751">
        <w:rPr>
          <w:noProof/>
        </w:rPr>
        <w:instrText xml:space="preserve"> SEQ Table \* ARABIC </w:instrText>
      </w:r>
      <w:r w:rsidR="000C4751">
        <w:rPr>
          <w:noProof/>
        </w:rPr>
        <w:fldChar w:fldCharType="separate"/>
      </w:r>
      <w:r w:rsidR="006E46EC">
        <w:rPr>
          <w:noProof/>
        </w:rPr>
        <w:t>4</w:t>
      </w:r>
      <w:r w:rsidR="000C4751">
        <w:rPr>
          <w:noProof/>
        </w:rPr>
        <w:fldChar w:fldCharType="end"/>
      </w:r>
      <w:bookmarkEnd w:id="65"/>
      <w:r>
        <w:t>. Gross Savings Installation Adjustment Rate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25"/>
        <w:gridCol w:w="1800"/>
        <w:gridCol w:w="5310"/>
      </w:tblGrid>
      <w:tr w:rsidR="000C77DF" w:rsidRPr="00500C4E" w14:paraId="345118E4" w14:textId="77777777" w:rsidTr="00CF6384">
        <w:trPr>
          <w:cantSplit/>
          <w:trHeight w:val="20"/>
        </w:trPr>
        <w:tc>
          <w:tcPr>
            <w:tcW w:w="2425" w:type="dxa"/>
            <w:shd w:val="clear" w:color="auto" w:fill="F2F2F2" w:themeFill="background1" w:themeFillShade="F2"/>
            <w:vAlign w:val="bottom"/>
          </w:tcPr>
          <w:p w14:paraId="6A1E3340" w14:textId="77777777" w:rsidR="000C77DF" w:rsidRPr="008C556F" w:rsidRDefault="000C77DF" w:rsidP="000C77DF">
            <w:pPr>
              <w:keepNext/>
              <w:keepLines/>
              <w:spacing w:before="20" w:after="20"/>
              <w:rPr>
                <w:rFonts w:cs="Calibri Light"/>
                <w:b/>
                <w:sz w:val="20"/>
                <w:szCs w:val="20"/>
              </w:rPr>
            </w:pPr>
            <w:bookmarkStart w:id="66" w:name="_Toc486490865"/>
            <w:bookmarkStart w:id="67" w:name="_Toc486580936"/>
            <w:r w:rsidRPr="008C556F">
              <w:rPr>
                <w:rFonts w:cs="Calibri Light"/>
                <w:b/>
                <w:sz w:val="20"/>
                <w:szCs w:val="20"/>
              </w:rPr>
              <w:t>Parameter</w:t>
            </w:r>
          </w:p>
        </w:tc>
        <w:tc>
          <w:tcPr>
            <w:tcW w:w="1800" w:type="dxa"/>
            <w:shd w:val="clear" w:color="auto" w:fill="F2F2F2" w:themeFill="background1" w:themeFillShade="F2"/>
            <w:vAlign w:val="bottom"/>
          </w:tcPr>
          <w:p w14:paraId="23A0FFA9" w14:textId="035EB59C" w:rsidR="000C77DF" w:rsidRPr="008C556F" w:rsidRDefault="000C77DF" w:rsidP="000C77DF">
            <w:pPr>
              <w:keepNext/>
              <w:keepLines/>
              <w:spacing w:before="20" w:after="20"/>
              <w:jc w:val="center"/>
              <w:rPr>
                <w:rFonts w:cs="Calibri Light"/>
                <w:b/>
                <w:sz w:val="20"/>
                <w:szCs w:val="20"/>
              </w:rPr>
            </w:pPr>
            <w:r>
              <w:rPr>
                <w:rFonts w:cstheme="minorHAnsi"/>
                <w:b/>
                <w:sz w:val="20"/>
                <w:szCs w:val="20"/>
              </w:rPr>
              <w:t>Refrigeration Case SCT Controls</w:t>
            </w:r>
          </w:p>
        </w:tc>
        <w:tc>
          <w:tcPr>
            <w:tcW w:w="5310" w:type="dxa"/>
            <w:shd w:val="clear" w:color="auto" w:fill="F2F2F2" w:themeFill="background1" w:themeFillShade="F2"/>
            <w:vAlign w:val="bottom"/>
          </w:tcPr>
          <w:p w14:paraId="727CAEF6" w14:textId="77777777" w:rsidR="000C77DF" w:rsidRPr="008C556F" w:rsidRDefault="000C77DF" w:rsidP="000C77DF">
            <w:pPr>
              <w:keepNext/>
              <w:keepLines/>
              <w:spacing w:before="20" w:after="20"/>
              <w:jc w:val="center"/>
              <w:rPr>
                <w:rFonts w:cs="Calibri Light"/>
                <w:b/>
                <w:sz w:val="20"/>
                <w:szCs w:val="20"/>
              </w:rPr>
            </w:pPr>
            <w:r w:rsidRPr="008C556F">
              <w:rPr>
                <w:rFonts w:cs="Calibri Light"/>
                <w:b/>
                <w:sz w:val="20"/>
                <w:szCs w:val="20"/>
              </w:rPr>
              <w:t>Source</w:t>
            </w:r>
          </w:p>
        </w:tc>
      </w:tr>
      <w:tr w:rsidR="000C77DF" w:rsidRPr="00500C4E" w14:paraId="3DD9627F" w14:textId="77777777" w:rsidTr="00CF6384">
        <w:trPr>
          <w:cantSplit/>
          <w:trHeight w:val="20"/>
        </w:trPr>
        <w:tc>
          <w:tcPr>
            <w:tcW w:w="2425" w:type="dxa"/>
            <w:vAlign w:val="center"/>
          </w:tcPr>
          <w:p w14:paraId="2634B0AE" w14:textId="77777777" w:rsidR="000C77DF" w:rsidRPr="00BE693E" w:rsidRDefault="000C77DF" w:rsidP="00CF6384">
            <w:pPr>
              <w:keepNext/>
              <w:keepLines/>
              <w:spacing w:before="20" w:after="20"/>
              <w:rPr>
                <w:rFonts w:cstheme="minorHAnsi"/>
                <w:sz w:val="20"/>
                <w:szCs w:val="20"/>
              </w:rPr>
            </w:pPr>
            <w:r>
              <w:rPr>
                <w:rFonts w:cstheme="minorHAnsi"/>
                <w:sz w:val="20"/>
                <w:szCs w:val="20"/>
              </w:rPr>
              <w:t>GSIA</w:t>
            </w:r>
          </w:p>
        </w:tc>
        <w:tc>
          <w:tcPr>
            <w:tcW w:w="1800" w:type="dxa"/>
            <w:vAlign w:val="center"/>
          </w:tcPr>
          <w:p w14:paraId="4E6AD27C" w14:textId="77777777" w:rsidR="000C77DF" w:rsidRPr="007C4D58" w:rsidRDefault="000C77DF" w:rsidP="00CF6384">
            <w:pPr>
              <w:keepNext/>
              <w:keepLines/>
              <w:spacing w:before="20" w:after="20"/>
              <w:jc w:val="center"/>
              <w:rPr>
                <w:sz w:val="20"/>
                <w:szCs w:val="20"/>
              </w:rPr>
            </w:pPr>
            <w:r w:rsidRPr="004C51A4">
              <w:rPr>
                <w:sz w:val="18"/>
              </w:rPr>
              <w:t>1.0</w:t>
            </w:r>
          </w:p>
        </w:tc>
        <w:tc>
          <w:tcPr>
            <w:tcW w:w="5310" w:type="dxa"/>
            <w:vAlign w:val="center"/>
          </w:tcPr>
          <w:p w14:paraId="7319BFA0" w14:textId="77777777" w:rsidR="000C77DF" w:rsidRPr="00F237D2" w:rsidRDefault="000C77DF" w:rsidP="00CF6384">
            <w:pPr>
              <w:keepNext/>
              <w:keepLines/>
              <w:spacing w:before="20" w:after="20"/>
              <w:rPr>
                <w:sz w:val="18"/>
                <w:szCs w:val="20"/>
              </w:rPr>
            </w:pPr>
            <w:r w:rsidRPr="00F237D2">
              <w:rPr>
                <w:rFonts w:eastAsia="Times New Roman" w:cs="Times New Roman"/>
                <w:color w:val="000000"/>
                <w:sz w:val="18"/>
                <w:szCs w:val="18"/>
              </w:rPr>
              <w:t xml:space="preserve">California Public Utilities Commission (CPUC), Energy Division. 2013. </w:t>
            </w:r>
            <w:r w:rsidRPr="00F237D2">
              <w:rPr>
                <w:rFonts w:eastAsia="Times New Roman" w:cs="Times New Roman"/>
                <w:i/>
                <w:color w:val="000000"/>
                <w:sz w:val="18"/>
                <w:szCs w:val="18"/>
              </w:rPr>
              <w:t>Energy Efficiency Policy Manual Version 5</w:t>
            </w:r>
            <w:r w:rsidRPr="00F237D2">
              <w:rPr>
                <w:rFonts w:eastAsia="Times New Roman" w:cs="Times New Roman"/>
                <w:color w:val="000000"/>
                <w:sz w:val="18"/>
                <w:szCs w:val="18"/>
              </w:rPr>
              <w:t>. Page 31.</w:t>
            </w:r>
          </w:p>
        </w:tc>
      </w:tr>
    </w:tbl>
    <w:p w14:paraId="57A48843" w14:textId="77777777" w:rsidR="000C77DF" w:rsidRDefault="000C77DF" w:rsidP="000C77DF">
      <w:pPr>
        <w:rPr>
          <w:rFonts w:cs="Arial"/>
          <w:sz w:val="20"/>
          <w:szCs w:val="20"/>
        </w:rPr>
      </w:pPr>
    </w:p>
    <w:p w14:paraId="0C48E655" w14:textId="77777777" w:rsidR="00DD194E" w:rsidRPr="004B06E3" w:rsidRDefault="00DD194E" w:rsidP="00DD194E">
      <w:pPr>
        <w:pStyle w:val="eTRMHeading3"/>
      </w:pPr>
      <w:bookmarkStart w:id="68" w:name="_Toc494369270"/>
      <w:bookmarkStart w:id="69" w:name="_Toc503612232"/>
      <w:bookmarkStart w:id="70" w:name="_Toc504385308"/>
      <w:bookmarkStart w:id="71" w:name="_Toc504991762"/>
      <w:bookmarkStart w:id="72" w:name="_Toc58512453"/>
      <w:bookmarkEnd w:id="66"/>
      <w:bookmarkEnd w:id="67"/>
      <w:r w:rsidRPr="004B06E3">
        <w:t xml:space="preserve">Non-Energy </w:t>
      </w:r>
      <w:bookmarkEnd w:id="68"/>
      <w:r>
        <w:t>Impacts</w:t>
      </w:r>
      <w:bookmarkEnd w:id="69"/>
      <w:bookmarkEnd w:id="70"/>
      <w:bookmarkEnd w:id="71"/>
      <w:bookmarkEnd w:id="72"/>
    </w:p>
    <w:p w14:paraId="63B8F4FD" w14:textId="77777777" w:rsidR="00DD194E" w:rsidRDefault="00DD194E" w:rsidP="00DD194E">
      <w:r>
        <w:t>Non-energy impacts for this measure have not been quantified.</w:t>
      </w:r>
    </w:p>
    <w:p w14:paraId="58555586" w14:textId="77777777" w:rsidR="00910CEF" w:rsidRPr="00910CEF" w:rsidRDefault="00910CEF" w:rsidP="00910CEF"/>
    <w:p w14:paraId="5CBECA92" w14:textId="77777777" w:rsidR="003F7C47" w:rsidRPr="004B06E3" w:rsidRDefault="003F7C47" w:rsidP="00437D63">
      <w:pPr>
        <w:pStyle w:val="eTRMHeading3"/>
      </w:pPr>
      <w:bookmarkStart w:id="73" w:name="_Toc490461312"/>
      <w:bookmarkStart w:id="74" w:name="_Toc58512454"/>
      <w:r>
        <w:t>DEER Differences Analysis</w:t>
      </w:r>
      <w:bookmarkEnd w:id="73"/>
      <w:bookmarkEnd w:id="74"/>
    </w:p>
    <w:p w14:paraId="6A3D83ED" w14:textId="6A60BCFD" w:rsidR="00437D63" w:rsidRDefault="00DD194E" w:rsidP="004B5525">
      <w:r>
        <w:t>This section provides a summary of inputs and methods based upon the Database for Energy Efficient Resources (DEER), and the rationale for inputs and methods that are not DEER-based.</w:t>
      </w:r>
    </w:p>
    <w:p w14:paraId="3D491FB8" w14:textId="77777777" w:rsidR="004B5525" w:rsidRPr="004B5525" w:rsidRDefault="004B5525" w:rsidP="004B5525"/>
    <w:p w14:paraId="24F983D1" w14:textId="5A553EE5" w:rsidR="003F7C47" w:rsidRPr="00920905" w:rsidRDefault="00437D63" w:rsidP="00437D63">
      <w:pPr>
        <w:pStyle w:val="Caption"/>
      </w:pPr>
      <w:r>
        <w:lastRenderedPageBreak/>
        <w:t xml:space="preserve">Table </w:t>
      </w:r>
      <w:r w:rsidR="000C4751">
        <w:rPr>
          <w:noProof/>
        </w:rPr>
        <w:fldChar w:fldCharType="begin"/>
      </w:r>
      <w:r w:rsidR="000C4751">
        <w:rPr>
          <w:noProof/>
        </w:rPr>
        <w:instrText xml:space="preserve"> SEQ Table \* ARABIC </w:instrText>
      </w:r>
      <w:r w:rsidR="000C4751">
        <w:rPr>
          <w:noProof/>
        </w:rPr>
        <w:fldChar w:fldCharType="separate"/>
      </w:r>
      <w:r w:rsidR="006E46EC">
        <w:rPr>
          <w:noProof/>
        </w:rPr>
        <w:t>5</w:t>
      </w:r>
      <w:r w:rsidR="000C4751">
        <w:rPr>
          <w:noProof/>
        </w:rPr>
        <w:fldChar w:fldCharType="end"/>
      </w:r>
      <w:r>
        <w:t xml:space="preserve">. </w:t>
      </w:r>
      <w:r w:rsidR="003F7C47"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3F7C47" w:rsidRPr="00500C4E" w14:paraId="53D0D20A" w14:textId="77777777" w:rsidTr="009C7A73">
        <w:trPr>
          <w:trHeight w:val="20"/>
        </w:trPr>
        <w:tc>
          <w:tcPr>
            <w:tcW w:w="1730" w:type="pct"/>
            <w:shd w:val="clear" w:color="auto" w:fill="F2F2F2" w:themeFill="background1" w:themeFillShade="F2"/>
          </w:tcPr>
          <w:p w14:paraId="1342B6EE" w14:textId="77777777" w:rsidR="003F7C47" w:rsidRPr="00EA057C" w:rsidRDefault="003F7C47" w:rsidP="009C7A73">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01707F50" w14:textId="77777777" w:rsidR="003F7C47" w:rsidRPr="00EA057C" w:rsidRDefault="003F7C47" w:rsidP="009C7A73">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3F7C47" w:rsidRPr="00500C4E" w14:paraId="3104B574" w14:textId="77777777" w:rsidTr="009C7A73">
        <w:trPr>
          <w:trHeight w:val="20"/>
        </w:trPr>
        <w:tc>
          <w:tcPr>
            <w:tcW w:w="1730" w:type="pct"/>
          </w:tcPr>
          <w:p w14:paraId="0D16A965" w14:textId="77777777" w:rsidR="003F7C47" w:rsidRPr="00EA057C" w:rsidRDefault="003F7C47" w:rsidP="009C7A73">
            <w:pPr>
              <w:keepNext/>
              <w:keepLines/>
              <w:spacing w:before="20" w:after="20"/>
              <w:rPr>
                <w:rFonts w:cs="Arial"/>
                <w:sz w:val="20"/>
                <w:szCs w:val="20"/>
              </w:rPr>
            </w:pPr>
            <w:r w:rsidRPr="00EA057C">
              <w:rPr>
                <w:rFonts w:cs="Arial"/>
                <w:sz w:val="20"/>
                <w:szCs w:val="20"/>
              </w:rPr>
              <w:t>Modified DEER methodology</w:t>
            </w:r>
          </w:p>
        </w:tc>
        <w:tc>
          <w:tcPr>
            <w:tcW w:w="3270" w:type="pct"/>
          </w:tcPr>
          <w:p w14:paraId="396D4BE0" w14:textId="6ADE3077" w:rsidR="003F7C47" w:rsidRPr="00FB0FB7" w:rsidRDefault="00FB0FB7" w:rsidP="009C7A73">
            <w:pPr>
              <w:keepNext/>
              <w:keepLines/>
              <w:spacing w:before="20" w:after="20"/>
              <w:rPr>
                <w:rFonts w:cs="Arial"/>
                <w:sz w:val="20"/>
                <w:szCs w:val="20"/>
              </w:rPr>
            </w:pPr>
            <w:r w:rsidRPr="00FB0FB7">
              <w:rPr>
                <w:rFonts w:cs="Arial"/>
                <w:sz w:val="20"/>
                <w:szCs w:val="20"/>
              </w:rPr>
              <w:t>Yes</w:t>
            </w:r>
          </w:p>
        </w:tc>
      </w:tr>
      <w:tr w:rsidR="003F7C47" w:rsidRPr="00500C4E" w14:paraId="3E4B8517" w14:textId="77777777" w:rsidTr="009C7A73">
        <w:trPr>
          <w:trHeight w:val="20"/>
        </w:trPr>
        <w:tc>
          <w:tcPr>
            <w:tcW w:w="1730" w:type="pct"/>
          </w:tcPr>
          <w:p w14:paraId="1CB1FE42" w14:textId="77777777" w:rsidR="003F7C47" w:rsidRPr="00EA057C" w:rsidRDefault="003F7C47" w:rsidP="009C7A73">
            <w:pPr>
              <w:keepNext/>
              <w:keepLines/>
              <w:spacing w:before="20" w:after="20"/>
              <w:rPr>
                <w:rFonts w:cs="Arial"/>
                <w:sz w:val="20"/>
                <w:szCs w:val="20"/>
              </w:rPr>
            </w:pPr>
            <w:r w:rsidRPr="00EA057C">
              <w:rPr>
                <w:rFonts w:cs="Arial"/>
                <w:sz w:val="20"/>
                <w:szCs w:val="20"/>
              </w:rPr>
              <w:t>Scaled DEER measure</w:t>
            </w:r>
          </w:p>
        </w:tc>
        <w:tc>
          <w:tcPr>
            <w:tcW w:w="3270" w:type="pct"/>
          </w:tcPr>
          <w:p w14:paraId="7373D8A7" w14:textId="5555DD6A" w:rsidR="003F7C47" w:rsidRPr="00FB0FB7" w:rsidRDefault="00600AB3" w:rsidP="009C7A73">
            <w:pPr>
              <w:keepNext/>
              <w:keepLines/>
              <w:spacing w:before="20" w:after="20"/>
              <w:rPr>
                <w:rFonts w:cs="Arial"/>
                <w:sz w:val="20"/>
                <w:szCs w:val="20"/>
              </w:rPr>
            </w:pPr>
            <w:r>
              <w:rPr>
                <w:rFonts w:cs="Arial"/>
                <w:sz w:val="20"/>
                <w:szCs w:val="20"/>
              </w:rPr>
              <w:t>No</w:t>
            </w:r>
          </w:p>
        </w:tc>
      </w:tr>
      <w:tr w:rsidR="003F7C47" w:rsidRPr="00500C4E" w14:paraId="7CDCC2B7" w14:textId="77777777" w:rsidTr="009C7A73">
        <w:trPr>
          <w:trHeight w:val="20"/>
        </w:trPr>
        <w:tc>
          <w:tcPr>
            <w:tcW w:w="1730" w:type="pct"/>
          </w:tcPr>
          <w:p w14:paraId="723D9819" w14:textId="77777777" w:rsidR="003F7C47" w:rsidRPr="00EA057C" w:rsidRDefault="003F7C47" w:rsidP="009C7A73">
            <w:pPr>
              <w:keepNext/>
              <w:keepLines/>
              <w:spacing w:before="20" w:after="20"/>
              <w:rPr>
                <w:rFonts w:cs="Arial"/>
                <w:sz w:val="20"/>
                <w:szCs w:val="20"/>
              </w:rPr>
            </w:pPr>
            <w:r w:rsidRPr="00EA057C">
              <w:rPr>
                <w:rFonts w:cs="Arial"/>
                <w:sz w:val="20"/>
                <w:szCs w:val="20"/>
              </w:rPr>
              <w:t>DEER Base Case</w:t>
            </w:r>
          </w:p>
        </w:tc>
        <w:tc>
          <w:tcPr>
            <w:tcW w:w="3270" w:type="pct"/>
          </w:tcPr>
          <w:p w14:paraId="4000E1A1" w14:textId="5A1C11DC" w:rsidR="003F7C47" w:rsidRPr="00FB0FB7" w:rsidRDefault="006D4EA3" w:rsidP="009C7A73">
            <w:pPr>
              <w:keepNext/>
              <w:keepLines/>
              <w:spacing w:before="20" w:after="20"/>
              <w:rPr>
                <w:rFonts w:cs="Arial"/>
                <w:sz w:val="20"/>
                <w:szCs w:val="20"/>
              </w:rPr>
            </w:pPr>
            <w:r>
              <w:rPr>
                <w:rFonts w:cs="Arial"/>
                <w:sz w:val="20"/>
                <w:szCs w:val="20"/>
              </w:rPr>
              <w:t>No</w:t>
            </w:r>
          </w:p>
        </w:tc>
      </w:tr>
      <w:tr w:rsidR="003F7C47" w:rsidRPr="00500C4E" w14:paraId="3547CECE" w14:textId="77777777" w:rsidTr="009C7A73">
        <w:trPr>
          <w:trHeight w:val="20"/>
        </w:trPr>
        <w:tc>
          <w:tcPr>
            <w:tcW w:w="1730" w:type="pct"/>
          </w:tcPr>
          <w:p w14:paraId="3C26CF88" w14:textId="77777777" w:rsidR="003F7C47" w:rsidRPr="00EA057C" w:rsidRDefault="003F7C47" w:rsidP="009C7A73">
            <w:pPr>
              <w:keepNext/>
              <w:keepLines/>
              <w:spacing w:before="20" w:after="20"/>
              <w:rPr>
                <w:rFonts w:cs="Arial"/>
                <w:sz w:val="20"/>
                <w:szCs w:val="20"/>
              </w:rPr>
            </w:pPr>
            <w:r w:rsidRPr="00EA057C">
              <w:rPr>
                <w:rFonts w:cs="Arial"/>
                <w:sz w:val="20"/>
                <w:szCs w:val="20"/>
              </w:rPr>
              <w:t>DEER Measure Case</w:t>
            </w:r>
          </w:p>
        </w:tc>
        <w:tc>
          <w:tcPr>
            <w:tcW w:w="3270" w:type="pct"/>
          </w:tcPr>
          <w:p w14:paraId="37F4615C" w14:textId="5B84D351" w:rsidR="003F7C47" w:rsidRPr="00FB0FB7" w:rsidRDefault="00600AB3" w:rsidP="009C7A73">
            <w:pPr>
              <w:keepNext/>
              <w:keepLines/>
              <w:spacing w:before="20" w:after="20"/>
              <w:rPr>
                <w:rFonts w:cs="Arial"/>
                <w:sz w:val="20"/>
                <w:szCs w:val="20"/>
              </w:rPr>
            </w:pPr>
            <w:r>
              <w:rPr>
                <w:rFonts w:cs="Arial"/>
                <w:sz w:val="20"/>
                <w:szCs w:val="20"/>
              </w:rPr>
              <w:t>No</w:t>
            </w:r>
          </w:p>
        </w:tc>
      </w:tr>
      <w:tr w:rsidR="003F7C47" w:rsidRPr="00500C4E" w14:paraId="028CF5AB" w14:textId="77777777" w:rsidTr="009C7A73">
        <w:trPr>
          <w:trHeight w:val="20"/>
        </w:trPr>
        <w:tc>
          <w:tcPr>
            <w:tcW w:w="1730" w:type="pct"/>
          </w:tcPr>
          <w:p w14:paraId="1ED57A26" w14:textId="77777777" w:rsidR="003F7C47" w:rsidRPr="00EA057C" w:rsidRDefault="003F7C47" w:rsidP="009C7A73">
            <w:pPr>
              <w:keepNext/>
              <w:keepLines/>
              <w:spacing w:before="20" w:after="20"/>
              <w:rPr>
                <w:rFonts w:cs="Arial"/>
                <w:sz w:val="20"/>
                <w:szCs w:val="20"/>
              </w:rPr>
            </w:pPr>
            <w:r w:rsidRPr="00EA057C">
              <w:rPr>
                <w:rFonts w:cs="Arial"/>
                <w:sz w:val="20"/>
                <w:szCs w:val="20"/>
              </w:rPr>
              <w:t>DEER Building Types</w:t>
            </w:r>
          </w:p>
        </w:tc>
        <w:tc>
          <w:tcPr>
            <w:tcW w:w="3270" w:type="pct"/>
          </w:tcPr>
          <w:p w14:paraId="7EBBB7F4" w14:textId="3D2BB85F" w:rsidR="003F7C47" w:rsidRPr="00FB0FB7" w:rsidRDefault="00FB0FB7" w:rsidP="009C7A73">
            <w:pPr>
              <w:keepNext/>
              <w:keepLines/>
              <w:spacing w:before="20" w:after="20"/>
              <w:rPr>
                <w:rFonts w:cs="Arial"/>
                <w:sz w:val="20"/>
                <w:szCs w:val="20"/>
              </w:rPr>
            </w:pPr>
            <w:r w:rsidRPr="00FB0FB7">
              <w:rPr>
                <w:rFonts w:cs="Arial"/>
                <w:sz w:val="20"/>
                <w:szCs w:val="20"/>
              </w:rPr>
              <w:t>Yes</w:t>
            </w:r>
          </w:p>
        </w:tc>
      </w:tr>
      <w:tr w:rsidR="003F7C47" w:rsidRPr="00500C4E" w14:paraId="1540FBC6" w14:textId="77777777" w:rsidTr="009C7A73">
        <w:trPr>
          <w:trHeight w:val="20"/>
        </w:trPr>
        <w:tc>
          <w:tcPr>
            <w:tcW w:w="1730" w:type="pct"/>
          </w:tcPr>
          <w:p w14:paraId="74B9557E" w14:textId="77777777" w:rsidR="003F7C47" w:rsidRPr="00EA057C" w:rsidRDefault="003F7C47" w:rsidP="009C7A73">
            <w:pPr>
              <w:keepNext/>
              <w:keepLines/>
              <w:spacing w:before="20" w:after="20"/>
              <w:rPr>
                <w:rFonts w:cs="Arial"/>
                <w:sz w:val="20"/>
                <w:szCs w:val="20"/>
              </w:rPr>
            </w:pPr>
            <w:r w:rsidRPr="00EA057C">
              <w:rPr>
                <w:rFonts w:cs="Arial"/>
                <w:sz w:val="20"/>
                <w:szCs w:val="20"/>
              </w:rPr>
              <w:t>DEER Operating Hours</w:t>
            </w:r>
          </w:p>
        </w:tc>
        <w:tc>
          <w:tcPr>
            <w:tcW w:w="3270" w:type="pct"/>
          </w:tcPr>
          <w:p w14:paraId="0511C1B5" w14:textId="6EF2F9A9" w:rsidR="003F7C47" w:rsidRPr="00FB0FB7" w:rsidRDefault="00FB0FB7" w:rsidP="009C7A73">
            <w:pPr>
              <w:keepNext/>
              <w:keepLines/>
              <w:spacing w:before="20" w:after="20"/>
              <w:rPr>
                <w:rFonts w:cs="Arial"/>
                <w:sz w:val="20"/>
                <w:szCs w:val="20"/>
              </w:rPr>
            </w:pPr>
            <w:r w:rsidRPr="00FB0FB7">
              <w:rPr>
                <w:rFonts w:cs="Arial"/>
                <w:sz w:val="20"/>
                <w:szCs w:val="20"/>
              </w:rPr>
              <w:t>Yes</w:t>
            </w:r>
          </w:p>
        </w:tc>
      </w:tr>
      <w:tr w:rsidR="003F7C47" w:rsidRPr="00500C4E" w14:paraId="3CA9440E" w14:textId="77777777" w:rsidTr="009C7A73">
        <w:trPr>
          <w:trHeight w:val="20"/>
        </w:trPr>
        <w:tc>
          <w:tcPr>
            <w:tcW w:w="1730" w:type="pct"/>
          </w:tcPr>
          <w:p w14:paraId="79078530" w14:textId="77777777" w:rsidR="003F7C47" w:rsidRPr="00EA057C" w:rsidRDefault="003F7C47" w:rsidP="009C7A73">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308D6D5D" w14:textId="01E60369" w:rsidR="003F7C47" w:rsidRPr="00FB0FB7" w:rsidDel="00505CEC" w:rsidRDefault="006D4EA3" w:rsidP="009C7A73">
            <w:pPr>
              <w:keepNext/>
              <w:keepLines/>
              <w:spacing w:before="20" w:after="20"/>
              <w:rPr>
                <w:rFonts w:cs="Arial"/>
                <w:sz w:val="20"/>
                <w:szCs w:val="20"/>
              </w:rPr>
            </w:pPr>
            <w:r>
              <w:rPr>
                <w:rFonts w:cs="Arial"/>
                <w:sz w:val="20"/>
                <w:szCs w:val="20"/>
              </w:rPr>
              <w:t>No</w:t>
            </w:r>
          </w:p>
        </w:tc>
      </w:tr>
      <w:tr w:rsidR="003F7C47" w:rsidRPr="00500C4E" w14:paraId="62C955FF" w14:textId="77777777" w:rsidTr="009C7A73">
        <w:trPr>
          <w:trHeight w:val="180"/>
        </w:trPr>
        <w:tc>
          <w:tcPr>
            <w:tcW w:w="1730" w:type="pct"/>
          </w:tcPr>
          <w:p w14:paraId="44A49A90" w14:textId="77777777" w:rsidR="003F7C47" w:rsidRPr="00EA057C" w:rsidRDefault="003F7C47" w:rsidP="009C7A73">
            <w:pPr>
              <w:keepNext/>
              <w:keepLines/>
              <w:spacing w:before="20" w:after="20"/>
              <w:rPr>
                <w:rFonts w:cs="Arial"/>
                <w:sz w:val="20"/>
                <w:szCs w:val="20"/>
              </w:rPr>
            </w:pPr>
            <w:r w:rsidRPr="00EA057C">
              <w:rPr>
                <w:rFonts w:cs="Arial"/>
                <w:sz w:val="20"/>
                <w:szCs w:val="20"/>
              </w:rPr>
              <w:t>DEER Version</w:t>
            </w:r>
          </w:p>
        </w:tc>
        <w:tc>
          <w:tcPr>
            <w:tcW w:w="3270" w:type="pct"/>
          </w:tcPr>
          <w:p w14:paraId="79CA591B" w14:textId="701D887E" w:rsidR="003F7C47" w:rsidRPr="00FB0FB7" w:rsidRDefault="00FB0FB7" w:rsidP="009C7A73">
            <w:pPr>
              <w:keepNext/>
              <w:keepLines/>
              <w:spacing w:before="20" w:after="20"/>
              <w:rPr>
                <w:rFonts w:cs="Arial"/>
                <w:sz w:val="20"/>
                <w:szCs w:val="20"/>
              </w:rPr>
            </w:pPr>
            <w:r w:rsidRPr="00FB0FB7">
              <w:rPr>
                <w:rFonts w:cs="Arial"/>
                <w:sz w:val="20"/>
                <w:szCs w:val="20"/>
              </w:rPr>
              <w:t>DEER</w:t>
            </w:r>
            <w:r w:rsidR="00600AB3">
              <w:rPr>
                <w:rFonts w:cs="Arial"/>
                <w:sz w:val="20"/>
                <w:szCs w:val="20"/>
              </w:rPr>
              <w:t>2020</w:t>
            </w:r>
          </w:p>
        </w:tc>
      </w:tr>
      <w:tr w:rsidR="003F7C47" w:rsidRPr="00500C4E" w14:paraId="4C8D6ADA" w14:textId="77777777" w:rsidTr="009C7A73">
        <w:trPr>
          <w:trHeight w:val="20"/>
        </w:trPr>
        <w:tc>
          <w:tcPr>
            <w:tcW w:w="1730" w:type="pct"/>
          </w:tcPr>
          <w:p w14:paraId="60F4F4C5" w14:textId="77777777" w:rsidR="003F7C47" w:rsidRPr="00EA057C" w:rsidRDefault="003F7C47" w:rsidP="009C7A73">
            <w:pPr>
              <w:keepNext/>
              <w:keepLines/>
              <w:spacing w:before="20" w:after="20"/>
              <w:rPr>
                <w:rFonts w:cs="Arial"/>
                <w:sz w:val="20"/>
                <w:szCs w:val="20"/>
              </w:rPr>
            </w:pPr>
            <w:r w:rsidRPr="00EA057C">
              <w:rPr>
                <w:rFonts w:cs="Arial"/>
                <w:sz w:val="20"/>
                <w:szCs w:val="20"/>
              </w:rPr>
              <w:t>Reason for Deviation from DEER</w:t>
            </w:r>
          </w:p>
        </w:tc>
        <w:tc>
          <w:tcPr>
            <w:tcW w:w="3270" w:type="pct"/>
          </w:tcPr>
          <w:p w14:paraId="305F214E" w14:textId="5F92FAB0" w:rsidR="003F7C47" w:rsidRPr="00FB0FB7" w:rsidRDefault="00600AB3" w:rsidP="009C7A73">
            <w:pPr>
              <w:keepNext/>
              <w:keepLines/>
              <w:spacing w:before="20" w:after="20"/>
              <w:rPr>
                <w:rFonts w:cs="Arial"/>
                <w:sz w:val="20"/>
                <w:szCs w:val="20"/>
              </w:rPr>
            </w:pPr>
            <w:r>
              <w:rPr>
                <w:rFonts w:cs="Arial"/>
                <w:sz w:val="20"/>
                <w:szCs w:val="20"/>
              </w:rPr>
              <w:t xml:space="preserve">DEER2020 does not have </w:t>
            </w:r>
            <w:r w:rsidR="006D2629">
              <w:rPr>
                <w:rFonts w:cs="Arial"/>
                <w:sz w:val="20"/>
                <w:szCs w:val="20"/>
              </w:rPr>
              <w:t xml:space="preserve">these measures. </w:t>
            </w:r>
            <w:r w:rsidR="00CE3DD5">
              <w:rPr>
                <w:rFonts w:cs="Arial"/>
                <w:sz w:val="20"/>
                <w:szCs w:val="20"/>
              </w:rPr>
              <w:t>The offerings are added in MASControl3 and ran for grocery prototype</w:t>
            </w:r>
          </w:p>
        </w:tc>
      </w:tr>
      <w:tr w:rsidR="003F7C47" w:rsidRPr="00500C4E" w14:paraId="0DF49AD6" w14:textId="77777777" w:rsidTr="009C7A73">
        <w:trPr>
          <w:trHeight w:val="20"/>
        </w:trPr>
        <w:tc>
          <w:tcPr>
            <w:tcW w:w="1730" w:type="pct"/>
          </w:tcPr>
          <w:p w14:paraId="68490BE7" w14:textId="77777777" w:rsidR="003F7C47" w:rsidRPr="00EA057C" w:rsidRDefault="003F7C47" w:rsidP="009C7A73">
            <w:pPr>
              <w:keepNext/>
              <w:keepLines/>
              <w:spacing w:before="20" w:after="20"/>
              <w:rPr>
                <w:rFonts w:cs="Arial"/>
                <w:sz w:val="20"/>
                <w:szCs w:val="20"/>
              </w:rPr>
            </w:pPr>
            <w:r w:rsidRPr="00EA057C">
              <w:rPr>
                <w:rFonts w:cs="Arial"/>
                <w:sz w:val="20"/>
                <w:szCs w:val="20"/>
              </w:rPr>
              <w:t>DEER Measure IDs Used</w:t>
            </w:r>
          </w:p>
        </w:tc>
        <w:tc>
          <w:tcPr>
            <w:tcW w:w="3270" w:type="pct"/>
          </w:tcPr>
          <w:p w14:paraId="555A8D89" w14:textId="380A3034" w:rsidR="003F7C47" w:rsidRPr="00FB0FB7" w:rsidRDefault="00CE3DD5" w:rsidP="009C7A73">
            <w:pPr>
              <w:keepNext/>
              <w:keepLines/>
              <w:spacing w:before="20" w:after="20"/>
              <w:rPr>
                <w:rFonts w:cs="Arial"/>
                <w:sz w:val="20"/>
                <w:szCs w:val="20"/>
              </w:rPr>
            </w:pPr>
            <w:r>
              <w:rPr>
                <w:sz w:val="20"/>
                <w:szCs w:val="20"/>
              </w:rPr>
              <w:t>NA</w:t>
            </w:r>
          </w:p>
        </w:tc>
      </w:tr>
      <w:tr w:rsidR="006376CE" w:rsidRPr="00500C4E" w14:paraId="7D371140" w14:textId="77777777" w:rsidTr="009C7A73">
        <w:trPr>
          <w:trHeight w:val="20"/>
        </w:trPr>
        <w:tc>
          <w:tcPr>
            <w:tcW w:w="1730" w:type="pct"/>
          </w:tcPr>
          <w:p w14:paraId="7BE4C3F4" w14:textId="77777777" w:rsidR="006376CE" w:rsidRPr="00EA057C" w:rsidRDefault="006376CE" w:rsidP="009C7A73">
            <w:pPr>
              <w:keepNext/>
              <w:keepLines/>
              <w:spacing w:before="20" w:after="20"/>
              <w:rPr>
                <w:rFonts w:cs="Arial"/>
                <w:sz w:val="20"/>
                <w:szCs w:val="20"/>
              </w:rPr>
            </w:pPr>
            <w:r>
              <w:rPr>
                <w:rFonts w:cs="Arial"/>
                <w:sz w:val="20"/>
                <w:szCs w:val="20"/>
              </w:rPr>
              <w:t>NTG</w:t>
            </w:r>
          </w:p>
        </w:tc>
        <w:tc>
          <w:tcPr>
            <w:tcW w:w="3270" w:type="pct"/>
          </w:tcPr>
          <w:p w14:paraId="4ADFC5FE" w14:textId="77777777" w:rsidR="00802C41" w:rsidRPr="00FB0FB7" w:rsidRDefault="006376CE" w:rsidP="00802C41">
            <w:pPr>
              <w:keepNext/>
              <w:keepLines/>
              <w:spacing w:before="20" w:after="20"/>
              <w:rPr>
                <w:rFonts w:cs="Arial"/>
                <w:sz w:val="20"/>
                <w:szCs w:val="20"/>
              </w:rPr>
            </w:pPr>
            <w:r w:rsidRPr="00FB0FB7">
              <w:rPr>
                <w:rFonts w:cs="Arial"/>
                <w:sz w:val="20"/>
                <w:szCs w:val="20"/>
              </w:rPr>
              <w:t xml:space="preserve">Source </w:t>
            </w:r>
            <w:r w:rsidR="005F6E16" w:rsidRPr="00FB0FB7">
              <w:rPr>
                <w:rFonts w:cs="Arial"/>
                <w:sz w:val="20"/>
                <w:szCs w:val="20"/>
              </w:rPr>
              <w:t>DEER</w:t>
            </w:r>
            <w:r w:rsidRPr="00FB0FB7">
              <w:rPr>
                <w:rFonts w:cs="Arial"/>
                <w:sz w:val="20"/>
                <w:szCs w:val="20"/>
              </w:rPr>
              <w:t xml:space="preserve">. NTG=0.60 is associated with NTG ID: </w:t>
            </w:r>
          </w:p>
          <w:p w14:paraId="123E5B09" w14:textId="531BD61D" w:rsidR="006376CE" w:rsidRPr="00FB0FB7" w:rsidRDefault="00802C41">
            <w:pPr>
              <w:keepNext/>
              <w:keepLines/>
              <w:spacing w:before="20" w:after="20"/>
              <w:rPr>
                <w:rFonts w:cs="Arial"/>
                <w:sz w:val="20"/>
                <w:szCs w:val="20"/>
              </w:rPr>
            </w:pPr>
            <w:r w:rsidRPr="00FB0FB7">
              <w:rPr>
                <w:rFonts w:cs="Arial"/>
                <w:i/>
                <w:sz w:val="20"/>
                <w:szCs w:val="20"/>
              </w:rPr>
              <w:t>Com-Default&gt;2yrs</w:t>
            </w:r>
            <w:r w:rsidR="00B87CAB">
              <w:rPr>
                <w:rFonts w:cs="Arial"/>
                <w:i/>
                <w:sz w:val="20"/>
                <w:szCs w:val="20"/>
              </w:rPr>
              <w:t xml:space="preserve"> and Ind</w:t>
            </w:r>
            <w:r w:rsidR="00B87CAB" w:rsidRPr="00FB0FB7">
              <w:rPr>
                <w:rFonts w:cs="Arial"/>
                <w:i/>
                <w:sz w:val="20"/>
                <w:szCs w:val="20"/>
              </w:rPr>
              <w:t>-Default&gt;2yrs</w:t>
            </w:r>
          </w:p>
        </w:tc>
      </w:tr>
      <w:tr w:rsidR="006376CE" w:rsidRPr="00500C4E" w14:paraId="5AA4E1AF" w14:textId="77777777" w:rsidTr="009C7A73">
        <w:trPr>
          <w:trHeight w:val="20"/>
        </w:trPr>
        <w:tc>
          <w:tcPr>
            <w:tcW w:w="1730" w:type="pct"/>
          </w:tcPr>
          <w:p w14:paraId="449DD22A" w14:textId="77777777" w:rsidR="006376CE" w:rsidRDefault="006376CE" w:rsidP="009C7A73">
            <w:pPr>
              <w:keepNext/>
              <w:keepLines/>
              <w:spacing w:before="20" w:after="20"/>
              <w:rPr>
                <w:rFonts w:cs="Arial"/>
                <w:sz w:val="20"/>
                <w:szCs w:val="20"/>
              </w:rPr>
            </w:pPr>
            <w:r>
              <w:rPr>
                <w:rFonts w:cs="Arial"/>
                <w:sz w:val="20"/>
                <w:szCs w:val="20"/>
              </w:rPr>
              <w:t>GSIA</w:t>
            </w:r>
          </w:p>
        </w:tc>
        <w:tc>
          <w:tcPr>
            <w:tcW w:w="3270" w:type="pct"/>
          </w:tcPr>
          <w:p w14:paraId="7594704B" w14:textId="56122F07" w:rsidR="006376CE" w:rsidRPr="00FB0FB7" w:rsidRDefault="006376CE" w:rsidP="009C7A73">
            <w:pPr>
              <w:keepNext/>
              <w:keepLines/>
              <w:spacing w:before="20" w:after="20"/>
              <w:rPr>
                <w:rFonts w:cs="Arial"/>
                <w:sz w:val="20"/>
                <w:szCs w:val="20"/>
              </w:rPr>
            </w:pPr>
            <w:r w:rsidRPr="00FB0FB7">
              <w:rPr>
                <w:rFonts w:cs="Arial"/>
                <w:sz w:val="20"/>
                <w:szCs w:val="20"/>
              </w:rPr>
              <w:t xml:space="preserve">Source DEER. GSIA=1.0 is associated with GSIA ID: </w:t>
            </w:r>
            <w:r w:rsidRPr="00FB0FB7">
              <w:rPr>
                <w:rFonts w:cs="Arial"/>
                <w:i/>
                <w:sz w:val="20"/>
                <w:szCs w:val="20"/>
              </w:rPr>
              <w:t>Def-GSIA</w:t>
            </w:r>
          </w:p>
        </w:tc>
      </w:tr>
      <w:tr w:rsidR="006376CE" w:rsidRPr="00500C4E" w14:paraId="65705ACB" w14:textId="77777777" w:rsidTr="009C7A73">
        <w:trPr>
          <w:trHeight w:val="20"/>
        </w:trPr>
        <w:tc>
          <w:tcPr>
            <w:tcW w:w="1730" w:type="pct"/>
          </w:tcPr>
          <w:p w14:paraId="0272DAE8" w14:textId="77777777" w:rsidR="006376CE" w:rsidRDefault="006376CE" w:rsidP="009C7A73">
            <w:pPr>
              <w:keepNext/>
              <w:keepLines/>
              <w:spacing w:before="20" w:after="20"/>
              <w:rPr>
                <w:rFonts w:cs="Arial"/>
                <w:sz w:val="20"/>
                <w:szCs w:val="20"/>
              </w:rPr>
            </w:pPr>
            <w:r>
              <w:rPr>
                <w:rFonts w:cs="Arial"/>
                <w:sz w:val="20"/>
                <w:szCs w:val="20"/>
              </w:rPr>
              <w:t>EUL/RUL</w:t>
            </w:r>
          </w:p>
        </w:tc>
        <w:tc>
          <w:tcPr>
            <w:tcW w:w="3270" w:type="pct"/>
          </w:tcPr>
          <w:p w14:paraId="0B44B214" w14:textId="23E71207" w:rsidR="006376CE" w:rsidRPr="00FB0FB7" w:rsidRDefault="000715CD">
            <w:pPr>
              <w:keepNext/>
              <w:keepLines/>
              <w:spacing w:before="20" w:after="20"/>
              <w:rPr>
                <w:rFonts w:cs="Arial"/>
                <w:sz w:val="20"/>
                <w:szCs w:val="20"/>
              </w:rPr>
            </w:pPr>
            <w:r>
              <w:rPr>
                <w:rFonts w:cs="Arial"/>
                <w:sz w:val="20"/>
                <w:szCs w:val="20"/>
              </w:rPr>
              <w:t xml:space="preserve">2015 SCE Ex Ante Adjustments: </w:t>
            </w:r>
            <w:r w:rsidRPr="006B0B10">
              <w:rPr>
                <w:rFonts w:cs="Arial"/>
                <w:sz w:val="20"/>
                <w:szCs w:val="20"/>
              </w:rPr>
              <w:t>EUL ID:</w:t>
            </w:r>
            <w:r w:rsidRPr="00FB0FB7">
              <w:rPr>
                <w:rFonts w:cs="Arial"/>
                <w:i/>
                <w:sz w:val="20"/>
                <w:szCs w:val="20"/>
              </w:rPr>
              <w:t xml:space="preserve"> </w:t>
            </w:r>
            <w:proofErr w:type="spellStart"/>
            <w:r w:rsidRPr="00FB0FB7">
              <w:rPr>
                <w:rFonts w:cs="Arial"/>
                <w:i/>
                <w:sz w:val="20"/>
                <w:szCs w:val="20"/>
              </w:rPr>
              <w:t>GrocSys-FltHdPres</w:t>
            </w:r>
            <w:proofErr w:type="spellEnd"/>
            <w:r w:rsidRPr="004C51A4">
              <w:rPr>
                <w:rFonts w:cs="Arial"/>
                <w:sz w:val="20"/>
                <w:szCs w:val="20"/>
              </w:rPr>
              <w:t>. E</w:t>
            </w:r>
            <w:r>
              <w:rPr>
                <w:rFonts w:cs="Arial"/>
                <w:sz w:val="20"/>
                <w:szCs w:val="20"/>
              </w:rPr>
              <w:t>UL = 6.67</w:t>
            </w:r>
          </w:p>
        </w:tc>
      </w:tr>
    </w:tbl>
    <w:p w14:paraId="2258110E" w14:textId="77777777" w:rsidR="003F7C47" w:rsidRDefault="003F7C47" w:rsidP="003F7C47"/>
    <w:p w14:paraId="4D547149" w14:textId="77777777" w:rsidR="003F7C47" w:rsidRDefault="003F7C47" w:rsidP="00437D63">
      <w:pPr>
        <w:pStyle w:val="eTRMHeading3"/>
      </w:pPr>
      <w:bookmarkStart w:id="75" w:name="_Toc486490866"/>
      <w:bookmarkStart w:id="76" w:name="_Toc486580937"/>
      <w:bookmarkStart w:id="77" w:name="_Toc490461313"/>
      <w:bookmarkStart w:id="78" w:name="_Toc58512455"/>
      <w:r w:rsidRPr="004B06E3">
        <w:t>Revision History</w:t>
      </w:r>
      <w:bookmarkEnd w:id="75"/>
      <w:bookmarkEnd w:id="76"/>
      <w:bookmarkEnd w:id="77"/>
      <w:bookmarkEnd w:id="78"/>
    </w:p>
    <w:p w14:paraId="60A9E9DE" w14:textId="72AB6A89" w:rsidR="006E2D7D" w:rsidRPr="00462BB6" w:rsidRDefault="006E2D7D" w:rsidP="003F7C47">
      <w:pPr>
        <w:spacing w:before="20" w:after="20" w:line="280" w:lineRule="exact"/>
        <w:rPr>
          <w:i/>
          <w:color w:val="808080" w:themeColor="background1" w:themeShade="80"/>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6E2D7D" w:rsidRPr="00500C4E" w14:paraId="6CFFB688" w14:textId="77777777" w:rsidTr="003621CB">
        <w:trPr>
          <w:trHeight w:val="20"/>
        </w:trPr>
        <w:tc>
          <w:tcPr>
            <w:tcW w:w="503" w:type="pct"/>
            <w:shd w:val="clear" w:color="auto" w:fill="F2F2F2" w:themeFill="background1" w:themeFillShade="F2"/>
            <w:vAlign w:val="bottom"/>
          </w:tcPr>
          <w:p w14:paraId="717DE0A2" w14:textId="77777777" w:rsidR="006E2D7D" w:rsidRPr="00EA057C" w:rsidRDefault="006E2D7D" w:rsidP="003621CB">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051F91C7" w14:textId="77777777" w:rsidR="006E2D7D" w:rsidRPr="00EA057C" w:rsidRDefault="006E2D7D" w:rsidP="003621CB">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27283A90" w14:textId="77777777" w:rsidR="006E2D7D" w:rsidRDefault="006E2D7D" w:rsidP="003621CB">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4D5B73CA" w14:textId="77777777" w:rsidR="006E2D7D" w:rsidRDefault="006E2D7D" w:rsidP="003621CB">
            <w:pPr>
              <w:keepNext/>
              <w:keepLines/>
              <w:spacing w:before="20" w:after="20"/>
              <w:rPr>
                <w:rFonts w:cs="Arial"/>
                <w:b/>
                <w:sz w:val="20"/>
                <w:szCs w:val="20"/>
              </w:rPr>
            </w:pPr>
            <w:r>
              <w:rPr>
                <w:rFonts w:cs="Arial"/>
                <w:b/>
                <w:sz w:val="20"/>
                <w:szCs w:val="20"/>
              </w:rPr>
              <w:t>Revision Summary and Rationale for Revision</w:t>
            </w:r>
          </w:p>
          <w:p w14:paraId="4875DF2E" w14:textId="77777777" w:rsidR="006E2D7D" w:rsidRDefault="006E2D7D" w:rsidP="003621CB">
            <w:pPr>
              <w:keepNext/>
              <w:keepLines/>
              <w:spacing w:before="20" w:after="20"/>
              <w:rPr>
                <w:rFonts w:cs="Arial"/>
                <w:b/>
                <w:sz w:val="20"/>
                <w:szCs w:val="20"/>
              </w:rPr>
            </w:pPr>
            <w:r>
              <w:rPr>
                <w:rFonts w:cs="Arial"/>
                <w:b/>
                <w:sz w:val="20"/>
                <w:szCs w:val="20"/>
              </w:rPr>
              <w:t>Effective Date and Approved By</w:t>
            </w:r>
          </w:p>
        </w:tc>
      </w:tr>
      <w:tr w:rsidR="00042D9F" w:rsidRPr="00500C4E" w14:paraId="37AD2F44" w14:textId="77777777" w:rsidTr="004C51A4">
        <w:trPr>
          <w:trHeight w:val="20"/>
        </w:trPr>
        <w:tc>
          <w:tcPr>
            <w:tcW w:w="503" w:type="pct"/>
            <w:vMerge w:val="restart"/>
            <w:shd w:val="clear" w:color="auto" w:fill="FFFFFF" w:themeFill="background1"/>
          </w:tcPr>
          <w:p w14:paraId="7A26B8E7" w14:textId="3522FB5D" w:rsidR="00042D9F" w:rsidRDefault="00042D9F" w:rsidP="004C51A4">
            <w:pPr>
              <w:keepNext/>
              <w:keepLines/>
              <w:tabs>
                <w:tab w:val="right" w:pos="2957"/>
              </w:tabs>
              <w:spacing w:before="20" w:after="20"/>
              <w:rPr>
                <w:rFonts w:cs="Arial"/>
                <w:b/>
                <w:sz w:val="20"/>
                <w:szCs w:val="20"/>
              </w:rPr>
            </w:pPr>
            <w:r w:rsidRPr="0036264B">
              <w:rPr>
                <w:rFonts w:cs="Arial"/>
                <w:sz w:val="20"/>
                <w:szCs w:val="20"/>
              </w:rPr>
              <w:t>01</w:t>
            </w:r>
          </w:p>
        </w:tc>
        <w:tc>
          <w:tcPr>
            <w:tcW w:w="722" w:type="pct"/>
            <w:shd w:val="clear" w:color="auto" w:fill="FFFFFF" w:themeFill="background1"/>
          </w:tcPr>
          <w:p w14:paraId="3A905FA4" w14:textId="47F22A65" w:rsidR="00042D9F" w:rsidRDefault="00042D9F" w:rsidP="000E60FE">
            <w:pPr>
              <w:keepNext/>
              <w:keepLines/>
              <w:spacing w:before="20" w:after="20"/>
              <w:rPr>
                <w:rFonts w:cs="Arial"/>
                <w:b/>
                <w:sz w:val="20"/>
                <w:szCs w:val="20"/>
              </w:rPr>
            </w:pPr>
            <w:r w:rsidRPr="0036264B">
              <w:rPr>
                <w:rFonts w:cs="Arial"/>
                <w:sz w:val="20"/>
                <w:szCs w:val="20"/>
              </w:rPr>
              <w:t>3/31/2018</w:t>
            </w:r>
          </w:p>
        </w:tc>
        <w:tc>
          <w:tcPr>
            <w:tcW w:w="842" w:type="pct"/>
            <w:shd w:val="clear" w:color="auto" w:fill="FFFFFF" w:themeFill="background1"/>
          </w:tcPr>
          <w:p w14:paraId="30513697" w14:textId="77777777" w:rsidR="00042D9F" w:rsidRPr="0036264B" w:rsidRDefault="00042D9F" w:rsidP="000E60FE">
            <w:pPr>
              <w:keepNext/>
              <w:keepLines/>
              <w:spacing w:before="20" w:after="20"/>
              <w:rPr>
                <w:rFonts w:cs="Arial"/>
                <w:sz w:val="20"/>
                <w:szCs w:val="20"/>
              </w:rPr>
            </w:pPr>
            <w:r w:rsidRPr="0036264B">
              <w:rPr>
                <w:rFonts w:cs="Arial"/>
                <w:sz w:val="20"/>
                <w:szCs w:val="20"/>
              </w:rPr>
              <w:t>Jennifer Holmes</w:t>
            </w:r>
          </w:p>
          <w:p w14:paraId="4FB1FBCE" w14:textId="36A806CA" w:rsidR="00042D9F" w:rsidRDefault="00042D9F" w:rsidP="000E60FE">
            <w:pPr>
              <w:keepNext/>
              <w:keepLines/>
              <w:spacing w:before="20" w:after="20"/>
              <w:rPr>
                <w:rFonts w:cs="Arial"/>
                <w:b/>
                <w:sz w:val="20"/>
                <w:szCs w:val="20"/>
              </w:rPr>
            </w:pPr>
            <w:r w:rsidRPr="0036264B">
              <w:rPr>
                <w:rFonts w:cs="Arial"/>
                <w:sz w:val="20"/>
                <w:szCs w:val="20"/>
              </w:rPr>
              <w:t>Cal TF Staff</w:t>
            </w:r>
          </w:p>
        </w:tc>
        <w:tc>
          <w:tcPr>
            <w:tcW w:w="2933" w:type="pct"/>
            <w:shd w:val="clear" w:color="auto" w:fill="FFFFFF" w:themeFill="background1"/>
          </w:tcPr>
          <w:p w14:paraId="6719353E" w14:textId="77777777" w:rsidR="00042D9F" w:rsidRDefault="00042D9F" w:rsidP="000E60FE">
            <w:pPr>
              <w:keepNext/>
              <w:keepLines/>
              <w:spacing w:before="20" w:after="20"/>
              <w:rPr>
                <w:rFonts w:cs="Arial"/>
                <w:sz w:val="20"/>
                <w:szCs w:val="20"/>
              </w:rPr>
            </w:pPr>
            <w:r>
              <w:rPr>
                <w:rFonts w:cs="Arial"/>
                <w:sz w:val="20"/>
                <w:szCs w:val="20"/>
              </w:rPr>
              <w:t>Draft of consolidated text for this statewide measure is based upon:</w:t>
            </w:r>
          </w:p>
          <w:p w14:paraId="4D1C7EC3" w14:textId="77777777" w:rsidR="00042D9F" w:rsidRDefault="00042D9F" w:rsidP="000E60FE">
            <w:pPr>
              <w:keepNext/>
              <w:keepLines/>
              <w:spacing w:before="20" w:after="20"/>
              <w:rPr>
                <w:rFonts w:cs="Arial"/>
                <w:sz w:val="20"/>
                <w:szCs w:val="20"/>
              </w:rPr>
            </w:pPr>
            <w:r>
              <w:rPr>
                <w:rFonts w:cs="Arial"/>
                <w:sz w:val="20"/>
                <w:szCs w:val="20"/>
              </w:rPr>
              <w:t>SCE17RN023 Revision 1 (December 4, 2017)</w:t>
            </w:r>
          </w:p>
          <w:p w14:paraId="5937E69D" w14:textId="77777777" w:rsidR="00042D9F" w:rsidRDefault="00042D9F" w:rsidP="000E60FE">
            <w:pPr>
              <w:keepNext/>
              <w:keepLines/>
              <w:spacing w:before="20" w:after="20"/>
              <w:rPr>
                <w:rFonts w:cs="Arial"/>
                <w:sz w:val="20"/>
                <w:szCs w:val="20"/>
              </w:rPr>
            </w:pPr>
            <w:r>
              <w:rPr>
                <w:rFonts w:cs="Arial"/>
                <w:sz w:val="20"/>
                <w:szCs w:val="20"/>
              </w:rPr>
              <w:t>SCE17RN923 Revision 0 (December 9, 2016)</w:t>
            </w:r>
          </w:p>
          <w:p w14:paraId="509704D4" w14:textId="77777777" w:rsidR="00042D9F" w:rsidRDefault="00042D9F" w:rsidP="000E60FE">
            <w:pPr>
              <w:keepNext/>
              <w:keepLines/>
              <w:spacing w:before="20" w:after="20"/>
              <w:rPr>
                <w:rFonts w:cs="Arial"/>
                <w:sz w:val="20"/>
                <w:szCs w:val="20"/>
              </w:rPr>
            </w:pPr>
            <w:r>
              <w:rPr>
                <w:rFonts w:cs="Arial"/>
                <w:sz w:val="20"/>
                <w:szCs w:val="20"/>
              </w:rPr>
              <w:t>PGE3PREF121 Revision 3 (January 1, 2016)</w:t>
            </w:r>
          </w:p>
          <w:p w14:paraId="7A15F6E2" w14:textId="4CA11327" w:rsidR="00042D9F" w:rsidRDefault="00042D9F" w:rsidP="000E60FE">
            <w:pPr>
              <w:keepNext/>
              <w:keepLines/>
              <w:spacing w:before="20" w:after="20"/>
              <w:rPr>
                <w:rFonts w:cs="Arial"/>
                <w:b/>
                <w:sz w:val="20"/>
                <w:szCs w:val="20"/>
              </w:rPr>
            </w:pPr>
            <w:r>
              <w:rPr>
                <w:rFonts w:cs="Arial"/>
                <w:sz w:val="20"/>
                <w:szCs w:val="20"/>
              </w:rPr>
              <w:t>Consensus reached among Cal TF members.</w:t>
            </w:r>
          </w:p>
        </w:tc>
      </w:tr>
      <w:tr w:rsidR="00042D9F" w:rsidRPr="00CA1CB3" w14:paraId="77463585" w14:textId="77777777" w:rsidTr="004C51A4">
        <w:trPr>
          <w:trHeight w:val="20"/>
        </w:trPr>
        <w:tc>
          <w:tcPr>
            <w:tcW w:w="503" w:type="pct"/>
            <w:vMerge/>
            <w:shd w:val="clear" w:color="auto" w:fill="FFFFFF" w:themeFill="background1"/>
          </w:tcPr>
          <w:p w14:paraId="5261CE91" w14:textId="7BD6FF58" w:rsidR="00042D9F" w:rsidRPr="0036264B" w:rsidRDefault="00042D9F" w:rsidP="000E60FE">
            <w:pPr>
              <w:keepNext/>
              <w:keepLines/>
              <w:spacing w:before="20" w:after="20"/>
              <w:rPr>
                <w:rFonts w:cs="Arial"/>
                <w:sz w:val="20"/>
                <w:szCs w:val="20"/>
              </w:rPr>
            </w:pPr>
          </w:p>
        </w:tc>
        <w:tc>
          <w:tcPr>
            <w:tcW w:w="722" w:type="pct"/>
            <w:shd w:val="clear" w:color="auto" w:fill="FFFFFF" w:themeFill="background1"/>
          </w:tcPr>
          <w:p w14:paraId="0D3E6BDE" w14:textId="75416CE8" w:rsidR="00042D9F" w:rsidRPr="0036264B" w:rsidRDefault="00042D9F" w:rsidP="000E60FE">
            <w:pPr>
              <w:keepNext/>
              <w:keepLines/>
              <w:spacing w:before="20" w:after="20"/>
              <w:rPr>
                <w:rFonts w:cs="Arial"/>
                <w:sz w:val="20"/>
                <w:szCs w:val="20"/>
              </w:rPr>
            </w:pPr>
            <w:r>
              <w:rPr>
                <w:rFonts w:cs="Arial"/>
                <w:sz w:val="20"/>
                <w:szCs w:val="20"/>
              </w:rPr>
              <w:t>4/25/2019</w:t>
            </w:r>
          </w:p>
        </w:tc>
        <w:tc>
          <w:tcPr>
            <w:tcW w:w="842" w:type="pct"/>
            <w:shd w:val="clear" w:color="auto" w:fill="FFFFFF" w:themeFill="background1"/>
          </w:tcPr>
          <w:p w14:paraId="2EBCD94C" w14:textId="77777777" w:rsidR="00042D9F" w:rsidRPr="0036264B" w:rsidRDefault="00042D9F" w:rsidP="000E60FE">
            <w:pPr>
              <w:keepNext/>
              <w:keepLines/>
              <w:spacing w:before="20" w:after="20"/>
              <w:rPr>
                <w:rFonts w:cs="Arial"/>
                <w:sz w:val="20"/>
                <w:szCs w:val="20"/>
              </w:rPr>
            </w:pPr>
            <w:r>
              <w:rPr>
                <w:rFonts w:cs="Arial"/>
                <w:sz w:val="20"/>
                <w:szCs w:val="20"/>
              </w:rPr>
              <w:t xml:space="preserve">Akhilesh Endurthy Solaris-Technical </w:t>
            </w:r>
          </w:p>
        </w:tc>
        <w:tc>
          <w:tcPr>
            <w:tcW w:w="2933" w:type="pct"/>
            <w:shd w:val="clear" w:color="auto" w:fill="FFFFFF" w:themeFill="background1"/>
          </w:tcPr>
          <w:p w14:paraId="1DE9148C" w14:textId="77777777" w:rsidR="00042D9F" w:rsidRDefault="00042D9F" w:rsidP="000E60FE">
            <w:pPr>
              <w:keepNext/>
              <w:keepLines/>
              <w:spacing w:before="20" w:after="20"/>
              <w:rPr>
                <w:rFonts w:cs="Arial"/>
                <w:sz w:val="20"/>
                <w:szCs w:val="20"/>
              </w:rPr>
            </w:pPr>
            <w:r>
              <w:rPr>
                <w:rFonts w:cs="Arial"/>
                <w:sz w:val="20"/>
                <w:szCs w:val="20"/>
              </w:rPr>
              <w:t>DEER2020 updates</w:t>
            </w:r>
          </w:p>
          <w:p w14:paraId="11C613D5" w14:textId="7A67A77B" w:rsidR="00042D9F" w:rsidRDefault="00042D9F" w:rsidP="000E60FE">
            <w:pPr>
              <w:keepNext/>
              <w:keepLines/>
              <w:spacing w:before="20" w:after="20"/>
              <w:rPr>
                <w:rFonts w:cs="Arial"/>
                <w:sz w:val="20"/>
                <w:szCs w:val="20"/>
              </w:rPr>
            </w:pPr>
            <w:r>
              <w:rPr>
                <w:rFonts w:cs="Arial"/>
                <w:sz w:val="20"/>
                <w:szCs w:val="20"/>
              </w:rPr>
              <w:t xml:space="preserve">Updated impacts using DEER2020 Grocery Prototypes </w:t>
            </w:r>
          </w:p>
          <w:p w14:paraId="0E764F76" w14:textId="77777777" w:rsidR="00042D9F" w:rsidRDefault="00042D9F" w:rsidP="000E60FE">
            <w:pPr>
              <w:keepNext/>
              <w:keepLines/>
              <w:spacing w:before="20" w:after="20"/>
              <w:rPr>
                <w:rFonts w:cs="Arial"/>
                <w:sz w:val="20"/>
                <w:szCs w:val="20"/>
              </w:rPr>
            </w:pPr>
            <w:r>
              <w:rPr>
                <w:rFonts w:cs="Arial"/>
                <w:sz w:val="20"/>
                <w:szCs w:val="20"/>
              </w:rPr>
              <w:t xml:space="preserve">Updated costs </w:t>
            </w:r>
          </w:p>
          <w:p w14:paraId="76F3851A" w14:textId="6E12F787" w:rsidR="00042D9F" w:rsidRDefault="00042D9F" w:rsidP="000E60FE">
            <w:pPr>
              <w:keepNext/>
              <w:keepLines/>
              <w:spacing w:before="20" w:after="20"/>
              <w:rPr>
                <w:rFonts w:cs="Arial"/>
                <w:sz w:val="20"/>
                <w:szCs w:val="20"/>
              </w:rPr>
            </w:pPr>
            <w:r>
              <w:rPr>
                <w:rFonts w:cs="Arial"/>
                <w:sz w:val="20"/>
                <w:szCs w:val="20"/>
              </w:rPr>
              <w:t xml:space="preserve">Updated EUL to 6.67 years based on </w:t>
            </w:r>
            <w:r w:rsidRPr="00576C02">
              <w:rPr>
                <w:rFonts w:cs="Arial"/>
                <w:sz w:val="20"/>
                <w:szCs w:val="20"/>
              </w:rPr>
              <w:t>2015 SCE Ex Ante Adjustments</w:t>
            </w:r>
          </w:p>
        </w:tc>
      </w:tr>
      <w:tr w:rsidR="00042D9F" w:rsidRPr="00CA1CB3" w14:paraId="66620156" w14:textId="77777777" w:rsidTr="004C51A4">
        <w:trPr>
          <w:trHeight w:val="20"/>
        </w:trPr>
        <w:tc>
          <w:tcPr>
            <w:tcW w:w="503" w:type="pct"/>
            <w:vMerge/>
            <w:shd w:val="clear" w:color="auto" w:fill="FFFFFF" w:themeFill="background1"/>
          </w:tcPr>
          <w:p w14:paraId="25750132" w14:textId="77777777" w:rsidR="00042D9F" w:rsidRPr="0036264B" w:rsidRDefault="00042D9F" w:rsidP="000E60FE">
            <w:pPr>
              <w:keepNext/>
              <w:keepLines/>
              <w:spacing w:before="20" w:after="20"/>
              <w:rPr>
                <w:rFonts w:cs="Arial"/>
                <w:sz w:val="20"/>
                <w:szCs w:val="20"/>
              </w:rPr>
            </w:pPr>
          </w:p>
        </w:tc>
        <w:tc>
          <w:tcPr>
            <w:tcW w:w="722" w:type="pct"/>
            <w:shd w:val="clear" w:color="auto" w:fill="FFFFFF" w:themeFill="background1"/>
          </w:tcPr>
          <w:p w14:paraId="14BBB0CF" w14:textId="743D716D" w:rsidR="00042D9F" w:rsidRDefault="006C54FE" w:rsidP="000E60FE">
            <w:pPr>
              <w:keepNext/>
              <w:keepLines/>
              <w:spacing w:before="20" w:after="20"/>
              <w:rPr>
                <w:rFonts w:cs="Arial"/>
                <w:sz w:val="20"/>
                <w:szCs w:val="20"/>
              </w:rPr>
            </w:pPr>
            <w:r>
              <w:rPr>
                <w:rFonts w:cs="Arial"/>
                <w:sz w:val="20"/>
                <w:szCs w:val="20"/>
              </w:rPr>
              <w:t>5/1</w:t>
            </w:r>
            <w:r w:rsidR="00042D9F">
              <w:rPr>
                <w:rFonts w:cs="Arial"/>
                <w:sz w:val="20"/>
                <w:szCs w:val="20"/>
              </w:rPr>
              <w:t>/2020</w:t>
            </w:r>
          </w:p>
        </w:tc>
        <w:tc>
          <w:tcPr>
            <w:tcW w:w="842" w:type="pct"/>
            <w:shd w:val="clear" w:color="auto" w:fill="FFFFFF" w:themeFill="background1"/>
          </w:tcPr>
          <w:p w14:paraId="08B7E0A1" w14:textId="77777777" w:rsidR="00042D9F" w:rsidRDefault="00042D9F" w:rsidP="000E60FE">
            <w:pPr>
              <w:keepNext/>
              <w:keepLines/>
              <w:spacing w:before="20" w:after="20"/>
              <w:rPr>
                <w:rFonts w:cs="Arial"/>
                <w:sz w:val="20"/>
                <w:szCs w:val="20"/>
              </w:rPr>
            </w:pPr>
            <w:r>
              <w:rPr>
                <w:rFonts w:cs="Arial"/>
                <w:sz w:val="20"/>
                <w:szCs w:val="20"/>
              </w:rPr>
              <w:t>Jesse Manao</w:t>
            </w:r>
          </w:p>
          <w:p w14:paraId="7F7AC046" w14:textId="5D136DE0" w:rsidR="00042D9F" w:rsidRDefault="00042D9F" w:rsidP="000E60FE">
            <w:pPr>
              <w:keepNext/>
              <w:keepLines/>
              <w:spacing w:before="20" w:after="20"/>
              <w:rPr>
                <w:rFonts w:cs="Arial"/>
                <w:sz w:val="20"/>
                <w:szCs w:val="20"/>
              </w:rPr>
            </w:pPr>
            <w:r>
              <w:rPr>
                <w:rFonts w:cs="Arial"/>
                <w:sz w:val="20"/>
                <w:szCs w:val="20"/>
              </w:rPr>
              <w:t>SCE</w:t>
            </w:r>
          </w:p>
        </w:tc>
        <w:tc>
          <w:tcPr>
            <w:tcW w:w="2933" w:type="pct"/>
            <w:shd w:val="clear" w:color="auto" w:fill="FFFFFF" w:themeFill="background1"/>
          </w:tcPr>
          <w:p w14:paraId="524AE024" w14:textId="59EC48AD" w:rsidR="006C54FE" w:rsidRPr="006C54FE" w:rsidRDefault="006C54FE" w:rsidP="006C54FE">
            <w:pPr>
              <w:pStyle w:val="ListParagraph"/>
              <w:keepNext/>
              <w:keepLines/>
              <w:numPr>
                <w:ilvl w:val="0"/>
                <w:numId w:val="38"/>
              </w:numPr>
              <w:spacing w:before="20" w:after="20"/>
              <w:ind w:left="331"/>
              <w:rPr>
                <w:rFonts w:cs="Arial"/>
                <w:sz w:val="20"/>
                <w:szCs w:val="20"/>
              </w:rPr>
            </w:pPr>
            <w:r w:rsidRPr="006C54FE">
              <w:rPr>
                <w:rFonts w:cs="Arial"/>
                <w:sz w:val="20"/>
                <w:szCs w:val="20"/>
              </w:rPr>
              <w:t xml:space="preserve">Split "Any" BT in the </w:t>
            </w:r>
            <w:r>
              <w:rPr>
                <w:rFonts w:cs="Arial"/>
                <w:sz w:val="20"/>
                <w:szCs w:val="20"/>
              </w:rPr>
              <w:t>Energy Impact tab</w:t>
            </w:r>
            <w:r w:rsidRPr="006C54FE">
              <w:rPr>
                <w:rFonts w:cs="Arial"/>
                <w:sz w:val="20"/>
                <w:szCs w:val="20"/>
              </w:rPr>
              <w:t>.</w:t>
            </w:r>
          </w:p>
          <w:p w14:paraId="1D8598C7" w14:textId="13F9F090" w:rsidR="006C54FE" w:rsidRDefault="006C54FE" w:rsidP="006C54FE">
            <w:pPr>
              <w:pStyle w:val="ListParagraph"/>
              <w:keepNext/>
              <w:keepLines/>
              <w:numPr>
                <w:ilvl w:val="0"/>
                <w:numId w:val="38"/>
              </w:numPr>
              <w:spacing w:before="20" w:after="20"/>
              <w:ind w:left="331"/>
              <w:rPr>
                <w:rFonts w:cs="Arial"/>
                <w:sz w:val="20"/>
                <w:szCs w:val="20"/>
              </w:rPr>
            </w:pPr>
            <w:r>
              <w:rPr>
                <w:rFonts w:cs="Arial"/>
                <w:sz w:val="20"/>
                <w:szCs w:val="20"/>
              </w:rPr>
              <w:t>Savings in Energy Impact tab</w:t>
            </w:r>
            <w:r w:rsidRPr="006C54FE">
              <w:rPr>
                <w:rFonts w:cs="Arial"/>
                <w:sz w:val="20"/>
                <w:szCs w:val="20"/>
              </w:rPr>
              <w:t xml:space="preserve"> updated to correctly reflect values in Measure Spec Data.</w:t>
            </w:r>
          </w:p>
          <w:p w14:paraId="768E75C3" w14:textId="550874BE" w:rsidR="00D261A3" w:rsidRPr="006C54FE" w:rsidRDefault="00D261A3" w:rsidP="006C54FE">
            <w:pPr>
              <w:pStyle w:val="ListParagraph"/>
              <w:keepNext/>
              <w:keepLines/>
              <w:numPr>
                <w:ilvl w:val="0"/>
                <w:numId w:val="38"/>
              </w:numPr>
              <w:spacing w:before="20" w:after="20"/>
              <w:ind w:left="331"/>
              <w:rPr>
                <w:rFonts w:cs="Arial"/>
                <w:sz w:val="20"/>
                <w:szCs w:val="20"/>
              </w:rPr>
            </w:pPr>
            <w:r w:rsidRPr="00D261A3">
              <w:rPr>
                <w:rFonts w:cs="Arial"/>
                <w:sz w:val="20"/>
                <w:szCs w:val="20"/>
              </w:rPr>
              <w:t>Fixed Delivery Type misspelling in Implementation tab.</w:t>
            </w:r>
          </w:p>
          <w:p w14:paraId="232F3DC9" w14:textId="264D22E4" w:rsidR="00042D9F" w:rsidRPr="006C54FE" w:rsidRDefault="006C54FE" w:rsidP="006C54FE">
            <w:pPr>
              <w:pStyle w:val="ListParagraph"/>
              <w:keepNext/>
              <w:keepLines/>
              <w:numPr>
                <w:ilvl w:val="0"/>
                <w:numId w:val="38"/>
              </w:numPr>
              <w:spacing w:before="20" w:after="20"/>
              <w:ind w:left="331"/>
              <w:rPr>
                <w:rFonts w:cs="Arial"/>
                <w:sz w:val="20"/>
                <w:szCs w:val="20"/>
              </w:rPr>
            </w:pPr>
            <w:r w:rsidRPr="006C54FE">
              <w:rPr>
                <w:rFonts w:cs="Arial"/>
                <w:sz w:val="20"/>
                <w:szCs w:val="20"/>
              </w:rPr>
              <w:t>Removed "SWCR007-01-Calc Template_Final.xlsm" (SCE Internal File)</w:t>
            </w:r>
          </w:p>
        </w:tc>
      </w:tr>
      <w:tr w:rsidR="008505A5" w:rsidRPr="00CA1CB3" w14:paraId="4744267C" w14:textId="77777777" w:rsidTr="004C51A4">
        <w:trPr>
          <w:trHeight w:val="20"/>
        </w:trPr>
        <w:tc>
          <w:tcPr>
            <w:tcW w:w="503" w:type="pct"/>
            <w:shd w:val="clear" w:color="auto" w:fill="FFFFFF" w:themeFill="background1"/>
          </w:tcPr>
          <w:p w14:paraId="510F78B7" w14:textId="0A4C4FDA" w:rsidR="008505A5" w:rsidRPr="0036264B" w:rsidRDefault="008505A5" w:rsidP="000E60FE">
            <w:pPr>
              <w:keepNext/>
              <w:keepLines/>
              <w:spacing w:before="20" w:after="20"/>
              <w:rPr>
                <w:rFonts w:cs="Arial"/>
                <w:sz w:val="20"/>
                <w:szCs w:val="20"/>
              </w:rPr>
            </w:pPr>
            <w:r>
              <w:rPr>
                <w:rFonts w:cs="Arial"/>
                <w:sz w:val="20"/>
                <w:szCs w:val="20"/>
              </w:rPr>
              <w:t>02</w:t>
            </w:r>
          </w:p>
        </w:tc>
        <w:tc>
          <w:tcPr>
            <w:tcW w:w="722" w:type="pct"/>
            <w:shd w:val="clear" w:color="auto" w:fill="FFFFFF" w:themeFill="background1"/>
          </w:tcPr>
          <w:p w14:paraId="5996EB5B" w14:textId="1804CF13" w:rsidR="008505A5" w:rsidRDefault="008505A5" w:rsidP="000E60FE">
            <w:pPr>
              <w:keepNext/>
              <w:keepLines/>
              <w:spacing w:before="20" w:after="20"/>
              <w:rPr>
                <w:rFonts w:cs="Arial"/>
                <w:sz w:val="20"/>
                <w:szCs w:val="20"/>
              </w:rPr>
            </w:pPr>
            <w:r>
              <w:rPr>
                <w:rFonts w:cs="Arial"/>
                <w:sz w:val="20"/>
                <w:szCs w:val="20"/>
              </w:rPr>
              <w:t>12/10/2020</w:t>
            </w:r>
          </w:p>
        </w:tc>
        <w:tc>
          <w:tcPr>
            <w:tcW w:w="842" w:type="pct"/>
            <w:shd w:val="clear" w:color="auto" w:fill="FFFFFF" w:themeFill="background1"/>
          </w:tcPr>
          <w:p w14:paraId="5056DDCD" w14:textId="77777777" w:rsidR="008505A5" w:rsidRDefault="000D0F7B" w:rsidP="000E60FE">
            <w:pPr>
              <w:keepNext/>
              <w:keepLines/>
              <w:spacing w:before="20" w:after="20"/>
              <w:rPr>
                <w:rFonts w:cs="Arial"/>
                <w:sz w:val="20"/>
                <w:szCs w:val="20"/>
              </w:rPr>
            </w:pPr>
            <w:r>
              <w:rPr>
                <w:rFonts w:cs="Arial"/>
                <w:sz w:val="20"/>
                <w:szCs w:val="20"/>
              </w:rPr>
              <w:t>Jenna Moon,</w:t>
            </w:r>
          </w:p>
          <w:p w14:paraId="0DCFEAF6" w14:textId="0DDD3297" w:rsidR="000D0F7B" w:rsidRDefault="000D0F7B" w:rsidP="000E60FE">
            <w:pPr>
              <w:keepNext/>
              <w:keepLines/>
              <w:spacing w:before="20" w:after="20"/>
              <w:rPr>
                <w:rFonts w:cs="Arial"/>
                <w:sz w:val="20"/>
                <w:szCs w:val="20"/>
              </w:rPr>
            </w:pPr>
            <w:r>
              <w:rPr>
                <w:rFonts w:cs="Arial"/>
                <w:sz w:val="20"/>
                <w:szCs w:val="20"/>
              </w:rPr>
              <w:t>Solaris Technical</w:t>
            </w:r>
          </w:p>
        </w:tc>
        <w:tc>
          <w:tcPr>
            <w:tcW w:w="2933" w:type="pct"/>
            <w:shd w:val="clear" w:color="auto" w:fill="FFFFFF" w:themeFill="background1"/>
          </w:tcPr>
          <w:p w14:paraId="7C759E3B" w14:textId="317C2059" w:rsidR="008505A5" w:rsidRPr="00106BA4" w:rsidRDefault="000D0F7B" w:rsidP="00106BA4">
            <w:pPr>
              <w:keepNext/>
              <w:keepLines/>
              <w:spacing w:before="20" w:after="20"/>
              <w:rPr>
                <w:rFonts w:cs="Arial"/>
                <w:sz w:val="20"/>
                <w:szCs w:val="20"/>
              </w:rPr>
            </w:pPr>
            <w:r>
              <w:rPr>
                <w:rFonts w:cs="Arial"/>
                <w:sz w:val="20"/>
                <w:szCs w:val="20"/>
              </w:rPr>
              <w:t xml:space="preserve">Updated the costs using </w:t>
            </w:r>
            <w:r w:rsidR="0065551A">
              <w:rPr>
                <w:rFonts w:cs="Arial"/>
                <w:sz w:val="20"/>
                <w:szCs w:val="20"/>
              </w:rPr>
              <w:t xml:space="preserve">2019 and </w:t>
            </w:r>
            <w:r>
              <w:rPr>
                <w:rFonts w:cs="Arial"/>
                <w:sz w:val="20"/>
                <w:szCs w:val="20"/>
              </w:rPr>
              <w:t>2020 program data</w:t>
            </w:r>
          </w:p>
        </w:tc>
      </w:tr>
    </w:tbl>
    <w:p w14:paraId="3B8AD4BD" w14:textId="674F1A1E" w:rsidR="003F7C47" w:rsidRPr="00462BB6" w:rsidRDefault="003F7C47" w:rsidP="003F7C47">
      <w:pPr>
        <w:spacing w:before="20" w:after="20" w:line="280" w:lineRule="exact"/>
        <w:rPr>
          <w:i/>
          <w:color w:val="808080" w:themeColor="background1" w:themeShade="80"/>
        </w:rPr>
      </w:pPr>
    </w:p>
    <w:sectPr w:rsidR="003F7C47" w:rsidRPr="00462BB6" w:rsidSect="005F505E">
      <w:head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4B0FD" w14:textId="77777777" w:rsidR="00DB7099" w:rsidRDefault="00DB7099" w:rsidP="00A2690C">
      <w:r>
        <w:separator/>
      </w:r>
    </w:p>
    <w:p w14:paraId="37E6A118" w14:textId="77777777" w:rsidR="00DB7099" w:rsidRDefault="00DB7099"/>
  </w:endnote>
  <w:endnote w:type="continuationSeparator" w:id="0">
    <w:p w14:paraId="266F6FDA" w14:textId="77777777" w:rsidR="00DB7099" w:rsidRDefault="00DB7099" w:rsidP="00A2690C">
      <w:r>
        <w:continuationSeparator/>
      </w:r>
    </w:p>
    <w:p w14:paraId="1C22BBDD" w14:textId="77777777" w:rsidR="00DB7099" w:rsidRDefault="00DB7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alibri"/>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008C4" w14:textId="77777777" w:rsidR="00DB7099" w:rsidRDefault="00DB7099" w:rsidP="00A2690C">
      <w:r>
        <w:separator/>
      </w:r>
    </w:p>
    <w:p w14:paraId="065D3653" w14:textId="77777777" w:rsidR="00DB7099" w:rsidRDefault="00DB7099"/>
  </w:footnote>
  <w:footnote w:type="continuationSeparator" w:id="0">
    <w:p w14:paraId="4AADF654" w14:textId="77777777" w:rsidR="00DB7099" w:rsidRDefault="00DB7099" w:rsidP="00A2690C">
      <w:r>
        <w:continuationSeparator/>
      </w:r>
    </w:p>
    <w:p w14:paraId="0ECFDC4B" w14:textId="77777777" w:rsidR="00DB7099" w:rsidRDefault="00DB7099"/>
  </w:footnote>
  <w:footnote w:id="1">
    <w:p w14:paraId="338E0E89" w14:textId="77777777" w:rsidR="00CC5962" w:rsidRDefault="00CC5962" w:rsidP="00C863C8">
      <w:r>
        <w:rPr>
          <w:rStyle w:val="FootnoteReference"/>
        </w:rPr>
        <w:footnoteRef/>
      </w:r>
      <w:r>
        <w:t xml:space="preserve"> </w:t>
      </w:r>
      <w:r w:rsidRPr="009625FC">
        <w:rPr>
          <w:rStyle w:val="eTRMFootnoteTextChar"/>
          <w:rFonts w:hint="eastAsia"/>
        </w:rPr>
        <w:t>California Energy Commission (CEC). 201</w:t>
      </w:r>
      <w:r>
        <w:rPr>
          <w:rStyle w:val="eTRMFootnoteTextChar"/>
        </w:rPr>
        <w:t>8</w:t>
      </w:r>
      <w:r w:rsidRPr="009625FC">
        <w:rPr>
          <w:rStyle w:val="eTRMFootnoteTextChar"/>
          <w:rFonts w:hint="eastAsia"/>
        </w:rPr>
        <w:t xml:space="preserve">. </w:t>
      </w:r>
      <w:r w:rsidRPr="009625FC">
        <w:rPr>
          <w:rStyle w:val="eTRMFootnoteTextChar"/>
          <w:rFonts w:hint="eastAsia"/>
          <w:i/>
        </w:rPr>
        <w:t>20</w:t>
      </w:r>
      <w:r>
        <w:rPr>
          <w:rStyle w:val="eTRMFootnoteTextChar"/>
          <w:i/>
        </w:rPr>
        <w:t>19</w:t>
      </w:r>
      <w:r w:rsidRPr="009625FC">
        <w:rPr>
          <w:rStyle w:val="eTRMFootnoteTextChar"/>
          <w:rFonts w:hint="eastAsia"/>
          <w:i/>
        </w:rPr>
        <w:t xml:space="preserve"> Building Energy Efficiency Standards for Residential and Nonresidential Buildings (Title 24). </w:t>
      </w:r>
      <w:r w:rsidRPr="00671919">
        <w:rPr>
          <w:rStyle w:val="eTRMFootnoteTextChar"/>
        </w:rPr>
        <w:t>CEC-400-2018-020-CMF-Standards</w:t>
      </w:r>
    </w:p>
    <w:p w14:paraId="6BD06BFE" w14:textId="77777777" w:rsidR="00CC5962" w:rsidRDefault="00CC5962" w:rsidP="00C863C8">
      <w:pPr>
        <w:pStyle w:val="FootnoteText"/>
      </w:pPr>
    </w:p>
  </w:footnote>
  <w:footnote w:id="2">
    <w:p w14:paraId="5DBE6EB9" w14:textId="77777777" w:rsidR="00CC5962" w:rsidRDefault="00CC5962" w:rsidP="001B6C36">
      <w:pPr>
        <w:pStyle w:val="FootnoteText"/>
        <w:rPr>
          <w:rStyle w:val="eTRMFootnoteTextChar"/>
        </w:rPr>
      </w:pPr>
      <w:r>
        <w:rPr>
          <w:rStyle w:val="FootnoteReference"/>
        </w:rPr>
        <w:footnoteRef/>
      </w:r>
      <w:r>
        <w:t xml:space="preserve"> </w:t>
      </w:r>
      <w:proofErr w:type="spellStart"/>
      <w:r w:rsidRPr="007C278F">
        <w:rPr>
          <w:rStyle w:val="eTRMFootnoteTextChar"/>
        </w:rPr>
        <w:t>Itron</w:t>
      </w:r>
      <w:proofErr w:type="spellEnd"/>
      <w:r w:rsidRPr="007C278F">
        <w:rPr>
          <w:rStyle w:val="eTRMFootnoteTextChar"/>
        </w:rPr>
        <w:t>, Inc. 2005. 2004-2005 Database for Energy Efficiency Resources (DEER) Update Study - Final Report. Prepared for Southern California Edison.</w:t>
      </w:r>
    </w:p>
    <w:p w14:paraId="6DAA8E83" w14:textId="77777777" w:rsidR="00CC5962" w:rsidRDefault="00CC5962" w:rsidP="001B6C36">
      <w:pPr>
        <w:pStyle w:val="FootnoteText"/>
      </w:pPr>
      <w:r>
        <w:rPr>
          <w:rStyle w:val="eTRMFootnoteTextChar"/>
        </w:rPr>
        <w:t>See</w:t>
      </w:r>
      <w:r w:rsidRPr="006C2A82">
        <w:rPr>
          <w:rStyle w:val="eTRMFootnoteTextChar"/>
        </w:rPr>
        <w:t xml:space="preserve"> Section 6 for details of DEER Building Prototypes generated by </w:t>
      </w:r>
      <w:r>
        <w:rPr>
          <w:rStyle w:val="eTRMFootnoteTextChar"/>
        </w:rPr>
        <w:t>DOE-2.2R. See S</w:t>
      </w:r>
      <w:r w:rsidRPr="006C2A82">
        <w:rPr>
          <w:rStyle w:val="eTRMFootnoteTextChar"/>
        </w:rPr>
        <w:t>ection 7.3 for general description for grocery refrigeration measures.</w:t>
      </w:r>
    </w:p>
  </w:footnote>
  <w:footnote w:id="3">
    <w:p w14:paraId="1E5638EF" w14:textId="0EFDC68A" w:rsidR="00CC5962" w:rsidRDefault="00CC5962">
      <w:pPr>
        <w:pStyle w:val="FootnoteText"/>
      </w:pPr>
      <w:r>
        <w:rPr>
          <w:rStyle w:val="FootnoteReference"/>
        </w:rPr>
        <w:footnoteRef/>
      </w:r>
      <w:r>
        <w:t xml:space="preserve"> </w:t>
      </w:r>
      <w:r w:rsidRPr="003001FA">
        <w:t>2020 Commercial Refrigeration Prototypes Updates</w:t>
      </w:r>
    </w:p>
  </w:footnote>
  <w:footnote w:id="4">
    <w:p w14:paraId="01D97CAD" w14:textId="4DAE40CB" w:rsidR="00CC5962" w:rsidRDefault="00CC5962" w:rsidP="001E740F">
      <w:pPr>
        <w:pStyle w:val="FootnoteText"/>
      </w:pPr>
      <w:r>
        <w:rPr>
          <w:rStyle w:val="FootnoteReference"/>
        </w:rPr>
        <w:footnoteRef/>
      </w:r>
      <w:r>
        <w:t xml:space="preserve"> </w:t>
      </w:r>
      <w:r w:rsidRPr="008C75E8">
        <w:t>SWCR007-0</w:t>
      </w:r>
      <w:r>
        <w:t>2</w:t>
      </w:r>
      <w:r w:rsidRPr="008C75E8">
        <w:t xml:space="preserve"> </w:t>
      </w:r>
      <w:proofErr w:type="spellStart"/>
      <w:r w:rsidRPr="008C75E8">
        <w:t>eQuest</w:t>
      </w:r>
      <w:proofErr w:type="spellEnd"/>
      <w:r w:rsidRPr="008C75E8">
        <w:t xml:space="preserve"> Files</w:t>
      </w:r>
      <w:r>
        <w:t>.zip</w:t>
      </w:r>
    </w:p>
  </w:footnote>
  <w:footnote w:id="5">
    <w:p w14:paraId="4C93D75C" w14:textId="30F898B1" w:rsidR="00CC5962" w:rsidRDefault="00CC5962">
      <w:pPr>
        <w:pStyle w:val="FootnoteText"/>
      </w:pPr>
      <w:r>
        <w:rPr>
          <w:rStyle w:val="FootnoteReference"/>
        </w:rPr>
        <w:footnoteRef/>
      </w:r>
      <w:r>
        <w:t xml:space="preserve"> </w:t>
      </w:r>
      <w:r w:rsidRPr="00E9090E">
        <w:t>SWCR007-0</w:t>
      </w:r>
      <w:r>
        <w:t>2</w:t>
      </w:r>
      <w:r w:rsidRPr="00E9090E">
        <w:t xml:space="preserve"> Energy impact and cost calcs</w:t>
      </w:r>
      <w:r>
        <w:t>.xlsx</w:t>
      </w:r>
    </w:p>
  </w:footnote>
  <w:footnote w:id="6">
    <w:p w14:paraId="5C568D44" w14:textId="77777777" w:rsidR="00CC5962" w:rsidRDefault="00CC5962" w:rsidP="007208B0">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7">
    <w:p w14:paraId="7F76615C" w14:textId="77777777" w:rsidR="00CC5962" w:rsidRDefault="00CC5962" w:rsidP="007208B0">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8">
    <w:p w14:paraId="7B8209B1" w14:textId="77777777" w:rsidR="00CC5962" w:rsidRDefault="00CC5962" w:rsidP="007208B0">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9">
    <w:p w14:paraId="5365B6FD" w14:textId="3F994E1A" w:rsidR="00CC5962" w:rsidRDefault="00CC5962">
      <w:pPr>
        <w:pStyle w:val="FootnoteText"/>
      </w:pPr>
      <w:r>
        <w:rPr>
          <w:rStyle w:val="FootnoteReference"/>
        </w:rPr>
        <w:footnoteRef/>
      </w:r>
      <w:r>
        <w:t xml:space="preserve"> </w:t>
      </w:r>
      <w:r w:rsidRPr="00915174">
        <w:t>2015 SCE Ex Ante Adjustments-with Solution codes and WP number</w:t>
      </w:r>
      <w:r>
        <w:t>.xlsx</w:t>
      </w:r>
    </w:p>
  </w:footnote>
  <w:footnote w:id="10">
    <w:p w14:paraId="606B7C7B" w14:textId="39C213B9" w:rsidR="00CC5962" w:rsidRDefault="00CC5962">
      <w:pPr>
        <w:pStyle w:val="FootnoteText"/>
      </w:pPr>
      <w:r>
        <w:rPr>
          <w:rStyle w:val="FootnoteReference"/>
        </w:rPr>
        <w:footnoteRef/>
      </w:r>
      <w:r>
        <w:t xml:space="preserve"> Southern California Edison (SCE). 2019. “SWCR007-02 Energy Impact and Cost Calcs.xlsx.”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EA0F2" w14:textId="04B464EF" w:rsidR="00CC5962" w:rsidRDefault="00CC5962" w:rsidP="001D7A57">
    <w:pPr>
      <w:pStyle w:val="Header"/>
    </w:pPr>
    <w:r>
      <w:rPr>
        <w:rFonts w:ascii="Calibri Light" w:hAnsi="Calibri Light"/>
      </w:rPr>
      <w:t xml:space="preserve">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Refrigeration Case Saturated Condensing Temperature Control</w:t>
    </w:r>
  </w:p>
  <w:p w14:paraId="2E210F26" w14:textId="77777777" w:rsidR="00CC5962" w:rsidRDefault="00CC5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D50C6"/>
    <w:multiLevelType w:val="hybridMultilevel"/>
    <w:tmpl w:val="04601340"/>
    <w:lvl w:ilvl="0" w:tplc="E7042D8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5707B"/>
    <w:multiLevelType w:val="multilevel"/>
    <w:tmpl w:val="11C2A5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DA06C47"/>
    <w:multiLevelType w:val="hybridMultilevel"/>
    <w:tmpl w:val="5150EF50"/>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8721E1"/>
    <w:multiLevelType w:val="hybridMultilevel"/>
    <w:tmpl w:val="CE726D6A"/>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0578B"/>
    <w:multiLevelType w:val="hybridMultilevel"/>
    <w:tmpl w:val="5FEC5B16"/>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6013A"/>
    <w:multiLevelType w:val="hybridMultilevel"/>
    <w:tmpl w:val="D3F01722"/>
    <w:lvl w:ilvl="0" w:tplc="B4CA21FC">
      <w:start w:val="1"/>
      <w:numFmt w:val="decimal"/>
      <w:pStyle w:val="eTRMBulletedText"/>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A71ED4"/>
    <w:multiLevelType w:val="hybridMultilevel"/>
    <w:tmpl w:val="0ABC0A16"/>
    <w:lvl w:ilvl="0" w:tplc="148208A6">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DC2893"/>
    <w:multiLevelType w:val="hybridMultilevel"/>
    <w:tmpl w:val="A3987B6E"/>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B57DEF"/>
    <w:multiLevelType w:val="hybridMultilevel"/>
    <w:tmpl w:val="223E20BE"/>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CC0155"/>
    <w:multiLevelType w:val="hybridMultilevel"/>
    <w:tmpl w:val="709EE90E"/>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D175AFF"/>
    <w:multiLevelType w:val="hybridMultilevel"/>
    <w:tmpl w:val="F1D8B27C"/>
    <w:lvl w:ilvl="0" w:tplc="C9CC348C">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1E7A4B"/>
    <w:multiLevelType w:val="hybridMultilevel"/>
    <w:tmpl w:val="C174FC06"/>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716531"/>
    <w:multiLevelType w:val="hybridMultilevel"/>
    <w:tmpl w:val="1FCE98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507522F"/>
    <w:multiLevelType w:val="hybridMultilevel"/>
    <w:tmpl w:val="11C2A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A67C2"/>
    <w:multiLevelType w:val="hybridMultilevel"/>
    <w:tmpl w:val="8BC0DF96"/>
    <w:lvl w:ilvl="0" w:tplc="0E869440">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47C0D"/>
    <w:multiLevelType w:val="hybridMultilevel"/>
    <w:tmpl w:val="917832B0"/>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9826DC"/>
    <w:multiLevelType w:val="hybridMultilevel"/>
    <w:tmpl w:val="E5A0C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5A0E9C"/>
    <w:multiLevelType w:val="hybridMultilevel"/>
    <w:tmpl w:val="52169B82"/>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5A7AF9"/>
    <w:multiLevelType w:val="hybridMultilevel"/>
    <w:tmpl w:val="F8905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4" w15:restartNumberingAfterBreak="0">
    <w:nsid w:val="69744B76"/>
    <w:multiLevelType w:val="hybridMultilevel"/>
    <w:tmpl w:val="67FA40EE"/>
    <w:lvl w:ilvl="0" w:tplc="E626EBA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5265AD"/>
    <w:multiLevelType w:val="hybridMultilevel"/>
    <w:tmpl w:val="DAF6A5F8"/>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A007EA"/>
    <w:multiLevelType w:val="hybridMultilevel"/>
    <w:tmpl w:val="3A66D47A"/>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A365E4"/>
    <w:multiLevelType w:val="hybridMultilevel"/>
    <w:tmpl w:val="51908390"/>
    <w:lvl w:ilvl="0" w:tplc="04090001">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0" w15:restartNumberingAfterBreak="0">
    <w:nsid w:val="724F2174"/>
    <w:multiLevelType w:val="hybridMultilevel"/>
    <w:tmpl w:val="3A66D47A"/>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7B7C4F"/>
    <w:multiLevelType w:val="hybridMultilevel"/>
    <w:tmpl w:val="773A638A"/>
    <w:lvl w:ilvl="0" w:tplc="60B2E530">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3" w15:restartNumberingAfterBreak="0">
    <w:nsid w:val="7CA401DB"/>
    <w:multiLevelType w:val="hybridMultilevel"/>
    <w:tmpl w:val="A6A8F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8A597A"/>
    <w:multiLevelType w:val="hybridMultilevel"/>
    <w:tmpl w:val="D0A4C618"/>
    <w:lvl w:ilvl="0" w:tplc="0E869440">
      <w:start w:val="1"/>
      <w:numFmt w:val="bullet"/>
      <w:lvlText w:val=""/>
      <w:lvlJc w:val="left"/>
      <w:pPr>
        <w:ind w:left="720" w:hanging="360"/>
      </w:pPr>
      <w:rPr>
        <w:rFonts w:ascii="Symbol" w:hAnsi="Symbol"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D73F2F"/>
    <w:multiLevelType w:val="hybridMultilevel"/>
    <w:tmpl w:val="716CA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2"/>
  </w:num>
  <w:num w:numId="3">
    <w:abstractNumId w:val="2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26"/>
  </w:num>
  <w:num w:numId="5">
    <w:abstractNumId w:val="7"/>
  </w:num>
  <w:num w:numId="6">
    <w:abstractNumId w:val="13"/>
  </w:num>
  <w:num w:numId="7">
    <w:abstractNumId w:val="30"/>
  </w:num>
  <w:num w:numId="8">
    <w:abstractNumId w:val="18"/>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34"/>
  </w:num>
  <w:num w:numId="13">
    <w:abstractNumId w:val="27"/>
  </w:num>
  <w:num w:numId="14">
    <w:abstractNumId w:val="9"/>
  </w:num>
  <w:num w:numId="15">
    <w:abstractNumId w:val="0"/>
  </w:num>
  <w:num w:numId="16">
    <w:abstractNumId w:val="11"/>
  </w:num>
  <w:num w:numId="17">
    <w:abstractNumId w:val="10"/>
  </w:num>
  <w:num w:numId="18">
    <w:abstractNumId w:val="6"/>
  </w:num>
  <w:num w:numId="19">
    <w:abstractNumId w:val="5"/>
  </w:num>
  <w:num w:numId="20">
    <w:abstractNumId w:val="25"/>
  </w:num>
  <w:num w:numId="21">
    <w:abstractNumId w:val="5"/>
    <w:lvlOverride w:ilvl="0">
      <w:startOverride w:val="1"/>
    </w:lvlOverride>
  </w:num>
  <w:num w:numId="22">
    <w:abstractNumId w:val="19"/>
  </w:num>
  <w:num w:numId="23">
    <w:abstractNumId w:val="28"/>
  </w:num>
  <w:num w:numId="24">
    <w:abstractNumId w:val="21"/>
  </w:num>
  <w:num w:numId="25">
    <w:abstractNumId w:val="17"/>
  </w:num>
  <w:num w:numId="26">
    <w:abstractNumId w:val="1"/>
  </w:num>
  <w:num w:numId="27">
    <w:abstractNumId w:val="24"/>
  </w:num>
  <w:num w:numId="28">
    <w:abstractNumId w:val="14"/>
  </w:num>
  <w:num w:numId="29">
    <w:abstractNumId w:val="4"/>
  </w:num>
  <w:num w:numId="30">
    <w:abstractNumId w:val="31"/>
  </w:num>
  <w:num w:numId="31">
    <w:abstractNumId w:val="2"/>
  </w:num>
  <w:num w:numId="32">
    <w:abstractNumId w:val="8"/>
  </w:num>
  <w:num w:numId="33">
    <w:abstractNumId w:val="3"/>
  </w:num>
  <w:num w:numId="34">
    <w:abstractNumId w:val="20"/>
  </w:num>
  <w:num w:numId="35">
    <w:abstractNumId w:val="22"/>
  </w:num>
  <w:num w:numId="36">
    <w:abstractNumId w:val="33"/>
  </w:num>
  <w:num w:numId="37">
    <w:abstractNumId w:val="15"/>
  </w:num>
  <w:num w:numId="38">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C2F"/>
    <w:rsid w:val="00005B06"/>
    <w:rsid w:val="000063B0"/>
    <w:rsid w:val="000071A9"/>
    <w:rsid w:val="00010670"/>
    <w:rsid w:val="000110D9"/>
    <w:rsid w:val="000111AF"/>
    <w:rsid w:val="000122FD"/>
    <w:rsid w:val="00016928"/>
    <w:rsid w:val="000220A0"/>
    <w:rsid w:val="000223E3"/>
    <w:rsid w:val="0002389A"/>
    <w:rsid w:val="00026D58"/>
    <w:rsid w:val="00026E63"/>
    <w:rsid w:val="000302DF"/>
    <w:rsid w:val="00031184"/>
    <w:rsid w:val="00031C72"/>
    <w:rsid w:val="00032C6D"/>
    <w:rsid w:val="00034242"/>
    <w:rsid w:val="000345DB"/>
    <w:rsid w:val="00034920"/>
    <w:rsid w:val="000361A2"/>
    <w:rsid w:val="00037714"/>
    <w:rsid w:val="00037A06"/>
    <w:rsid w:val="00037E70"/>
    <w:rsid w:val="00042D9F"/>
    <w:rsid w:val="00046BB0"/>
    <w:rsid w:val="00047191"/>
    <w:rsid w:val="00051DBB"/>
    <w:rsid w:val="00052731"/>
    <w:rsid w:val="00052C95"/>
    <w:rsid w:val="00052DB7"/>
    <w:rsid w:val="0005571D"/>
    <w:rsid w:val="00056983"/>
    <w:rsid w:val="00061D34"/>
    <w:rsid w:val="000672E5"/>
    <w:rsid w:val="000715CD"/>
    <w:rsid w:val="00074143"/>
    <w:rsid w:val="00074E3E"/>
    <w:rsid w:val="000767E9"/>
    <w:rsid w:val="0008108C"/>
    <w:rsid w:val="00083FDC"/>
    <w:rsid w:val="000841AA"/>
    <w:rsid w:val="00090642"/>
    <w:rsid w:val="00090BBF"/>
    <w:rsid w:val="000910B7"/>
    <w:rsid w:val="0009145A"/>
    <w:rsid w:val="00091581"/>
    <w:rsid w:val="000943D9"/>
    <w:rsid w:val="00094517"/>
    <w:rsid w:val="0009523B"/>
    <w:rsid w:val="0009557C"/>
    <w:rsid w:val="00096485"/>
    <w:rsid w:val="000978C8"/>
    <w:rsid w:val="000A4D3A"/>
    <w:rsid w:val="000A62EF"/>
    <w:rsid w:val="000A66B7"/>
    <w:rsid w:val="000A7058"/>
    <w:rsid w:val="000B277F"/>
    <w:rsid w:val="000B4F76"/>
    <w:rsid w:val="000B4F89"/>
    <w:rsid w:val="000B54BA"/>
    <w:rsid w:val="000B6004"/>
    <w:rsid w:val="000C08BE"/>
    <w:rsid w:val="000C36B4"/>
    <w:rsid w:val="000C3D65"/>
    <w:rsid w:val="000C4751"/>
    <w:rsid w:val="000C62C7"/>
    <w:rsid w:val="000C72C1"/>
    <w:rsid w:val="000C77DF"/>
    <w:rsid w:val="000D025E"/>
    <w:rsid w:val="000D0F7B"/>
    <w:rsid w:val="000E4D83"/>
    <w:rsid w:val="000E54E8"/>
    <w:rsid w:val="000E60FE"/>
    <w:rsid w:val="000F1833"/>
    <w:rsid w:val="000F2A34"/>
    <w:rsid w:val="0010025A"/>
    <w:rsid w:val="001003E3"/>
    <w:rsid w:val="00100B45"/>
    <w:rsid w:val="0010315F"/>
    <w:rsid w:val="00103399"/>
    <w:rsid w:val="00104933"/>
    <w:rsid w:val="001053F9"/>
    <w:rsid w:val="00105B8B"/>
    <w:rsid w:val="00106BA4"/>
    <w:rsid w:val="001106F5"/>
    <w:rsid w:val="00110D6F"/>
    <w:rsid w:val="00111408"/>
    <w:rsid w:val="00111A53"/>
    <w:rsid w:val="0011498C"/>
    <w:rsid w:val="0011517F"/>
    <w:rsid w:val="00115316"/>
    <w:rsid w:val="00120592"/>
    <w:rsid w:val="001217DF"/>
    <w:rsid w:val="0012187D"/>
    <w:rsid w:val="00124BFE"/>
    <w:rsid w:val="00125950"/>
    <w:rsid w:val="00126809"/>
    <w:rsid w:val="00131C5A"/>
    <w:rsid w:val="00132CCE"/>
    <w:rsid w:val="00141186"/>
    <w:rsid w:val="00141305"/>
    <w:rsid w:val="0014230D"/>
    <w:rsid w:val="00142D3C"/>
    <w:rsid w:val="00151B9F"/>
    <w:rsid w:val="00152A4C"/>
    <w:rsid w:val="00154391"/>
    <w:rsid w:val="001564FC"/>
    <w:rsid w:val="001610F3"/>
    <w:rsid w:val="00161DF1"/>
    <w:rsid w:val="001648F6"/>
    <w:rsid w:val="001652C4"/>
    <w:rsid w:val="00171BB8"/>
    <w:rsid w:val="00174707"/>
    <w:rsid w:val="00174996"/>
    <w:rsid w:val="00175532"/>
    <w:rsid w:val="00175DF9"/>
    <w:rsid w:val="00177F62"/>
    <w:rsid w:val="00180DAD"/>
    <w:rsid w:val="00181672"/>
    <w:rsid w:val="00181E01"/>
    <w:rsid w:val="001858A9"/>
    <w:rsid w:val="00185F04"/>
    <w:rsid w:val="00193A16"/>
    <w:rsid w:val="001944A0"/>
    <w:rsid w:val="0019552D"/>
    <w:rsid w:val="00195B03"/>
    <w:rsid w:val="00196433"/>
    <w:rsid w:val="00196649"/>
    <w:rsid w:val="00197047"/>
    <w:rsid w:val="00197148"/>
    <w:rsid w:val="001A14FD"/>
    <w:rsid w:val="001A4BE1"/>
    <w:rsid w:val="001A5122"/>
    <w:rsid w:val="001A7A21"/>
    <w:rsid w:val="001A7F4E"/>
    <w:rsid w:val="001B1B3B"/>
    <w:rsid w:val="001B1D23"/>
    <w:rsid w:val="001B3ACE"/>
    <w:rsid w:val="001B432D"/>
    <w:rsid w:val="001B6C36"/>
    <w:rsid w:val="001C05A3"/>
    <w:rsid w:val="001C26F2"/>
    <w:rsid w:val="001C2ACE"/>
    <w:rsid w:val="001C53C6"/>
    <w:rsid w:val="001C6C9B"/>
    <w:rsid w:val="001C7134"/>
    <w:rsid w:val="001C7805"/>
    <w:rsid w:val="001C7DB0"/>
    <w:rsid w:val="001D2BA7"/>
    <w:rsid w:val="001D3270"/>
    <w:rsid w:val="001D611B"/>
    <w:rsid w:val="001D65A6"/>
    <w:rsid w:val="001D7A57"/>
    <w:rsid w:val="001E19A3"/>
    <w:rsid w:val="001E4C3F"/>
    <w:rsid w:val="001E740F"/>
    <w:rsid w:val="001F483D"/>
    <w:rsid w:val="001F735E"/>
    <w:rsid w:val="002005A8"/>
    <w:rsid w:val="002006B6"/>
    <w:rsid w:val="00203F62"/>
    <w:rsid w:val="002048E2"/>
    <w:rsid w:val="00205BAF"/>
    <w:rsid w:val="002065FD"/>
    <w:rsid w:val="00207F85"/>
    <w:rsid w:val="00211FD9"/>
    <w:rsid w:val="0021226A"/>
    <w:rsid w:val="00214B46"/>
    <w:rsid w:val="0022081B"/>
    <w:rsid w:val="00225142"/>
    <w:rsid w:val="0022568A"/>
    <w:rsid w:val="00225DFD"/>
    <w:rsid w:val="00227BDD"/>
    <w:rsid w:val="00231764"/>
    <w:rsid w:val="002318A4"/>
    <w:rsid w:val="00232707"/>
    <w:rsid w:val="002335FF"/>
    <w:rsid w:val="00233D87"/>
    <w:rsid w:val="00235D35"/>
    <w:rsid w:val="0023666C"/>
    <w:rsid w:val="00236D51"/>
    <w:rsid w:val="00236E0A"/>
    <w:rsid w:val="00237334"/>
    <w:rsid w:val="00237964"/>
    <w:rsid w:val="002434DE"/>
    <w:rsid w:val="00243BD4"/>
    <w:rsid w:val="0024422E"/>
    <w:rsid w:val="002448DE"/>
    <w:rsid w:val="00245AFF"/>
    <w:rsid w:val="0024628D"/>
    <w:rsid w:val="0024690E"/>
    <w:rsid w:val="0025090E"/>
    <w:rsid w:val="00251ABC"/>
    <w:rsid w:val="002524CF"/>
    <w:rsid w:val="0025378F"/>
    <w:rsid w:val="00254641"/>
    <w:rsid w:val="00256400"/>
    <w:rsid w:val="002571AE"/>
    <w:rsid w:val="00261D8C"/>
    <w:rsid w:val="0026554C"/>
    <w:rsid w:val="00266A93"/>
    <w:rsid w:val="002703DC"/>
    <w:rsid w:val="00272C78"/>
    <w:rsid w:val="00274F53"/>
    <w:rsid w:val="00276F9B"/>
    <w:rsid w:val="00280085"/>
    <w:rsid w:val="00282A85"/>
    <w:rsid w:val="00284C27"/>
    <w:rsid w:val="0029555D"/>
    <w:rsid w:val="002958C7"/>
    <w:rsid w:val="0029781E"/>
    <w:rsid w:val="00297FBC"/>
    <w:rsid w:val="002A2471"/>
    <w:rsid w:val="002A2A94"/>
    <w:rsid w:val="002A44E9"/>
    <w:rsid w:val="002B050D"/>
    <w:rsid w:val="002B107C"/>
    <w:rsid w:val="002B2C97"/>
    <w:rsid w:val="002B3BF4"/>
    <w:rsid w:val="002B4E18"/>
    <w:rsid w:val="002B599E"/>
    <w:rsid w:val="002B6DED"/>
    <w:rsid w:val="002B6F2A"/>
    <w:rsid w:val="002C06FC"/>
    <w:rsid w:val="002C1117"/>
    <w:rsid w:val="002C2900"/>
    <w:rsid w:val="002C321D"/>
    <w:rsid w:val="002C4D80"/>
    <w:rsid w:val="002C67DF"/>
    <w:rsid w:val="002D0036"/>
    <w:rsid w:val="002D29F8"/>
    <w:rsid w:val="002D2CA3"/>
    <w:rsid w:val="002D40EE"/>
    <w:rsid w:val="002D4993"/>
    <w:rsid w:val="002D50E9"/>
    <w:rsid w:val="002D5CFA"/>
    <w:rsid w:val="002E08CA"/>
    <w:rsid w:val="002E1DBA"/>
    <w:rsid w:val="002F063C"/>
    <w:rsid w:val="002F14BA"/>
    <w:rsid w:val="002F4FB5"/>
    <w:rsid w:val="002F76BB"/>
    <w:rsid w:val="002F7943"/>
    <w:rsid w:val="003001FA"/>
    <w:rsid w:val="00302A82"/>
    <w:rsid w:val="0030631A"/>
    <w:rsid w:val="003103FB"/>
    <w:rsid w:val="00313E1D"/>
    <w:rsid w:val="003247FA"/>
    <w:rsid w:val="003303B7"/>
    <w:rsid w:val="003309DA"/>
    <w:rsid w:val="00333809"/>
    <w:rsid w:val="003362E4"/>
    <w:rsid w:val="00336313"/>
    <w:rsid w:val="00337D1D"/>
    <w:rsid w:val="00340474"/>
    <w:rsid w:val="00345E06"/>
    <w:rsid w:val="0035060F"/>
    <w:rsid w:val="00352864"/>
    <w:rsid w:val="003543C7"/>
    <w:rsid w:val="00356F2E"/>
    <w:rsid w:val="003616A4"/>
    <w:rsid w:val="003621CB"/>
    <w:rsid w:val="00362F9E"/>
    <w:rsid w:val="00363141"/>
    <w:rsid w:val="00363BE8"/>
    <w:rsid w:val="0036686B"/>
    <w:rsid w:val="00372F61"/>
    <w:rsid w:val="00373041"/>
    <w:rsid w:val="00375F54"/>
    <w:rsid w:val="00380318"/>
    <w:rsid w:val="00382372"/>
    <w:rsid w:val="00383CD1"/>
    <w:rsid w:val="00384225"/>
    <w:rsid w:val="00385043"/>
    <w:rsid w:val="00385069"/>
    <w:rsid w:val="00385C34"/>
    <w:rsid w:val="00391292"/>
    <w:rsid w:val="00392097"/>
    <w:rsid w:val="00392684"/>
    <w:rsid w:val="00392D88"/>
    <w:rsid w:val="00392E06"/>
    <w:rsid w:val="0039590B"/>
    <w:rsid w:val="003968E2"/>
    <w:rsid w:val="003A37AF"/>
    <w:rsid w:val="003B16AE"/>
    <w:rsid w:val="003B1F35"/>
    <w:rsid w:val="003B7610"/>
    <w:rsid w:val="003C2CC3"/>
    <w:rsid w:val="003C7721"/>
    <w:rsid w:val="003D1FB8"/>
    <w:rsid w:val="003D7104"/>
    <w:rsid w:val="003E53A4"/>
    <w:rsid w:val="003E5605"/>
    <w:rsid w:val="003E5E8A"/>
    <w:rsid w:val="003E7C21"/>
    <w:rsid w:val="003E7F60"/>
    <w:rsid w:val="003F014B"/>
    <w:rsid w:val="003F0A80"/>
    <w:rsid w:val="003F1AC4"/>
    <w:rsid w:val="003F269E"/>
    <w:rsid w:val="003F4964"/>
    <w:rsid w:val="003F65F3"/>
    <w:rsid w:val="003F7C47"/>
    <w:rsid w:val="00401C43"/>
    <w:rsid w:val="004046FF"/>
    <w:rsid w:val="00410790"/>
    <w:rsid w:val="00411EF4"/>
    <w:rsid w:val="00411F59"/>
    <w:rsid w:val="004133BB"/>
    <w:rsid w:val="00414131"/>
    <w:rsid w:val="004142EF"/>
    <w:rsid w:val="00414B72"/>
    <w:rsid w:val="00420330"/>
    <w:rsid w:val="00420958"/>
    <w:rsid w:val="00420EF1"/>
    <w:rsid w:val="00421920"/>
    <w:rsid w:val="0042436F"/>
    <w:rsid w:val="004249A0"/>
    <w:rsid w:val="00424C86"/>
    <w:rsid w:val="004300CB"/>
    <w:rsid w:val="00431841"/>
    <w:rsid w:val="00432D49"/>
    <w:rsid w:val="0043339C"/>
    <w:rsid w:val="004339EA"/>
    <w:rsid w:val="00433E8F"/>
    <w:rsid w:val="004346AA"/>
    <w:rsid w:val="00437D63"/>
    <w:rsid w:val="004419D8"/>
    <w:rsid w:val="00441F46"/>
    <w:rsid w:val="00443876"/>
    <w:rsid w:val="0044577B"/>
    <w:rsid w:val="004517F1"/>
    <w:rsid w:val="00461AE3"/>
    <w:rsid w:val="00461B68"/>
    <w:rsid w:val="004639D0"/>
    <w:rsid w:val="00464A63"/>
    <w:rsid w:val="00464D04"/>
    <w:rsid w:val="00466DD6"/>
    <w:rsid w:val="00470670"/>
    <w:rsid w:val="00471847"/>
    <w:rsid w:val="00472286"/>
    <w:rsid w:val="00473BE0"/>
    <w:rsid w:val="0047405E"/>
    <w:rsid w:val="00475A47"/>
    <w:rsid w:val="0047621C"/>
    <w:rsid w:val="004824AD"/>
    <w:rsid w:val="00483720"/>
    <w:rsid w:val="00484536"/>
    <w:rsid w:val="00486585"/>
    <w:rsid w:val="00491519"/>
    <w:rsid w:val="0049696D"/>
    <w:rsid w:val="00497289"/>
    <w:rsid w:val="00497FBA"/>
    <w:rsid w:val="004A06AE"/>
    <w:rsid w:val="004A3ED9"/>
    <w:rsid w:val="004A422D"/>
    <w:rsid w:val="004A510D"/>
    <w:rsid w:val="004B06E3"/>
    <w:rsid w:val="004B2700"/>
    <w:rsid w:val="004B35A6"/>
    <w:rsid w:val="004B35DC"/>
    <w:rsid w:val="004B5525"/>
    <w:rsid w:val="004B5888"/>
    <w:rsid w:val="004B5EE9"/>
    <w:rsid w:val="004B6F75"/>
    <w:rsid w:val="004C1205"/>
    <w:rsid w:val="004C1E01"/>
    <w:rsid w:val="004C2A36"/>
    <w:rsid w:val="004C3663"/>
    <w:rsid w:val="004C45D2"/>
    <w:rsid w:val="004C51A4"/>
    <w:rsid w:val="004C57EC"/>
    <w:rsid w:val="004C5EB7"/>
    <w:rsid w:val="004C69F2"/>
    <w:rsid w:val="004C7E53"/>
    <w:rsid w:val="004D1461"/>
    <w:rsid w:val="004D2AE6"/>
    <w:rsid w:val="004D3A71"/>
    <w:rsid w:val="004D3CE4"/>
    <w:rsid w:val="004D65FD"/>
    <w:rsid w:val="004D670C"/>
    <w:rsid w:val="004D7E51"/>
    <w:rsid w:val="004E04EE"/>
    <w:rsid w:val="004E1B37"/>
    <w:rsid w:val="004E2704"/>
    <w:rsid w:val="004E3FF8"/>
    <w:rsid w:val="004E4D01"/>
    <w:rsid w:val="004E5CE1"/>
    <w:rsid w:val="00500112"/>
    <w:rsid w:val="00500964"/>
    <w:rsid w:val="00500C66"/>
    <w:rsid w:val="00505B94"/>
    <w:rsid w:val="00505F89"/>
    <w:rsid w:val="00510BDC"/>
    <w:rsid w:val="005114FD"/>
    <w:rsid w:val="005130EC"/>
    <w:rsid w:val="005146E6"/>
    <w:rsid w:val="005155C9"/>
    <w:rsid w:val="005174A7"/>
    <w:rsid w:val="00520426"/>
    <w:rsid w:val="005211C6"/>
    <w:rsid w:val="00527346"/>
    <w:rsid w:val="00530140"/>
    <w:rsid w:val="00530457"/>
    <w:rsid w:val="00530DD1"/>
    <w:rsid w:val="00531E98"/>
    <w:rsid w:val="0053509E"/>
    <w:rsid w:val="00535A42"/>
    <w:rsid w:val="0053748E"/>
    <w:rsid w:val="00544199"/>
    <w:rsid w:val="005449C6"/>
    <w:rsid w:val="005617BD"/>
    <w:rsid w:val="00563DF5"/>
    <w:rsid w:val="00566B42"/>
    <w:rsid w:val="00566B99"/>
    <w:rsid w:val="0057165C"/>
    <w:rsid w:val="005722C6"/>
    <w:rsid w:val="005741A2"/>
    <w:rsid w:val="00576C02"/>
    <w:rsid w:val="00577924"/>
    <w:rsid w:val="00580FF8"/>
    <w:rsid w:val="00582920"/>
    <w:rsid w:val="00583BE6"/>
    <w:rsid w:val="00585C8D"/>
    <w:rsid w:val="005862CC"/>
    <w:rsid w:val="005908B6"/>
    <w:rsid w:val="005911FE"/>
    <w:rsid w:val="0059312F"/>
    <w:rsid w:val="00595758"/>
    <w:rsid w:val="00595EE9"/>
    <w:rsid w:val="00596081"/>
    <w:rsid w:val="00597AAB"/>
    <w:rsid w:val="005A090A"/>
    <w:rsid w:val="005A0C6F"/>
    <w:rsid w:val="005A3943"/>
    <w:rsid w:val="005A3E5E"/>
    <w:rsid w:val="005A51E6"/>
    <w:rsid w:val="005B529B"/>
    <w:rsid w:val="005B6777"/>
    <w:rsid w:val="005B7418"/>
    <w:rsid w:val="005C03A9"/>
    <w:rsid w:val="005C175B"/>
    <w:rsid w:val="005C2BFC"/>
    <w:rsid w:val="005C324B"/>
    <w:rsid w:val="005C3E09"/>
    <w:rsid w:val="005C43E2"/>
    <w:rsid w:val="005C454A"/>
    <w:rsid w:val="005C74C9"/>
    <w:rsid w:val="005D0578"/>
    <w:rsid w:val="005D1B14"/>
    <w:rsid w:val="005D257B"/>
    <w:rsid w:val="005D7DE5"/>
    <w:rsid w:val="005D7FB9"/>
    <w:rsid w:val="005E1D5C"/>
    <w:rsid w:val="005E25DC"/>
    <w:rsid w:val="005E52AE"/>
    <w:rsid w:val="005E5607"/>
    <w:rsid w:val="005E567C"/>
    <w:rsid w:val="005E77F3"/>
    <w:rsid w:val="005F505E"/>
    <w:rsid w:val="005F6E16"/>
    <w:rsid w:val="005F784E"/>
    <w:rsid w:val="00600AB3"/>
    <w:rsid w:val="00602976"/>
    <w:rsid w:val="0060388D"/>
    <w:rsid w:val="00604231"/>
    <w:rsid w:val="00604C68"/>
    <w:rsid w:val="00604C7F"/>
    <w:rsid w:val="00606316"/>
    <w:rsid w:val="00610C2F"/>
    <w:rsid w:val="0061368C"/>
    <w:rsid w:val="00613C15"/>
    <w:rsid w:val="00620FD2"/>
    <w:rsid w:val="00624921"/>
    <w:rsid w:val="00625805"/>
    <w:rsid w:val="006275A4"/>
    <w:rsid w:val="00627AC4"/>
    <w:rsid w:val="00627F93"/>
    <w:rsid w:val="00630A1A"/>
    <w:rsid w:val="0063253B"/>
    <w:rsid w:val="00632788"/>
    <w:rsid w:val="006363C8"/>
    <w:rsid w:val="00636D85"/>
    <w:rsid w:val="006376CE"/>
    <w:rsid w:val="00637AB8"/>
    <w:rsid w:val="00642BC4"/>
    <w:rsid w:val="0064370D"/>
    <w:rsid w:val="00643771"/>
    <w:rsid w:val="00644946"/>
    <w:rsid w:val="006464CE"/>
    <w:rsid w:val="00646AB8"/>
    <w:rsid w:val="00647BD9"/>
    <w:rsid w:val="00654742"/>
    <w:rsid w:val="00654A3E"/>
    <w:rsid w:val="0065551A"/>
    <w:rsid w:val="00656E33"/>
    <w:rsid w:val="006610EF"/>
    <w:rsid w:val="006624A7"/>
    <w:rsid w:val="0066515F"/>
    <w:rsid w:val="006668AF"/>
    <w:rsid w:val="00672CB7"/>
    <w:rsid w:val="00672FF1"/>
    <w:rsid w:val="00686439"/>
    <w:rsid w:val="00691348"/>
    <w:rsid w:val="006A0554"/>
    <w:rsid w:val="006A4768"/>
    <w:rsid w:val="006A6051"/>
    <w:rsid w:val="006A6217"/>
    <w:rsid w:val="006B31D9"/>
    <w:rsid w:val="006B3E29"/>
    <w:rsid w:val="006B49A3"/>
    <w:rsid w:val="006B7411"/>
    <w:rsid w:val="006C0102"/>
    <w:rsid w:val="006C069A"/>
    <w:rsid w:val="006C07D4"/>
    <w:rsid w:val="006C331D"/>
    <w:rsid w:val="006C35E8"/>
    <w:rsid w:val="006C41AD"/>
    <w:rsid w:val="006C54FE"/>
    <w:rsid w:val="006C6362"/>
    <w:rsid w:val="006C723B"/>
    <w:rsid w:val="006D04BD"/>
    <w:rsid w:val="006D0DB8"/>
    <w:rsid w:val="006D25EF"/>
    <w:rsid w:val="006D2629"/>
    <w:rsid w:val="006D4AE0"/>
    <w:rsid w:val="006D4EA3"/>
    <w:rsid w:val="006D6BA0"/>
    <w:rsid w:val="006D7180"/>
    <w:rsid w:val="006E2D7D"/>
    <w:rsid w:val="006E433B"/>
    <w:rsid w:val="006E46EC"/>
    <w:rsid w:val="006E5A76"/>
    <w:rsid w:val="006E7899"/>
    <w:rsid w:val="006E7C78"/>
    <w:rsid w:val="006E7D64"/>
    <w:rsid w:val="006F27F4"/>
    <w:rsid w:val="006F2E23"/>
    <w:rsid w:val="006F7024"/>
    <w:rsid w:val="006F7D53"/>
    <w:rsid w:val="006F7D5F"/>
    <w:rsid w:val="00702F14"/>
    <w:rsid w:val="00703A7C"/>
    <w:rsid w:val="007076DA"/>
    <w:rsid w:val="00707860"/>
    <w:rsid w:val="00715796"/>
    <w:rsid w:val="007207BF"/>
    <w:rsid w:val="007208B0"/>
    <w:rsid w:val="00725CB0"/>
    <w:rsid w:val="00732D3C"/>
    <w:rsid w:val="0073685C"/>
    <w:rsid w:val="00737EA5"/>
    <w:rsid w:val="007400AE"/>
    <w:rsid w:val="00741D02"/>
    <w:rsid w:val="00741F3E"/>
    <w:rsid w:val="00743AA8"/>
    <w:rsid w:val="00750840"/>
    <w:rsid w:val="00754231"/>
    <w:rsid w:val="00756E64"/>
    <w:rsid w:val="00757617"/>
    <w:rsid w:val="0076020C"/>
    <w:rsid w:val="00762B41"/>
    <w:rsid w:val="00762E1F"/>
    <w:rsid w:val="00763AD8"/>
    <w:rsid w:val="00765016"/>
    <w:rsid w:val="0077100C"/>
    <w:rsid w:val="00776C39"/>
    <w:rsid w:val="00781D00"/>
    <w:rsid w:val="007832A9"/>
    <w:rsid w:val="007900F3"/>
    <w:rsid w:val="00791B69"/>
    <w:rsid w:val="0079498E"/>
    <w:rsid w:val="00796F10"/>
    <w:rsid w:val="007A0645"/>
    <w:rsid w:val="007A3818"/>
    <w:rsid w:val="007A6AB5"/>
    <w:rsid w:val="007B0B90"/>
    <w:rsid w:val="007B2B46"/>
    <w:rsid w:val="007B30F2"/>
    <w:rsid w:val="007B377F"/>
    <w:rsid w:val="007B4274"/>
    <w:rsid w:val="007B4C0F"/>
    <w:rsid w:val="007B5117"/>
    <w:rsid w:val="007B599D"/>
    <w:rsid w:val="007B6A74"/>
    <w:rsid w:val="007B7175"/>
    <w:rsid w:val="007B7560"/>
    <w:rsid w:val="007B7A0C"/>
    <w:rsid w:val="007C183A"/>
    <w:rsid w:val="007C2147"/>
    <w:rsid w:val="007C278F"/>
    <w:rsid w:val="007C2DC8"/>
    <w:rsid w:val="007C4B21"/>
    <w:rsid w:val="007C4E6D"/>
    <w:rsid w:val="007C605E"/>
    <w:rsid w:val="007D097E"/>
    <w:rsid w:val="007D230B"/>
    <w:rsid w:val="007D276C"/>
    <w:rsid w:val="007D2D80"/>
    <w:rsid w:val="007D3681"/>
    <w:rsid w:val="007D3824"/>
    <w:rsid w:val="007D49A1"/>
    <w:rsid w:val="007D59DD"/>
    <w:rsid w:val="007E07D4"/>
    <w:rsid w:val="007E0938"/>
    <w:rsid w:val="007E10B0"/>
    <w:rsid w:val="007E1F66"/>
    <w:rsid w:val="007E23B8"/>
    <w:rsid w:val="007E4C10"/>
    <w:rsid w:val="007E6254"/>
    <w:rsid w:val="007E6501"/>
    <w:rsid w:val="007E6C25"/>
    <w:rsid w:val="007E6F7F"/>
    <w:rsid w:val="007F0C98"/>
    <w:rsid w:val="007F0FCE"/>
    <w:rsid w:val="007F1577"/>
    <w:rsid w:val="007F32D7"/>
    <w:rsid w:val="007F4A1A"/>
    <w:rsid w:val="00801632"/>
    <w:rsid w:val="00802C41"/>
    <w:rsid w:val="0080520B"/>
    <w:rsid w:val="00807B3E"/>
    <w:rsid w:val="00810D4A"/>
    <w:rsid w:val="008124C5"/>
    <w:rsid w:val="00812F82"/>
    <w:rsid w:val="008146FD"/>
    <w:rsid w:val="00816AAB"/>
    <w:rsid w:val="00820402"/>
    <w:rsid w:val="008243B2"/>
    <w:rsid w:val="00824F08"/>
    <w:rsid w:val="00825B56"/>
    <w:rsid w:val="008310DF"/>
    <w:rsid w:val="00831105"/>
    <w:rsid w:val="00832220"/>
    <w:rsid w:val="00833AD2"/>
    <w:rsid w:val="00835487"/>
    <w:rsid w:val="00837905"/>
    <w:rsid w:val="00837FAA"/>
    <w:rsid w:val="00840101"/>
    <w:rsid w:val="00842613"/>
    <w:rsid w:val="0084347E"/>
    <w:rsid w:val="00844A4B"/>
    <w:rsid w:val="00844E31"/>
    <w:rsid w:val="008453C9"/>
    <w:rsid w:val="0084599E"/>
    <w:rsid w:val="00846030"/>
    <w:rsid w:val="0085014F"/>
    <w:rsid w:val="008505A5"/>
    <w:rsid w:val="00854676"/>
    <w:rsid w:val="00860429"/>
    <w:rsid w:val="00865159"/>
    <w:rsid w:val="00865296"/>
    <w:rsid w:val="00867086"/>
    <w:rsid w:val="00870F9D"/>
    <w:rsid w:val="00872178"/>
    <w:rsid w:val="00874663"/>
    <w:rsid w:val="00875BB9"/>
    <w:rsid w:val="0087655D"/>
    <w:rsid w:val="00881B95"/>
    <w:rsid w:val="008831CA"/>
    <w:rsid w:val="0089272A"/>
    <w:rsid w:val="00893369"/>
    <w:rsid w:val="00893400"/>
    <w:rsid w:val="00894890"/>
    <w:rsid w:val="00896E05"/>
    <w:rsid w:val="00897247"/>
    <w:rsid w:val="00897E40"/>
    <w:rsid w:val="008A2B09"/>
    <w:rsid w:val="008A3FAA"/>
    <w:rsid w:val="008A6F6D"/>
    <w:rsid w:val="008A7B46"/>
    <w:rsid w:val="008B08F0"/>
    <w:rsid w:val="008B262C"/>
    <w:rsid w:val="008B28FB"/>
    <w:rsid w:val="008B6D59"/>
    <w:rsid w:val="008B6FC8"/>
    <w:rsid w:val="008B7467"/>
    <w:rsid w:val="008C19E9"/>
    <w:rsid w:val="008C26E9"/>
    <w:rsid w:val="008C75E8"/>
    <w:rsid w:val="008C774E"/>
    <w:rsid w:val="008D50DE"/>
    <w:rsid w:val="008D6A0F"/>
    <w:rsid w:val="008D6D9D"/>
    <w:rsid w:val="008E19A9"/>
    <w:rsid w:val="008E5A2E"/>
    <w:rsid w:val="008E7F20"/>
    <w:rsid w:val="008F03CB"/>
    <w:rsid w:val="008F1691"/>
    <w:rsid w:val="008F22E2"/>
    <w:rsid w:val="008F5698"/>
    <w:rsid w:val="008F639E"/>
    <w:rsid w:val="008F6688"/>
    <w:rsid w:val="00901EF2"/>
    <w:rsid w:val="00902377"/>
    <w:rsid w:val="00903EB6"/>
    <w:rsid w:val="009079D0"/>
    <w:rsid w:val="00910CEF"/>
    <w:rsid w:val="009137E9"/>
    <w:rsid w:val="00913D0A"/>
    <w:rsid w:val="009148A1"/>
    <w:rsid w:val="00915174"/>
    <w:rsid w:val="00920F18"/>
    <w:rsid w:val="00921125"/>
    <w:rsid w:val="00924972"/>
    <w:rsid w:val="00932E1E"/>
    <w:rsid w:val="00934068"/>
    <w:rsid w:val="00936B5C"/>
    <w:rsid w:val="00937854"/>
    <w:rsid w:val="009469E0"/>
    <w:rsid w:val="00947FF4"/>
    <w:rsid w:val="00950302"/>
    <w:rsid w:val="00951C4D"/>
    <w:rsid w:val="00952E03"/>
    <w:rsid w:val="009547E2"/>
    <w:rsid w:val="00956360"/>
    <w:rsid w:val="00956488"/>
    <w:rsid w:val="00956F5F"/>
    <w:rsid w:val="009610DC"/>
    <w:rsid w:val="0097154F"/>
    <w:rsid w:val="00973B4A"/>
    <w:rsid w:val="00983E25"/>
    <w:rsid w:val="00985996"/>
    <w:rsid w:val="00986978"/>
    <w:rsid w:val="00987BE3"/>
    <w:rsid w:val="00990552"/>
    <w:rsid w:val="009920B8"/>
    <w:rsid w:val="00992D60"/>
    <w:rsid w:val="00992FA8"/>
    <w:rsid w:val="00994D92"/>
    <w:rsid w:val="00994F74"/>
    <w:rsid w:val="0099563A"/>
    <w:rsid w:val="009A13F4"/>
    <w:rsid w:val="009A44BE"/>
    <w:rsid w:val="009A50FC"/>
    <w:rsid w:val="009B029F"/>
    <w:rsid w:val="009B06A0"/>
    <w:rsid w:val="009B27F8"/>
    <w:rsid w:val="009B4A8B"/>
    <w:rsid w:val="009B74FB"/>
    <w:rsid w:val="009C0660"/>
    <w:rsid w:val="009C0C39"/>
    <w:rsid w:val="009C287C"/>
    <w:rsid w:val="009C4845"/>
    <w:rsid w:val="009C563C"/>
    <w:rsid w:val="009C7314"/>
    <w:rsid w:val="009C7A73"/>
    <w:rsid w:val="009D0764"/>
    <w:rsid w:val="009D3F27"/>
    <w:rsid w:val="009D5D9F"/>
    <w:rsid w:val="009E0FA2"/>
    <w:rsid w:val="009E1CC8"/>
    <w:rsid w:val="009E1D3E"/>
    <w:rsid w:val="009E2244"/>
    <w:rsid w:val="009F41F9"/>
    <w:rsid w:val="009F57FD"/>
    <w:rsid w:val="009F7F9F"/>
    <w:rsid w:val="00A01E02"/>
    <w:rsid w:val="00A02E26"/>
    <w:rsid w:val="00A05BA0"/>
    <w:rsid w:val="00A07DD4"/>
    <w:rsid w:val="00A11052"/>
    <w:rsid w:val="00A13867"/>
    <w:rsid w:val="00A13D02"/>
    <w:rsid w:val="00A13EE6"/>
    <w:rsid w:val="00A159C9"/>
    <w:rsid w:val="00A167FB"/>
    <w:rsid w:val="00A1769E"/>
    <w:rsid w:val="00A21963"/>
    <w:rsid w:val="00A21A16"/>
    <w:rsid w:val="00A21B70"/>
    <w:rsid w:val="00A21D02"/>
    <w:rsid w:val="00A21DDB"/>
    <w:rsid w:val="00A23CF6"/>
    <w:rsid w:val="00A2690C"/>
    <w:rsid w:val="00A2792F"/>
    <w:rsid w:val="00A27DF1"/>
    <w:rsid w:val="00A30970"/>
    <w:rsid w:val="00A315E4"/>
    <w:rsid w:val="00A31D96"/>
    <w:rsid w:val="00A31FEE"/>
    <w:rsid w:val="00A33C55"/>
    <w:rsid w:val="00A413E6"/>
    <w:rsid w:val="00A42875"/>
    <w:rsid w:val="00A42FD7"/>
    <w:rsid w:val="00A44DC1"/>
    <w:rsid w:val="00A468F4"/>
    <w:rsid w:val="00A47A98"/>
    <w:rsid w:val="00A47EE7"/>
    <w:rsid w:val="00A505FA"/>
    <w:rsid w:val="00A50B43"/>
    <w:rsid w:val="00A51C87"/>
    <w:rsid w:val="00A52832"/>
    <w:rsid w:val="00A54197"/>
    <w:rsid w:val="00A60DAE"/>
    <w:rsid w:val="00A6114E"/>
    <w:rsid w:val="00A61821"/>
    <w:rsid w:val="00A65235"/>
    <w:rsid w:val="00A67CA5"/>
    <w:rsid w:val="00A71B73"/>
    <w:rsid w:val="00A723D9"/>
    <w:rsid w:val="00A75CCD"/>
    <w:rsid w:val="00A772CD"/>
    <w:rsid w:val="00A776F4"/>
    <w:rsid w:val="00A8013A"/>
    <w:rsid w:val="00A80506"/>
    <w:rsid w:val="00A806AE"/>
    <w:rsid w:val="00A8118F"/>
    <w:rsid w:val="00A823A7"/>
    <w:rsid w:val="00A83458"/>
    <w:rsid w:val="00A83D51"/>
    <w:rsid w:val="00A83EB6"/>
    <w:rsid w:val="00A86C41"/>
    <w:rsid w:val="00A90148"/>
    <w:rsid w:val="00A91C67"/>
    <w:rsid w:val="00A956C4"/>
    <w:rsid w:val="00A96C6A"/>
    <w:rsid w:val="00AA0D8C"/>
    <w:rsid w:val="00AA25BC"/>
    <w:rsid w:val="00AA26DC"/>
    <w:rsid w:val="00AA3077"/>
    <w:rsid w:val="00AA46AF"/>
    <w:rsid w:val="00AB3FFC"/>
    <w:rsid w:val="00AB4E9E"/>
    <w:rsid w:val="00AB6C99"/>
    <w:rsid w:val="00AC11D5"/>
    <w:rsid w:val="00AC15E5"/>
    <w:rsid w:val="00AC22BB"/>
    <w:rsid w:val="00AC3966"/>
    <w:rsid w:val="00AC4080"/>
    <w:rsid w:val="00AC5A6D"/>
    <w:rsid w:val="00AC5D73"/>
    <w:rsid w:val="00AC73AD"/>
    <w:rsid w:val="00AD229E"/>
    <w:rsid w:val="00AD2CE9"/>
    <w:rsid w:val="00AD705A"/>
    <w:rsid w:val="00AD78F9"/>
    <w:rsid w:val="00AE008D"/>
    <w:rsid w:val="00AE30E0"/>
    <w:rsid w:val="00AE346F"/>
    <w:rsid w:val="00AE59EB"/>
    <w:rsid w:val="00AF0D48"/>
    <w:rsid w:val="00AF2329"/>
    <w:rsid w:val="00AF3660"/>
    <w:rsid w:val="00AF38B8"/>
    <w:rsid w:val="00AF4792"/>
    <w:rsid w:val="00AF7A20"/>
    <w:rsid w:val="00B01312"/>
    <w:rsid w:val="00B02D98"/>
    <w:rsid w:val="00B0500C"/>
    <w:rsid w:val="00B050B8"/>
    <w:rsid w:val="00B05639"/>
    <w:rsid w:val="00B13A08"/>
    <w:rsid w:val="00B1527C"/>
    <w:rsid w:val="00B15D2F"/>
    <w:rsid w:val="00B16399"/>
    <w:rsid w:val="00B1760F"/>
    <w:rsid w:val="00B179CD"/>
    <w:rsid w:val="00B21BF6"/>
    <w:rsid w:val="00B21F8F"/>
    <w:rsid w:val="00B2200E"/>
    <w:rsid w:val="00B22EFF"/>
    <w:rsid w:val="00B2331E"/>
    <w:rsid w:val="00B2586D"/>
    <w:rsid w:val="00B25AE4"/>
    <w:rsid w:val="00B26909"/>
    <w:rsid w:val="00B27664"/>
    <w:rsid w:val="00B31169"/>
    <w:rsid w:val="00B31828"/>
    <w:rsid w:val="00B32647"/>
    <w:rsid w:val="00B327AE"/>
    <w:rsid w:val="00B35E97"/>
    <w:rsid w:val="00B42BEE"/>
    <w:rsid w:val="00B452B7"/>
    <w:rsid w:val="00B458E3"/>
    <w:rsid w:val="00B47D31"/>
    <w:rsid w:val="00B518FF"/>
    <w:rsid w:val="00B54F17"/>
    <w:rsid w:val="00B57D47"/>
    <w:rsid w:val="00B6210E"/>
    <w:rsid w:val="00B632E3"/>
    <w:rsid w:val="00B63D94"/>
    <w:rsid w:val="00B64DC8"/>
    <w:rsid w:val="00B67DE5"/>
    <w:rsid w:val="00B70688"/>
    <w:rsid w:val="00B77091"/>
    <w:rsid w:val="00B837C1"/>
    <w:rsid w:val="00B83DC1"/>
    <w:rsid w:val="00B841E0"/>
    <w:rsid w:val="00B8456C"/>
    <w:rsid w:val="00B860BA"/>
    <w:rsid w:val="00B865F5"/>
    <w:rsid w:val="00B86945"/>
    <w:rsid w:val="00B870A0"/>
    <w:rsid w:val="00B87CAB"/>
    <w:rsid w:val="00B900FE"/>
    <w:rsid w:val="00B91DFE"/>
    <w:rsid w:val="00B94A0B"/>
    <w:rsid w:val="00B966E9"/>
    <w:rsid w:val="00B96BC7"/>
    <w:rsid w:val="00B97229"/>
    <w:rsid w:val="00BA08A3"/>
    <w:rsid w:val="00BA5AB3"/>
    <w:rsid w:val="00BA5DA1"/>
    <w:rsid w:val="00BB0EED"/>
    <w:rsid w:val="00BB227E"/>
    <w:rsid w:val="00BB37B1"/>
    <w:rsid w:val="00BB62C8"/>
    <w:rsid w:val="00BB7AC9"/>
    <w:rsid w:val="00BB7E3D"/>
    <w:rsid w:val="00BC3CD1"/>
    <w:rsid w:val="00BC3DF0"/>
    <w:rsid w:val="00BC5EC6"/>
    <w:rsid w:val="00BC5F0E"/>
    <w:rsid w:val="00BD2211"/>
    <w:rsid w:val="00BD221D"/>
    <w:rsid w:val="00BD3E65"/>
    <w:rsid w:val="00BD5934"/>
    <w:rsid w:val="00BD7785"/>
    <w:rsid w:val="00BE3B2E"/>
    <w:rsid w:val="00BF1CBD"/>
    <w:rsid w:val="00BF483F"/>
    <w:rsid w:val="00BF52C4"/>
    <w:rsid w:val="00BF5FB2"/>
    <w:rsid w:val="00BF778A"/>
    <w:rsid w:val="00C006BE"/>
    <w:rsid w:val="00C04E14"/>
    <w:rsid w:val="00C05B8E"/>
    <w:rsid w:val="00C05F85"/>
    <w:rsid w:val="00C07727"/>
    <w:rsid w:val="00C07A72"/>
    <w:rsid w:val="00C1063D"/>
    <w:rsid w:val="00C14554"/>
    <w:rsid w:val="00C147EE"/>
    <w:rsid w:val="00C15E0E"/>
    <w:rsid w:val="00C15EAB"/>
    <w:rsid w:val="00C23FB5"/>
    <w:rsid w:val="00C24A1A"/>
    <w:rsid w:val="00C331BB"/>
    <w:rsid w:val="00C40246"/>
    <w:rsid w:val="00C41A08"/>
    <w:rsid w:val="00C422B9"/>
    <w:rsid w:val="00C4241E"/>
    <w:rsid w:val="00C4484D"/>
    <w:rsid w:val="00C46A84"/>
    <w:rsid w:val="00C47EB8"/>
    <w:rsid w:val="00C50EFE"/>
    <w:rsid w:val="00C55486"/>
    <w:rsid w:val="00C60D03"/>
    <w:rsid w:val="00C613A2"/>
    <w:rsid w:val="00C615A3"/>
    <w:rsid w:val="00C62D94"/>
    <w:rsid w:val="00C635DA"/>
    <w:rsid w:val="00C639E7"/>
    <w:rsid w:val="00C659BE"/>
    <w:rsid w:val="00C65E71"/>
    <w:rsid w:val="00C67477"/>
    <w:rsid w:val="00C7005B"/>
    <w:rsid w:val="00C720C5"/>
    <w:rsid w:val="00C731EA"/>
    <w:rsid w:val="00C74FA3"/>
    <w:rsid w:val="00C76D21"/>
    <w:rsid w:val="00C80300"/>
    <w:rsid w:val="00C82307"/>
    <w:rsid w:val="00C8613B"/>
    <w:rsid w:val="00C863C8"/>
    <w:rsid w:val="00C92622"/>
    <w:rsid w:val="00C92DBD"/>
    <w:rsid w:val="00C97228"/>
    <w:rsid w:val="00C9780D"/>
    <w:rsid w:val="00CA02DA"/>
    <w:rsid w:val="00CA1A54"/>
    <w:rsid w:val="00CA64A0"/>
    <w:rsid w:val="00CB4525"/>
    <w:rsid w:val="00CB4701"/>
    <w:rsid w:val="00CB4905"/>
    <w:rsid w:val="00CB6DC7"/>
    <w:rsid w:val="00CC46B2"/>
    <w:rsid w:val="00CC5718"/>
    <w:rsid w:val="00CC5962"/>
    <w:rsid w:val="00CC6258"/>
    <w:rsid w:val="00CD1352"/>
    <w:rsid w:val="00CD1CBE"/>
    <w:rsid w:val="00CD1E3E"/>
    <w:rsid w:val="00CD2EEE"/>
    <w:rsid w:val="00CD32E2"/>
    <w:rsid w:val="00CD4124"/>
    <w:rsid w:val="00CD4B0B"/>
    <w:rsid w:val="00CD6390"/>
    <w:rsid w:val="00CD6698"/>
    <w:rsid w:val="00CE1E5B"/>
    <w:rsid w:val="00CE2D96"/>
    <w:rsid w:val="00CE3DD5"/>
    <w:rsid w:val="00CE4F9C"/>
    <w:rsid w:val="00CF10AF"/>
    <w:rsid w:val="00CF1D92"/>
    <w:rsid w:val="00CF5D91"/>
    <w:rsid w:val="00CF6384"/>
    <w:rsid w:val="00CF68DD"/>
    <w:rsid w:val="00CF756F"/>
    <w:rsid w:val="00D0025C"/>
    <w:rsid w:val="00D12172"/>
    <w:rsid w:val="00D12B8C"/>
    <w:rsid w:val="00D1390A"/>
    <w:rsid w:val="00D17900"/>
    <w:rsid w:val="00D200F6"/>
    <w:rsid w:val="00D21646"/>
    <w:rsid w:val="00D22652"/>
    <w:rsid w:val="00D261A3"/>
    <w:rsid w:val="00D27320"/>
    <w:rsid w:val="00D424EF"/>
    <w:rsid w:val="00D454F2"/>
    <w:rsid w:val="00D47CE9"/>
    <w:rsid w:val="00D503C0"/>
    <w:rsid w:val="00D52995"/>
    <w:rsid w:val="00D60463"/>
    <w:rsid w:val="00D6103E"/>
    <w:rsid w:val="00D64EDD"/>
    <w:rsid w:val="00D679DA"/>
    <w:rsid w:val="00D719D7"/>
    <w:rsid w:val="00D72ADE"/>
    <w:rsid w:val="00D74234"/>
    <w:rsid w:val="00D75233"/>
    <w:rsid w:val="00D7728F"/>
    <w:rsid w:val="00D77696"/>
    <w:rsid w:val="00D81CC4"/>
    <w:rsid w:val="00D81E78"/>
    <w:rsid w:val="00D873BC"/>
    <w:rsid w:val="00D90EC6"/>
    <w:rsid w:val="00D94222"/>
    <w:rsid w:val="00D9765E"/>
    <w:rsid w:val="00DA071A"/>
    <w:rsid w:val="00DA0DD3"/>
    <w:rsid w:val="00DA100A"/>
    <w:rsid w:val="00DA4591"/>
    <w:rsid w:val="00DA6430"/>
    <w:rsid w:val="00DA716B"/>
    <w:rsid w:val="00DA7A80"/>
    <w:rsid w:val="00DB63DB"/>
    <w:rsid w:val="00DB7099"/>
    <w:rsid w:val="00DB7824"/>
    <w:rsid w:val="00DC0BDD"/>
    <w:rsid w:val="00DC308E"/>
    <w:rsid w:val="00DC57F2"/>
    <w:rsid w:val="00DC6575"/>
    <w:rsid w:val="00DC76C8"/>
    <w:rsid w:val="00DC7F73"/>
    <w:rsid w:val="00DD194E"/>
    <w:rsid w:val="00DD1F8C"/>
    <w:rsid w:val="00DD3FA1"/>
    <w:rsid w:val="00DD4004"/>
    <w:rsid w:val="00DD50B5"/>
    <w:rsid w:val="00DD7D75"/>
    <w:rsid w:val="00DD7F25"/>
    <w:rsid w:val="00DE191A"/>
    <w:rsid w:val="00DE3123"/>
    <w:rsid w:val="00DE339F"/>
    <w:rsid w:val="00DE5223"/>
    <w:rsid w:val="00DE69BA"/>
    <w:rsid w:val="00DF1535"/>
    <w:rsid w:val="00DF1B80"/>
    <w:rsid w:val="00DF34AC"/>
    <w:rsid w:val="00DF53F5"/>
    <w:rsid w:val="00DF61FD"/>
    <w:rsid w:val="00DF67D6"/>
    <w:rsid w:val="00DF6D25"/>
    <w:rsid w:val="00E03270"/>
    <w:rsid w:val="00E038AE"/>
    <w:rsid w:val="00E03C6D"/>
    <w:rsid w:val="00E06537"/>
    <w:rsid w:val="00E11EE3"/>
    <w:rsid w:val="00E135F9"/>
    <w:rsid w:val="00E1405F"/>
    <w:rsid w:val="00E14349"/>
    <w:rsid w:val="00E16D80"/>
    <w:rsid w:val="00E20C28"/>
    <w:rsid w:val="00E21D43"/>
    <w:rsid w:val="00E226AD"/>
    <w:rsid w:val="00E228B2"/>
    <w:rsid w:val="00E228E3"/>
    <w:rsid w:val="00E22A77"/>
    <w:rsid w:val="00E22E84"/>
    <w:rsid w:val="00E24B18"/>
    <w:rsid w:val="00E254E3"/>
    <w:rsid w:val="00E2595E"/>
    <w:rsid w:val="00E27FE1"/>
    <w:rsid w:val="00E3016C"/>
    <w:rsid w:val="00E30B89"/>
    <w:rsid w:val="00E334F2"/>
    <w:rsid w:val="00E348BC"/>
    <w:rsid w:val="00E35542"/>
    <w:rsid w:val="00E35D8F"/>
    <w:rsid w:val="00E4057D"/>
    <w:rsid w:val="00E427C7"/>
    <w:rsid w:val="00E42BDE"/>
    <w:rsid w:val="00E4318F"/>
    <w:rsid w:val="00E4392E"/>
    <w:rsid w:val="00E54395"/>
    <w:rsid w:val="00E54741"/>
    <w:rsid w:val="00E568E5"/>
    <w:rsid w:val="00E56CEC"/>
    <w:rsid w:val="00E577B5"/>
    <w:rsid w:val="00E61C76"/>
    <w:rsid w:val="00E6361D"/>
    <w:rsid w:val="00E6453F"/>
    <w:rsid w:val="00E659EF"/>
    <w:rsid w:val="00E67133"/>
    <w:rsid w:val="00E67BEE"/>
    <w:rsid w:val="00E7006D"/>
    <w:rsid w:val="00E70CBD"/>
    <w:rsid w:val="00E717E8"/>
    <w:rsid w:val="00E7381F"/>
    <w:rsid w:val="00E73D81"/>
    <w:rsid w:val="00E754F4"/>
    <w:rsid w:val="00E75F4F"/>
    <w:rsid w:val="00E77A86"/>
    <w:rsid w:val="00E811A1"/>
    <w:rsid w:val="00E9090E"/>
    <w:rsid w:val="00E914CD"/>
    <w:rsid w:val="00EA2D3D"/>
    <w:rsid w:val="00EA5845"/>
    <w:rsid w:val="00EA5B84"/>
    <w:rsid w:val="00EA67F7"/>
    <w:rsid w:val="00EB0303"/>
    <w:rsid w:val="00EB0DD2"/>
    <w:rsid w:val="00EB20F9"/>
    <w:rsid w:val="00EB24EB"/>
    <w:rsid w:val="00EB2851"/>
    <w:rsid w:val="00EB3855"/>
    <w:rsid w:val="00EB46F7"/>
    <w:rsid w:val="00EB4999"/>
    <w:rsid w:val="00EB65EC"/>
    <w:rsid w:val="00EB7FE1"/>
    <w:rsid w:val="00EC20B1"/>
    <w:rsid w:val="00EC6BFD"/>
    <w:rsid w:val="00ED06CC"/>
    <w:rsid w:val="00ED1180"/>
    <w:rsid w:val="00ED2C8E"/>
    <w:rsid w:val="00ED379E"/>
    <w:rsid w:val="00ED37BA"/>
    <w:rsid w:val="00ED68F2"/>
    <w:rsid w:val="00ED7680"/>
    <w:rsid w:val="00EE0424"/>
    <w:rsid w:val="00EE0919"/>
    <w:rsid w:val="00EE0D47"/>
    <w:rsid w:val="00EE3C0A"/>
    <w:rsid w:val="00EE5358"/>
    <w:rsid w:val="00EF1E47"/>
    <w:rsid w:val="00EF57D5"/>
    <w:rsid w:val="00EF71E9"/>
    <w:rsid w:val="00F006D2"/>
    <w:rsid w:val="00F00BD1"/>
    <w:rsid w:val="00F01FD9"/>
    <w:rsid w:val="00F04B07"/>
    <w:rsid w:val="00F05BA8"/>
    <w:rsid w:val="00F07402"/>
    <w:rsid w:val="00F11FE3"/>
    <w:rsid w:val="00F14737"/>
    <w:rsid w:val="00F1526C"/>
    <w:rsid w:val="00F16F13"/>
    <w:rsid w:val="00F21C33"/>
    <w:rsid w:val="00F21D16"/>
    <w:rsid w:val="00F23942"/>
    <w:rsid w:val="00F23E9A"/>
    <w:rsid w:val="00F242D9"/>
    <w:rsid w:val="00F25308"/>
    <w:rsid w:val="00F309E7"/>
    <w:rsid w:val="00F32413"/>
    <w:rsid w:val="00F36FCB"/>
    <w:rsid w:val="00F3715D"/>
    <w:rsid w:val="00F43581"/>
    <w:rsid w:val="00F44B62"/>
    <w:rsid w:val="00F5072C"/>
    <w:rsid w:val="00F50D2B"/>
    <w:rsid w:val="00F51C08"/>
    <w:rsid w:val="00F51CBF"/>
    <w:rsid w:val="00F5340B"/>
    <w:rsid w:val="00F538DF"/>
    <w:rsid w:val="00F53C77"/>
    <w:rsid w:val="00F53E07"/>
    <w:rsid w:val="00F5411D"/>
    <w:rsid w:val="00F54570"/>
    <w:rsid w:val="00F56D2B"/>
    <w:rsid w:val="00F57D2D"/>
    <w:rsid w:val="00F57EFB"/>
    <w:rsid w:val="00F62A49"/>
    <w:rsid w:val="00F62D81"/>
    <w:rsid w:val="00F64110"/>
    <w:rsid w:val="00F648A6"/>
    <w:rsid w:val="00F64F0D"/>
    <w:rsid w:val="00F65B6F"/>
    <w:rsid w:val="00F66162"/>
    <w:rsid w:val="00F7026A"/>
    <w:rsid w:val="00F7135B"/>
    <w:rsid w:val="00F71826"/>
    <w:rsid w:val="00F72B45"/>
    <w:rsid w:val="00F73B00"/>
    <w:rsid w:val="00F84737"/>
    <w:rsid w:val="00F86CAF"/>
    <w:rsid w:val="00F87635"/>
    <w:rsid w:val="00F87B69"/>
    <w:rsid w:val="00F90C95"/>
    <w:rsid w:val="00F9103E"/>
    <w:rsid w:val="00F92ABD"/>
    <w:rsid w:val="00F92EDE"/>
    <w:rsid w:val="00F94188"/>
    <w:rsid w:val="00F95923"/>
    <w:rsid w:val="00F96A39"/>
    <w:rsid w:val="00F97463"/>
    <w:rsid w:val="00FA39CD"/>
    <w:rsid w:val="00FA4DC6"/>
    <w:rsid w:val="00FA5D99"/>
    <w:rsid w:val="00FB030E"/>
    <w:rsid w:val="00FB0FB7"/>
    <w:rsid w:val="00FB262D"/>
    <w:rsid w:val="00FB571F"/>
    <w:rsid w:val="00FB6864"/>
    <w:rsid w:val="00FB73F9"/>
    <w:rsid w:val="00FC08B7"/>
    <w:rsid w:val="00FC42BA"/>
    <w:rsid w:val="00FC4DF1"/>
    <w:rsid w:val="00FC6166"/>
    <w:rsid w:val="00FD08C1"/>
    <w:rsid w:val="00FD7A7A"/>
    <w:rsid w:val="00FE10C1"/>
    <w:rsid w:val="00FE190E"/>
    <w:rsid w:val="00FE20A9"/>
    <w:rsid w:val="00FE30E1"/>
    <w:rsid w:val="00FE48A9"/>
    <w:rsid w:val="00FE6F8A"/>
    <w:rsid w:val="00FF08B7"/>
    <w:rsid w:val="00FF12B8"/>
    <w:rsid w:val="00FF2C68"/>
    <w:rsid w:val="00FF521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F761F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rsid w:val="0008108C"/>
    <w:pPr>
      <w:ind w:left="720"/>
      <w:contextualSpacing/>
    </w:pPr>
  </w:style>
  <w:style w:type="paragraph" w:styleId="Caption">
    <w:name w:val="caption"/>
    <w:aliases w:val="eTRM Caption"/>
    <w:basedOn w:val="Normal"/>
    <w:next w:val="Normal"/>
    <w:link w:val="CaptionChar"/>
    <w:autoRedefine/>
    <w:unhideWhenUsed/>
    <w:qFormat/>
    <w:rsid w:val="006D4AE0"/>
    <w:pPr>
      <w:keepNext/>
      <w:keepLines/>
      <w:spacing w:before="280" w:after="80"/>
    </w:pPr>
    <w:rPr>
      <w:b/>
      <w:color w:val="000000"/>
      <w:sz w:val="20"/>
      <w:szCs w:val="18"/>
    </w:rPr>
  </w:style>
  <w:style w:type="character" w:customStyle="1" w:styleId="CaptionChar">
    <w:name w:val="Caption Char"/>
    <w:aliases w:val="eTRM Caption Char"/>
    <w:link w:val="Caption"/>
    <w:locked/>
    <w:rsid w:val="006D4AE0"/>
    <w:rPr>
      <w:rFonts w:ascii="Calibri Light" w:hAnsi="Calibri Light"/>
      <w:b/>
      <w:color w:val="000000"/>
      <w:sz w:val="20"/>
      <w:szCs w:val="18"/>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6D4AE0"/>
  </w:style>
  <w:style w:type="character" w:customStyle="1" w:styleId="BodyTextChar">
    <w:name w:val="Body Text Char"/>
    <w:basedOn w:val="DefaultParagraphFont"/>
    <w:link w:val="BodyText"/>
    <w:uiPriority w:val="99"/>
    <w:rsid w:val="006D4AE0"/>
    <w:rPr>
      <w:rFonts w:ascii="Calibri Light" w:hAnsi="Calibri Light"/>
      <w:sz w:val="22"/>
    </w:rPr>
  </w:style>
  <w:style w:type="paragraph" w:customStyle="1" w:styleId="eTRMBulletedText">
    <w:name w:val="eTRM Bulleted Text"/>
    <w:basedOn w:val="Normal"/>
    <w:autoRedefine/>
    <w:qFormat/>
    <w:rsid w:val="001003E3"/>
    <w:pPr>
      <w:numPr>
        <w:numId w:val="19"/>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semiHidden/>
    <w:qFormat/>
    <w:rsid w:val="006D4AE0"/>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semiHidden/>
    <w:rsid w:val="006D4AE0"/>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37D63"/>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37D63"/>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character" w:styleId="CommentReference">
    <w:name w:val="annotation reference"/>
    <w:basedOn w:val="DefaultParagraphFont"/>
    <w:uiPriority w:val="99"/>
    <w:semiHidden/>
    <w:unhideWhenUsed/>
    <w:rsid w:val="00E1405F"/>
    <w:rPr>
      <w:sz w:val="16"/>
      <w:szCs w:val="16"/>
    </w:rPr>
  </w:style>
  <w:style w:type="paragraph" w:styleId="CommentText">
    <w:name w:val="annotation text"/>
    <w:basedOn w:val="Normal"/>
    <w:link w:val="CommentTextChar"/>
    <w:uiPriority w:val="99"/>
    <w:unhideWhenUsed/>
    <w:rsid w:val="00E1405F"/>
    <w:pPr>
      <w:spacing w:line="240" w:lineRule="auto"/>
    </w:pPr>
    <w:rPr>
      <w:sz w:val="20"/>
      <w:szCs w:val="20"/>
    </w:rPr>
  </w:style>
  <w:style w:type="character" w:customStyle="1" w:styleId="CommentTextChar">
    <w:name w:val="Comment Text Char"/>
    <w:basedOn w:val="DefaultParagraphFont"/>
    <w:link w:val="CommentText"/>
    <w:uiPriority w:val="99"/>
    <w:rsid w:val="00E1405F"/>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E1405F"/>
    <w:rPr>
      <w:b/>
      <w:bCs/>
    </w:rPr>
  </w:style>
  <w:style w:type="character" w:customStyle="1" w:styleId="CommentSubjectChar">
    <w:name w:val="Comment Subject Char"/>
    <w:basedOn w:val="CommentTextChar"/>
    <w:link w:val="CommentSubject"/>
    <w:uiPriority w:val="99"/>
    <w:semiHidden/>
    <w:rsid w:val="00E1405F"/>
    <w:rPr>
      <w:rFonts w:ascii="Calibri Light" w:hAnsi="Calibri Light"/>
      <w:b/>
      <w:bCs/>
      <w:sz w:val="20"/>
      <w:szCs w:val="20"/>
    </w:rPr>
  </w:style>
  <w:style w:type="paragraph" w:styleId="BalloonText">
    <w:name w:val="Balloon Text"/>
    <w:basedOn w:val="Normal"/>
    <w:link w:val="BalloonTextChar"/>
    <w:uiPriority w:val="99"/>
    <w:semiHidden/>
    <w:unhideWhenUsed/>
    <w:rsid w:val="00E1405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05F"/>
    <w:rPr>
      <w:rFonts w:ascii="Segoe UI" w:hAnsi="Segoe UI" w:cs="Segoe UI"/>
      <w:sz w:val="18"/>
      <w:szCs w:val="18"/>
    </w:rPr>
  </w:style>
  <w:style w:type="character" w:customStyle="1" w:styleId="UnresolvedMention1">
    <w:name w:val="Unresolved Mention1"/>
    <w:basedOn w:val="DefaultParagraphFont"/>
    <w:uiPriority w:val="99"/>
    <w:rsid w:val="00E1405F"/>
    <w:rPr>
      <w:color w:val="808080"/>
      <w:shd w:val="clear" w:color="auto" w:fill="E6E6E6"/>
    </w:rPr>
  </w:style>
  <w:style w:type="paragraph" w:customStyle="1" w:styleId="Default">
    <w:name w:val="Default"/>
    <w:basedOn w:val="Normal"/>
    <w:rsid w:val="00D679DA"/>
    <w:pPr>
      <w:autoSpaceDE w:val="0"/>
      <w:autoSpaceDN w:val="0"/>
      <w:spacing w:before="0" w:after="0" w:line="240" w:lineRule="auto"/>
    </w:pPr>
    <w:rPr>
      <w:rFonts w:ascii="Times New Roman" w:eastAsiaTheme="minorHAnsi" w:hAnsi="Times New Roman" w:cs="Times New Roman"/>
      <w:color w:val="000000"/>
      <w:sz w:val="24"/>
    </w:rPr>
  </w:style>
  <w:style w:type="paragraph" w:customStyle="1" w:styleId="Reminders">
    <w:name w:val="Reminders"/>
    <w:basedOn w:val="Normal"/>
    <w:link w:val="RemindersChar"/>
    <w:rsid w:val="001B432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1B432D"/>
    <w:rPr>
      <w:rFonts w:ascii="Trebuchet MS" w:eastAsia="Times New Roman" w:hAnsi="Trebuchet MS" w:cs="Times New Roman"/>
      <w:i/>
      <w:color w:val="FF0000"/>
      <w:sz w:val="22"/>
    </w:rPr>
  </w:style>
  <w:style w:type="paragraph" w:customStyle="1" w:styleId="StyleBodyTextArial10pt">
    <w:name w:val="Style Body Text + Arial 10 pt"/>
    <w:basedOn w:val="BodyText"/>
    <w:link w:val="StyleBodyTextArial10ptChar"/>
    <w:rsid w:val="0047621C"/>
    <w:pPr>
      <w:spacing w:before="0" w:after="60" w:line="240" w:lineRule="auto"/>
    </w:pPr>
    <w:rPr>
      <w:rFonts w:ascii="Arial" w:eastAsia="Times New Roman" w:hAnsi="Arial" w:cs="Times New Roman"/>
      <w:sz w:val="20"/>
    </w:rPr>
  </w:style>
  <w:style w:type="character" w:customStyle="1" w:styleId="StyleBodyTextArial10ptChar">
    <w:name w:val="Style Body Text + Arial 10 pt Char"/>
    <w:link w:val="StyleBodyTextArial10pt"/>
    <w:rsid w:val="0047621C"/>
    <w:rPr>
      <w:rFonts w:ascii="Arial" w:eastAsia="Times New Roman" w:hAnsi="Arial" w:cs="Times New Roman"/>
      <w:sz w:val="20"/>
    </w:rPr>
  </w:style>
  <w:style w:type="paragraph" w:customStyle="1" w:styleId="Reminder">
    <w:name w:val="Reminder"/>
    <w:basedOn w:val="Reminders"/>
    <w:link w:val="ReminderChar"/>
    <w:rsid w:val="00214B46"/>
  </w:style>
  <w:style w:type="character" w:customStyle="1" w:styleId="ReminderChar">
    <w:name w:val="Reminder Char"/>
    <w:basedOn w:val="RemindersChar"/>
    <w:link w:val="Reminder"/>
    <w:rsid w:val="00214B46"/>
    <w:rPr>
      <w:rFonts w:ascii="Trebuchet MS" w:eastAsia="Times New Roman" w:hAnsi="Trebuchet MS" w:cs="Times New Roman"/>
      <w:i/>
      <w:color w:val="FF0000"/>
      <w:sz w:val="22"/>
    </w:rPr>
  </w:style>
  <w:style w:type="paragraph" w:styleId="DocumentMap">
    <w:name w:val="Document Map"/>
    <w:basedOn w:val="Normal"/>
    <w:link w:val="DocumentMapChar"/>
    <w:uiPriority w:val="99"/>
    <w:semiHidden/>
    <w:unhideWhenUsed/>
    <w:rsid w:val="008F03CB"/>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8F03CB"/>
    <w:rPr>
      <w:rFonts w:ascii="Times New Roman" w:hAnsi="Times New Roman" w:cs="Times New Roman"/>
    </w:rPr>
  </w:style>
  <w:style w:type="table" w:customStyle="1" w:styleId="TableGrid1">
    <w:name w:val="Table Grid1"/>
    <w:basedOn w:val="TableNormal"/>
    <w:next w:val="TableGrid"/>
    <w:rsid w:val="008F03CB"/>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43339C"/>
    <w:pPr>
      <w:spacing w:before="0" w:after="0" w:line="240" w:lineRule="auto"/>
    </w:pPr>
    <w:rPr>
      <w:rFonts w:ascii="Helvetica" w:hAnsi="Helvetica" w:cs="Times New Roman"/>
      <w:sz w:val="14"/>
      <w:szCs w:val="14"/>
    </w:rPr>
  </w:style>
  <w:style w:type="paragraph" w:styleId="NoSpacing">
    <w:name w:val="No Spacing"/>
    <w:uiPriority w:val="1"/>
    <w:qFormat/>
    <w:rsid w:val="00243BD4"/>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0784">
      <w:bodyDiv w:val="1"/>
      <w:marLeft w:val="0"/>
      <w:marRight w:val="0"/>
      <w:marTop w:val="0"/>
      <w:marBottom w:val="0"/>
      <w:divBdr>
        <w:top w:val="none" w:sz="0" w:space="0" w:color="auto"/>
        <w:left w:val="none" w:sz="0" w:space="0" w:color="auto"/>
        <w:bottom w:val="none" w:sz="0" w:space="0" w:color="auto"/>
        <w:right w:val="none" w:sz="0" w:space="0" w:color="auto"/>
      </w:divBdr>
    </w:div>
    <w:div w:id="490029460">
      <w:bodyDiv w:val="1"/>
      <w:marLeft w:val="0"/>
      <w:marRight w:val="0"/>
      <w:marTop w:val="0"/>
      <w:marBottom w:val="0"/>
      <w:divBdr>
        <w:top w:val="none" w:sz="0" w:space="0" w:color="auto"/>
        <w:left w:val="none" w:sz="0" w:space="0" w:color="auto"/>
        <w:bottom w:val="none" w:sz="0" w:space="0" w:color="auto"/>
        <w:right w:val="none" w:sz="0" w:space="0" w:color="auto"/>
      </w:divBdr>
    </w:div>
    <w:div w:id="729428837">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924ED88772144594244579EB5BE2C3" ma:contentTypeVersion="7" ma:contentTypeDescription="Create a new document." ma:contentTypeScope="" ma:versionID="e51f6a280eead74bb9160161b6e106f0">
  <xsd:schema xmlns:xsd="http://www.w3.org/2001/XMLSchema" xmlns:xs="http://www.w3.org/2001/XMLSchema" xmlns:p="http://schemas.microsoft.com/office/2006/metadata/properties" xmlns:ns2="3f48e474-195a-42ce-9cf3-5cd6e54a0fcb" xmlns:ns3="5d41e947-7978-4db3-afde-6624fea38b4b" targetNamespace="http://schemas.microsoft.com/office/2006/metadata/properties" ma:root="true" ma:fieldsID="01534af1532ac8c607f6e88b5c990924" ns2:_="" ns3:_="">
    <xsd:import namespace="3f48e474-195a-42ce-9cf3-5cd6e54a0fcb"/>
    <xsd:import namespace="5d41e947-7978-4db3-afde-6624fea38b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e474-195a-42ce-9cf3-5cd6e54a0f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41e947-7978-4db3-afde-6624fea38b4b"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Location" ma:index="14"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10FCB-F507-4FB1-AED7-5EED2D45CF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1462F4-EA6C-440C-8CA1-A54A7C54FA1A}">
  <ds:schemaRefs>
    <ds:schemaRef ds:uri="http://schemas.microsoft.com/sharepoint/v3/contenttype/forms"/>
  </ds:schemaRefs>
</ds:datastoreItem>
</file>

<file path=customXml/itemProps3.xml><?xml version="1.0" encoding="utf-8"?>
<ds:datastoreItem xmlns:ds="http://schemas.openxmlformats.org/officeDocument/2006/customXml" ds:itemID="{5056984A-98E8-4756-B271-57512BFB7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e474-195a-42ce-9cf3-5cd6e54a0fcb"/>
    <ds:schemaRef ds:uri="5d41e947-7978-4db3-afde-6624fea38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57226D-F76B-43FC-AE9C-4A6ED3F6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448</TotalTime>
  <Pages>11</Pages>
  <Words>3184</Words>
  <Characters>18152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21294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Jesse Clive Putra Manao</cp:lastModifiedBy>
  <cp:revision>45</cp:revision>
  <cp:lastPrinted>2018-02-10T21:16:00Z</cp:lastPrinted>
  <dcterms:created xsi:type="dcterms:W3CDTF">2019-04-26T20:37:00Z</dcterms:created>
  <dcterms:modified xsi:type="dcterms:W3CDTF">2020-12-18T22:59:00Z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0x0101003A924ED88772144594244579EB5BE2C3</vt:lpwstr>
  </property>
</Properties>
</file>