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967E32">
        <w:trPr>
          <w:cantSplit/>
          <w:trHeight w:hRule="exact" w:val="1890"/>
          <w:jc w:val="right"/>
        </w:trPr>
        <w:tc>
          <w:tcPr>
            <w:tcW w:w="9000" w:type="dxa"/>
            <w:shd w:val="clear" w:color="auto" w:fill="8DC63F"/>
            <w:vAlign w:val="center"/>
          </w:tcPr>
          <w:p w14:paraId="3EF67A49" w14:textId="71FC0099" w:rsidR="00BD221D" w:rsidRPr="00967E32" w:rsidRDefault="00D14804" w:rsidP="00BD221D">
            <w:pPr>
              <w:pStyle w:val="eTRMHeading1"/>
              <w:jc w:val="center"/>
              <w:rPr>
                <w:sz w:val="28"/>
              </w:rPr>
            </w:pPr>
            <w:r>
              <w:rPr>
                <w:sz w:val="28"/>
              </w:rPr>
              <w:t xml:space="preserve">COMMERCIAL </w:t>
            </w:r>
            <w:r w:rsidR="00D403BC" w:rsidRPr="00967E32">
              <w:rPr>
                <w:sz w:val="28"/>
              </w:rPr>
              <w:t>Refrigeration</w:t>
            </w:r>
          </w:p>
          <w:p w14:paraId="350CDB03" w14:textId="4D57CCC5" w:rsidR="00BD221D" w:rsidRPr="00881116" w:rsidRDefault="00D403BC" w:rsidP="005B047B">
            <w:pPr>
              <w:pStyle w:val="eTRMHeading2"/>
            </w:pPr>
            <w:r w:rsidRPr="005B047B">
              <w:t>Auto Closer</w:t>
            </w:r>
            <w:r w:rsidR="005B047B" w:rsidRPr="005B047B">
              <w:t xml:space="preserve"> for R</w:t>
            </w:r>
            <w:r w:rsidR="005B047B" w:rsidRPr="00881116">
              <w:t>efrigerated Storage Door</w:t>
            </w:r>
          </w:p>
          <w:p w14:paraId="10BE1877" w14:textId="4AEF9DDC" w:rsidR="005B047B" w:rsidRPr="00967E32" w:rsidRDefault="005B047B" w:rsidP="005B047B">
            <w:pPr>
              <w:pStyle w:val="eTRMHeading2"/>
              <w:rPr>
                <w:spacing w:val="0"/>
              </w:rPr>
            </w:pPr>
            <w:r w:rsidRPr="00967E32">
              <w:rPr>
                <w:spacing w:val="0"/>
                <w:sz w:val="28"/>
              </w:rPr>
              <w:t>SWCR005-0</w:t>
            </w:r>
            <w:r w:rsidR="00174D75">
              <w:rPr>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3458ADAF" w14:textId="5EF2C101" w:rsidR="00AB226D"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AB226D">
        <w:rPr>
          <w:noProof/>
        </w:rPr>
        <w:t>Measure Name</w:t>
      </w:r>
      <w:r w:rsidR="00AB226D">
        <w:rPr>
          <w:noProof/>
        </w:rPr>
        <w:tab/>
      </w:r>
      <w:r w:rsidR="00AB226D">
        <w:rPr>
          <w:noProof/>
        </w:rPr>
        <w:fldChar w:fldCharType="begin"/>
      </w:r>
      <w:r w:rsidR="00AB226D">
        <w:rPr>
          <w:noProof/>
        </w:rPr>
        <w:instrText xml:space="preserve"> PAGEREF _Toc63260305 \h </w:instrText>
      </w:r>
      <w:r w:rsidR="00AB226D">
        <w:rPr>
          <w:noProof/>
        </w:rPr>
      </w:r>
      <w:r w:rsidR="00AB226D">
        <w:rPr>
          <w:noProof/>
        </w:rPr>
        <w:fldChar w:fldCharType="separate"/>
      </w:r>
      <w:r w:rsidR="00AB226D">
        <w:rPr>
          <w:noProof/>
        </w:rPr>
        <w:t>2</w:t>
      </w:r>
      <w:r w:rsidR="00AB226D">
        <w:rPr>
          <w:noProof/>
        </w:rPr>
        <w:fldChar w:fldCharType="end"/>
      </w:r>
    </w:p>
    <w:p w14:paraId="490BDF27" w14:textId="6F4FA6D4" w:rsidR="00AB226D" w:rsidRDefault="00AB226D">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_Toc63260306 \h </w:instrText>
      </w:r>
      <w:r>
        <w:rPr>
          <w:noProof/>
        </w:rPr>
      </w:r>
      <w:r>
        <w:rPr>
          <w:noProof/>
        </w:rPr>
        <w:fldChar w:fldCharType="separate"/>
      </w:r>
      <w:r>
        <w:rPr>
          <w:noProof/>
        </w:rPr>
        <w:t>2</w:t>
      </w:r>
      <w:r>
        <w:rPr>
          <w:noProof/>
        </w:rPr>
        <w:fldChar w:fldCharType="end"/>
      </w:r>
    </w:p>
    <w:p w14:paraId="677CA711" w14:textId="702AFF68" w:rsidR="00AB226D" w:rsidRDefault="00AB226D">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_Toc63260307 \h </w:instrText>
      </w:r>
      <w:r>
        <w:rPr>
          <w:noProof/>
        </w:rPr>
      </w:r>
      <w:r>
        <w:rPr>
          <w:noProof/>
        </w:rPr>
        <w:fldChar w:fldCharType="separate"/>
      </w:r>
      <w:r>
        <w:rPr>
          <w:noProof/>
        </w:rPr>
        <w:t>2</w:t>
      </w:r>
      <w:r>
        <w:rPr>
          <w:noProof/>
        </w:rPr>
        <w:fldChar w:fldCharType="end"/>
      </w:r>
    </w:p>
    <w:p w14:paraId="34223774" w14:textId="2BBB8371" w:rsidR="00AB226D" w:rsidRDefault="00AB226D">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_Toc63260308 \h </w:instrText>
      </w:r>
      <w:r>
        <w:rPr>
          <w:noProof/>
        </w:rPr>
      </w:r>
      <w:r>
        <w:rPr>
          <w:noProof/>
        </w:rPr>
        <w:fldChar w:fldCharType="separate"/>
      </w:r>
      <w:r>
        <w:rPr>
          <w:noProof/>
        </w:rPr>
        <w:t>2</w:t>
      </w:r>
      <w:r>
        <w:rPr>
          <w:noProof/>
        </w:rPr>
        <w:fldChar w:fldCharType="end"/>
      </w:r>
    </w:p>
    <w:p w14:paraId="1FB635C8" w14:textId="39BF5E14" w:rsidR="00AB226D" w:rsidRDefault="00AB226D">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_Toc63260309 \h </w:instrText>
      </w:r>
      <w:r>
        <w:rPr>
          <w:noProof/>
        </w:rPr>
      </w:r>
      <w:r>
        <w:rPr>
          <w:noProof/>
        </w:rPr>
        <w:fldChar w:fldCharType="separate"/>
      </w:r>
      <w:r>
        <w:rPr>
          <w:noProof/>
        </w:rPr>
        <w:t>2</w:t>
      </w:r>
      <w:r>
        <w:rPr>
          <w:noProof/>
        </w:rPr>
        <w:fldChar w:fldCharType="end"/>
      </w:r>
    </w:p>
    <w:p w14:paraId="2C3A0EED" w14:textId="66C1AB0A" w:rsidR="00AB226D" w:rsidRDefault="00AB226D">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_Toc63260310 \h </w:instrText>
      </w:r>
      <w:r>
        <w:rPr>
          <w:noProof/>
        </w:rPr>
      </w:r>
      <w:r>
        <w:rPr>
          <w:noProof/>
        </w:rPr>
        <w:fldChar w:fldCharType="separate"/>
      </w:r>
      <w:r>
        <w:rPr>
          <w:noProof/>
        </w:rPr>
        <w:t>2</w:t>
      </w:r>
      <w:r>
        <w:rPr>
          <w:noProof/>
        </w:rPr>
        <w:fldChar w:fldCharType="end"/>
      </w:r>
    </w:p>
    <w:p w14:paraId="4A5B68B2" w14:textId="5525421F" w:rsidR="00AB226D" w:rsidRDefault="00AB226D">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_Toc63260311 \h </w:instrText>
      </w:r>
      <w:r>
        <w:rPr>
          <w:noProof/>
        </w:rPr>
      </w:r>
      <w:r>
        <w:rPr>
          <w:noProof/>
        </w:rPr>
        <w:fldChar w:fldCharType="separate"/>
      </w:r>
      <w:r>
        <w:rPr>
          <w:noProof/>
        </w:rPr>
        <w:t>3</w:t>
      </w:r>
      <w:r>
        <w:rPr>
          <w:noProof/>
        </w:rPr>
        <w:fldChar w:fldCharType="end"/>
      </w:r>
    </w:p>
    <w:p w14:paraId="2FCC6342" w14:textId="1880156C" w:rsidR="00AB226D" w:rsidRDefault="00AB226D">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_Toc63260312 \h </w:instrText>
      </w:r>
      <w:r>
        <w:rPr>
          <w:noProof/>
        </w:rPr>
      </w:r>
      <w:r>
        <w:rPr>
          <w:noProof/>
        </w:rPr>
        <w:fldChar w:fldCharType="separate"/>
      </w:r>
      <w:r>
        <w:rPr>
          <w:noProof/>
        </w:rPr>
        <w:t>3</w:t>
      </w:r>
      <w:r>
        <w:rPr>
          <w:noProof/>
        </w:rPr>
        <w:fldChar w:fldCharType="end"/>
      </w:r>
    </w:p>
    <w:p w14:paraId="4F08B8B6" w14:textId="1A28B55B" w:rsidR="00AB226D" w:rsidRDefault="00AB226D">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_Toc63260313 \h </w:instrText>
      </w:r>
      <w:r>
        <w:rPr>
          <w:noProof/>
        </w:rPr>
      </w:r>
      <w:r>
        <w:rPr>
          <w:noProof/>
        </w:rPr>
        <w:fldChar w:fldCharType="separate"/>
      </w:r>
      <w:r>
        <w:rPr>
          <w:noProof/>
        </w:rPr>
        <w:t>4</w:t>
      </w:r>
      <w:r>
        <w:rPr>
          <w:noProof/>
        </w:rPr>
        <w:fldChar w:fldCharType="end"/>
      </w:r>
    </w:p>
    <w:p w14:paraId="1CA300E0" w14:textId="070EF249" w:rsidR="00AB226D" w:rsidRDefault="00AB226D">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_Toc63260314 \h </w:instrText>
      </w:r>
      <w:r>
        <w:rPr>
          <w:noProof/>
        </w:rPr>
      </w:r>
      <w:r>
        <w:rPr>
          <w:noProof/>
        </w:rPr>
        <w:fldChar w:fldCharType="separate"/>
      </w:r>
      <w:r>
        <w:rPr>
          <w:noProof/>
        </w:rPr>
        <w:t>4</w:t>
      </w:r>
      <w:r>
        <w:rPr>
          <w:noProof/>
        </w:rPr>
        <w:fldChar w:fldCharType="end"/>
      </w:r>
    </w:p>
    <w:p w14:paraId="34655449" w14:textId="0AC53F27" w:rsidR="00AB226D" w:rsidRDefault="00AB226D">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_Toc63260315 \h </w:instrText>
      </w:r>
      <w:r>
        <w:rPr>
          <w:noProof/>
        </w:rPr>
      </w:r>
      <w:r>
        <w:rPr>
          <w:noProof/>
        </w:rPr>
        <w:fldChar w:fldCharType="separate"/>
      </w:r>
      <w:r>
        <w:rPr>
          <w:noProof/>
        </w:rPr>
        <w:t>4</w:t>
      </w:r>
      <w:r>
        <w:rPr>
          <w:noProof/>
        </w:rPr>
        <w:fldChar w:fldCharType="end"/>
      </w:r>
    </w:p>
    <w:p w14:paraId="2E5F563A" w14:textId="0F55A2B1" w:rsidR="00AB226D" w:rsidRDefault="00AB226D">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_Toc63260316 \h </w:instrText>
      </w:r>
      <w:r>
        <w:rPr>
          <w:noProof/>
        </w:rPr>
      </w:r>
      <w:r>
        <w:rPr>
          <w:noProof/>
        </w:rPr>
        <w:fldChar w:fldCharType="separate"/>
      </w:r>
      <w:r>
        <w:rPr>
          <w:noProof/>
        </w:rPr>
        <w:t>4</w:t>
      </w:r>
      <w:r>
        <w:rPr>
          <w:noProof/>
        </w:rPr>
        <w:fldChar w:fldCharType="end"/>
      </w:r>
    </w:p>
    <w:p w14:paraId="1A7BC384" w14:textId="4588A465" w:rsidR="00AB226D" w:rsidRDefault="00AB226D">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_Toc63260317 \h </w:instrText>
      </w:r>
      <w:r>
        <w:rPr>
          <w:noProof/>
        </w:rPr>
      </w:r>
      <w:r>
        <w:rPr>
          <w:noProof/>
        </w:rPr>
        <w:fldChar w:fldCharType="separate"/>
      </w:r>
      <w:r>
        <w:rPr>
          <w:noProof/>
        </w:rPr>
        <w:t>6</w:t>
      </w:r>
      <w:r>
        <w:rPr>
          <w:noProof/>
        </w:rPr>
        <w:fldChar w:fldCharType="end"/>
      </w:r>
    </w:p>
    <w:p w14:paraId="19086DA1" w14:textId="293C1D05" w:rsidR="00AB226D" w:rsidRDefault="00AB226D">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_Toc63260318 \h </w:instrText>
      </w:r>
      <w:r>
        <w:rPr>
          <w:noProof/>
        </w:rPr>
      </w:r>
      <w:r>
        <w:rPr>
          <w:noProof/>
        </w:rPr>
        <w:fldChar w:fldCharType="separate"/>
      </w:r>
      <w:r>
        <w:rPr>
          <w:noProof/>
        </w:rPr>
        <w:t>6</w:t>
      </w:r>
      <w:r>
        <w:rPr>
          <w:noProof/>
        </w:rPr>
        <w:fldChar w:fldCharType="end"/>
      </w:r>
    </w:p>
    <w:p w14:paraId="736288AF" w14:textId="0B4F4887" w:rsidR="00AB226D" w:rsidRDefault="00AB226D">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_Toc63260319 \h </w:instrText>
      </w:r>
      <w:r>
        <w:rPr>
          <w:noProof/>
        </w:rPr>
      </w:r>
      <w:r>
        <w:rPr>
          <w:noProof/>
        </w:rPr>
        <w:fldChar w:fldCharType="separate"/>
      </w:r>
      <w:r>
        <w:rPr>
          <w:noProof/>
        </w:rPr>
        <w:t>6</w:t>
      </w:r>
      <w:r>
        <w:rPr>
          <w:noProof/>
        </w:rPr>
        <w:fldChar w:fldCharType="end"/>
      </w:r>
    </w:p>
    <w:p w14:paraId="2622A18E" w14:textId="3F335091" w:rsidR="00AB226D" w:rsidRDefault="00AB226D">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_Toc63260320 \h </w:instrText>
      </w:r>
      <w:r>
        <w:rPr>
          <w:noProof/>
        </w:rPr>
      </w:r>
      <w:r>
        <w:rPr>
          <w:noProof/>
        </w:rPr>
        <w:fldChar w:fldCharType="separate"/>
      </w:r>
      <w:r>
        <w:rPr>
          <w:noProof/>
        </w:rPr>
        <w:t>7</w:t>
      </w:r>
      <w:r>
        <w:rPr>
          <w:noProof/>
        </w:rPr>
        <w:fldChar w:fldCharType="end"/>
      </w:r>
    </w:p>
    <w:p w14:paraId="199C815B" w14:textId="66056DA5" w:rsidR="00AB226D" w:rsidRDefault="00AB226D">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_Toc63260321 \h </w:instrText>
      </w:r>
      <w:r>
        <w:rPr>
          <w:noProof/>
        </w:rPr>
      </w:r>
      <w:r>
        <w:rPr>
          <w:noProof/>
        </w:rPr>
        <w:fldChar w:fldCharType="separate"/>
      </w:r>
      <w:r>
        <w:rPr>
          <w:noProof/>
        </w:rPr>
        <w:t>7</w:t>
      </w:r>
      <w:r>
        <w:rPr>
          <w:noProof/>
        </w:rPr>
        <w:fldChar w:fldCharType="end"/>
      </w:r>
    </w:p>
    <w:p w14:paraId="241B3F73" w14:textId="3A7EBE8F" w:rsidR="00AB226D" w:rsidRDefault="00AB226D">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_Toc63260322 \h </w:instrText>
      </w:r>
      <w:r>
        <w:rPr>
          <w:noProof/>
        </w:rPr>
      </w:r>
      <w:r>
        <w:rPr>
          <w:noProof/>
        </w:rPr>
        <w:fldChar w:fldCharType="separate"/>
      </w:r>
      <w:r>
        <w:rPr>
          <w:noProof/>
        </w:rPr>
        <w:t>7</w:t>
      </w:r>
      <w:r>
        <w:rPr>
          <w:noProof/>
        </w:rPr>
        <w:fldChar w:fldCharType="end"/>
      </w:r>
    </w:p>
    <w:p w14:paraId="445DEBE1" w14:textId="70786A09" w:rsidR="00AB226D" w:rsidRDefault="00AB226D">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_Toc63260323 \h </w:instrText>
      </w:r>
      <w:r>
        <w:rPr>
          <w:noProof/>
        </w:rPr>
      </w:r>
      <w:r>
        <w:rPr>
          <w:noProof/>
        </w:rPr>
        <w:fldChar w:fldCharType="separate"/>
      </w:r>
      <w:r>
        <w:rPr>
          <w:noProof/>
        </w:rPr>
        <w:t>8</w:t>
      </w:r>
      <w:r>
        <w:rPr>
          <w:noProof/>
        </w:rPr>
        <w:fldChar w:fldCharType="end"/>
      </w:r>
    </w:p>
    <w:p w14:paraId="622EED0E" w14:textId="46765CA3" w:rsidR="00AB226D" w:rsidRDefault="00AB226D">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_Toc63260324 \h </w:instrText>
      </w:r>
      <w:r>
        <w:rPr>
          <w:noProof/>
        </w:rPr>
      </w:r>
      <w:r>
        <w:rPr>
          <w:noProof/>
        </w:rPr>
        <w:fldChar w:fldCharType="separate"/>
      </w:r>
      <w:r>
        <w:rPr>
          <w:noProof/>
        </w:rPr>
        <w:t>8</w:t>
      </w:r>
      <w:r>
        <w:rPr>
          <w:noProof/>
        </w:rPr>
        <w:fldChar w:fldCharType="end"/>
      </w:r>
    </w:p>
    <w:p w14:paraId="3D491584" w14:textId="328CB7A8" w:rsidR="00AB226D" w:rsidRDefault="00AB226D">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_Toc63260325 \h </w:instrText>
      </w:r>
      <w:r>
        <w:rPr>
          <w:noProof/>
        </w:rPr>
      </w:r>
      <w:r>
        <w:rPr>
          <w:noProof/>
        </w:rPr>
        <w:fldChar w:fldCharType="separate"/>
      </w:r>
      <w:r>
        <w:rPr>
          <w:noProof/>
        </w:rPr>
        <w:t>8</w:t>
      </w:r>
      <w:r>
        <w:rPr>
          <w:noProof/>
        </w:rPr>
        <w:fldChar w:fldCharType="end"/>
      </w:r>
    </w:p>
    <w:p w14:paraId="37CB4437" w14:textId="6E5EB4D0" w:rsidR="00AB226D" w:rsidRDefault="00AB226D">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_Toc63260326 \h </w:instrText>
      </w:r>
      <w:r>
        <w:rPr>
          <w:noProof/>
        </w:rPr>
      </w:r>
      <w:r>
        <w:rPr>
          <w:noProof/>
        </w:rPr>
        <w:fldChar w:fldCharType="separate"/>
      </w:r>
      <w:r>
        <w:rPr>
          <w:noProof/>
        </w:rPr>
        <w:t>8</w:t>
      </w:r>
      <w:r>
        <w:rPr>
          <w:noProof/>
        </w:rPr>
        <w:fldChar w:fldCharType="end"/>
      </w:r>
    </w:p>
    <w:p w14:paraId="0C04D4F7" w14:textId="732234E0" w:rsidR="00AB226D" w:rsidRDefault="00AB226D">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_Toc63260327 \h </w:instrText>
      </w:r>
      <w:r>
        <w:rPr>
          <w:noProof/>
        </w:rPr>
      </w:r>
      <w:r>
        <w:rPr>
          <w:noProof/>
        </w:rPr>
        <w:fldChar w:fldCharType="separate"/>
      </w:r>
      <w:r>
        <w:rPr>
          <w:noProof/>
        </w:rPr>
        <w:t>9</w:t>
      </w:r>
      <w:r>
        <w:rPr>
          <w:noProof/>
        </w:rPr>
        <w:fldChar w:fldCharType="end"/>
      </w:r>
    </w:p>
    <w:p w14:paraId="306AB92F" w14:textId="7671B52A" w:rsidR="00AB226D" w:rsidRDefault="00AB226D">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_Toc63260328 \h </w:instrText>
      </w:r>
      <w:r>
        <w:rPr>
          <w:noProof/>
        </w:rPr>
      </w:r>
      <w:r>
        <w:rPr>
          <w:noProof/>
        </w:rPr>
        <w:fldChar w:fldCharType="separate"/>
      </w:r>
      <w:r>
        <w:rPr>
          <w:noProof/>
        </w:rPr>
        <w:t>10</w:t>
      </w:r>
      <w:r>
        <w:rPr>
          <w:noProof/>
        </w:rPr>
        <w:fldChar w:fldCharType="end"/>
      </w:r>
    </w:p>
    <w:p w14:paraId="4C194BAF" w14:textId="094F156C" w:rsidR="001C6C9B" w:rsidRPr="00D12B8C" w:rsidRDefault="001C6C9B" w:rsidP="00D12B8C">
      <w:r>
        <w:fldChar w:fldCharType="end"/>
      </w:r>
    </w:p>
    <w:p w14:paraId="7DD78D3A" w14:textId="77777777" w:rsidR="007E1F66" w:rsidRDefault="007E1F66" w:rsidP="00112EC4">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15B7DD82" w14:textId="77777777" w:rsidR="00444B61" w:rsidRPr="007E1F66" w:rsidRDefault="00444B61" w:rsidP="00112EC4">
      <w:pPr>
        <w:pStyle w:val="eTRMHeading3"/>
      </w:pPr>
      <w:bookmarkStart w:id="0" w:name="_Toc486490839"/>
      <w:bookmarkStart w:id="1" w:name="_Toc486580912"/>
      <w:bookmarkStart w:id="2" w:name="_Toc63260305"/>
      <w:r w:rsidRPr="007E1F66">
        <w:lastRenderedPageBreak/>
        <w:t>Measure Name</w:t>
      </w:r>
      <w:bookmarkEnd w:id="0"/>
      <w:bookmarkEnd w:id="1"/>
      <w:bookmarkEnd w:id="2"/>
    </w:p>
    <w:p w14:paraId="49B97408" w14:textId="01D5C597" w:rsidR="00444B61" w:rsidRDefault="005B047B" w:rsidP="00E14149">
      <w:pPr>
        <w:spacing w:before="20" w:after="20"/>
      </w:pPr>
      <w:r w:rsidRPr="005B047B">
        <w:t>Auto Closer for Refrigerated Storage Door</w:t>
      </w:r>
    </w:p>
    <w:p w14:paraId="54268FB3" w14:textId="77777777" w:rsidR="00444B61" w:rsidRPr="00401C43" w:rsidRDefault="00444B61" w:rsidP="00E14149">
      <w:pPr>
        <w:spacing w:before="20" w:after="20"/>
      </w:pPr>
    </w:p>
    <w:p w14:paraId="6AA52C66" w14:textId="77777777" w:rsidR="00444B61" w:rsidRPr="00074E3E" w:rsidRDefault="00444B61" w:rsidP="00112EC4">
      <w:pPr>
        <w:pStyle w:val="eTRMHeading3"/>
      </w:pPr>
      <w:bookmarkStart w:id="3" w:name="_Toc486490840"/>
      <w:bookmarkStart w:id="4" w:name="_Toc486580913"/>
      <w:bookmarkStart w:id="5" w:name="_Toc63260306"/>
      <w:r>
        <w:t>Statewide Measure ID</w:t>
      </w:r>
      <w:bookmarkEnd w:id="3"/>
      <w:bookmarkEnd w:id="4"/>
      <w:bookmarkEnd w:id="5"/>
    </w:p>
    <w:p w14:paraId="12B464BF" w14:textId="4AA063BE" w:rsidR="008B4A8A" w:rsidRDefault="008B4A8A" w:rsidP="008B4A8A">
      <w:r w:rsidRPr="00216F04">
        <w:t>SW</w:t>
      </w:r>
      <w:r w:rsidR="00602D46">
        <w:t>CR</w:t>
      </w:r>
      <w:r w:rsidRPr="00216F04">
        <w:t>005</w:t>
      </w:r>
      <w:r w:rsidR="005B047B">
        <w:t>-0</w:t>
      </w:r>
      <w:r w:rsidR="00174D75">
        <w:t>2</w:t>
      </w:r>
    </w:p>
    <w:p w14:paraId="7BB80880" w14:textId="77777777" w:rsidR="00E14349" w:rsidRDefault="00E14349" w:rsidP="00E14349">
      <w:pPr>
        <w:pStyle w:val="TableFootnote"/>
      </w:pPr>
    </w:p>
    <w:p w14:paraId="0F7CA2E6" w14:textId="77777777" w:rsidR="00E70CBD" w:rsidRPr="00154391" w:rsidRDefault="00E70CBD" w:rsidP="00112EC4">
      <w:pPr>
        <w:pStyle w:val="eTRMHeading3"/>
      </w:pPr>
      <w:bookmarkStart w:id="6" w:name="_Toc486490847"/>
      <w:bookmarkStart w:id="7" w:name="_Toc486580918"/>
      <w:bookmarkStart w:id="8" w:name="_Toc63260307"/>
      <w:r w:rsidRPr="00154391">
        <w:t>Technology Summary</w:t>
      </w:r>
      <w:bookmarkEnd w:id="6"/>
      <w:bookmarkEnd w:id="7"/>
      <w:bookmarkEnd w:id="8"/>
      <w:r w:rsidRPr="00154391">
        <w:t xml:space="preserve"> </w:t>
      </w:r>
    </w:p>
    <w:p w14:paraId="5C24B6E4" w14:textId="52EA40E3" w:rsidR="00FF45A2" w:rsidRDefault="005B047B" w:rsidP="00FF45A2">
      <w:r>
        <w:t>An automatic clos</w:t>
      </w:r>
      <w:r w:rsidR="00967E32">
        <w:t>er</w:t>
      </w:r>
      <w:r>
        <w:t xml:space="preserve"> </w:t>
      </w:r>
      <w:r w:rsidR="00CE5E4E" w:rsidRPr="00362C28">
        <w:t xml:space="preserve">on </w:t>
      </w:r>
      <w:r>
        <w:t xml:space="preserve">a </w:t>
      </w:r>
      <w:r w:rsidR="00CE5E4E" w:rsidRPr="00362C28">
        <w:t>walk-in freezer and cooler</w:t>
      </w:r>
      <w:r w:rsidR="00362C28">
        <w:t xml:space="preserve"> door</w:t>
      </w:r>
      <w:r w:rsidR="00CE5E4E" w:rsidRPr="00362C28">
        <w:t xml:space="preserve"> can reduce the amount of time that</w:t>
      </w:r>
      <w:r>
        <w:t xml:space="preserve"> the</w:t>
      </w:r>
      <w:r w:rsidR="00CE5E4E" w:rsidRPr="00362C28">
        <w:t xml:space="preserve"> door</w:t>
      </w:r>
      <w:r>
        <w:t xml:space="preserve"> is</w:t>
      </w:r>
      <w:r w:rsidR="00CE5E4E" w:rsidRPr="00362C28">
        <w:t xml:space="preserve"> open, </w:t>
      </w:r>
      <w:r w:rsidR="00362C28">
        <w:t>and thus reduce</w:t>
      </w:r>
      <w:r w:rsidR="00CE5E4E" w:rsidRPr="00362C28">
        <w:t xml:space="preserve"> infiltration and refrigeration loads. </w:t>
      </w:r>
    </w:p>
    <w:p w14:paraId="30D2E7FD" w14:textId="77777777" w:rsidR="00444B61" w:rsidRPr="00AB6C99" w:rsidRDefault="00444B61" w:rsidP="00FF45A2"/>
    <w:p w14:paraId="5AF18021" w14:textId="77777777" w:rsidR="007D230B" w:rsidRPr="004B06E3" w:rsidRDefault="007D230B" w:rsidP="00112EC4">
      <w:pPr>
        <w:pStyle w:val="eTRMHeading3"/>
      </w:pPr>
      <w:bookmarkStart w:id="9" w:name="_Toc486490848"/>
      <w:bookmarkStart w:id="10" w:name="_Toc486580919"/>
      <w:bookmarkStart w:id="11" w:name="_Toc63260308"/>
      <w:r w:rsidRPr="004B06E3">
        <w:t>Measure Case Description</w:t>
      </w:r>
      <w:bookmarkEnd w:id="9"/>
      <w:bookmarkEnd w:id="10"/>
      <w:bookmarkEnd w:id="11"/>
    </w:p>
    <w:p w14:paraId="2AC40797" w14:textId="3A9B8F61" w:rsidR="00694456" w:rsidRDefault="00694456" w:rsidP="00694456">
      <w:r w:rsidRPr="00CE5E4E">
        <w:t xml:space="preserve">The measure case is specified as the installation of an automatic door closer on a walk-in </w:t>
      </w:r>
      <w:r w:rsidR="005B047B">
        <w:t xml:space="preserve">cooler </w:t>
      </w:r>
      <w:r w:rsidRPr="00CE5E4E">
        <w:t xml:space="preserve">or </w:t>
      </w:r>
      <w:r w:rsidR="005B047B">
        <w:t xml:space="preserve">a </w:t>
      </w:r>
      <w:r w:rsidRPr="00CE5E4E">
        <w:t xml:space="preserve">walk-in </w:t>
      </w:r>
      <w:r w:rsidR="005B047B">
        <w:t>freezer door</w:t>
      </w:r>
      <w:r w:rsidR="005B047B" w:rsidRPr="00CE5E4E">
        <w:t xml:space="preserve"> </w:t>
      </w:r>
      <w:r w:rsidR="00EB2DE2">
        <w:t>that was not previously equipped with one.</w:t>
      </w:r>
      <w:r w:rsidR="009C145B">
        <w:t xml:space="preserve"> </w:t>
      </w:r>
    </w:p>
    <w:p w14:paraId="027C2465" w14:textId="77777777" w:rsidR="00994F74" w:rsidRPr="004B06E3" w:rsidRDefault="00994F74" w:rsidP="00DE339F"/>
    <w:p w14:paraId="54FD79D6" w14:textId="77777777" w:rsidR="00E70CBD" w:rsidRPr="00171BB8" w:rsidRDefault="00E70CBD" w:rsidP="00112EC4">
      <w:pPr>
        <w:pStyle w:val="eTRMHeading3"/>
      </w:pPr>
      <w:bookmarkStart w:id="12" w:name="_Toc486490849"/>
      <w:bookmarkStart w:id="13" w:name="_Toc486580920"/>
      <w:bookmarkStart w:id="14" w:name="_Toc63260309"/>
      <w:r w:rsidRPr="004B06E3">
        <w:t>Base Case Description</w:t>
      </w:r>
      <w:bookmarkEnd w:id="12"/>
      <w:bookmarkEnd w:id="13"/>
      <w:bookmarkEnd w:id="14"/>
      <w:r w:rsidRPr="00171BB8">
        <w:t xml:space="preserve"> </w:t>
      </w:r>
    </w:p>
    <w:p w14:paraId="52BC3D9A" w14:textId="095AC55E" w:rsidR="00CE5E4E" w:rsidRPr="00CE5E4E" w:rsidRDefault="00CE5E4E" w:rsidP="00CE5E4E">
      <w:r w:rsidRPr="00CE5E4E">
        <w:t xml:space="preserve">The </w:t>
      </w:r>
      <w:r>
        <w:t>base</w:t>
      </w:r>
      <w:r w:rsidRPr="00CE5E4E">
        <w:t xml:space="preserve"> case is specified as a walk-in freezer or walk-in cooler </w:t>
      </w:r>
      <w:r>
        <w:t xml:space="preserve">door without an automatic closer. </w:t>
      </w:r>
    </w:p>
    <w:p w14:paraId="1C5A6408" w14:textId="77777777" w:rsidR="00CE5E4E" w:rsidRPr="00CE5E4E" w:rsidRDefault="00CE5E4E" w:rsidP="00CE5E4E"/>
    <w:p w14:paraId="7D9DA4A6" w14:textId="77777777" w:rsidR="007D230B" w:rsidRPr="00171BB8" w:rsidRDefault="007D230B" w:rsidP="00112EC4">
      <w:pPr>
        <w:pStyle w:val="eTRMHeading3"/>
      </w:pPr>
      <w:bookmarkStart w:id="15" w:name="_Toc486490850"/>
      <w:bookmarkStart w:id="16" w:name="_Toc486580921"/>
      <w:bookmarkStart w:id="17" w:name="_Toc63260310"/>
      <w:r w:rsidRPr="004B06E3">
        <w:t>Code Requirements</w:t>
      </w:r>
      <w:bookmarkEnd w:id="15"/>
      <w:bookmarkEnd w:id="16"/>
      <w:bookmarkEnd w:id="17"/>
    </w:p>
    <w:p w14:paraId="488CAC69" w14:textId="1311C771" w:rsidR="00FF45A2" w:rsidRPr="006B4564" w:rsidRDefault="004A0DD3" w:rsidP="00FF45A2">
      <w:r w:rsidRPr="004A0DD3">
        <w:t xml:space="preserve">The state and federal codes and standards applicable to </w:t>
      </w:r>
      <w:r w:rsidR="00E14149">
        <w:t xml:space="preserve">refrigerated storage </w:t>
      </w:r>
      <w:r w:rsidRPr="004A0DD3">
        <w:t xml:space="preserve">auto door closers are noted </w:t>
      </w:r>
      <w:r w:rsidR="005B047B">
        <w:t>below</w:t>
      </w:r>
      <w:r w:rsidRPr="004A0DD3">
        <w:t>.</w:t>
      </w:r>
      <w:r w:rsidR="009C145B">
        <w:t xml:space="preserve"> </w:t>
      </w:r>
      <w:r w:rsidR="00FF45A2" w:rsidRPr="006B4564">
        <w:t>T</w:t>
      </w:r>
      <w:r w:rsidR="00197B5D">
        <w:t xml:space="preserve">he </w:t>
      </w:r>
      <w:r w:rsidR="00BF4D52">
        <w:t>2019</w:t>
      </w:r>
      <w:r w:rsidR="00FF45A2" w:rsidRPr="006B4564">
        <w:t xml:space="preserve"> Appliance Ef</w:t>
      </w:r>
      <w:r w:rsidR="00FF45A2">
        <w:t>ficiency Regulations (Title 20</w:t>
      </w:r>
      <w:r w:rsidR="00FF45A2" w:rsidRPr="006B4564">
        <w:t>)</w:t>
      </w:r>
      <w:r w:rsidR="00FF45A2">
        <w:rPr>
          <w:rStyle w:val="FootnoteReference"/>
        </w:rPr>
        <w:footnoteReference w:id="1"/>
      </w:r>
      <w:r w:rsidR="00FF45A2">
        <w:t xml:space="preserve"> </w:t>
      </w:r>
      <w:r w:rsidR="00FF45A2" w:rsidRPr="006B4564">
        <w:t>provides the following requirements for walk-in coolers and freezers manufactured on or after January 1, 2009:</w:t>
      </w:r>
    </w:p>
    <w:p w14:paraId="57BF0B77" w14:textId="77777777" w:rsidR="00FF45A2" w:rsidRPr="00FF45A2" w:rsidRDefault="00FF45A2" w:rsidP="00FF45A2">
      <w:pPr>
        <w:ind w:left="720" w:right="1440"/>
        <w:rPr>
          <w:i/>
          <w:sz w:val="18"/>
        </w:rPr>
      </w:pPr>
      <w:r w:rsidRPr="00FF45A2">
        <w:rPr>
          <w:i/>
          <w:sz w:val="18"/>
        </w:rPr>
        <w:t xml:space="preserve">(4) </w:t>
      </w:r>
      <w:r w:rsidRPr="00FF45A2">
        <w:rPr>
          <w:rFonts w:cs="TimesNewRomanPS-BoldMT"/>
          <w:bCs/>
          <w:i/>
          <w:sz w:val="18"/>
        </w:rPr>
        <w:t xml:space="preserve">Walk-In Coolers and Walk-In Freezers. </w:t>
      </w:r>
      <w:r w:rsidRPr="00FF45A2">
        <w:rPr>
          <w:i/>
          <w:sz w:val="18"/>
        </w:rPr>
        <w:t>Walk-in coolers and walk-in freezers manufactured on or after January 1, 2009 shall:</w:t>
      </w:r>
    </w:p>
    <w:p w14:paraId="6EEA349F" w14:textId="6E115631" w:rsidR="00BF4D52" w:rsidRDefault="00FF45A2" w:rsidP="00216F04">
      <w:pPr>
        <w:ind w:left="720" w:right="1440"/>
      </w:pPr>
      <w:r w:rsidRPr="00FF45A2">
        <w:rPr>
          <w:i/>
          <w:sz w:val="18"/>
        </w:rPr>
        <w:t>(A) have automatic door closers that firmly close all walk-in doors that have been closed to within one inch of full closure, except that this subparagraph shall not apply to doors wider than three feet nine inches or taller than seven feet;</w:t>
      </w:r>
    </w:p>
    <w:p w14:paraId="2836BB3F" w14:textId="6AF12CCC" w:rsidR="00FF45A2" w:rsidRPr="006B4564" w:rsidRDefault="00FF45A2" w:rsidP="00FF45A2">
      <w:r>
        <w:t xml:space="preserve">Note that Title 20 </w:t>
      </w:r>
      <w:r w:rsidRPr="006B4564">
        <w:t>does not ap</w:t>
      </w:r>
      <w:r>
        <w:t xml:space="preserve">ply to </w:t>
      </w:r>
      <w:r w:rsidR="005B047B">
        <w:t>a</w:t>
      </w:r>
      <w:r w:rsidR="00502612">
        <w:t>dd-</w:t>
      </w:r>
      <w:r w:rsidR="005B047B">
        <w:t>o</w:t>
      </w:r>
      <w:r w:rsidR="00502612">
        <w:t xml:space="preserve">n </w:t>
      </w:r>
      <w:r w:rsidR="005B047B">
        <w:t>e</w:t>
      </w:r>
      <w:r w:rsidR="00502612">
        <w:t>quipment</w:t>
      </w:r>
      <w:r>
        <w:t xml:space="preserve"> (</w:t>
      </w:r>
      <w:r w:rsidR="00502612">
        <w:t>AOE</w:t>
      </w:r>
      <w:r>
        <w:t>) measures</w:t>
      </w:r>
      <w:r w:rsidRPr="006B4564">
        <w:t xml:space="preserve"> and therefore does not impact the </w:t>
      </w:r>
      <w:r>
        <w:t xml:space="preserve">installation of </w:t>
      </w:r>
      <w:r w:rsidR="005B047B">
        <w:t xml:space="preserve">an </w:t>
      </w:r>
      <w:r>
        <w:t xml:space="preserve">auto door closer on </w:t>
      </w:r>
      <w:r w:rsidR="005B047B">
        <w:t xml:space="preserve">a </w:t>
      </w:r>
      <w:r>
        <w:t xml:space="preserve">walk-in </w:t>
      </w:r>
      <w:r w:rsidR="005B047B">
        <w:t xml:space="preserve">cooler </w:t>
      </w:r>
      <w:r>
        <w:t xml:space="preserve">or </w:t>
      </w:r>
      <w:r w:rsidR="005B047B">
        <w:t xml:space="preserve">freezer </w:t>
      </w:r>
      <w:r>
        <w:t>door. T</w:t>
      </w:r>
      <w:r w:rsidRPr="006B4564">
        <w:t xml:space="preserve">he </w:t>
      </w:r>
      <w:r>
        <w:t>regulation, however,</w:t>
      </w:r>
      <w:r w:rsidRPr="006B4564">
        <w:t xml:space="preserve"> applies to walk-in</w:t>
      </w:r>
      <w:r>
        <w:t xml:space="preserve"> </w:t>
      </w:r>
      <w:r w:rsidR="005B047B">
        <w:t xml:space="preserve">coolers </w:t>
      </w:r>
      <w:r>
        <w:t xml:space="preserve">and </w:t>
      </w:r>
      <w:r w:rsidR="005B047B">
        <w:t>freezers</w:t>
      </w:r>
      <w:r w:rsidR="005B047B" w:rsidRPr="006B4564">
        <w:t xml:space="preserve"> </w:t>
      </w:r>
      <w:r w:rsidRPr="006B4564">
        <w:t>manufactured on or after January 1, 2009</w:t>
      </w:r>
      <w:r>
        <w:t>.</w:t>
      </w:r>
    </w:p>
    <w:p w14:paraId="02ED3C4D" w14:textId="7CDDF8E0" w:rsidR="006B4564" w:rsidRDefault="006B4564" w:rsidP="00276DCA">
      <w:pPr>
        <w:pStyle w:val="Caption"/>
      </w:pPr>
      <w:r>
        <w:lastRenderedPageBreak/>
        <w:t xml:space="preserve">Applicable State and Federal </w:t>
      </w:r>
      <w:r w:rsidRPr="00CD6698">
        <w:t>Code</w:t>
      </w:r>
      <w:r>
        <w:t>s and Standards</w:t>
      </w:r>
      <w:r w:rsidRPr="002C39E3">
        <w:t xml:space="preserve">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595"/>
        <w:gridCol w:w="2520"/>
        <w:gridCol w:w="3240"/>
      </w:tblGrid>
      <w:tr w:rsidR="006B4564" w:rsidRPr="007E3A33" w14:paraId="7658177E" w14:textId="77777777" w:rsidTr="009B2C25">
        <w:tc>
          <w:tcPr>
            <w:tcW w:w="3595" w:type="dxa"/>
            <w:shd w:val="clear" w:color="auto" w:fill="F2F2F2" w:themeFill="background1" w:themeFillShade="F2"/>
            <w:vAlign w:val="center"/>
          </w:tcPr>
          <w:p w14:paraId="622F0819" w14:textId="77777777" w:rsidR="006B4564" w:rsidRPr="007E3A33" w:rsidRDefault="006B4564" w:rsidP="0030629E">
            <w:pPr>
              <w:keepNext/>
              <w:keepLines/>
              <w:spacing w:before="20" w:after="20"/>
              <w:rPr>
                <w:b/>
                <w:sz w:val="20"/>
                <w:szCs w:val="20"/>
              </w:rPr>
            </w:pPr>
            <w:r w:rsidRPr="007E3A33">
              <w:rPr>
                <w:b/>
                <w:sz w:val="20"/>
                <w:szCs w:val="20"/>
              </w:rPr>
              <w:t>Code</w:t>
            </w:r>
          </w:p>
        </w:tc>
        <w:tc>
          <w:tcPr>
            <w:tcW w:w="2520" w:type="dxa"/>
            <w:shd w:val="clear" w:color="auto" w:fill="F2F2F2" w:themeFill="background1" w:themeFillShade="F2"/>
            <w:vAlign w:val="center"/>
          </w:tcPr>
          <w:p w14:paraId="415694C8" w14:textId="77777777" w:rsidR="006B4564" w:rsidRPr="007E3A33" w:rsidRDefault="006B4564" w:rsidP="0030629E">
            <w:pPr>
              <w:keepNext/>
              <w:keepLines/>
              <w:spacing w:before="20" w:after="20"/>
              <w:jc w:val="center"/>
              <w:rPr>
                <w:b/>
                <w:sz w:val="20"/>
                <w:szCs w:val="20"/>
              </w:rPr>
            </w:pPr>
            <w:r w:rsidRPr="007E3A33">
              <w:rPr>
                <w:b/>
                <w:sz w:val="20"/>
                <w:szCs w:val="20"/>
              </w:rPr>
              <w:t>Applicable Code Reference</w:t>
            </w:r>
          </w:p>
        </w:tc>
        <w:tc>
          <w:tcPr>
            <w:tcW w:w="3240" w:type="dxa"/>
            <w:shd w:val="clear" w:color="auto" w:fill="F2F2F2" w:themeFill="background1" w:themeFillShade="F2"/>
            <w:vAlign w:val="center"/>
          </w:tcPr>
          <w:p w14:paraId="31968424" w14:textId="77777777" w:rsidR="006B4564" w:rsidRPr="007E3A33" w:rsidRDefault="006B4564" w:rsidP="0030629E">
            <w:pPr>
              <w:keepNext/>
              <w:keepLines/>
              <w:spacing w:before="20" w:after="20"/>
              <w:jc w:val="center"/>
              <w:rPr>
                <w:b/>
                <w:sz w:val="20"/>
                <w:szCs w:val="20"/>
              </w:rPr>
            </w:pPr>
            <w:r w:rsidRPr="007E3A33">
              <w:rPr>
                <w:b/>
                <w:sz w:val="20"/>
                <w:szCs w:val="20"/>
              </w:rPr>
              <w:t>Effective Date</w:t>
            </w:r>
          </w:p>
        </w:tc>
      </w:tr>
      <w:tr w:rsidR="006B4564" w:rsidRPr="00D7404C" w14:paraId="1BBE8481" w14:textId="77777777" w:rsidTr="009B2C25">
        <w:tc>
          <w:tcPr>
            <w:tcW w:w="3595" w:type="dxa"/>
            <w:shd w:val="clear" w:color="auto" w:fill="auto"/>
            <w:vAlign w:val="center"/>
          </w:tcPr>
          <w:p w14:paraId="2C8A2261" w14:textId="74506D50" w:rsidR="006B4564" w:rsidRPr="00D7404C" w:rsidRDefault="006B4564" w:rsidP="0030629E">
            <w:pPr>
              <w:keepNext/>
              <w:keepLines/>
              <w:spacing w:before="20" w:after="20"/>
              <w:rPr>
                <w:sz w:val="20"/>
                <w:szCs w:val="20"/>
              </w:rPr>
            </w:pPr>
            <w:r w:rsidRPr="00D7404C">
              <w:rPr>
                <w:sz w:val="20"/>
                <w:szCs w:val="20"/>
              </w:rPr>
              <w:t xml:space="preserve">CA Appliance Efficiency Regulations – Title 20 </w:t>
            </w:r>
            <w:r w:rsidR="00197B5D">
              <w:rPr>
                <w:sz w:val="20"/>
                <w:szCs w:val="20"/>
              </w:rPr>
              <w:t>(</w:t>
            </w:r>
            <w:r w:rsidR="00764F70">
              <w:rPr>
                <w:sz w:val="20"/>
                <w:szCs w:val="20"/>
              </w:rPr>
              <w:t>20</w:t>
            </w:r>
            <w:r w:rsidR="00B560BD">
              <w:rPr>
                <w:sz w:val="20"/>
                <w:szCs w:val="20"/>
              </w:rPr>
              <w:t>1</w:t>
            </w:r>
            <w:r w:rsidR="00BF4D52">
              <w:rPr>
                <w:sz w:val="20"/>
                <w:szCs w:val="20"/>
              </w:rPr>
              <w:t>9</w:t>
            </w:r>
            <w:r w:rsidR="00B560BD">
              <w:rPr>
                <w:sz w:val="20"/>
                <w:szCs w:val="20"/>
              </w:rPr>
              <w:t>)</w:t>
            </w:r>
          </w:p>
        </w:tc>
        <w:tc>
          <w:tcPr>
            <w:tcW w:w="2520" w:type="dxa"/>
            <w:shd w:val="clear" w:color="auto" w:fill="auto"/>
            <w:vAlign w:val="center"/>
          </w:tcPr>
          <w:p w14:paraId="4A55A267" w14:textId="21B5D20A" w:rsidR="006B4564" w:rsidRPr="006B4564" w:rsidRDefault="006B4564" w:rsidP="006B4564">
            <w:pPr>
              <w:rPr>
                <w:sz w:val="20"/>
                <w:szCs w:val="20"/>
              </w:rPr>
            </w:pPr>
            <w:r w:rsidRPr="006B4564">
              <w:rPr>
                <w:sz w:val="20"/>
              </w:rPr>
              <w:t>Section 1605.1(a)(4)(A)</w:t>
            </w:r>
          </w:p>
        </w:tc>
        <w:tc>
          <w:tcPr>
            <w:tcW w:w="3240" w:type="dxa"/>
            <w:shd w:val="clear" w:color="auto" w:fill="auto"/>
            <w:vAlign w:val="center"/>
          </w:tcPr>
          <w:p w14:paraId="524427FA" w14:textId="3DF13E02" w:rsidR="006B4564" w:rsidRPr="00D1599C" w:rsidRDefault="00D1599C" w:rsidP="0030629E">
            <w:pPr>
              <w:keepNext/>
              <w:keepLines/>
              <w:spacing w:before="20" w:after="20"/>
              <w:rPr>
                <w:sz w:val="20"/>
                <w:szCs w:val="20"/>
              </w:rPr>
            </w:pPr>
            <w:r>
              <w:rPr>
                <w:sz w:val="20"/>
              </w:rPr>
              <w:t>A</w:t>
            </w:r>
            <w:r w:rsidRPr="00D1599C">
              <w:rPr>
                <w:sz w:val="20"/>
              </w:rPr>
              <w:t>pplies to walk-in freezers and coolers manufactured on or after January 1, 2009</w:t>
            </w:r>
          </w:p>
        </w:tc>
      </w:tr>
      <w:tr w:rsidR="006B4564" w:rsidRPr="00D7404C" w14:paraId="1A5E6816" w14:textId="77777777" w:rsidTr="009B2C25">
        <w:trPr>
          <w:trHeight w:val="557"/>
        </w:trPr>
        <w:tc>
          <w:tcPr>
            <w:tcW w:w="3595" w:type="dxa"/>
            <w:shd w:val="clear" w:color="auto" w:fill="auto"/>
            <w:vAlign w:val="center"/>
          </w:tcPr>
          <w:p w14:paraId="76EE04CE" w14:textId="1F5E3897" w:rsidR="006B4564" w:rsidRPr="00D7404C" w:rsidRDefault="006B4564" w:rsidP="0030629E">
            <w:pPr>
              <w:keepNext/>
              <w:keepLines/>
              <w:spacing w:before="20" w:after="20"/>
              <w:rPr>
                <w:sz w:val="20"/>
                <w:szCs w:val="20"/>
              </w:rPr>
            </w:pPr>
            <w:r w:rsidRPr="00D7404C">
              <w:rPr>
                <w:sz w:val="20"/>
                <w:szCs w:val="20"/>
              </w:rPr>
              <w:t xml:space="preserve">CA Building Energy Efficiency Standards – Title 24 </w:t>
            </w:r>
          </w:p>
        </w:tc>
        <w:tc>
          <w:tcPr>
            <w:tcW w:w="2520" w:type="dxa"/>
            <w:shd w:val="clear" w:color="auto" w:fill="auto"/>
            <w:vAlign w:val="center"/>
          </w:tcPr>
          <w:p w14:paraId="243B38AA" w14:textId="335FEFCD" w:rsidR="006B4564" w:rsidRPr="00D7404C" w:rsidRDefault="00AB1FE8" w:rsidP="0030629E">
            <w:pPr>
              <w:keepNext/>
              <w:keepLines/>
              <w:spacing w:before="20" w:after="20"/>
              <w:rPr>
                <w:sz w:val="20"/>
                <w:szCs w:val="20"/>
              </w:rPr>
            </w:pPr>
            <w:r>
              <w:rPr>
                <w:sz w:val="20"/>
                <w:szCs w:val="20"/>
              </w:rPr>
              <w:t>None.</w:t>
            </w:r>
          </w:p>
        </w:tc>
        <w:tc>
          <w:tcPr>
            <w:tcW w:w="3240" w:type="dxa"/>
            <w:shd w:val="clear" w:color="auto" w:fill="auto"/>
            <w:vAlign w:val="center"/>
          </w:tcPr>
          <w:p w14:paraId="0EF9A5E8" w14:textId="6D3BD5C6" w:rsidR="006B4564" w:rsidRPr="00D7404C" w:rsidRDefault="00AB1FE8" w:rsidP="0030629E">
            <w:pPr>
              <w:keepNext/>
              <w:keepLines/>
              <w:spacing w:before="20" w:after="20"/>
              <w:rPr>
                <w:sz w:val="20"/>
                <w:szCs w:val="20"/>
              </w:rPr>
            </w:pPr>
            <w:r>
              <w:rPr>
                <w:sz w:val="20"/>
                <w:szCs w:val="20"/>
              </w:rPr>
              <w:t>n/a</w:t>
            </w:r>
          </w:p>
        </w:tc>
      </w:tr>
      <w:tr w:rsidR="006B4564" w:rsidRPr="00D7404C" w14:paraId="112650C3" w14:textId="77777777" w:rsidTr="009B2C25">
        <w:tc>
          <w:tcPr>
            <w:tcW w:w="3595" w:type="dxa"/>
            <w:shd w:val="clear" w:color="auto" w:fill="auto"/>
            <w:vAlign w:val="center"/>
          </w:tcPr>
          <w:p w14:paraId="32CBCD50" w14:textId="253DE18B" w:rsidR="006B4564" w:rsidRPr="00D7404C" w:rsidRDefault="006B4564" w:rsidP="006B4564">
            <w:pPr>
              <w:keepNext/>
              <w:keepLines/>
              <w:spacing w:before="20" w:after="20"/>
              <w:rPr>
                <w:sz w:val="20"/>
                <w:szCs w:val="20"/>
              </w:rPr>
            </w:pPr>
            <w:r w:rsidRPr="00D7404C">
              <w:rPr>
                <w:sz w:val="20"/>
                <w:szCs w:val="20"/>
              </w:rPr>
              <w:t>Federal Standards</w:t>
            </w:r>
            <w:r w:rsidRPr="00D7404C">
              <w:rPr>
                <w:rFonts w:cstheme="minorHAnsi"/>
                <w:sz w:val="20"/>
                <w:szCs w:val="20"/>
              </w:rPr>
              <w:t xml:space="preserve"> </w:t>
            </w:r>
          </w:p>
        </w:tc>
        <w:tc>
          <w:tcPr>
            <w:tcW w:w="2520" w:type="dxa"/>
            <w:shd w:val="clear" w:color="auto" w:fill="auto"/>
            <w:vAlign w:val="center"/>
          </w:tcPr>
          <w:p w14:paraId="4F904E2D" w14:textId="027F6B16" w:rsidR="006B4564" w:rsidRPr="00D7404C" w:rsidRDefault="00AB1FE8" w:rsidP="0030629E">
            <w:pPr>
              <w:keepNext/>
              <w:keepLines/>
              <w:spacing w:before="20" w:after="20"/>
              <w:rPr>
                <w:sz w:val="20"/>
                <w:szCs w:val="20"/>
              </w:rPr>
            </w:pPr>
            <w:r>
              <w:rPr>
                <w:sz w:val="20"/>
                <w:szCs w:val="20"/>
              </w:rPr>
              <w:t>None.</w:t>
            </w:r>
          </w:p>
        </w:tc>
        <w:tc>
          <w:tcPr>
            <w:tcW w:w="3240" w:type="dxa"/>
            <w:shd w:val="clear" w:color="auto" w:fill="auto"/>
            <w:vAlign w:val="center"/>
          </w:tcPr>
          <w:p w14:paraId="6E140590" w14:textId="2B850245" w:rsidR="006B4564" w:rsidRPr="00D7404C" w:rsidRDefault="00AB1FE8" w:rsidP="0030629E">
            <w:pPr>
              <w:keepNext/>
              <w:keepLines/>
              <w:spacing w:before="20" w:after="20"/>
              <w:rPr>
                <w:sz w:val="20"/>
                <w:szCs w:val="20"/>
              </w:rPr>
            </w:pPr>
            <w:r>
              <w:rPr>
                <w:sz w:val="20"/>
                <w:szCs w:val="20"/>
              </w:rPr>
              <w:t>n/a</w:t>
            </w:r>
          </w:p>
        </w:tc>
      </w:tr>
    </w:tbl>
    <w:p w14:paraId="7350EEFC" w14:textId="77777777" w:rsidR="006B4564" w:rsidRDefault="006B4564" w:rsidP="006B4564">
      <w:pPr>
        <w:rPr>
          <w:rFonts w:asciiTheme="minorHAnsi" w:hAnsiTheme="minorHAnsi" w:cstheme="minorHAnsi"/>
          <w:szCs w:val="22"/>
          <w:highlight w:val="cyan"/>
        </w:rPr>
      </w:pPr>
    </w:p>
    <w:p w14:paraId="1EE16D20" w14:textId="77777777" w:rsidR="007D230B" w:rsidRPr="00171BB8" w:rsidRDefault="007D230B" w:rsidP="00112EC4">
      <w:pPr>
        <w:pStyle w:val="eTRMHeading3"/>
      </w:pPr>
      <w:bookmarkStart w:id="18" w:name="_Toc486490851"/>
      <w:bookmarkStart w:id="19" w:name="_Toc486580922"/>
      <w:bookmarkStart w:id="20" w:name="_Toc63260311"/>
      <w:r w:rsidRPr="00A83458">
        <w:t>Normalizing</w:t>
      </w:r>
      <w:r w:rsidRPr="00171BB8">
        <w:t xml:space="preserve"> Unit</w:t>
      </w:r>
      <w:bookmarkEnd w:id="18"/>
      <w:bookmarkEnd w:id="19"/>
      <w:bookmarkEnd w:id="20"/>
    </w:p>
    <w:p w14:paraId="085E9363" w14:textId="5AD9C79B" w:rsidR="007D230B" w:rsidRDefault="00850919" w:rsidP="00486585">
      <w:r>
        <w:t>Each</w:t>
      </w:r>
    </w:p>
    <w:p w14:paraId="3F5C8151" w14:textId="77777777" w:rsidR="00850919" w:rsidRPr="007D230B" w:rsidRDefault="00850919" w:rsidP="00486585"/>
    <w:p w14:paraId="2F4904E6" w14:textId="77777777" w:rsidR="007D230B" w:rsidRPr="004B06E3" w:rsidRDefault="007D230B" w:rsidP="00112EC4">
      <w:pPr>
        <w:pStyle w:val="eTRMHeading3"/>
      </w:pPr>
      <w:bookmarkStart w:id="21" w:name="_Toc486490852"/>
      <w:bookmarkStart w:id="22" w:name="_Toc486580923"/>
      <w:bookmarkStart w:id="23" w:name="_Toc63260312"/>
      <w:r w:rsidRPr="004B06E3">
        <w:t>Program Requirements</w:t>
      </w:r>
      <w:bookmarkEnd w:id="21"/>
      <w:bookmarkEnd w:id="22"/>
      <w:bookmarkEnd w:id="23"/>
      <w:r w:rsidRPr="004B06E3">
        <w:t xml:space="preserve"> </w:t>
      </w:r>
    </w:p>
    <w:p w14:paraId="6E8B7A9D" w14:textId="77777777" w:rsidR="005B047B" w:rsidRPr="000229F1" w:rsidRDefault="005B047B" w:rsidP="005B047B">
      <w:pPr>
        <w:pStyle w:val="eTRMHeading5"/>
        <w:keepNext/>
        <w:keepLines/>
      </w:pPr>
      <w:bookmarkStart w:id="24" w:name="_Hlk516047641"/>
      <w:r>
        <w:t xml:space="preserve">Measure </w:t>
      </w:r>
      <w:r w:rsidRPr="000229F1">
        <w:t>Implementation Eligibility</w:t>
      </w:r>
    </w:p>
    <w:p w14:paraId="77EBBD23" w14:textId="77777777" w:rsidR="005B047B" w:rsidRDefault="005B047B" w:rsidP="005B047B">
      <w:bookmarkStart w:id="25" w:name="_Hlk527543844"/>
      <w:bookmarkStart w:id="26"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5"/>
    </w:p>
    <w:bookmarkEnd w:id="26"/>
    <w:p w14:paraId="29C3F269" w14:textId="77777777" w:rsidR="005B047B" w:rsidRPr="00CC4643" w:rsidRDefault="005B047B" w:rsidP="005B047B">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60068F9D" w14:textId="3A9427B2" w:rsidR="00FF45A2" w:rsidRDefault="00FF45A2" w:rsidP="00FF45A2">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FF45A2" w:rsidRPr="00A47168" w14:paraId="33C4984E" w14:textId="77777777" w:rsidTr="004B3D8C">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76C06927" w14:textId="77777777" w:rsidR="00FF45A2" w:rsidRPr="00A47168" w:rsidRDefault="00FF45A2" w:rsidP="004B3D8C">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4E8EE551" w14:textId="77777777" w:rsidR="00FF45A2" w:rsidRPr="00A47168" w:rsidRDefault="00FF45A2" w:rsidP="004B3D8C">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5B0040D8" w14:textId="77777777" w:rsidR="00FF45A2" w:rsidRPr="00A47168" w:rsidRDefault="00FF45A2" w:rsidP="004B3D8C">
            <w:pPr>
              <w:keepNext/>
              <w:spacing w:before="0" w:after="0"/>
              <w:rPr>
                <w:b/>
                <w:bCs/>
                <w:sz w:val="20"/>
              </w:rPr>
            </w:pPr>
            <w:r w:rsidRPr="00A47168">
              <w:rPr>
                <w:b/>
                <w:bCs/>
                <w:sz w:val="20"/>
              </w:rPr>
              <w:t>Sector</w:t>
            </w:r>
          </w:p>
        </w:tc>
      </w:tr>
      <w:tr w:rsidR="000E0844" w:rsidRPr="00A47168" w14:paraId="17C98AC2" w14:textId="77777777" w:rsidTr="007041D9">
        <w:trPr>
          <w:trHeight w:val="290"/>
        </w:trPr>
        <w:tc>
          <w:tcPr>
            <w:tcW w:w="3024" w:type="dxa"/>
            <w:noWrap/>
            <w:tcMar>
              <w:top w:w="0" w:type="dxa"/>
              <w:left w:w="108" w:type="dxa"/>
              <w:bottom w:w="0" w:type="dxa"/>
              <w:right w:w="108" w:type="dxa"/>
            </w:tcMar>
            <w:vAlign w:val="center"/>
          </w:tcPr>
          <w:p w14:paraId="1813A927" w14:textId="4B1C3A76" w:rsidR="000E0844" w:rsidRPr="005B047B" w:rsidRDefault="000E0844" w:rsidP="007041D9">
            <w:pPr>
              <w:keepNext/>
              <w:spacing w:before="0" w:after="0"/>
              <w:rPr>
                <w:color w:val="000000"/>
                <w:sz w:val="20"/>
              </w:rPr>
            </w:pPr>
            <w:r w:rsidRPr="007041D9">
              <w:rPr>
                <w:color w:val="000000"/>
                <w:sz w:val="20"/>
                <w:szCs w:val="22"/>
              </w:rPr>
              <w:t>Add-</w:t>
            </w:r>
            <w:r w:rsidR="005B047B">
              <w:rPr>
                <w:color w:val="000000"/>
                <w:sz w:val="20"/>
                <w:szCs w:val="22"/>
              </w:rPr>
              <w:t>o</w:t>
            </w:r>
            <w:r w:rsidRPr="007041D9">
              <w:rPr>
                <w:color w:val="000000"/>
                <w:sz w:val="20"/>
                <w:szCs w:val="22"/>
              </w:rPr>
              <w:t xml:space="preserve">n </w:t>
            </w:r>
            <w:r w:rsidR="005B047B">
              <w:rPr>
                <w:color w:val="000000"/>
                <w:sz w:val="20"/>
                <w:szCs w:val="22"/>
              </w:rPr>
              <w:t>e</w:t>
            </w:r>
            <w:r w:rsidRPr="007041D9">
              <w:rPr>
                <w:color w:val="000000"/>
                <w:sz w:val="20"/>
                <w:szCs w:val="22"/>
              </w:rPr>
              <w:t>quipment (AOE)</w:t>
            </w:r>
          </w:p>
        </w:tc>
        <w:tc>
          <w:tcPr>
            <w:tcW w:w="3024" w:type="dxa"/>
            <w:noWrap/>
            <w:tcMar>
              <w:top w:w="0" w:type="dxa"/>
              <w:left w:w="108" w:type="dxa"/>
              <w:bottom w:w="0" w:type="dxa"/>
              <w:right w:w="108" w:type="dxa"/>
            </w:tcMar>
            <w:vAlign w:val="bottom"/>
          </w:tcPr>
          <w:p w14:paraId="454CF537" w14:textId="4D4DD049" w:rsidR="000E0844" w:rsidRPr="00A47168" w:rsidRDefault="000E0844" w:rsidP="000E0844">
            <w:pPr>
              <w:keepNext/>
              <w:spacing w:before="0" w:after="0"/>
              <w:rPr>
                <w:color w:val="000000"/>
                <w:sz w:val="20"/>
              </w:rPr>
            </w:pPr>
            <w:proofErr w:type="spellStart"/>
            <w:r>
              <w:rPr>
                <w:color w:val="000000"/>
                <w:szCs w:val="22"/>
              </w:rPr>
              <w:t>DnDeemDl</w:t>
            </w:r>
            <w:proofErr w:type="spellEnd"/>
          </w:p>
        </w:tc>
        <w:tc>
          <w:tcPr>
            <w:tcW w:w="3024" w:type="dxa"/>
            <w:noWrap/>
            <w:tcMar>
              <w:top w:w="0" w:type="dxa"/>
              <w:left w:w="108" w:type="dxa"/>
              <w:bottom w:w="0" w:type="dxa"/>
              <w:right w:w="108" w:type="dxa"/>
            </w:tcMar>
          </w:tcPr>
          <w:p w14:paraId="346813BA" w14:textId="50ADF539" w:rsidR="000E0844" w:rsidRPr="00A47168" w:rsidRDefault="000E0844" w:rsidP="000E0844">
            <w:pPr>
              <w:keepNext/>
              <w:spacing w:before="0" w:after="0"/>
              <w:rPr>
                <w:color w:val="000000"/>
                <w:sz w:val="20"/>
              </w:rPr>
            </w:pPr>
            <w:r w:rsidRPr="00FC4423">
              <w:rPr>
                <w:color w:val="000000"/>
                <w:szCs w:val="22"/>
              </w:rPr>
              <w:t>Com</w:t>
            </w:r>
          </w:p>
        </w:tc>
      </w:tr>
      <w:tr w:rsidR="005B047B" w:rsidRPr="00A47168" w14:paraId="498761C8" w14:textId="77777777" w:rsidTr="007041D9">
        <w:trPr>
          <w:trHeight w:val="290"/>
        </w:trPr>
        <w:tc>
          <w:tcPr>
            <w:tcW w:w="3024" w:type="dxa"/>
            <w:noWrap/>
            <w:tcMar>
              <w:top w:w="0" w:type="dxa"/>
              <w:left w:w="108" w:type="dxa"/>
              <w:bottom w:w="0" w:type="dxa"/>
              <w:right w:w="108" w:type="dxa"/>
            </w:tcMar>
            <w:vAlign w:val="center"/>
          </w:tcPr>
          <w:p w14:paraId="29DCF331" w14:textId="16C14350" w:rsidR="005B047B" w:rsidRPr="001F7A71" w:rsidRDefault="005B047B" w:rsidP="005B047B">
            <w:pPr>
              <w:keepNext/>
              <w:spacing w:before="0" w:after="0"/>
              <w:rPr>
                <w:color w:val="000000"/>
                <w:sz w:val="20"/>
              </w:rPr>
            </w:pPr>
            <w:r w:rsidRPr="001F7A71">
              <w:rPr>
                <w:color w:val="000000"/>
                <w:sz w:val="20"/>
                <w:szCs w:val="22"/>
              </w:rPr>
              <w:t>Add-on equipment (AOE)</w:t>
            </w:r>
          </w:p>
        </w:tc>
        <w:tc>
          <w:tcPr>
            <w:tcW w:w="3024" w:type="dxa"/>
            <w:noWrap/>
            <w:tcMar>
              <w:top w:w="0" w:type="dxa"/>
              <w:left w:w="108" w:type="dxa"/>
              <w:bottom w:w="0" w:type="dxa"/>
              <w:right w:w="108" w:type="dxa"/>
            </w:tcMar>
          </w:tcPr>
          <w:p w14:paraId="1C6A79EB" w14:textId="327FE326" w:rsidR="005B047B" w:rsidRPr="001F7A71" w:rsidRDefault="005B047B" w:rsidP="005B047B">
            <w:pPr>
              <w:keepNext/>
              <w:spacing w:before="0" w:after="0"/>
              <w:rPr>
                <w:color w:val="000000"/>
                <w:sz w:val="20"/>
              </w:rPr>
            </w:pPr>
            <w:proofErr w:type="spellStart"/>
            <w:r w:rsidRPr="001F7A71">
              <w:rPr>
                <w:color w:val="000000"/>
                <w:szCs w:val="22"/>
              </w:rPr>
              <w:t>DnDeemed</w:t>
            </w:r>
            <w:proofErr w:type="spellEnd"/>
          </w:p>
        </w:tc>
        <w:tc>
          <w:tcPr>
            <w:tcW w:w="3024" w:type="dxa"/>
            <w:noWrap/>
            <w:tcMar>
              <w:top w:w="0" w:type="dxa"/>
              <w:left w:w="108" w:type="dxa"/>
              <w:bottom w:w="0" w:type="dxa"/>
              <w:right w:w="108" w:type="dxa"/>
            </w:tcMar>
          </w:tcPr>
          <w:p w14:paraId="3BD3DB0D" w14:textId="1FF180B3" w:rsidR="005B047B" w:rsidRPr="001F7A71" w:rsidRDefault="005B047B" w:rsidP="005B047B">
            <w:pPr>
              <w:keepNext/>
              <w:spacing w:before="0" w:after="0"/>
              <w:rPr>
                <w:color w:val="000000"/>
                <w:sz w:val="20"/>
              </w:rPr>
            </w:pPr>
            <w:r w:rsidRPr="001F7A71">
              <w:rPr>
                <w:color w:val="000000"/>
                <w:szCs w:val="22"/>
              </w:rPr>
              <w:t>Com</w:t>
            </w:r>
          </w:p>
        </w:tc>
      </w:tr>
      <w:tr w:rsidR="007041D9" w:rsidRPr="00A47168" w14:paraId="0F0C0445" w14:textId="77777777" w:rsidTr="005B047B">
        <w:trPr>
          <w:trHeight w:val="290"/>
        </w:trPr>
        <w:tc>
          <w:tcPr>
            <w:tcW w:w="3024" w:type="dxa"/>
            <w:noWrap/>
            <w:tcMar>
              <w:top w:w="0" w:type="dxa"/>
              <w:left w:w="108" w:type="dxa"/>
              <w:bottom w:w="0" w:type="dxa"/>
              <w:right w:w="108" w:type="dxa"/>
            </w:tcMar>
            <w:vAlign w:val="center"/>
          </w:tcPr>
          <w:p w14:paraId="0BF67A77" w14:textId="4DF4A7BB" w:rsidR="007041D9" w:rsidRPr="001F7A71" w:rsidRDefault="007041D9" w:rsidP="007041D9">
            <w:pPr>
              <w:keepNext/>
              <w:spacing w:before="0" w:after="0"/>
              <w:rPr>
                <w:color w:val="000000"/>
                <w:sz w:val="20"/>
                <w:szCs w:val="22"/>
              </w:rPr>
            </w:pPr>
            <w:r w:rsidRPr="001F7A71">
              <w:rPr>
                <w:color w:val="000000"/>
                <w:sz w:val="20"/>
                <w:szCs w:val="22"/>
              </w:rPr>
              <w:t>Add-on equipment (AOE)</w:t>
            </w:r>
          </w:p>
        </w:tc>
        <w:tc>
          <w:tcPr>
            <w:tcW w:w="3024" w:type="dxa"/>
            <w:noWrap/>
            <w:tcMar>
              <w:top w:w="0" w:type="dxa"/>
              <w:left w:w="108" w:type="dxa"/>
              <w:bottom w:w="0" w:type="dxa"/>
              <w:right w:w="108" w:type="dxa"/>
            </w:tcMar>
          </w:tcPr>
          <w:p w14:paraId="09C4D3AB" w14:textId="088459CE" w:rsidR="007041D9" w:rsidRPr="001F7A71" w:rsidRDefault="007041D9" w:rsidP="007041D9">
            <w:pPr>
              <w:keepNext/>
              <w:spacing w:before="0" w:after="0"/>
              <w:rPr>
                <w:color w:val="000000"/>
                <w:szCs w:val="22"/>
              </w:rPr>
            </w:pPr>
            <w:proofErr w:type="spellStart"/>
            <w:r w:rsidRPr="001F7A71">
              <w:rPr>
                <w:color w:val="000000"/>
                <w:szCs w:val="22"/>
              </w:rPr>
              <w:t>UpDeemed</w:t>
            </w:r>
            <w:proofErr w:type="spellEnd"/>
          </w:p>
        </w:tc>
        <w:tc>
          <w:tcPr>
            <w:tcW w:w="3024" w:type="dxa"/>
            <w:noWrap/>
            <w:tcMar>
              <w:top w:w="0" w:type="dxa"/>
              <w:left w:w="108" w:type="dxa"/>
              <w:bottom w:w="0" w:type="dxa"/>
              <w:right w:w="108" w:type="dxa"/>
            </w:tcMar>
          </w:tcPr>
          <w:p w14:paraId="5EF8EF95" w14:textId="79AD4682" w:rsidR="007041D9" w:rsidRPr="001F7A71" w:rsidRDefault="007041D9" w:rsidP="007041D9">
            <w:pPr>
              <w:keepNext/>
              <w:spacing w:before="0" w:after="0"/>
              <w:rPr>
                <w:color w:val="000000"/>
                <w:szCs w:val="22"/>
              </w:rPr>
            </w:pPr>
            <w:r w:rsidRPr="001F7A71">
              <w:rPr>
                <w:color w:val="000000"/>
                <w:szCs w:val="22"/>
              </w:rPr>
              <w:t>Com</w:t>
            </w:r>
          </w:p>
        </w:tc>
      </w:tr>
    </w:tbl>
    <w:p w14:paraId="20337138" w14:textId="77777777" w:rsidR="00FF45A2" w:rsidRDefault="00FF45A2" w:rsidP="00FF45A2"/>
    <w:bookmarkEnd w:id="24"/>
    <w:p w14:paraId="50711562" w14:textId="0613EF1B" w:rsidR="00AA46AF" w:rsidRDefault="00196649" w:rsidP="00143F5F">
      <w:pPr>
        <w:pStyle w:val="eTRMHeading5"/>
        <w:keepNext/>
        <w:keepLines/>
      </w:pPr>
      <w:r>
        <w:t>Eligible Products</w:t>
      </w:r>
    </w:p>
    <w:p w14:paraId="203C04EB" w14:textId="069EE534" w:rsidR="00846EDC" w:rsidRPr="00225BB7" w:rsidRDefault="005B047B" w:rsidP="00221C03">
      <w:pPr>
        <w:keepNext/>
        <w:keepLines/>
      </w:pPr>
      <w:r>
        <w:t xml:space="preserve">See Measure Case Description for eligible measure offerings. </w:t>
      </w:r>
    </w:p>
    <w:p w14:paraId="373A4731" w14:textId="1947B778" w:rsidR="00510BAD" w:rsidRPr="00335BAB" w:rsidRDefault="00335BAB" w:rsidP="00221C03">
      <w:r>
        <w:t>The auto</w:t>
      </w:r>
      <w:r w:rsidR="0051716A">
        <w:t>matic</w:t>
      </w:r>
      <w:r>
        <w:t xml:space="preserve"> door </w:t>
      </w:r>
      <w:r w:rsidR="00510BAD" w:rsidRPr="00335BAB">
        <w:t xml:space="preserve">closer must be </w:t>
      </w:r>
      <w:r>
        <w:t>installed on</w:t>
      </w:r>
      <w:r w:rsidR="00510BAD" w:rsidRPr="00335BAB">
        <w:t xml:space="preserve"> the main insulated opaque door(s) of an existing walk-in cooler or freezer.</w:t>
      </w:r>
    </w:p>
    <w:p w14:paraId="51CA0688" w14:textId="4D2A4D0B" w:rsidR="00510BAD" w:rsidRPr="00335BAB" w:rsidRDefault="00335BAB" w:rsidP="00221C03">
      <w:r>
        <w:t xml:space="preserve">The </w:t>
      </w:r>
      <w:r w:rsidR="0051716A">
        <w:t xml:space="preserve">automatic </w:t>
      </w:r>
      <w:r>
        <w:t xml:space="preserve">door </w:t>
      </w:r>
      <w:r w:rsidR="00510BAD" w:rsidRPr="00335BAB">
        <w:t xml:space="preserve">closer must firmly close </w:t>
      </w:r>
      <w:r w:rsidR="00C032B0">
        <w:t>the</w:t>
      </w:r>
      <w:r w:rsidR="00510BAD" w:rsidRPr="00335BAB">
        <w:t xml:space="preserve"> door when it is within one inch of full closure.</w:t>
      </w:r>
    </w:p>
    <w:p w14:paraId="4E69602E" w14:textId="63E14DB2" w:rsidR="00510BAD" w:rsidRPr="00335BAB" w:rsidRDefault="00D1599C" w:rsidP="00221C03">
      <w:r>
        <w:t xml:space="preserve">The </w:t>
      </w:r>
      <w:r w:rsidR="0051716A">
        <w:t xml:space="preserve">automatic </w:t>
      </w:r>
      <w:r w:rsidR="00510BAD" w:rsidRPr="00335BAB">
        <w:t xml:space="preserve">closer must be installed on a walk-in cooler or freezer </w:t>
      </w:r>
      <w:r w:rsidR="00AB1FE8">
        <w:t xml:space="preserve">that was </w:t>
      </w:r>
      <w:r w:rsidR="00510BAD" w:rsidRPr="00335BAB">
        <w:t xml:space="preserve">manufactured </w:t>
      </w:r>
      <w:r w:rsidR="00510BAD" w:rsidRPr="00FF45A2">
        <w:rPr>
          <w:i/>
        </w:rPr>
        <w:t>before</w:t>
      </w:r>
      <w:r w:rsidR="00510BAD" w:rsidRPr="00335BAB">
        <w:t xml:space="preserve"> January 1, 2009.</w:t>
      </w:r>
    </w:p>
    <w:p w14:paraId="556E995A" w14:textId="77777777" w:rsidR="00AB1FE8" w:rsidRPr="00F01120" w:rsidRDefault="00AB1FE8" w:rsidP="00F01120"/>
    <w:p w14:paraId="7CE938DA" w14:textId="20122450" w:rsidR="007B6A74" w:rsidRDefault="007B6A74" w:rsidP="00C83EE7">
      <w:pPr>
        <w:pStyle w:val="eTRMHeading5"/>
        <w:keepNext/>
        <w:keepLines/>
      </w:pPr>
      <w:r w:rsidRPr="00401C43">
        <w:lastRenderedPageBreak/>
        <w:t>Eligible Building Types</w:t>
      </w:r>
    </w:p>
    <w:p w14:paraId="4B24A5C7" w14:textId="5F544458" w:rsidR="00510BAD" w:rsidRPr="00510BAD" w:rsidRDefault="00510BAD" w:rsidP="00C83EE7">
      <w:pPr>
        <w:keepNext/>
        <w:keepLines/>
      </w:pPr>
      <w:r w:rsidRPr="00510BAD">
        <w:t xml:space="preserve">This measure is applicable </w:t>
      </w:r>
      <w:r w:rsidR="005A44D6">
        <w:t xml:space="preserve">for </w:t>
      </w:r>
      <w:r w:rsidR="00513AA3">
        <w:t>any</w:t>
      </w:r>
      <w:r w:rsidR="005A44D6">
        <w:t xml:space="preserve"> </w:t>
      </w:r>
      <w:r w:rsidR="00F23AF0">
        <w:t xml:space="preserve">existing </w:t>
      </w:r>
      <w:r w:rsidR="005A44D6">
        <w:t>commercial building type</w:t>
      </w:r>
      <w:r w:rsidR="00F23AF0">
        <w:t xml:space="preserve"> of any vintage</w:t>
      </w:r>
      <w:r w:rsidR="00740872">
        <w:t>,</w:t>
      </w:r>
      <w:r w:rsidR="00740872" w:rsidRPr="00740872">
        <w:t xml:space="preserve"> </w:t>
      </w:r>
      <w:r w:rsidR="00740872" w:rsidRPr="0052121E">
        <w:t>including (but not limited to) supermarkets, grocery stores, hotels, restaurants, and convenience stores.</w:t>
      </w:r>
    </w:p>
    <w:p w14:paraId="11E14A1F" w14:textId="77777777" w:rsidR="00510BAD" w:rsidRPr="00510BAD" w:rsidRDefault="00510BAD" w:rsidP="00510BAD"/>
    <w:p w14:paraId="1A3705F3" w14:textId="4BC0985D" w:rsidR="007B6A74" w:rsidRPr="004B06E3" w:rsidRDefault="00196649" w:rsidP="00154391">
      <w:pPr>
        <w:pStyle w:val="eTRMHeading5"/>
      </w:pPr>
      <w:r>
        <w:t>Eligible Climate Zones</w:t>
      </w:r>
    </w:p>
    <w:p w14:paraId="34FF761D" w14:textId="1B435BA8" w:rsidR="006C41AD" w:rsidRDefault="00F01120" w:rsidP="004B06E3">
      <w:r>
        <w:t xml:space="preserve">This measure is applicable </w:t>
      </w:r>
      <w:r w:rsidR="00513AA3">
        <w:t>in</w:t>
      </w:r>
      <w:r>
        <w:t xml:space="preserve"> all </w:t>
      </w:r>
      <w:r w:rsidR="00D1599C">
        <w:t xml:space="preserve">California </w:t>
      </w:r>
      <w:r>
        <w:t>climate zones.</w:t>
      </w:r>
    </w:p>
    <w:p w14:paraId="33BA55A2" w14:textId="77777777" w:rsidR="00F01120" w:rsidRPr="004B06E3" w:rsidRDefault="00F01120" w:rsidP="004B06E3"/>
    <w:p w14:paraId="47630D60" w14:textId="77777777" w:rsidR="007D230B" w:rsidRPr="004B06E3" w:rsidRDefault="007D230B" w:rsidP="00112EC4">
      <w:pPr>
        <w:pStyle w:val="eTRMHeading3"/>
      </w:pPr>
      <w:bookmarkStart w:id="27" w:name="_Toc486490853"/>
      <w:bookmarkStart w:id="28" w:name="_Toc486580924"/>
      <w:bookmarkStart w:id="29" w:name="_Toc63260313"/>
      <w:r w:rsidRPr="004B06E3">
        <w:t>Program Exclusions</w:t>
      </w:r>
      <w:bookmarkEnd w:id="27"/>
      <w:bookmarkEnd w:id="28"/>
      <w:bookmarkEnd w:id="29"/>
      <w:r w:rsidRPr="004B06E3">
        <w:t xml:space="preserve"> </w:t>
      </w:r>
    </w:p>
    <w:p w14:paraId="3D7AE7A2" w14:textId="6B202C5A" w:rsidR="00104737" w:rsidRDefault="00C2763C" w:rsidP="00104737">
      <w:r>
        <w:t>A w</w:t>
      </w:r>
      <w:r w:rsidR="00BA5CE1">
        <w:t xml:space="preserve">alk-in cooler or freezer manufactured </w:t>
      </w:r>
      <w:r w:rsidR="00BA5CE1" w:rsidRPr="00221C03">
        <w:rPr>
          <w:i/>
        </w:rPr>
        <w:t>after</w:t>
      </w:r>
      <w:r w:rsidR="00BA5CE1">
        <w:t xml:space="preserve"> January 1, 2009 </w:t>
      </w:r>
      <w:r>
        <w:t xml:space="preserve">is </w:t>
      </w:r>
      <w:r w:rsidR="00BA5CE1">
        <w:t>not eligible.</w:t>
      </w:r>
    </w:p>
    <w:p w14:paraId="76A9A64F" w14:textId="77777777" w:rsidR="007B6A74" w:rsidRPr="004B06E3" w:rsidRDefault="007B6A74" w:rsidP="004B06E3"/>
    <w:p w14:paraId="655E299F" w14:textId="77777777" w:rsidR="007D230B" w:rsidRPr="004B06E3" w:rsidRDefault="007D230B" w:rsidP="00112EC4">
      <w:pPr>
        <w:pStyle w:val="eTRMHeading3"/>
      </w:pPr>
      <w:bookmarkStart w:id="30" w:name="_Toc486490854"/>
      <w:bookmarkStart w:id="31" w:name="_Toc486580925"/>
      <w:bookmarkStart w:id="32" w:name="_Toc63260314"/>
      <w:r w:rsidRPr="004B06E3">
        <w:t>Data Collection Requirements</w:t>
      </w:r>
      <w:bookmarkEnd w:id="30"/>
      <w:bookmarkEnd w:id="31"/>
      <w:bookmarkEnd w:id="32"/>
      <w:r w:rsidRPr="004B06E3">
        <w:t xml:space="preserve"> </w:t>
      </w:r>
    </w:p>
    <w:p w14:paraId="686F9B97" w14:textId="4C52699D" w:rsidR="007D230B" w:rsidRPr="004B06E3" w:rsidRDefault="005B047B" w:rsidP="008B4A8A">
      <w:r>
        <w:t>Data collection requirements are to be determined.</w:t>
      </w:r>
    </w:p>
    <w:p w14:paraId="1CB0E01A" w14:textId="77777777" w:rsidR="007D230B" w:rsidRDefault="007D230B" w:rsidP="004B06E3">
      <w:pPr>
        <w:pStyle w:val="TableFootnote"/>
      </w:pPr>
    </w:p>
    <w:p w14:paraId="4891FCAB" w14:textId="77777777" w:rsidR="007D230B" w:rsidRPr="004B06E3" w:rsidRDefault="007D230B" w:rsidP="00112EC4">
      <w:pPr>
        <w:pStyle w:val="eTRMHeading3"/>
      </w:pPr>
      <w:bookmarkStart w:id="33" w:name="_Toc486490855"/>
      <w:bookmarkStart w:id="34" w:name="_Toc486580926"/>
      <w:bookmarkStart w:id="35" w:name="_Toc63260315"/>
      <w:r w:rsidRPr="004B06E3">
        <w:t>Use Category</w:t>
      </w:r>
      <w:bookmarkEnd w:id="33"/>
      <w:bookmarkEnd w:id="34"/>
      <w:bookmarkEnd w:id="35"/>
    </w:p>
    <w:p w14:paraId="5C63722D" w14:textId="4456FB05" w:rsidR="00021B68" w:rsidRDefault="00021B68" w:rsidP="00021B68">
      <w:r>
        <w:t xml:space="preserve">Commercial </w:t>
      </w:r>
      <w:r w:rsidR="00216F04">
        <w:t>R</w:t>
      </w:r>
      <w:r>
        <w:t>efrigeration (</w:t>
      </w:r>
      <w:proofErr w:type="spellStart"/>
      <w:r>
        <w:t>ComRefrig</w:t>
      </w:r>
      <w:proofErr w:type="spellEnd"/>
      <w:r>
        <w:t>)</w:t>
      </w:r>
    </w:p>
    <w:p w14:paraId="4CADF863" w14:textId="77777777" w:rsidR="00DB5285" w:rsidRPr="00DB5285" w:rsidRDefault="00DB5285" w:rsidP="00DB5285"/>
    <w:p w14:paraId="7BF0A6E4" w14:textId="77777777" w:rsidR="000570C4" w:rsidRDefault="000570C4" w:rsidP="00112EC4">
      <w:pPr>
        <w:pStyle w:val="eTRMHeading3"/>
      </w:pPr>
      <w:bookmarkStart w:id="36" w:name="_Toc506890113"/>
      <w:bookmarkStart w:id="37" w:name="_Toc517178421"/>
      <w:bookmarkStart w:id="38" w:name="_Toc63260316"/>
      <w:r>
        <w:t>Electric Savings (kWh)</w:t>
      </w:r>
      <w:bookmarkEnd w:id="36"/>
      <w:bookmarkEnd w:id="37"/>
      <w:bookmarkEnd w:id="38"/>
    </w:p>
    <w:p w14:paraId="39B414E3" w14:textId="70FB683C" w:rsidR="00596F0A" w:rsidRDefault="00596F0A" w:rsidP="00596F0A">
      <w:r>
        <w:t>T</w:t>
      </w:r>
      <w:r w:rsidRPr="00E74E8A">
        <w:t xml:space="preserve">he building energy simulation </w:t>
      </w:r>
      <w:r>
        <w:t>model DOE</w:t>
      </w:r>
      <w:r w:rsidR="00513AA3">
        <w:t>-</w:t>
      </w:r>
      <w:r>
        <w:t xml:space="preserve">2.2R (via </w:t>
      </w:r>
      <w:r w:rsidRPr="00E74E8A">
        <w:t xml:space="preserve">eQuest </w:t>
      </w:r>
      <w:r>
        <w:t xml:space="preserve">Refrigeration 3.65) </w:t>
      </w:r>
      <w:r w:rsidRPr="00E74E8A">
        <w:t>was used to</w:t>
      </w:r>
      <w:r>
        <w:t xml:space="preserve"> derive base case and measure case unit energy consumption</w:t>
      </w:r>
      <w:r w:rsidR="005B047B">
        <w:t xml:space="preserve"> (UEC)</w:t>
      </w:r>
      <w:r w:rsidRPr="00E74E8A">
        <w:t>.</w:t>
      </w:r>
      <w:r w:rsidR="00881116">
        <w:rPr>
          <w:rStyle w:val="FootnoteReference"/>
        </w:rPr>
        <w:footnoteReference w:id="2"/>
      </w:r>
      <w:r>
        <w:t xml:space="preserve"> T</w:t>
      </w:r>
      <w:r w:rsidRPr="00FE33C6">
        <w:t xml:space="preserve">he </w:t>
      </w:r>
      <w:r>
        <w:t xml:space="preserve">unit </w:t>
      </w:r>
      <w:r w:rsidRPr="00FE33C6">
        <w:t xml:space="preserve">energy savings </w:t>
      </w:r>
      <w:r w:rsidR="0084198A">
        <w:t>(UES) was</w:t>
      </w:r>
      <w:r w:rsidRPr="00FE33C6">
        <w:t xml:space="preserve"> </w:t>
      </w:r>
      <w:r>
        <w:t xml:space="preserve">calculated as the difference between </w:t>
      </w:r>
      <w:r w:rsidRPr="00FE33C6">
        <w:t xml:space="preserve">the </w:t>
      </w:r>
      <w:r>
        <w:t xml:space="preserve">modeled </w:t>
      </w:r>
      <w:r w:rsidRPr="00FE33C6">
        <w:t xml:space="preserve">total </w:t>
      </w:r>
      <w:r w:rsidR="00D27227">
        <w:t xml:space="preserve">(whole building) </w:t>
      </w:r>
      <w:r w:rsidRPr="00FE33C6">
        <w:t xml:space="preserve">energy consumption of </w:t>
      </w:r>
      <w:r>
        <w:t>the base case and measure case</w:t>
      </w:r>
      <w:r w:rsidRPr="00FE33C6">
        <w:t xml:space="preserve"> models</w:t>
      </w:r>
      <w:r>
        <w:t>. Methods for base case prototype and measure case simulations are provided below.</w:t>
      </w:r>
    </w:p>
    <w:p w14:paraId="66E2E2F7" w14:textId="7AC38436" w:rsidR="002167B3" w:rsidRDefault="002167B3" w:rsidP="00924655">
      <w:pPr>
        <w:rPr>
          <w:i/>
        </w:rPr>
      </w:pPr>
    </w:p>
    <w:p w14:paraId="139AA397" w14:textId="72452D40" w:rsidR="007776F1" w:rsidRPr="0004002D" w:rsidRDefault="007776F1" w:rsidP="007776F1">
      <w:pPr>
        <w:pStyle w:val="eTRMHeading5"/>
        <w:keepNext/>
        <w:keepLines/>
      </w:pPr>
      <w:r>
        <w:t xml:space="preserve">Assumptions </w:t>
      </w:r>
    </w:p>
    <w:p w14:paraId="507A3405" w14:textId="3B062051" w:rsidR="00924655" w:rsidRDefault="002167B3" w:rsidP="002167B3">
      <w:pPr>
        <w:rPr>
          <w:rFonts w:asciiTheme="minorHAnsi" w:hAnsiTheme="minorHAnsi" w:cstheme="minorHAnsi"/>
          <w:i/>
          <w:szCs w:val="22"/>
        </w:rPr>
      </w:pPr>
      <w:r w:rsidRPr="00473D35">
        <w:t>Only the Groc</w:t>
      </w:r>
      <w:r>
        <w:t>ery building type was simulated;</w:t>
      </w:r>
      <w:r w:rsidRPr="00473D35">
        <w:t xml:space="preserve"> </w:t>
      </w:r>
      <w:r>
        <w:t xml:space="preserve">insofar as </w:t>
      </w:r>
      <w:r w:rsidRPr="00473D35">
        <w:t xml:space="preserve">walk-in coolers and freezers generally have the same </w:t>
      </w:r>
      <w:r>
        <w:t xml:space="preserve">operating </w:t>
      </w:r>
      <w:r w:rsidRPr="00473D35">
        <w:t xml:space="preserve">characteristics </w:t>
      </w:r>
      <w:r>
        <w:t>in any</w:t>
      </w:r>
      <w:r w:rsidRPr="00473D35">
        <w:t xml:space="preserve"> building type</w:t>
      </w:r>
      <w:r>
        <w:t>, the Grocery</w:t>
      </w:r>
      <w:r w:rsidRPr="00473D35">
        <w:t xml:space="preserve"> savings were used for other building</w:t>
      </w:r>
      <w:r>
        <w:t xml:space="preserve"> types</w:t>
      </w:r>
      <w:r w:rsidRPr="00473D35">
        <w:t>.</w:t>
      </w:r>
    </w:p>
    <w:p w14:paraId="2204220A" w14:textId="77777777" w:rsidR="007776F1" w:rsidRDefault="007776F1" w:rsidP="002167B3">
      <w:pPr>
        <w:rPr>
          <w:rFonts w:asciiTheme="minorHAnsi" w:hAnsiTheme="minorHAnsi" w:cstheme="minorHAnsi"/>
          <w:i/>
          <w:szCs w:val="22"/>
        </w:rPr>
      </w:pPr>
    </w:p>
    <w:p w14:paraId="28077DC1" w14:textId="0CA7AA36" w:rsidR="007776F1" w:rsidRDefault="007776F1" w:rsidP="00C83EE7">
      <w:pPr>
        <w:pStyle w:val="eTRMHeading5"/>
      </w:pPr>
      <w:r>
        <w:t>Base C</w:t>
      </w:r>
      <w:r w:rsidRPr="00FE33C6">
        <w:t xml:space="preserve">ase </w:t>
      </w:r>
      <w:r>
        <w:t>M</w:t>
      </w:r>
      <w:r w:rsidRPr="00FE33C6">
        <w:t xml:space="preserve">odel </w:t>
      </w:r>
      <w:r>
        <w:t>S</w:t>
      </w:r>
      <w:r w:rsidRPr="00FE33C6">
        <w:t>imulations</w:t>
      </w:r>
    </w:p>
    <w:p w14:paraId="24C626B2" w14:textId="287ED644" w:rsidR="00D736D3" w:rsidRDefault="00F52049" w:rsidP="00C83EE7">
      <w:r>
        <w:t>T</w:t>
      </w:r>
      <w:r w:rsidRPr="00E74E8A">
        <w:t xml:space="preserve">he building energy simulation </w:t>
      </w:r>
      <w:r>
        <w:t xml:space="preserve">tool DOE-2.2R (via </w:t>
      </w:r>
      <w:r w:rsidRPr="00E74E8A">
        <w:t xml:space="preserve">eQuest </w:t>
      </w:r>
      <w:r>
        <w:t xml:space="preserve">Refrigeration 3.65) </w:t>
      </w:r>
      <w:r w:rsidRPr="00E74E8A">
        <w:t>was used to</w:t>
      </w:r>
      <w:r>
        <w:t xml:space="preserve"> derive base case and measure case </w:t>
      </w:r>
      <w:r w:rsidR="00881116">
        <w:t>UEC</w:t>
      </w:r>
      <w:r w:rsidRPr="00E74E8A">
        <w:t xml:space="preserve">. </w:t>
      </w:r>
      <w:r>
        <w:t xml:space="preserve">The </w:t>
      </w:r>
      <w:r w:rsidR="00881116">
        <w:t xml:space="preserve">base case </w:t>
      </w:r>
      <w:r>
        <w:t>model is summarized as follows:</w:t>
      </w:r>
    </w:p>
    <w:p w14:paraId="5E93E429" w14:textId="5C025DCC" w:rsidR="00BF3186" w:rsidRDefault="00F52049" w:rsidP="00C83EE7">
      <w:pPr>
        <w:pStyle w:val="eTRMBulletedText"/>
        <w:numPr>
          <w:ilvl w:val="0"/>
          <w:numId w:val="17"/>
        </w:numPr>
      </w:pPr>
      <w:r w:rsidRPr="00F52049">
        <w:lastRenderedPageBreak/>
        <w:t xml:space="preserve">DEER 2020 prototypes were generated from </w:t>
      </w:r>
      <w:proofErr w:type="spellStart"/>
      <w:r w:rsidRPr="00F52049">
        <w:t>MASControl</w:t>
      </w:r>
      <w:proofErr w:type="spellEnd"/>
      <w:r w:rsidRPr="00F52049">
        <w:t xml:space="preserve"> version 3 and updated to account for current code and market conditions for commercial refrigeration systems</w:t>
      </w:r>
      <w:r w:rsidR="00BF3186" w:rsidRPr="00216F04">
        <w:t>.</w:t>
      </w:r>
      <w:r w:rsidR="00BF3186" w:rsidRPr="00216F04">
        <w:rPr>
          <w:rStyle w:val="FootnoteReference"/>
        </w:rPr>
        <w:footnoteReference w:id="3"/>
      </w:r>
      <w:r w:rsidR="007E5455">
        <w:t xml:space="preserve"> Cooler and freezer spaces were included in models provided by Solaris</w:t>
      </w:r>
      <w:r>
        <w:t>, on behalf of SCE</w:t>
      </w:r>
      <w:r w:rsidR="007E5455">
        <w:t>.</w:t>
      </w:r>
      <w:r w:rsidR="00210705">
        <w:t xml:space="preserve"> Note that the freezer and cooler spaces in the current prototypes are slightly larger than the previous </w:t>
      </w:r>
      <w:r w:rsidR="005A4E12">
        <w:t xml:space="preserve">DEER prototype </w:t>
      </w:r>
      <w:r w:rsidR="00210705">
        <w:t xml:space="preserve">model. </w:t>
      </w:r>
    </w:p>
    <w:p w14:paraId="756F1704" w14:textId="3B482392" w:rsidR="00EF6B68" w:rsidRDefault="00A9308D" w:rsidP="00C83EE7">
      <w:pPr>
        <w:pStyle w:val="eTRMBulletedText"/>
        <w:numPr>
          <w:ilvl w:val="0"/>
          <w:numId w:val="17"/>
        </w:numPr>
      </w:pPr>
      <w:r>
        <w:t>The o</w:t>
      </w:r>
      <w:r w:rsidR="003D0E6A">
        <w:t>riginal i</w:t>
      </w:r>
      <w:r w:rsidR="00F374E5">
        <w:t>nfiltration schedule</w:t>
      </w:r>
      <w:r w:rsidR="007E5455">
        <w:t xml:space="preserve"> (ID: </w:t>
      </w:r>
      <w:proofErr w:type="spellStart"/>
      <w:r w:rsidR="007E5455" w:rsidRPr="007E5455">
        <w:t>D_Gro_All_C_Inf_Yr</w:t>
      </w:r>
      <w:proofErr w:type="spellEnd"/>
      <w:r w:rsidR="007E5455">
        <w:t>)</w:t>
      </w:r>
      <w:r w:rsidR="00E02E21">
        <w:t xml:space="preserve"> defined in the updated prototype models</w:t>
      </w:r>
      <w:r w:rsidR="00F374E5">
        <w:t xml:space="preserve"> </w:t>
      </w:r>
      <w:r w:rsidR="00C52C72">
        <w:t>for</w:t>
      </w:r>
      <w:r w:rsidR="00F374E5">
        <w:t xml:space="preserve"> the cooler and freezer storage spaces w</w:t>
      </w:r>
      <w:r w:rsidR="00C52C72">
        <w:t>as</w:t>
      </w:r>
      <w:r w:rsidR="00F374E5">
        <w:t xml:space="preserve"> removed.</w:t>
      </w:r>
      <w:r w:rsidR="00E02E21">
        <w:t xml:space="preserve"> </w:t>
      </w:r>
      <w:r w:rsidR="00EF6B68">
        <w:t>Instead, the door schedule (</w:t>
      </w:r>
      <w:r w:rsidR="00816BD5">
        <w:t xml:space="preserve">ID: </w:t>
      </w:r>
      <w:proofErr w:type="spellStart"/>
      <w:r w:rsidR="00816BD5">
        <w:t>StockDoorSch</w:t>
      </w:r>
      <w:proofErr w:type="spellEnd"/>
      <w:r w:rsidR="00EF6B68">
        <w:t>, included in the update</w:t>
      </w:r>
      <w:r w:rsidR="005D2326">
        <w:t>d</w:t>
      </w:r>
      <w:r w:rsidR="00EF6B68">
        <w:t xml:space="preserve"> DEER model) combined with the infiltration rate changes noted in </w:t>
      </w:r>
      <w:r w:rsidR="00881116">
        <w:t>the table below</w:t>
      </w:r>
      <w:r w:rsidR="00EF6B68">
        <w:t xml:space="preserve"> </w:t>
      </w:r>
      <w:r w:rsidR="00881116">
        <w:t xml:space="preserve">were </w:t>
      </w:r>
      <w:r w:rsidR="00EF6B68">
        <w:t>meant to simulate the difference in infiltration based on differing door usage.</w:t>
      </w:r>
      <w:r w:rsidR="007A62BA" w:rsidDel="007A62BA">
        <w:t xml:space="preserve"> </w:t>
      </w:r>
    </w:p>
    <w:p w14:paraId="62F2F820" w14:textId="01E32AA3" w:rsidR="009B55D7" w:rsidRDefault="00BF3186" w:rsidP="00C83EE7">
      <w:pPr>
        <w:pStyle w:val="eTRMBulletedText"/>
        <w:numPr>
          <w:ilvl w:val="0"/>
          <w:numId w:val="17"/>
        </w:numPr>
      </w:pPr>
      <w:r w:rsidRPr="00760908">
        <w:t>The weather files were updated using DEER</w:t>
      </w:r>
      <w:r>
        <w:t xml:space="preserve"> </w:t>
      </w:r>
      <w:r w:rsidRPr="00760908">
        <w:t>20</w:t>
      </w:r>
      <w:r>
        <w:t>20</w:t>
      </w:r>
      <w:r w:rsidRPr="00760908">
        <w:t xml:space="preserve"> CZ2010 weather data files.</w:t>
      </w:r>
      <w:r>
        <w:t xml:space="preserve"> </w:t>
      </w:r>
    </w:p>
    <w:p w14:paraId="226411A6" w14:textId="168788F7" w:rsidR="00B97F10" w:rsidRDefault="00BF3186" w:rsidP="00C83EE7">
      <w:pPr>
        <w:pStyle w:val="eTRMBulletedText"/>
        <w:numPr>
          <w:ilvl w:val="0"/>
          <w:numId w:val="17"/>
        </w:numPr>
      </w:pPr>
      <w:r>
        <w:t>Simulations</w:t>
      </w:r>
      <w:r w:rsidRPr="00760908">
        <w:t xml:space="preserve"> </w:t>
      </w:r>
      <w:r>
        <w:t xml:space="preserve">were generated </w:t>
      </w:r>
      <w:r w:rsidRPr="00760908">
        <w:t xml:space="preserve">for </w:t>
      </w:r>
      <w:r>
        <w:t>Grocery building type, building vintage 20</w:t>
      </w:r>
      <w:r w:rsidR="00BE761F">
        <w:t>15</w:t>
      </w:r>
      <w:r w:rsidR="007A62BA">
        <w:t>,</w:t>
      </w:r>
      <w:r>
        <w:t xml:space="preserve"> and for each of the 16 California</w:t>
      </w:r>
      <w:r w:rsidRPr="00760908">
        <w:t xml:space="preserve"> climate zones</w:t>
      </w:r>
      <w:r>
        <w:t xml:space="preserve">. </w:t>
      </w:r>
      <w:r w:rsidR="007A62BA">
        <w:t xml:space="preserve">The </w:t>
      </w:r>
      <w:r w:rsidR="00BE761F">
        <w:t xml:space="preserve">2015 building vintage was used </w:t>
      </w:r>
      <w:r w:rsidR="006A7E07">
        <w:t xml:space="preserve">because its age most closely reflects the </w:t>
      </w:r>
      <w:r w:rsidR="009B55D7">
        <w:t xml:space="preserve">existing </w:t>
      </w:r>
      <w:r w:rsidR="006A7E07">
        <w:t>equipment</w:t>
      </w:r>
      <w:r w:rsidR="00881116">
        <w:t xml:space="preserve"> remaining useful life</w:t>
      </w:r>
      <w:r w:rsidR="006A7E07">
        <w:t xml:space="preserve"> </w:t>
      </w:r>
      <w:r w:rsidR="00881116">
        <w:t>(</w:t>
      </w:r>
      <w:r w:rsidR="006A7E07">
        <w:t>RUL</w:t>
      </w:r>
      <w:r w:rsidR="00881116">
        <w:t>)</w:t>
      </w:r>
      <w:r w:rsidR="006A7E07">
        <w:t xml:space="preserve">. </w:t>
      </w:r>
      <w:r w:rsidR="00881116">
        <w:t xml:space="preserve">The </w:t>
      </w:r>
      <w:r w:rsidR="006A7E07">
        <w:t xml:space="preserve">RUL is used to determine the building vintage as the measure is </w:t>
      </w:r>
      <w:r w:rsidR="008860D1">
        <w:t>being added on to existing equipment</w:t>
      </w:r>
      <w:r w:rsidR="006A7E07">
        <w:t>.</w:t>
      </w:r>
    </w:p>
    <w:p w14:paraId="02D2EDDA" w14:textId="77777777" w:rsidR="00881116" w:rsidRDefault="00881116" w:rsidP="00881116">
      <w:pPr>
        <w:pStyle w:val="eTRMBulletedText"/>
      </w:pPr>
    </w:p>
    <w:p w14:paraId="38FBCEB6" w14:textId="0DCE5681" w:rsidR="00B560BD" w:rsidRDefault="00FD11E1" w:rsidP="00216F04">
      <w:pPr>
        <w:pStyle w:val="eTRMHeading5"/>
        <w:keepNext/>
        <w:keepLines/>
        <w:tabs>
          <w:tab w:val="left" w:pos="270"/>
        </w:tabs>
      </w:pPr>
      <w:r>
        <w:t>M</w:t>
      </w:r>
      <w:r w:rsidR="00B560BD">
        <w:t>easure C</w:t>
      </w:r>
      <w:r w:rsidR="00B560BD" w:rsidRPr="00FE33C6">
        <w:t xml:space="preserve">ase </w:t>
      </w:r>
      <w:r w:rsidR="00B560BD">
        <w:t>M</w:t>
      </w:r>
      <w:r w:rsidR="00B560BD" w:rsidRPr="00FE33C6">
        <w:t xml:space="preserve">odel </w:t>
      </w:r>
      <w:r w:rsidR="00B560BD">
        <w:t>S</w:t>
      </w:r>
      <w:r w:rsidR="00B560BD" w:rsidRPr="00FE33C6">
        <w:t>imulations</w:t>
      </w:r>
    </w:p>
    <w:p w14:paraId="78FF55E8" w14:textId="156DA270" w:rsidR="00596F0A" w:rsidRDefault="0051716A" w:rsidP="00C83EE7">
      <w:r>
        <w:t>The base case model was modified t</w:t>
      </w:r>
      <w:r w:rsidR="00A1785F">
        <w:t>o</w:t>
      </w:r>
      <w:r w:rsidR="00C631C5" w:rsidRPr="0004002D">
        <w:t xml:space="preserve"> </w:t>
      </w:r>
      <w:r w:rsidR="00881116">
        <w:t>simulate</w:t>
      </w:r>
      <w:r w:rsidR="00881116" w:rsidRPr="0004002D">
        <w:t xml:space="preserve"> </w:t>
      </w:r>
      <w:r w:rsidR="00C631C5" w:rsidRPr="0004002D">
        <w:t>the measure case</w:t>
      </w:r>
      <w:r w:rsidR="00881116">
        <w:t xml:space="preserve"> UEC</w:t>
      </w:r>
      <w:r w:rsidR="00596F0A">
        <w:t>:</w:t>
      </w:r>
    </w:p>
    <w:p w14:paraId="42428C03" w14:textId="0C9471C3" w:rsidR="00F374E5" w:rsidRPr="00BD1586" w:rsidRDefault="00F374E5" w:rsidP="00C83EE7">
      <w:pPr>
        <w:pStyle w:val="eTRMBulletedText"/>
        <w:numPr>
          <w:ilvl w:val="0"/>
          <w:numId w:val="19"/>
        </w:numPr>
      </w:pPr>
      <w:r w:rsidRPr="00BD1586">
        <w:t xml:space="preserve">The </w:t>
      </w:r>
      <w:r>
        <w:t>measures reduce</w:t>
      </w:r>
      <w:r w:rsidR="000F72D3">
        <w:t xml:space="preserve"> the</w:t>
      </w:r>
      <w:r>
        <w:t xml:space="preserve"> infiltration into the coolers and freezers by </w:t>
      </w:r>
      <w:r w:rsidRPr="0004002D">
        <w:t>40%.</w:t>
      </w:r>
      <w:r>
        <w:rPr>
          <w:rStyle w:val="FootnoteReference"/>
        </w:rPr>
        <w:footnoteReference w:id="4"/>
      </w:r>
      <w:r>
        <w:t xml:space="preserve"> This differs from the method used to estimate the energy savings in the DEER05 calculations. The DEER05 calculations assumed a 40% reduction in the source power of the cooler. The new method reduces the infiltration rates of the cooler and freezer, as defined by the measures.</w:t>
      </w:r>
    </w:p>
    <w:p w14:paraId="18803473" w14:textId="246E56A8" w:rsidR="004B3D8C" w:rsidRDefault="00991DD3" w:rsidP="00216F04">
      <w:pPr>
        <w:pStyle w:val="ListParagraph"/>
        <w:numPr>
          <w:ilvl w:val="0"/>
          <w:numId w:val="0"/>
        </w:numPr>
        <w:tabs>
          <w:tab w:val="left" w:pos="270"/>
        </w:tabs>
      </w:pPr>
      <w:r>
        <w:t xml:space="preserve">The following parameters were edited </w:t>
      </w:r>
      <w:r w:rsidR="00045599">
        <w:t>within the</w:t>
      </w:r>
      <w:r>
        <w:t xml:space="preserve"> separate cooler and freezer </w:t>
      </w:r>
      <w:r w:rsidR="00045599">
        <w:t>measure case building models:</w:t>
      </w:r>
    </w:p>
    <w:p w14:paraId="12BAFD98" w14:textId="193E2876" w:rsidR="00045599" w:rsidRDefault="003D0E6A" w:rsidP="003D0E6A">
      <w:pPr>
        <w:pStyle w:val="Caption"/>
      </w:pPr>
      <w:r>
        <w:t>Base Case and Measure Case Infiltration Rates</w:t>
      </w:r>
    </w:p>
    <w:tbl>
      <w:tblPr>
        <w:tblStyle w:val="TableGrid"/>
        <w:tblW w:w="89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20"/>
        <w:gridCol w:w="2780"/>
        <w:gridCol w:w="1789"/>
        <w:gridCol w:w="1586"/>
        <w:gridCol w:w="1530"/>
      </w:tblGrid>
      <w:tr w:rsidR="00D11A3F" w:rsidRPr="00881116" w14:paraId="7F4A3ED3" w14:textId="3198824D" w:rsidTr="00221C03">
        <w:trPr>
          <w:trHeight w:val="288"/>
          <w:tblHeader/>
        </w:trPr>
        <w:tc>
          <w:tcPr>
            <w:tcW w:w="1220" w:type="dxa"/>
            <w:shd w:val="clear" w:color="auto" w:fill="F2F2F2" w:themeFill="background1" w:themeFillShade="F2"/>
            <w:vAlign w:val="bottom"/>
          </w:tcPr>
          <w:p w14:paraId="314FFDF8" w14:textId="1BCE24C7" w:rsidR="00D11A3F" w:rsidRPr="00221C03" w:rsidRDefault="00D11A3F" w:rsidP="00881116">
            <w:pPr>
              <w:spacing w:before="0" w:after="0" w:line="240" w:lineRule="auto"/>
              <w:jc w:val="center"/>
              <w:rPr>
                <w:rFonts w:eastAsia="Times New Roman" w:cs="Calibri Light"/>
                <w:b/>
                <w:bCs/>
                <w:color w:val="000000"/>
                <w:sz w:val="20"/>
                <w:szCs w:val="22"/>
              </w:rPr>
            </w:pPr>
            <w:r w:rsidRPr="00221C03">
              <w:rPr>
                <w:rFonts w:eastAsia="Times New Roman" w:cs="Calibri Light"/>
                <w:b/>
                <w:bCs/>
                <w:color w:val="000000"/>
                <w:sz w:val="20"/>
                <w:szCs w:val="22"/>
              </w:rPr>
              <w:t>Measure</w:t>
            </w:r>
          </w:p>
        </w:tc>
        <w:tc>
          <w:tcPr>
            <w:tcW w:w="2780" w:type="dxa"/>
            <w:shd w:val="clear" w:color="auto" w:fill="F2F2F2" w:themeFill="background1" w:themeFillShade="F2"/>
            <w:vAlign w:val="bottom"/>
          </w:tcPr>
          <w:p w14:paraId="4DCAD57B" w14:textId="7BCAE213" w:rsidR="00D11A3F" w:rsidRPr="00221C03" w:rsidRDefault="00D11A3F" w:rsidP="00881116">
            <w:pPr>
              <w:spacing w:before="0" w:after="0" w:line="240" w:lineRule="auto"/>
              <w:jc w:val="center"/>
              <w:rPr>
                <w:rFonts w:eastAsia="Times New Roman" w:cs="Calibri Light"/>
                <w:b/>
                <w:bCs/>
                <w:color w:val="000000"/>
                <w:sz w:val="20"/>
                <w:szCs w:val="22"/>
              </w:rPr>
            </w:pPr>
            <w:r w:rsidRPr="00221C03">
              <w:rPr>
                <w:rFonts w:eastAsia="Times New Roman" w:cs="Calibri Light"/>
                <w:b/>
                <w:bCs/>
                <w:color w:val="000000"/>
                <w:sz w:val="20"/>
                <w:szCs w:val="22"/>
              </w:rPr>
              <w:t>Space</w:t>
            </w:r>
          </w:p>
        </w:tc>
        <w:tc>
          <w:tcPr>
            <w:tcW w:w="1789" w:type="dxa"/>
            <w:shd w:val="clear" w:color="auto" w:fill="F2F2F2" w:themeFill="background1" w:themeFillShade="F2"/>
            <w:vAlign w:val="bottom"/>
            <w:hideMark/>
          </w:tcPr>
          <w:p w14:paraId="0D2CD646" w14:textId="46087705" w:rsidR="00D11A3F" w:rsidRPr="00221C03" w:rsidRDefault="00D11A3F" w:rsidP="00881116">
            <w:pPr>
              <w:spacing w:before="0" w:after="0" w:line="240" w:lineRule="auto"/>
              <w:jc w:val="center"/>
              <w:rPr>
                <w:rFonts w:eastAsia="Times New Roman" w:cs="Calibri Light"/>
                <w:b/>
                <w:bCs/>
                <w:color w:val="000000"/>
                <w:sz w:val="20"/>
                <w:szCs w:val="22"/>
              </w:rPr>
            </w:pPr>
            <w:r w:rsidRPr="00221C03">
              <w:rPr>
                <w:rFonts w:eastAsia="Times New Roman" w:cs="Calibri Light"/>
                <w:b/>
                <w:bCs/>
                <w:color w:val="000000"/>
                <w:sz w:val="20"/>
                <w:szCs w:val="22"/>
              </w:rPr>
              <w:t>Parameter</w:t>
            </w:r>
          </w:p>
        </w:tc>
        <w:tc>
          <w:tcPr>
            <w:tcW w:w="1586" w:type="dxa"/>
            <w:shd w:val="clear" w:color="auto" w:fill="F2F2F2" w:themeFill="background1" w:themeFillShade="F2"/>
            <w:vAlign w:val="bottom"/>
            <w:hideMark/>
          </w:tcPr>
          <w:p w14:paraId="0C24EAA4" w14:textId="09F2CA3D" w:rsidR="00D11A3F" w:rsidRPr="00221C03" w:rsidRDefault="00D11A3F" w:rsidP="00881116">
            <w:pPr>
              <w:spacing w:before="0" w:after="0" w:line="240" w:lineRule="auto"/>
              <w:jc w:val="center"/>
              <w:rPr>
                <w:rFonts w:eastAsia="Times New Roman" w:cs="Calibri Light"/>
                <w:b/>
                <w:bCs/>
                <w:color w:val="000000"/>
                <w:sz w:val="20"/>
                <w:szCs w:val="22"/>
              </w:rPr>
            </w:pPr>
            <w:r w:rsidRPr="00221C03">
              <w:rPr>
                <w:rFonts w:eastAsia="Times New Roman" w:cs="Calibri Light"/>
                <w:b/>
                <w:bCs/>
                <w:color w:val="000000"/>
                <w:sz w:val="20"/>
                <w:szCs w:val="22"/>
              </w:rPr>
              <w:t>Base Case Value (CFM)</w:t>
            </w:r>
          </w:p>
        </w:tc>
        <w:tc>
          <w:tcPr>
            <w:tcW w:w="1530" w:type="dxa"/>
            <w:shd w:val="clear" w:color="auto" w:fill="F2F2F2" w:themeFill="background1" w:themeFillShade="F2"/>
            <w:vAlign w:val="bottom"/>
          </w:tcPr>
          <w:p w14:paraId="42CBA4D1" w14:textId="76E237C7" w:rsidR="00D11A3F" w:rsidRPr="00221C03" w:rsidRDefault="00D11A3F" w:rsidP="00881116">
            <w:pPr>
              <w:spacing w:before="0" w:after="0" w:line="240" w:lineRule="auto"/>
              <w:jc w:val="center"/>
              <w:rPr>
                <w:rFonts w:eastAsia="Times New Roman" w:cs="Calibri Light"/>
                <w:b/>
                <w:bCs/>
                <w:color w:val="000000"/>
                <w:sz w:val="20"/>
                <w:szCs w:val="22"/>
              </w:rPr>
            </w:pPr>
            <w:r w:rsidRPr="00221C03">
              <w:rPr>
                <w:rFonts w:eastAsia="Times New Roman" w:cs="Calibri Light"/>
                <w:b/>
                <w:bCs/>
                <w:color w:val="000000"/>
                <w:sz w:val="20"/>
                <w:szCs w:val="22"/>
              </w:rPr>
              <w:t>Measure Case Value (CFM)</w:t>
            </w:r>
          </w:p>
        </w:tc>
      </w:tr>
      <w:tr w:rsidR="00D11A3F" w:rsidRPr="00881116" w14:paraId="380E4522" w14:textId="197ECA25" w:rsidTr="00221C03">
        <w:trPr>
          <w:trHeight w:val="288"/>
        </w:trPr>
        <w:tc>
          <w:tcPr>
            <w:tcW w:w="1220" w:type="dxa"/>
            <w:vAlign w:val="center"/>
          </w:tcPr>
          <w:p w14:paraId="721C5637" w14:textId="32653F1E" w:rsidR="00D11A3F" w:rsidRPr="00221C03" w:rsidRDefault="00D11A3F">
            <w:pPr>
              <w:spacing w:before="0" w:after="0" w:line="240" w:lineRule="auto"/>
              <w:jc w:val="center"/>
              <w:rPr>
                <w:rFonts w:eastAsia="Times New Roman" w:cs="Calibri Light"/>
                <w:color w:val="000000"/>
                <w:sz w:val="20"/>
                <w:szCs w:val="22"/>
              </w:rPr>
            </w:pPr>
            <w:r w:rsidRPr="00221C03">
              <w:rPr>
                <w:rFonts w:eastAsia="Times New Roman" w:cs="Calibri Light"/>
                <w:color w:val="000000"/>
                <w:sz w:val="20"/>
                <w:szCs w:val="22"/>
              </w:rPr>
              <w:t>Cooler</w:t>
            </w:r>
          </w:p>
        </w:tc>
        <w:tc>
          <w:tcPr>
            <w:tcW w:w="2780" w:type="dxa"/>
            <w:vAlign w:val="center"/>
          </w:tcPr>
          <w:p w14:paraId="57741994" w14:textId="4FA83091" w:rsidR="00D11A3F" w:rsidRPr="00221C03" w:rsidRDefault="00905334">
            <w:pPr>
              <w:spacing w:before="0" w:after="0" w:line="240" w:lineRule="auto"/>
              <w:jc w:val="center"/>
              <w:rPr>
                <w:rFonts w:eastAsia="Times New Roman" w:cs="Calibri Light"/>
                <w:color w:val="000000"/>
                <w:sz w:val="20"/>
                <w:szCs w:val="22"/>
              </w:rPr>
            </w:pPr>
            <w:bookmarkStart w:id="39" w:name="_Hlk529455515"/>
            <w:proofErr w:type="spellStart"/>
            <w:r w:rsidRPr="00221C03">
              <w:rPr>
                <w:rFonts w:eastAsia="Times New Roman" w:cs="Calibri Light"/>
                <w:color w:val="000000"/>
                <w:sz w:val="20"/>
                <w:szCs w:val="22"/>
              </w:rPr>
              <w:t>A_RfgWClr_C</w:t>
            </w:r>
            <w:bookmarkEnd w:id="39"/>
            <w:proofErr w:type="spellEnd"/>
          </w:p>
        </w:tc>
        <w:tc>
          <w:tcPr>
            <w:tcW w:w="1789" w:type="dxa"/>
            <w:vAlign w:val="center"/>
            <w:hideMark/>
          </w:tcPr>
          <w:p w14:paraId="5E591169" w14:textId="5F51E42F" w:rsidR="00D11A3F" w:rsidRPr="00221C03" w:rsidRDefault="00D11A3F">
            <w:pPr>
              <w:spacing w:before="0" w:after="0" w:line="240" w:lineRule="auto"/>
              <w:jc w:val="center"/>
              <w:rPr>
                <w:rFonts w:eastAsia="Times New Roman" w:cs="Calibri Light"/>
                <w:color w:val="000000"/>
                <w:sz w:val="20"/>
                <w:szCs w:val="22"/>
              </w:rPr>
            </w:pPr>
            <w:bookmarkStart w:id="40" w:name="_Hlk529455536"/>
            <w:r w:rsidRPr="00221C03">
              <w:rPr>
                <w:rFonts w:eastAsia="Times New Roman" w:cs="Calibri Light"/>
                <w:color w:val="000000"/>
                <w:sz w:val="20"/>
                <w:szCs w:val="22"/>
              </w:rPr>
              <w:t>INF-FLOW/AREA</w:t>
            </w:r>
            <w:bookmarkEnd w:id="40"/>
          </w:p>
        </w:tc>
        <w:tc>
          <w:tcPr>
            <w:tcW w:w="1586" w:type="dxa"/>
            <w:vAlign w:val="center"/>
          </w:tcPr>
          <w:p w14:paraId="19FDC8D5" w14:textId="6CA9E8E3" w:rsidR="00D11A3F" w:rsidRPr="00221C03" w:rsidRDefault="00D11A3F">
            <w:pPr>
              <w:spacing w:before="0" w:after="0" w:line="240" w:lineRule="auto"/>
              <w:jc w:val="center"/>
              <w:rPr>
                <w:rFonts w:eastAsia="Times New Roman" w:cs="Calibri Light"/>
                <w:color w:val="000000"/>
                <w:sz w:val="20"/>
                <w:szCs w:val="22"/>
              </w:rPr>
            </w:pPr>
            <w:bookmarkStart w:id="41" w:name="_Hlk529455554"/>
            <w:r w:rsidRPr="00221C03">
              <w:rPr>
                <w:rFonts w:eastAsia="Times New Roman" w:cs="Calibri Light"/>
                <w:color w:val="000000"/>
                <w:sz w:val="20"/>
                <w:szCs w:val="22"/>
              </w:rPr>
              <w:t>0.0708333</w:t>
            </w:r>
            <w:bookmarkEnd w:id="41"/>
          </w:p>
        </w:tc>
        <w:tc>
          <w:tcPr>
            <w:tcW w:w="1530" w:type="dxa"/>
            <w:vAlign w:val="center"/>
          </w:tcPr>
          <w:p w14:paraId="301DB1ED" w14:textId="6D4B0789" w:rsidR="00D11A3F" w:rsidRPr="00221C03" w:rsidRDefault="00D11A3F">
            <w:pPr>
              <w:spacing w:before="0" w:after="0" w:line="240" w:lineRule="auto"/>
              <w:jc w:val="center"/>
              <w:rPr>
                <w:rFonts w:eastAsia="Times New Roman" w:cs="Calibri Light"/>
                <w:color w:val="000000"/>
                <w:sz w:val="20"/>
                <w:szCs w:val="22"/>
              </w:rPr>
            </w:pPr>
            <w:bookmarkStart w:id="42" w:name="_Hlk529455548"/>
            <w:r w:rsidRPr="00221C03">
              <w:rPr>
                <w:rFonts w:eastAsia="Times New Roman" w:cs="Calibri Light"/>
                <w:color w:val="000000"/>
                <w:sz w:val="20"/>
                <w:szCs w:val="22"/>
              </w:rPr>
              <w:t>0.0425000</w:t>
            </w:r>
            <w:bookmarkEnd w:id="42"/>
          </w:p>
        </w:tc>
      </w:tr>
      <w:tr w:rsidR="00D11A3F" w:rsidRPr="00881116" w14:paraId="516AB4DF" w14:textId="77777777" w:rsidTr="00221C03">
        <w:trPr>
          <w:trHeight w:val="288"/>
        </w:trPr>
        <w:tc>
          <w:tcPr>
            <w:tcW w:w="1220" w:type="dxa"/>
            <w:vAlign w:val="center"/>
          </w:tcPr>
          <w:p w14:paraId="38318FC6" w14:textId="7A9988E3" w:rsidR="00D11A3F" w:rsidRPr="00221C03" w:rsidRDefault="00D11A3F">
            <w:pPr>
              <w:spacing w:before="0" w:after="0" w:line="240" w:lineRule="auto"/>
              <w:jc w:val="center"/>
              <w:rPr>
                <w:rFonts w:eastAsia="Times New Roman" w:cs="Calibri Light"/>
                <w:color w:val="000000"/>
                <w:sz w:val="20"/>
                <w:szCs w:val="22"/>
              </w:rPr>
            </w:pPr>
            <w:r w:rsidRPr="00221C03">
              <w:rPr>
                <w:rFonts w:eastAsia="Times New Roman" w:cs="Calibri Light"/>
                <w:color w:val="000000"/>
                <w:sz w:val="20"/>
                <w:szCs w:val="22"/>
              </w:rPr>
              <w:t>Freezer</w:t>
            </w:r>
          </w:p>
        </w:tc>
        <w:tc>
          <w:tcPr>
            <w:tcW w:w="2780" w:type="dxa"/>
            <w:vAlign w:val="center"/>
          </w:tcPr>
          <w:p w14:paraId="60657C4A" w14:textId="025C04D2" w:rsidR="00D11A3F" w:rsidRPr="00221C03" w:rsidRDefault="00210705">
            <w:pPr>
              <w:spacing w:before="0" w:after="0" w:line="240" w:lineRule="auto"/>
              <w:jc w:val="center"/>
              <w:rPr>
                <w:rFonts w:eastAsia="Times New Roman" w:cs="Calibri Light"/>
                <w:color w:val="000000"/>
                <w:sz w:val="20"/>
                <w:szCs w:val="22"/>
              </w:rPr>
            </w:pPr>
            <w:bookmarkStart w:id="43" w:name="_Hlk529455576"/>
            <w:proofErr w:type="spellStart"/>
            <w:r w:rsidRPr="00221C03">
              <w:rPr>
                <w:rFonts w:eastAsia="Times New Roman" w:cs="Calibri Light"/>
                <w:color w:val="000000"/>
                <w:sz w:val="20"/>
                <w:szCs w:val="22"/>
              </w:rPr>
              <w:t>A_RfgWFrz_C</w:t>
            </w:r>
            <w:bookmarkEnd w:id="43"/>
            <w:proofErr w:type="spellEnd"/>
          </w:p>
        </w:tc>
        <w:tc>
          <w:tcPr>
            <w:tcW w:w="1789" w:type="dxa"/>
            <w:vAlign w:val="center"/>
          </w:tcPr>
          <w:p w14:paraId="305E0929" w14:textId="6B37538E" w:rsidR="00D11A3F" w:rsidRPr="00221C03" w:rsidRDefault="00D11A3F">
            <w:pPr>
              <w:spacing w:before="0" w:after="0" w:line="240" w:lineRule="auto"/>
              <w:jc w:val="center"/>
              <w:rPr>
                <w:rFonts w:eastAsia="Times New Roman" w:cs="Calibri Light"/>
                <w:color w:val="000000"/>
                <w:sz w:val="20"/>
                <w:szCs w:val="22"/>
              </w:rPr>
            </w:pPr>
            <w:r w:rsidRPr="00221C03">
              <w:rPr>
                <w:rFonts w:eastAsia="Times New Roman" w:cs="Calibri Light"/>
                <w:color w:val="000000"/>
                <w:sz w:val="20"/>
                <w:szCs w:val="22"/>
              </w:rPr>
              <w:t>INF-FLOW/AREA</w:t>
            </w:r>
          </w:p>
        </w:tc>
        <w:tc>
          <w:tcPr>
            <w:tcW w:w="1586" w:type="dxa"/>
            <w:vAlign w:val="center"/>
          </w:tcPr>
          <w:p w14:paraId="2292416A" w14:textId="683645F5" w:rsidR="00D11A3F" w:rsidRPr="00221C03" w:rsidRDefault="00D11A3F">
            <w:pPr>
              <w:spacing w:before="0" w:after="0" w:line="240" w:lineRule="auto"/>
              <w:jc w:val="center"/>
              <w:rPr>
                <w:rFonts w:eastAsia="Times New Roman" w:cs="Calibri Light"/>
                <w:color w:val="000000"/>
                <w:sz w:val="20"/>
                <w:szCs w:val="22"/>
              </w:rPr>
            </w:pPr>
            <w:r w:rsidRPr="00221C03">
              <w:rPr>
                <w:rFonts w:eastAsia="Times New Roman" w:cs="Calibri Light"/>
                <w:color w:val="000000"/>
                <w:sz w:val="20"/>
                <w:szCs w:val="22"/>
              </w:rPr>
              <w:t>0.0708333</w:t>
            </w:r>
          </w:p>
        </w:tc>
        <w:tc>
          <w:tcPr>
            <w:tcW w:w="1530" w:type="dxa"/>
            <w:vAlign w:val="center"/>
          </w:tcPr>
          <w:p w14:paraId="5FE438FA" w14:textId="0526BE78" w:rsidR="00D11A3F" w:rsidRPr="00221C03" w:rsidRDefault="00D11A3F">
            <w:pPr>
              <w:spacing w:before="0" w:after="0" w:line="240" w:lineRule="auto"/>
              <w:jc w:val="center"/>
              <w:rPr>
                <w:rFonts w:eastAsia="Times New Roman" w:cs="Calibri Light"/>
                <w:color w:val="000000"/>
                <w:sz w:val="20"/>
                <w:szCs w:val="22"/>
              </w:rPr>
            </w:pPr>
            <w:r w:rsidRPr="00221C03">
              <w:rPr>
                <w:rFonts w:eastAsia="Times New Roman" w:cs="Calibri Light"/>
                <w:color w:val="000000"/>
                <w:sz w:val="20"/>
                <w:szCs w:val="22"/>
              </w:rPr>
              <w:t>0.0425000</w:t>
            </w:r>
          </w:p>
        </w:tc>
      </w:tr>
    </w:tbl>
    <w:p w14:paraId="474EE977" w14:textId="77777777" w:rsidR="00881116" w:rsidRDefault="00881116" w:rsidP="00221C03"/>
    <w:p w14:paraId="056103C1" w14:textId="2D8D786E" w:rsidR="00BB620B" w:rsidRPr="00FE33C6" w:rsidRDefault="00881116" w:rsidP="00BB620B">
      <w:pPr>
        <w:pStyle w:val="eTRMHeading5"/>
        <w:keepNext/>
        <w:keepLines/>
      </w:pPr>
      <w:r>
        <w:lastRenderedPageBreak/>
        <w:t xml:space="preserve">Unit </w:t>
      </w:r>
      <w:r w:rsidR="00BB620B" w:rsidRPr="00FE33C6">
        <w:t>Energy Savings</w:t>
      </w:r>
    </w:p>
    <w:p w14:paraId="7AA05FF3" w14:textId="69250076" w:rsidR="00BB620B" w:rsidRPr="00C61607" w:rsidRDefault="00BB620B">
      <w:pPr>
        <w:keepNext/>
        <w:keepLines/>
        <w:rPr>
          <w:rFonts w:ascii="Cambria Math" w:hAnsi="Cambria Math"/>
          <w:i/>
          <w:sz w:val="18"/>
          <w:szCs w:val="18"/>
        </w:rPr>
      </w:pPr>
      <w:r>
        <w:t>T</w:t>
      </w:r>
      <w:r w:rsidRPr="00FE33C6">
        <w:t xml:space="preserve">he </w:t>
      </w:r>
      <w:r w:rsidR="00020E7A">
        <w:t>unit</w:t>
      </w:r>
      <w:r>
        <w:t xml:space="preserve"> </w:t>
      </w:r>
      <w:r w:rsidRPr="00FE33C6">
        <w:t xml:space="preserve">energy savings </w:t>
      </w:r>
      <w:r w:rsidR="0084198A">
        <w:t xml:space="preserve">(UES) </w:t>
      </w:r>
      <w:r>
        <w:t>were</w:t>
      </w:r>
      <w:r w:rsidRPr="00FE33C6">
        <w:t xml:space="preserve"> </w:t>
      </w:r>
      <w:r>
        <w:t xml:space="preserve">calculated as the difference between </w:t>
      </w:r>
      <w:r w:rsidRPr="00FE33C6">
        <w:t xml:space="preserve">the </w:t>
      </w:r>
      <w:r>
        <w:t xml:space="preserve">modeled </w:t>
      </w:r>
      <w:r w:rsidR="00881116">
        <w:t xml:space="preserve">base case and measure case </w:t>
      </w:r>
      <w:r w:rsidRPr="00FE33C6">
        <w:t xml:space="preserve">total </w:t>
      </w:r>
      <w:r w:rsidR="0084198A">
        <w:t>UEC</w:t>
      </w:r>
      <w:r>
        <w:t>.</w:t>
      </w:r>
      <w:r w:rsidR="009E5FE7">
        <w:rPr>
          <w:rStyle w:val="FootnoteReference"/>
        </w:rPr>
        <w:footnoteReference w:id="5"/>
      </w:r>
      <w:r w:rsidR="00BE349A">
        <w:t xml:space="preserve"> </w:t>
      </w:r>
      <w:r w:rsidR="00FC66B0">
        <w:t>Given</w:t>
      </w:r>
      <w:r w:rsidR="00BE349A">
        <w:t xml:space="preserve"> one cooler door and one </w:t>
      </w:r>
      <w:r w:rsidR="00FC66B0">
        <w:t>freezer door per energy model, the</w:t>
      </w:r>
      <w:r w:rsidR="00BE349A">
        <w:t xml:space="preserve"> per-door </w:t>
      </w:r>
      <w:r w:rsidR="00D676C1">
        <w:t>UES</w:t>
      </w:r>
      <w:r w:rsidR="00BE349A">
        <w:t xml:space="preserve"> are equal to energy model savings.</w:t>
      </w:r>
    </w:p>
    <w:p w14:paraId="05216DF8" w14:textId="77777777" w:rsidR="001F4613" w:rsidRDefault="001F4613" w:rsidP="004B06E3"/>
    <w:p w14:paraId="4DD4619A" w14:textId="77777777" w:rsidR="007C7713" w:rsidRPr="004B06E3" w:rsidRDefault="007C7713" w:rsidP="00112EC4">
      <w:pPr>
        <w:pStyle w:val="eTRMHeading3"/>
      </w:pPr>
      <w:bookmarkStart w:id="44" w:name="_Toc486490856"/>
      <w:bookmarkStart w:id="45" w:name="_Toc486580927"/>
      <w:bookmarkStart w:id="46" w:name="_Toc63260317"/>
      <w:r w:rsidRPr="004B06E3">
        <w:t>Peak Electric Demand Reduction (kW)</w:t>
      </w:r>
      <w:bookmarkEnd w:id="44"/>
      <w:bookmarkEnd w:id="45"/>
      <w:bookmarkEnd w:id="46"/>
    </w:p>
    <w:p w14:paraId="4799FCAD" w14:textId="5F337A4F" w:rsidR="007C7713" w:rsidRPr="0004002D" w:rsidRDefault="00020E7A" w:rsidP="007C7713">
      <w:pPr>
        <w:rPr>
          <w:i/>
        </w:rPr>
      </w:pPr>
      <w:r>
        <w:t>Peak</w:t>
      </w:r>
      <w:r w:rsidR="007C7713" w:rsidRPr="0004002D">
        <w:t xml:space="preserve"> demand was calculated from the </w:t>
      </w:r>
      <w:r>
        <w:t xml:space="preserve">DOE2.2R </w:t>
      </w:r>
      <w:r w:rsidR="007C7713" w:rsidRPr="0004002D">
        <w:t xml:space="preserve">hourly data </w:t>
      </w:r>
      <w:r>
        <w:t>as</w:t>
      </w:r>
      <w:r w:rsidRPr="00450A0D">
        <w:t xml:space="preserve"> the average </w:t>
      </w:r>
      <w:r>
        <w:t xml:space="preserve">of the </w:t>
      </w:r>
      <w:r w:rsidRPr="00450A0D">
        <w:t xml:space="preserve">electrical power draw between </w:t>
      </w:r>
      <w:r w:rsidR="00EE0BEA">
        <w:t>4</w:t>
      </w:r>
      <w:r>
        <w:t xml:space="preserve">:00 p.m. to </w:t>
      </w:r>
      <w:r w:rsidR="00EE0BEA">
        <w:t>9</w:t>
      </w:r>
      <w:r>
        <w:t>:00 p.m.</w:t>
      </w:r>
      <w:r w:rsidRPr="00450A0D">
        <w:t xml:space="preserve"> </w:t>
      </w:r>
      <w:r>
        <w:t>in conformance with the Database for Energy Efficiency Resources (DEER) peak definition.</w:t>
      </w:r>
      <w:r>
        <w:rPr>
          <w:rStyle w:val="FootnoteReference"/>
        </w:rPr>
        <w:footnoteReference w:id="6"/>
      </w:r>
      <w:r w:rsidRPr="00450A0D">
        <w:t xml:space="preserve"> </w:t>
      </w:r>
      <w:r>
        <w:t>Peak demand reduction is calculated as t</w:t>
      </w:r>
      <w:r w:rsidRPr="00450A0D">
        <w:t xml:space="preserve">he difference in the </w:t>
      </w:r>
      <w:r>
        <w:t>base case</w:t>
      </w:r>
      <w:r w:rsidRPr="00450A0D">
        <w:t xml:space="preserve"> and measure</w:t>
      </w:r>
      <w:r>
        <w:t xml:space="preserve"> case</w:t>
      </w:r>
      <w:r w:rsidRPr="00450A0D">
        <w:t xml:space="preserve"> peak demand</w:t>
      </w:r>
      <w:r>
        <w:t>.</w:t>
      </w:r>
    </w:p>
    <w:p w14:paraId="270FE172" w14:textId="4152DE09" w:rsidR="007C7713" w:rsidRDefault="007C7713" w:rsidP="004B06E3"/>
    <w:p w14:paraId="22480566" w14:textId="77777777" w:rsidR="00C84FC2" w:rsidRPr="004B06E3" w:rsidRDefault="00C84FC2" w:rsidP="00112EC4">
      <w:pPr>
        <w:pStyle w:val="eTRMHeading3"/>
      </w:pPr>
      <w:bookmarkStart w:id="47" w:name="_Toc486490858"/>
      <w:bookmarkStart w:id="48" w:name="_Toc486580929"/>
      <w:bookmarkStart w:id="49" w:name="_Toc63260318"/>
      <w:r w:rsidRPr="004B06E3">
        <w:t>Gas Savings (Therms)</w:t>
      </w:r>
      <w:bookmarkEnd w:id="47"/>
      <w:bookmarkEnd w:id="48"/>
      <w:bookmarkEnd w:id="49"/>
    </w:p>
    <w:p w14:paraId="4003EAE7" w14:textId="77777777" w:rsidR="00C84FC2" w:rsidRDefault="00C84FC2" w:rsidP="00C84FC2">
      <w:r>
        <w:t>Gas savings were derived using the methodology presented in the Electric Savings section.</w:t>
      </w:r>
    </w:p>
    <w:p w14:paraId="231CC897" w14:textId="77777777" w:rsidR="00C84FC2" w:rsidRDefault="00C84FC2" w:rsidP="004B06E3"/>
    <w:p w14:paraId="4DDCD51F" w14:textId="4FA5E5E4" w:rsidR="007D230B" w:rsidRPr="004B06E3" w:rsidRDefault="00245AFF" w:rsidP="00112EC4">
      <w:pPr>
        <w:pStyle w:val="eTRMHeading3"/>
      </w:pPr>
      <w:bookmarkStart w:id="50" w:name="_Toc63260319"/>
      <w:bookmarkStart w:id="51" w:name="_Toc486490859"/>
      <w:bookmarkStart w:id="52" w:name="_Toc486580930"/>
      <w:r w:rsidRPr="004B06E3">
        <w:t>Life Cycle</w:t>
      </w:r>
      <w:bookmarkEnd w:id="50"/>
      <w:r w:rsidR="007D230B" w:rsidRPr="004B06E3">
        <w:t xml:space="preserve"> </w:t>
      </w:r>
      <w:bookmarkEnd w:id="51"/>
      <w:bookmarkEnd w:id="52"/>
    </w:p>
    <w:p w14:paraId="546AB90B" w14:textId="66342752" w:rsidR="000C28EE" w:rsidRDefault="004D62E5" w:rsidP="00901DCC">
      <w:r w:rsidRPr="000F211A">
        <w:t xml:space="preserve">Effective </w:t>
      </w:r>
      <w:r w:rsidR="00AB1FE8">
        <w:t>u</w:t>
      </w:r>
      <w:r w:rsidRPr="000F211A">
        <w:t xml:space="preserve">seful </w:t>
      </w:r>
      <w:r w:rsidR="00AB1FE8">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rsidR="00AB1FE8">
        <w:t>useful 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p>
    <w:p w14:paraId="0BDC529F" w14:textId="40ECFF1B" w:rsidR="00AB4117" w:rsidRDefault="00AB4117" w:rsidP="00AB4117">
      <w:r>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7"/>
      </w:r>
      <w:r>
        <w:t xml:space="preserve"> </w:t>
      </w:r>
      <w:r w:rsidRPr="008F087F">
        <w:rPr>
          <w:rFonts w:eastAsia="Times New Roman"/>
        </w:rPr>
        <w:t>This approach provides a reasonable RUL estimate without the requiring any  prior knowledge about the age of the equipment being replaced.</w:t>
      </w:r>
      <w:r>
        <w:rPr>
          <w:rStyle w:val="FootnoteReference"/>
          <w:rFonts w:eastAsia="Times New Roman"/>
        </w:rPr>
        <w:footnoteReference w:id="8"/>
      </w:r>
      <w:r w:rsidRPr="008F087F">
        <w:rPr>
          <w:rFonts w:eastAsia="Times New Roman"/>
        </w:rPr>
        <w:t> </w:t>
      </w:r>
      <w:r>
        <w:rPr>
          <w:rFonts w:eastAsia="Times New Roman"/>
        </w:rPr>
        <w:t>Further, a</w:t>
      </w:r>
      <w:r w:rsidRPr="00951F20">
        <w:t xml:space="preserve">s per Resolution E-4807, the California Public Utilities Commission (CPUC) revised </w:t>
      </w:r>
      <w:r w:rsidR="00C2763C">
        <w:t>add-on equipment</w:t>
      </w:r>
      <w:r w:rsidRPr="00951F20">
        <w:t xml:space="preserve"> measures so that the EUL of the measure is equal to the lower of the RUL of the modified system or equipment or the EUL of the add-on component.</w:t>
      </w:r>
      <w:r w:rsidRPr="0008447C">
        <w:rPr>
          <w:rStyle w:val="eTRMFootnoteTextChar"/>
        </w:rPr>
        <w:t xml:space="preserve"> </w:t>
      </w:r>
      <w:r>
        <w:rPr>
          <w:rStyle w:val="FootnoteReference"/>
        </w:rPr>
        <w:footnoteReference w:id="9"/>
      </w:r>
    </w:p>
    <w:p w14:paraId="4509E345" w14:textId="1BB9E8C2" w:rsidR="000C28EE" w:rsidRDefault="00901DCC" w:rsidP="009E5FE7">
      <w:r>
        <w:t>The EUL and RUL for the</w:t>
      </w:r>
      <w:r w:rsidR="002F0EAB">
        <w:t xml:space="preserve"> auto</w:t>
      </w:r>
      <w:r w:rsidR="0098710E">
        <w:t xml:space="preserve"> </w:t>
      </w:r>
      <w:r w:rsidR="002F0EAB">
        <w:t xml:space="preserve">closer for walk-in coolers and freezers </w:t>
      </w:r>
      <w:r w:rsidR="0051716A">
        <w:t>are</w:t>
      </w:r>
      <w:r w:rsidR="002F0EAB">
        <w:t xml:space="preserve"> </w:t>
      </w:r>
      <w:r w:rsidR="00C2763C">
        <w:t>specified below</w:t>
      </w:r>
      <w:r w:rsidR="002F0EAB">
        <w:t>.</w:t>
      </w:r>
      <w:r w:rsidR="000836B7" w:rsidRPr="000836B7">
        <w:t xml:space="preserve"> </w:t>
      </w:r>
      <w:r w:rsidR="00AE342F">
        <w:t xml:space="preserve">The RUL adopted for this measure was specified by the Ex Ante Review Consultants for the Energy Division of the California Public Utilities Commission (CPUC). </w:t>
      </w:r>
      <w:r w:rsidR="001269C0">
        <w:t>The stipulated</w:t>
      </w:r>
      <w:r w:rsidR="00AE342F">
        <w:t xml:space="preserve"> RUL </w:t>
      </w:r>
      <w:r w:rsidR="00D676C1">
        <w:t>assumes</w:t>
      </w:r>
      <w:r w:rsidR="00AE342F">
        <w:t xml:space="preserve"> </w:t>
      </w:r>
      <w:r w:rsidR="001269C0">
        <w:t xml:space="preserve">an </w:t>
      </w:r>
      <w:r w:rsidR="00AE342F">
        <w:t xml:space="preserve">of the host equipment </w:t>
      </w:r>
      <w:r w:rsidR="001269C0">
        <w:t>of</w:t>
      </w:r>
      <w:r w:rsidR="00AE342F">
        <w:t xml:space="preserve"> 20 years.</w:t>
      </w:r>
    </w:p>
    <w:p w14:paraId="5BB0A06B" w14:textId="3FAB997F" w:rsidR="0060275B" w:rsidRPr="00920905" w:rsidRDefault="0060275B" w:rsidP="00D676C1">
      <w:pPr>
        <w:pStyle w:val="Caption"/>
        <w:keepNext w:val="0"/>
        <w:keepLines w:val="0"/>
      </w:pPr>
      <w:r>
        <w:lastRenderedPageBreak/>
        <w:t>Effective Useful Life</w:t>
      </w:r>
      <w:r w:rsidR="00CE2218" w:rsidRPr="00CE2218">
        <w:rPr>
          <w:rFonts w:cstheme="minorHAnsi"/>
          <w:szCs w:val="20"/>
        </w:rPr>
        <w:t xml:space="preserve"> </w:t>
      </w:r>
      <w:r w:rsidR="00881116">
        <w:rPr>
          <w:rFonts w:cstheme="minorHAnsi"/>
          <w:szCs w:val="20"/>
        </w:rPr>
        <w:t>and Remaining Useful L</w:t>
      </w:r>
      <w:r w:rsidR="00D676C1">
        <w:rPr>
          <w:rFonts w:cstheme="minorHAnsi"/>
          <w:szCs w:val="20"/>
        </w:rPr>
        <w:t>i</w:t>
      </w:r>
      <w:r w:rsidR="00881116">
        <w:rPr>
          <w:rFonts w:cstheme="minorHAnsi"/>
          <w:szCs w:val="20"/>
        </w:rPr>
        <w:t>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52"/>
        <w:gridCol w:w="1419"/>
        <w:gridCol w:w="5474"/>
      </w:tblGrid>
      <w:tr w:rsidR="000354BC" w:rsidRPr="00500C4E" w14:paraId="57928AF6" w14:textId="77777777" w:rsidTr="00221C03">
        <w:trPr>
          <w:cantSplit/>
          <w:trHeight w:val="20"/>
          <w:tblHeader/>
        </w:trPr>
        <w:tc>
          <w:tcPr>
            <w:tcW w:w="2552" w:type="dxa"/>
            <w:shd w:val="clear" w:color="auto" w:fill="F2F2F2" w:themeFill="background1" w:themeFillShade="F2"/>
            <w:vAlign w:val="bottom"/>
          </w:tcPr>
          <w:p w14:paraId="2206FD78" w14:textId="1B0A7892" w:rsidR="000354BC" w:rsidRPr="00263D64" w:rsidRDefault="000354BC" w:rsidP="00D676C1">
            <w:pPr>
              <w:spacing w:before="20" w:after="20"/>
              <w:jc w:val="center"/>
              <w:rPr>
                <w:rFonts w:cstheme="minorHAnsi"/>
                <w:b/>
                <w:sz w:val="20"/>
                <w:szCs w:val="20"/>
              </w:rPr>
            </w:pPr>
            <w:r>
              <w:rPr>
                <w:rFonts w:cstheme="minorHAnsi"/>
                <w:b/>
                <w:sz w:val="20"/>
                <w:szCs w:val="20"/>
              </w:rPr>
              <w:t>Parameter</w:t>
            </w:r>
          </w:p>
        </w:tc>
        <w:tc>
          <w:tcPr>
            <w:tcW w:w="1419" w:type="dxa"/>
            <w:shd w:val="clear" w:color="auto" w:fill="F2F2F2" w:themeFill="background1" w:themeFillShade="F2"/>
          </w:tcPr>
          <w:p w14:paraId="01369AD9" w14:textId="3074138A" w:rsidR="000354BC" w:rsidRPr="00694410" w:rsidRDefault="000354BC" w:rsidP="00D676C1">
            <w:pPr>
              <w:spacing w:before="20" w:after="20"/>
              <w:jc w:val="center"/>
              <w:rPr>
                <w:rFonts w:cstheme="minorHAnsi"/>
                <w:b/>
                <w:sz w:val="20"/>
                <w:szCs w:val="20"/>
              </w:rPr>
            </w:pPr>
            <w:r>
              <w:rPr>
                <w:rFonts w:cstheme="minorHAnsi"/>
                <w:b/>
                <w:sz w:val="20"/>
                <w:szCs w:val="20"/>
              </w:rPr>
              <w:t>Value</w:t>
            </w:r>
          </w:p>
        </w:tc>
        <w:tc>
          <w:tcPr>
            <w:tcW w:w="5474" w:type="dxa"/>
            <w:shd w:val="clear" w:color="auto" w:fill="F2F2F2" w:themeFill="background1" w:themeFillShade="F2"/>
          </w:tcPr>
          <w:p w14:paraId="26DF176D" w14:textId="3B4C7265" w:rsidR="000354BC" w:rsidRPr="00694410" w:rsidRDefault="000354BC" w:rsidP="00D676C1">
            <w:pPr>
              <w:spacing w:before="20" w:after="20"/>
              <w:jc w:val="center"/>
              <w:rPr>
                <w:rFonts w:cstheme="minorHAnsi"/>
                <w:b/>
                <w:sz w:val="20"/>
                <w:szCs w:val="20"/>
              </w:rPr>
            </w:pPr>
            <w:r>
              <w:rPr>
                <w:rFonts w:cstheme="minorHAnsi"/>
                <w:b/>
                <w:sz w:val="20"/>
                <w:szCs w:val="20"/>
              </w:rPr>
              <w:t>Source</w:t>
            </w:r>
          </w:p>
        </w:tc>
      </w:tr>
      <w:tr w:rsidR="000354BC" w:rsidRPr="00500C4E" w14:paraId="787CDB29" w14:textId="77777777" w:rsidTr="00221C03">
        <w:trPr>
          <w:cantSplit/>
          <w:trHeight w:val="20"/>
        </w:trPr>
        <w:tc>
          <w:tcPr>
            <w:tcW w:w="2552" w:type="dxa"/>
            <w:vAlign w:val="center"/>
          </w:tcPr>
          <w:p w14:paraId="526D8AB8" w14:textId="77777777" w:rsidR="000354BC" w:rsidRDefault="000354BC" w:rsidP="00D676C1">
            <w:pPr>
              <w:spacing w:before="20" w:after="20"/>
              <w:rPr>
                <w:rFonts w:cstheme="minorHAnsi"/>
                <w:sz w:val="20"/>
                <w:szCs w:val="20"/>
              </w:rPr>
            </w:pPr>
            <w:r>
              <w:rPr>
                <w:rFonts w:cstheme="minorHAnsi"/>
                <w:sz w:val="20"/>
                <w:szCs w:val="20"/>
              </w:rPr>
              <w:t>EUL (</w:t>
            </w:r>
            <w:proofErr w:type="spellStart"/>
            <w:r>
              <w:rPr>
                <w:rFonts w:cstheme="minorHAnsi"/>
                <w:sz w:val="20"/>
                <w:szCs w:val="20"/>
              </w:rPr>
              <w:t>yrs</w:t>
            </w:r>
            <w:proofErr w:type="spellEnd"/>
            <w:r>
              <w:rPr>
                <w:rFonts w:cstheme="minorHAnsi"/>
                <w:sz w:val="20"/>
                <w:szCs w:val="20"/>
              </w:rPr>
              <w:t>) – auto door closer</w:t>
            </w:r>
          </w:p>
          <w:p w14:paraId="09C38ED6" w14:textId="62942D0B" w:rsidR="00D31582" w:rsidRDefault="00D31582" w:rsidP="00D31582">
            <w:pPr>
              <w:spacing w:before="20" w:after="20"/>
              <w:rPr>
                <w:rFonts w:cstheme="minorHAnsi"/>
                <w:sz w:val="20"/>
                <w:szCs w:val="20"/>
              </w:rPr>
            </w:pPr>
            <w:r>
              <w:rPr>
                <w:rFonts w:cstheme="minorHAnsi"/>
                <w:sz w:val="20"/>
                <w:szCs w:val="20"/>
              </w:rPr>
              <w:t xml:space="preserve">EUL ID – </w:t>
            </w:r>
            <w:proofErr w:type="spellStart"/>
            <w:r w:rsidRPr="00D31582">
              <w:rPr>
                <w:rFonts w:cstheme="minorHAnsi"/>
                <w:sz w:val="20"/>
                <w:szCs w:val="20"/>
              </w:rPr>
              <w:t>GrocWlkIn-DrClsr</w:t>
            </w:r>
            <w:proofErr w:type="spellEnd"/>
          </w:p>
        </w:tc>
        <w:tc>
          <w:tcPr>
            <w:tcW w:w="1419" w:type="dxa"/>
            <w:vAlign w:val="center"/>
          </w:tcPr>
          <w:p w14:paraId="2E4B4C9C" w14:textId="201CF90C" w:rsidR="000354BC" w:rsidRPr="00D736D3" w:rsidRDefault="000354BC" w:rsidP="00D676C1">
            <w:pPr>
              <w:spacing w:before="20" w:after="20"/>
              <w:jc w:val="center"/>
              <w:rPr>
                <w:sz w:val="20"/>
                <w:szCs w:val="20"/>
              </w:rPr>
            </w:pPr>
            <w:r>
              <w:rPr>
                <w:sz w:val="20"/>
                <w:szCs w:val="20"/>
              </w:rPr>
              <w:t>8.00</w:t>
            </w:r>
          </w:p>
        </w:tc>
        <w:tc>
          <w:tcPr>
            <w:tcW w:w="5474" w:type="dxa"/>
            <w:vAlign w:val="center"/>
          </w:tcPr>
          <w:p w14:paraId="19C6BE3D" w14:textId="093E48F9" w:rsidR="000354BC" w:rsidRPr="003E5EB5" w:rsidRDefault="000354BC" w:rsidP="00D676C1">
            <w:pPr>
              <w:spacing w:before="20" w:after="20"/>
              <w:rPr>
                <w:sz w:val="18"/>
                <w:szCs w:val="18"/>
                <w:highlight w:val="yellow"/>
              </w:rPr>
            </w:pPr>
            <w:r w:rsidRPr="003E5EB5">
              <w:rPr>
                <w:rFonts w:cstheme="minorHAnsi"/>
                <w:sz w:val="18"/>
                <w:szCs w:val="18"/>
              </w:rPr>
              <w:t xml:space="preserve">California Public Utilities Commission (CPUC), Energy Division. </w:t>
            </w:r>
            <w:r>
              <w:rPr>
                <w:rFonts w:cstheme="minorHAnsi"/>
                <w:sz w:val="18"/>
                <w:szCs w:val="18"/>
              </w:rPr>
              <w:t>2014</w:t>
            </w:r>
            <w:r w:rsidRPr="003E5EB5">
              <w:rPr>
                <w:rFonts w:cstheme="minorHAnsi"/>
                <w:sz w:val="18"/>
                <w:szCs w:val="18"/>
              </w:rPr>
              <w:t>. “DEER</w:t>
            </w:r>
            <w:r>
              <w:rPr>
                <w:rFonts w:cstheme="minorHAnsi"/>
                <w:sz w:val="18"/>
                <w:szCs w:val="18"/>
              </w:rPr>
              <w:t>2014</w:t>
            </w:r>
            <w:r w:rsidRPr="003E5EB5">
              <w:rPr>
                <w:rFonts w:cstheme="minorHAnsi"/>
                <w:sz w:val="18"/>
                <w:szCs w:val="18"/>
              </w:rPr>
              <w:t>-EUL-table-update_</w:t>
            </w:r>
            <w:r>
              <w:rPr>
                <w:rFonts w:cstheme="minorHAnsi"/>
                <w:sz w:val="18"/>
                <w:szCs w:val="18"/>
              </w:rPr>
              <w:t>2014</w:t>
            </w:r>
            <w:r w:rsidRPr="003E5EB5">
              <w:rPr>
                <w:rFonts w:cstheme="minorHAnsi"/>
                <w:sz w:val="18"/>
                <w:szCs w:val="18"/>
              </w:rPr>
              <w:t>-02-05.xlsx”</w:t>
            </w:r>
          </w:p>
        </w:tc>
      </w:tr>
      <w:tr w:rsidR="00170D3D" w:rsidRPr="00500C4E" w14:paraId="1AF0477D" w14:textId="77777777" w:rsidTr="00221C03">
        <w:trPr>
          <w:cantSplit/>
          <w:trHeight w:val="20"/>
        </w:trPr>
        <w:tc>
          <w:tcPr>
            <w:tcW w:w="2552" w:type="dxa"/>
            <w:vAlign w:val="center"/>
          </w:tcPr>
          <w:p w14:paraId="1FF7EAE6" w14:textId="1E08B6FB" w:rsidR="00170D3D" w:rsidRDefault="00170D3D" w:rsidP="00D676C1">
            <w:pPr>
              <w:spacing w:before="20" w:after="20"/>
              <w:rPr>
                <w:rFonts w:cstheme="minorHAnsi"/>
                <w:sz w:val="20"/>
                <w:szCs w:val="20"/>
              </w:rPr>
            </w:pPr>
            <w:r>
              <w:rPr>
                <w:rFonts w:cstheme="minorHAnsi"/>
                <w:sz w:val="20"/>
                <w:szCs w:val="20"/>
              </w:rPr>
              <w:t>EUL (</w:t>
            </w:r>
            <w:proofErr w:type="spellStart"/>
            <w:r>
              <w:rPr>
                <w:rFonts w:cstheme="minorHAnsi"/>
                <w:sz w:val="20"/>
                <w:szCs w:val="20"/>
              </w:rPr>
              <w:t>yrs</w:t>
            </w:r>
            <w:proofErr w:type="spellEnd"/>
            <w:r>
              <w:rPr>
                <w:rFonts w:cstheme="minorHAnsi"/>
                <w:sz w:val="20"/>
                <w:szCs w:val="20"/>
              </w:rPr>
              <w:t xml:space="preserve">) – host equipment, </w:t>
            </w:r>
            <w:r w:rsidR="00694E98">
              <w:rPr>
                <w:rFonts w:cstheme="minorHAnsi"/>
                <w:sz w:val="20"/>
                <w:szCs w:val="20"/>
              </w:rPr>
              <w:t>proxy for cooler/freezer unit</w:t>
            </w:r>
          </w:p>
          <w:p w14:paraId="1CDFBB69" w14:textId="0E95C224" w:rsidR="00170D3D" w:rsidRDefault="00170D3D" w:rsidP="00170D3D">
            <w:pPr>
              <w:spacing w:before="20" w:after="20"/>
              <w:rPr>
                <w:rFonts w:cstheme="minorHAnsi"/>
                <w:sz w:val="20"/>
                <w:szCs w:val="20"/>
              </w:rPr>
            </w:pPr>
            <w:r>
              <w:rPr>
                <w:rFonts w:cstheme="minorHAnsi"/>
                <w:sz w:val="20"/>
                <w:szCs w:val="20"/>
              </w:rPr>
              <w:t xml:space="preserve">EUL ID – </w:t>
            </w:r>
            <w:r w:rsidR="00694E98" w:rsidRPr="00694E98">
              <w:rPr>
                <w:rFonts w:cstheme="minorHAnsi"/>
                <w:sz w:val="20"/>
                <w:szCs w:val="20"/>
              </w:rPr>
              <w:t>HVAC-</w:t>
            </w:r>
            <w:proofErr w:type="spellStart"/>
            <w:r w:rsidR="00694E98" w:rsidRPr="00694E98">
              <w:rPr>
                <w:rFonts w:cstheme="minorHAnsi"/>
                <w:sz w:val="20"/>
                <w:szCs w:val="20"/>
              </w:rPr>
              <w:t>Chlr</w:t>
            </w:r>
            <w:proofErr w:type="spellEnd"/>
          </w:p>
        </w:tc>
        <w:tc>
          <w:tcPr>
            <w:tcW w:w="1419" w:type="dxa"/>
            <w:vAlign w:val="center"/>
          </w:tcPr>
          <w:p w14:paraId="4E2567B0" w14:textId="59A23F03" w:rsidR="00170D3D" w:rsidRDefault="00694E98" w:rsidP="00D676C1">
            <w:pPr>
              <w:spacing w:before="20" w:after="20"/>
              <w:jc w:val="center"/>
              <w:rPr>
                <w:sz w:val="20"/>
                <w:szCs w:val="20"/>
              </w:rPr>
            </w:pPr>
            <w:r>
              <w:rPr>
                <w:sz w:val="20"/>
                <w:szCs w:val="20"/>
              </w:rPr>
              <w:t>20.00</w:t>
            </w:r>
          </w:p>
        </w:tc>
        <w:tc>
          <w:tcPr>
            <w:tcW w:w="5474" w:type="dxa"/>
            <w:vAlign w:val="center"/>
          </w:tcPr>
          <w:p w14:paraId="0C079BCA" w14:textId="125B7A43" w:rsidR="00170D3D" w:rsidRPr="00170D3D" w:rsidRDefault="00170D3D" w:rsidP="00D676C1">
            <w:pPr>
              <w:spacing w:before="20" w:after="20"/>
              <w:rPr>
                <w:rFonts w:cstheme="minorHAnsi"/>
                <w:sz w:val="18"/>
                <w:szCs w:val="18"/>
              </w:rPr>
            </w:pPr>
            <w:r w:rsidRPr="001F7A71">
              <w:rPr>
                <w:sz w:val="18"/>
                <w:szCs w:val="18"/>
              </w:rPr>
              <w:t>California Public Utilities Commission (CPUC), Energy Division, Ex Ante Review Consultants. 2015. “2015 SCE Ex Ante Adjustments-with Solution codes and WP number.xlsx.”</w:t>
            </w:r>
          </w:p>
        </w:tc>
      </w:tr>
      <w:tr w:rsidR="000354BC" w:rsidRPr="00500C4E" w14:paraId="10529497" w14:textId="77777777" w:rsidTr="00221C03">
        <w:trPr>
          <w:cantSplit/>
          <w:trHeight w:val="20"/>
        </w:trPr>
        <w:tc>
          <w:tcPr>
            <w:tcW w:w="2552" w:type="dxa"/>
            <w:vAlign w:val="center"/>
          </w:tcPr>
          <w:p w14:paraId="0394E53C" w14:textId="27D006F9" w:rsidR="000354BC" w:rsidRDefault="00AE342F" w:rsidP="00D676C1">
            <w:pPr>
              <w:spacing w:before="20" w:after="20"/>
              <w:rPr>
                <w:rFonts w:cstheme="minorHAnsi"/>
                <w:sz w:val="20"/>
                <w:szCs w:val="20"/>
              </w:rPr>
            </w:pPr>
            <w:r>
              <w:rPr>
                <w:rFonts w:cstheme="minorHAnsi"/>
                <w:sz w:val="20"/>
                <w:szCs w:val="20"/>
              </w:rPr>
              <w:t>R</w:t>
            </w:r>
            <w:r w:rsidR="000354BC">
              <w:rPr>
                <w:rFonts w:cstheme="minorHAnsi"/>
                <w:sz w:val="20"/>
                <w:szCs w:val="20"/>
              </w:rPr>
              <w:t>UL (</w:t>
            </w:r>
            <w:proofErr w:type="spellStart"/>
            <w:r w:rsidR="000354BC">
              <w:rPr>
                <w:rFonts w:cstheme="minorHAnsi"/>
                <w:sz w:val="20"/>
                <w:szCs w:val="20"/>
              </w:rPr>
              <w:t>yrs</w:t>
            </w:r>
            <w:proofErr w:type="spellEnd"/>
            <w:r w:rsidR="000354BC">
              <w:rPr>
                <w:rFonts w:cstheme="minorHAnsi"/>
                <w:sz w:val="20"/>
                <w:szCs w:val="20"/>
              </w:rPr>
              <w:t xml:space="preserve">) – </w:t>
            </w:r>
            <w:r w:rsidR="00694E98">
              <w:rPr>
                <w:rFonts w:cstheme="minorHAnsi"/>
                <w:sz w:val="20"/>
                <w:szCs w:val="20"/>
              </w:rPr>
              <w:t>host equipment, proxy for cooler/freezer unit</w:t>
            </w:r>
          </w:p>
          <w:p w14:paraId="771E5FED" w14:textId="293A7F55" w:rsidR="00D31582" w:rsidRDefault="00D31582" w:rsidP="00D31582">
            <w:pPr>
              <w:spacing w:before="20" w:after="20"/>
              <w:rPr>
                <w:rFonts w:cstheme="minorHAnsi"/>
                <w:sz w:val="20"/>
                <w:szCs w:val="20"/>
              </w:rPr>
            </w:pPr>
            <w:r>
              <w:rPr>
                <w:rFonts w:cstheme="minorHAnsi"/>
                <w:sz w:val="20"/>
                <w:szCs w:val="20"/>
              </w:rPr>
              <w:t xml:space="preserve">RUL ID – </w:t>
            </w:r>
            <w:r w:rsidRPr="00D31582">
              <w:rPr>
                <w:rFonts w:cstheme="minorHAnsi"/>
                <w:sz w:val="20"/>
                <w:szCs w:val="20"/>
              </w:rPr>
              <w:t>HVAC-</w:t>
            </w:r>
            <w:proofErr w:type="spellStart"/>
            <w:r w:rsidRPr="00D31582">
              <w:rPr>
                <w:rFonts w:cstheme="minorHAnsi"/>
                <w:sz w:val="20"/>
                <w:szCs w:val="20"/>
              </w:rPr>
              <w:t>Chlr</w:t>
            </w:r>
            <w:proofErr w:type="spellEnd"/>
          </w:p>
        </w:tc>
        <w:tc>
          <w:tcPr>
            <w:tcW w:w="1419" w:type="dxa"/>
            <w:vAlign w:val="center"/>
          </w:tcPr>
          <w:p w14:paraId="6352F5FD" w14:textId="0CCD5D23" w:rsidR="000354BC" w:rsidRPr="00D736D3" w:rsidRDefault="000354BC" w:rsidP="00D676C1">
            <w:pPr>
              <w:spacing w:before="20" w:after="20"/>
              <w:jc w:val="center"/>
              <w:rPr>
                <w:sz w:val="20"/>
                <w:szCs w:val="20"/>
              </w:rPr>
            </w:pPr>
            <w:r w:rsidRPr="00D736D3">
              <w:rPr>
                <w:sz w:val="20"/>
                <w:szCs w:val="20"/>
              </w:rPr>
              <w:t>6.67</w:t>
            </w:r>
          </w:p>
        </w:tc>
        <w:tc>
          <w:tcPr>
            <w:tcW w:w="5474" w:type="dxa"/>
            <w:vAlign w:val="center"/>
          </w:tcPr>
          <w:p w14:paraId="00B3E486" w14:textId="0B64A361" w:rsidR="000354BC" w:rsidRPr="00AB4117" w:rsidRDefault="00170D3D" w:rsidP="00D676C1">
            <w:pPr>
              <w:pStyle w:val="FootnoteText"/>
            </w:pPr>
            <w:r>
              <w:t>RUL = 1/3 EUL of host equipment</w:t>
            </w:r>
          </w:p>
        </w:tc>
      </w:tr>
    </w:tbl>
    <w:p w14:paraId="25ECA51F" w14:textId="77777777" w:rsidR="0060275B" w:rsidRPr="004B06E3" w:rsidRDefault="0060275B" w:rsidP="0060275B"/>
    <w:p w14:paraId="3B14B593" w14:textId="77777777" w:rsidR="007D230B" w:rsidRPr="004B06E3" w:rsidRDefault="007D230B" w:rsidP="00112EC4">
      <w:pPr>
        <w:pStyle w:val="eTRMHeading3"/>
      </w:pPr>
      <w:bookmarkStart w:id="53" w:name="_Toc486490860"/>
      <w:bookmarkStart w:id="54" w:name="_Toc486580931"/>
      <w:bookmarkStart w:id="55" w:name="_Toc63260320"/>
      <w:r w:rsidRPr="004B06E3">
        <w:t>Base Case Material Cost ($/unit)</w:t>
      </w:r>
      <w:bookmarkEnd w:id="53"/>
      <w:bookmarkEnd w:id="54"/>
      <w:bookmarkEnd w:id="55"/>
    </w:p>
    <w:p w14:paraId="2486ACF5" w14:textId="429EE2D3" w:rsidR="007D230B" w:rsidRDefault="004C5886" w:rsidP="004142EF">
      <w:r>
        <w:t>Insofar as auto door closers for walk-in cooler/freezer is a</w:t>
      </w:r>
      <w:r w:rsidR="0073492A">
        <w:t>n</w:t>
      </w:r>
      <w:r>
        <w:t xml:space="preserve"> </w:t>
      </w:r>
      <w:r w:rsidR="00C2763C">
        <w:t>a</w:t>
      </w:r>
      <w:r w:rsidR="00502612">
        <w:t>dd-</w:t>
      </w:r>
      <w:r w:rsidR="00C2763C">
        <w:t>o</w:t>
      </w:r>
      <w:r w:rsidR="00502612">
        <w:t xml:space="preserve">n </w:t>
      </w:r>
      <w:r w:rsidR="00C2763C">
        <w:t>e</w:t>
      </w:r>
      <w:r w:rsidR="00502612">
        <w:t>quipment</w:t>
      </w:r>
      <w:r w:rsidR="000836B7">
        <w:t xml:space="preserve"> </w:t>
      </w:r>
      <w:r>
        <w:t>measure, the base case material cost is equal to $0.</w:t>
      </w:r>
    </w:p>
    <w:p w14:paraId="6149CD64" w14:textId="77777777" w:rsidR="004C5886" w:rsidRPr="004B06E3" w:rsidRDefault="004C5886" w:rsidP="004142EF"/>
    <w:p w14:paraId="44E8DBEB" w14:textId="77777777" w:rsidR="007D230B" w:rsidRPr="004B06E3" w:rsidRDefault="007D230B" w:rsidP="00112EC4">
      <w:pPr>
        <w:pStyle w:val="eTRMHeading3"/>
      </w:pPr>
      <w:bookmarkStart w:id="56" w:name="_Toc486490861"/>
      <w:bookmarkStart w:id="57" w:name="_Toc486580932"/>
      <w:bookmarkStart w:id="58" w:name="_Toc63260321"/>
      <w:r w:rsidRPr="004B06E3">
        <w:t>Measure Case Material Cost ($/unit)</w:t>
      </w:r>
      <w:bookmarkEnd w:id="56"/>
      <w:bookmarkEnd w:id="57"/>
      <w:bookmarkEnd w:id="58"/>
    </w:p>
    <w:p w14:paraId="3449A3CF" w14:textId="5B945F25" w:rsidR="007D230B" w:rsidRDefault="00EA68D8" w:rsidP="004142EF">
      <w:r>
        <w:t>The measure case material cost is $</w:t>
      </w:r>
      <w:r w:rsidR="00864FDA">
        <w:t>421.52</w:t>
      </w:r>
      <w:r>
        <w:t xml:space="preserve">. Costing followed methodology established in </w:t>
      </w:r>
      <w:r w:rsidR="00797CF8">
        <w:t>the 2010-2012 Ex Ante Measure Cost Study</w:t>
      </w:r>
      <w:r w:rsidR="00276DCA">
        <w:t xml:space="preserve"> conducted by </w:t>
      </w:r>
      <w:proofErr w:type="spellStart"/>
      <w:r w:rsidR="00276DCA">
        <w:t>Itron</w:t>
      </w:r>
      <w:proofErr w:type="spellEnd"/>
      <w:r w:rsidR="00276DCA">
        <w:t>, Inc.</w:t>
      </w:r>
      <w:r w:rsidR="00C2763C">
        <w:t xml:space="preserve"> (“WO017”),</w:t>
      </w:r>
      <w:r w:rsidR="00AB226D">
        <w:rPr>
          <w:rStyle w:val="FootnoteReference"/>
        </w:rPr>
        <w:footnoteReference w:id="10"/>
      </w:r>
      <w:r w:rsidR="00487CC4">
        <w:t xml:space="preserve"> and was updated in the fourth quarter of </w:t>
      </w:r>
      <w:r>
        <w:t xml:space="preserve">2020 </w:t>
      </w:r>
      <w:r w:rsidR="00487CC4">
        <w:t xml:space="preserve">using online price data collected from various online retailers such as </w:t>
      </w:r>
      <w:proofErr w:type="spellStart"/>
      <w:r w:rsidR="00E43653">
        <w:t>W</w:t>
      </w:r>
      <w:r w:rsidR="00487CC4">
        <w:t>ebstaurant</w:t>
      </w:r>
      <w:r w:rsidR="00E43653">
        <w:t>S</w:t>
      </w:r>
      <w:r w:rsidR="00487CC4">
        <w:t>tore</w:t>
      </w:r>
      <w:proofErr w:type="spellEnd"/>
      <w:r w:rsidR="00487CC4">
        <w:t xml:space="preserve">, </w:t>
      </w:r>
      <w:r w:rsidR="00E43653">
        <w:t>G</w:t>
      </w:r>
      <w:r w:rsidR="00487CC4">
        <w:t>asket</w:t>
      </w:r>
      <w:r w:rsidR="00E43653">
        <w:t xml:space="preserve"> G</w:t>
      </w:r>
      <w:r w:rsidR="00487CC4">
        <w:t xml:space="preserve">uy, and </w:t>
      </w:r>
      <w:r w:rsidR="00E43653">
        <w:t>Refrigeration Hardware Supply Corporation</w:t>
      </w:r>
      <w:r w:rsidR="00487CC4">
        <w:t>.</w:t>
      </w:r>
      <w:r>
        <w:t xml:space="preserve"> The cost methodology</w:t>
      </w:r>
      <w:r w:rsidR="00435070">
        <w:t xml:space="preserve"> </w:t>
      </w:r>
      <w:r>
        <w:t xml:space="preserve">evaluated the costs of </w:t>
      </w:r>
      <w:r w:rsidR="00E43653">
        <w:t xml:space="preserve">fourteen different </w:t>
      </w:r>
      <w:r>
        <w:t>automatic door closer</w:t>
      </w:r>
      <w:r w:rsidR="00E43653">
        <w:t xml:space="preserve"> models</w:t>
      </w:r>
      <w:r>
        <w:t xml:space="preserve"> in two categories based on door size (less than 42 inches</w:t>
      </w:r>
      <w:r w:rsidR="00435070">
        <w:t xml:space="preserve"> wide</w:t>
      </w:r>
      <w:r>
        <w:t xml:space="preserve"> and greater than 42 inches</w:t>
      </w:r>
      <w:r w:rsidR="00435070">
        <w:t xml:space="preserve"> wide</w:t>
      </w:r>
      <w:r>
        <w:t>).</w:t>
      </w:r>
      <w:r w:rsidR="00E43653">
        <w:t xml:space="preserve"> </w:t>
      </w:r>
      <w:r w:rsidR="00170D3D">
        <w:t>The two categories account for the distinct differen</w:t>
      </w:r>
      <w:r w:rsidR="00841116">
        <w:t>ce</w:t>
      </w:r>
      <w:r w:rsidR="00170D3D">
        <w:t xml:space="preserve"> in the door-closing technology required</w:t>
      </w:r>
      <w:r w:rsidR="00435070">
        <w:t>,</w:t>
      </w:r>
      <w:r w:rsidR="00841116">
        <w:t xml:space="preserve"> as snubber</w:t>
      </w:r>
      <w:r w:rsidR="00435070">
        <w:t xml:space="preserve"> </w:t>
      </w:r>
      <w:r w:rsidR="00841116">
        <w:t>style is used for &lt; 42 inches and armature style is used for &gt; 42 inches.</w:t>
      </w:r>
      <w:r w:rsidR="00170D3D">
        <w:t xml:space="preserve"> </w:t>
      </w:r>
      <w:r w:rsidR="00E43653">
        <w:t xml:space="preserve">Since the costs for the </w:t>
      </w:r>
      <w:r w:rsidR="00E43653" w:rsidRPr="00E43653">
        <w:t>automatic door closer models</w:t>
      </w:r>
      <w:r w:rsidR="00E43653">
        <w:t xml:space="preserve"> varied by retailer, </w:t>
      </w:r>
      <w:r w:rsidR="00E43653" w:rsidRPr="00E43653">
        <w:t xml:space="preserve">online price data was collected from </w:t>
      </w:r>
      <w:r w:rsidR="00C97EF4">
        <w:t xml:space="preserve">multiple </w:t>
      </w:r>
      <w:r w:rsidR="00E43653" w:rsidRPr="00E43653">
        <w:t>online retailers</w:t>
      </w:r>
      <w:r w:rsidR="00E43653">
        <w:t xml:space="preserve"> for comparison. A total of fifteen costs were compared for</w:t>
      </w:r>
      <w:r w:rsidR="00C97EF4">
        <w:t xml:space="preserve"> seven</w:t>
      </w:r>
      <w:r w:rsidR="00E43653">
        <w:t xml:space="preserve"> </w:t>
      </w:r>
      <w:r w:rsidR="00435070">
        <w:t xml:space="preserve">snubber style </w:t>
      </w:r>
      <w:r w:rsidR="00E43653">
        <w:t>automatic door closer</w:t>
      </w:r>
      <w:r w:rsidR="00C97EF4">
        <w:t xml:space="preserve"> models </w:t>
      </w:r>
      <w:r w:rsidR="00E43653">
        <w:t xml:space="preserve">for doors less than 42 inches and a total of fourteen costs were compared for </w:t>
      </w:r>
      <w:r w:rsidR="00C97EF4">
        <w:t xml:space="preserve">seven </w:t>
      </w:r>
      <w:r w:rsidR="00435070">
        <w:t xml:space="preserve">armature style </w:t>
      </w:r>
      <w:r w:rsidR="00E43653">
        <w:t>automatic doors closer</w:t>
      </w:r>
      <w:r w:rsidR="00C97EF4">
        <w:t xml:space="preserve"> models</w:t>
      </w:r>
      <w:r w:rsidR="00E43653">
        <w:t xml:space="preserve"> for doors greater than 42 inches. </w:t>
      </w:r>
      <w:r>
        <w:t xml:space="preserve">The measure case cost was calculated </w:t>
      </w:r>
      <w:r w:rsidR="00EF0543">
        <w:t xml:space="preserve">based on the </w:t>
      </w:r>
      <w:r>
        <w:t xml:space="preserve">average cost of </w:t>
      </w:r>
      <w:r w:rsidR="00EF0543">
        <w:t xml:space="preserve">each </w:t>
      </w:r>
      <w:r>
        <w:t>door size included in the analysis.</w:t>
      </w:r>
      <w:r w:rsidR="00487CC4">
        <w:t xml:space="preserve"> </w:t>
      </w:r>
      <w:r w:rsidR="005C0C28">
        <w:rPr>
          <w:shd w:val="clear" w:color="auto" w:fill="FFFFFF"/>
        </w:rPr>
        <w:t>Following WO017 methodology, a 25% contractor markup and 5% contingency cost was added to the material cost.</w:t>
      </w:r>
      <w:r w:rsidR="00DA724C">
        <w:rPr>
          <w:shd w:val="clear" w:color="auto" w:fill="FFFFFF"/>
        </w:rPr>
        <w:t xml:space="preserve"> The markup and contingency factor</w:t>
      </w:r>
      <w:r w:rsidR="00435070">
        <w:rPr>
          <w:shd w:val="clear" w:color="auto" w:fill="FFFFFF"/>
        </w:rPr>
        <w:t>s</w:t>
      </w:r>
      <w:r w:rsidR="00DA724C">
        <w:rPr>
          <w:shd w:val="clear" w:color="auto" w:fill="FFFFFF"/>
        </w:rPr>
        <w:t xml:space="preserve"> are based on the benchmark validation performed on the contractor quotes referenced in WO017. </w:t>
      </w:r>
      <w:r w:rsidR="00DA2987">
        <w:t xml:space="preserve">See </w:t>
      </w:r>
      <w:proofErr w:type="spellStart"/>
      <w:r w:rsidR="00DA2987">
        <w:t>MeasureDataSpec</w:t>
      </w:r>
      <w:proofErr w:type="spellEnd"/>
      <w:r w:rsidR="00DA2987">
        <w:t xml:space="preserve"> attachment</w:t>
      </w:r>
      <w:r w:rsidR="00DA2987">
        <w:rPr>
          <w:rStyle w:val="FootnoteReference"/>
        </w:rPr>
        <w:footnoteReference w:id="11"/>
      </w:r>
      <w:r w:rsidR="00DA2987">
        <w:t xml:space="preserve"> for full costing methodology and sources.</w:t>
      </w:r>
    </w:p>
    <w:p w14:paraId="045DF791" w14:textId="7381310E" w:rsidR="0060275B" w:rsidRDefault="0060275B" w:rsidP="0060275B"/>
    <w:p w14:paraId="4B42F4F2" w14:textId="11EB0317" w:rsidR="00EA68D8" w:rsidRPr="004B06E3" w:rsidRDefault="00EA68D8" w:rsidP="00EA68D8">
      <w:pPr>
        <w:pStyle w:val="eTRMHeading3"/>
      </w:pPr>
      <w:bookmarkStart w:id="59" w:name="_Toc63260322"/>
      <w:r w:rsidRPr="004B06E3">
        <w:t xml:space="preserve">Base Case </w:t>
      </w:r>
      <w:r>
        <w:t xml:space="preserve">LABOR </w:t>
      </w:r>
      <w:r w:rsidRPr="004B06E3">
        <w:t>Cost ($/unit)</w:t>
      </w:r>
      <w:bookmarkEnd w:id="59"/>
    </w:p>
    <w:p w14:paraId="62BBCAAB" w14:textId="76569004" w:rsidR="00EA68D8" w:rsidRDefault="00EA68D8" w:rsidP="00EA68D8">
      <w:r>
        <w:t>Insofar as auto door closers for walk-in cooler/freezer is an add-on equipment measure, the base case labor cost is equal to $0.</w:t>
      </w:r>
    </w:p>
    <w:p w14:paraId="3E43D4AE" w14:textId="77777777" w:rsidR="00EA68D8" w:rsidRPr="004B06E3" w:rsidRDefault="00EA68D8" w:rsidP="0060275B"/>
    <w:p w14:paraId="02691007" w14:textId="615B442D" w:rsidR="007D230B" w:rsidRPr="004B06E3" w:rsidRDefault="00EA68D8" w:rsidP="00112EC4">
      <w:pPr>
        <w:pStyle w:val="eTRMHeading3"/>
      </w:pPr>
      <w:bookmarkStart w:id="60" w:name="_Toc486490862"/>
      <w:bookmarkStart w:id="61" w:name="_Toc486580933"/>
      <w:bookmarkStart w:id="62" w:name="_Toc63260323"/>
      <w:r>
        <w:t xml:space="preserve">MEASURE CASE </w:t>
      </w:r>
      <w:r w:rsidR="007D230B" w:rsidRPr="004B06E3">
        <w:t>Labor Cost ($/unit)</w:t>
      </w:r>
      <w:bookmarkEnd w:id="60"/>
      <w:bookmarkEnd w:id="61"/>
      <w:bookmarkEnd w:id="62"/>
    </w:p>
    <w:p w14:paraId="7CB74290" w14:textId="4D141BC2" w:rsidR="00CE2218" w:rsidRDefault="007E5455" w:rsidP="00BC5925">
      <w:pPr>
        <w:rPr>
          <w:shd w:val="clear" w:color="auto" w:fill="FFFFFF"/>
        </w:rPr>
      </w:pPr>
      <w:r>
        <w:t xml:space="preserve">The measure case </w:t>
      </w:r>
      <w:r w:rsidR="00EA68D8">
        <w:t xml:space="preserve">labor cost is </w:t>
      </w:r>
      <w:r w:rsidR="00EC3A07">
        <w:t>$</w:t>
      </w:r>
      <w:r w:rsidR="00CE2DBA">
        <w:t>80.81</w:t>
      </w:r>
      <w:r w:rsidR="00EA68D8">
        <w:t>.</w:t>
      </w:r>
      <w:r>
        <w:t xml:space="preserve"> </w:t>
      </w:r>
      <w:r w:rsidR="00C2763C">
        <w:rPr>
          <w:shd w:val="clear" w:color="auto" w:fill="FFFFFF"/>
        </w:rPr>
        <w:t xml:space="preserve">The WO017 </w:t>
      </w:r>
      <w:r w:rsidR="00BC5925">
        <w:rPr>
          <w:shd w:val="clear" w:color="auto" w:fill="FFFFFF"/>
        </w:rPr>
        <w:t xml:space="preserve">study </w:t>
      </w:r>
      <w:r w:rsidR="0007291F">
        <w:rPr>
          <w:shd w:val="clear" w:color="auto" w:fill="FFFFFF"/>
        </w:rPr>
        <w:t xml:space="preserve">identifies the required hours for </w:t>
      </w:r>
      <w:r w:rsidR="00BC5925">
        <w:rPr>
          <w:shd w:val="clear" w:color="auto" w:fill="FFFFFF"/>
        </w:rPr>
        <w:t xml:space="preserve">installation of automatic door closers in two categories based on door size (less than 42 inches and greater than 42 inches). </w:t>
      </w:r>
      <w:r w:rsidR="006D60F9">
        <w:rPr>
          <w:shd w:val="clear" w:color="auto" w:fill="FFFFFF"/>
        </w:rPr>
        <w:t>The RSMeans 2020 hourly labor rate of $64.65 for a commercial carpenter</w:t>
      </w:r>
      <w:r w:rsidR="006D60F9">
        <w:rPr>
          <w:rStyle w:val="FootnoteReference"/>
          <w:shd w:val="clear" w:color="auto" w:fill="FFFFFF"/>
        </w:rPr>
        <w:footnoteReference w:id="12"/>
      </w:r>
      <w:r w:rsidR="006D60F9">
        <w:rPr>
          <w:shd w:val="clear" w:color="auto" w:fill="FFFFFF"/>
        </w:rPr>
        <w:t xml:space="preserve"> is used to calculate the labor cost for this measure based on the labor hours identified in WO017. </w:t>
      </w:r>
      <w:r w:rsidR="00BC5925">
        <w:rPr>
          <w:shd w:val="clear" w:color="auto" w:fill="FFFFFF"/>
        </w:rPr>
        <w:t>The measure case labor cost was calculated as the average installation cost of all door sizes included in the analysis.</w:t>
      </w:r>
      <w:r w:rsidR="005C0C28">
        <w:rPr>
          <w:shd w:val="clear" w:color="auto" w:fill="FFFFFF"/>
        </w:rPr>
        <w:t xml:space="preserve"> </w:t>
      </w:r>
      <w:r w:rsidR="00DA2987">
        <w:t xml:space="preserve">See </w:t>
      </w:r>
      <w:proofErr w:type="spellStart"/>
      <w:r w:rsidR="00DA2987">
        <w:t>MeasureDataSpec</w:t>
      </w:r>
      <w:proofErr w:type="spellEnd"/>
      <w:r w:rsidR="00DA2987">
        <w:t xml:space="preserve"> attachment</w:t>
      </w:r>
      <w:r w:rsidR="00DA2987">
        <w:rPr>
          <w:rStyle w:val="FootnoteReference"/>
        </w:rPr>
        <w:footnoteReference w:id="13"/>
      </w:r>
      <w:r w:rsidR="00DA2987">
        <w:t xml:space="preserve"> for full costing methodology and sources.</w:t>
      </w:r>
    </w:p>
    <w:p w14:paraId="59C20F02" w14:textId="77777777" w:rsidR="00BC5925" w:rsidRPr="004B06E3" w:rsidRDefault="00BC5925" w:rsidP="00BC5925"/>
    <w:p w14:paraId="050D9183" w14:textId="7ABF5C13" w:rsidR="007D230B" w:rsidRPr="004B06E3" w:rsidRDefault="004B06E3" w:rsidP="00112EC4">
      <w:pPr>
        <w:pStyle w:val="eTRMHeading3"/>
      </w:pPr>
      <w:bookmarkStart w:id="63" w:name="_Toc486490863"/>
      <w:bookmarkStart w:id="64" w:name="_Toc486580934"/>
      <w:bookmarkStart w:id="65" w:name="_Toc63260324"/>
      <w:r>
        <w:t>Net-to-Gross</w:t>
      </w:r>
      <w:bookmarkEnd w:id="63"/>
      <w:bookmarkEnd w:id="64"/>
      <w:r w:rsidR="008D4652">
        <w:t xml:space="preserve"> (NTG)</w:t>
      </w:r>
      <w:bookmarkEnd w:id="65"/>
    </w:p>
    <w:p w14:paraId="38865E93" w14:textId="01E2A96A" w:rsidR="004D62E5" w:rsidRPr="004B06E3" w:rsidRDefault="004D62E5" w:rsidP="004D62E5">
      <w:r w:rsidRPr="00860FEC">
        <w:t xml:space="preserve">The net-to-gross (NTG) ratio represents the portion of gross impacts that are determined to be directly attributed to a specific program intervention. </w:t>
      </w:r>
      <w:r w:rsidR="00D7183E" w:rsidRPr="00AF3038">
        <w:t>These NTG values are based upon the average of all NTG ratios for all evaluated 2006 – 2008 commercial</w:t>
      </w:r>
      <w:r w:rsidR="00C2763C">
        <w:t xml:space="preserve"> programs</w:t>
      </w:r>
      <w:r w:rsidR="00D7183E" w:rsidRPr="00AF3038">
        <w:t xml:space="preserve">, as documented in the 2011 DEER Update Study conducted by </w:t>
      </w:r>
      <w:proofErr w:type="spellStart"/>
      <w:r w:rsidR="00D7183E" w:rsidRPr="00AF3038">
        <w:t>Itron</w:t>
      </w:r>
      <w:proofErr w:type="spellEnd"/>
      <w:r w:rsidR="00D7183E" w:rsidRPr="00AF3038">
        <w:t xml:space="preserve">, Inc. These sector average NTGs (“default NTGs”) are applicable </w:t>
      </w:r>
      <w:r w:rsidR="00D7183E">
        <w:t xml:space="preserve">to </w:t>
      </w:r>
      <w:r w:rsidR="00D7183E" w:rsidRPr="00AF3038">
        <w:t xml:space="preserve">all energy efficiency measures that have been offered </w:t>
      </w:r>
      <w:r w:rsidR="00D7183E">
        <w:t>through</w:t>
      </w:r>
      <w:r w:rsidR="00D7183E" w:rsidRPr="00AF3038">
        <w:t xml:space="preserve"> commercial </w:t>
      </w:r>
      <w:r w:rsidR="00D7183E">
        <w:t xml:space="preserve">sector </w:t>
      </w:r>
      <w:r w:rsidR="00D7183E" w:rsidRPr="00AF3038">
        <w:t>programs for more than two years and for which impact evaluation results are not available.</w:t>
      </w:r>
      <w:r w:rsidR="00D7183E" w:rsidRPr="00765218">
        <w:t> </w:t>
      </w:r>
    </w:p>
    <w:p w14:paraId="76BC4548" w14:textId="7B043282" w:rsidR="00744555" w:rsidRPr="0059426D" w:rsidRDefault="00744555" w:rsidP="00276DCA">
      <w:pPr>
        <w:pStyle w:val="Caption"/>
      </w:pPr>
      <w:r>
        <w:t>Net-to-Gross Ratios</w:t>
      </w:r>
      <w:r w:rsidR="00DF0A81">
        <w:t xml:space="preserve"> </w:t>
      </w:r>
    </w:p>
    <w:tbl>
      <w:tblPr>
        <w:tblW w:w="933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860"/>
        <w:gridCol w:w="990"/>
        <w:gridCol w:w="6480"/>
      </w:tblGrid>
      <w:tr w:rsidR="000354BC" w:rsidRPr="00052C24" w14:paraId="4A494286" w14:textId="77777777" w:rsidTr="000354BC">
        <w:trPr>
          <w:trHeight w:val="287"/>
        </w:trPr>
        <w:tc>
          <w:tcPr>
            <w:tcW w:w="1860" w:type="dxa"/>
            <w:shd w:val="clear" w:color="auto" w:fill="F2F2F2" w:themeFill="background1" w:themeFillShade="F2"/>
            <w:vAlign w:val="bottom"/>
          </w:tcPr>
          <w:p w14:paraId="172D7EAF" w14:textId="62D458B1" w:rsidR="000354BC" w:rsidRPr="00052C24" w:rsidRDefault="000354BC" w:rsidP="0057573D">
            <w:pPr>
              <w:keepNext/>
              <w:keepLines/>
              <w:spacing w:before="20" w:after="20" w:line="240" w:lineRule="auto"/>
              <w:jc w:val="center"/>
              <w:rPr>
                <w:b/>
                <w:sz w:val="20"/>
              </w:rPr>
            </w:pPr>
            <w:bookmarkStart w:id="66" w:name="_Toc486490864"/>
            <w:bookmarkStart w:id="67" w:name="_Toc486580935"/>
            <w:r>
              <w:rPr>
                <w:b/>
                <w:sz w:val="20"/>
              </w:rPr>
              <w:t xml:space="preserve">Parameter </w:t>
            </w:r>
          </w:p>
        </w:tc>
        <w:tc>
          <w:tcPr>
            <w:tcW w:w="990" w:type="dxa"/>
            <w:shd w:val="clear" w:color="auto" w:fill="F2F2F2" w:themeFill="background1" w:themeFillShade="F2"/>
            <w:vAlign w:val="bottom"/>
          </w:tcPr>
          <w:p w14:paraId="4761CA94" w14:textId="2C2CBE9F" w:rsidR="000354BC" w:rsidRPr="00052C24" w:rsidRDefault="000354BC" w:rsidP="0057573D">
            <w:pPr>
              <w:keepNext/>
              <w:keepLines/>
              <w:spacing w:before="20" w:after="20" w:line="240" w:lineRule="auto"/>
              <w:jc w:val="center"/>
              <w:rPr>
                <w:b/>
                <w:sz w:val="20"/>
              </w:rPr>
            </w:pPr>
            <w:r>
              <w:rPr>
                <w:b/>
                <w:sz w:val="20"/>
              </w:rPr>
              <w:t>Value</w:t>
            </w:r>
          </w:p>
        </w:tc>
        <w:tc>
          <w:tcPr>
            <w:tcW w:w="6480" w:type="dxa"/>
            <w:shd w:val="clear" w:color="auto" w:fill="F2F2F2" w:themeFill="background1" w:themeFillShade="F2"/>
            <w:vAlign w:val="bottom"/>
          </w:tcPr>
          <w:p w14:paraId="1CCB9CC0" w14:textId="30E52F4E" w:rsidR="000354BC" w:rsidRDefault="000354BC" w:rsidP="0057573D">
            <w:pPr>
              <w:keepNext/>
              <w:keepLines/>
              <w:spacing w:before="20" w:after="20" w:line="240" w:lineRule="auto"/>
              <w:jc w:val="center"/>
              <w:rPr>
                <w:b/>
                <w:sz w:val="20"/>
              </w:rPr>
            </w:pPr>
            <w:r>
              <w:rPr>
                <w:b/>
                <w:sz w:val="20"/>
              </w:rPr>
              <w:t xml:space="preserve"> Source</w:t>
            </w:r>
          </w:p>
        </w:tc>
      </w:tr>
      <w:tr w:rsidR="000354BC" w:rsidRPr="009062D0" w14:paraId="760913FC" w14:textId="77777777" w:rsidTr="00221C03">
        <w:trPr>
          <w:trHeight w:val="260"/>
        </w:trPr>
        <w:tc>
          <w:tcPr>
            <w:tcW w:w="1860" w:type="dxa"/>
            <w:vAlign w:val="center"/>
          </w:tcPr>
          <w:p w14:paraId="7789E12C" w14:textId="77777777" w:rsidR="000354BC" w:rsidRPr="009062D0" w:rsidRDefault="000354BC" w:rsidP="00906132">
            <w:pPr>
              <w:keepNext/>
              <w:keepLines/>
              <w:spacing w:before="20" w:after="20" w:line="240" w:lineRule="auto"/>
              <w:rPr>
                <w:sz w:val="20"/>
              </w:rPr>
            </w:pPr>
            <w:r w:rsidRPr="009062D0">
              <w:rPr>
                <w:sz w:val="20"/>
              </w:rPr>
              <w:t>NTG – Commercial</w:t>
            </w:r>
          </w:p>
        </w:tc>
        <w:tc>
          <w:tcPr>
            <w:tcW w:w="990" w:type="dxa"/>
            <w:shd w:val="clear" w:color="auto" w:fill="auto"/>
            <w:vAlign w:val="center"/>
          </w:tcPr>
          <w:p w14:paraId="7F9054A9" w14:textId="5EF9D5BE" w:rsidR="000354BC" w:rsidRPr="00216F04" w:rsidRDefault="000354BC">
            <w:pPr>
              <w:keepNext/>
              <w:keepLines/>
              <w:spacing w:before="20" w:after="20" w:line="240" w:lineRule="auto"/>
              <w:jc w:val="center"/>
              <w:rPr>
                <w:sz w:val="20"/>
              </w:rPr>
            </w:pPr>
            <w:r w:rsidRPr="00216F04">
              <w:rPr>
                <w:sz w:val="20"/>
                <w:szCs w:val="20"/>
              </w:rPr>
              <w:t>0.60</w:t>
            </w:r>
          </w:p>
        </w:tc>
        <w:tc>
          <w:tcPr>
            <w:tcW w:w="6480" w:type="dxa"/>
            <w:vAlign w:val="center"/>
          </w:tcPr>
          <w:p w14:paraId="07EEFA68" w14:textId="68C05922" w:rsidR="00C91C11" w:rsidRPr="00216F04" w:rsidRDefault="00C91C11" w:rsidP="00221C03">
            <w:pPr>
              <w:keepNext/>
              <w:keepLines/>
              <w:spacing w:before="20" w:after="20" w:line="240" w:lineRule="auto"/>
              <w:rPr>
                <w:sz w:val="18"/>
              </w:rPr>
            </w:pPr>
            <w:proofErr w:type="spellStart"/>
            <w:r>
              <w:rPr>
                <w:sz w:val="18"/>
              </w:rPr>
              <w:t>Itron</w:t>
            </w:r>
            <w:proofErr w:type="spellEnd"/>
            <w:r>
              <w:rPr>
                <w:sz w:val="18"/>
              </w:rPr>
              <w:t>, Inc. 2011. DEER Database 2011 Update Documentation. Prepared for the California Public Utilities Commission. Page 15-4 Table 15-3.</w:t>
            </w:r>
          </w:p>
        </w:tc>
      </w:tr>
    </w:tbl>
    <w:p w14:paraId="48C4E54D" w14:textId="77777777" w:rsidR="00486F68" w:rsidRDefault="00486F68" w:rsidP="00D7183E"/>
    <w:p w14:paraId="323B5B02" w14:textId="4C4B13DC" w:rsidR="007D230B" w:rsidRPr="004B06E3" w:rsidRDefault="00D02C36" w:rsidP="00112EC4">
      <w:pPr>
        <w:pStyle w:val="eTRMHeading3"/>
      </w:pPr>
      <w:bookmarkStart w:id="68" w:name="_Toc63260325"/>
      <w:r>
        <w:t>Gross Savings Installation Adjustment (</w:t>
      </w:r>
      <w:r w:rsidR="007D230B" w:rsidRPr="004B06E3">
        <w:t>GSIA</w:t>
      </w:r>
      <w:bookmarkEnd w:id="66"/>
      <w:bookmarkEnd w:id="67"/>
      <w:r>
        <w:t>)</w:t>
      </w:r>
      <w:bookmarkEnd w:id="68"/>
    </w:p>
    <w:p w14:paraId="6DC1068B" w14:textId="61325BF0" w:rsidR="000354BC" w:rsidRDefault="004D62E5" w:rsidP="0069440F">
      <w:r w:rsidRPr="00AD00D3">
        <w:t xml:space="preserve">The </w:t>
      </w:r>
      <w:r w:rsidR="000836B7">
        <w:t xml:space="preserve">gross savings </w:t>
      </w:r>
      <w:r w:rsidRPr="00AD00D3">
        <w:t xml:space="preserve">installation </w:t>
      </w:r>
      <w:r w:rsidR="000836B7">
        <w:t>adjustment (GSIA)</w:t>
      </w:r>
      <w:r w:rsidRPr="00AD00D3">
        <w:t xml:space="preserve"> represents the ratio of the number of verified installations of the measure to the number of claimed installations </w:t>
      </w:r>
      <w:r>
        <w:t>reported</w:t>
      </w:r>
      <w:r w:rsidRPr="00AD00D3">
        <w:t xml:space="preserve"> by the utility. The </w:t>
      </w:r>
      <w:r w:rsidR="000836B7">
        <w:t>GSIA</w:t>
      </w:r>
      <w:r w:rsidRPr="00AD00D3">
        <w:t xml:space="preserve"> rate varies by end use, sector, technology, application, and delivery method. </w:t>
      </w:r>
      <w:r w:rsidR="00CE2218">
        <w:t>This GSIA rate is the current “default” rate specified for measures for which an alternative GSIA has not been estimated and approved.</w:t>
      </w:r>
    </w:p>
    <w:p w14:paraId="5228240F" w14:textId="1A75B9AD" w:rsidR="0060275B" w:rsidRPr="0059426D" w:rsidRDefault="00DF0A81" w:rsidP="00276DCA">
      <w:pPr>
        <w:pStyle w:val="Caption"/>
      </w:pPr>
      <w:r>
        <w:t>Gross Savings Installation Adjustment</w:t>
      </w:r>
      <w:r w:rsidR="0060275B">
        <w:t xml:space="preserve"> Rates</w:t>
      </w:r>
      <w:r w:rsidRPr="00DF0A81">
        <w:t xml:space="preserve"> </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970"/>
        <w:gridCol w:w="990"/>
        <w:gridCol w:w="6485"/>
      </w:tblGrid>
      <w:tr w:rsidR="000354BC" w:rsidRPr="0059426D" w14:paraId="6E6D3001" w14:textId="187F7004" w:rsidTr="00967E32">
        <w:trPr>
          <w:cantSplit/>
          <w:trHeight w:val="20"/>
          <w:tblHeader/>
        </w:trPr>
        <w:tc>
          <w:tcPr>
            <w:tcW w:w="1043" w:type="pct"/>
            <w:shd w:val="clear" w:color="000000" w:fill="F2F2F2" w:themeFill="background1" w:themeFillShade="F2"/>
            <w:vAlign w:val="bottom"/>
          </w:tcPr>
          <w:p w14:paraId="68FC2EA3" w14:textId="67CC718E" w:rsidR="000354BC" w:rsidRPr="0059426D" w:rsidRDefault="000354BC" w:rsidP="0057573D">
            <w:pPr>
              <w:spacing w:before="20" w:after="20" w:line="200" w:lineRule="atLeast"/>
              <w:jc w:val="center"/>
              <w:rPr>
                <w:rFonts w:cs="Arial"/>
                <w:b/>
                <w:color w:val="000000"/>
                <w:sz w:val="20"/>
                <w:szCs w:val="20"/>
              </w:rPr>
            </w:pPr>
            <w:r>
              <w:rPr>
                <w:rFonts w:cs="Arial"/>
                <w:b/>
                <w:color w:val="000000"/>
                <w:sz w:val="20"/>
                <w:szCs w:val="20"/>
              </w:rPr>
              <w:t>Parameter</w:t>
            </w:r>
          </w:p>
        </w:tc>
        <w:tc>
          <w:tcPr>
            <w:tcW w:w="524" w:type="pct"/>
            <w:shd w:val="clear" w:color="000000" w:fill="F2F2F2" w:themeFill="background1" w:themeFillShade="F2"/>
            <w:vAlign w:val="center"/>
          </w:tcPr>
          <w:p w14:paraId="2D95FF3A" w14:textId="4599BEA5" w:rsidR="000354BC" w:rsidRPr="0059426D" w:rsidRDefault="000354BC" w:rsidP="0057573D">
            <w:pPr>
              <w:spacing w:before="20" w:after="20" w:line="200" w:lineRule="atLeast"/>
              <w:jc w:val="center"/>
              <w:rPr>
                <w:rFonts w:cs="Arial"/>
                <w:b/>
                <w:color w:val="000000"/>
                <w:sz w:val="20"/>
                <w:szCs w:val="20"/>
              </w:rPr>
            </w:pPr>
            <w:r>
              <w:rPr>
                <w:rFonts w:cs="Arial"/>
                <w:b/>
                <w:sz w:val="20"/>
                <w:szCs w:val="20"/>
              </w:rPr>
              <w:t>Value</w:t>
            </w:r>
          </w:p>
        </w:tc>
        <w:tc>
          <w:tcPr>
            <w:tcW w:w="3433" w:type="pct"/>
            <w:shd w:val="clear" w:color="000000" w:fill="F2F2F2" w:themeFill="background1" w:themeFillShade="F2"/>
          </w:tcPr>
          <w:p w14:paraId="6BF9149B" w14:textId="2A06DC11" w:rsidR="000354BC" w:rsidRDefault="000354BC" w:rsidP="0057573D">
            <w:pPr>
              <w:spacing w:before="20" w:after="20" w:line="200" w:lineRule="atLeast"/>
              <w:jc w:val="center"/>
              <w:rPr>
                <w:rFonts w:cs="Arial"/>
                <w:b/>
                <w:sz w:val="20"/>
                <w:szCs w:val="20"/>
              </w:rPr>
            </w:pPr>
            <w:r>
              <w:rPr>
                <w:rFonts w:cs="Arial"/>
                <w:b/>
                <w:sz w:val="20"/>
                <w:szCs w:val="20"/>
              </w:rPr>
              <w:t>Source</w:t>
            </w:r>
          </w:p>
        </w:tc>
      </w:tr>
      <w:tr w:rsidR="000354BC" w:rsidRPr="0059426D" w14:paraId="6996AEA4" w14:textId="4D985F44" w:rsidTr="00967E32">
        <w:trPr>
          <w:cantSplit/>
          <w:trHeight w:val="20"/>
        </w:trPr>
        <w:tc>
          <w:tcPr>
            <w:tcW w:w="1043" w:type="pct"/>
            <w:vAlign w:val="center"/>
          </w:tcPr>
          <w:p w14:paraId="6DD791B1" w14:textId="5E51527C" w:rsidR="000354BC" w:rsidRPr="0059426D" w:rsidRDefault="000354BC" w:rsidP="00216F04">
            <w:pPr>
              <w:spacing w:before="20" w:after="20" w:line="200" w:lineRule="atLeast"/>
              <w:jc w:val="center"/>
              <w:rPr>
                <w:rFonts w:cstheme="minorHAnsi"/>
                <w:sz w:val="20"/>
                <w:szCs w:val="20"/>
              </w:rPr>
            </w:pPr>
            <w:r>
              <w:rPr>
                <w:rFonts w:cstheme="minorHAnsi"/>
                <w:sz w:val="20"/>
                <w:szCs w:val="20"/>
              </w:rPr>
              <w:t>GSIA</w:t>
            </w:r>
          </w:p>
        </w:tc>
        <w:tc>
          <w:tcPr>
            <w:tcW w:w="524" w:type="pct"/>
            <w:vAlign w:val="center"/>
          </w:tcPr>
          <w:p w14:paraId="01FD32E8" w14:textId="741B2546" w:rsidR="000354BC" w:rsidRPr="0059426D" w:rsidRDefault="000354BC">
            <w:pPr>
              <w:spacing w:before="20" w:after="20" w:line="200" w:lineRule="atLeast"/>
              <w:jc w:val="center"/>
              <w:rPr>
                <w:color w:val="000000"/>
                <w:sz w:val="20"/>
                <w:szCs w:val="20"/>
              </w:rPr>
            </w:pPr>
            <w:r>
              <w:rPr>
                <w:color w:val="000000"/>
                <w:sz w:val="20"/>
                <w:szCs w:val="20"/>
              </w:rPr>
              <w:t>1.0</w:t>
            </w:r>
          </w:p>
        </w:tc>
        <w:tc>
          <w:tcPr>
            <w:tcW w:w="3433" w:type="pct"/>
            <w:vAlign w:val="center"/>
          </w:tcPr>
          <w:p w14:paraId="698B8F57" w14:textId="6328BA9F" w:rsidR="000354BC" w:rsidRDefault="000354BC" w:rsidP="00967E32">
            <w:pPr>
              <w:spacing w:before="20" w:after="20" w:line="200" w:lineRule="atLeast"/>
              <w:rPr>
                <w:color w:val="000000"/>
                <w:sz w:val="20"/>
                <w:szCs w:val="20"/>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6B251BFB" w14:textId="77777777" w:rsidR="0060275B" w:rsidRDefault="0060275B" w:rsidP="0060275B">
      <w:pPr>
        <w:rPr>
          <w:rFonts w:cs="Arial"/>
          <w:sz w:val="20"/>
          <w:szCs w:val="20"/>
        </w:rPr>
      </w:pPr>
    </w:p>
    <w:p w14:paraId="498C05E5" w14:textId="7BC91EE0" w:rsidR="002C67DF" w:rsidRPr="004B06E3" w:rsidRDefault="002C67DF" w:rsidP="00112EC4">
      <w:pPr>
        <w:pStyle w:val="eTRMHeading3"/>
      </w:pPr>
      <w:bookmarkStart w:id="69" w:name="_Toc486490865"/>
      <w:bookmarkStart w:id="70" w:name="_Toc486580936"/>
      <w:bookmarkStart w:id="71" w:name="_Toc63260326"/>
      <w:r w:rsidRPr="004B06E3">
        <w:t xml:space="preserve">Non-Energy </w:t>
      </w:r>
      <w:bookmarkEnd w:id="69"/>
      <w:bookmarkEnd w:id="70"/>
      <w:r w:rsidR="00BF19B9">
        <w:t>Impacts</w:t>
      </w:r>
      <w:bookmarkEnd w:id="71"/>
    </w:p>
    <w:p w14:paraId="744A74D5" w14:textId="098F29CE" w:rsidR="00DF0A81" w:rsidRDefault="00DF0A81" w:rsidP="00DF0A81">
      <w:bookmarkStart w:id="72" w:name="_Toc490461312"/>
      <w:r>
        <w:t xml:space="preserve">Non-energy </w:t>
      </w:r>
      <w:r w:rsidR="00A737EC">
        <w:t>impacts</w:t>
      </w:r>
      <w:r>
        <w:t xml:space="preserve"> for this measure have not been quantified.</w:t>
      </w:r>
    </w:p>
    <w:p w14:paraId="67710E7E" w14:textId="77777777" w:rsidR="00DF0A81" w:rsidRDefault="00DF0A81" w:rsidP="00DF0A81"/>
    <w:p w14:paraId="59EB9776" w14:textId="77777777" w:rsidR="0060275B" w:rsidRPr="004B06E3" w:rsidRDefault="0060275B" w:rsidP="00112EC4">
      <w:pPr>
        <w:pStyle w:val="eTRMHeading3"/>
      </w:pPr>
      <w:bookmarkStart w:id="73" w:name="_Toc63260327"/>
      <w:r>
        <w:t>DEER Differences Analysis</w:t>
      </w:r>
      <w:bookmarkEnd w:id="72"/>
      <w:bookmarkEnd w:id="73"/>
    </w:p>
    <w:p w14:paraId="48498852" w14:textId="1EF2D926" w:rsidR="005F7C0F" w:rsidRDefault="00973CC5" w:rsidP="005F7C0F">
      <w:pPr>
        <w:rPr>
          <w:rFonts w:cstheme="minorHAnsi"/>
          <w:szCs w:val="22"/>
        </w:rPr>
      </w:pPr>
      <w:r>
        <w:t xml:space="preserve">This section provides a summary of inputs and methods based upon the Database for Energy Efficient Resources (DEER), and the rationale for inputs and methods that are not DEER-based. </w:t>
      </w:r>
      <w:r w:rsidR="005F7C0F" w:rsidRPr="00C44831">
        <w:rPr>
          <w:rFonts w:cstheme="minorHAnsi"/>
          <w:szCs w:val="22"/>
        </w:rPr>
        <w:t>The applicable DEER Measure IDs D03-208 and D03-20</w:t>
      </w:r>
      <w:r w:rsidR="005F7C0F">
        <w:rPr>
          <w:rFonts w:cstheme="minorHAnsi"/>
          <w:szCs w:val="22"/>
        </w:rPr>
        <w:t xml:space="preserve">9 </w:t>
      </w:r>
      <w:r w:rsidR="005F7C0F" w:rsidRPr="00E059E5">
        <w:rPr>
          <w:rFonts w:cs="Arial"/>
          <w:szCs w:val="22"/>
        </w:rPr>
        <w:t>were not updated after DEER 2005</w:t>
      </w:r>
      <w:r w:rsidR="005F7C0F">
        <w:rPr>
          <w:rFonts w:cs="Arial"/>
          <w:szCs w:val="22"/>
        </w:rPr>
        <w:t xml:space="preserve">. </w:t>
      </w:r>
      <w:r w:rsidR="005F7C0F" w:rsidRPr="00A33C19">
        <w:rPr>
          <w:rFonts w:cs="Arial"/>
          <w:szCs w:val="22"/>
        </w:rPr>
        <w:t>As a result, new simulation models using MASControl</w:t>
      </w:r>
      <w:r w:rsidR="005F0003">
        <w:rPr>
          <w:rFonts w:cs="Arial"/>
          <w:szCs w:val="22"/>
        </w:rPr>
        <w:t>3</w:t>
      </w:r>
      <w:r w:rsidR="005F7C0F" w:rsidRPr="00A33C19">
        <w:rPr>
          <w:rFonts w:cs="Arial"/>
          <w:szCs w:val="22"/>
        </w:rPr>
        <w:t xml:space="preserve"> and </w:t>
      </w:r>
      <w:r>
        <w:rPr>
          <w:rFonts w:cs="Arial"/>
          <w:szCs w:val="22"/>
        </w:rPr>
        <w:t>DOE2.2R</w:t>
      </w:r>
      <w:r w:rsidR="005F7C0F" w:rsidRPr="00A33C19">
        <w:rPr>
          <w:rFonts w:cs="Arial"/>
          <w:szCs w:val="22"/>
        </w:rPr>
        <w:t xml:space="preserve"> were generated to calculate the energy savings. </w:t>
      </w:r>
      <w:r w:rsidR="005F7C0F" w:rsidRPr="007B086C">
        <w:rPr>
          <w:rFonts w:cstheme="minorHAnsi"/>
          <w:szCs w:val="22"/>
        </w:rPr>
        <w:t>DEER</w:t>
      </w:r>
      <w:r w:rsidR="005F7C0F">
        <w:rPr>
          <w:rFonts w:cstheme="minorHAnsi"/>
          <w:szCs w:val="22"/>
        </w:rPr>
        <w:t xml:space="preserve"> </w:t>
      </w:r>
      <w:r w:rsidR="00764F70">
        <w:rPr>
          <w:rFonts w:cstheme="minorHAnsi"/>
          <w:szCs w:val="22"/>
        </w:rPr>
        <w:t xml:space="preserve">2010 </w:t>
      </w:r>
      <w:r w:rsidR="00197B5D">
        <w:rPr>
          <w:rFonts w:cstheme="minorHAnsi"/>
          <w:szCs w:val="22"/>
        </w:rPr>
        <w:t xml:space="preserve">weather files </w:t>
      </w:r>
      <w:r w:rsidR="005F7C0F">
        <w:rPr>
          <w:rFonts w:cstheme="minorHAnsi"/>
          <w:szCs w:val="22"/>
        </w:rPr>
        <w:t>were considered in the measure runs</w:t>
      </w:r>
      <w:r w:rsidR="005F7C0F" w:rsidRPr="007B086C">
        <w:rPr>
          <w:rFonts w:cstheme="minorHAnsi"/>
          <w:szCs w:val="22"/>
        </w:rPr>
        <w:t xml:space="preserve">. </w:t>
      </w:r>
      <w:r w:rsidR="005F7C0F">
        <w:rPr>
          <w:rFonts w:cstheme="minorHAnsi"/>
          <w:szCs w:val="22"/>
        </w:rPr>
        <w:t xml:space="preserve">The Grocery DEER prototype building </w:t>
      </w:r>
      <w:r w:rsidR="00AB219A">
        <w:rPr>
          <w:rFonts w:cstheme="minorHAnsi"/>
          <w:szCs w:val="22"/>
        </w:rPr>
        <w:t xml:space="preserve">was adjusted based on current code and market conditions and </w:t>
      </w:r>
      <w:r w:rsidR="005F7C0F">
        <w:rPr>
          <w:rFonts w:cstheme="minorHAnsi"/>
          <w:szCs w:val="22"/>
        </w:rPr>
        <w:t xml:space="preserve">was used to calculate savings for all building types </w:t>
      </w:r>
      <w:r w:rsidR="000D54B0">
        <w:rPr>
          <w:rFonts w:cstheme="minorHAnsi"/>
          <w:szCs w:val="22"/>
        </w:rPr>
        <w:t>for this measure</w:t>
      </w:r>
      <w:r w:rsidR="005F7C0F" w:rsidRPr="00F02A74">
        <w:rPr>
          <w:rFonts w:cstheme="minorHAnsi"/>
          <w:szCs w:val="22"/>
        </w:rPr>
        <w:t>.</w:t>
      </w:r>
      <w:r w:rsidR="005F7C0F" w:rsidRPr="005F7C0F">
        <w:rPr>
          <w:rFonts w:cstheme="minorHAnsi"/>
          <w:szCs w:val="22"/>
          <w:highlight w:val="yellow"/>
        </w:rPr>
        <w:t xml:space="preserve"> </w:t>
      </w:r>
    </w:p>
    <w:p w14:paraId="65815002" w14:textId="77777777" w:rsidR="00B0446F" w:rsidRPr="00AF7ECA" w:rsidRDefault="00B0446F" w:rsidP="005F7C0F">
      <w:pPr>
        <w:rPr>
          <w:rFonts w:cstheme="minorHAnsi"/>
          <w:szCs w:val="22"/>
        </w:rPr>
      </w:pPr>
    </w:p>
    <w:p w14:paraId="118E8040" w14:textId="4DA1834C" w:rsidR="0060275B" w:rsidRPr="00920905" w:rsidRDefault="0060275B" w:rsidP="007A62BA">
      <w:pPr>
        <w:pStyle w:val="Caption"/>
        <w:keepNext w:val="0"/>
        <w:keepLines w:val="0"/>
      </w:pPr>
      <w:r w:rsidRPr="00920905">
        <w:t>DEER Difference Summary</w:t>
      </w:r>
    </w:p>
    <w:tbl>
      <w:tblPr>
        <w:tblW w:w="5051"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6"/>
        <w:gridCol w:w="6209"/>
      </w:tblGrid>
      <w:tr w:rsidR="0060275B" w:rsidRPr="00F02A74" w14:paraId="3DD38C1C" w14:textId="77777777" w:rsidTr="007A62BA">
        <w:trPr>
          <w:trHeight w:val="20"/>
          <w:tblHeader/>
        </w:trPr>
        <w:tc>
          <w:tcPr>
            <w:tcW w:w="1713" w:type="pct"/>
            <w:shd w:val="clear" w:color="auto" w:fill="F2F2F2" w:themeFill="background1" w:themeFillShade="F2"/>
          </w:tcPr>
          <w:p w14:paraId="22DAC050" w14:textId="77777777" w:rsidR="0060275B" w:rsidRPr="00F02A74" w:rsidRDefault="0060275B" w:rsidP="007A62BA">
            <w:pPr>
              <w:tabs>
                <w:tab w:val="right" w:pos="2957"/>
              </w:tabs>
              <w:spacing w:before="20" w:after="20"/>
              <w:rPr>
                <w:rFonts w:cs="Arial"/>
                <w:b/>
                <w:sz w:val="20"/>
                <w:szCs w:val="20"/>
              </w:rPr>
            </w:pPr>
            <w:r w:rsidRPr="00F02A74">
              <w:rPr>
                <w:rFonts w:cs="Arial"/>
                <w:b/>
                <w:sz w:val="20"/>
                <w:szCs w:val="20"/>
              </w:rPr>
              <w:t>DEER Item</w:t>
            </w:r>
          </w:p>
        </w:tc>
        <w:tc>
          <w:tcPr>
            <w:tcW w:w="3287" w:type="pct"/>
            <w:shd w:val="clear" w:color="auto" w:fill="F2F2F2" w:themeFill="background1" w:themeFillShade="F2"/>
          </w:tcPr>
          <w:p w14:paraId="3D108538" w14:textId="77777777" w:rsidR="0060275B" w:rsidRPr="00F02A74" w:rsidRDefault="0060275B" w:rsidP="007A62BA">
            <w:pPr>
              <w:spacing w:before="20" w:after="20"/>
              <w:rPr>
                <w:rFonts w:cs="Arial"/>
                <w:b/>
                <w:sz w:val="20"/>
                <w:szCs w:val="20"/>
              </w:rPr>
            </w:pPr>
            <w:r w:rsidRPr="00F02A74">
              <w:rPr>
                <w:rFonts w:cs="Arial"/>
                <w:b/>
                <w:sz w:val="20"/>
                <w:szCs w:val="20"/>
              </w:rPr>
              <w:t>Comment / Used for Workpaper</w:t>
            </w:r>
          </w:p>
        </w:tc>
      </w:tr>
      <w:tr w:rsidR="0060275B" w:rsidRPr="00F02A74" w14:paraId="03AFE735" w14:textId="77777777" w:rsidTr="00216F04">
        <w:trPr>
          <w:trHeight w:val="287"/>
        </w:trPr>
        <w:tc>
          <w:tcPr>
            <w:tcW w:w="1713" w:type="pct"/>
          </w:tcPr>
          <w:p w14:paraId="77B2F50C" w14:textId="77777777" w:rsidR="0060275B" w:rsidRPr="00F02A74" w:rsidRDefault="0060275B" w:rsidP="007A62BA">
            <w:pPr>
              <w:spacing w:before="20" w:after="20"/>
              <w:rPr>
                <w:rFonts w:cs="Arial"/>
                <w:sz w:val="20"/>
                <w:szCs w:val="20"/>
              </w:rPr>
            </w:pPr>
            <w:r w:rsidRPr="00F02A74">
              <w:rPr>
                <w:rFonts w:cs="Arial"/>
                <w:sz w:val="20"/>
                <w:szCs w:val="20"/>
              </w:rPr>
              <w:t>Modified DEER methodology</w:t>
            </w:r>
          </w:p>
        </w:tc>
        <w:tc>
          <w:tcPr>
            <w:tcW w:w="3287" w:type="pct"/>
          </w:tcPr>
          <w:p w14:paraId="276FB643" w14:textId="47FF845C" w:rsidR="0060275B" w:rsidRPr="00F02A74" w:rsidRDefault="005F7C0F" w:rsidP="007A62BA">
            <w:pPr>
              <w:spacing w:before="20" w:after="20"/>
              <w:rPr>
                <w:rFonts w:cs="Arial"/>
                <w:sz w:val="20"/>
                <w:szCs w:val="20"/>
              </w:rPr>
            </w:pPr>
            <w:r w:rsidRPr="00F02A74">
              <w:rPr>
                <w:rFonts w:cs="Arial"/>
                <w:sz w:val="20"/>
                <w:szCs w:val="20"/>
              </w:rPr>
              <w:t>Yes</w:t>
            </w:r>
          </w:p>
        </w:tc>
      </w:tr>
      <w:tr w:rsidR="0060275B" w:rsidRPr="00F02A74" w14:paraId="3AEA6D81" w14:textId="77777777" w:rsidTr="00216F04">
        <w:trPr>
          <w:trHeight w:val="20"/>
        </w:trPr>
        <w:tc>
          <w:tcPr>
            <w:tcW w:w="1713" w:type="pct"/>
          </w:tcPr>
          <w:p w14:paraId="0E459EF2" w14:textId="77777777" w:rsidR="0060275B" w:rsidRPr="00F02A74" w:rsidRDefault="0060275B" w:rsidP="007A62BA">
            <w:pPr>
              <w:spacing w:before="20" w:after="20"/>
              <w:rPr>
                <w:rFonts w:cs="Arial"/>
                <w:sz w:val="20"/>
                <w:szCs w:val="20"/>
              </w:rPr>
            </w:pPr>
            <w:r w:rsidRPr="00F02A74">
              <w:rPr>
                <w:rFonts w:cs="Arial"/>
                <w:sz w:val="20"/>
                <w:szCs w:val="20"/>
              </w:rPr>
              <w:t>Scaled DEER measure</w:t>
            </w:r>
          </w:p>
        </w:tc>
        <w:tc>
          <w:tcPr>
            <w:tcW w:w="3287" w:type="pct"/>
          </w:tcPr>
          <w:p w14:paraId="1FEF505B" w14:textId="10FFEBE5" w:rsidR="0060275B" w:rsidRPr="00F02A74" w:rsidRDefault="005F7C0F" w:rsidP="007A62BA">
            <w:pPr>
              <w:spacing w:before="20" w:after="20"/>
              <w:rPr>
                <w:rFonts w:cs="Arial"/>
                <w:sz w:val="20"/>
                <w:szCs w:val="20"/>
              </w:rPr>
            </w:pPr>
            <w:r w:rsidRPr="00F02A74">
              <w:rPr>
                <w:rFonts w:cs="Arial"/>
                <w:sz w:val="20"/>
                <w:szCs w:val="20"/>
              </w:rPr>
              <w:t>No</w:t>
            </w:r>
          </w:p>
        </w:tc>
      </w:tr>
      <w:tr w:rsidR="0060275B" w:rsidRPr="00F02A74" w14:paraId="3E806722" w14:textId="77777777" w:rsidTr="00216F04">
        <w:trPr>
          <w:trHeight w:val="20"/>
        </w:trPr>
        <w:tc>
          <w:tcPr>
            <w:tcW w:w="1713" w:type="pct"/>
          </w:tcPr>
          <w:p w14:paraId="4E77BB6A" w14:textId="77777777" w:rsidR="0060275B" w:rsidRPr="00F02A74" w:rsidRDefault="0060275B" w:rsidP="007A62BA">
            <w:pPr>
              <w:spacing w:before="20" w:after="20"/>
              <w:rPr>
                <w:rFonts w:cs="Arial"/>
                <w:sz w:val="20"/>
                <w:szCs w:val="20"/>
              </w:rPr>
            </w:pPr>
            <w:r w:rsidRPr="00F02A74">
              <w:rPr>
                <w:rFonts w:cs="Arial"/>
                <w:sz w:val="20"/>
                <w:szCs w:val="20"/>
              </w:rPr>
              <w:t>DEER Base Case</w:t>
            </w:r>
          </w:p>
        </w:tc>
        <w:tc>
          <w:tcPr>
            <w:tcW w:w="3287" w:type="pct"/>
          </w:tcPr>
          <w:p w14:paraId="625DAB45" w14:textId="362D4A21" w:rsidR="0060275B" w:rsidRPr="00F02A74" w:rsidRDefault="00BE349A" w:rsidP="007A62BA">
            <w:pPr>
              <w:spacing w:before="20" w:after="20"/>
              <w:rPr>
                <w:rFonts w:cs="Arial"/>
                <w:sz w:val="20"/>
                <w:szCs w:val="20"/>
              </w:rPr>
            </w:pPr>
            <w:r>
              <w:rPr>
                <w:rFonts w:cs="Arial"/>
                <w:sz w:val="20"/>
                <w:szCs w:val="20"/>
              </w:rPr>
              <w:t>No</w:t>
            </w:r>
          </w:p>
        </w:tc>
      </w:tr>
      <w:tr w:rsidR="0060275B" w:rsidRPr="00F02A74" w14:paraId="07BD29FE" w14:textId="77777777" w:rsidTr="00216F04">
        <w:trPr>
          <w:trHeight w:val="20"/>
        </w:trPr>
        <w:tc>
          <w:tcPr>
            <w:tcW w:w="1713" w:type="pct"/>
          </w:tcPr>
          <w:p w14:paraId="5F0160DC" w14:textId="77777777" w:rsidR="0060275B" w:rsidRPr="00F02A74" w:rsidRDefault="0060275B" w:rsidP="007A62BA">
            <w:pPr>
              <w:spacing w:before="20" w:after="20"/>
              <w:rPr>
                <w:rFonts w:cs="Arial"/>
                <w:sz w:val="20"/>
                <w:szCs w:val="20"/>
              </w:rPr>
            </w:pPr>
            <w:r w:rsidRPr="00F02A74">
              <w:rPr>
                <w:rFonts w:cs="Arial"/>
                <w:sz w:val="20"/>
                <w:szCs w:val="20"/>
              </w:rPr>
              <w:t>DEER Measure Case</w:t>
            </w:r>
          </w:p>
        </w:tc>
        <w:tc>
          <w:tcPr>
            <w:tcW w:w="3287" w:type="pct"/>
          </w:tcPr>
          <w:p w14:paraId="52EDCC23" w14:textId="03E5D34A" w:rsidR="0060275B" w:rsidRPr="00F02A74" w:rsidRDefault="00D80BF0" w:rsidP="007A62BA">
            <w:pPr>
              <w:spacing w:before="20" w:after="20"/>
              <w:rPr>
                <w:rFonts w:cs="Arial"/>
                <w:sz w:val="20"/>
                <w:szCs w:val="20"/>
              </w:rPr>
            </w:pPr>
            <w:r w:rsidRPr="00F02A74">
              <w:rPr>
                <w:rFonts w:cs="Arial"/>
                <w:sz w:val="20"/>
                <w:szCs w:val="20"/>
              </w:rPr>
              <w:t>No</w:t>
            </w:r>
          </w:p>
        </w:tc>
      </w:tr>
      <w:tr w:rsidR="0060275B" w:rsidRPr="00F02A74" w14:paraId="75F005C8" w14:textId="77777777" w:rsidTr="00216F04">
        <w:trPr>
          <w:trHeight w:val="269"/>
        </w:trPr>
        <w:tc>
          <w:tcPr>
            <w:tcW w:w="1713" w:type="pct"/>
          </w:tcPr>
          <w:p w14:paraId="7F00AF7D" w14:textId="77777777" w:rsidR="0060275B" w:rsidRPr="00F02A74" w:rsidRDefault="0060275B" w:rsidP="007A62BA">
            <w:pPr>
              <w:spacing w:before="20" w:after="20"/>
              <w:rPr>
                <w:rFonts w:cs="Arial"/>
                <w:sz w:val="20"/>
                <w:szCs w:val="20"/>
              </w:rPr>
            </w:pPr>
            <w:r w:rsidRPr="00F02A74">
              <w:rPr>
                <w:rFonts w:cs="Arial"/>
                <w:sz w:val="20"/>
                <w:szCs w:val="20"/>
              </w:rPr>
              <w:t>DEER Building Types</w:t>
            </w:r>
          </w:p>
        </w:tc>
        <w:tc>
          <w:tcPr>
            <w:tcW w:w="3287" w:type="pct"/>
          </w:tcPr>
          <w:p w14:paraId="585953C8" w14:textId="7D10FAA5" w:rsidR="0060275B" w:rsidRPr="00F02A74" w:rsidRDefault="00161616" w:rsidP="007A62BA">
            <w:pPr>
              <w:spacing w:before="20" w:after="20"/>
              <w:rPr>
                <w:rFonts w:cs="Arial"/>
                <w:sz w:val="20"/>
                <w:szCs w:val="20"/>
              </w:rPr>
            </w:pPr>
            <w:r w:rsidRPr="00F02A74">
              <w:rPr>
                <w:rFonts w:cs="Arial"/>
                <w:sz w:val="20"/>
                <w:szCs w:val="20"/>
              </w:rPr>
              <w:t>Yes</w:t>
            </w:r>
          </w:p>
        </w:tc>
      </w:tr>
      <w:tr w:rsidR="0060275B" w:rsidRPr="00F02A74" w14:paraId="535E7413" w14:textId="77777777" w:rsidTr="00216F04">
        <w:trPr>
          <w:trHeight w:val="20"/>
        </w:trPr>
        <w:tc>
          <w:tcPr>
            <w:tcW w:w="1713" w:type="pct"/>
          </w:tcPr>
          <w:p w14:paraId="141AB99A" w14:textId="77777777" w:rsidR="0060275B" w:rsidRPr="00F02A74" w:rsidRDefault="0060275B" w:rsidP="007A62BA">
            <w:pPr>
              <w:spacing w:before="20" w:after="20"/>
              <w:rPr>
                <w:rFonts w:cs="Arial"/>
                <w:sz w:val="20"/>
                <w:szCs w:val="20"/>
              </w:rPr>
            </w:pPr>
            <w:r w:rsidRPr="00F02A74">
              <w:rPr>
                <w:rFonts w:cs="Arial"/>
                <w:sz w:val="20"/>
                <w:szCs w:val="20"/>
              </w:rPr>
              <w:t>DEER Operating Hours</w:t>
            </w:r>
          </w:p>
        </w:tc>
        <w:tc>
          <w:tcPr>
            <w:tcW w:w="3287" w:type="pct"/>
          </w:tcPr>
          <w:p w14:paraId="604F0ACE" w14:textId="0281A9A3" w:rsidR="0060275B" w:rsidRPr="00F02A74" w:rsidRDefault="00F076E3" w:rsidP="007A62BA">
            <w:pPr>
              <w:spacing w:before="20" w:after="20"/>
              <w:rPr>
                <w:rFonts w:cs="Arial"/>
                <w:sz w:val="20"/>
                <w:szCs w:val="20"/>
              </w:rPr>
            </w:pPr>
            <w:r>
              <w:rPr>
                <w:rFonts w:cs="Arial"/>
                <w:sz w:val="20"/>
                <w:szCs w:val="20"/>
              </w:rPr>
              <w:t>No</w:t>
            </w:r>
          </w:p>
        </w:tc>
      </w:tr>
      <w:tr w:rsidR="009A595A" w:rsidRPr="00F02A74" w14:paraId="64815DB7" w14:textId="77777777" w:rsidTr="00216F04">
        <w:trPr>
          <w:trHeight w:val="20"/>
        </w:trPr>
        <w:tc>
          <w:tcPr>
            <w:tcW w:w="1713" w:type="pct"/>
          </w:tcPr>
          <w:p w14:paraId="6997E4AD" w14:textId="77777777" w:rsidR="009A595A" w:rsidRPr="00F02A74" w:rsidRDefault="009A595A" w:rsidP="007A62BA">
            <w:pPr>
              <w:spacing w:before="20" w:after="20"/>
              <w:rPr>
                <w:rFonts w:cs="Arial"/>
                <w:sz w:val="20"/>
                <w:szCs w:val="20"/>
              </w:rPr>
            </w:pPr>
            <w:r w:rsidRPr="00F02A74">
              <w:rPr>
                <w:rFonts w:cs="Arial"/>
                <w:sz w:val="20"/>
                <w:szCs w:val="20"/>
              </w:rPr>
              <w:t xml:space="preserve">DEER </w:t>
            </w:r>
            <w:proofErr w:type="spellStart"/>
            <w:r w:rsidRPr="00F02A74">
              <w:rPr>
                <w:rFonts w:cs="Arial"/>
                <w:sz w:val="20"/>
                <w:szCs w:val="20"/>
              </w:rPr>
              <w:t>eQUEST</w:t>
            </w:r>
            <w:proofErr w:type="spellEnd"/>
            <w:r w:rsidRPr="00F02A74">
              <w:rPr>
                <w:rFonts w:cs="Arial"/>
                <w:sz w:val="20"/>
                <w:szCs w:val="20"/>
              </w:rPr>
              <w:t xml:space="preserve"> Prototypes</w:t>
            </w:r>
          </w:p>
        </w:tc>
        <w:tc>
          <w:tcPr>
            <w:tcW w:w="3287" w:type="pct"/>
          </w:tcPr>
          <w:p w14:paraId="032CB0A5" w14:textId="40C06274" w:rsidR="009A595A" w:rsidRPr="009A595A" w:rsidDel="00505CEC" w:rsidRDefault="000E0844" w:rsidP="007A62BA">
            <w:pPr>
              <w:spacing w:before="20" w:after="20"/>
              <w:rPr>
                <w:rFonts w:cs="Arial"/>
                <w:sz w:val="20"/>
                <w:szCs w:val="20"/>
              </w:rPr>
            </w:pPr>
            <w:r w:rsidRPr="000E0844">
              <w:rPr>
                <w:rFonts w:cs="Arial"/>
                <w:sz w:val="20"/>
                <w:szCs w:val="20"/>
              </w:rPr>
              <w:t>No (</w:t>
            </w:r>
            <w:proofErr w:type="spellStart"/>
            <w:r w:rsidRPr="000E0844">
              <w:rPr>
                <w:rFonts w:cs="Arial"/>
                <w:sz w:val="20"/>
                <w:szCs w:val="20"/>
              </w:rPr>
              <w:t>MASControl</w:t>
            </w:r>
            <w:proofErr w:type="spellEnd"/>
            <w:r w:rsidRPr="000E0844">
              <w:rPr>
                <w:rFonts w:cs="Arial"/>
                <w:sz w:val="20"/>
                <w:szCs w:val="20"/>
              </w:rPr>
              <w:t xml:space="preserve"> version 3 for vintage 2020, Modified for 2020 refrigeration code and baselines)</w:t>
            </w:r>
          </w:p>
        </w:tc>
      </w:tr>
      <w:tr w:rsidR="0060275B" w:rsidRPr="00F02A74" w14:paraId="71845FCC" w14:textId="77777777" w:rsidTr="00216F04">
        <w:trPr>
          <w:trHeight w:val="180"/>
        </w:trPr>
        <w:tc>
          <w:tcPr>
            <w:tcW w:w="1713" w:type="pct"/>
          </w:tcPr>
          <w:p w14:paraId="51F52307" w14:textId="77777777" w:rsidR="0060275B" w:rsidRPr="00F02A74" w:rsidRDefault="0060275B" w:rsidP="007A62BA">
            <w:pPr>
              <w:spacing w:before="20" w:after="20"/>
              <w:rPr>
                <w:rFonts w:cs="Arial"/>
                <w:sz w:val="20"/>
                <w:szCs w:val="20"/>
              </w:rPr>
            </w:pPr>
            <w:r w:rsidRPr="00F02A74">
              <w:rPr>
                <w:rFonts w:cs="Arial"/>
                <w:sz w:val="20"/>
                <w:szCs w:val="20"/>
              </w:rPr>
              <w:t>DEER Version</w:t>
            </w:r>
          </w:p>
        </w:tc>
        <w:tc>
          <w:tcPr>
            <w:tcW w:w="3287" w:type="pct"/>
          </w:tcPr>
          <w:p w14:paraId="444DA374" w14:textId="45C1AAB0" w:rsidR="0060275B" w:rsidRPr="00F02A74" w:rsidRDefault="00161616" w:rsidP="007A62BA">
            <w:pPr>
              <w:spacing w:before="20" w:after="20"/>
              <w:rPr>
                <w:rFonts w:cs="Arial"/>
                <w:sz w:val="20"/>
                <w:szCs w:val="20"/>
              </w:rPr>
            </w:pPr>
            <w:r w:rsidRPr="00F02A74">
              <w:rPr>
                <w:rFonts w:cs="Arial"/>
                <w:sz w:val="20"/>
                <w:szCs w:val="20"/>
              </w:rPr>
              <w:t>n/a</w:t>
            </w:r>
          </w:p>
        </w:tc>
      </w:tr>
      <w:tr w:rsidR="0060275B" w:rsidRPr="00F02A74" w14:paraId="442E1E69" w14:textId="77777777" w:rsidTr="00216F04">
        <w:trPr>
          <w:trHeight w:val="20"/>
        </w:trPr>
        <w:tc>
          <w:tcPr>
            <w:tcW w:w="1713" w:type="pct"/>
          </w:tcPr>
          <w:p w14:paraId="7E5BF9F6" w14:textId="77777777" w:rsidR="0060275B" w:rsidRPr="00F02A74" w:rsidRDefault="0060275B" w:rsidP="007A62BA">
            <w:pPr>
              <w:spacing w:before="20" w:after="20"/>
              <w:rPr>
                <w:rFonts w:cs="Arial"/>
                <w:sz w:val="20"/>
                <w:szCs w:val="20"/>
              </w:rPr>
            </w:pPr>
            <w:r w:rsidRPr="00F02A74">
              <w:rPr>
                <w:rFonts w:cs="Arial"/>
                <w:sz w:val="20"/>
                <w:szCs w:val="20"/>
              </w:rPr>
              <w:t>Reason for Deviation from DEER</w:t>
            </w:r>
          </w:p>
        </w:tc>
        <w:tc>
          <w:tcPr>
            <w:tcW w:w="3287" w:type="pct"/>
          </w:tcPr>
          <w:p w14:paraId="29913F17" w14:textId="4D3BEBF1" w:rsidR="0060275B" w:rsidRPr="00F02A74" w:rsidRDefault="00161616" w:rsidP="007A62BA">
            <w:pPr>
              <w:spacing w:before="20" w:after="20"/>
              <w:rPr>
                <w:rFonts w:cs="Arial"/>
                <w:sz w:val="20"/>
                <w:szCs w:val="20"/>
              </w:rPr>
            </w:pPr>
            <w:r w:rsidRPr="00F02A74">
              <w:rPr>
                <w:rFonts w:cs="Arial"/>
                <w:sz w:val="20"/>
                <w:szCs w:val="20"/>
              </w:rPr>
              <w:t xml:space="preserve">DEER </w:t>
            </w:r>
            <w:r w:rsidR="00764F70">
              <w:rPr>
                <w:rFonts w:cs="Arial"/>
                <w:sz w:val="20"/>
                <w:szCs w:val="20"/>
              </w:rPr>
              <w:t>20</w:t>
            </w:r>
            <w:r w:rsidR="00112EC4">
              <w:rPr>
                <w:rFonts w:cs="Arial"/>
                <w:sz w:val="20"/>
                <w:szCs w:val="20"/>
              </w:rPr>
              <w:t>1</w:t>
            </w:r>
            <w:r w:rsidR="00764F70">
              <w:rPr>
                <w:rFonts w:cs="Arial"/>
                <w:sz w:val="20"/>
                <w:szCs w:val="20"/>
              </w:rPr>
              <w:t>0,</w:t>
            </w:r>
            <w:r w:rsidR="00112EC4">
              <w:rPr>
                <w:rFonts w:cs="Arial"/>
                <w:sz w:val="20"/>
                <w:szCs w:val="20"/>
              </w:rPr>
              <w:t xml:space="preserve"> </w:t>
            </w:r>
            <w:r w:rsidRPr="00F02A74">
              <w:rPr>
                <w:rFonts w:cs="Arial"/>
                <w:sz w:val="20"/>
                <w:szCs w:val="20"/>
              </w:rPr>
              <w:t>2017</w:t>
            </w:r>
            <w:r w:rsidR="00764F70">
              <w:rPr>
                <w:rFonts w:cs="Arial"/>
                <w:sz w:val="20"/>
                <w:szCs w:val="20"/>
              </w:rPr>
              <w:t>, and 2020</w:t>
            </w:r>
            <w:r w:rsidRPr="00F02A74">
              <w:rPr>
                <w:rFonts w:cs="Arial"/>
                <w:sz w:val="20"/>
                <w:szCs w:val="20"/>
              </w:rPr>
              <w:t xml:space="preserve"> do not contain this type of measure.</w:t>
            </w:r>
          </w:p>
        </w:tc>
      </w:tr>
      <w:tr w:rsidR="0060275B" w:rsidRPr="00F02A74" w14:paraId="1B630A29" w14:textId="77777777" w:rsidTr="00216F04">
        <w:trPr>
          <w:trHeight w:val="20"/>
        </w:trPr>
        <w:tc>
          <w:tcPr>
            <w:tcW w:w="1713" w:type="pct"/>
          </w:tcPr>
          <w:p w14:paraId="38517FCE" w14:textId="77777777" w:rsidR="0060275B" w:rsidRPr="00F02A74" w:rsidRDefault="0060275B" w:rsidP="007A62BA">
            <w:pPr>
              <w:spacing w:before="20" w:after="20"/>
              <w:rPr>
                <w:rFonts w:cs="Arial"/>
                <w:sz w:val="20"/>
                <w:szCs w:val="20"/>
              </w:rPr>
            </w:pPr>
            <w:r w:rsidRPr="00F02A74">
              <w:rPr>
                <w:rFonts w:cs="Arial"/>
                <w:sz w:val="20"/>
                <w:szCs w:val="20"/>
              </w:rPr>
              <w:t>DEER Measure IDs Used</w:t>
            </w:r>
          </w:p>
        </w:tc>
        <w:tc>
          <w:tcPr>
            <w:tcW w:w="3287" w:type="pct"/>
          </w:tcPr>
          <w:p w14:paraId="29A0DDA0" w14:textId="7B74AA99" w:rsidR="0060275B" w:rsidRPr="00F02A74" w:rsidRDefault="00161616" w:rsidP="007A62BA">
            <w:pPr>
              <w:spacing w:before="20" w:after="20"/>
              <w:rPr>
                <w:rFonts w:cs="Arial"/>
                <w:sz w:val="20"/>
                <w:szCs w:val="20"/>
              </w:rPr>
            </w:pPr>
            <w:r w:rsidRPr="00F02A74">
              <w:rPr>
                <w:rFonts w:cs="Arial"/>
                <w:sz w:val="20"/>
                <w:szCs w:val="20"/>
              </w:rPr>
              <w:t>n/a</w:t>
            </w:r>
          </w:p>
        </w:tc>
      </w:tr>
      <w:tr w:rsidR="0060275B" w:rsidRPr="00F02A74" w14:paraId="05802189" w14:textId="77777777" w:rsidTr="00216F04">
        <w:trPr>
          <w:trHeight w:val="20"/>
        </w:trPr>
        <w:tc>
          <w:tcPr>
            <w:tcW w:w="1713" w:type="pct"/>
          </w:tcPr>
          <w:p w14:paraId="418981DD" w14:textId="77777777" w:rsidR="0060275B" w:rsidRPr="00F02A74" w:rsidRDefault="0060275B" w:rsidP="007A62BA">
            <w:pPr>
              <w:spacing w:before="20" w:after="20"/>
              <w:rPr>
                <w:rFonts w:cs="Arial"/>
                <w:sz w:val="20"/>
                <w:szCs w:val="20"/>
              </w:rPr>
            </w:pPr>
            <w:r w:rsidRPr="00F02A74">
              <w:rPr>
                <w:rFonts w:cs="Arial"/>
                <w:sz w:val="20"/>
                <w:szCs w:val="20"/>
              </w:rPr>
              <w:t>NTG</w:t>
            </w:r>
          </w:p>
        </w:tc>
        <w:tc>
          <w:tcPr>
            <w:tcW w:w="3287" w:type="pct"/>
          </w:tcPr>
          <w:p w14:paraId="5347D340" w14:textId="34E87127" w:rsidR="00AE2CED" w:rsidRPr="00F02A74" w:rsidRDefault="008168EB" w:rsidP="007A62BA">
            <w:pPr>
              <w:spacing w:before="20" w:after="20"/>
              <w:rPr>
                <w:rFonts w:cs="Arial"/>
                <w:sz w:val="20"/>
                <w:szCs w:val="20"/>
              </w:rPr>
            </w:pPr>
            <w:r>
              <w:rPr>
                <w:rFonts w:cs="Arial"/>
                <w:sz w:val="20"/>
                <w:szCs w:val="20"/>
              </w:rPr>
              <w:t>The value of 0.60 is associated with NTGR IDs:</w:t>
            </w:r>
            <w:r w:rsidR="007B03A8">
              <w:rPr>
                <w:rFonts w:cs="Arial"/>
                <w:i/>
                <w:sz w:val="20"/>
                <w:szCs w:val="20"/>
              </w:rPr>
              <w:t xml:space="preserve"> </w:t>
            </w:r>
            <w:r w:rsidRPr="008168EB">
              <w:rPr>
                <w:rFonts w:cs="Arial"/>
                <w:i/>
                <w:sz w:val="20"/>
                <w:szCs w:val="20"/>
              </w:rPr>
              <w:t>Com-Default&gt;2yrs</w:t>
            </w:r>
          </w:p>
        </w:tc>
      </w:tr>
      <w:tr w:rsidR="0060275B" w:rsidRPr="00F02A74" w14:paraId="1304259A" w14:textId="77777777" w:rsidTr="00216F04">
        <w:trPr>
          <w:trHeight w:val="20"/>
        </w:trPr>
        <w:tc>
          <w:tcPr>
            <w:tcW w:w="1713" w:type="pct"/>
          </w:tcPr>
          <w:p w14:paraId="1F932BBC" w14:textId="0A359FEA" w:rsidR="0060275B" w:rsidRPr="00F02A74" w:rsidRDefault="0060275B" w:rsidP="007A62BA">
            <w:pPr>
              <w:spacing w:before="20" w:after="20"/>
              <w:rPr>
                <w:rFonts w:cs="Arial"/>
                <w:sz w:val="20"/>
                <w:szCs w:val="20"/>
              </w:rPr>
            </w:pPr>
            <w:r w:rsidRPr="00F02A74">
              <w:rPr>
                <w:rFonts w:cs="Arial"/>
                <w:sz w:val="20"/>
                <w:szCs w:val="20"/>
              </w:rPr>
              <w:t>GSIA</w:t>
            </w:r>
          </w:p>
        </w:tc>
        <w:tc>
          <w:tcPr>
            <w:tcW w:w="3287" w:type="pct"/>
          </w:tcPr>
          <w:p w14:paraId="6C019027" w14:textId="5CF2F728" w:rsidR="00FC6AB2" w:rsidRPr="00F02A74" w:rsidRDefault="00FC6AB2" w:rsidP="007A62BA">
            <w:pPr>
              <w:spacing w:before="20" w:after="20"/>
              <w:rPr>
                <w:rFonts w:cs="Arial"/>
                <w:sz w:val="20"/>
                <w:szCs w:val="20"/>
              </w:rPr>
            </w:pPr>
            <w:r w:rsidRPr="00F02A74">
              <w:rPr>
                <w:sz w:val="20"/>
                <w:szCs w:val="20"/>
              </w:rPr>
              <w:t xml:space="preserve">The assigned default value of 1.0 is associated with </w:t>
            </w:r>
            <w:r w:rsidRPr="00F02A74">
              <w:rPr>
                <w:i/>
                <w:sz w:val="20"/>
                <w:szCs w:val="20"/>
              </w:rPr>
              <w:t>Def-GSIA</w:t>
            </w:r>
          </w:p>
        </w:tc>
      </w:tr>
      <w:tr w:rsidR="0060275B" w:rsidRPr="00F02A74" w14:paraId="119E79BD" w14:textId="77777777" w:rsidTr="00AB219A">
        <w:trPr>
          <w:trHeight w:val="20"/>
        </w:trPr>
        <w:tc>
          <w:tcPr>
            <w:tcW w:w="1697" w:type="pct"/>
          </w:tcPr>
          <w:p w14:paraId="21233B1F" w14:textId="77777777" w:rsidR="0060275B" w:rsidRPr="00F02A74" w:rsidRDefault="0060275B" w:rsidP="007A62BA">
            <w:pPr>
              <w:spacing w:before="20" w:after="20"/>
              <w:rPr>
                <w:rFonts w:cs="Arial"/>
                <w:sz w:val="20"/>
                <w:szCs w:val="20"/>
              </w:rPr>
            </w:pPr>
            <w:r w:rsidRPr="00F02A74">
              <w:rPr>
                <w:rFonts w:cs="Arial"/>
                <w:sz w:val="20"/>
                <w:szCs w:val="20"/>
              </w:rPr>
              <w:t>EUL/RUL</w:t>
            </w:r>
          </w:p>
        </w:tc>
        <w:tc>
          <w:tcPr>
            <w:tcW w:w="3303" w:type="pct"/>
          </w:tcPr>
          <w:p w14:paraId="06F509B3" w14:textId="745866ED" w:rsidR="006841A4" w:rsidRDefault="006841A4" w:rsidP="007A62BA">
            <w:pPr>
              <w:spacing w:before="20" w:after="20"/>
              <w:rPr>
                <w:sz w:val="20"/>
                <w:szCs w:val="20"/>
              </w:rPr>
            </w:pPr>
            <w:r>
              <w:rPr>
                <w:sz w:val="20"/>
                <w:szCs w:val="20"/>
              </w:rPr>
              <w:t xml:space="preserve">The EUL of 8 years is associated with EUL ID: </w:t>
            </w:r>
            <w:proofErr w:type="spellStart"/>
            <w:r w:rsidRPr="006841A4">
              <w:rPr>
                <w:i/>
                <w:sz w:val="20"/>
                <w:szCs w:val="20"/>
              </w:rPr>
              <w:t>GrocWlkIn-DrClsr</w:t>
            </w:r>
            <w:proofErr w:type="spellEnd"/>
            <w:r w:rsidRPr="006841A4" w:rsidDel="006841A4">
              <w:rPr>
                <w:sz w:val="20"/>
                <w:szCs w:val="20"/>
              </w:rPr>
              <w:t xml:space="preserve"> </w:t>
            </w:r>
          </w:p>
          <w:p w14:paraId="3D7FD5B0" w14:textId="77777777" w:rsidR="005832E2" w:rsidRDefault="005832E2" w:rsidP="007A62BA">
            <w:pPr>
              <w:spacing w:before="20" w:after="20"/>
              <w:rPr>
                <w:sz w:val="20"/>
                <w:szCs w:val="20"/>
              </w:rPr>
            </w:pPr>
          </w:p>
          <w:p w14:paraId="5F9FD440" w14:textId="1779C090" w:rsidR="0060275B" w:rsidRPr="00F02A74" w:rsidRDefault="006841A4" w:rsidP="007A62BA">
            <w:pPr>
              <w:spacing w:before="20" w:after="20"/>
              <w:rPr>
                <w:rFonts w:cs="Arial"/>
                <w:sz w:val="20"/>
                <w:szCs w:val="20"/>
              </w:rPr>
            </w:pPr>
            <w:r>
              <w:rPr>
                <w:sz w:val="20"/>
                <w:szCs w:val="20"/>
              </w:rPr>
              <w:t>The RUL of</w:t>
            </w:r>
            <w:r w:rsidR="005E3CB4">
              <w:rPr>
                <w:sz w:val="20"/>
                <w:szCs w:val="20"/>
              </w:rPr>
              <w:t xml:space="preserve"> 6.67</w:t>
            </w:r>
            <w:r>
              <w:rPr>
                <w:sz w:val="20"/>
                <w:szCs w:val="20"/>
              </w:rPr>
              <w:t xml:space="preserve"> years is </w:t>
            </w:r>
            <w:r w:rsidR="005E3CB4">
              <w:rPr>
                <w:sz w:val="20"/>
                <w:szCs w:val="20"/>
              </w:rPr>
              <w:t>calculated as 1/3 of 20 years</w:t>
            </w:r>
            <w:r w:rsidR="005832E2">
              <w:rPr>
                <w:sz w:val="20"/>
                <w:szCs w:val="20"/>
              </w:rPr>
              <w:t>;</w:t>
            </w:r>
            <w:r>
              <w:rPr>
                <w:sz w:val="20"/>
                <w:szCs w:val="20"/>
              </w:rPr>
              <w:t xml:space="preserve"> </w:t>
            </w:r>
            <w:r w:rsidR="005E3CB4">
              <w:rPr>
                <w:sz w:val="20"/>
                <w:szCs w:val="20"/>
              </w:rPr>
              <w:t>the</w:t>
            </w:r>
            <w:r>
              <w:rPr>
                <w:sz w:val="20"/>
                <w:szCs w:val="20"/>
              </w:rPr>
              <w:t xml:space="preserve"> EUL ID: </w:t>
            </w:r>
            <w:r w:rsidRPr="006841A4">
              <w:rPr>
                <w:i/>
                <w:sz w:val="20"/>
                <w:szCs w:val="20"/>
              </w:rPr>
              <w:t>HVAC-</w:t>
            </w:r>
            <w:proofErr w:type="spellStart"/>
            <w:r w:rsidRPr="006841A4">
              <w:rPr>
                <w:i/>
                <w:sz w:val="20"/>
                <w:szCs w:val="20"/>
              </w:rPr>
              <w:t>Chlr</w:t>
            </w:r>
            <w:proofErr w:type="spellEnd"/>
            <w:r w:rsidR="005E3CB4">
              <w:rPr>
                <w:i/>
                <w:sz w:val="20"/>
                <w:szCs w:val="20"/>
              </w:rPr>
              <w:t xml:space="preserve"> </w:t>
            </w:r>
            <w:r w:rsidR="005E3CB4">
              <w:rPr>
                <w:sz w:val="20"/>
                <w:szCs w:val="20"/>
              </w:rPr>
              <w:t>is used</w:t>
            </w:r>
            <w:r w:rsidR="005E3CB4" w:rsidRPr="005E3CB4">
              <w:rPr>
                <w:sz w:val="20"/>
                <w:szCs w:val="20"/>
              </w:rPr>
              <w:t xml:space="preserve"> a proxy for 20 years.</w:t>
            </w:r>
          </w:p>
        </w:tc>
      </w:tr>
    </w:tbl>
    <w:p w14:paraId="07B0FD03" w14:textId="77777777" w:rsidR="0060275B" w:rsidRDefault="0060275B" w:rsidP="0060275B"/>
    <w:p w14:paraId="2A92253C" w14:textId="77777777" w:rsidR="006752F7" w:rsidRDefault="006752F7" w:rsidP="00112EC4">
      <w:pPr>
        <w:pStyle w:val="eTRMHeading3"/>
      </w:pPr>
      <w:bookmarkStart w:id="74" w:name="_Toc486490866"/>
      <w:bookmarkStart w:id="75" w:name="_Toc486580937"/>
      <w:bookmarkStart w:id="76" w:name="_Toc515951877"/>
      <w:bookmarkStart w:id="77" w:name="_Toc63260328"/>
      <w:bookmarkStart w:id="78" w:name="_Hlk516047558"/>
      <w:r w:rsidRPr="004B06E3">
        <w:lastRenderedPageBreak/>
        <w:t>Revision History</w:t>
      </w:r>
      <w:bookmarkEnd w:id="74"/>
      <w:bookmarkEnd w:id="75"/>
      <w:bookmarkEnd w:id="76"/>
      <w:bookmarkEnd w:id="77"/>
    </w:p>
    <w:p w14:paraId="43AB4317" w14:textId="03569BB5" w:rsidR="006752F7" w:rsidRDefault="006752F7" w:rsidP="006752F7">
      <w:pPr>
        <w:pStyle w:val="Caption"/>
      </w:pPr>
      <w:bookmarkStart w:id="79"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664"/>
        <w:gridCol w:w="1891"/>
        <w:gridCol w:w="4855"/>
      </w:tblGrid>
      <w:tr w:rsidR="006752F7" w:rsidRPr="00500C4E" w14:paraId="5BCDD883" w14:textId="77777777" w:rsidTr="007A62BA">
        <w:trPr>
          <w:trHeight w:val="20"/>
        </w:trPr>
        <w:tc>
          <w:tcPr>
            <w:tcW w:w="503" w:type="pct"/>
            <w:shd w:val="clear" w:color="auto" w:fill="F2F2F2" w:themeFill="background1" w:themeFillShade="F2"/>
            <w:vAlign w:val="bottom"/>
          </w:tcPr>
          <w:p w14:paraId="1C39B076" w14:textId="77777777" w:rsidR="006752F7" w:rsidRPr="00EA057C" w:rsidRDefault="006752F7" w:rsidP="004B3D8C">
            <w:pPr>
              <w:keepNext/>
              <w:keepLines/>
              <w:tabs>
                <w:tab w:val="right" w:pos="2957"/>
              </w:tabs>
              <w:spacing w:before="20" w:after="20"/>
              <w:rPr>
                <w:rFonts w:cs="Arial"/>
                <w:b/>
                <w:sz w:val="20"/>
                <w:szCs w:val="20"/>
              </w:rPr>
            </w:pPr>
            <w:r>
              <w:rPr>
                <w:rFonts w:cs="Arial"/>
                <w:b/>
                <w:sz w:val="20"/>
                <w:szCs w:val="20"/>
              </w:rPr>
              <w:t>Revision Number</w:t>
            </w:r>
          </w:p>
        </w:tc>
        <w:tc>
          <w:tcPr>
            <w:tcW w:w="890" w:type="pct"/>
            <w:shd w:val="clear" w:color="auto" w:fill="F2F2F2" w:themeFill="background1" w:themeFillShade="F2"/>
            <w:vAlign w:val="bottom"/>
          </w:tcPr>
          <w:p w14:paraId="6C334FF1" w14:textId="0A241175" w:rsidR="006752F7" w:rsidRPr="00EA057C" w:rsidRDefault="00C2763C" w:rsidP="004B3D8C">
            <w:pPr>
              <w:keepNext/>
              <w:keepLines/>
              <w:spacing w:before="20" w:after="20"/>
              <w:rPr>
                <w:rFonts w:cs="Arial"/>
                <w:b/>
                <w:sz w:val="20"/>
                <w:szCs w:val="20"/>
              </w:rPr>
            </w:pPr>
            <w:r>
              <w:rPr>
                <w:rFonts w:cs="Arial"/>
                <w:b/>
                <w:sz w:val="20"/>
                <w:szCs w:val="20"/>
              </w:rPr>
              <w:t xml:space="preserve">Revision Complete </w:t>
            </w:r>
            <w:r w:rsidR="006752F7">
              <w:rPr>
                <w:rFonts w:cs="Arial"/>
                <w:b/>
                <w:sz w:val="20"/>
                <w:szCs w:val="20"/>
              </w:rPr>
              <w:t>Date</w:t>
            </w:r>
          </w:p>
        </w:tc>
        <w:tc>
          <w:tcPr>
            <w:tcW w:w="1011" w:type="pct"/>
            <w:shd w:val="clear" w:color="auto" w:fill="F2F2F2" w:themeFill="background1" w:themeFillShade="F2"/>
            <w:vAlign w:val="bottom"/>
          </w:tcPr>
          <w:p w14:paraId="078ECFC8" w14:textId="77777777" w:rsidR="006752F7" w:rsidRDefault="006752F7" w:rsidP="004B3D8C">
            <w:pPr>
              <w:keepNext/>
              <w:keepLines/>
              <w:spacing w:before="20" w:after="20"/>
              <w:rPr>
                <w:rFonts w:cs="Arial"/>
                <w:b/>
                <w:sz w:val="20"/>
                <w:szCs w:val="20"/>
              </w:rPr>
            </w:pPr>
            <w:r>
              <w:rPr>
                <w:rFonts w:cs="Arial"/>
                <w:b/>
                <w:sz w:val="20"/>
                <w:szCs w:val="20"/>
              </w:rPr>
              <w:t>Primary Author, Title, Organization</w:t>
            </w:r>
          </w:p>
        </w:tc>
        <w:tc>
          <w:tcPr>
            <w:tcW w:w="2596" w:type="pct"/>
            <w:shd w:val="clear" w:color="auto" w:fill="F2F2F2" w:themeFill="background1" w:themeFillShade="F2"/>
            <w:vAlign w:val="bottom"/>
          </w:tcPr>
          <w:p w14:paraId="0CC5EF9F" w14:textId="77777777" w:rsidR="006752F7" w:rsidRDefault="006752F7" w:rsidP="004B3D8C">
            <w:pPr>
              <w:keepNext/>
              <w:keepLines/>
              <w:spacing w:before="20" w:after="20"/>
              <w:rPr>
                <w:rFonts w:cs="Arial"/>
                <w:b/>
                <w:sz w:val="20"/>
                <w:szCs w:val="20"/>
              </w:rPr>
            </w:pPr>
            <w:r>
              <w:rPr>
                <w:rFonts w:cs="Arial"/>
                <w:b/>
                <w:sz w:val="20"/>
                <w:szCs w:val="20"/>
              </w:rPr>
              <w:t>Revision Summary and Rationale for Revision</w:t>
            </w:r>
          </w:p>
          <w:p w14:paraId="20865093" w14:textId="77777777" w:rsidR="006752F7" w:rsidRDefault="006752F7" w:rsidP="004B3D8C">
            <w:pPr>
              <w:keepNext/>
              <w:keepLines/>
              <w:spacing w:before="20" w:after="20"/>
              <w:rPr>
                <w:rFonts w:cs="Arial"/>
                <w:b/>
                <w:sz w:val="20"/>
                <w:szCs w:val="20"/>
              </w:rPr>
            </w:pPr>
            <w:r>
              <w:rPr>
                <w:rFonts w:cs="Arial"/>
                <w:b/>
                <w:sz w:val="20"/>
                <w:szCs w:val="20"/>
              </w:rPr>
              <w:t>Effective Date and Approved By</w:t>
            </w:r>
          </w:p>
        </w:tc>
      </w:tr>
      <w:tr w:rsidR="006752F7" w:rsidRPr="00CA1CB3" w14:paraId="62D044F3" w14:textId="77777777" w:rsidTr="007A62BA">
        <w:trPr>
          <w:trHeight w:val="20"/>
        </w:trPr>
        <w:tc>
          <w:tcPr>
            <w:tcW w:w="503" w:type="pct"/>
          </w:tcPr>
          <w:p w14:paraId="55B2B147" w14:textId="77777777" w:rsidR="006752F7" w:rsidRPr="00736E08" w:rsidRDefault="006752F7" w:rsidP="004B3D8C">
            <w:pPr>
              <w:keepNext/>
              <w:keepLines/>
              <w:spacing w:before="20" w:after="20"/>
              <w:rPr>
                <w:rFonts w:cs="Arial"/>
                <w:sz w:val="20"/>
                <w:szCs w:val="20"/>
              </w:rPr>
            </w:pPr>
            <w:r w:rsidRPr="00736E08">
              <w:rPr>
                <w:rFonts w:cs="Arial"/>
                <w:sz w:val="20"/>
                <w:szCs w:val="20"/>
              </w:rPr>
              <w:t>01</w:t>
            </w:r>
          </w:p>
        </w:tc>
        <w:tc>
          <w:tcPr>
            <w:tcW w:w="890" w:type="pct"/>
          </w:tcPr>
          <w:p w14:paraId="4347DA5E" w14:textId="46B18C9B" w:rsidR="006752F7" w:rsidRPr="00736E08" w:rsidRDefault="006752F7" w:rsidP="004B3D8C">
            <w:pPr>
              <w:keepNext/>
              <w:keepLines/>
              <w:spacing w:before="20" w:after="20"/>
              <w:rPr>
                <w:rFonts w:cs="Arial"/>
                <w:sz w:val="20"/>
                <w:szCs w:val="20"/>
              </w:rPr>
            </w:pPr>
            <w:r w:rsidRPr="00736E08">
              <w:rPr>
                <w:rFonts w:cs="Arial"/>
                <w:sz w:val="20"/>
                <w:szCs w:val="20"/>
              </w:rPr>
              <w:t>03/31/2018</w:t>
            </w:r>
          </w:p>
        </w:tc>
        <w:tc>
          <w:tcPr>
            <w:tcW w:w="1011" w:type="pct"/>
          </w:tcPr>
          <w:p w14:paraId="36911F5E" w14:textId="6322CA55" w:rsidR="006752F7" w:rsidRPr="00736E08" w:rsidRDefault="006752F7" w:rsidP="004B3D8C">
            <w:pPr>
              <w:keepNext/>
              <w:keepLines/>
              <w:spacing w:before="20" w:after="20"/>
              <w:rPr>
                <w:rFonts w:cs="Arial"/>
                <w:sz w:val="20"/>
                <w:szCs w:val="20"/>
              </w:rPr>
            </w:pPr>
            <w:r w:rsidRPr="00736E08">
              <w:rPr>
                <w:rFonts w:cs="Arial"/>
                <w:sz w:val="20"/>
                <w:szCs w:val="20"/>
              </w:rPr>
              <w:t>Jennifer Holmes</w:t>
            </w:r>
          </w:p>
          <w:p w14:paraId="786D1D1B" w14:textId="77777777" w:rsidR="006752F7" w:rsidRPr="00736E08" w:rsidRDefault="006752F7" w:rsidP="004B3D8C">
            <w:pPr>
              <w:keepNext/>
              <w:keepLines/>
              <w:spacing w:before="20" w:after="20"/>
              <w:rPr>
                <w:rFonts w:cs="Arial"/>
                <w:sz w:val="20"/>
                <w:szCs w:val="20"/>
              </w:rPr>
            </w:pPr>
            <w:r w:rsidRPr="00736E08">
              <w:rPr>
                <w:rFonts w:cs="Arial"/>
                <w:sz w:val="20"/>
                <w:szCs w:val="20"/>
              </w:rPr>
              <w:t>Cal TF Staff</w:t>
            </w:r>
          </w:p>
        </w:tc>
        <w:tc>
          <w:tcPr>
            <w:tcW w:w="2596" w:type="pct"/>
          </w:tcPr>
          <w:p w14:paraId="0D028B59" w14:textId="77777777" w:rsidR="006752F7" w:rsidRPr="00736E08" w:rsidRDefault="006752F7" w:rsidP="004B3D8C">
            <w:pPr>
              <w:keepNext/>
              <w:keepLines/>
              <w:spacing w:before="20" w:after="20"/>
              <w:rPr>
                <w:rFonts w:cs="Arial"/>
                <w:sz w:val="20"/>
                <w:szCs w:val="20"/>
              </w:rPr>
            </w:pPr>
            <w:r w:rsidRPr="00736E08">
              <w:rPr>
                <w:rFonts w:cs="Arial"/>
                <w:sz w:val="20"/>
                <w:szCs w:val="20"/>
              </w:rPr>
              <w:t>Draft of consolidated text for this statewide measure is based upon:</w:t>
            </w:r>
          </w:p>
          <w:p w14:paraId="19E5BF38" w14:textId="5171918B" w:rsidR="006752F7" w:rsidRPr="00736E08" w:rsidRDefault="006752F7" w:rsidP="004B3D8C">
            <w:pPr>
              <w:keepNext/>
              <w:keepLines/>
              <w:spacing w:before="20" w:after="20"/>
              <w:rPr>
                <w:rFonts w:cs="Arial"/>
                <w:sz w:val="20"/>
                <w:szCs w:val="20"/>
              </w:rPr>
            </w:pPr>
            <w:r w:rsidRPr="00736E08">
              <w:rPr>
                <w:rFonts w:cs="Arial"/>
                <w:sz w:val="20"/>
                <w:szCs w:val="20"/>
              </w:rPr>
              <w:t>PGEREF110 Revision 6 (November 8, 2016)</w:t>
            </w:r>
          </w:p>
          <w:p w14:paraId="35A89698" w14:textId="0D907314" w:rsidR="006752F7" w:rsidRDefault="006752F7" w:rsidP="004B3D8C">
            <w:pPr>
              <w:keepNext/>
              <w:keepLines/>
              <w:spacing w:before="20" w:after="20"/>
              <w:rPr>
                <w:rFonts w:cs="Arial"/>
                <w:sz w:val="20"/>
                <w:szCs w:val="20"/>
              </w:rPr>
            </w:pPr>
            <w:r w:rsidRPr="00736E08">
              <w:rPr>
                <w:rFonts w:cs="Arial"/>
                <w:sz w:val="20"/>
                <w:szCs w:val="20"/>
              </w:rPr>
              <w:t xml:space="preserve">SCE17RN024 Revision 0 (November 4, 2016) </w:t>
            </w:r>
          </w:p>
          <w:p w14:paraId="799B7D8F" w14:textId="1523108F" w:rsidR="00C0432E" w:rsidRPr="00736E08" w:rsidRDefault="0076065E" w:rsidP="004B3D8C">
            <w:pPr>
              <w:keepNext/>
              <w:keepLines/>
              <w:spacing w:before="20" w:after="20"/>
              <w:rPr>
                <w:rFonts w:cs="Arial"/>
                <w:sz w:val="20"/>
                <w:szCs w:val="20"/>
              </w:rPr>
            </w:pPr>
            <w:r>
              <w:rPr>
                <w:rFonts w:cs="Arial"/>
                <w:sz w:val="20"/>
                <w:szCs w:val="20"/>
              </w:rPr>
              <w:t>W</w:t>
            </w:r>
            <w:r w:rsidR="00C0432E" w:rsidRPr="0076065E">
              <w:rPr>
                <w:rFonts w:cs="Arial"/>
                <w:sz w:val="20"/>
                <w:szCs w:val="20"/>
              </w:rPr>
              <w:t xml:space="preserve">PSDGENRR0110 Revision 1 (September 30, </w:t>
            </w:r>
            <w:r w:rsidR="00764F70" w:rsidRPr="0076065E">
              <w:rPr>
                <w:rFonts w:cs="Arial"/>
                <w:sz w:val="20"/>
                <w:szCs w:val="20"/>
              </w:rPr>
              <w:t>20</w:t>
            </w:r>
            <w:r>
              <w:rPr>
                <w:rFonts w:cs="Arial"/>
                <w:sz w:val="20"/>
                <w:szCs w:val="20"/>
              </w:rPr>
              <w:t>14</w:t>
            </w:r>
            <w:r w:rsidR="00C0432E" w:rsidRPr="0076065E">
              <w:rPr>
                <w:rFonts w:cs="Arial"/>
                <w:sz w:val="20"/>
                <w:szCs w:val="20"/>
              </w:rPr>
              <w:t>)</w:t>
            </w:r>
          </w:p>
          <w:p w14:paraId="4435E649" w14:textId="0CE95E43" w:rsidR="006752F7" w:rsidRPr="00CA1CB3" w:rsidRDefault="006752F7" w:rsidP="006752F7">
            <w:pPr>
              <w:keepNext/>
              <w:keepLines/>
              <w:spacing w:before="20" w:after="20"/>
              <w:rPr>
                <w:rFonts w:cs="Arial"/>
                <w:sz w:val="20"/>
                <w:szCs w:val="20"/>
              </w:rPr>
            </w:pPr>
            <w:r w:rsidRPr="00736E08">
              <w:rPr>
                <w:rFonts w:cs="Arial"/>
                <w:sz w:val="20"/>
                <w:szCs w:val="20"/>
              </w:rPr>
              <w:t>Consensus reached among Cal TF members.</w:t>
            </w:r>
          </w:p>
        </w:tc>
      </w:tr>
      <w:tr w:rsidR="00112EC4" w:rsidRPr="00CA1CB3" w14:paraId="1436F2A1" w14:textId="77777777" w:rsidTr="007A62BA">
        <w:trPr>
          <w:trHeight w:val="20"/>
        </w:trPr>
        <w:tc>
          <w:tcPr>
            <w:tcW w:w="503" w:type="pct"/>
          </w:tcPr>
          <w:p w14:paraId="21BF98C9" w14:textId="7D3EF791" w:rsidR="00112EC4" w:rsidRPr="00736E08" w:rsidRDefault="00112EC4" w:rsidP="004B3D8C">
            <w:pPr>
              <w:keepNext/>
              <w:keepLines/>
              <w:spacing w:before="20" w:after="20"/>
              <w:rPr>
                <w:rFonts w:cs="Arial"/>
                <w:sz w:val="20"/>
                <w:szCs w:val="20"/>
              </w:rPr>
            </w:pPr>
          </w:p>
        </w:tc>
        <w:tc>
          <w:tcPr>
            <w:tcW w:w="890" w:type="pct"/>
          </w:tcPr>
          <w:p w14:paraId="4E550E64" w14:textId="35A22C4B" w:rsidR="00112EC4" w:rsidRPr="00736E08" w:rsidRDefault="00CC261B" w:rsidP="004B3D8C">
            <w:pPr>
              <w:keepNext/>
              <w:keepLines/>
              <w:spacing w:before="20" w:after="20"/>
              <w:rPr>
                <w:rFonts w:cs="Arial"/>
                <w:sz w:val="20"/>
                <w:szCs w:val="20"/>
              </w:rPr>
            </w:pPr>
            <w:r>
              <w:rPr>
                <w:rFonts w:cs="Arial"/>
                <w:sz w:val="20"/>
                <w:szCs w:val="20"/>
              </w:rPr>
              <w:t>04/1</w:t>
            </w:r>
            <w:r w:rsidR="00AB219A">
              <w:rPr>
                <w:rFonts w:cs="Arial"/>
                <w:sz w:val="20"/>
                <w:szCs w:val="20"/>
              </w:rPr>
              <w:t>9</w:t>
            </w:r>
            <w:r>
              <w:rPr>
                <w:rFonts w:cs="Arial"/>
                <w:sz w:val="20"/>
                <w:szCs w:val="20"/>
              </w:rPr>
              <w:t>/19</w:t>
            </w:r>
          </w:p>
        </w:tc>
        <w:tc>
          <w:tcPr>
            <w:tcW w:w="1011" w:type="pct"/>
          </w:tcPr>
          <w:p w14:paraId="3015F516" w14:textId="30546C78" w:rsidR="00112EC4" w:rsidRPr="00736E08" w:rsidRDefault="00112EC4" w:rsidP="004B3D8C">
            <w:pPr>
              <w:keepNext/>
              <w:keepLines/>
              <w:spacing w:before="20" w:after="20"/>
              <w:rPr>
                <w:rFonts w:cs="Arial"/>
                <w:sz w:val="20"/>
                <w:szCs w:val="20"/>
              </w:rPr>
            </w:pPr>
            <w:r>
              <w:rPr>
                <w:rFonts w:cs="Arial"/>
                <w:sz w:val="20"/>
                <w:szCs w:val="20"/>
              </w:rPr>
              <w:t>Stephen Brett Reno,</w:t>
            </w:r>
            <w:r>
              <w:rPr>
                <w:rFonts w:cs="Arial"/>
                <w:sz w:val="20"/>
                <w:szCs w:val="20"/>
              </w:rPr>
              <w:br/>
              <w:t>TRC</w:t>
            </w:r>
          </w:p>
        </w:tc>
        <w:tc>
          <w:tcPr>
            <w:tcW w:w="2596" w:type="pct"/>
          </w:tcPr>
          <w:p w14:paraId="330A01BA" w14:textId="3D1CD4DB" w:rsidR="00112EC4" w:rsidRDefault="00112EC4" w:rsidP="004B3D8C">
            <w:pPr>
              <w:keepNext/>
              <w:keepLines/>
              <w:spacing w:before="20" w:after="20"/>
              <w:rPr>
                <w:rFonts w:cs="Arial"/>
                <w:sz w:val="20"/>
                <w:szCs w:val="20"/>
              </w:rPr>
            </w:pPr>
            <w:r>
              <w:rPr>
                <w:rFonts w:cs="Arial"/>
                <w:sz w:val="20"/>
                <w:szCs w:val="20"/>
              </w:rPr>
              <w:t xml:space="preserve">Updated savings calculations using </w:t>
            </w:r>
            <w:r w:rsidR="00BE349A">
              <w:rPr>
                <w:rFonts w:cs="Arial"/>
                <w:sz w:val="20"/>
                <w:szCs w:val="20"/>
              </w:rPr>
              <w:t>new DEER2020</w:t>
            </w:r>
            <w:r w:rsidR="00E02E21">
              <w:rPr>
                <w:rFonts w:cs="Arial"/>
                <w:sz w:val="20"/>
                <w:szCs w:val="20"/>
              </w:rPr>
              <w:t xml:space="preserve"> vintage 2015</w:t>
            </w:r>
            <w:r w:rsidR="00BE349A">
              <w:rPr>
                <w:rFonts w:cs="Arial"/>
                <w:sz w:val="20"/>
                <w:szCs w:val="20"/>
              </w:rPr>
              <w:t xml:space="preserve"> building prototypes.</w:t>
            </w:r>
          </w:p>
          <w:p w14:paraId="6332C195" w14:textId="482BB247" w:rsidR="00E1148C" w:rsidRDefault="00E1148C" w:rsidP="004B3D8C">
            <w:pPr>
              <w:keepNext/>
              <w:keepLines/>
              <w:spacing w:before="20" w:after="20"/>
              <w:rPr>
                <w:rFonts w:cs="Arial"/>
                <w:sz w:val="20"/>
                <w:szCs w:val="20"/>
              </w:rPr>
            </w:pPr>
            <w:r>
              <w:rPr>
                <w:rFonts w:cs="Arial"/>
                <w:sz w:val="20"/>
                <w:szCs w:val="20"/>
              </w:rPr>
              <w:t xml:space="preserve">Updated </w:t>
            </w:r>
            <w:r w:rsidR="00D844F4">
              <w:rPr>
                <w:rFonts w:cs="Arial"/>
                <w:sz w:val="20"/>
                <w:szCs w:val="20"/>
              </w:rPr>
              <w:t xml:space="preserve">to </w:t>
            </w:r>
            <w:r>
              <w:rPr>
                <w:rFonts w:cs="Arial"/>
                <w:sz w:val="20"/>
                <w:szCs w:val="20"/>
              </w:rPr>
              <w:t>DEER</w:t>
            </w:r>
            <w:r w:rsidR="00D844F4">
              <w:rPr>
                <w:rFonts w:cs="Arial"/>
                <w:sz w:val="20"/>
                <w:szCs w:val="20"/>
              </w:rPr>
              <w:t>2020</w:t>
            </w:r>
            <w:r>
              <w:rPr>
                <w:rFonts w:cs="Arial"/>
                <w:sz w:val="20"/>
                <w:szCs w:val="20"/>
              </w:rPr>
              <w:t xml:space="preserve"> peak demand hours.</w:t>
            </w:r>
          </w:p>
          <w:p w14:paraId="714A6218" w14:textId="426C010E" w:rsidR="00112EC4" w:rsidRDefault="00112EC4" w:rsidP="004B3D8C">
            <w:pPr>
              <w:keepNext/>
              <w:keepLines/>
              <w:spacing w:before="20" w:after="20"/>
              <w:rPr>
                <w:rFonts w:cs="Arial"/>
                <w:sz w:val="20"/>
                <w:szCs w:val="20"/>
              </w:rPr>
            </w:pPr>
            <w:r>
              <w:rPr>
                <w:rFonts w:cs="Arial"/>
                <w:sz w:val="20"/>
                <w:szCs w:val="20"/>
              </w:rPr>
              <w:t xml:space="preserve">Updated delivery types to </w:t>
            </w:r>
            <w:r w:rsidR="00DF1EBF">
              <w:rPr>
                <w:rFonts w:cs="Arial"/>
                <w:sz w:val="20"/>
                <w:szCs w:val="20"/>
              </w:rPr>
              <w:t xml:space="preserve">include all </w:t>
            </w:r>
            <w:r w:rsidR="00FC66B0">
              <w:rPr>
                <w:rFonts w:cs="Arial"/>
                <w:sz w:val="20"/>
                <w:szCs w:val="20"/>
              </w:rPr>
              <w:t xml:space="preserve">eligible </w:t>
            </w:r>
            <w:r w:rsidR="00DF1EBF">
              <w:rPr>
                <w:rFonts w:cs="Arial"/>
                <w:sz w:val="20"/>
                <w:szCs w:val="20"/>
              </w:rPr>
              <w:t>types</w:t>
            </w:r>
            <w:r>
              <w:rPr>
                <w:rFonts w:cs="Arial"/>
                <w:sz w:val="20"/>
                <w:szCs w:val="20"/>
              </w:rPr>
              <w:t>.</w:t>
            </w:r>
          </w:p>
          <w:p w14:paraId="2A04F8FC" w14:textId="2EAF5698" w:rsidR="00112EC4" w:rsidRDefault="00112EC4" w:rsidP="004B3D8C">
            <w:pPr>
              <w:keepNext/>
              <w:keepLines/>
              <w:spacing w:before="20" w:after="20"/>
              <w:rPr>
                <w:rFonts w:cs="Arial"/>
                <w:sz w:val="20"/>
                <w:szCs w:val="20"/>
              </w:rPr>
            </w:pPr>
            <w:r>
              <w:rPr>
                <w:rFonts w:cs="Arial"/>
                <w:sz w:val="20"/>
                <w:szCs w:val="20"/>
              </w:rPr>
              <w:t>Updated cost values to 201</w:t>
            </w:r>
            <w:r w:rsidR="00CC261B">
              <w:rPr>
                <w:rFonts w:cs="Arial"/>
                <w:sz w:val="20"/>
                <w:szCs w:val="20"/>
              </w:rPr>
              <w:t>8</w:t>
            </w:r>
            <w:r>
              <w:rPr>
                <w:rFonts w:cs="Arial"/>
                <w:sz w:val="20"/>
                <w:szCs w:val="20"/>
              </w:rPr>
              <w:t xml:space="preserve"> values.</w:t>
            </w:r>
          </w:p>
          <w:p w14:paraId="55680FE7" w14:textId="5FA74DAF" w:rsidR="00112EC4" w:rsidRPr="00736E08" w:rsidRDefault="00112EC4" w:rsidP="004B3D8C">
            <w:pPr>
              <w:keepNext/>
              <w:keepLines/>
              <w:spacing w:before="20" w:after="20"/>
              <w:rPr>
                <w:rFonts w:cs="Arial"/>
                <w:sz w:val="20"/>
                <w:szCs w:val="20"/>
              </w:rPr>
            </w:pPr>
            <w:r>
              <w:rPr>
                <w:rFonts w:cs="Arial"/>
                <w:sz w:val="20"/>
                <w:szCs w:val="20"/>
              </w:rPr>
              <w:t>Updated install type to AOE.</w:t>
            </w:r>
          </w:p>
        </w:tc>
      </w:tr>
      <w:tr w:rsidR="00C2763C" w:rsidRPr="00CA1CB3" w14:paraId="5EB32707" w14:textId="77777777" w:rsidTr="00C2763C">
        <w:trPr>
          <w:trHeight w:val="20"/>
        </w:trPr>
        <w:tc>
          <w:tcPr>
            <w:tcW w:w="503" w:type="pct"/>
          </w:tcPr>
          <w:p w14:paraId="29822951" w14:textId="77777777" w:rsidR="00C2763C" w:rsidDel="00C2763C" w:rsidRDefault="00C2763C" w:rsidP="004B3D8C">
            <w:pPr>
              <w:keepNext/>
              <w:keepLines/>
              <w:spacing w:before="20" w:after="20"/>
              <w:rPr>
                <w:rFonts w:cs="Arial"/>
                <w:sz w:val="20"/>
                <w:szCs w:val="20"/>
              </w:rPr>
            </w:pPr>
          </w:p>
        </w:tc>
        <w:tc>
          <w:tcPr>
            <w:tcW w:w="890" w:type="pct"/>
          </w:tcPr>
          <w:p w14:paraId="0177C1D4" w14:textId="66E6CF17" w:rsidR="00C2763C" w:rsidRDefault="00C2763C" w:rsidP="004B3D8C">
            <w:pPr>
              <w:keepNext/>
              <w:keepLines/>
              <w:spacing w:before="20" w:after="20"/>
              <w:rPr>
                <w:rFonts w:cs="Arial"/>
                <w:sz w:val="20"/>
                <w:szCs w:val="20"/>
              </w:rPr>
            </w:pPr>
            <w:r>
              <w:rPr>
                <w:rFonts w:cs="Arial"/>
                <w:sz w:val="20"/>
                <w:szCs w:val="20"/>
              </w:rPr>
              <w:t>04/30/2019</w:t>
            </w:r>
          </w:p>
        </w:tc>
        <w:tc>
          <w:tcPr>
            <w:tcW w:w="1011" w:type="pct"/>
          </w:tcPr>
          <w:p w14:paraId="74C77145" w14:textId="77777777" w:rsidR="00C2763C" w:rsidRDefault="00C2763C" w:rsidP="004B3D8C">
            <w:pPr>
              <w:keepNext/>
              <w:keepLines/>
              <w:spacing w:before="20" w:after="20"/>
              <w:rPr>
                <w:rFonts w:cs="Arial"/>
                <w:sz w:val="20"/>
                <w:szCs w:val="20"/>
              </w:rPr>
            </w:pPr>
            <w:r>
              <w:rPr>
                <w:rFonts w:cs="Arial"/>
                <w:sz w:val="20"/>
                <w:szCs w:val="20"/>
              </w:rPr>
              <w:t>Jennifer Holmes</w:t>
            </w:r>
          </w:p>
          <w:p w14:paraId="6A538B60" w14:textId="47D2DBC6" w:rsidR="00C2763C" w:rsidRDefault="00C2763C" w:rsidP="004B3D8C">
            <w:pPr>
              <w:keepNext/>
              <w:keepLines/>
              <w:spacing w:before="20" w:after="20"/>
              <w:rPr>
                <w:rFonts w:cs="Arial"/>
                <w:sz w:val="20"/>
                <w:szCs w:val="20"/>
              </w:rPr>
            </w:pPr>
            <w:r>
              <w:rPr>
                <w:rFonts w:cs="Arial"/>
                <w:sz w:val="20"/>
                <w:szCs w:val="20"/>
              </w:rPr>
              <w:t>Cal TF Staff</w:t>
            </w:r>
          </w:p>
        </w:tc>
        <w:tc>
          <w:tcPr>
            <w:tcW w:w="2596" w:type="pct"/>
          </w:tcPr>
          <w:p w14:paraId="2216C5E8" w14:textId="5149D9B3" w:rsidR="00C2763C" w:rsidRDefault="00C2763C" w:rsidP="004B3D8C">
            <w:pPr>
              <w:keepNext/>
              <w:keepLines/>
              <w:spacing w:before="20" w:after="20"/>
              <w:rPr>
                <w:rFonts w:cs="Arial"/>
                <w:sz w:val="20"/>
                <w:szCs w:val="20"/>
              </w:rPr>
            </w:pPr>
            <w:r>
              <w:rPr>
                <w:rFonts w:cs="Arial"/>
                <w:sz w:val="20"/>
                <w:szCs w:val="20"/>
              </w:rPr>
              <w:t>Revisions for submittal of version 01.</w:t>
            </w:r>
          </w:p>
        </w:tc>
      </w:tr>
      <w:tr w:rsidR="005832E2" w:rsidRPr="00CA1CB3" w14:paraId="239C4568" w14:textId="77777777" w:rsidTr="00C2763C">
        <w:trPr>
          <w:trHeight w:val="20"/>
        </w:trPr>
        <w:tc>
          <w:tcPr>
            <w:tcW w:w="503" w:type="pct"/>
          </w:tcPr>
          <w:p w14:paraId="30415621" w14:textId="79600A6B" w:rsidR="005832E2" w:rsidDel="00C2763C" w:rsidRDefault="005832E2" w:rsidP="004B3D8C">
            <w:pPr>
              <w:keepNext/>
              <w:keepLines/>
              <w:spacing w:before="20" w:after="20"/>
              <w:rPr>
                <w:rFonts w:cs="Arial"/>
                <w:sz w:val="20"/>
                <w:szCs w:val="20"/>
              </w:rPr>
            </w:pPr>
            <w:r>
              <w:rPr>
                <w:rFonts w:cs="Arial"/>
                <w:sz w:val="20"/>
                <w:szCs w:val="20"/>
              </w:rPr>
              <w:t>02</w:t>
            </w:r>
          </w:p>
        </w:tc>
        <w:tc>
          <w:tcPr>
            <w:tcW w:w="890" w:type="pct"/>
          </w:tcPr>
          <w:p w14:paraId="5591FB4A" w14:textId="216360D2" w:rsidR="005832E2" w:rsidRDefault="00F20E79" w:rsidP="004B3D8C">
            <w:pPr>
              <w:keepNext/>
              <w:keepLines/>
              <w:spacing w:before="20" w:after="20"/>
              <w:rPr>
                <w:rFonts w:cs="Arial"/>
                <w:sz w:val="20"/>
                <w:szCs w:val="20"/>
              </w:rPr>
            </w:pPr>
            <w:r>
              <w:rPr>
                <w:rFonts w:cs="Arial"/>
                <w:sz w:val="20"/>
                <w:szCs w:val="20"/>
              </w:rPr>
              <w:t>11/</w:t>
            </w:r>
            <w:r w:rsidR="00A0491D">
              <w:rPr>
                <w:rFonts w:cs="Arial"/>
                <w:sz w:val="20"/>
                <w:szCs w:val="20"/>
              </w:rPr>
              <w:t>1</w:t>
            </w:r>
            <w:r w:rsidR="00535F65">
              <w:rPr>
                <w:rFonts w:cs="Arial"/>
                <w:sz w:val="20"/>
                <w:szCs w:val="20"/>
              </w:rPr>
              <w:t>6</w:t>
            </w:r>
            <w:r>
              <w:rPr>
                <w:rFonts w:cs="Arial"/>
                <w:sz w:val="20"/>
                <w:szCs w:val="20"/>
              </w:rPr>
              <w:t>/2020</w:t>
            </w:r>
          </w:p>
        </w:tc>
        <w:tc>
          <w:tcPr>
            <w:tcW w:w="1011" w:type="pct"/>
          </w:tcPr>
          <w:p w14:paraId="5C6234C6" w14:textId="64A280A2" w:rsidR="005832E2" w:rsidRDefault="00F20E79" w:rsidP="004B3D8C">
            <w:pPr>
              <w:keepNext/>
              <w:keepLines/>
              <w:spacing w:before="20" w:after="20"/>
              <w:rPr>
                <w:rFonts w:cs="Arial"/>
                <w:sz w:val="20"/>
                <w:szCs w:val="20"/>
              </w:rPr>
            </w:pPr>
            <w:r>
              <w:rPr>
                <w:rFonts w:cs="Arial"/>
                <w:sz w:val="20"/>
                <w:szCs w:val="20"/>
              </w:rPr>
              <w:t>Stephen Brett Reno</w:t>
            </w:r>
            <w:r w:rsidR="00A0491D">
              <w:rPr>
                <w:rFonts w:cs="Arial"/>
                <w:sz w:val="20"/>
                <w:szCs w:val="20"/>
              </w:rPr>
              <w:t xml:space="preserve"> PE, TRC</w:t>
            </w:r>
          </w:p>
        </w:tc>
        <w:tc>
          <w:tcPr>
            <w:tcW w:w="2596" w:type="pct"/>
          </w:tcPr>
          <w:p w14:paraId="3E8F898A" w14:textId="52BCA406" w:rsidR="005832E2" w:rsidRDefault="00F20E79" w:rsidP="004B3D8C">
            <w:pPr>
              <w:keepNext/>
              <w:keepLines/>
              <w:spacing w:before="20" w:after="20"/>
              <w:rPr>
                <w:rFonts w:cs="Arial"/>
                <w:sz w:val="20"/>
                <w:szCs w:val="20"/>
              </w:rPr>
            </w:pPr>
            <w:r>
              <w:rPr>
                <w:rFonts w:cs="Arial"/>
                <w:sz w:val="20"/>
                <w:szCs w:val="20"/>
              </w:rPr>
              <w:t xml:space="preserve">Updated </w:t>
            </w:r>
            <w:r w:rsidR="00A0491D">
              <w:rPr>
                <w:rFonts w:cs="Arial"/>
                <w:sz w:val="20"/>
                <w:szCs w:val="20"/>
              </w:rPr>
              <w:t xml:space="preserve">measure costs </w:t>
            </w:r>
            <w:r>
              <w:rPr>
                <w:rFonts w:cs="Arial"/>
                <w:sz w:val="20"/>
                <w:szCs w:val="20"/>
              </w:rPr>
              <w:t xml:space="preserve">using </w:t>
            </w:r>
            <w:r w:rsidR="004747BA">
              <w:rPr>
                <w:rFonts w:cs="Arial"/>
                <w:sz w:val="20"/>
                <w:szCs w:val="20"/>
              </w:rPr>
              <w:t>online retailer costs</w:t>
            </w:r>
            <w:r>
              <w:rPr>
                <w:rFonts w:cs="Arial"/>
                <w:sz w:val="20"/>
                <w:szCs w:val="20"/>
              </w:rPr>
              <w:t xml:space="preserve"> and </w:t>
            </w:r>
            <w:r w:rsidR="005F3764">
              <w:rPr>
                <w:rFonts w:cs="Arial"/>
                <w:sz w:val="20"/>
                <w:szCs w:val="20"/>
              </w:rPr>
              <w:t xml:space="preserve">2020 </w:t>
            </w:r>
            <w:r>
              <w:rPr>
                <w:rFonts w:cs="Arial"/>
                <w:sz w:val="20"/>
                <w:szCs w:val="20"/>
              </w:rPr>
              <w:t xml:space="preserve">RSMeans </w:t>
            </w:r>
            <w:r w:rsidR="00435070">
              <w:rPr>
                <w:rFonts w:cs="Arial"/>
                <w:sz w:val="20"/>
                <w:szCs w:val="20"/>
              </w:rPr>
              <w:t>labor rates</w:t>
            </w:r>
            <w:r>
              <w:rPr>
                <w:rFonts w:cs="Arial"/>
                <w:sz w:val="20"/>
                <w:szCs w:val="20"/>
              </w:rPr>
              <w:t>.</w:t>
            </w:r>
          </w:p>
        </w:tc>
      </w:tr>
      <w:bookmarkEnd w:id="78"/>
      <w:bookmarkEnd w:id="79"/>
    </w:tbl>
    <w:p w14:paraId="166BD129" w14:textId="77777777" w:rsidR="00AB1FE8" w:rsidRPr="005C43E2" w:rsidRDefault="00AB1FE8" w:rsidP="00240E85"/>
    <w:sectPr w:rsidR="00AB1FE8" w:rsidRPr="005C43E2" w:rsidSect="005F505E">
      <w:headerReference w:type="default" r:id="rId14"/>
      <w:head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97826" w14:textId="77777777" w:rsidR="00723401" w:rsidRDefault="00723401" w:rsidP="00A2690C">
      <w:r>
        <w:separator/>
      </w:r>
    </w:p>
    <w:p w14:paraId="30B3491C" w14:textId="77777777" w:rsidR="00723401" w:rsidRDefault="00723401"/>
  </w:endnote>
  <w:endnote w:type="continuationSeparator" w:id="0">
    <w:p w14:paraId="06710BA1" w14:textId="77777777" w:rsidR="00723401" w:rsidRDefault="00723401" w:rsidP="00A2690C">
      <w:r>
        <w:continuationSeparator/>
      </w:r>
    </w:p>
    <w:p w14:paraId="39D7E519" w14:textId="77777777" w:rsidR="00723401" w:rsidRDefault="00723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40581A" w:rsidRDefault="0040581A"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40581A" w:rsidRPr="00B837C1" w:rsidRDefault="0040581A"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40581A" w:rsidRDefault="0040581A"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35224AB0" w:rsidR="0040581A" w:rsidRPr="00B837C1" w:rsidRDefault="0040581A"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40581A" w:rsidRDefault="0040581A"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A50D5D7" w:rsidR="0040581A" w:rsidRPr="005F505E" w:rsidRDefault="0040581A"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8E24E" w14:textId="77777777" w:rsidR="00723401" w:rsidRDefault="00723401" w:rsidP="00A2690C">
      <w:r>
        <w:separator/>
      </w:r>
    </w:p>
    <w:p w14:paraId="28FEB7CF" w14:textId="77777777" w:rsidR="00723401" w:rsidRDefault="00723401"/>
  </w:footnote>
  <w:footnote w:type="continuationSeparator" w:id="0">
    <w:p w14:paraId="3F9C0C8F" w14:textId="77777777" w:rsidR="00723401" w:rsidRDefault="00723401" w:rsidP="00A2690C">
      <w:r>
        <w:continuationSeparator/>
      </w:r>
    </w:p>
    <w:p w14:paraId="609AAD9A" w14:textId="77777777" w:rsidR="00723401" w:rsidRDefault="00723401"/>
  </w:footnote>
  <w:footnote w:id="1">
    <w:p w14:paraId="56BA33E1" w14:textId="43011A1D" w:rsidR="0040581A" w:rsidRDefault="0040581A" w:rsidP="00FF45A2">
      <w:pPr>
        <w:pStyle w:val="FootnoteText"/>
      </w:pPr>
      <w:r w:rsidRPr="00AA6AB4">
        <w:rPr>
          <w:rStyle w:val="FootnoteReference"/>
        </w:rPr>
        <w:footnoteRef/>
      </w:r>
      <w:r w:rsidRPr="00AA6AB4">
        <w:t xml:space="preserve"> California Energy Commission (CEC). 201</w:t>
      </w:r>
      <w:r>
        <w:t>9</w:t>
      </w:r>
      <w:r w:rsidRPr="00AA6AB4">
        <w:t xml:space="preserve">. </w:t>
      </w:r>
      <w:r w:rsidRPr="00967E32">
        <w:rPr>
          <w:i/>
        </w:rPr>
        <w:t>California Code of Regulations. Title 20 Public Utilities and Energy.</w:t>
      </w:r>
      <w:r w:rsidRPr="00AA6AB4">
        <w:t xml:space="preserve"> CEC-400-2018-002-REV. </w:t>
      </w:r>
    </w:p>
  </w:footnote>
  <w:footnote w:id="2">
    <w:p w14:paraId="77DAADCC" w14:textId="3A55ACB2" w:rsidR="0040581A" w:rsidRDefault="0040581A">
      <w:pPr>
        <w:pStyle w:val="FootnoteText"/>
      </w:pPr>
      <w:r>
        <w:rPr>
          <w:rStyle w:val="FootnoteReference"/>
        </w:rPr>
        <w:footnoteRef/>
      </w:r>
      <w:r>
        <w:t xml:space="preserve"> Southern California Edison (SCE). 2019. “</w:t>
      </w:r>
      <w:r w:rsidRPr="004328B1">
        <w:t>SWCR005-01 eQuest Files.zip</w:t>
      </w:r>
      <w:r>
        <w:t>.”</w:t>
      </w:r>
    </w:p>
  </w:footnote>
  <w:footnote w:id="3">
    <w:p w14:paraId="48288932" w14:textId="72B28BE6" w:rsidR="0040581A" w:rsidRDefault="0040581A" w:rsidP="00BF3186">
      <w:pPr>
        <w:pStyle w:val="FootnoteText"/>
      </w:pPr>
      <w:r>
        <w:rPr>
          <w:rStyle w:val="FootnoteReference"/>
        </w:rPr>
        <w:footnoteRef/>
      </w:r>
      <w:r>
        <w:t xml:space="preserve"> </w:t>
      </w:r>
      <w:r w:rsidRPr="005F1955">
        <w:t>Southern California Edison (SCE) and Solaris</w:t>
      </w:r>
      <w:r>
        <w:t>.</w:t>
      </w:r>
      <w:r w:rsidRPr="005F1955">
        <w:t xml:space="preserve"> 2019 "PG&amp;E </w:t>
      </w:r>
      <w:proofErr w:type="spellStart"/>
      <w:r w:rsidRPr="005F1955">
        <w:t>GrocerSmart</w:t>
      </w:r>
      <w:proofErr w:type="spellEnd"/>
      <w:r w:rsidRPr="005F1955">
        <w:t xml:space="preserve"> Data for DEER 2020_V3-Solaris.xlsx"</w:t>
      </w:r>
    </w:p>
  </w:footnote>
  <w:footnote w:id="4">
    <w:p w14:paraId="1090A9E3" w14:textId="71233CE8" w:rsidR="0040581A" w:rsidRDefault="0040581A" w:rsidP="00F374E5">
      <w:pPr>
        <w:pStyle w:val="FootnoteText"/>
      </w:pPr>
      <w:r>
        <w:rPr>
          <w:rStyle w:val="FootnoteReference"/>
        </w:rPr>
        <w:footnoteRef/>
      </w:r>
      <w:r>
        <w:t xml:space="preserve"> </w:t>
      </w:r>
      <w:proofErr w:type="spellStart"/>
      <w:r w:rsidRPr="00BF7F4F">
        <w:t>Itron</w:t>
      </w:r>
      <w:proofErr w:type="spellEnd"/>
      <w:r w:rsidRPr="00BF7F4F">
        <w:t xml:space="preserve">, Inc. 2005. </w:t>
      </w:r>
      <w:r w:rsidRPr="00BF7F4F">
        <w:rPr>
          <w:i/>
        </w:rPr>
        <w:t xml:space="preserve">2004-2005 Database for Energy Efficiency Resources (DEER) Update Study - Final Report. </w:t>
      </w:r>
      <w:r w:rsidRPr="00BF7F4F">
        <w:t>Prepared for Southern California Edison. December 2005.</w:t>
      </w:r>
      <w:r>
        <w:t xml:space="preserve"> Page A-33.</w:t>
      </w:r>
    </w:p>
  </w:footnote>
  <w:footnote w:id="5">
    <w:p w14:paraId="1DCEC5D4" w14:textId="29ED5B24" w:rsidR="0040581A" w:rsidRDefault="0040581A">
      <w:pPr>
        <w:pStyle w:val="FootnoteText"/>
      </w:pPr>
      <w:r>
        <w:rPr>
          <w:rStyle w:val="FootnoteReference"/>
        </w:rPr>
        <w:footnoteRef/>
      </w:r>
      <w:r>
        <w:t xml:space="preserve"> </w:t>
      </w:r>
      <w:r w:rsidRPr="00362964">
        <w:t>Southern California Edison (SCE). (n.d.) "</w:t>
      </w:r>
      <w:r w:rsidRPr="005D2326">
        <w:t>SWCR005-0</w:t>
      </w:r>
      <w:r>
        <w:t>2</w:t>
      </w:r>
      <w:r w:rsidRPr="005D2326">
        <w:t xml:space="preserve"> Hourly Savings</w:t>
      </w:r>
      <w:r>
        <w:t>.xls</w:t>
      </w:r>
      <w:r w:rsidRPr="00362964">
        <w:t>"</w:t>
      </w:r>
    </w:p>
  </w:footnote>
  <w:footnote w:id="6">
    <w:p w14:paraId="7EC98DF4" w14:textId="1011C453" w:rsidR="0040581A" w:rsidRDefault="0040581A" w:rsidP="00020E7A">
      <w:pPr>
        <w:pStyle w:val="FootnoteText"/>
      </w:pPr>
      <w:r>
        <w:rPr>
          <w:rStyle w:val="FootnoteReference"/>
        </w:rPr>
        <w:footnoteRef/>
      </w:r>
      <w:r>
        <w:t xml:space="preserve"> California Public Utilities Commission (CPUC). 2018. </w:t>
      </w:r>
      <w:r>
        <w:rPr>
          <w:rStyle w:val="Emphasis"/>
        </w:rPr>
        <w:t>Resolution E-4952.</w:t>
      </w:r>
      <w:r>
        <w:t xml:space="preserve"> October 11. O.P. 1.</w:t>
      </w:r>
    </w:p>
  </w:footnote>
  <w:footnote w:id="7">
    <w:p w14:paraId="1E5A6505" w14:textId="77777777" w:rsidR="0040581A" w:rsidRDefault="0040581A" w:rsidP="00AB4117">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8">
    <w:p w14:paraId="0CE240B2" w14:textId="77777777" w:rsidR="0040581A" w:rsidRDefault="0040581A" w:rsidP="00AB4117">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9">
    <w:p w14:paraId="5ED891E7" w14:textId="77777777" w:rsidR="0040581A" w:rsidRDefault="0040581A" w:rsidP="00AB4117">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10">
    <w:p w14:paraId="6613056D" w14:textId="265D4F88" w:rsidR="00AB226D" w:rsidRDefault="00AB226D">
      <w:pPr>
        <w:pStyle w:val="FootnoteText"/>
      </w:pPr>
      <w:r>
        <w:rPr>
          <w:rStyle w:val="FootnoteReference"/>
        </w:rPr>
        <w:footnoteRef/>
      </w:r>
      <w:r>
        <w:t xml:space="preserve"> </w:t>
      </w:r>
      <w:proofErr w:type="spellStart"/>
      <w:r w:rsidRPr="00AB226D">
        <w:t>Itron</w:t>
      </w:r>
      <w:proofErr w:type="spellEnd"/>
      <w:r w:rsidRPr="00AB226D">
        <w:t>, Inc. 2014. 2010-2012 WO017 Ex Ante Measure Cost Study Final Report. Prepared for the California Public Utilities Commission.</w:t>
      </w:r>
    </w:p>
  </w:footnote>
  <w:footnote w:id="11">
    <w:p w14:paraId="30A657EB" w14:textId="77777777" w:rsidR="0040581A" w:rsidRDefault="0040581A" w:rsidP="00DA2987">
      <w:pPr>
        <w:pStyle w:val="FootnoteText"/>
      </w:pPr>
      <w:r>
        <w:rPr>
          <w:rStyle w:val="FootnoteReference"/>
        </w:rPr>
        <w:footnoteRef/>
      </w:r>
      <w:r>
        <w:t xml:space="preserve"> </w:t>
      </w:r>
      <w:r w:rsidRPr="00362964">
        <w:t>Southern California Edison (SCE). (n.d.) "</w:t>
      </w:r>
      <w:r w:rsidRPr="005D2326">
        <w:t>SWCR005-0</w:t>
      </w:r>
      <w:r>
        <w:t>2</w:t>
      </w:r>
      <w:r w:rsidRPr="005D2326">
        <w:t xml:space="preserve"> </w:t>
      </w:r>
      <w:r>
        <w:t>MeasureDataSpec.xls</w:t>
      </w:r>
      <w:r w:rsidRPr="00362964">
        <w:t>"</w:t>
      </w:r>
      <w:r>
        <w:t>, “Cost Data” tab.</w:t>
      </w:r>
    </w:p>
  </w:footnote>
  <w:footnote w:id="12">
    <w:p w14:paraId="29F5C51A" w14:textId="4F262C2C" w:rsidR="0040581A" w:rsidRDefault="0040581A">
      <w:pPr>
        <w:pStyle w:val="FootnoteText"/>
      </w:pPr>
      <w:r>
        <w:rPr>
          <w:rStyle w:val="FootnoteReference"/>
        </w:rPr>
        <w:footnoteRef/>
      </w:r>
      <w:r>
        <w:t xml:space="preserve"> RSMeans Labor Rates, 2020. </w:t>
      </w:r>
      <w:hyperlink r:id="rId1" w:history="1">
        <w:r>
          <w:rPr>
            <w:rStyle w:val="Hyperlink"/>
          </w:rPr>
          <w:t>https://www.rsmeansonline.com/References/LABORRATE/2-Year%202020%20Labor%20Rates/Open%20Shop%20Labor%20Rates.PDF</w:t>
        </w:r>
      </w:hyperlink>
    </w:p>
  </w:footnote>
  <w:footnote w:id="13">
    <w:p w14:paraId="35938A70" w14:textId="77777777" w:rsidR="0040581A" w:rsidRDefault="0040581A" w:rsidP="00DA2987">
      <w:pPr>
        <w:pStyle w:val="FootnoteText"/>
      </w:pPr>
      <w:r>
        <w:rPr>
          <w:rStyle w:val="FootnoteReference"/>
        </w:rPr>
        <w:footnoteRef/>
      </w:r>
      <w:r>
        <w:t xml:space="preserve"> </w:t>
      </w:r>
      <w:r w:rsidRPr="00362964">
        <w:t>Southern California Edison (SCE). (n.d.) "</w:t>
      </w:r>
      <w:r w:rsidRPr="005D2326">
        <w:t>SWCR005-0</w:t>
      </w:r>
      <w:r>
        <w:t>2</w:t>
      </w:r>
      <w:r w:rsidRPr="005D2326">
        <w:t xml:space="preserve"> </w:t>
      </w:r>
      <w:r>
        <w:t>MeasureDataSpec.xls</w:t>
      </w:r>
      <w:r w:rsidRPr="00362964">
        <w:t>"</w:t>
      </w:r>
      <w:r>
        <w:t>, “Cost Data” tab.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40581A" w:rsidRPr="000220A0" w:rsidRDefault="0040581A"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40581A" w:rsidRDefault="0040581A">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40581A" w:rsidRDefault="004058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40581A" w:rsidRDefault="0040581A" w:rsidP="00BD221D">
    <w:pPr>
      <w:jc w:val="center"/>
    </w:pPr>
  </w:p>
  <w:p w14:paraId="342310D5" w14:textId="5BACBCD8" w:rsidR="0040581A" w:rsidRDefault="0040581A" w:rsidP="00BD221D">
    <w:pPr>
      <w:jc w:val="center"/>
    </w:pPr>
    <w:r>
      <w:rPr>
        <w:noProof/>
      </w:rPr>
      <w:drawing>
        <wp:inline distT="0" distB="0" distL="0" distR="0" wp14:anchorId="4B2AF0A8" wp14:editId="7258E71E">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0109D454" w:rsidR="0040581A" w:rsidRDefault="0040581A" w:rsidP="001D7A57">
    <w:pPr>
      <w:pStyle w:val="Header"/>
    </w:pPr>
    <w:r>
      <w:rPr>
        <w:rFonts w:ascii="Calibri Light" w:hAnsi="Calibri Light"/>
      </w:rPr>
      <w:t xml:space="preserve">COMMERCIAL REFRIGERATION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 xml:space="preserve">Auto Closer for Refrigerated Storage Door </w:t>
    </w:r>
  </w:p>
  <w:p w14:paraId="2AC97B25" w14:textId="77777777" w:rsidR="0040581A" w:rsidRDefault="0040581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40581A" w:rsidRDefault="00405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D3253B"/>
    <w:multiLevelType w:val="hybridMultilevel"/>
    <w:tmpl w:val="167CED64"/>
    <w:lvl w:ilvl="0" w:tplc="4C0E3542">
      <w:start w:val="1"/>
      <w:numFmt w:val="bullet"/>
      <w:pStyle w:val="ListParagraph"/>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C80B63"/>
    <w:multiLevelType w:val="hybridMultilevel"/>
    <w:tmpl w:val="3AD6820C"/>
    <w:lvl w:ilvl="0" w:tplc="7FDA5A98">
      <w:start w:val="1"/>
      <w:numFmt w:val="bullet"/>
      <w:lvlText w:val=""/>
      <w:lvlJc w:val="left"/>
      <w:pPr>
        <w:ind w:left="720" w:hanging="360"/>
      </w:pPr>
      <w:rPr>
        <w:rFonts w:ascii="Symbol" w:hAnsi="Symbol" w:hint="default"/>
        <w:color w:val="808080" w:themeColor="background1" w:themeShade="80"/>
        <w:sz w:val="20"/>
      </w:rPr>
    </w:lvl>
    <w:lvl w:ilvl="1" w:tplc="797E59F6">
      <w:start w:val="1"/>
      <w:numFmt w:val="bullet"/>
      <w:lvlText w:val="-"/>
      <w:lvlJc w:val="left"/>
      <w:pPr>
        <w:ind w:left="360" w:hanging="360"/>
      </w:pPr>
      <w:rPr>
        <w:rFonts w:ascii="Courier New" w:hAnsi="Courier New" w:hint="default"/>
        <w:color w:val="404040" w:themeColor="accent3" w:themeShade="80"/>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 w15:restartNumberingAfterBreak="0">
    <w:nsid w:val="19381DAF"/>
    <w:multiLevelType w:val="hybridMultilevel"/>
    <w:tmpl w:val="FE12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5A71679"/>
    <w:multiLevelType w:val="hybridMultilevel"/>
    <w:tmpl w:val="CAEEB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B1E0456"/>
    <w:multiLevelType w:val="hybridMultilevel"/>
    <w:tmpl w:val="19AAD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8A36D5"/>
    <w:multiLevelType w:val="hybridMultilevel"/>
    <w:tmpl w:val="13AE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4" w15:restartNumberingAfterBreak="0">
    <w:nsid w:val="6682683A"/>
    <w:multiLevelType w:val="hybridMultilevel"/>
    <w:tmpl w:val="788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C07B80"/>
    <w:multiLevelType w:val="hybridMultilevel"/>
    <w:tmpl w:val="B3C29FE0"/>
    <w:lvl w:ilvl="0" w:tplc="0444EB8C">
      <w:start w:val="1"/>
      <w:numFmt w:val="bullet"/>
      <w:lvlText w:val=""/>
      <w:lvlJc w:val="left"/>
      <w:pPr>
        <w:ind w:left="720" w:hanging="360"/>
      </w:pPr>
      <w:rPr>
        <w:rFonts w:ascii="Symbol" w:hAnsi="Symbol" w:hint="default"/>
        <w:color w:val="404040" w:themeColor="accent3" w:themeShade="80"/>
        <w:sz w:val="20"/>
      </w:rPr>
    </w:lvl>
    <w:lvl w:ilvl="1" w:tplc="93689ABE">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7"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9" w15:restartNumberingAfterBreak="0">
    <w:nsid w:val="79336504"/>
    <w:multiLevelType w:val="hybridMultilevel"/>
    <w:tmpl w:val="1FE61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8"/>
  </w:num>
  <w:num w:numId="4">
    <w:abstractNumId w:val="18"/>
  </w:num>
  <w:num w:numId="5">
    <w:abstractNumId w:val="13"/>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5"/>
  </w:num>
  <w:num w:numId="8">
    <w:abstractNumId w:val="15"/>
  </w:num>
  <w:num w:numId="9">
    <w:abstractNumId w:val="0"/>
  </w:num>
  <w:num w:numId="10">
    <w:abstractNumId w:val="17"/>
  </w:num>
  <w:num w:numId="11">
    <w:abstractNumId w:val="6"/>
  </w:num>
  <w:num w:numId="12">
    <w:abstractNumId w:val="12"/>
  </w:num>
  <w:num w:numId="13">
    <w:abstractNumId w:val="19"/>
  </w:num>
  <w:num w:numId="14">
    <w:abstractNumId w:val="4"/>
  </w:num>
  <w:num w:numId="15">
    <w:abstractNumId w:val="11"/>
  </w:num>
  <w:num w:numId="16">
    <w:abstractNumId w:val="1"/>
  </w:num>
  <w:num w:numId="17">
    <w:abstractNumId w:val="3"/>
  </w:num>
  <w:num w:numId="18">
    <w:abstractNumId w:val="8"/>
  </w:num>
  <w:num w:numId="1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5B06"/>
    <w:rsid w:val="000063B0"/>
    <w:rsid w:val="000110D9"/>
    <w:rsid w:val="000111AF"/>
    <w:rsid w:val="00016928"/>
    <w:rsid w:val="00020E7A"/>
    <w:rsid w:val="00021B68"/>
    <w:rsid w:val="000220A0"/>
    <w:rsid w:val="0002389A"/>
    <w:rsid w:val="000241E0"/>
    <w:rsid w:val="00025A19"/>
    <w:rsid w:val="00026D58"/>
    <w:rsid w:val="000302DF"/>
    <w:rsid w:val="00031184"/>
    <w:rsid w:val="00033675"/>
    <w:rsid w:val="000354BC"/>
    <w:rsid w:val="00037A06"/>
    <w:rsid w:val="00037F42"/>
    <w:rsid w:val="00043E4E"/>
    <w:rsid w:val="00045599"/>
    <w:rsid w:val="00045F3A"/>
    <w:rsid w:val="00045F59"/>
    <w:rsid w:val="00046BB0"/>
    <w:rsid w:val="00047BDD"/>
    <w:rsid w:val="00050751"/>
    <w:rsid w:val="00051DBB"/>
    <w:rsid w:val="00052C95"/>
    <w:rsid w:val="00056B40"/>
    <w:rsid w:val="00056EF2"/>
    <w:rsid w:val="000570C4"/>
    <w:rsid w:val="00061D34"/>
    <w:rsid w:val="000672E5"/>
    <w:rsid w:val="0007291F"/>
    <w:rsid w:val="00074E3E"/>
    <w:rsid w:val="000767E9"/>
    <w:rsid w:val="00080B5C"/>
    <w:rsid w:val="0008108C"/>
    <w:rsid w:val="00081347"/>
    <w:rsid w:val="000836B7"/>
    <w:rsid w:val="000841AA"/>
    <w:rsid w:val="00086D78"/>
    <w:rsid w:val="00087383"/>
    <w:rsid w:val="00090BBF"/>
    <w:rsid w:val="000910B7"/>
    <w:rsid w:val="00091581"/>
    <w:rsid w:val="00094517"/>
    <w:rsid w:val="00096485"/>
    <w:rsid w:val="000978C8"/>
    <w:rsid w:val="000A0025"/>
    <w:rsid w:val="000A4D3A"/>
    <w:rsid w:val="000A62EF"/>
    <w:rsid w:val="000A66B7"/>
    <w:rsid w:val="000A7058"/>
    <w:rsid w:val="000B6004"/>
    <w:rsid w:val="000C28EE"/>
    <w:rsid w:val="000C36B4"/>
    <w:rsid w:val="000C72C1"/>
    <w:rsid w:val="000D54B0"/>
    <w:rsid w:val="000E0844"/>
    <w:rsid w:val="000F1833"/>
    <w:rsid w:val="000F72D3"/>
    <w:rsid w:val="00103399"/>
    <w:rsid w:val="00104737"/>
    <w:rsid w:val="00104933"/>
    <w:rsid w:val="0011066B"/>
    <w:rsid w:val="00111A53"/>
    <w:rsid w:val="00112EC4"/>
    <w:rsid w:val="001133DF"/>
    <w:rsid w:val="0011498C"/>
    <w:rsid w:val="00117739"/>
    <w:rsid w:val="00120592"/>
    <w:rsid w:val="001217DF"/>
    <w:rsid w:val="0012187D"/>
    <w:rsid w:val="001225A8"/>
    <w:rsid w:val="001227C4"/>
    <w:rsid w:val="00124BFE"/>
    <w:rsid w:val="00125A43"/>
    <w:rsid w:val="00126809"/>
    <w:rsid w:val="001269C0"/>
    <w:rsid w:val="00131C5A"/>
    <w:rsid w:val="00142D3C"/>
    <w:rsid w:val="00143F5F"/>
    <w:rsid w:val="00146790"/>
    <w:rsid w:val="00150D70"/>
    <w:rsid w:val="00151B9F"/>
    <w:rsid w:val="00154391"/>
    <w:rsid w:val="001564FC"/>
    <w:rsid w:val="00161616"/>
    <w:rsid w:val="001616C5"/>
    <w:rsid w:val="00161DF1"/>
    <w:rsid w:val="001648F6"/>
    <w:rsid w:val="00170D3D"/>
    <w:rsid w:val="00171BB8"/>
    <w:rsid w:val="00174707"/>
    <w:rsid w:val="00174D75"/>
    <w:rsid w:val="00180DAD"/>
    <w:rsid w:val="00181672"/>
    <w:rsid w:val="00181E01"/>
    <w:rsid w:val="00184BDA"/>
    <w:rsid w:val="0019439D"/>
    <w:rsid w:val="001944A0"/>
    <w:rsid w:val="00195B03"/>
    <w:rsid w:val="00196649"/>
    <w:rsid w:val="00197B5D"/>
    <w:rsid w:val="001A4BE1"/>
    <w:rsid w:val="001A7A21"/>
    <w:rsid w:val="001B1A33"/>
    <w:rsid w:val="001B1D23"/>
    <w:rsid w:val="001C2ACE"/>
    <w:rsid w:val="001C398B"/>
    <w:rsid w:val="001C5E7E"/>
    <w:rsid w:val="001C6C9B"/>
    <w:rsid w:val="001C7134"/>
    <w:rsid w:val="001D5AEF"/>
    <w:rsid w:val="001D65A6"/>
    <w:rsid w:val="001D7A57"/>
    <w:rsid w:val="001E19A3"/>
    <w:rsid w:val="001E4C3F"/>
    <w:rsid w:val="001E7D7C"/>
    <w:rsid w:val="001F091C"/>
    <w:rsid w:val="001F4613"/>
    <w:rsid w:val="001F735E"/>
    <w:rsid w:val="001F7A71"/>
    <w:rsid w:val="002005A8"/>
    <w:rsid w:val="002006B6"/>
    <w:rsid w:val="002015B9"/>
    <w:rsid w:val="00205BAF"/>
    <w:rsid w:val="00207F85"/>
    <w:rsid w:val="00210705"/>
    <w:rsid w:val="0021226A"/>
    <w:rsid w:val="0021462C"/>
    <w:rsid w:val="002167B3"/>
    <w:rsid w:val="00216CFD"/>
    <w:rsid w:val="00216F04"/>
    <w:rsid w:val="00221C03"/>
    <w:rsid w:val="00222898"/>
    <w:rsid w:val="00225142"/>
    <w:rsid w:val="00227BDD"/>
    <w:rsid w:val="002318A4"/>
    <w:rsid w:val="002335FF"/>
    <w:rsid w:val="00233D87"/>
    <w:rsid w:val="0023666C"/>
    <w:rsid w:val="00236E0A"/>
    <w:rsid w:val="00236E3B"/>
    <w:rsid w:val="00237964"/>
    <w:rsid w:val="00240E85"/>
    <w:rsid w:val="002434DE"/>
    <w:rsid w:val="00245AFF"/>
    <w:rsid w:val="0024628D"/>
    <w:rsid w:val="0024690E"/>
    <w:rsid w:val="0025058D"/>
    <w:rsid w:val="00251ABC"/>
    <w:rsid w:val="002524CF"/>
    <w:rsid w:val="00256400"/>
    <w:rsid w:val="00260941"/>
    <w:rsid w:val="00263D64"/>
    <w:rsid w:val="00276DCA"/>
    <w:rsid w:val="00276F9B"/>
    <w:rsid w:val="00280806"/>
    <w:rsid w:val="002821D6"/>
    <w:rsid w:val="0029260F"/>
    <w:rsid w:val="002942B0"/>
    <w:rsid w:val="0029555D"/>
    <w:rsid w:val="00296199"/>
    <w:rsid w:val="0029781E"/>
    <w:rsid w:val="002A18C1"/>
    <w:rsid w:val="002A2471"/>
    <w:rsid w:val="002A2A94"/>
    <w:rsid w:val="002B107C"/>
    <w:rsid w:val="002B2C97"/>
    <w:rsid w:val="002B3BF4"/>
    <w:rsid w:val="002B6DED"/>
    <w:rsid w:val="002B6F2A"/>
    <w:rsid w:val="002C06FC"/>
    <w:rsid w:val="002C1117"/>
    <w:rsid w:val="002C36FA"/>
    <w:rsid w:val="002C67DF"/>
    <w:rsid w:val="002D0036"/>
    <w:rsid w:val="002D29F8"/>
    <w:rsid w:val="002D40EE"/>
    <w:rsid w:val="002D4993"/>
    <w:rsid w:val="002D50E9"/>
    <w:rsid w:val="002D5CFA"/>
    <w:rsid w:val="002F0165"/>
    <w:rsid w:val="002F0373"/>
    <w:rsid w:val="002F0EAB"/>
    <w:rsid w:val="002F1AF7"/>
    <w:rsid w:val="002F2A2A"/>
    <w:rsid w:val="002F5027"/>
    <w:rsid w:val="00302A82"/>
    <w:rsid w:val="0030629E"/>
    <w:rsid w:val="003103FB"/>
    <w:rsid w:val="0031376E"/>
    <w:rsid w:val="00313E1D"/>
    <w:rsid w:val="003212B0"/>
    <w:rsid w:val="003247FA"/>
    <w:rsid w:val="003309DA"/>
    <w:rsid w:val="00333809"/>
    <w:rsid w:val="00335BAB"/>
    <w:rsid w:val="00336313"/>
    <w:rsid w:val="00337D1D"/>
    <w:rsid w:val="00347F08"/>
    <w:rsid w:val="0035060F"/>
    <w:rsid w:val="00351EFE"/>
    <w:rsid w:val="00352864"/>
    <w:rsid w:val="00355CF8"/>
    <w:rsid w:val="00357B27"/>
    <w:rsid w:val="00361D52"/>
    <w:rsid w:val="00362964"/>
    <w:rsid w:val="00362C28"/>
    <w:rsid w:val="00362F9E"/>
    <w:rsid w:val="003633FF"/>
    <w:rsid w:val="00363BE8"/>
    <w:rsid w:val="00372F61"/>
    <w:rsid w:val="00385069"/>
    <w:rsid w:val="00392097"/>
    <w:rsid w:val="00392684"/>
    <w:rsid w:val="003A7451"/>
    <w:rsid w:val="003B7291"/>
    <w:rsid w:val="003B7610"/>
    <w:rsid w:val="003C2CC3"/>
    <w:rsid w:val="003C7721"/>
    <w:rsid w:val="003D0E6A"/>
    <w:rsid w:val="003D1FB8"/>
    <w:rsid w:val="003D4DF5"/>
    <w:rsid w:val="003D7104"/>
    <w:rsid w:val="003E2E94"/>
    <w:rsid w:val="003E5605"/>
    <w:rsid w:val="003E5EB5"/>
    <w:rsid w:val="003F269E"/>
    <w:rsid w:val="003F4964"/>
    <w:rsid w:val="003F65F3"/>
    <w:rsid w:val="00401C43"/>
    <w:rsid w:val="00403B38"/>
    <w:rsid w:val="004046FF"/>
    <w:rsid w:val="0040581A"/>
    <w:rsid w:val="00410790"/>
    <w:rsid w:val="00411EF4"/>
    <w:rsid w:val="004133BB"/>
    <w:rsid w:val="004142EF"/>
    <w:rsid w:val="00420958"/>
    <w:rsid w:val="00420EF1"/>
    <w:rsid w:val="00421920"/>
    <w:rsid w:val="004249A0"/>
    <w:rsid w:val="004263D9"/>
    <w:rsid w:val="004328B1"/>
    <w:rsid w:val="00432D49"/>
    <w:rsid w:val="004339EA"/>
    <w:rsid w:val="00433E8F"/>
    <w:rsid w:val="00435070"/>
    <w:rsid w:val="0044469E"/>
    <w:rsid w:val="00444B61"/>
    <w:rsid w:val="0044577B"/>
    <w:rsid w:val="00445C58"/>
    <w:rsid w:val="004466B3"/>
    <w:rsid w:val="004517F1"/>
    <w:rsid w:val="004527B0"/>
    <w:rsid w:val="004540B8"/>
    <w:rsid w:val="00461AE3"/>
    <w:rsid w:val="00464A63"/>
    <w:rsid w:val="00466DD6"/>
    <w:rsid w:val="00470670"/>
    <w:rsid w:val="00470AE7"/>
    <w:rsid w:val="00472286"/>
    <w:rsid w:val="004747BA"/>
    <w:rsid w:val="00475A47"/>
    <w:rsid w:val="00480F90"/>
    <w:rsid w:val="00484536"/>
    <w:rsid w:val="00486585"/>
    <w:rsid w:val="00486F68"/>
    <w:rsid w:val="00487CC4"/>
    <w:rsid w:val="0049135A"/>
    <w:rsid w:val="00497289"/>
    <w:rsid w:val="004A06AE"/>
    <w:rsid w:val="004A06BF"/>
    <w:rsid w:val="004A0DD3"/>
    <w:rsid w:val="004A2B5D"/>
    <w:rsid w:val="004A510D"/>
    <w:rsid w:val="004A5491"/>
    <w:rsid w:val="004B06E3"/>
    <w:rsid w:val="004B35DC"/>
    <w:rsid w:val="004B3D8C"/>
    <w:rsid w:val="004B4023"/>
    <w:rsid w:val="004B5888"/>
    <w:rsid w:val="004C2A36"/>
    <w:rsid w:val="004C3663"/>
    <w:rsid w:val="004C57EC"/>
    <w:rsid w:val="004C5843"/>
    <w:rsid w:val="004C5886"/>
    <w:rsid w:val="004C69F2"/>
    <w:rsid w:val="004C6F42"/>
    <w:rsid w:val="004D0123"/>
    <w:rsid w:val="004D1461"/>
    <w:rsid w:val="004D3A71"/>
    <w:rsid w:val="004D3CE4"/>
    <w:rsid w:val="004D62E5"/>
    <w:rsid w:val="004D7E51"/>
    <w:rsid w:val="004E04EE"/>
    <w:rsid w:val="004E1B37"/>
    <w:rsid w:val="004E2704"/>
    <w:rsid w:val="004E4AEE"/>
    <w:rsid w:val="004E4D01"/>
    <w:rsid w:val="004E5301"/>
    <w:rsid w:val="004E68BC"/>
    <w:rsid w:val="004E7CA3"/>
    <w:rsid w:val="00500964"/>
    <w:rsid w:val="00500C66"/>
    <w:rsid w:val="00502612"/>
    <w:rsid w:val="00505507"/>
    <w:rsid w:val="00505B94"/>
    <w:rsid w:val="0051074D"/>
    <w:rsid w:val="00510BAD"/>
    <w:rsid w:val="005130EC"/>
    <w:rsid w:val="00513AA3"/>
    <w:rsid w:val="005146E6"/>
    <w:rsid w:val="0051676A"/>
    <w:rsid w:val="0051716A"/>
    <w:rsid w:val="005248FC"/>
    <w:rsid w:val="005270BF"/>
    <w:rsid w:val="00530CD0"/>
    <w:rsid w:val="00535A42"/>
    <w:rsid w:val="00535F65"/>
    <w:rsid w:val="0053748E"/>
    <w:rsid w:val="005449C6"/>
    <w:rsid w:val="005516D2"/>
    <w:rsid w:val="0056088F"/>
    <w:rsid w:val="00561E39"/>
    <w:rsid w:val="00565477"/>
    <w:rsid w:val="00566B42"/>
    <w:rsid w:val="0057165C"/>
    <w:rsid w:val="005722C6"/>
    <w:rsid w:val="0057573D"/>
    <w:rsid w:val="00580FF8"/>
    <w:rsid w:val="00583237"/>
    <w:rsid w:val="005832E2"/>
    <w:rsid w:val="00585C8D"/>
    <w:rsid w:val="005862CC"/>
    <w:rsid w:val="005911FE"/>
    <w:rsid w:val="0059312F"/>
    <w:rsid w:val="00595758"/>
    <w:rsid w:val="00596081"/>
    <w:rsid w:val="00596F0A"/>
    <w:rsid w:val="005A3943"/>
    <w:rsid w:val="005A44D6"/>
    <w:rsid w:val="005A4E12"/>
    <w:rsid w:val="005A51E6"/>
    <w:rsid w:val="005A632E"/>
    <w:rsid w:val="005B047B"/>
    <w:rsid w:val="005B7418"/>
    <w:rsid w:val="005C03A9"/>
    <w:rsid w:val="005C0C28"/>
    <w:rsid w:val="005C0F84"/>
    <w:rsid w:val="005C2BFC"/>
    <w:rsid w:val="005C324B"/>
    <w:rsid w:val="005C43E2"/>
    <w:rsid w:val="005C454A"/>
    <w:rsid w:val="005C4D89"/>
    <w:rsid w:val="005C74C9"/>
    <w:rsid w:val="005D1B14"/>
    <w:rsid w:val="005D2326"/>
    <w:rsid w:val="005D257B"/>
    <w:rsid w:val="005D2ADC"/>
    <w:rsid w:val="005D3AE0"/>
    <w:rsid w:val="005E02B9"/>
    <w:rsid w:val="005E1259"/>
    <w:rsid w:val="005E1D5C"/>
    <w:rsid w:val="005E25DC"/>
    <w:rsid w:val="005E3CB4"/>
    <w:rsid w:val="005E52AE"/>
    <w:rsid w:val="005E5607"/>
    <w:rsid w:val="005E567C"/>
    <w:rsid w:val="005F0003"/>
    <w:rsid w:val="005F3764"/>
    <w:rsid w:val="005F505E"/>
    <w:rsid w:val="005F7A58"/>
    <w:rsid w:val="005F7C0F"/>
    <w:rsid w:val="0060275B"/>
    <w:rsid w:val="00602976"/>
    <w:rsid w:val="00602D46"/>
    <w:rsid w:val="0060388D"/>
    <w:rsid w:val="00604231"/>
    <w:rsid w:val="00610484"/>
    <w:rsid w:val="00610C2F"/>
    <w:rsid w:val="0061207F"/>
    <w:rsid w:val="00615767"/>
    <w:rsid w:val="00620C60"/>
    <w:rsid w:val="0062475B"/>
    <w:rsid w:val="00625805"/>
    <w:rsid w:val="00627AC4"/>
    <w:rsid w:val="0063253B"/>
    <w:rsid w:val="00634599"/>
    <w:rsid w:val="00635F8F"/>
    <w:rsid w:val="006363C8"/>
    <w:rsid w:val="00637AB8"/>
    <w:rsid w:val="00640B42"/>
    <w:rsid w:val="0064370D"/>
    <w:rsid w:val="00643771"/>
    <w:rsid w:val="00644946"/>
    <w:rsid w:val="00646AB8"/>
    <w:rsid w:val="00647BD9"/>
    <w:rsid w:val="00651440"/>
    <w:rsid w:val="00654A3E"/>
    <w:rsid w:val="006624A7"/>
    <w:rsid w:val="0066515F"/>
    <w:rsid w:val="006668AF"/>
    <w:rsid w:val="006752F7"/>
    <w:rsid w:val="00677BAE"/>
    <w:rsid w:val="00677BD6"/>
    <w:rsid w:val="00677C92"/>
    <w:rsid w:val="00684110"/>
    <w:rsid w:val="006841A4"/>
    <w:rsid w:val="00686439"/>
    <w:rsid w:val="0069440F"/>
    <w:rsid w:val="00694456"/>
    <w:rsid w:val="00694E98"/>
    <w:rsid w:val="006A6051"/>
    <w:rsid w:val="006A7E07"/>
    <w:rsid w:val="006B31D9"/>
    <w:rsid w:val="006B4564"/>
    <w:rsid w:val="006B6182"/>
    <w:rsid w:val="006C0102"/>
    <w:rsid w:val="006C0553"/>
    <w:rsid w:val="006C07D4"/>
    <w:rsid w:val="006C0CBE"/>
    <w:rsid w:val="006C41AD"/>
    <w:rsid w:val="006D04BD"/>
    <w:rsid w:val="006D60F9"/>
    <w:rsid w:val="006D7180"/>
    <w:rsid w:val="006D7CCB"/>
    <w:rsid w:val="006E433B"/>
    <w:rsid w:val="006E4C3D"/>
    <w:rsid w:val="006E7899"/>
    <w:rsid w:val="006E7C78"/>
    <w:rsid w:val="006E7CCA"/>
    <w:rsid w:val="006F1CFA"/>
    <w:rsid w:val="006F27F4"/>
    <w:rsid w:val="006F2E23"/>
    <w:rsid w:val="006F4159"/>
    <w:rsid w:val="006F7024"/>
    <w:rsid w:val="0070076B"/>
    <w:rsid w:val="007030C1"/>
    <w:rsid w:val="00703A7C"/>
    <w:rsid w:val="007041D9"/>
    <w:rsid w:val="0070474E"/>
    <w:rsid w:val="00706BFD"/>
    <w:rsid w:val="00706C43"/>
    <w:rsid w:val="007076DA"/>
    <w:rsid w:val="00707860"/>
    <w:rsid w:val="007207BF"/>
    <w:rsid w:val="00723401"/>
    <w:rsid w:val="0072364C"/>
    <w:rsid w:val="0072509D"/>
    <w:rsid w:val="00725CB0"/>
    <w:rsid w:val="0073492A"/>
    <w:rsid w:val="0073517D"/>
    <w:rsid w:val="0073685C"/>
    <w:rsid w:val="00736E08"/>
    <w:rsid w:val="00737EA5"/>
    <w:rsid w:val="007400AE"/>
    <w:rsid w:val="00740872"/>
    <w:rsid w:val="007409CE"/>
    <w:rsid w:val="00740C8B"/>
    <w:rsid w:val="00741F3E"/>
    <w:rsid w:val="00743AA8"/>
    <w:rsid w:val="00744555"/>
    <w:rsid w:val="007457E7"/>
    <w:rsid w:val="007473EB"/>
    <w:rsid w:val="00750840"/>
    <w:rsid w:val="00752706"/>
    <w:rsid w:val="00757617"/>
    <w:rsid w:val="0076065E"/>
    <w:rsid w:val="00763AD8"/>
    <w:rsid w:val="007642DA"/>
    <w:rsid w:val="00764F70"/>
    <w:rsid w:val="00764F83"/>
    <w:rsid w:val="00765016"/>
    <w:rsid w:val="00766288"/>
    <w:rsid w:val="00767EDE"/>
    <w:rsid w:val="0077100C"/>
    <w:rsid w:val="00776570"/>
    <w:rsid w:val="00776C39"/>
    <w:rsid w:val="007776F1"/>
    <w:rsid w:val="00781D00"/>
    <w:rsid w:val="00784BA7"/>
    <w:rsid w:val="007900F3"/>
    <w:rsid w:val="00791B69"/>
    <w:rsid w:val="0079498E"/>
    <w:rsid w:val="00796F10"/>
    <w:rsid w:val="00797CF8"/>
    <w:rsid w:val="007A29DD"/>
    <w:rsid w:val="007A62BA"/>
    <w:rsid w:val="007A6AB5"/>
    <w:rsid w:val="007A708C"/>
    <w:rsid w:val="007B03A8"/>
    <w:rsid w:val="007B2B46"/>
    <w:rsid w:val="007B30F2"/>
    <w:rsid w:val="007B377F"/>
    <w:rsid w:val="007B4274"/>
    <w:rsid w:val="007B5117"/>
    <w:rsid w:val="007B599D"/>
    <w:rsid w:val="007B5B31"/>
    <w:rsid w:val="007B6A74"/>
    <w:rsid w:val="007B75C2"/>
    <w:rsid w:val="007C2DC8"/>
    <w:rsid w:val="007C6EF1"/>
    <w:rsid w:val="007C7713"/>
    <w:rsid w:val="007C7A09"/>
    <w:rsid w:val="007D097E"/>
    <w:rsid w:val="007D0F78"/>
    <w:rsid w:val="007D230B"/>
    <w:rsid w:val="007D2D80"/>
    <w:rsid w:val="007D3681"/>
    <w:rsid w:val="007D3824"/>
    <w:rsid w:val="007D49A1"/>
    <w:rsid w:val="007D59DD"/>
    <w:rsid w:val="007E1F66"/>
    <w:rsid w:val="007E4C10"/>
    <w:rsid w:val="007E51A2"/>
    <w:rsid w:val="007E5455"/>
    <w:rsid w:val="007E6501"/>
    <w:rsid w:val="007E6C25"/>
    <w:rsid w:val="007F32D7"/>
    <w:rsid w:val="00801632"/>
    <w:rsid w:val="0080520B"/>
    <w:rsid w:val="00807B3E"/>
    <w:rsid w:val="00810D4A"/>
    <w:rsid w:val="00812F82"/>
    <w:rsid w:val="008146FD"/>
    <w:rsid w:val="008168EB"/>
    <w:rsid w:val="00816AAB"/>
    <w:rsid w:val="00816BD5"/>
    <w:rsid w:val="00820402"/>
    <w:rsid w:val="008243B2"/>
    <w:rsid w:val="0082476B"/>
    <w:rsid w:val="00824F08"/>
    <w:rsid w:val="008310DF"/>
    <w:rsid w:val="00831105"/>
    <w:rsid w:val="00835487"/>
    <w:rsid w:val="00836B85"/>
    <w:rsid w:val="008370B5"/>
    <w:rsid w:val="00841116"/>
    <w:rsid w:val="0084198A"/>
    <w:rsid w:val="00844A4B"/>
    <w:rsid w:val="00846EDC"/>
    <w:rsid w:val="00847A93"/>
    <w:rsid w:val="00850919"/>
    <w:rsid w:val="00854676"/>
    <w:rsid w:val="00862784"/>
    <w:rsid w:val="00864FDA"/>
    <w:rsid w:val="00865296"/>
    <w:rsid w:val="00866FDD"/>
    <w:rsid w:val="00867086"/>
    <w:rsid w:val="008701D1"/>
    <w:rsid w:val="00874663"/>
    <w:rsid w:val="00876C56"/>
    <w:rsid w:val="00881116"/>
    <w:rsid w:val="00881B95"/>
    <w:rsid w:val="008831CA"/>
    <w:rsid w:val="00883D97"/>
    <w:rsid w:val="008860D1"/>
    <w:rsid w:val="008869EC"/>
    <w:rsid w:val="00890A45"/>
    <w:rsid w:val="0089272A"/>
    <w:rsid w:val="00894181"/>
    <w:rsid w:val="00894890"/>
    <w:rsid w:val="00897247"/>
    <w:rsid w:val="008B08F0"/>
    <w:rsid w:val="008B262C"/>
    <w:rsid w:val="008B4A8A"/>
    <w:rsid w:val="008B6FC8"/>
    <w:rsid w:val="008C19E9"/>
    <w:rsid w:val="008C26E9"/>
    <w:rsid w:val="008C774E"/>
    <w:rsid w:val="008D3540"/>
    <w:rsid w:val="008D4652"/>
    <w:rsid w:val="008D5D3E"/>
    <w:rsid w:val="008D6D9D"/>
    <w:rsid w:val="008E2D31"/>
    <w:rsid w:val="008E4EF1"/>
    <w:rsid w:val="008E5A13"/>
    <w:rsid w:val="008F1691"/>
    <w:rsid w:val="008F22E2"/>
    <w:rsid w:val="008F3FD6"/>
    <w:rsid w:val="008F5698"/>
    <w:rsid w:val="008F639E"/>
    <w:rsid w:val="00901DCC"/>
    <w:rsid w:val="00901EF2"/>
    <w:rsid w:val="00902A9B"/>
    <w:rsid w:val="00903EB6"/>
    <w:rsid w:val="00905334"/>
    <w:rsid w:val="00906132"/>
    <w:rsid w:val="009079D0"/>
    <w:rsid w:val="00913D0A"/>
    <w:rsid w:val="009148A1"/>
    <w:rsid w:val="0092258D"/>
    <w:rsid w:val="009231BE"/>
    <w:rsid w:val="00924655"/>
    <w:rsid w:val="00924972"/>
    <w:rsid w:val="00927385"/>
    <w:rsid w:val="0093206C"/>
    <w:rsid w:val="00932E1E"/>
    <w:rsid w:val="00934068"/>
    <w:rsid w:val="00937854"/>
    <w:rsid w:val="009469E0"/>
    <w:rsid w:val="00950680"/>
    <w:rsid w:val="00951C4D"/>
    <w:rsid w:val="00952E03"/>
    <w:rsid w:val="00952EC4"/>
    <w:rsid w:val="00954297"/>
    <w:rsid w:val="009547E2"/>
    <w:rsid w:val="00956488"/>
    <w:rsid w:val="00956F5F"/>
    <w:rsid w:val="009610DC"/>
    <w:rsid w:val="00967E32"/>
    <w:rsid w:val="0097154F"/>
    <w:rsid w:val="00973CC5"/>
    <w:rsid w:val="00985996"/>
    <w:rsid w:val="00986978"/>
    <w:rsid w:val="0098710E"/>
    <w:rsid w:val="00991DD3"/>
    <w:rsid w:val="00994F74"/>
    <w:rsid w:val="0099563A"/>
    <w:rsid w:val="009967F2"/>
    <w:rsid w:val="009972AB"/>
    <w:rsid w:val="009A13F4"/>
    <w:rsid w:val="009A309B"/>
    <w:rsid w:val="009A44BE"/>
    <w:rsid w:val="009A595A"/>
    <w:rsid w:val="009B029F"/>
    <w:rsid w:val="009B0CCA"/>
    <w:rsid w:val="009B1BF2"/>
    <w:rsid w:val="009B27F8"/>
    <w:rsid w:val="009B2C25"/>
    <w:rsid w:val="009B49A8"/>
    <w:rsid w:val="009B4A8B"/>
    <w:rsid w:val="009B55D7"/>
    <w:rsid w:val="009B74FB"/>
    <w:rsid w:val="009C0660"/>
    <w:rsid w:val="009C145B"/>
    <w:rsid w:val="009C2E80"/>
    <w:rsid w:val="009C37D0"/>
    <w:rsid w:val="009C4845"/>
    <w:rsid w:val="009C7314"/>
    <w:rsid w:val="009D5D9F"/>
    <w:rsid w:val="009E0665"/>
    <w:rsid w:val="009E0B7F"/>
    <w:rsid w:val="009E0FA2"/>
    <w:rsid w:val="009E17C6"/>
    <w:rsid w:val="009E2244"/>
    <w:rsid w:val="009E5FE7"/>
    <w:rsid w:val="009F57FD"/>
    <w:rsid w:val="009F7F9F"/>
    <w:rsid w:val="00A01E02"/>
    <w:rsid w:val="00A02E26"/>
    <w:rsid w:val="00A0491D"/>
    <w:rsid w:val="00A05BA0"/>
    <w:rsid w:val="00A159C9"/>
    <w:rsid w:val="00A167FB"/>
    <w:rsid w:val="00A1785F"/>
    <w:rsid w:val="00A17E9A"/>
    <w:rsid w:val="00A21B70"/>
    <w:rsid w:val="00A21D02"/>
    <w:rsid w:val="00A21DDB"/>
    <w:rsid w:val="00A23CF6"/>
    <w:rsid w:val="00A2690C"/>
    <w:rsid w:val="00A2792F"/>
    <w:rsid w:val="00A306D0"/>
    <w:rsid w:val="00A30970"/>
    <w:rsid w:val="00A315E4"/>
    <w:rsid w:val="00A317D3"/>
    <w:rsid w:val="00A31D96"/>
    <w:rsid w:val="00A31FEE"/>
    <w:rsid w:val="00A33C55"/>
    <w:rsid w:val="00A42875"/>
    <w:rsid w:val="00A44DC1"/>
    <w:rsid w:val="00A47A06"/>
    <w:rsid w:val="00A47A98"/>
    <w:rsid w:val="00A47EE7"/>
    <w:rsid w:val="00A50B43"/>
    <w:rsid w:val="00A51C87"/>
    <w:rsid w:val="00A54197"/>
    <w:rsid w:val="00A57687"/>
    <w:rsid w:val="00A61821"/>
    <w:rsid w:val="00A64F5C"/>
    <w:rsid w:val="00A65D0B"/>
    <w:rsid w:val="00A67CA5"/>
    <w:rsid w:val="00A737EC"/>
    <w:rsid w:val="00A75CCD"/>
    <w:rsid w:val="00A80506"/>
    <w:rsid w:val="00A806AE"/>
    <w:rsid w:val="00A8118F"/>
    <w:rsid w:val="00A83458"/>
    <w:rsid w:val="00A83FA9"/>
    <w:rsid w:val="00A86010"/>
    <w:rsid w:val="00A86C41"/>
    <w:rsid w:val="00A90148"/>
    <w:rsid w:val="00A915A6"/>
    <w:rsid w:val="00A917F8"/>
    <w:rsid w:val="00A9308D"/>
    <w:rsid w:val="00A94A6A"/>
    <w:rsid w:val="00AA0D6E"/>
    <w:rsid w:val="00AA0D8C"/>
    <w:rsid w:val="00AA25BC"/>
    <w:rsid w:val="00AA3077"/>
    <w:rsid w:val="00AA46AF"/>
    <w:rsid w:val="00AA5353"/>
    <w:rsid w:val="00AA6AB4"/>
    <w:rsid w:val="00AB1FE8"/>
    <w:rsid w:val="00AB219A"/>
    <w:rsid w:val="00AB226D"/>
    <w:rsid w:val="00AB26F9"/>
    <w:rsid w:val="00AB4117"/>
    <w:rsid w:val="00AB4E9E"/>
    <w:rsid w:val="00AB6C99"/>
    <w:rsid w:val="00AB6F26"/>
    <w:rsid w:val="00AC11D5"/>
    <w:rsid w:val="00AC15E5"/>
    <w:rsid w:val="00AC22BB"/>
    <w:rsid w:val="00AC4080"/>
    <w:rsid w:val="00AC5A6D"/>
    <w:rsid w:val="00AC5D73"/>
    <w:rsid w:val="00AC73AD"/>
    <w:rsid w:val="00AD54E2"/>
    <w:rsid w:val="00AD705A"/>
    <w:rsid w:val="00AD78F9"/>
    <w:rsid w:val="00AE008D"/>
    <w:rsid w:val="00AE2CED"/>
    <w:rsid w:val="00AE30E0"/>
    <w:rsid w:val="00AE342F"/>
    <w:rsid w:val="00AE346F"/>
    <w:rsid w:val="00AE3AD5"/>
    <w:rsid w:val="00AF2329"/>
    <w:rsid w:val="00AF3660"/>
    <w:rsid w:val="00AF4FDB"/>
    <w:rsid w:val="00AF7A20"/>
    <w:rsid w:val="00B01312"/>
    <w:rsid w:val="00B02D98"/>
    <w:rsid w:val="00B0446F"/>
    <w:rsid w:val="00B15D2F"/>
    <w:rsid w:val="00B16399"/>
    <w:rsid w:val="00B1760F"/>
    <w:rsid w:val="00B21F15"/>
    <w:rsid w:val="00B2229A"/>
    <w:rsid w:val="00B2586D"/>
    <w:rsid w:val="00B25AE4"/>
    <w:rsid w:val="00B26909"/>
    <w:rsid w:val="00B27664"/>
    <w:rsid w:val="00B31169"/>
    <w:rsid w:val="00B31828"/>
    <w:rsid w:val="00B40621"/>
    <w:rsid w:val="00B42BEE"/>
    <w:rsid w:val="00B452B7"/>
    <w:rsid w:val="00B458E3"/>
    <w:rsid w:val="00B4617B"/>
    <w:rsid w:val="00B518FF"/>
    <w:rsid w:val="00B52ACC"/>
    <w:rsid w:val="00B54F17"/>
    <w:rsid w:val="00B560BD"/>
    <w:rsid w:val="00B561EE"/>
    <w:rsid w:val="00B57D47"/>
    <w:rsid w:val="00B6210E"/>
    <w:rsid w:val="00B632E3"/>
    <w:rsid w:val="00B64DC8"/>
    <w:rsid w:val="00B67B32"/>
    <w:rsid w:val="00B70688"/>
    <w:rsid w:val="00B77091"/>
    <w:rsid w:val="00B77C6D"/>
    <w:rsid w:val="00B837C1"/>
    <w:rsid w:val="00B841E0"/>
    <w:rsid w:val="00B860BA"/>
    <w:rsid w:val="00B865F5"/>
    <w:rsid w:val="00B870A0"/>
    <w:rsid w:val="00B91DFE"/>
    <w:rsid w:val="00B966E9"/>
    <w:rsid w:val="00B96BC7"/>
    <w:rsid w:val="00B97229"/>
    <w:rsid w:val="00B97F10"/>
    <w:rsid w:val="00BA08A3"/>
    <w:rsid w:val="00BA5AB3"/>
    <w:rsid w:val="00BA5CE1"/>
    <w:rsid w:val="00BA7642"/>
    <w:rsid w:val="00BB227E"/>
    <w:rsid w:val="00BB620B"/>
    <w:rsid w:val="00BB7E3D"/>
    <w:rsid w:val="00BC3CD1"/>
    <w:rsid w:val="00BC40DE"/>
    <w:rsid w:val="00BC5925"/>
    <w:rsid w:val="00BC5EC6"/>
    <w:rsid w:val="00BC5F0E"/>
    <w:rsid w:val="00BD1487"/>
    <w:rsid w:val="00BD2211"/>
    <w:rsid w:val="00BD221D"/>
    <w:rsid w:val="00BD3E65"/>
    <w:rsid w:val="00BD5253"/>
    <w:rsid w:val="00BD5934"/>
    <w:rsid w:val="00BD7785"/>
    <w:rsid w:val="00BE141D"/>
    <w:rsid w:val="00BE349A"/>
    <w:rsid w:val="00BE3B2E"/>
    <w:rsid w:val="00BE761F"/>
    <w:rsid w:val="00BF19B9"/>
    <w:rsid w:val="00BF1CBD"/>
    <w:rsid w:val="00BF2674"/>
    <w:rsid w:val="00BF3186"/>
    <w:rsid w:val="00BF4D52"/>
    <w:rsid w:val="00BF52C4"/>
    <w:rsid w:val="00BF69C4"/>
    <w:rsid w:val="00BF7F4F"/>
    <w:rsid w:val="00C006BE"/>
    <w:rsid w:val="00C032B0"/>
    <w:rsid w:val="00C0432E"/>
    <w:rsid w:val="00C05B8E"/>
    <w:rsid w:val="00C1063D"/>
    <w:rsid w:val="00C1466D"/>
    <w:rsid w:val="00C15E0E"/>
    <w:rsid w:val="00C23FB5"/>
    <w:rsid w:val="00C24A1A"/>
    <w:rsid w:val="00C2763C"/>
    <w:rsid w:val="00C31806"/>
    <w:rsid w:val="00C331BB"/>
    <w:rsid w:val="00C33E08"/>
    <w:rsid w:val="00C33ED6"/>
    <w:rsid w:val="00C37D05"/>
    <w:rsid w:val="00C41A08"/>
    <w:rsid w:val="00C422B9"/>
    <w:rsid w:val="00C4241E"/>
    <w:rsid w:val="00C50B45"/>
    <w:rsid w:val="00C50EFE"/>
    <w:rsid w:val="00C52C72"/>
    <w:rsid w:val="00C615A3"/>
    <w:rsid w:val="00C617E1"/>
    <w:rsid w:val="00C631C5"/>
    <w:rsid w:val="00C635DA"/>
    <w:rsid w:val="00C639E7"/>
    <w:rsid w:val="00C63B58"/>
    <w:rsid w:val="00C659BE"/>
    <w:rsid w:val="00C77D23"/>
    <w:rsid w:val="00C77F95"/>
    <w:rsid w:val="00C80300"/>
    <w:rsid w:val="00C822AC"/>
    <w:rsid w:val="00C82307"/>
    <w:rsid w:val="00C83EE7"/>
    <w:rsid w:val="00C84FC2"/>
    <w:rsid w:val="00C8613B"/>
    <w:rsid w:val="00C86C55"/>
    <w:rsid w:val="00C91C11"/>
    <w:rsid w:val="00C92622"/>
    <w:rsid w:val="00C96067"/>
    <w:rsid w:val="00C97228"/>
    <w:rsid w:val="00C9780D"/>
    <w:rsid w:val="00C97EF4"/>
    <w:rsid w:val="00CA02DA"/>
    <w:rsid w:val="00CA1A54"/>
    <w:rsid w:val="00CC261B"/>
    <w:rsid w:val="00CC46B2"/>
    <w:rsid w:val="00CC5718"/>
    <w:rsid w:val="00CD1352"/>
    <w:rsid w:val="00CD1CBE"/>
    <w:rsid w:val="00CD1E3E"/>
    <w:rsid w:val="00CD32E2"/>
    <w:rsid w:val="00CD4B0B"/>
    <w:rsid w:val="00CD6698"/>
    <w:rsid w:val="00CE1E5B"/>
    <w:rsid w:val="00CE2218"/>
    <w:rsid w:val="00CE2DBA"/>
    <w:rsid w:val="00CE480F"/>
    <w:rsid w:val="00CE5E4E"/>
    <w:rsid w:val="00CF1D92"/>
    <w:rsid w:val="00CF5D91"/>
    <w:rsid w:val="00D0025C"/>
    <w:rsid w:val="00D02C36"/>
    <w:rsid w:val="00D11A3F"/>
    <w:rsid w:val="00D12172"/>
    <w:rsid w:val="00D12B8C"/>
    <w:rsid w:val="00D14804"/>
    <w:rsid w:val="00D1599C"/>
    <w:rsid w:val="00D200F6"/>
    <w:rsid w:val="00D21646"/>
    <w:rsid w:val="00D2490E"/>
    <w:rsid w:val="00D259F8"/>
    <w:rsid w:val="00D27227"/>
    <w:rsid w:val="00D31582"/>
    <w:rsid w:val="00D36A3A"/>
    <w:rsid w:val="00D36FFF"/>
    <w:rsid w:val="00D403BC"/>
    <w:rsid w:val="00D454F2"/>
    <w:rsid w:val="00D47CE9"/>
    <w:rsid w:val="00D52995"/>
    <w:rsid w:val="00D539A3"/>
    <w:rsid w:val="00D64FD6"/>
    <w:rsid w:val="00D676C1"/>
    <w:rsid w:val="00D67756"/>
    <w:rsid w:val="00D7183E"/>
    <w:rsid w:val="00D72ADE"/>
    <w:rsid w:val="00D736D3"/>
    <w:rsid w:val="00D75233"/>
    <w:rsid w:val="00D7728F"/>
    <w:rsid w:val="00D77696"/>
    <w:rsid w:val="00D77AD9"/>
    <w:rsid w:val="00D80BF0"/>
    <w:rsid w:val="00D81CC4"/>
    <w:rsid w:val="00D844F4"/>
    <w:rsid w:val="00D847DA"/>
    <w:rsid w:val="00D9765E"/>
    <w:rsid w:val="00DA1C63"/>
    <w:rsid w:val="00DA2987"/>
    <w:rsid w:val="00DA4591"/>
    <w:rsid w:val="00DA6430"/>
    <w:rsid w:val="00DA6B99"/>
    <w:rsid w:val="00DA724C"/>
    <w:rsid w:val="00DB2821"/>
    <w:rsid w:val="00DB33FF"/>
    <w:rsid w:val="00DB5285"/>
    <w:rsid w:val="00DB63DB"/>
    <w:rsid w:val="00DB7824"/>
    <w:rsid w:val="00DC308E"/>
    <w:rsid w:val="00DC7F73"/>
    <w:rsid w:val="00DD1568"/>
    <w:rsid w:val="00DE0E75"/>
    <w:rsid w:val="00DE191A"/>
    <w:rsid w:val="00DE3123"/>
    <w:rsid w:val="00DE339F"/>
    <w:rsid w:val="00DE43C5"/>
    <w:rsid w:val="00DE670A"/>
    <w:rsid w:val="00DF0A81"/>
    <w:rsid w:val="00DF1535"/>
    <w:rsid w:val="00DF1EBF"/>
    <w:rsid w:val="00DF52EC"/>
    <w:rsid w:val="00DF53F5"/>
    <w:rsid w:val="00DF61FD"/>
    <w:rsid w:val="00DF6D25"/>
    <w:rsid w:val="00DF7BD7"/>
    <w:rsid w:val="00DF7BF9"/>
    <w:rsid w:val="00E000D1"/>
    <w:rsid w:val="00E001C0"/>
    <w:rsid w:val="00E02E21"/>
    <w:rsid w:val="00E03C6D"/>
    <w:rsid w:val="00E1148C"/>
    <w:rsid w:val="00E11EE3"/>
    <w:rsid w:val="00E135F9"/>
    <w:rsid w:val="00E14149"/>
    <w:rsid w:val="00E14349"/>
    <w:rsid w:val="00E179CE"/>
    <w:rsid w:val="00E20C28"/>
    <w:rsid w:val="00E216D7"/>
    <w:rsid w:val="00E22A77"/>
    <w:rsid w:val="00E22E84"/>
    <w:rsid w:val="00E24B18"/>
    <w:rsid w:val="00E3016C"/>
    <w:rsid w:val="00E33168"/>
    <w:rsid w:val="00E348BC"/>
    <w:rsid w:val="00E36189"/>
    <w:rsid w:val="00E4318F"/>
    <w:rsid w:val="00E43653"/>
    <w:rsid w:val="00E4392E"/>
    <w:rsid w:val="00E44AEC"/>
    <w:rsid w:val="00E50A3E"/>
    <w:rsid w:val="00E54395"/>
    <w:rsid w:val="00E54741"/>
    <w:rsid w:val="00E568E5"/>
    <w:rsid w:val="00E6453F"/>
    <w:rsid w:val="00E659EF"/>
    <w:rsid w:val="00E70CBD"/>
    <w:rsid w:val="00E717E8"/>
    <w:rsid w:val="00E71850"/>
    <w:rsid w:val="00E73D81"/>
    <w:rsid w:val="00E747E5"/>
    <w:rsid w:val="00E74EA3"/>
    <w:rsid w:val="00E754F4"/>
    <w:rsid w:val="00E75F3C"/>
    <w:rsid w:val="00E76228"/>
    <w:rsid w:val="00E805A1"/>
    <w:rsid w:val="00E814B6"/>
    <w:rsid w:val="00E9569C"/>
    <w:rsid w:val="00E97B33"/>
    <w:rsid w:val="00EA176B"/>
    <w:rsid w:val="00EA2D3D"/>
    <w:rsid w:val="00EA5B84"/>
    <w:rsid w:val="00EA68D8"/>
    <w:rsid w:val="00EB20F9"/>
    <w:rsid w:val="00EB24EB"/>
    <w:rsid w:val="00EB2DE2"/>
    <w:rsid w:val="00EC3A07"/>
    <w:rsid w:val="00EC58BF"/>
    <w:rsid w:val="00EC7726"/>
    <w:rsid w:val="00ED06CC"/>
    <w:rsid w:val="00ED2C8E"/>
    <w:rsid w:val="00ED379E"/>
    <w:rsid w:val="00ED7680"/>
    <w:rsid w:val="00EE0424"/>
    <w:rsid w:val="00EE0BEA"/>
    <w:rsid w:val="00EE0D47"/>
    <w:rsid w:val="00EE5358"/>
    <w:rsid w:val="00EF0543"/>
    <w:rsid w:val="00EF1D2D"/>
    <w:rsid w:val="00EF6B68"/>
    <w:rsid w:val="00EF71E9"/>
    <w:rsid w:val="00F006D2"/>
    <w:rsid w:val="00F00BD1"/>
    <w:rsid w:val="00F01120"/>
    <w:rsid w:val="00F01FD9"/>
    <w:rsid w:val="00F02A74"/>
    <w:rsid w:val="00F04B07"/>
    <w:rsid w:val="00F0598C"/>
    <w:rsid w:val="00F05BA8"/>
    <w:rsid w:val="00F0650C"/>
    <w:rsid w:val="00F076E3"/>
    <w:rsid w:val="00F1243E"/>
    <w:rsid w:val="00F16F13"/>
    <w:rsid w:val="00F20E79"/>
    <w:rsid w:val="00F23AF0"/>
    <w:rsid w:val="00F23E9A"/>
    <w:rsid w:val="00F242D9"/>
    <w:rsid w:val="00F26445"/>
    <w:rsid w:val="00F30E83"/>
    <w:rsid w:val="00F3715D"/>
    <w:rsid w:val="00F374E5"/>
    <w:rsid w:val="00F404A0"/>
    <w:rsid w:val="00F4343C"/>
    <w:rsid w:val="00F44B62"/>
    <w:rsid w:val="00F5072C"/>
    <w:rsid w:val="00F51CBF"/>
    <w:rsid w:val="00F52049"/>
    <w:rsid w:val="00F52878"/>
    <w:rsid w:val="00F5411D"/>
    <w:rsid w:val="00F55723"/>
    <w:rsid w:val="00F56D2B"/>
    <w:rsid w:val="00F57D2D"/>
    <w:rsid w:val="00F62A49"/>
    <w:rsid w:val="00F64F0D"/>
    <w:rsid w:val="00F7026A"/>
    <w:rsid w:val="00F71826"/>
    <w:rsid w:val="00F72B45"/>
    <w:rsid w:val="00F73B00"/>
    <w:rsid w:val="00F751EE"/>
    <w:rsid w:val="00F75237"/>
    <w:rsid w:val="00F77336"/>
    <w:rsid w:val="00F84737"/>
    <w:rsid w:val="00F87B69"/>
    <w:rsid w:val="00F90C95"/>
    <w:rsid w:val="00F9103E"/>
    <w:rsid w:val="00F91B8F"/>
    <w:rsid w:val="00F94E71"/>
    <w:rsid w:val="00F95923"/>
    <w:rsid w:val="00F96A39"/>
    <w:rsid w:val="00F97463"/>
    <w:rsid w:val="00FA4DC6"/>
    <w:rsid w:val="00FA5D99"/>
    <w:rsid w:val="00FA78F3"/>
    <w:rsid w:val="00FB030E"/>
    <w:rsid w:val="00FB571F"/>
    <w:rsid w:val="00FC42BA"/>
    <w:rsid w:val="00FC6166"/>
    <w:rsid w:val="00FC66B0"/>
    <w:rsid w:val="00FC6AB2"/>
    <w:rsid w:val="00FD08C1"/>
    <w:rsid w:val="00FD11E1"/>
    <w:rsid w:val="00FD21EF"/>
    <w:rsid w:val="00FD7A7A"/>
    <w:rsid w:val="00FE10C1"/>
    <w:rsid w:val="00FE165D"/>
    <w:rsid w:val="00FE190E"/>
    <w:rsid w:val="00FE20A9"/>
    <w:rsid w:val="00FE3BE4"/>
    <w:rsid w:val="00FE48A9"/>
    <w:rsid w:val="00FE6F2E"/>
    <w:rsid w:val="00FF08B7"/>
    <w:rsid w:val="00FF12B8"/>
    <w:rsid w:val="00FF45A2"/>
    <w:rsid w:val="00FF521D"/>
    <w:rsid w:val="00FF5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657B6038-ED4A-4EB1-A726-A2EA07B38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numPr>
        <w:numId w:val="16"/>
      </w:numPr>
      <w:contextualSpacing/>
    </w:pPr>
  </w:style>
  <w:style w:type="paragraph" w:styleId="Caption">
    <w:name w:val="caption"/>
    <w:aliases w:val="eTRM Caption"/>
    <w:basedOn w:val="Normal"/>
    <w:next w:val="Normal"/>
    <w:link w:val="CaptionChar"/>
    <w:autoRedefine/>
    <w:unhideWhenUsed/>
    <w:qFormat/>
    <w:rsid w:val="00276DCA"/>
    <w:pPr>
      <w:keepNext/>
      <w:keepLines/>
      <w:spacing w:before="280" w:after="80"/>
    </w:pPr>
    <w:rPr>
      <w:b/>
      <w:color w:val="000000"/>
      <w:sz w:val="20"/>
      <w:szCs w:val="18"/>
      <w14:textFill>
        <w14:solidFill>
          <w14:srgbClr w14:val="000000">
            <w14:lumMod w14:val="50000"/>
          </w14:srgbClr>
        </w14:solidFill>
      </w14:textFill>
    </w:rPr>
  </w:style>
  <w:style w:type="character" w:customStyle="1" w:styleId="CaptionChar">
    <w:name w:val="Caption Char"/>
    <w:aliases w:val="eTRM Caption Char"/>
    <w:link w:val="Caption"/>
    <w:locked/>
    <w:rsid w:val="00276DCA"/>
    <w:rPr>
      <w:rFonts w:ascii="Calibri Light" w:hAnsi="Calibri Light"/>
      <w:b/>
      <w:color w:val="000000"/>
      <w:sz w:val="20"/>
      <w:szCs w:val="18"/>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45599"/>
    <w:p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Table Contemporary Black Header"/>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5B047B"/>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5B047B"/>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112EC4"/>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112EC4"/>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45599"/>
    <w:pPr>
      <w:spacing w:before="0" w:after="20"/>
      <w:ind w:left="7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784BA7"/>
    <w:rPr>
      <w:sz w:val="18"/>
      <w:szCs w:val="18"/>
    </w:rPr>
  </w:style>
  <w:style w:type="paragraph" w:styleId="CommentText">
    <w:name w:val="annotation text"/>
    <w:basedOn w:val="Normal"/>
    <w:link w:val="CommentTextChar"/>
    <w:uiPriority w:val="99"/>
    <w:unhideWhenUsed/>
    <w:rsid w:val="00784BA7"/>
    <w:pPr>
      <w:spacing w:line="240" w:lineRule="auto"/>
    </w:pPr>
    <w:rPr>
      <w:sz w:val="24"/>
    </w:rPr>
  </w:style>
  <w:style w:type="character" w:customStyle="1" w:styleId="CommentTextChar">
    <w:name w:val="Comment Text Char"/>
    <w:basedOn w:val="DefaultParagraphFont"/>
    <w:link w:val="CommentText"/>
    <w:uiPriority w:val="99"/>
    <w:rsid w:val="00784BA7"/>
    <w:rPr>
      <w:rFonts w:ascii="Calibri Light" w:hAnsi="Calibri Light"/>
    </w:rPr>
  </w:style>
  <w:style w:type="paragraph" w:styleId="CommentSubject">
    <w:name w:val="annotation subject"/>
    <w:basedOn w:val="CommentText"/>
    <w:next w:val="CommentText"/>
    <w:link w:val="CommentSubjectChar"/>
    <w:uiPriority w:val="99"/>
    <w:semiHidden/>
    <w:unhideWhenUsed/>
    <w:rsid w:val="00784BA7"/>
    <w:rPr>
      <w:b/>
      <w:bCs/>
      <w:sz w:val="20"/>
      <w:szCs w:val="20"/>
    </w:rPr>
  </w:style>
  <w:style w:type="character" w:customStyle="1" w:styleId="CommentSubjectChar">
    <w:name w:val="Comment Subject Char"/>
    <w:basedOn w:val="CommentTextChar"/>
    <w:link w:val="CommentSubject"/>
    <w:uiPriority w:val="99"/>
    <w:semiHidden/>
    <w:rsid w:val="00784BA7"/>
    <w:rPr>
      <w:rFonts w:ascii="Calibri Light" w:hAnsi="Calibri Light"/>
      <w:b/>
      <w:bCs/>
      <w:sz w:val="20"/>
      <w:szCs w:val="20"/>
    </w:rPr>
  </w:style>
  <w:style w:type="paragraph" w:styleId="BalloonText">
    <w:name w:val="Balloon Text"/>
    <w:basedOn w:val="Normal"/>
    <w:link w:val="BalloonTextChar"/>
    <w:uiPriority w:val="99"/>
    <w:semiHidden/>
    <w:unhideWhenUsed/>
    <w:rsid w:val="00784BA7"/>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4BA7"/>
    <w:rPr>
      <w:rFonts w:ascii="Times New Roman" w:hAnsi="Times New Roman" w:cs="Times New Roman"/>
      <w:sz w:val="18"/>
      <w:szCs w:val="18"/>
    </w:rPr>
  </w:style>
  <w:style w:type="table" w:customStyle="1" w:styleId="TableGrid1">
    <w:name w:val="Table Grid1"/>
    <w:basedOn w:val="TableNormal"/>
    <w:next w:val="TableGrid"/>
    <w:rsid w:val="00056B40"/>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C6AB2"/>
    <w:rPr>
      <w:rFonts w:eastAsiaTheme="minorHAnsi"/>
      <w:sz w:val="22"/>
      <w:szCs w:val="22"/>
    </w:rPr>
  </w:style>
  <w:style w:type="paragraph" w:customStyle="1" w:styleId="Reminders">
    <w:name w:val="Reminders"/>
    <w:basedOn w:val="Normal"/>
    <w:link w:val="RemindersChar"/>
    <w:uiPriority w:val="99"/>
    <w:rsid w:val="00924655"/>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uiPriority w:val="99"/>
    <w:rsid w:val="00924655"/>
    <w:rPr>
      <w:rFonts w:ascii="Trebuchet MS" w:eastAsia="Times New Roman" w:hAnsi="Trebuchet MS" w:cs="Times New Roman"/>
      <w:i/>
      <w:color w:val="FF0000"/>
      <w:sz w:val="22"/>
    </w:rPr>
  </w:style>
  <w:style w:type="character" w:styleId="Emphasis">
    <w:name w:val="Emphasis"/>
    <w:basedOn w:val="DefaultParagraphFont"/>
    <w:uiPriority w:val="20"/>
    <w:qFormat/>
    <w:rsid w:val="00C276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52354">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40976">
      <w:bodyDiv w:val="1"/>
      <w:marLeft w:val="0"/>
      <w:marRight w:val="0"/>
      <w:marTop w:val="0"/>
      <w:marBottom w:val="0"/>
      <w:divBdr>
        <w:top w:val="none" w:sz="0" w:space="0" w:color="auto"/>
        <w:left w:val="none" w:sz="0" w:space="0" w:color="auto"/>
        <w:bottom w:val="none" w:sz="0" w:space="0" w:color="auto"/>
        <w:right w:val="none" w:sz="0" w:space="0" w:color="auto"/>
      </w:divBdr>
    </w:div>
    <w:div w:id="474375006">
      <w:bodyDiv w:val="1"/>
      <w:marLeft w:val="0"/>
      <w:marRight w:val="0"/>
      <w:marTop w:val="0"/>
      <w:marBottom w:val="0"/>
      <w:divBdr>
        <w:top w:val="none" w:sz="0" w:space="0" w:color="auto"/>
        <w:left w:val="none" w:sz="0" w:space="0" w:color="auto"/>
        <w:bottom w:val="none" w:sz="0" w:space="0" w:color="auto"/>
        <w:right w:val="none" w:sz="0" w:space="0" w:color="auto"/>
      </w:divBdr>
    </w:div>
    <w:div w:id="897936789">
      <w:bodyDiv w:val="1"/>
      <w:marLeft w:val="0"/>
      <w:marRight w:val="0"/>
      <w:marTop w:val="0"/>
      <w:marBottom w:val="0"/>
      <w:divBdr>
        <w:top w:val="none" w:sz="0" w:space="0" w:color="auto"/>
        <w:left w:val="none" w:sz="0" w:space="0" w:color="auto"/>
        <w:bottom w:val="none" w:sz="0" w:space="0" w:color="auto"/>
        <w:right w:val="none" w:sz="0" w:space="0" w:color="auto"/>
      </w:divBdr>
    </w:div>
    <w:div w:id="1023825769">
      <w:bodyDiv w:val="1"/>
      <w:marLeft w:val="0"/>
      <w:marRight w:val="0"/>
      <w:marTop w:val="0"/>
      <w:marBottom w:val="0"/>
      <w:divBdr>
        <w:top w:val="none" w:sz="0" w:space="0" w:color="auto"/>
        <w:left w:val="none" w:sz="0" w:space="0" w:color="auto"/>
        <w:bottom w:val="none" w:sz="0" w:space="0" w:color="auto"/>
        <w:right w:val="none" w:sz="0" w:space="0" w:color="auto"/>
      </w:divBdr>
    </w:div>
    <w:div w:id="1079249443">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12479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55473992">
      <w:bodyDiv w:val="1"/>
      <w:marLeft w:val="0"/>
      <w:marRight w:val="0"/>
      <w:marTop w:val="0"/>
      <w:marBottom w:val="0"/>
      <w:divBdr>
        <w:top w:val="none" w:sz="0" w:space="0" w:color="auto"/>
        <w:left w:val="none" w:sz="0" w:space="0" w:color="auto"/>
        <w:bottom w:val="none" w:sz="0" w:space="0" w:color="auto"/>
        <w:right w:val="none" w:sz="0" w:space="0" w:color="auto"/>
      </w:divBdr>
    </w:div>
    <w:div w:id="1912930559">
      <w:bodyDiv w:val="1"/>
      <w:marLeft w:val="0"/>
      <w:marRight w:val="0"/>
      <w:marTop w:val="0"/>
      <w:marBottom w:val="0"/>
      <w:divBdr>
        <w:top w:val="none" w:sz="0" w:space="0" w:color="auto"/>
        <w:left w:val="none" w:sz="0" w:space="0" w:color="auto"/>
        <w:bottom w:val="none" w:sz="0" w:space="0" w:color="auto"/>
        <w:right w:val="none" w:sz="0" w:space="0" w:color="auto"/>
      </w:divBdr>
    </w:div>
    <w:div w:id="21248116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www.rsmeansonline.com/References/LABORRATE/2-Year%202020%20Labor%20Rates/Open%20Shop%20Labor%20Rates.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0A89D-D11B-4850-BCB3-3062A535C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TotalTime>
  <Pages>10</Pages>
  <Words>2596</Words>
  <Characters>14803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17365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2</cp:revision>
  <cp:lastPrinted>2018-02-10T19:12:00Z</cp:lastPrinted>
  <dcterms:created xsi:type="dcterms:W3CDTF">2021-02-04T23:22:00Z</dcterms:created>
  <dcterms:modified xsi:type="dcterms:W3CDTF">2021-02-04T23:22:00Z</dcterms:modified>
</cp:coreProperties>
</file>