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5CB989D" w14:textId="1BB0A99D" w:rsidR="00BB2954" w:rsidRDefault="00411B1C">
      <w:r>
        <w:t xml:space="preserve">CPUC Comments on </w:t>
      </w:r>
      <w:r w:rsidR="00571F85">
        <w:t>SWAP011-02 – Vending and Beverage Merchandise Controller</w:t>
      </w:r>
    </w:p>
    <w:p w14:paraId="2BA7A164" w14:textId="4E89A614" w:rsidR="004266C0" w:rsidRDefault="004266C0">
      <w:r>
        <w:t xml:space="preserve">Lead PA: </w:t>
      </w:r>
      <w:r w:rsidR="00571F85">
        <w:t>SCE</w:t>
      </w:r>
    </w:p>
    <w:p w14:paraId="4BB68C7D" w14:textId="66120453" w:rsidR="009E1581" w:rsidRDefault="004266C0">
      <w:r>
        <w:t xml:space="preserve">Workpaper </w:t>
      </w:r>
      <w:r w:rsidR="008F1FF0">
        <w:t xml:space="preserve">Submittal Date: </w:t>
      </w:r>
      <w:r w:rsidR="00571F85">
        <w:t>12/7/2020</w:t>
      </w:r>
      <w:r w:rsidR="00AB26AE">
        <w:t xml:space="preserve"> </w:t>
      </w:r>
    </w:p>
    <w:p w14:paraId="06E32D11" w14:textId="74BCD9D3" w:rsidR="004266C0" w:rsidRDefault="004266C0">
      <w:r>
        <w:t xml:space="preserve">CPUC Review Date: </w:t>
      </w:r>
      <w:r w:rsidR="00C80935">
        <w:t>02/03</w:t>
      </w:r>
      <w:r w:rsidR="00CD5BBB">
        <w:t>/202</w:t>
      </w:r>
      <w:r w:rsidR="00C80935">
        <w:t>1</w:t>
      </w:r>
    </w:p>
    <w:p w14:paraId="360E8102" w14:textId="77777777" w:rsidR="00413B4C" w:rsidRDefault="00413B4C"/>
    <w:p w14:paraId="48919E00" w14:textId="65780BBB" w:rsidR="00413B4C" w:rsidRDefault="00413B4C">
      <w:r w:rsidRPr="00047FC1">
        <w:t>Please note response</w:t>
      </w:r>
      <w:r>
        <w:t>s</w:t>
      </w:r>
      <w:r w:rsidRPr="00047FC1">
        <w:t xml:space="preserve"> to comments in the table</w:t>
      </w:r>
      <w:r>
        <w:t xml:space="preserve"> below</w:t>
      </w:r>
      <w:r w:rsidRPr="00047FC1">
        <w:t xml:space="preserve">, revise workpaper, and upload </w:t>
      </w:r>
      <w:r>
        <w:t xml:space="preserve">the entire package </w:t>
      </w:r>
      <w:r w:rsidRPr="00047FC1">
        <w:t xml:space="preserve">to the WPA. If needed, please reach out to </w:t>
      </w:r>
      <w:r>
        <w:t>Workpaper Review T</w:t>
      </w:r>
      <w:r w:rsidRPr="00047FC1">
        <w:t>eam to set up a call to discuss.</w:t>
      </w:r>
    </w:p>
    <w:tbl>
      <w:tblPr>
        <w:tblStyle w:val="TableGrid"/>
        <w:tblpPr w:leftFromText="180" w:rightFromText="180" w:vertAnchor="page" w:horzAnchor="margin" w:tblpY="4537"/>
        <w:tblW w:w="0" w:type="auto"/>
        <w:tblLayout w:type="fixed"/>
        <w:tblLook w:val="04A0" w:firstRow="1" w:lastRow="0" w:firstColumn="1" w:lastColumn="0" w:noHBand="0" w:noVBand="1"/>
      </w:tblPr>
      <w:tblGrid>
        <w:gridCol w:w="6925"/>
        <w:gridCol w:w="2425"/>
      </w:tblGrid>
      <w:tr w:rsidR="004266C0" w14:paraId="75EEBFCB" w14:textId="77777777" w:rsidTr="00413B4C">
        <w:tc>
          <w:tcPr>
            <w:tcW w:w="6925" w:type="dxa"/>
          </w:tcPr>
          <w:p w14:paraId="50F575CA" w14:textId="77777777" w:rsidR="004266C0" w:rsidRDefault="004266C0" w:rsidP="004266C0">
            <w:r>
              <w:t>CPUC Comment</w:t>
            </w:r>
          </w:p>
        </w:tc>
        <w:tc>
          <w:tcPr>
            <w:tcW w:w="2425" w:type="dxa"/>
          </w:tcPr>
          <w:p w14:paraId="73B4B0C7" w14:textId="77777777" w:rsidR="004266C0" w:rsidRDefault="004266C0" w:rsidP="004266C0">
            <w:r>
              <w:t>PA Response</w:t>
            </w:r>
          </w:p>
        </w:tc>
      </w:tr>
      <w:tr w:rsidR="00F81A1B" w14:paraId="467C9F52" w14:textId="77777777" w:rsidTr="00413B4C">
        <w:tc>
          <w:tcPr>
            <w:tcW w:w="6925" w:type="dxa"/>
          </w:tcPr>
          <w:p w14:paraId="23139165" w14:textId="290E511A" w:rsidR="00F81A1B" w:rsidRDefault="00D234D1" w:rsidP="004266C0">
            <w:r>
              <w:t xml:space="preserve">In the Applicable State and Federal Codes and Standards table, in the Code Requirements section, CFR Title 10 Part 431 Subpart Q </w:t>
            </w:r>
            <w:r>
              <w:rPr>
                <w:rFonts w:cstheme="minorHAnsi"/>
              </w:rPr>
              <w:t>§</w:t>
            </w:r>
            <w:r>
              <w:t xml:space="preserve">431.296 (a) and (b) are listed, but not CFR Title 10 Part 431 Subpart C </w:t>
            </w:r>
            <w:r>
              <w:rPr>
                <w:rFonts w:cstheme="minorHAnsi"/>
              </w:rPr>
              <w:t>§</w:t>
            </w:r>
            <w:r>
              <w:t>431.66 (b) when both are utilized in the savings impact methodology and both are mentioned in the text before the table.</w:t>
            </w:r>
          </w:p>
        </w:tc>
        <w:tc>
          <w:tcPr>
            <w:tcW w:w="2425" w:type="dxa"/>
          </w:tcPr>
          <w:p w14:paraId="40BDA556" w14:textId="25E2BB79" w:rsidR="00F81A1B" w:rsidRDefault="002759FD" w:rsidP="004266C0">
            <w:r>
              <w:t>Table revised and applicable code reference and effective date have been included.</w:t>
            </w:r>
          </w:p>
        </w:tc>
      </w:tr>
      <w:tr w:rsidR="00684BA1" w14:paraId="13A665A7" w14:textId="77777777" w:rsidTr="00413B4C">
        <w:tc>
          <w:tcPr>
            <w:tcW w:w="6925" w:type="dxa"/>
          </w:tcPr>
          <w:p w14:paraId="4C0A6DD6" w14:textId="7078BEE4" w:rsidR="0004171C" w:rsidRDefault="0004171C" w:rsidP="0004171C">
            <w:r>
              <w:t>Please be specific about the requirements for eligibility. There are several vague requirements in the Eligible Products section:</w:t>
            </w:r>
          </w:p>
          <w:p w14:paraId="5E0AC4CB" w14:textId="63402F01" w:rsidR="0004171C" w:rsidRDefault="0004171C" w:rsidP="004266C0"/>
          <w:p w14:paraId="4F543C4C" w14:textId="2D7FD745" w:rsidR="00684BA1" w:rsidRDefault="0004171C" w:rsidP="004266C0">
            <w:r>
              <w:t>T</w:t>
            </w:r>
            <w:r w:rsidR="00684BA1">
              <w:t xml:space="preserve">he first bullet under “Beverage merchandise controller (BMC) must:” mentions Shut down the beverage merchandise cooler when occupancy/traffic drops below a </w:t>
            </w:r>
            <w:r w:rsidR="00684BA1" w:rsidRPr="0004171C">
              <w:rPr>
                <w:b/>
                <w:bCs/>
              </w:rPr>
              <w:t>certain threshold</w:t>
            </w:r>
            <w:r w:rsidR="00684BA1">
              <w:t>”. Is there a specific/range of threshold that is required for the BMC to be eligible?</w:t>
            </w:r>
          </w:p>
          <w:p w14:paraId="2F3C8821" w14:textId="77777777" w:rsidR="00684BA1" w:rsidRDefault="00684BA1" w:rsidP="004266C0"/>
          <w:p w14:paraId="23D985A8" w14:textId="2C5EA5D3" w:rsidR="0004171C" w:rsidRDefault="0004171C" w:rsidP="004266C0">
            <w:r>
              <w:t xml:space="preserve">Then in the vending machine controller (VMC) requirements, it states “Control logic must periodically power up the machine at </w:t>
            </w:r>
            <w:r w:rsidRPr="0004171C">
              <w:rPr>
                <w:b/>
                <w:bCs/>
              </w:rPr>
              <w:t>regular intervals</w:t>
            </w:r>
            <w:r>
              <w:t>…”. Is there a minimum or range of acceptable interval to power up the machine to maintain product temperature and provide compressor protection?</w:t>
            </w:r>
          </w:p>
        </w:tc>
        <w:tc>
          <w:tcPr>
            <w:tcW w:w="2425" w:type="dxa"/>
          </w:tcPr>
          <w:p w14:paraId="6AE94FC7" w14:textId="7B969270" w:rsidR="00416A69" w:rsidRDefault="009060BF" w:rsidP="004266C0">
            <w:r>
              <w:t>Updated to make language consistent between BMC and VMC requirements so that specific ranges and intervals are used for both.</w:t>
            </w:r>
          </w:p>
        </w:tc>
      </w:tr>
      <w:tr w:rsidR="00F81A1B" w14:paraId="1F350DE1" w14:textId="77777777" w:rsidTr="00413B4C">
        <w:tc>
          <w:tcPr>
            <w:tcW w:w="6925" w:type="dxa"/>
          </w:tcPr>
          <w:p w14:paraId="180A52C3" w14:textId="1C2F5EB9" w:rsidR="00F81A1B" w:rsidRDefault="00F27D09" w:rsidP="004266C0">
            <w:r>
              <w:t xml:space="preserve">The energy methodology section describing the </w:t>
            </w:r>
            <w:proofErr w:type="spellStart"/>
            <w:r>
              <w:t>UES_ref</w:t>
            </w:r>
            <w:proofErr w:type="spellEnd"/>
            <w:r>
              <w:t xml:space="preserve"> BMC, with the </w:t>
            </w:r>
            <w:r w:rsidR="00D234D1">
              <w:t xml:space="preserve">maximum daily energy consumption (MDEC) formula; (0.55[8.66 + (0.009 x C)] </w:t>
            </w:r>
            <w:r>
              <w:t>does not appear to be utilized for the energy savings.</w:t>
            </w:r>
          </w:p>
          <w:p w14:paraId="61F13136" w14:textId="77777777" w:rsidR="00D234D1" w:rsidRDefault="00D234D1" w:rsidP="004266C0"/>
          <w:p w14:paraId="0C325212" w14:textId="7CD9B319" w:rsidR="00D234D1" w:rsidRDefault="00D234D1" w:rsidP="004266C0">
            <w:r>
              <w:t>Additionally, the MDEC used to calculate energy savings impacts for “cold vending machine controls”, which uses an MDEC = 0.52 x V + 2.2, is missing from the workpaper document.</w:t>
            </w:r>
          </w:p>
        </w:tc>
        <w:tc>
          <w:tcPr>
            <w:tcW w:w="2425" w:type="dxa"/>
          </w:tcPr>
          <w:p w14:paraId="01832528" w14:textId="79073ACA" w:rsidR="00F81A1B" w:rsidRDefault="00A138C3" w:rsidP="004266C0">
            <w:r>
              <w:t xml:space="preserve">The BMC calculations </w:t>
            </w:r>
            <w:r w:rsidR="00F709C2">
              <w:t xml:space="preserve">example </w:t>
            </w:r>
            <w:r>
              <w:t xml:space="preserve">reference an older </w:t>
            </w:r>
            <w:r w:rsidR="001C73F2">
              <w:t>standard which is no longer used. Per the issue noted, this section has been replaced with MDEC = 0.052 x V + 2.2 requirement for Class B Beverage Vending Machines for which savings were calculated for in the WP.</w:t>
            </w:r>
          </w:p>
        </w:tc>
      </w:tr>
      <w:tr w:rsidR="00413B4C" w14:paraId="0E813B8A" w14:textId="77777777" w:rsidTr="00413B4C">
        <w:tc>
          <w:tcPr>
            <w:tcW w:w="6925" w:type="dxa"/>
          </w:tcPr>
          <w:p w14:paraId="3568BEBB" w14:textId="3D3D9019" w:rsidR="00413B4C" w:rsidRDefault="00413B4C" w:rsidP="004266C0">
            <w:r>
              <w:t>In the reduction of lighting use section, an effective full load hours per building table should be included.</w:t>
            </w:r>
          </w:p>
        </w:tc>
        <w:tc>
          <w:tcPr>
            <w:tcW w:w="2425" w:type="dxa"/>
          </w:tcPr>
          <w:p w14:paraId="0E69DE48" w14:textId="343D9C5B" w:rsidR="00413B4C" w:rsidRDefault="00010556" w:rsidP="004266C0">
            <w:r>
              <w:t>Table Added</w:t>
            </w:r>
          </w:p>
        </w:tc>
      </w:tr>
      <w:tr w:rsidR="00DE4CDA" w14:paraId="3AD88083" w14:textId="77777777" w:rsidTr="00413B4C">
        <w:tc>
          <w:tcPr>
            <w:tcW w:w="6925" w:type="dxa"/>
          </w:tcPr>
          <w:p w14:paraId="57DB7189" w14:textId="180F14DF" w:rsidR="00DE4CDA" w:rsidRDefault="00DE4CDA" w:rsidP="004266C0">
            <w:r>
              <w:t xml:space="preserve">In the previous version of the workpaper, there was a table that referenced the refrigerated volumes for each merchandise cooler offerings; both the typical range and the value used in the savings </w:t>
            </w:r>
            <w:r>
              <w:lastRenderedPageBreak/>
              <w:t>calculation. This table appears to be missing from this version. Please add this table back into the workpaper.</w:t>
            </w:r>
          </w:p>
        </w:tc>
        <w:tc>
          <w:tcPr>
            <w:tcW w:w="2425" w:type="dxa"/>
          </w:tcPr>
          <w:p w14:paraId="189F85B0" w14:textId="56645533" w:rsidR="00DE4CDA" w:rsidRDefault="00BF3FBF" w:rsidP="004266C0">
            <w:r>
              <w:lastRenderedPageBreak/>
              <w:t>Table Added</w:t>
            </w:r>
          </w:p>
        </w:tc>
      </w:tr>
      <w:tr w:rsidR="00D234D1" w14:paraId="59CC0FDC" w14:textId="77777777" w:rsidTr="00413B4C">
        <w:tc>
          <w:tcPr>
            <w:tcW w:w="6925" w:type="dxa"/>
          </w:tcPr>
          <w:p w14:paraId="34B7D037" w14:textId="545B747B" w:rsidR="00D234D1" w:rsidRDefault="00D234D1" w:rsidP="004266C0">
            <w:r>
              <w:t>In the EAD tables, a delivery type of “</w:t>
            </w:r>
            <w:proofErr w:type="spellStart"/>
            <w:r>
              <w:t>DnDeemedDI</w:t>
            </w:r>
            <w:proofErr w:type="spellEnd"/>
            <w:r>
              <w:t>” is used which is not found in PEAR. The ID for downstream direct install delivery is “</w:t>
            </w:r>
            <w:proofErr w:type="spellStart"/>
            <w:r>
              <w:t>DnDeemDI</w:t>
            </w:r>
            <w:proofErr w:type="spellEnd"/>
            <w:r>
              <w:t>”.,</w:t>
            </w:r>
          </w:p>
        </w:tc>
        <w:tc>
          <w:tcPr>
            <w:tcW w:w="2425" w:type="dxa"/>
          </w:tcPr>
          <w:p w14:paraId="0ABB983D" w14:textId="6926F565" w:rsidR="00D234D1" w:rsidRDefault="00D72710" w:rsidP="004266C0">
            <w:r>
              <w:t>Updated</w:t>
            </w:r>
          </w:p>
        </w:tc>
      </w:tr>
      <w:tr w:rsidR="00BF3B98" w14:paraId="7E1A5441" w14:textId="77777777" w:rsidTr="00413B4C">
        <w:tc>
          <w:tcPr>
            <w:tcW w:w="6925" w:type="dxa"/>
          </w:tcPr>
          <w:p w14:paraId="74A16E0E" w14:textId="7E9F5CAB" w:rsidR="00BF3B98" w:rsidRDefault="00BF3B98" w:rsidP="004266C0">
            <w:r>
              <w:t xml:space="preserve">Please fix the text explanation prior to the labor cost assumptions table; the text states the rates reflect the miscellaneous labor rate from DEER, when </w:t>
            </w:r>
            <w:r w:rsidR="005746E1">
              <w:t>the rates come from R</w:t>
            </w:r>
            <w:r>
              <w:t>S Means data.</w:t>
            </w:r>
          </w:p>
        </w:tc>
        <w:tc>
          <w:tcPr>
            <w:tcW w:w="2425" w:type="dxa"/>
          </w:tcPr>
          <w:p w14:paraId="700800F9" w14:textId="339742C6" w:rsidR="00BF3B98" w:rsidRDefault="00FF096F" w:rsidP="004266C0">
            <w:r>
              <w:t>Updated</w:t>
            </w:r>
          </w:p>
        </w:tc>
      </w:tr>
      <w:tr w:rsidR="00F81A1B" w14:paraId="455E6E4F" w14:textId="77777777" w:rsidTr="00413B4C">
        <w:tc>
          <w:tcPr>
            <w:tcW w:w="6925" w:type="dxa"/>
          </w:tcPr>
          <w:p w14:paraId="47DF5DA5" w14:textId="1BAB6B36" w:rsidR="00F81A1B" w:rsidRDefault="00230945" w:rsidP="004266C0">
            <w:r>
              <w:t>In the EAD tables the Energy Impact</w:t>
            </w:r>
            <w:r w:rsidR="00C80935">
              <w:t xml:space="preserve"> -</w:t>
            </w:r>
            <w:r>
              <w:t xml:space="preserve"> a building location ID of “any” was used, which is not found in PEAR. </w:t>
            </w:r>
          </w:p>
        </w:tc>
        <w:tc>
          <w:tcPr>
            <w:tcW w:w="2425" w:type="dxa"/>
          </w:tcPr>
          <w:p w14:paraId="5F18616D" w14:textId="3486EF7B" w:rsidR="00F81A1B" w:rsidRDefault="002D16DE" w:rsidP="004266C0">
            <w:r>
              <w:t xml:space="preserve">Updated </w:t>
            </w:r>
          </w:p>
        </w:tc>
      </w:tr>
      <w:tr w:rsidR="005970A1" w14:paraId="1D971AEF" w14:textId="77777777" w:rsidTr="00413B4C">
        <w:tc>
          <w:tcPr>
            <w:tcW w:w="6925" w:type="dxa"/>
          </w:tcPr>
          <w:p w14:paraId="04AAC6D7" w14:textId="30514A9C" w:rsidR="005970A1" w:rsidRDefault="005970A1" w:rsidP="004266C0">
            <w:r>
              <w:t xml:space="preserve">In the WP, the measure is for AOE for existing vending/beverage machines. The baseline is an existing vending machine with no controls – this appears to contradict with eligibility requirements. As stated on page 4, </w:t>
            </w:r>
            <w:r w:rsidR="00846177">
              <w:t>the vending machine being installed</w:t>
            </w:r>
            <w:r>
              <w:t xml:space="preserve"> must be ENERGY STAR-qualified, which must have at least one form of low-power mode. This eligibility requirement seems to conflict with the stated baseline and measure type (AOE). Please address.</w:t>
            </w:r>
          </w:p>
        </w:tc>
        <w:tc>
          <w:tcPr>
            <w:tcW w:w="2425" w:type="dxa"/>
          </w:tcPr>
          <w:p w14:paraId="269AD982" w14:textId="0291F371" w:rsidR="00555F6D" w:rsidRDefault="008213A0" w:rsidP="004266C0">
            <w:r>
              <w:t>Rephrased to state that Energy Star Qualified machines that include a low power mode are not eligible.</w:t>
            </w:r>
          </w:p>
        </w:tc>
      </w:tr>
    </w:tbl>
    <w:p w14:paraId="5C9CB3AB" w14:textId="058AAA53" w:rsidR="00003BAA" w:rsidRPr="00927EA1" w:rsidRDefault="00003BAA" w:rsidP="00927EA1"/>
    <w:sectPr w:rsidR="00003BAA" w:rsidRPr="00927EA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BF14623"/>
    <w:multiLevelType w:val="hybridMultilevel"/>
    <w:tmpl w:val="FA6E08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21BB"/>
    <w:rsid w:val="00003BAA"/>
    <w:rsid w:val="00010556"/>
    <w:rsid w:val="00016F16"/>
    <w:rsid w:val="0004171C"/>
    <w:rsid w:val="00047FC1"/>
    <w:rsid w:val="00090555"/>
    <w:rsid w:val="00096A19"/>
    <w:rsid w:val="00131866"/>
    <w:rsid w:val="001827B6"/>
    <w:rsid w:val="001C73F2"/>
    <w:rsid w:val="00230945"/>
    <w:rsid w:val="002759FD"/>
    <w:rsid w:val="002A755F"/>
    <w:rsid w:val="002C6D80"/>
    <w:rsid w:val="002D16DE"/>
    <w:rsid w:val="002E05AF"/>
    <w:rsid w:val="003E79B7"/>
    <w:rsid w:val="00411B1C"/>
    <w:rsid w:val="00413B4C"/>
    <w:rsid w:val="00416A69"/>
    <w:rsid w:val="004266C0"/>
    <w:rsid w:val="004737F5"/>
    <w:rsid w:val="004E7F9C"/>
    <w:rsid w:val="00555F6D"/>
    <w:rsid w:val="00571F85"/>
    <w:rsid w:val="005746E1"/>
    <w:rsid w:val="005970A1"/>
    <w:rsid w:val="005A4227"/>
    <w:rsid w:val="00684BA1"/>
    <w:rsid w:val="006C6E3A"/>
    <w:rsid w:val="006F56C1"/>
    <w:rsid w:val="00791A22"/>
    <w:rsid w:val="008213A0"/>
    <w:rsid w:val="00846177"/>
    <w:rsid w:val="008963E4"/>
    <w:rsid w:val="008F1FF0"/>
    <w:rsid w:val="00905B03"/>
    <w:rsid w:val="009060BF"/>
    <w:rsid w:val="00927EA1"/>
    <w:rsid w:val="009E1581"/>
    <w:rsid w:val="00A138C3"/>
    <w:rsid w:val="00A834E9"/>
    <w:rsid w:val="00AB26AE"/>
    <w:rsid w:val="00AC21BB"/>
    <w:rsid w:val="00AD3DAD"/>
    <w:rsid w:val="00B8145B"/>
    <w:rsid w:val="00BA4AC4"/>
    <w:rsid w:val="00BB2954"/>
    <w:rsid w:val="00BF3B98"/>
    <w:rsid w:val="00BF3FBF"/>
    <w:rsid w:val="00C80935"/>
    <w:rsid w:val="00C90EE6"/>
    <w:rsid w:val="00CD5BBB"/>
    <w:rsid w:val="00CE69EE"/>
    <w:rsid w:val="00D234D1"/>
    <w:rsid w:val="00D42FE3"/>
    <w:rsid w:val="00D72710"/>
    <w:rsid w:val="00DE4CDA"/>
    <w:rsid w:val="00EC4C2D"/>
    <w:rsid w:val="00F00D47"/>
    <w:rsid w:val="00F27D09"/>
    <w:rsid w:val="00F709C2"/>
    <w:rsid w:val="00F81A1B"/>
    <w:rsid w:val="00FB0581"/>
    <w:rsid w:val="00FF096F"/>
    <w:rsid w:val="00FF33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527D1F"/>
  <w15:chartTrackingRefBased/>
  <w15:docId w15:val="{B0E902E8-C86F-484F-AAC1-C67BE5D110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AC21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AD3DAD"/>
    <w:pPr>
      <w:spacing w:after="0" w:line="240" w:lineRule="auto"/>
      <w:ind w:left="720"/>
    </w:pPr>
    <w:rPr>
      <w:rFonts w:ascii="Calibri" w:hAnsi="Calibri" w:cs="Calibri"/>
    </w:rPr>
  </w:style>
  <w:style w:type="character" w:styleId="CommentReference">
    <w:name w:val="annotation reference"/>
    <w:basedOn w:val="DefaultParagraphFont"/>
    <w:uiPriority w:val="99"/>
    <w:semiHidden/>
    <w:unhideWhenUsed/>
    <w:rsid w:val="009E158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E158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E158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E158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E1581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E158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E158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447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49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05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87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72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54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2</Pages>
  <Words>552</Words>
  <Characters>3153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Kerri-Ann Richard</dc:creator>
  <cp:keywords/>
  <dc:description/>
  <cp:lastModifiedBy>Joseph Ling</cp:lastModifiedBy>
  <cp:revision>10</cp:revision>
  <cp:lastPrinted>2020-12-28T23:00:00Z</cp:lastPrinted>
  <dcterms:created xsi:type="dcterms:W3CDTF">2021-02-17T16:13:00Z</dcterms:created>
  <dcterms:modified xsi:type="dcterms:W3CDTF">2021-02-18T16:42:00Z</dcterms:modified>
</cp:coreProperties>
</file>