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1DD5B" w14:textId="77777777" w:rsidR="006E1BB2" w:rsidRDefault="007221B2">
      <w:pPr>
        <w:pStyle w:val="BodyText"/>
        <w:ind w:left="4060"/>
        <w:rPr>
          <w:rFonts w:ascii="Times New Roman"/>
          <w:sz w:val="20"/>
        </w:rPr>
      </w:pPr>
      <w:r>
        <w:rPr>
          <w:rFonts w:ascii="Times New Roman"/>
          <w:noProof/>
          <w:sz w:val="20"/>
        </w:rPr>
        <w:drawing>
          <wp:inline distT="0" distB="0" distL="0" distR="0" wp14:anchorId="725B8E05" wp14:editId="3D645366">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874473" cy="1399031"/>
                    </a:xfrm>
                    <a:prstGeom prst="rect">
                      <a:avLst/>
                    </a:prstGeom>
                  </pic:spPr>
                </pic:pic>
              </a:graphicData>
            </a:graphic>
          </wp:inline>
        </w:drawing>
      </w:r>
    </w:p>
    <w:p w14:paraId="1B05BC76" w14:textId="77777777" w:rsidR="006E1BB2" w:rsidRDefault="006E1BB2">
      <w:pPr>
        <w:pStyle w:val="BodyText"/>
        <w:rPr>
          <w:rFonts w:ascii="Times New Roman"/>
          <w:sz w:val="20"/>
        </w:rPr>
      </w:pPr>
    </w:p>
    <w:p w14:paraId="461BAA86" w14:textId="77777777" w:rsidR="006E1BB2" w:rsidRDefault="006E1BB2">
      <w:pPr>
        <w:pStyle w:val="BodyText"/>
        <w:rPr>
          <w:rFonts w:ascii="Times New Roman"/>
          <w:sz w:val="20"/>
        </w:rPr>
      </w:pPr>
    </w:p>
    <w:p w14:paraId="2E699E3D" w14:textId="2AAC4CDB" w:rsidR="006E1BB2" w:rsidRDefault="007221B2">
      <w:pPr>
        <w:pStyle w:val="BodyText"/>
        <w:spacing w:before="7"/>
        <w:rPr>
          <w:rFonts w:ascii="Times New Roman"/>
          <w:sz w:val="20"/>
        </w:rPr>
      </w:pPr>
      <w:r>
        <w:rPr>
          <w:noProof/>
        </w:rPr>
        <mc:AlternateContent>
          <mc:Choice Requires="wps">
            <w:drawing>
              <wp:anchor distT="0" distB="0" distL="0" distR="0" simplePos="0" relativeHeight="251658240" behindDoc="1" locked="0" layoutInCell="1" allowOverlap="1" wp14:anchorId="4CE03404" wp14:editId="26E4981D">
                <wp:simplePos x="0" y="0"/>
                <wp:positionH relativeFrom="page">
                  <wp:posOffset>1143000</wp:posOffset>
                </wp:positionH>
                <wp:positionV relativeFrom="paragraph">
                  <wp:posOffset>165735</wp:posOffset>
                </wp:positionV>
                <wp:extent cx="5716270" cy="915035"/>
                <wp:effectExtent l="0" t="0" r="0" b="0"/>
                <wp:wrapTopAndBottom/>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915035"/>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001D7" w14:textId="77777777" w:rsidR="00EE0177" w:rsidRPr="00835202" w:rsidRDefault="00EE0177" w:rsidP="00EE0177">
                            <w:pPr>
                              <w:pStyle w:val="eTRMHeading1"/>
                              <w:jc w:val="center"/>
                              <w:rPr>
                                <w:sz w:val="28"/>
                              </w:rPr>
                            </w:pPr>
                            <w:r w:rsidRPr="00835202">
                              <w:rPr>
                                <w:sz w:val="28"/>
                              </w:rPr>
                              <w:t xml:space="preserve">APPLIANCE </w:t>
                            </w:r>
                            <w:r>
                              <w:rPr>
                                <w:sz w:val="28"/>
                              </w:rPr>
                              <w:t>&amp;</w:t>
                            </w:r>
                            <w:r w:rsidRPr="00835202">
                              <w:rPr>
                                <w:sz w:val="28"/>
                              </w:rPr>
                              <w:t xml:space="preserve"> PLUG LOAD</w:t>
                            </w:r>
                            <w:r>
                              <w:rPr>
                                <w:sz w:val="28"/>
                              </w:rPr>
                              <w:t>s</w:t>
                            </w:r>
                          </w:p>
                          <w:p w14:paraId="51B535C5" w14:textId="2027E6AB" w:rsidR="007A7538" w:rsidRPr="00835202" w:rsidRDefault="007A7538" w:rsidP="007A7538">
                            <w:pPr>
                              <w:pStyle w:val="eTRMHeading2"/>
                              <w:rPr>
                                <w:color w:val="FFFFFF" w:themeColor="background1"/>
                                <w:spacing w:val="60"/>
                                <w:sz w:val="32"/>
                              </w:rPr>
                            </w:pPr>
                            <w:r>
                              <w:rPr>
                                <w:color w:val="FFFFFF" w:themeColor="background1"/>
                                <w:spacing w:val="60"/>
                                <w:sz w:val="32"/>
                              </w:rPr>
                              <w:t>ROOM AIR CONDITIONER, Residential</w:t>
                            </w:r>
                          </w:p>
                          <w:p w14:paraId="3895D100" w14:textId="77777777" w:rsidR="006E1BB2" w:rsidRDefault="007221B2">
                            <w:pPr>
                              <w:spacing w:before="128"/>
                              <w:ind w:left="975" w:right="975"/>
                              <w:jc w:val="center"/>
                              <w:rPr>
                                <w:sz w:val="28"/>
                              </w:rPr>
                            </w:pPr>
                            <w:r>
                              <w:rPr>
                                <w:color w:val="FFFFFF"/>
                                <w:sz w:val="28"/>
                              </w:rPr>
                              <w:t>SWAP007-01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E03404" id="_x0000_t202" coordsize="21600,21600" o:spt="202" path="m,l,21600r21600,l21600,xe">
                <v:stroke joinstyle="miter"/>
                <v:path gradientshapeok="t" o:connecttype="rect"/>
              </v:shapetype>
              <v:shape id="Text Box 11" o:spid="_x0000_s1026" type="#_x0000_t202" style="position:absolute;margin-left:90pt;margin-top:13.05pt;width:450.1pt;height:72.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" fillcolor="#8dc53e" stroked="f">
                <v:textbox inset="0,0,0,0">
                  <w:txbxContent>
                    <w:p w14:paraId="16D001D7" w14:textId="77777777" w:rsidR="00EE0177" w:rsidRPr="00835202" w:rsidRDefault="00EE0177" w:rsidP="00EE0177">
                      <w:pPr>
                        <w:pStyle w:val="eTRMHeading1"/>
                        <w:jc w:val="center"/>
                        <w:rPr>
                          <w:sz w:val="28"/>
                        </w:rPr>
                      </w:pPr>
                      <w:r w:rsidRPr="00835202">
                        <w:rPr>
                          <w:sz w:val="28"/>
                        </w:rPr>
                        <w:t xml:space="preserve">APPLIANCE </w:t>
                      </w:r>
                      <w:r>
                        <w:rPr>
                          <w:sz w:val="28"/>
                        </w:rPr>
                        <w:t>&amp;</w:t>
                      </w:r>
                      <w:r w:rsidRPr="00835202">
                        <w:rPr>
                          <w:sz w:val="28"/>
                        </w:rPr>
                        <w:t xml:space="preserve"> PLUG LOAD</w:t>
                      </w:r>
                      <w:r>
                        <w:rPr>
                          <w:sz w:val="28"/>
                        </w:rPr>
                        <w:t>s</w:t>
                      </w:r>
                    </w:p>
                    <w:p w14:paraId="51B535C5" w14:textId="2027E6AB" w:rsidR="007A7538" w:rsidRPr="00835202" w:rsidRDefault="007A7538" w:rsidP="007A7538">
                      <w:pPr>
                        <w:pStyle w:val="eTRMHeading2"/>
                        <w:rPr>
                          <w:color w:val="FFFFFF" w:themeColor="background1"/>
                          <w:spacing w:val="60"/>
                          <w:sz w:val="32"/>
                        </w:rPr>
                      </w:pPr>
                      <w:r>
                        <w:rPr>
                          <w:color w:val="FFFFFF" w:themeColor="background1"/>
                          <w:spacing w:val="60"/>
                          <w:sz w:val="32"/>
                        </w:rPr>
                        <w:t>ROOM AIR CONDITIONER, Residential</w:t>
                      </w:r>
                    </w:p>
                    <w:p w14:paraId="3895D100" w14:textId="77777777" w:rsidR="006E1BB2" w:rsidRDefault="007221B2">
                      <w:pPr>
                        <w:spacing w:before="128"/>
                        <w:ind w:left="975" w:right="975"/>
                        <w:jc w:val="center"/>
                        <w:rPr>
                          <w:sz w:val="28"/>
                        </w:rPr>
                      </w:pPr>
                      <w:r>
                        <w:rPr>
                          <w:color w:val="FFFFFF"/>
                          <w:sz w:val="28"/>
                        </w:rPr>
                        <w:t>SWAP007-01</w:t>
                      </w:r>
                    </w:p>
                  </w:txbxContent>
                </v:textbox>
                <w10:wrap type="topAndBottom" anchorx="page"/>
              </v:shape>
            </w:pict>
          </mc:Fallback>
        </mc:AlternateContent>
      </w:r>
    </w:p>
    <w:p w14:paraId="24E84F8C" w14:textId="77777777" w:rsidR="006E1BB2" w:rsidRDefault="006E1BB2">
      <w:pPr>
        <w:pStyle w:val="BodyText"/>
        <w:rPr>
          <w:rFonts w:ascii="Times New Roman"/>
          <w:sz w:val="20"/>
        </w:rPr>
      </w:pPr>
    </w:p>
    <w:p w14:paraId="7F4068F9" w14:textId="77777777" w:rsidR="006E1BB2" w:rsidRDefault="006E1BB2">
      <w:pPr>
        <w:pStyle w:val="BodyText"/>
        <w:spacing w:before="1"/>
        <w:rPr>
          <w:rFonts w:ascii="Times New Roman"/>
          <w:sz w:val="19"/>
        </w:rPr>
      </w:pPr>
    </w:p>
    <w:p w14:paraId="650824B9" w14:textId="77777777" w:rsidR="006E1BB2" w:rsidRDefault="007221B2">
      <w:pPr>
        <w:spacing w:before="44"/>
        <w:ind w:left="3907" w:right="4084"/>
        <w:jc w:val="center"/>
        <w:rPr>
          <w:sz w:val="28"/>
        </w:rPr>
      </w:pPr>
      <w:r>
        <w:rPr>
          <w:sz w:val="28"/>
        </w:rPr>
        <w:t>C O N T E N T S</w:t>
      </w:r>
    </w:p>
    <w:sdt>
      <w:sdtPr>
        <w:id w:val="-576898583"/>
        <w:docPartObj>
          <w:docPartGallery w:val="Table of Contents"/>
          <w:docPartUnique/>
        </w:docPartObj>
      </w:sdtPr>
      <w:sdtEndPr/>
      <w:sdtContent>
        <w:p w14:paraId="0475A840" w14:textId="77777777" w:rsidR="006E1BB2" w:rsidRDefault="007221B2">
          <w:pPr>
            <w:pStyle w:val="TOC1"/>
            <w:tabs>
              <w:tab w:val="right" w:leader="dot" w:pos="9469"/>
            </w:tabs>
            <w:spacing w:before="118"/>
          </w:pPr>
          <w:r>
            <w:fldChar w:fldCharType="begin"/>
          </w:r>
          <w:r>
            <w:instrText xml:space="preserve">TOC \o "1-1" \h \z \u </w:instrText>
          </w:r>
          <w:r>
            <w:fldChar w:fldCharType="separate"/>
          </w:r>
          <w:hyperlink w:anchor="_TOC_250023" w:history="1">
            <w:r>
              <w:t>Measure</w:t>
            </w:r>
            <w:r>
              <w:rPr>
                <w:spacing w:val="-3"/>
              </w:rPr>
              <w:t xml:space="preserve"> </w:t>
            </w:r>
            <w:r>
              <w:t>Name</w:t>
            </w:r>
            <w:r>
              <w:tab/>
              <w:t>2</w:t>
            </w:r>
          </w:hyperlink>
        </w:p>
        <w:p w14:paraId="30C446F7" w14:textId="77777777" w:rsidR="006E1BB2" w:rsidRDefault="00A82DEE">
          <w:pPr>
            <w:pStyle w:val="TOC1"/>
            <w:tabs>
              <w:tab w:val="right" w:leader="dot" w:pos="9469"/>
            </w:tabs>
            <w:spacing w:before="1"/>
          </w:pPr>
          <w:hyperlink w:anchor="_TOC_250022" w:history="1">
            <w:r w:rsidR="007221B2">
              <w:t>Statewide</w:t>
            </w:r>
            <w:r w:rsidR="007221B2">
              <w:rPr>
                <w:spacing w:val="-2"/>
              </w:rPr>
              <w:t xml:space="preserve"> </w:t>
            </w:r>
            <w:r w:rsidR="007221B2">
              <w:t>Measure</w:t>
            </w:r>
            <w:r w:rsidR="007221B2">
              <w:rPr>
                <w:spacing w:val="-1"/>
              </w:rPr>
              <w:t xml:space="preserve"> </w:t>
            </w:r>
            <w:r w:rsidR="007221B2">
              <w:t>ID</w:t>
            </w:r>
            <w:r w:rsidR="007221B2">
              <w:tab/>
              <w:t>2</w:t>
            </w:r>
          </w:hyperlink>
        </w:p>
        <w:p w14:paraId="74E32F8B" w14:textId="77777777" w:rsidR="006E1BB2" w:rsidRDefault="00A82DEE">
          <w:pPr>
            <w:pStyle w:val="TOC1"/>
            <w:tabs>
              <w:tab w:val="right" w:leader="dot" w:pos="9469"/>
            </w:tabs>
          </w:pPr>
          <w:hyperlink w:anchor="_TOC_250021" w:history="1">
            <w:r w:rsidR="007221B2">
              <w:t>Technology</w:t>
            </w:r>
            <w:r w:rsidR="007221B2">
              <w:rPr>
                <w:spacing w:val="-3"/>
              </w:rPr>
              <w:t xml:space="preserve"> </w:t>
            </w:r>
            <w:r w:rsidR="007221B2">
              <w:t>Summary</w:t>
            </w:r>
            <w:r w:rsidR="007221B2">
              <w:tab/>
              <w:t>2</w:t>
            </w:r>
          </w:hyperlink>
        </w:p>
        <w:p w14:paraId="4AA3E214" w14:textId="77777777" w:rsidR="006E1BB2" w:rsidRDefault="00A82DEE">
          <w:pPr>
            <w:pStyle w:val="TOC1"/>
            <w:tabs>
              <w:tab w:val="right" w:leader="dot" w:pos="9469"/>
            </w:tabs>
          </w:pPr>
          <w:hyperlink w:anchor="_TOC_250020" w:history="1">
            <w:r w:rsidR="007221B2">
              <w:t>Measure</w:t>
            </w:r>
            <w:r w:rsidR="007221B2">
              <w:rPr>
                <w:spacing w:val="-2"/>
              </w:rPr>
              <w:t xml:space="preserve"> </w:t>
            </w:r>
            <w:r w:rsidR="007221B2">
              <w:t>Case</w:t>
            </w:r>
            <w:r w:rsidR="007221B2">
              <w:rPr>
                <w:spacing w:val="-1"/>
              </w:rPr>
              <w:t xml:space="preserve"> </w:t>
            </w:r>
            <w:r w:rsidR="007221B2">
              <w:t>Description</w:t>
            </w:r>
            <w:r w:rsidR="007221B2">
              <w:tab/>
              <w:t>2</w:t>
            </w:r>
          </w:hyperlink>
        </w:p>
        <w:p w14:paraId="0C24F967" w14:textId="77777777" w:rsidR="006E1BB2" w:rsidRDefault="00A82DEE">
          <w:pPr>
            <w:pStyle w:val="TOC1"/>
            <w:tabs>
              <w:tab w:val="right" w:leader="dot" w:pos="9469"/>
            </w:tabs>
          </w:pPr>
          <w:hyperlink w:anchor="_TOC_250019" w:history="1">
            <w:r w:rsidR="007221B2">
              <w:t>Base</w:t>
            </w:r>
            <w:r w:rsidR="007221B2">
              <w:rPr>
                <w:spacing w:val="-2"/>
              </w:rPr>
              <w:t xml:space="preserve"> </w:t>
            </w:r>
            <w:r w:rsidR="007221B2">
              <w:t>Case</w:t>
            </w:r>
            <w:r w:rsidR="007221B2">
              <w:rPr>
                <w:spacing w:val="-1"/>
              </w:rPr>
              <w:t xml:space="preserve"> </w:t>
            </w:r>
            <w:r w:rsidR="007221B2">
              <w:t>Description</w:t>
            </w:r>
            <w:r w:rsidR="007221B2">
              <w:tab/>
              <w:t>3</w:t>
            </w:r>
          </w:hyperlink>
        </w:p>
        <w:p w14:paraId="0180999F" w14:textId="77777777" w:rsidR="006E1BB2" w:rsidRDefault="00A82DEE">
          <w:pPr>
            <w:pStyle w:val="TOC1"/>
            <w:tabs>
              <w:tab w:val="right" w:leader="dot" w:pos="9469"/>
            </w:tabs>
            <w:spacing w:before="1" w:line="267" w:lineRule="exact"/>
          </w:pPr>
          <w:hyperlink w:anchor="_TOC_250018" w:history="1">
            <w:r w:rsidR="007221B2">
              <w:t>Code</w:t>
            </w:r>
            <w:r w:rsidR="007221B2">
              <w:rPr>
                <w:spacing w:val="-2"/>
              </w:rPr>
              <w:t xml:space="preserve"> </w:t>
            </w:r>
            <w:r w:rsidR="007221B2">
              <w:t>Requirements</w:t>
            </w:r>
            <w:r w:rsidR="007221B2">
              <w:tab/>
              <w:t>3</w:t>
            </w:r>
          </w:hyperlink>
        </w:p>
        <w:p w14:paraId="3D921AE4" w14:textId="77777777" w:rsidR="006E1BB2" w:rsidRDefault="00A82DEE">
          <w:pPr>
            <w:pStyle w:val="TOC1"/>
            <w:tabs>
              <w:tab w:val="right" w:leader="dot" w:pos="9469"/>
            </w:tabs>
            <w:spacing w:line="267" w:lineRule="exact"/>
          </w:pPr>
          <w:hyperlink w:anchor="_TOC_250017" w:history="1">
            <w:r w:rsidR="007221B2">
              <w:t>Normalizing</w:t>
            </w:r>
            <w:r w:rsidR="007221B2">
              <w:rPr>
                <w:spacing w:val="-1"/>
              </w:rPr>
              <w:t xml:space="preserve"> </w:t>
            </w:r>
            <w:r w:rsidR="007221B2">
              <w:t>Unit</w:t>
            </w:r>
            <w:r w:rsidR="007221B2">
              <w:tab/>
              <w:t>4</w:t>
            </w:r>
          </w:hyperlink>
        </w:p>
        <w:p w14:paraId="291E642A" w14:textId="77777777" w:rsidR="006E1BB2" w:rsidRDefault="00A82DEE">
          <w:pPr>
            <w:pStyle w:val="TOC1"/>
            <w:tabs>
              <w:tab w:val="right" w:leader="dot" w:pos="9469"/>
            </w:tabs>
          </w:pPr>
          <w:hyperlink w:anchor="_TOC_250016" w:history="1">
            <w:r w:rsidR="007221B2">
              <w:t>Program Requirements</w:t>
            </w:r>
            <w:r w:rsidR="007221B2">
              <w:tab/>
              <w:t>4</w:t>
            </w:r>
          </w:hyperlink>
        </w:p>
        <w:p w14:paraId="0DF55B34" w14:textId="77777777" w:rsidR="006E1BB2" w:rsidRDefault="00A82DEE">
          <w:pPr>
            <w:pStyle w:val="TOC1"/>
            <w:tabs>
              <w:tab w:val="right" w:leader="dot" w:pos="9469"/>
            </w:tabs>
          </w:pPr>
          <w:hyperlink w:anchor="_TOC_250015" w:history="1">
            <w:r w:rsidR="007221B2">
              <w:t>Program Exclusions</w:t>
            </w:r>
            <w:r w:rsidR="007221B2">
              <w:tab/>
              <w:t>5</w:t>
            </w:r>
          </w:hyperlink>
        </w:p>
        <w:p w14:paraId="18B8995C" w14:textId="77777777" w:rsidR="006E1BB2" w:rsidRDefault="00A82DEE">
          <w:pPr>
            <w:pStyle w:val="TOC1"/>
            <w:tabs>
              <w:tab w:val="right" w:leader="dot" w:pos="9469"/>
            </w:tabs>
            <w:spacing w:before="1"/>
          </w:pPr>
          <w:hyperlink w:anchor="_TOC_250014" w:history="1">
            <w:r w:rsidR="007221B2">
              <w:t>Data</w:t>
            </w:r>
            <w:r w:rsidR="007221B2">
              <w:rPr>
                <w:spacing w:val="-2"/>
              </w:rPr>
              <w:t xml:space="preserve"> </w:t>
            </w:r>
            <w:r w:rsidR="007221B2">
              <w:t>Collection Requirements</w:t>
            </w:r>
            <w:r w:rsidR="007221B2">
              <w:tab/>
              <w:t>5</w:t>
            </w:r>
          </w:hyperlink>
        </w:p>
        <w:p w14:paraId="7CE00C20" w14:textId="77777777" w:rsidR="006E1BB2" w:rsidRDefault="00A82DEE">
          <w:pPr>
            <w:pStyle w:val="TOC1"/>
            <w:tabs>
              <w:tab w:val="right" w:leader="dot" w:pos="9469"/>
            </w:tabs>
          </w:pPr>
          <w:hyperlink w:anchor="_TOC_250013" w:history="1">
            <w:r w:rsidR="007221B2">
              <w:t>Use</w:t>
            </w:r>
            <w:r w:rsidR="007221B2">
              <w:rPr>
                <w:spacing w:val="-1"/>
              </w:rPr>
              <w:t xml:space="preserve"> </w:t>
            </w:r>
            <w:r w:rsidR="007221B2">
              <w:t>Category</w:t>
            </w:r>
            <w:r w:rsidR="007221B2">
              <w:tab/>
              <w:t>5</w:t>
            </w:r>
          </w:hyperlink>
        </w:p>
        <w:p w14:paraId="3A3E202F" w14:textId="77777777" w:rsidR="006E1BB2" w:rsidRDefault="00A82DEE">
          <w:pPr>
            <w:pStyle w:val="TOC1"/>
            <w:tabs>
              <w:tab w:val="right" w:leader="dot" w:pos="9469"/>
            </w:tabs>
          </w:pPr>
          <w:hyperlink w:anchor="_TOC_250012" w:history="1">
            <w:r w:rsidR="007221B2">
              <w:t>Electric</w:t>
            </w:r>
            <w:r w:rsidR="007221B2">
              <w:rPr>
                <w:spacing w:val="-1"/>
              </w:rPr>
              <w:t xml:space="preserve"> </w:t>
            </w:r>
            <w:r w:rsidR="007221B2">
              <w:t>Savings</w:t>
            </w:r>
            <w:r w:rsidR="007221B2">
              <w:rPr>
                <w:spacing w:val="-2"/>
              </w:rPr>
              <w:t xml:space="preserve"> </w:t>
            </w:r>
            <w:r w:rsidR="007221B2">
              <w:t>(kWh)</w:t>
            </w:r>
            <w:r w:rsidR="007221B2">
              <w:tab/>
              <w:t>6</w:t>
            </w:r>
          </w:hyperlink>
        </w:p>
        <w:p w14:paraId="7C658EF3" w14:textId="77777777" w:rsidR="006E1BB2" w:rsidRDefault="00A82DEE">
          <w:pPr>
            <w:pStyle w:val="TOC1"/>
            <w:tabs>
              <w:tab w:val="right" w:leader="dot" w:pos="9469"/>
            </w:tabs>
          </w:pPr>
          <w:hyperlink w:anchor="_TOC_250011" w:history="1">
            <w:r w:rsidR="007221B2">
              <w:t>Peak Electric Demand Reduction (kW)</w:t>
            </w:r>
            <w:r w:rsidR="007221B2">
              <w:tab/>
              <w:t>7</w:t>
            </w:r>
          </w:hyperlink>
        </w:p>
        <w:p w14:paraId="5F2A0559" w14:textId="77777777" w:rsidR="006E1BB2" w:rsidRDefault="00A82DEE">
          <w:pPr>
            <w:pStyle w:val="TOC1"/>
            <w:tabs>
              <w:tab w:val="right" w:leader="dot" w:pos="9469"/>
            </w:tabs>
            <w:spacing w:before="1"/>
          </w:pPr>
          <w:hyperlink w:anchor="_TOC_250010" w:history="1">
            <w:r w:rsidR="007221B2">
              <w:t>Gas</w:t>
            </w:r>
            <w:r w:rsidR="007221B2">
              <w:rPr>
                <w:spacing w:val="-3"/>
              </w:rPr>
              <w:t xml:space="preserve"> </w:t>
            </w:r>
            <w:r w:rsidR="007221B2">
              <w:t>Savings</w:t>
            </w:r>
            <w:r w:rsidR="007221B2">
              <w:rPr>
                <w:spacing w:val="-2"/>
              </w:rPr>
              <w:t xml:space="preserve"> </w:t>
            </w:r>
            <w:r w:rsidR="007221B2">
              <w:t>(Therms)</w:t>
            </w:r>
            <w:r w:rsidR="007221B2">
              <w:tab/>
              <w:t>8</w:t>
            </w:r>
          </w:hyperlink>
        </w:p>
        <w:p w14:paraId="6A1C17F2" w14:textId="77777777" w:rsidR="006E1BB2" w:rsidRDefault="00A82DEE">
          <w:pPr>
            <w:pStyle w:val="TOC1"/>
            <w:tabs>
              <w:tab w:val="right" w:leader="dot" w:pos="9469"/>
            </w:tabs>
            <w:spacing w:line="267" w:lineRule="exact"/>
          </w:pPr>
          <w:hyperlink w:anchor="_TOC_250009" w:history="1">
            <w:r w:rsidR="007221B2">
              <w:t>Life</w:t>
            </w:r>
            <w:r w:rsidR="007221B2">
              <w:rPr>
                <w:spacing w:val="-2"/>
              </w:rPr>
              <w:t xml:space="preserve"> </w:t>
            </w:r>
            <w:r w:rsidR="007221B2">
              <w:t>Cycle</w:t>
            </w:r>
            <w:r w:rsidR="007221B2">
              <w:tab/>
              <w:t>8</w:t>
            </w:r>
          </w:hyperlink>
        </w:p>
        <w:p w14:paraId="52CF9F57" w14:textId="77777777" w:rsidR="006E1BB2" w:rsidRDefault="00A82DEE">
          <w:pPr>
            <w:pStyle w:val="TOC1"/>
            <w:tabs>
              <w:tab w:val="right" w:leader="dot" w:pos="9469"/>
            </w:tabs>
            <w:spacing w:line="267" w:lineRule="exact"/>
          </w:pPr>
          <w:hyperlink w:anchor="_TOC_250008" w:history="1">
            <w:r w:rsidR="007221B2">
              <w:t>Base Case Material</w:t>
            </w:r>
            <w:r w:rsidR="007221B2">
              <w:rPr>
                <w:spacing w:val="-4"/>
              </w:rPr>
              <w:t xml:space="preserve"> </w:t>
            </w:r>
            <w:r w:rsidR="007221B2">
              <w:t>Cost</w:t>
            </w:r>
            <w:r w:rsidR="007221B2">
              <w:rPr>
                <w:spacing w:val="-3"/>
              </w:rPr>
              <w:t xml:space="preserve"> </w:t>
            </w:r>
            <w:r w:rsidR="007221B2">
              <w:t>($/unit)</w:t>
            </w:r>
            <w:r w:rsidR="007221B2">
              <w:tab/>
              <w:t>9</w:t>
            </w:r>
          </w:hyperlink>
        </w:p>
        <w:p w14:paraId="0220B330" w14:textId="77777777" w:rsidR="006E1BB2" w:rsidRDefault="00A82DEE">
          <w:pPr>
            <w:pStyle w:val="TOC1"/>
            <w:tabs>
              <w:tab w:val="right" w:leader="dot" w:pos="9469"/>
            </w:tabs>
          </w:pPr>
          <w:hyperlink w:anchor="_TOC_250007" w:history="1">
            <w:r w:rsidR="007221B2">
              <w:t>Measure Case Material</w:t>
            </w:r>
            <w:r w:rsidR="007221B2">
              <w:rPr>
                <w:spacing w:val="-4"/>
              </w:rPr>
              <w:t xml:space="preserve"> </w:t>
            </w:r>
            <w:r w:rsidR="007221B2">
              <w:t>Cost ($/unit)</w:t>
            </w:r>
            <w:r w:rsidR="007221B2">
              <w:tab/>
              <w:t>9</w:t>
            </w:r>
          </w:hyperlink>
        </w:p>
        <w:p w14:paraId="3B86DF1A" w14:textId="77777777" w:rsidR="006E1BB2" w:rsidRDefault="00A82DEE">
          <w:pPr>
            <w:pStyle w:val="TOC1"/>
            <w:tabs>
              <w:tab w:val="right" w:leader="dot" w:pos="9469"/>
            </w:tabs>
          </w:pPr>
          <w:hyperlink w:anchor="_TOC_250006" w:history="1">
            <w:r w:rsidR="007221B2">
              <w:t>Base Case Labor</w:t>
            </w:r>
            <w:r w:rsidR="007221B2">
              <w:rPr>
                <w:spacing w:val="-3"/>
              </w:rPr>
              <w:t xml:space="preserve"> </w:t>
            </w:r>
            <w:r w:rsidR="007221B2">
              <w:t>Cost</w:t>
            </w:r>
            <w:r w:rsidR="007221B2">
              <w:rPr>
                <w:spacing w:val="-3"/>
              </w:rPr>
              <w:t xml:space="preserve"> </w:t>
            </w:r>
            <w:r w:rsidR="007221B2">
              <w:t>($/unit)</w:t>
            </w:r>
            <w:r w:rsidR="007221B2">
              <w:tab/>
              <w:t>10</w:t>
            </w:r>
          </w:hyperlink>
        </w:p>
        <w:p w14:paraId="4029B7CC" w14:textId="77777777" w:rsidR="006E1BB2" w:rsidRDefault="00A82DEE">
          <w:pPr>
            <w:pStyle w:val="TOC1"/>
            <w:tabs>
              <w:tab w:val="right" w:leader="dot" w:pos="9469"/>
            </w:tabs>
            <w:spacing w:before="1"/>
          </w:pPr>
          <w:hyperlink w:anchor="_TOC_250005" w:history="1">
            <w:r w:rsidR="007221B2">
              <w:t>Measure Case Labor</w:t>
            </w:r>
            <w:r w:rsidR="007221B2">
              <w:rPr>
                <w:spacing w:val="-2"/>
              </w:rPr>
              <w:t xml:space="preserve"> </w:t>
            </w:r>
            <w:r w:rsidR="007221B2">
              <w:t>Cost</w:t>
            </w:r>
            <w:r w:rsidR="007221B2">
              <w:rPr>
                <w:spacing w:val="-3"/>
              </w:rPr>
              <w:t xml:space="preserve"> </w:t>
            </w:r>
            <w:r w:rsidR="007221B2">
              <w:t>($/unit)</w:t>
            </w:r>
            <w:r w:rsidR="007221B2">
              <w:tab/>
              <w:t>10</w:t>
            </w:r>
          </w:hyperlink>
        </w:p>
        <w:p w14:paraId="1B7CE54D" w14:textId="77777777" w:rsidR="006E1BB2" w:rsidRDefault="00A82DEE">
          <w:pPr>
            <w:pStyle w:val="TOC1"/>
            <w:tabs>
              <w:tab w:val="right" w:leader="dot" w:pos="9469"/>
            </w:tabs>
          </w:pPr>
          <w:hyperlink w:anchor="_TOC_250004" w:history="1">
            <w:r w:rsidR="007221B2">
              <w:t>Net-to-Gross</w:t>
            </w:r>
            <w:r w:rsidR="007221B2">
              <w:rPr>
                <w:spacing w:val="-3"/>
              </w:rPr>
              <w:t xml:space="preserve"> </w:t>
            </w:r>
            <w:r w:rsidR="007221B2">
              <w:t>(NTG)</w:t>
            </w:r>
            <w:r w:rsidR="007221B2">
              <w:tab/>
              <w:t>10</w:t>
            </w:r>
          </w:hyperlink>
        </w:p>
        <w:p w14:paraId="21758CCC" w14:textId="77777777" w:rsidR="006E1BB2" w:rsidRDefault="00A82DEE">
          <w:pPr>
            <w:pStyle w:val="TOC1"/>
            <w:tabs>
              <w:tab w:val="right" w:leader="dot" w:pos="9469"/>
            </w:tabs>
            <w:spacing w:before="1"/>
          </w:pPr>
          <w:hyperlink w:anchor="_TOC_250003" w:history="1">
            <w:r w:rsidR="007221B2">
              <w:t>Gross Savings Installation</w:t>
            </w:r>
            <w:r w:rsidR="007221B2">
              <w:rPr>
                <w:spacing w:val="-3"/>
              </w:rPr>
              <w:t xml:space="preserve"> </w:t>
            </w:r>
            <w:r w:rsidR="007221B2">
              <w:t>Adjustment</w:t>
            </w:r>
            <w:r w:rsidR="007221B2">
              <w:rPr>
                <w:spacing w:val="-1"/>
              </w:rPr>
              <w:t xml:space="preserve"> </w:t>
            </w:r>
            <w:r w:rsidR="007221B2">
              <w:t>(GSIA)</w:t>
            </w:r>
            <w:r w:rsidR="007221B2">
              <w:tab/>
              <w:t>10</w:t>
            </w:r>
          </w:hyperlink>
        </w:p>
        <w:p w14:paraId="35A72F13" w14:textId="77777777" w:rsidR="006E1BB2" w:rsidRDefault="00A82DEE">
          <w:pPr>
            <w:pStyle w:val="TOC1"/>
            <w:tabs>
              <w:tab w:val="right" w:leader="dot" w:pos="9469"/>
            </w:tabs>
          </w:pPr>
          <w:hyperlink w:anchor="_TOC_250002" w:history="1">
            <w:r w:rsidR="007221B2">
              <w:t>Non-Energy</w:t>
            </w:r>
            <w:r w:rsidR="007221B2">
              <w:rPr>
                <w:spacing w:val="-2"/>
              </w:rPr>
              <w:t xml:space="preserve"> </w:t>
            </w:r>
            <w:r w:rsidR="007221B2">
              <w:t>Impacts</w:t>
            </w:r>
            <w:r w:rsidR="007221B2">
              <w:tab/>
              <w:t>11</w:t>
            </w:r>
          </w:hyperlink>
        </w:p>
        <w:p w14:paraId="69C5B1E2" w14:textId="77777777" w:rsidR="006E1BB2" w:rsidRDefault="00A82DEE">
          <w:pPr>
            <w:pStyle w:val="TOC1"/>
            <w:tabs>
              <w:tab w:val="right" w:leader="dot" w:pos="9469"/>
            </w:tabs>
          </w:pPr>
          <w:hyperlink w:anchor="_TOC_250001" w:history="1">
            <w:r w:rsidR="007221B2">
              <w:t>DEER</w:t>
            </w:r>
            <w:r w:rsidR="007221B2">
              <w:rPr>
                <w:spacing w:val="-3"/>
              </w:rPr>
              <w:t xml:space="preserve"> </w:t>
            </w:r>
            <w:r w:rsidR="007221B2">
              <w:t>Differences</w:t>
            </w:r>
            <w:r w:rsidR="007221B2">
              <w:rPr>
                <w:spacing w:val="-2"/>
              </w:rPr>
              <w:t xml:space="preserve"> </w:t>
            </w:r>
            <w:r w:rsidR="007221B2">
              <w:t>Analysis</w:t>
            </w:r>
            <w:r w:rsidR="007221B2">
              <w:tab/>
              <w:t>11</w:t>
            </w:r>
          </w:hyperlink>
        </w:p>
        <w:p w14:paraId="60461DF7" w14:textId="77777777" w:rsidR="006E1BB2" w:rsidRDefault="00A82DEE">
          <w:pPr>
            <w:pStyle w:val="TOC1"/>
            <w:tabs>
              <w:tab w:val="right" w:leader="dot" w:pos="9469"/>
            </w:tabs>
            <w:spacing w:before="1"/>
          </w:pPr>
          <w:hyperlink w:anchor="_TOC_250000" w:history="1">
            <w:r w:rsidR="007221B2">
              <w:t>Revision</w:t>
            </w:r>
            <w:r w:rsidR="007221B2">
              <w:rPr>
                <w:spacing w:val="-1"/>
              </w:rPr>
              <w:t xml:space="preserve"> </w:t>
            </w:r>
            <w:r w:rsidR="007221B2">
              <w:t>History</w:t>
            </w:r>
            <w:r w:rsidR="007221B2">
              <w:tab/>
              <w:t>11</w:t>
            </w:r>
          </w:hyperlink>
        </w:p>
        <w:p w14:paraId="7CF87806" w14:textId="77777777" w:rsidR="006E1BB2" w:rsidRDefault="007221B2">
          <w:r>
            <w:fldChar w:fldCharType="end"/>
          </w:r>
        </w:p>
      </w:sdtContent>
    </w:sdt>
    <w:p w14:paraId="63218293" w14:textId="77777777" w:rsidR="006E1BB2" w:rsidRDefault="006E1BB2">
      <w:pPr>
        <w:sectPr w:rsidR="006E1BB2">
          <w:footerReference w:type="default" r:id="rId11"/>
          <w:type w:val="continuous"/>
          <w:pgSz w:w="12240" w:h="15840"/>
          <w:pgMar w:top="1220" w:right="1220" w:bottom="1320" w:left="1320" w:header="720" w:footer="1129" w:gutter="0"/>
          <w:pgNumType w:start="1"/>
          <w:cols w:space="720"/>
        </w:sectPr>
      </w:pPr>
    </w:p>
    <w:p w14:paraId="179B401C" w14:textId="77777777" w:rsidR="006E1BB2" w:rsidRDefault="006E1BB2">
      <w:pPr>
        <w:pStyle w:val="BodyText"/>
        <w:spacing w:before="5"/>
        <w:rPr>
          <w:sz w:val="25"/>
        </w:rPr>
      </w:pPr>
    </w:p>
    <w:p w14:paraId="39F72B91" w14:textId="77777777" w:rsidR="006E1BB2" w:rsidRDefault="007221B2">
      <w:pPr>
        <w:pStyle w:val="Heading1"/>
        <w:spacing w:before="1"/>
      </w:pPr>
      <w:bookmarkStart w:id="0" w:name="_TOC_250023"/>
      <w:bookmarkEnd w:id="0"/>
      <w:r>
        <w:rPr>
          <w:color w:val="CFAB79"/>
        </w:rPr>
        <w:t>MEASURE NAME</w:t>
      </w:r>
    </w:p>
    <w:p w14:paraId="5A4F38C2" w14:textId="77777777" w:rsidR="006E1BB2" w:rsidRDefault="007221B2">
      <w:pPr>
        <w:pStyle w:val="BodyText"/>
        <w:spacing w:before="33"/>
        <w:ind w:left="120"/>
      </w:pPr>
      <w:r>
        <w:t>Room Air Conditioner, Residential</w:t>
      </w:r>
    </w:p>
    <w:p w14:paraId="2C415793" w14:textId="77777777" w:rsidR="006E1BB2" w:rsidRDefault="006E1BB2">
      <w:pPr>
        <w:pStyle w:val="BodyText"/>
        <w:spacing w:before="9"/>
        <w:rPr>
          <w:sz w:val="26"/>
        </w:rPr>
      </w:pPr>
    </w:p>
    <w:p w14:paraId="61C967DC" w14:textId="77777777" w:rsidR="006E1BB2" w:rsidRDefault="007221B2">
      <w:pPr>
        <w:pStyle w:val="Heading1"/>
      </w:pPr>
      <w:bookmarkStart w:id="1" w:name="_TOC_250022"/>
      <w:bookmarkEnd w:id="1"/>
      <w:r>
        <w:rPr>
          <w:color w:val="CFAB79"/>
        </w:rPr>
        <w:t>STATEWIDE MEASURE ID</w:t>
      </w:r>
    </w:p>
    <w:p w14:paraId="06A24B60" w14:textId="77777777" w:rsidR="006E1BB2" w:rsidRDefault="007221B2">
      <w:pPr>
        <w:pStyle w:val="BodyText"/>
        <w:spacing w:before="115"/>
        <w:ind w:left="120"/>
      </w:pPr>
      <w:r>
        <w:t>SWAP007-01</w:t>
      </w:r>
    </w:p>
    <w:p w14:paraId="1B325D4C" w14:textId="77777777" w:rsidR="006E1BB2" w:rsidRDefault="006E1BB2">
      <w:pPr>
        <w:pStyle w:val="BodyText"/>
      </w:pPr>
    </w:p>
    <w:p w14:paraId="7631E1A8" w14:textId="77777777" w:rsidR="006E1BB2" w:rsidRDefault="006E1BB2">
      <w:pPr>
        <w:pStyle w:val="BodyText"/>
        <w:spacing w:before="6"/>
        <w:rPr>
          <w:sz w:val="20"/>
        </w:rPr>
      </w:pPr>
    </w:p>
    <w:p w14:paraId="72AADAF2" w14:textId="77777777" w:rsidR="006E1BB2" w:rsidRDefault="007221B2">
      <w:pPr>
        <w:pStyle w:val="Heading1"/>
      </w:pPr>
      <w:bookmarkStart w:id="2" w:name="_TOC_250021"/>
      <w:bookmarkEnd w:id="2"/>
      <w:r>
        <w:rPr>
          <w:color w:val="CFAB79"/>
        </w:rPr>
        <w:t>TECHNOLOGY SUMMARY</w:t>
      </w:r>
    </w:p>
    <w:p w14:paraId="1F9E6BEE" w14:textId="77777777" w:rsidR="006E1BB2" w:rsidRDefault="007221B2">
      <w:pPr>
        <w:pStyle w:val="BodyText"/>
        <w:spacing w:before="115"/>
        <w:ind w:left="120" w:right="327"/>
      </w:pPr>
      <w:r>
        <w:t>A room air conditioner (AC) is a factory-encased air conditioner that is designed as a unit for mounting in a window, through a wall, or as a console; and for delivery of conditioned air to an enclosed space without ducts. Room AC units include a prime source of refrigeration and may include a means for ventilating and heating.</w:t>
      </w:r>
      <w:r>
        <w:rPr>
          <w:vertAlign w:val="superscript"/>
        </w:rPr>
        <w:t>1</w:t>
      </w:r>
    </w:p>
    <w:p w14:paraId="1B9F403C" w14:textId="77777777" w:rsidR="006E1BB2" w:rsidRDefault="007221B2">
      <w:pPr>
        <w:pStyle w:val="BodyText"/>
        <w:spacing w:before="122"/>
        <w:ind w:left="120" w:right="239"/>
      </w:pPr>
      <w:r>
        <w:t>The energy efficiency is represented by the combined energy efficiency ratio (CEER). The CEER is the ratio of measured cooling output (Btu/</w:t>
      </w:r>
      <w:proofErr w:type="spellStart"/>
      <w:r>
        <w:t>hr</w:t>
      </w:r>
      <w:proofErr w:type="spellEnd"/>
      <w:r>
        <w:t>) to the sum of the measured average annual electrical energy input (watts) and measured annual standby/off-mode power consumption (watts). CEER is expressed in Btu/W- hr.</w:t>
      </w:r>
    </w:p>
    <w:p w14:paraId="47700F2B" w14:textId="77777777" w:rsidR="006E1BB2" w:rsidRDefault="006E1BB2">
      <w:pPr>
        <w:pStyle w:val="BodyText"/>
      </w:pPr>
    </w:p>
    <w:p w14:paraId="3102C880" w14:textId="77777777" w:rsidR="006E1BB2" w:rsidRDefault="006E1BB2">
      <w:pPr>
        <w:pStyle w:val="BodyText"/>
        <w:spacing w:before="9"/>
        <w:rPr>
          <w:sz w:val="20"/>
        </w:rPr>
      </w:pPr>
    </w:p>
    <w:p w14:paraId="52D2B535" w14:textId="77777777" w:rsidR="006E1BB2" w:rsidRDefault="007221B2">
      <w:pPr>
        <w:pStyle w:val="Heading1"/>
      </w:pPr>
      <w:bookmarkStart w:id="3" w:name="_TOC_250020"/>
      <w:bookmarkEnd w:id="3"/>
      <w:r>
        <w:rPr>
          <w:color w:val="CFAB79"/>
        </w:rPr>
        <w:t>MEASURE CASE DESCRIPTION</w:t>
      </w:r>
    </w:p>
    <w:p w14:paraId="787EA2DE" w14:textId="77777777" w:rsidR="006E1BB2" w:rsidRDefault="007221B2">
      <w:pPr>
        <w:pStyle w:val="BodyText"/>
        <w:spacing w:before="112"/>
        <w:ind w:left="120" w:right="976"/>
      </w:pPr>
      <w:r>
        <w:t>The measure case specification is defined by three efficiency tiers based upon the ENERGY STAR® Program Requirements Product Specification for Room Air Conditioners, Version 4.0.</w:t>
      </w:r>
      <w:r>
        <w:rPr>
          <w:vertAlign w:val="superscript"/>
        </w:rPr>
        <w:t>2</w:t>
      </w:r>
    </w:p>
    <w:p w14:paraId="2D3B1F14" w14:textId="77777777" w:rsidR="006E1BB2" w:rsidRDefault="007221B2">
      <w:pPr>
        <w:pStyle w:val="ListParagraph"/>
        <w:numPr>
          <w:ilvl w:val="0"/>
          <w:numId w:val="1"/>
        </w:numPr>
        <w:tabs>
          <w:tab w:val="left" w:pos="840"/>
          <w:tab w:val="left" w:pos="841"/>
        </w:tabs>
        <w:ind w:hanging="361"/>
        <w:rPr>
          <w:color w:val="404040"/>
          <w:sz w:val="20"/>
        </w:rPr>
      </w:pPr>
      <w:r>
        <w:rPr>
          <w:i/>
        </w:rPr>
        <w:t xml:space="preserve">ENERGY STAR Basic tier: </w:t>
      </w:r>
      <w:r>
        <w:t>The unit efficiency meets the ENERGY STAR Version 4.0 eligibility</w:t>
      </w:r>
      <w:r>
        <w:rPr>
          <w:spacing w:val="-29"/>
        </w:rPr>
        <w:t xml:space="preserve"> </w:t>
      </w:r>
      <w:r>
        <w:t>criteria,</w:t>
      </w:r>
    </w:p>
    <w:p w14:paraId="502402A1" w14:textId="77777777" w:rsidR="006E1BB2" w:rsidRDefault="007221B2">
      <w:pPr>
        <w:pStyle w:val="ListParagraph"/>
        <w:numPr>
          <w:ilvl w:val="0"/>
          <w:numId w:val="1"/>
        </w:numPr>
        <w:tabs>
          <w:tab w:val="left" w:pos="840"/>
          <w:tab w:val="left" w:pos="841"/>
        </w:tabs>
        <w:spacing w:before="19"/>
        <w:ind w:right="498"/>
        <w:rPr>
          <w:rFonts w:ascii="Calibri"/>
          <w:color w:val="404040"/>
          <w:sz w:val="20"/>
        </w:rPr>
      </w:pPr>
      <w:r>
        <w:rPr>
          <w:i/>
        </w:rPr>
        <w:t xml:space="preserve">ENERGY STAR Connected Tier: </w:t>
      </w:r>
      <w:r>
        <w:t>The connected model offers advanced controls and increased functionality, such as the ability to turn off the unit remotely when the user is not at home</w:t>
      </w:r>
      <w:r>
        <w:rPr>
          <w:spacing w:val="-26"/>
        </w:rPr>
        <w:t xml:space="preserve"> </w:t>
      </w:r>
      <w:r>
        <w:t>and provides feedback on the energy use of the</w:t>
      </w:r>
      <w:r>
        <w:rPr>
          <w:spacing w:val="-11"/>
        </w:rPr>
        <w:t xml:space="preserve"> </w:t>
      </w:r>
      <w:r>
        <w:t>product.</w:t>
      </w:r>
    </w:p>
    <w:p w14:paraId="1085B574" w14:textId="77777777" w:rsidR="006E1BB2" w:rsidRDefault="007221B2">
      <w:pPr>
        <w:pStyle w:val="ListParagraph"/>
        <w:numPr>
          <w:ilvl w:val="0"/>
          <w:numId w:val="1"/>
        </w:numPr>
        <w:tabs>
          <w:tab w:val="left" w:pos="840"/>
          <w:tab w:val="left" w:pos="841"/>
        </w:tabs>
        <w:spacing w:before="21"/>
        <w:ind w:right="349"/>
        <w:rPr>
          <w:color w:val="404040"/>
          <w:sz w:val="20"/>
        </w:rPr>
      </w:pPr>
      <w:r>
        <w:rPr>
          <w:i/>
        </w:rPr>
        <w:t>ENERGY</w:t>
      </w:r>
      <w:r>
        <w:rPr>
          <w:i/>
          <w:spacing w:val="-3"/>
        </w:rPr>
        <w:t xml:space="preserve"> </w:t>
      </w:r>
      <w:r>
        <w:rPr>
          <w:i/>
        </w:rPr>
        <w:t>STAR</w:t>
      </w:r>
      <w:r>
        <w:rPr>
          <w:i/>
          <w:spacing w:val="-2"/>
        </w:rPr>
        <w:t xml:space="preserve"> </w:t>
      </w:r>
      <w:r>
        <w:rPr>
          <w:i/>
        </w:rPr>
        <w:t>Advanced</w:t>
      </w:r>
      <w:r>
        <w:rPr>
          <w:i/>
          <w:spacing w:val="-3"/>
        </w:rPr>
        <w:t xml:space="preserve"> </w:t>
      </w:r>
      <w:r>
        <w:rPr>
          <w:i/>
        </w:rPr>
        <w:t>tier</w:t>
      </w:r>
      <w:r>
        <w:t>:</w:t>
      </w:r>
      <w:r>
        <w:rPr>
          <w:spacing w:val="-2"/>
        </w:rPr>
        <w:t xml:space="preserve"> </w:t>
      </w:r>
      <w:r>
        <w:t>The</w:t>
      </w:r>
      <w:r>
        <w:rPr>
          <w:spacing w:val="-3"/>
        </w:rPr>
        <w:t xml:space="preserve"> </w:t>
      </w:r>
      <w:r>
        <w:t>unit</w:t>
      </w:r>
      <w:r>
        <w:rPr>
          <w:spacing w:val="-3"/>
        </w:rPr>
        <w:t xml:space="preserve"> </w:t>
      </w:r>
      <w:r>
        <w:t>efficiency</w:t>
      </w:r>
      <w:r>
        <w:rPr>
          <w:spacing w:val="-1"/>
        </w:rPr>
        <w:t xml:space="preserve"> </w:t>
      </w:r>
      <w:r>
        <w:t>exceeds</w:t>
      </w:r>
      <w:r>
        <w:rPr>
          <w:spacing w:val="-1"/>
        </w:rPr>
        <w:t xml:space="preserve"> </w:t>
      </w:r>
      <w:r>
        <w:t>the</w:t>
      </w:r>
      <w:r>
        <w:rPr>
          <w:spacing w:val="-5"/>
        </w:rPr>
        <w:t xml:space="preserve"> </w:t>
      </w:r>
      <w:r>
        <w:t>ENERGEY</w:t>
      </w:r>
      <w:r>
        <w:rPr>
          <w:spacing w:val="-4"/>
        </w:rPr>
        <w:t xml:space="preserve"> </w:t>
      </w:r>
      <w:r>
        <w:t>STAR</w:t>
      </w:r>
      <w:r>
        <w:rPr>
          <w:spacing w:val="-4"/>
        </w:rPr>
        <w:t xml:space="preserve"> </w:t>
      </w:r>
      <w:r>
        <w:t>4.0</w:t>
      </w:r>
      <w:r>
        <w:rPr>
          <w:spacing w:val="-4"/>
        </w:rPr>
        <w:t xml:space="preserve"> </w:t>
      </w:r>
      <w:r>
        <w:t>requirements</w:t>
      </w:r>
      <w:r>
        <w:rPr>
          <w:spacing w:val="-4"/>
        </w:rPr>
        <w:t xml:space="preserve"> </w:t>
      </w:r>
      <w:r>
        <w:t>by 10%.</w:t>
      </w:r>
    </w:p>
    <w:p w14:paraId="748EEA3F" w14:textId="77777777" w:rsidR="006E1BB2" w:rsidRDefault="006E1BB2">
      <w:pPr>
        <w:pStyle w:val="BodyText"/>
      </w:pPr>
    </w:p>
    <w:p w14:paraId="29BD5B30" w14:textId="77777777" w:rsidR="006E1BB2" w:rsidRDefault="006E1BB2">
      <w:pPr>
        <w:pStyle w:val="BodyText"/>
        <w:spacing w:before="8"/>
        <w:rPr>
          <w:sz w:val="19"/>
        </w:rPr>
      </w:pPr>
    </w:p>
    <w:p w14:paraId="60601448" w14:textId="77777777" w:rsidR="006E1BB2" w:rsidRDefault="007221B2">
      <w:pPr>
        <w:pStyle w:val="BodyText"/>
        <w:spacing w:before="1"/>
        <w:ind w:left="120" w:right="735"/>
      </w:pPr>
      <w:r>
        <w:t>As shown below, the specific efficiency threshold requirements depend upon the size (capacity) and configuration (louvered sides, casement type) of the unit.</w:t>
      </w:r>
    </w:p>
    <w:p w14:paraId="60F6F1CF" w14:textId="77777777" w:rsidR="006E1BB2" w:rsidRDefault="006E1BB2">
      <w:pPr>
        <w:pStyle w:val="BodyText"/>
        <w:rPr>
          <w:sz w:val="20"/>
        </w:rPr>
      </w:pPr>
    </w:p>
    <w:p w14:paraId="7CA7825D" w14:textId="77777777" w:rsidR="006E1BB2" w:rsidRDefault="006E1BB2">
      <w:pPr>
        <w:pStyle w:val="BodyText"/>
        <w:rPr>
          <w:sz w:val="20"/>
        </w:rPr>
      </w:pPr>
    </w:p>
    <w:p w14:paraId="414126C4" w14:textId="77777777" w:rsidR="006E1BB2" w:rsidRDefault="006E1BB2">
      <w:pPr>
        <w:pStyle w:val="BodyText"/>
        <w:rPr>
          <w:sz w:val="20"/>
        </w:rPr>
      </w:pPr>
    </w:p>
    <w:p w14:paraId="7B790624" w14:textId="77777777" w:rsidR="006E1BB2" w:rsidRDefault="006E1BB2">
      <w:pPr>
        <w:pStyle w:val="BodyText"/>
        <w:rPr>
          <w:sz w:val="20"/>
        </w:rPr>
      </w:pPr>
    </w:p>
    <w:p w14:paraId="6CED8438" w14:textId="77777777" w:rsidR="006E1BB2" w:rsidRDefault="006E1BB2">
      <w:pPr>
        <w:pStyle w:val="BodyText"/>
        <w:rPr>
          <w:sz w:val="20"/>
        </w:rPr>
      </w:pPr>
    </w:p>
    <w:p w14:paraId="6EF63CF8" w14:textId="77777777" w:rsidR="006E1BB2" w:rsidRDefault="006E1BB2">
      <w:pPr>
        <w:pStyle w:val="BodyText"/>
        <w:rPr>
          <w:sz w:val="20"/>
        </w:rPr>
      </w:pPr>
    </w:p>
    <w:p w14:paraId="778DF432" w14:textId="77777777" w:rsidR="006E1BB2" w:rsidRDefault="006E1BB2">
      <w:pPr>
        <w:pStyle w:val="BodyText"/>
        <w:rPr>
          <w:sz w:val="20"/>
        </w:rPr>
      </w:pPr>
    </w:p>
    <w:p w14:paraId="1BDE16FB" w14:textId="159B4D25" w:rsidR="006E1BB2" w:rsidRDefault="007221B2">
      <w:pPr>
        <w:pStyle w:val="BodyText"/>
        <w:spacing w:before="9"/>
        <w:rPr>
          <w:sz w:val="24"/>
        </w:rPr>
      </w:pPr>
      <w:r>
        <w:rPr>
          <w:noProof/>
        </w:rPr>
        <mc:AlternateContent>
          <mc:Choice Requires="wps">
            <w:drawing>
              <wp:anchor distT="0" distB="0" distL="0" distR="0" simplePos="0" relativeHeight="251659264" behindDoc="1" locked="0" layoutInCell="1" allowOverlap="1" wp14:anchorId="50384DA0" wp14:editId="3A096603">
                <wp:simplePos x="0" y="0"/>
                <wp:positionH relativeFrom="page">
                  <wp:posOffset>914400</wp:posOffset>
                </wp:positionH>
                <wp:positionV relativeFrom="paragraph">
                  <wp:posOffset>221615</wp:posOffset>
                </wp:positionV>
                <wp:extent cx="1829435" cy="1270"/>
                <wp:effectExtent l="0" t="0" r="0" b="0"/>
                <wp:wrapTopAndBottom/>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88392" id="Freeform 10" o:spid="_x0000_s1026" style="position:absolute;margin-left:1in;margin-top:17.45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" path="m,l2881,e" filled="f" strokeweight=".72pt">
                <v:path arrowok="t" o:connecttype="custom" o:connectlocs="0,0;1829435,0" o:connectangles="0,0"/>
                <w10:wrap type="topAndBottom" anchorx="page"/>
              </v:shape>
            </w:pict>
          </mc:Fallback>
        </mc:AlternateContent>
      </w:r>
    </w:p>
    <w:p w14:paraId="3224558E" w14:textId="77777777" w:rsidR="006E1BB2" w:rsidRDefault="006E1BB2">
      <w:pPr>
        <w:pStyle w:val="BodyText"/>
        <w:rPr>
          <w:sz w:val="20"/>
        </w:rPr>
      </w:pPr>
    </w:p>
    <w:p w14:paraId="36F2EF2B" w14:textId="77777777" w:rsidR="006E1BB2" w:rsidRDefault="006E1BB2">
      <w:pPr>
        <w:pStyle w:val="BodyText"/>
        <w:rPr>
          <w:sz w:val="20"/>
        </w:rPr>
      </w:pPr>
    </w:p>
    <w:p w14:paraId="20CE2282" w14:textId="77777777" w:rsidR="006E1BB2" w:rsidRDefault="006E1BB2">
      <w:pPr>
        <w:pStyle w:val="BodyText"/>
        <w:spacing w:before="3"/>
        <w:rPr>
          <w:sz w:val="17"/>
        </w:rPr>
      </w:pPr>
    </w:p>
    <w:p w14:paraId="1F0E9F8F" w14:textId="77777777" w:rsidR="006E1BB2" w:rsidRDefault="007221B2">
      <w:pPr>
        <w:ind w:left="120" w:right="227"/>
        <w:rPr>
          <w:sz w:val="18"/>
        </w:rPr>
      </w:pPr>
      <w:r>
        <w:rPr>
          <w:position w:val="5"/>
          <w:sz w:val="12"/>
        </w:rPr>
        <w:t xml:space="preserve">1 </w:t>
      </w:r>
      <w:r>
        <w:rPr>
          <w:sz w:val="18"/>
        </w:rPr>
        <w:t>ENERGY STAR. 2015. "ENERGY STAR® Program Requirements Product Specification for Room Air Conditioners - Eligibility Criteria Version 4.0." Effective October 26,</w:t>
      </w:r>
      <w:r>
        <w:rPr>
          <w:spacing w:val="-2"/>
          <w:sz w:val="18"/>
        </w:rPr>
        <w:t xml:space="preserve"> </w:t>
      </w:r>
      <w:r>
        <w:rPr>
          <w:sz w:val="18"/>
        </w:rPr>
        <w:t>2015.</w:t>
      </w:r>
    </w:p>
    <w:p w14:paraId="0F0BEB9F" w14:textId="77777777" w:rsidR="006E1BB2" w:rsidRDefault="007221B2">
      <w:pPr>
        <w:spacing w:before="119"/>
        <w:ind w:left="120" w:right="227"/>
        <w:rPr>
          <w:sz w:val="18"/>
        </w:rPr>
      </w:pPr>
      <w:r>
        <w:rPr>
          <w:position w:val="5"/>
          <w:sz w:val="12"/>
        </w:rPr>
        <w:t xml:space="preserve">2 </w:t>
      </w:r>
      <w:r>
        <w:rPr>
          <w:sz w:val="18"/>
        </w:rPr>
        <w:t xml:space="preserve">ENERGY </w:t>
      </w:r>
      <w:proofErr w:type="gramStart"/>
      <w:r>
        <w:rPr>
          <w:sz w:val="18"/>
        </w:rPr>
        <w:t>STAR</w:t>
      </w:r>
      <w:proofErr w:type="gramEnd"/>
      <w:r>
        <w:rPr>
          <w:sz w:val="18"/>
        </w:rPr>
        <w:t>. 2015. "ENERGY STAR® Program Requirements Product Specification for Room Air Conditioners - Eligibility Criteria Version 4.0." Effective October 26,</w:t>
      </w:r>
      <w:r>
        <w:rPr>
          <w:spacing w:val="-2"/>
          <w:sz w:val="18"/>
        </w:rPr>
        <w:t xml:space="preserve"> </w:t>
      </w:r>
      <w:r>
        <w:rPr>
          <w:sz w:val="18"/>
        </w:rPr>
        <w:t>2015.</w:t>
      </w:r>
    </w:p>
    <w:p w14:paraId="575AEEDA" w14:textId="77777777" w:rsidR="006E1BB2" w:rsidRDefault="006E1BB2">
      <w:pPr>
        <w:rPr>
          <w:sz w:val="18"/>
        </w:rPr>
        <w:sectPr w:rsidR="006E1BB2">
          <w:headerReference w:type="default" r:id="rId12"/>
          <w:footerReference w:type="default" r:id="rId13"/>
          <w:pgSz w:w="12240" w:h="15840"/>
          <w:pgMar w:top="1220" w:right="1220" w:bottom="1320" w:left="1320" w:header="858" w:footer="1129" w:gutter="0"/>
          <w:pgNumType w:start="2"/>
          <w:cols w:space="720"/>
        </w:sectPr>
      </w:pPr>
    </w:p>
    <w:p w14:paraId="568A14F5" w14:textId="77777777" w:rsidR="006E1BB2" w:rsidRDefault="006E1BB2">
      <w:pPr>
        <w:pStyle w:val="BodyText"/>
        <w:spacing w:before="10"/>
        <w:rPr>
          <w:sz w:val="19"/>
        </w:rPr>
      </w:pPr>
    </w:p>
    <w:p w14:paraId="0A52ED33" w14:textId="77777777" w:rsidR="006E1BB2" w:rsidRDefault="007221B2">
      <w:pPr>
        <w:pStyle w:val="BodyText"/>
        <w:spacing w:before="57"/>
        <w:ind w:left="120"/>
      </w:pPr>
      <w:r>
        <w:t>Measure Case Specification</w:t>
      </w:r>
    </w:p>
    <w:p w14:paraId="2A626A1C" w14:textId="77777777" w:rsidR="006E1BB2" w:rsidRDefault="006E1BB2">
      <w:pPr>
        <w:pStyle w:val="BodyText"/>
        <w:spacing w:before="9"/>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328"/>
        <w:gridCol w:w="1232"/>
        <w:gridCol w:w="1933"/>
        <w:gridCol w:w="1935"/>
        <w:gridCol w:w="1936"/>
      </w:tblGrid>
      <w:tr w:rsidR="006E1BB2" w14:paraId="6CB7EAE2" w14:textId="77777777">
        <w:trPr>
          <w:trHeight w:val="772"/>
        </w:trPr>
        <w:tc>
          <w:tcPr>
            <w:tcW w:w="2328" w:type="dxa"/>
            <w:shd w:val="clear" w:color="auto" w:fill="F1F1F1"/>
          </w:tcPr>
          <w:p w14:paraId="1C8D90F0" w14:textId="77777777" w:rsidR="006E1BB2" w:rsidRDefault="006E1BB2">
            <w:pPr>
              <w:pStyle w:val="TableParagraph"/>
              <w:spacing w:before="0"/>
              <w:rPr>
                <w:sz w:val="20"/>
              </w:rPr>
            </w:pPr>
          </w:p>
          <w:p w14:paraId="7DFDF5B7" w14:textId="77777777" w:rsidR="006E1BB2" w:rsidRDefault="006E1BB2">
            <w:pPr>
              <w:pStyle w:val="TableParagraph"/>
              <w:spacing w:before="7"/>
              <w:rPr>
                <w:sz w:val="21"/>
              </w:rPr>
            </w:pPr>
          </w:p>
          <w:p w14:paraId="12C865F8" w14:textId="77777777" w:rsidR="006E1BB2" w:rsidRDefault="007221B2">
            <w:pPr>
              <w:pStyle w:val="TableParagraph"/>
              <w:spacing w:before="0"/>
              <w:ind w:left="112"/>
              <w:rPr>
                <w:sz w:val="20"/>
              </w:rPr>
            </w:pPr>
            <w:r>
              <w:rPr>
                <w:sz w:val="20"/>
              </w:rPr>
              <w:t>Product Class</w:t>
            </w:r>
          </w:p>
        </w:tc>
        <w:tc>
          <w:tcPr>
            <w:tcW w:w="1232" w:type="dxa"/>
            <w:shd w:val="clear" w:color="auto" w:fill="F1F1F1"/>
          </w:tcPr>
          <w:p w14:paraId="2CFC9191" w14:textId="77777777" w:rsidR="006E1BB2" w:rsidRDefault="006E1BB2">
            <w:pPr>
              <w:pStyle w:val="TableParagraph"/>
              <w:spacing w:before="6"/>
              <w:rPr>
                <w:sz w:val="21"/>
              </w:rPr>
            </w:pPr>
          </w:p>
          <w:p w14:paraId="70694389" w14:textId="77777777" w:rsidR="006E1BB2" w:rsidRDefault="007221B2">
            <w:pPr>
              <w:pStyle w:val="TableParagraph"/>
              <w:spacing w:before="0" w:line="240" w:lineRule="atLeast"/>
              <w:ind w:left="112"/>
              <w:rPr>
                <w:sz w:val="20"/>
              </w:rPr>
            </w:pPr>
            <w:r>
              <w:rPr>
                <w:sz w:val="20"/>
              </w:rPr>
              <w:t>Louvered Sides?</w:t>
            </w:r>
          </w:p>
        </w:tc>
        <w:tc>
          <w:tcPr>
            <w:tcW w:w="1933" w:type="dxa"/>
            <w:shd w:val="clear" w:color="auto" w:fill="F1F1F1"/>
          </w:tcPr>
          <w:p w14:paraId="1150D323" w14:textId="77777777" w:rsidR="006E1BB2" w:rsidRDefault="006E1BB2">
            <w:pPr>
              <w:pStyle w:val="TableParagraph"/>
              <w:spacing w:before="6"/>
              <w:rPr>
                <w:sz w:val="21"/>
              </w:rPr>
            </w:pPr>
          </w:p>
          <w:p w14:paraId="64C09CA3" w14:textId="77777777" w:rsidR="006E1BB2" w:rsidRDefault="007221B2">
            <w:pPr>
              <w:pStyle w:val="TableParagraph"/>
              <w:spacing w:before="0" w:line="240" w:lineRule="atLeast"/>
              <w:ind w:left="738" w:hanging="372"/>
              <w:rPr>
                <w:sz w:val="20"/>
              </w:rPr>
            </w:pPr>
            <w:r>
              <w:rPr>
                <w:sz w:val="20"/>
              </w:rPr>
              <w:t>Cooling Capacity (Btu/h)</w:t>
            </w:r>
          </w:p>
        </w:tc>
        <w:tc>
          <w:tcPr>
            <w:tcW w:w="1935" w:type="dxa"/>
            <w:shd w:val="clear" w:color="auto" w:fill="F1F1F1"/>
          </w:tcPr>
          <w:p w14:paraId="4C45F886" w14:textId="77777777" w:rsidR="006E1BB2" w:rsidRDefault="007221B2">
            <w:pPr>
              <w:pStyle w:val="TableParagraph"/>
              <w:spacing w:line="240" w:lineRule="atLeast"/>
              <w:ind w:left="421" w:right="301" w:hanging="4"/>
              <w:jc w:val="center"/>
              <w:rPr>
                <w:sz w:val="20"/>
              </w:rPr>
            </w:pPr>
            <w:r>
              <w:rPr>
                <w:sz w:val="20"/>
              </w:rPr>
              <w:t xml:space="preserve">Min. CEER for Basic Tier (ENERGY </w:t>
            </w:r>
            <w:r>
              <w:rPr>
                <w:spacing w:val="-5"/>
                <w:sz w:val="20"/>
              </w:rPr>
              <w:t>STAR)</w:t>
            </w:r>
          </w:p>
        </w:tc>
        <w:tc>
          <w:tcPr>
            <w:tcW w:w="1936" w:type="dxa"/>
            <w:shd w:val="clear" w:color="auto" w:fill="F1F1F1"/>
          </w:tcPr>
          <w:p w14:paraId="335C0851" w14:textId="77777777" w:rsidR="006E1BB2" w:rsidRDefault="007221B2">
            <w:pPr>
              <w:pStyle w:val="TableParagraph"/>
              <w:spacing w:line="240" w:lineRule="atLeast"/>
              <w:ind w:left="118" w:right="125" w:hanging="2"/>
              <w:jc w:val="center"/>
              <w:rPr>
                <w:sz w:val="20"/>
              </w:rPr>
            </w:pPr>
            <w:r>
              <w:rPr>
                <w:sz w:val="20"/>
              </w:rPr>
              <w:t>Min. CEER for Advanced Tier (ENERGY STAR</w:t>
            </w:r>
            <w:r>
              <w:rPr>
                <w:spacing w:val="-20"/>
                <w:sz w:val="20"/>
              </w:rPr>
              <w:t xml:space="preserve"> </w:t>
            </w:r>
            <w:r>
              <w:rPr>
                <w:spacing w:val="-5"/>
                <w:sz w:val="20"/>
              </w:rPr>
              <w:t>+10%)</w:t>
            </w:r>
          </w:p>
        </w:tc>
      </w:tr>
      <w:tr w:rsidR="006E1BB2" w14:paraId="1618CED8" w14:textId="77777777">
        <w:trPr>
          <w:trHeight w:val="249"/>
        </w:trPr>
        <w:tc>
          <w:tcPr>
            <w:tcW w:w="2328" w:type="dxa"/>
            <w:vMerge w:val="restart"/>
          </w:tcPr>
          <w:p w14:paraId="66BAC9AC" w14:textId="77777777" w:rsidR="006E1BB2" w:rsidRDefault="007221B2">
            <w:pPr>
              <w:pStyle w:val="TableParagraph"/>
              <w:ind w:left="112"/>
              <w:rPr>
                <w:sz w:val="20"/>
              </w:rPr>
            </w:pPr>
            <w:r>
              <w:rPr>
                <w:sz w:val="20"/>
              </w:rPr>
              <w:t>Room AC</w:t>
            </w:r>
          </w:p>
        </w:tc>
        <w:tc>
          <w:tcPr>
            <w:tcW w:w="1232" w:type="dxa"/>
            <w:vMerge w:val="restart"/>
          </w:tcPr>
          <w:p w14:paraId="26D7C924" w14:textId="77777777" w:rsidR="006E1BB2" w:rsidRDefault="007221B2">
            <w:pPr>
              <w:pStyle w:val="TableParagraph"/>
              <w:ind w:left="112"/>
              <w:rPr>
                <w:sz w:val="20"/>
              </w:rPr>
            </w:pPr>
            <w:r>
              <w:rPr>
                <w:sz w:val="20"/>
              </w:rPr>
              <w:t>Yes</w:t>
            </w:r>
          </w:p>
        </w:tc>
        <w:tc>
          <w:tcPr>
            <w:tcW w:w="1933" w:type="dxa"/>
          </w:tcPr>
          <w:p w14:paraId="3F4C3502" w14:textId="77777777" w:rsidR="006E1BB2" w:rsidRDefault="007221B2">
            <w:pPr>
              <w:pStyle w:val="TableParagraph"/>
              <w:spacing w:before="0" w:line="229" w:lineRule="exact"/>
              <w:ind w:left="346" w:right="233"/>
              <w:jc w:val="center"/>
              <w:rPr>
                <w:sz w:val="20"/>
              </w:rPr>
            </w:pPr>
            <w:r>
              <w:rPr>
                <w:sz w:val="20"/>
              </w:rPr>
              <w:t>&lt; 6,000</w:t>
            </w:r>
          </w:p>
        </w:tc>
        <w:tc>
          <w:tcPr>
            <w:tcW w:w="1935" w:type="dxa"/>
          </w:tcPr>
          <w:p w14:paraId="699A59C7" w14:textId="77777777" w:rsidR="006E1BB2" w:rsidRDefault="007221B2">
            <w:pPr>
              <w:pStyle w:val="TableParagraph"/>
              <w:spacing w:before="0" w:line="229" w:lineRule="exact"/>
              <w:ind w:right="717"/>
              <w:jc w:val="right"/>
              <w:rPr>
                <w:sz w:val="20"/>
              </w:rPr>
            </w:pPr>
            <w:r>
              <w:rPr>
                <w:w w:val="90"/>
                <w:sz w:val="20"/>
              </w:rPr>
              <w:t>12.1</w:t>
            </w:r>
          </w:p>
        </w:tc>
        <w:tc>
          <w:tcPr>
            <w:tcW w:w="1936" w:type="dxa"/>
          </w:tcPr>
          <w:p w14:paraId="61730F24" w14:textId="77777777" w:rsidR="006E1BB2" w:rsidRDefault="007221B2">
            <w:pPr>
              <w:pStyle w:val="TableParagraph"/>
              <w:spacing w:before="0" w:line="229" w:lineRule="exact"/>
              <w:ind w:right="724"/>
              <w:jc w:val="right"/>
              <w:rPr>
                <w:sz w:val="20"/>
              </w:rPr>
            </w:pPr>
            <w:r>
              <w:rPr>
                <w:sz w:val="20"/>
              </w:rPr>
              <w:t>13.3</w:t>
            </w:r>
          </w:p>
        </w:tc>
      </w:tr>
      <w:tr w:rsidR="006E1BB2" w14:paraId="2D2C13D1" w14:textId="77777777">
        <w:trPr>
          <w:trHeight w:val="249"/>
        </w:trPr>
        <w:tc>
          <w:tcPr>
            <w:tcW w:w="2328" w:type="dxa"/>
            <w:vMerge/>
            <w:tcBorders>
              <w:top w:val="nil"/>
            </w:tcBorders>
          </w:tcPr>
          <w:p w14:paraId="50C3E41F" w14:textId="77777777" w:rsidR="006E1BB2" w:rsidRDefault="006E1BB2">
            <w:pPr>
              <w:rPr>
                <w:sz w:val="2"/>
                <w:szCs w:val="2"/>
              </w:rPr>
            </w:pPr>
          </w:p>
        </w:tc>
        <w:tc>
          <w:tcPr>
            <w:tcW w:w="1232" w:type="dxa"/>
            <w:vMerge/>
            <w:tcBorders>
              <w:top w:val="nil"/>
            </w:tcBorders>
          </w:tcPr>
          <w:p w14:paraId="0613672F" w14:textId="77777777" w:rsidR="006E1BB2" w:rsidRDefault="006E1BB2">
            <w:pPr>
              <w:rPr>
                <w:sz w:val="2"/>
                <w:szCs w:val="2"/>
              </w:rPr>
            </w:pPr>
          </w:p>
        </w:tc>
        <w:tc>
          <w:tcPr>
            <w:tcW w:w="1933" w:type="dxa"/>
          </w:tcPr>
          <w:p w14:paraId="316A3B76" w14:textId="77777777" w:rsidR="006E1BB2" w:rsidRDefault="007221B2">
            <w:pPr>
              <w:pStyle w:val="TableParagraph"/>
              <w:spacing w:before="0" w:line="229" w:lineRule="exact"/>
              <w:ind w:left="346" w:right="233"/>
              <w:jc w:val="center"/>
              <w:rPr>
                <w:sz w:val="20"/>
              </w:rPr>
            </w:pPr>
            <w:r>
              <w:rPr>
                <w:sz w:val="20"/>
              </w:rPr>
              <w:t>6,000 – 7,999</w:t>
            </w:r>
          </w:p>
        </w:tc>
        <w:tc>
          <w:tcPr>
            <w:tcW w:w="1935" w:type="dxa"/>
          </w:tcPr>
          <w:p w14:paraId="5377D8FC" w14:textId="77777777" w:rsidR="006E1BB2" w:rsidRDefault="007221B2">
            <w:pPr>
              <w:pStyle w:val="TableParagraph"/>
              <w:spacing w:before="0" w:line="229" w:lineRule="exact"/>
              <w:ind w:right="717"/>
              <w:jc w:val="right"/>
              <w:rPr>
                <w:sz w:val="20"/>
              </w:rPr>
            </w:pPr>
            <w:r>
              <w:rPr>
                <w:w w:val="90"/>
                <w:sz w:val="20"/>
              </w:rPr>
              <w:t>12.1</w:t>
            </w:r>
          </w:p>
        </w:tc>
        <w:tc>
          <w:tcPr>
            <w:tcW w:w="1936" w:type="dxa"/>
          </w:tcPr>
          <w:p w14:paraId="37CC2173" w14:textId="77777777" w:rsidR="006E1BB2" w:rsidRDefault="007221B2">
            <w:pPr>
              <w:pStyle w:val="TableParagraph"/>
              <w:spacing w:before="0" w:line="229" w:lineRule="exact"/>
              <w:ind w:right="724"/>
              <w:jc w:val="right"/>
              <w:rPr>
                <w:sz w:val="20"/>
              </w:rPr>
            </w:pPr>
            <w:r>
              <w:rPr>
                <w:sz w:val="20"/>
              </w:rPr>
              <w:t>13.3</w:t>
            </w:r>
          </w:p>
        </w:tc>
      </w:tr>
      <w:tr w:rsidR="006E1BB2" w14:paraId="29A33C26" w14:textId="77777777">
        <w:trPr>
          <w:trHeight w:val="251"/>
        </w:trPr>
        <w:tc>
          <w:tcPr>
            <w:tcW w:w="2328" w:type="dxa"/>
            <w:vMerge/>
            <w:tcBorders>
              <w:top w:val="nil"/>
            </w:tcBorders>
          </w:tcPr>
          <w:p w14:paraId="0F010701" w14:textId="77777777" w:rsidR="006E1BB2" w:rsidRDefault="006E1BB2">
            <w:pPr>
              <w:rPr>
                <w:sz w:val="2"/>
                <w:szCs w:val="2"/>
              </w:rPr>
            </w:pPr>
          </w:p>
        </w:tc>
        <w:tc>
          <w:tcPr>
            <w:tcW w:w="1232" w:type="dxa"/>
            <w:vMerge/>
            <w:tcBorders>
              <w:top w:val="nil"/>
            </w:tcBorders>
          </w:tcPr>
          <w:p w14:paraId="35766F2E" w14:textId="77777777" w:rsidR="006E1BB2" w:rsidRDefault="006E1BB2">
            <w:pPr>
              <w:rPr>
                <w:sz w:val="2"/>
                <w:szCs w:val="2"/>
              </w:rPr>
            </w:pPr>
          </w:p>
        </w:tc>
        <w:tc>
          <w:tcPr>
            <w:tcW w:w="1933" w:type="dxa"/>
          </w:tcPr>
          <w:p w14:paraId="1B940BEF" w14:textId="77777777" w:rsidR="006E1BB2" w:rsidRDefault="007221B2">
            <w:pPr>
              <w:pStyle w:val="TableParagraph"/>
              <w:spacing w:before="0" w:line="232" w:lineRule="exact"/>
              <w:ind w:left="346" w:right="233"/>
              <w:jc w:val="center"/>
              <w:rPr>
                <w:sz w:val="20"/>
              </w:rPr>
            </w:pPr>
            <w:r>
              <w:rPr>
                <w:sz w:val="20"/>
              </w:rPr>
              <w:t>8,000 – 13,999</w:t>
            </w:r>
          </w:p>
        </w:tc>
        <w:tc>
          <w:tcPr>
            <w:tcW w:w="1935" w:type="dxa"/>
          </w:tcPr>
          <w:p w14:paraId="199A8999" w14:textId="77777777" w:rsidR="006E1BB2" w:rsidRDefault="007221B2">
            <w:pPr>
              <w:pStyle w:val="TableParagraph"/>
              <w:spacing w:before="0" w:line="232" w:lineRule="exact"/>
              <w:ind w:right="717"/>
              <w:jc w:val="right"/>
              <w:rPr>
                <w:sz w:val="20"/>
              </w:rPr>
            </w:pPr>
            <w:r>
              <w:rPr>
                <w:w w:val="90"/>
                <w:sz w:val="20"/>
              </w:rPr>
              <w:t>12.0</w:t>
            </w:r>
          </w:p>
        </w:tc>
        <w:tc>
          <w:tcPr>
            <w:tcW w:w="1936" w:type="dxa"/>
          </w:tcPr>
          <w:p w14:paraId="589D67C8" w14:textId="77777777" w:rsidR="006E1BB2" w:rsidRDefault="007221B2">
            <w:pPr>
              <w:pStyle w:val="TableParagraph"/>
              <w:spacing w:before="0" w:line="232" w:lineRule="exact"/>
              <w:ind w:right="724"/>
              <w:jc w:val="right"/>
              <w:rPr>
                <w:sz w:val="20"/>
              </w:rPr>
            </w:pPr>
            <w:r>
              <w:rPr>
                <w:sz w:val="20"/>
              </w:rPr>
              <w:t>13.2</w:t>
            </w:r>
          </w:p>
        </w:tc>
      </w:tr>
      <w:tr w:rsidR="006E1BB2" w14:paraId="618D0712" w14:textId="77777777">
        <w:trPr>
          <w:trHeight w:val="249"/>
        </w:trPr>
        <w:tc>
          <w:tcPr>
            <w:tcW w:w="2328" w:type="dxa"/>
            <w:vMerge/>
            <w:tcBorders>
              <w:top w:val="nil"/>
            </w:tcBorders>
          </w:tcPr>
          <w:p w14:paraId="76474522" w14:textId="77777777" w:rsidR="006E1BB2" w:rsidRDefault="006E1BB2">
            <w:pPr>
              <w:rPr>
                <w:sz w:val="2"/>
                <w:szCs w:val="2"/>
              </w:rPr>
            </w:pPr>
          </w:p>
        </w:tc>
        <w:tc>
          <w:tcPr>
            <w:tcW w:w="1232" w:type="dxa"/>
            <w:vMerge/>
            <w:tcBorders>
              <w:top w:val="nil"/>
            </w:tcBorders>
          </w:tcPr>
          <w:p w14:paraId="2734268F" w14:textId="77777777" w:rsidR="006E1BB2" w:rsidRDefault="006E1BB2">
            <w:pPr>
              <w:rPr>
                <w:sz w:val="2"/>
                <w:szCs w:val="2"/>
              </w:rPr>
            </w:pPr>
          </w:p>
        </w:tc>
        <w:tc>
          <w:tcPr>
            <w:tcW w:w="1933" w:type="dxa"/>
          </w:tcPr>
          <w:p w14:paraId="16B80382" w14:textId="77777777" w:rsidR="006E1BB2" w:rsidRDefault="007221B2">
            <w:pPr>
              <w:pStyle w:val="TableParagraph"/>
              <w:spacing w:before="0" w:line="229" w:lineRule="exact"/>
              <w:ind w:left="347" w:right="233"/>
              <w:jc w:val="center"/>
              <w:rPr>
                <w:sz w:val="20"/>
              </w:rPr>
            </w:pPr>
            <w:r>
              <w:rPr>
                <w:sz w:val="20"/>
              </w:rPr>
              <w:t>14,000 – 19,999</w:t>
            </w:r>
          </w:p>
        </w:tc>
        <w:tc>
          <w:tcPr>
            <w:tcW w:w="1935" w:type="dxa"/>
          </w:tcPr>
          <w:p w14:paraId="2C6B579D" w14:textId="77777777" w:rsidR="006E1BB2" w:rsidRDefault="007221B2">
            <w:pPr>
              <w:pStyle w:val="TableParagraph"/>
              <w:spacing w:before="0" w:line="229" w:lineRule="exact"/>
              <w:ind w:right="717"/>
              <w:jc w:val="right"/>
              <w:rPr>
                <w:sz w:val="20"/>
              </w:rPr>
            </w:pPr>
            <w:r>
              <w:rPr>
                <w:w w:val="90"/>
                <w:sz w:val="20"/>
              </w:rPr>
              <w:t>11.8</w:t>
            </w:r>
          </w:p>
        </w:tc>
        <w:tc>
          <w:tcPr>
            <w:tcW w:w="1936" w:type="dxa"/>
          </w:tcPr>
          <w:p w14:paraId="2D0CDD28" w14:textId="77777777" w:rsidR="006E1BB2" w:rsidRDefault="007221B2">
            <w:pPr>
              <w:pStyle w:val="TableParagraph"/>
              <w:spacing w:before="0" w:line="229" w:lineRule="exact"/>
              <w:ind w:right="724"/>
              <w:jc w:val="right"/>
              <w:rPr>
                <w:sz w:val="20"/>
              </w:rPr>
            </w:pPr>
            <w:r>
              <w:rPr>
                <w:sz w:val="20"/>
              </w:rPr>
              <w:t>13.0</w:t>
            </w:r>
          </w:p>
        </w:tc>
      </w:tr>
      <w:tr w:rsidR="006E1BB2" w14:paraId="2D3E6475" w14:textId="77777777">
        <w:trPr>
          <w:trHeight w:val="249"/>
        </w:trPr>
        <w:tc>
          <w:tcPr>
            <w:tcW w:w="2328" w:type="dxa"/>
            <w:vMerge/>
            <w:tcBorders>
              <w:top w:val="nil"/>
            </w:tcBorders>
          </w:tcPr>
          <w:p w14:paraId="7A551893" w14:textId="77777777" w:rsidR="006E1BB2" w:rsidRDefault="006E1BB2">
            <w:pPr>
              <w:rPr>
                <w:sz w:val="2"/>
                <w:szCs w:val="2"/>
              </w:rPr>
            </w:pPr>
          </w:p>
        </w:tc>
        <w:tc>
          <w:tcPr>
            <w:tcW w:w="1232" w:type="dxa"/>
            <w:vMerge/>
            <w:tcBorders>
              <w:top w:val="nil"/>
            </w:tcBorders>
          </w:tcPr>
          <w:p w14:paraId="2D9CB3D8" w14:textId="77777777" w:rsidR="006E1BB2" w:rsidRDefault="006E1BB2">
            <w:pPr>
              <w:rPr>
                <w:sz w:val="2"/>
                <w:szCs w:val="2"/>
              </w:rPr>
            </w:pPr>
          </w:p>
        </w:tc>
        <w:tc>
          <w:tcPr>
            <w:tcW w:w="1933" w:type="dxa"/>
          </w:tcPr>
          <w:p w14:paraId="6FAC236F" w14:textId="77777777" w:rsidR="006E1BB2" w:rsidRDefault="007221B2">
            <w:pPr>
              <w:pStyle w:val="TableParagraph"/>
              <w:spacing w:before="0" w:line="229" w:lineRule="exact"/>
              <w:ind w:left="347" w:right="233"/>
              <w:jc w:val="center"/>
              <w:rPr>
                <w:sz w:val="20"/>
              </w:rPr>
            </w:pPr>
            <w:r>
              <w:rPr>
                <w:sz w:val="20"/>
              </w:rPr>
              <w:t>20,000 – 27,999</w:t>
            </w:r>
          </w:p>
        </w:tc>
        <w:tc>
          <w:tcPr>
            <w:tcW w:w="1935" w:type="dxa"/>
          </w:tcPr>
          <w:p w14:paraId="39D83B7B" w14:textId="77777777" w:rsidR="006E1BB2" w:rsidRDefault="007221B2">
            <w:pPr>
              <w:pStyle w:val="TableParagraph"/>
              <w:spacing w:before="0" w:line="229" w:lineRule="exact"/>
              <w:ind w:right="717"/>
              <w:jc w:val="right"/>
              <w:rPr>
                <w:sz w:val="20"/>
              </w:rPr>
            </w:pPr>
            <w:r>
              <w:rPr>
                <w:w w:val="90"/>
                <w:sz w:val="20"/>
              </w:rPr>
              <w:t>10.3</w:t>
            </w:r>
          </w:p>
        </w:tc>
        <w:tc>
          <w:tcPr>
            <w:tcW w:w="1936" w:type="dxa"/>
          </w:tcPr>
          <w:p w14:paraId="376EB5BA" w14:textId="77777777" w:rsidR="006E1BB2" w:rsidRDefault="007221B2">
            <w:pPr>
              <w:pStyle w:val="TableParagraph"/>
              <w:spacing w:before="0" w:line="229" w:lineRule="exact"/>
              <w:ind w:right="724"/>
              <w:jc w:val="right"/>
              <w:rPr>
                <w:sz w:val="20"/>
              </w:rPr>
            </w:pPr>
            <w:r>
              <w:rPr>
                <w:sz w:val="20"/>
              </w:rPr>
              <w:t>11.3</w:t>
            </w:r>
          </w:p>
        </w:tc>
      </w:tr>
      <w:tr w:rsidR="006E1BB2" w14:paraId="402F5F52" w14:textId="77777777">
        <w:trPr>
          <w:trHeight w:val="275"/>
        </w:trPr>
        <w:tc>
          <w:tcPr>
            <w:tcW w:w="2328" w:type="dxa"/>
            <w:vMerge/>
            <w:tcBorders>
              <w:top w:val="nil"/>
            </w:tcBorders>
          </w:tcPr>
          <w:p w14:paraId="4DA0A5B5" w14:textId="77777777" w:rsidR="006E1BB2" w:rsidRDefault="006E1BB2">
            <w:pPr>
              <w:rPr>
                <w:sz w:val="2"/>
                <w:szCs w:val="2"/>
              </w:rPr>
            </w:pPr>
          </w:p>
        </w:tc>
        <w:tc>
          <w:tcPr>
            <w:tcW w:w="1232" w:type="dxa"/>
            <w:vMerge/>
            <w:tcBorders>
              <w:top w:val="nil"/>
            </w:tcBorders>
          </w:tcPr>
          <w:p w14:paraId="2701FC5A" w14:textId="77777777" w:rsidR="006E1BB2" w:rsidRDefault="006E1BB2">
            <w:pPr>
              <w:rPr>
                <w:sz w:val="2"/>
                <w:szCs w:val="2"/>
              </w:rPr>
            </w:pPr>
          </w:p>
        </w:tc>
        <w:tc>
          <w:tcPr>
            <w:tcW w:w="1933" w:type="dxa"/>
          </w:tcPr>
          <w:p w14:paraId="123ADC3E" w14:textId="77777777" w:rsidR="006E1BB2" w:rsidRDefault="007221B2">
            <w:pPr>
              <w:pStyle w:val="TableParagraph"/>
              <w:spacing w:before="18" w:line="237" w:lineRule="exact"/>
              <w:ind w:left="346" w:right="233"/>
              <w:jc w:val="center"/>
              <w:rPr>
                <w:sz w:val="20"/>
              </w:rPr>
            </w:pPr>
            <w:r>
              <w:rPr>
                <w:sz w:val="20"/>
              </w:rPr>
              <w:t>≥ 28,000</w:t>
            </w:r>
          </w:p>
        </w:tc>
        <w:tc>
          <w:tcPr>
            <w:tcW w:w="1935" w:type="dxa"/>
          </w:tcPr>
          <w:p w14:paraId="771FFE4D" w14:textId="77777777" w:rsidR="006E1BB2" w:rsidRDefault="007221B2">
            <w:pPr>
              <w:pStyle w:val="TableParagraph"/>
              <w:spacing w:before="8"/>
              <w:ind w:right="719"/>
              <w:jc w:val="right"/>
              <w:rPr>
                <w:sz w:val="20"/>
              </w:rPr>
            </w:pPr>
            <w:r>
              <w:rPr>
                <w:w w:val="90"/>
                <w:sz w:val="20"/>
              </w:rPr>
              <w:t>9.9</w:t>
            </w:r>
          </w:p>
        </w:tc>
        <w:tc>
          <w:tcPr>
            <w:tcW w:w="1936" w:type="dxa"/>
          </w:tcPr>
          <w:p w14:paraId="216BD0A0" w14:textId="77777777" w:rsidR="006E1BB2" w:rsidRDefault="007221B2">
            <w:pPr>
              <w:pStyle w:val="TableParagraph"/>
              <w:spacing w:before="8"/>
              <w:ind w:right="724"/>
              <w:jc w:val="right"/>
              <w:rPr>
                <w:sz w:val="20"/>
              </w:rPr>
            </w:pPr>
            <w:r>
              <w:rPr>
                <w:sz w:val="20"/>
              </w:rPr>
              <w:t>10.9</w:t>
            </w:r>
          </w:p>
        </w:tc>
      </w:tr>
      <w:tr w:rsidR="006E1BB2" w14:paraId="578BABE2" w14:textId="77777777">
        <w:trPr>
          <w:trHeight w:val="249"/>
        </w:trPr>
        <w:tc>
          <w:tcPr>
            <w:tcW w:w="2328" w:type="dxa"/>
            <w:vMerge/>
            <w:tcBorders>
              <w:top w:val="nil"/>
            </w:tcBorders>
          </w:tcPr>
          <w:p w14:paraId="7468946B" w14:textId="77777777" w:rsidR="006E1BB2" w:rsidRDefault="006E1BB2">
            <w:pPr>
              <w:rPr>
                <w:sz w:val="2"/>
                <w:szCs w:val="2"/>
              </w:rPr>
            </w:pPr>
          </w:p>
        </w:tc>
        <w:tc>
          <w:tcPr>
            <w:tcW w:w="1232" w:type="dxa"/>
            <w:vMerge w:val="restart"/>
          </w:tcPr>
          <w:p w14:paraId="6B12BF96" w14:textId="77777777" w:rsidR="006E1BB2" w:rsidRDefault="007221B2">
            <w:pPr>
              <w:pStyle w:val="TableParagraph"/>
              <w:ind w:left="112"/>
              <w:rPr>
                <w:sz w:val="20"/>
              </w:rPr>
            </w:pPr>
            <w:r>
              <w:rPr>
                <w:sz w:val="20"/>
              </w:rPr>
              <w:t>No</w:t>
            </w:r>
          </w:p>
        </w:tc>
        <w:tc>
          <w:tcPr>
            <w:tcW w:w="1933" w:type="dxa"/>
          </w:tcPr>
          <w:p w14:paraId="494CBAED" w14:textId="77777777" w:rsidR="006E1BB2" w:rsidRDefault="007221B2">
            <w:pPr>
              <w:pStyle w:val="TableParagraph"/>
              <w:spacing w:before="0" w:line="229" w:lineRule="exact"/>
              <w:ind w:left="347" w:right="231"/>
              <w:jc w:val="center"/>
              <w:rPr>
                <w:sz w:val="20"/>
              </w:rPr>
            </w:pPr>
            <w:r>
              <w:rPr>
                <w:sz w:val="20"/>
              </w:rPr>
              <w:t>&lt;6,000</w:t>
            </w:r>
          </w:p>
        </w:tc>
        <w:tc>
          <w:tcPr>
            <w:tcW w:w="1935" w:type="dxa"/>
          </w:tcPr>
          <w:p w14:paraId="1FAC036C" w14:textId="77777777" w:rsidR="006E1BB2" w:rsidRDefault="007221B2">
            <w:pPr>
              <w:pStyle w:val="TableParagraph"/>
              <w:spacing w:before="0" w:line="229" w:lineRule="exact"/>
              <w:ind w:right="717"/>
              <w:jc w:val="right"/>
              <w:rPr>
                <w:sz w:val="20"/>
              </w:rPr>
            </w:pPr>
            <w:r>
              <w:rPr>
                <w:w w:val="90"/>
                <w:sz w:val="20"/>
              </w:rPr>
              <w:t>11.0</w:t>
            </w:r>
          </w:p>
        </w:tc>
        <w:tc>
          <w:tcPr>
            <w:tcW w:w="1936" w:type="dxa"/>
          </w:tcPr>
          <w:p w14:paraId="250BFA3D" w14:textId="77777777" w:rsidR="006E1BB2" w:rsidRDefault="007221B2">
            <w:pPr>
              <w:pStyle w:val="TableParagraph"/>
              <w:spacing w:before="0" w:line="229" w:lineRule="exact"/>
              <w:ind w:right="724"/>
              <w:jc w:val="right"/>
              <w:rPr>
                <w:sz w:val="20"/>
              </w:rPr>
            </w:pPr>
            <w:r>
              <w:rPr>
                <w:sz w:val="20"/>
              </w:rPr>
              <w:t>12.1</w:t>
            </w:r>
          </w:p>
        </w:tc>
      </w:tr>
      <w:tr w:rsidR="006E1BB2" w14:paraId="24689943" w14:textId="77777777">
        <w:trPr>
          <w:trHeight w:val="249"/>
        </w:trPr>
        <w:tc>
          <w:tcPr>
            <w:tcW w:w="2328" w:type="dxa"/>
            <w:vMerge/>
            <w:tcBorders>
              <w:top w:val="nil"/>
            </w:tcBorders>
          </w:tcPr>
          <w:p w14:paraId="244DE002" w14:textId="77777777" w:rsidR="006E1BB2" w:rsidRDefault="006E1BB2">
            <w:pPr>
              <w:rPr>
                <w:sz w:val="2"/>
                <w:szCs w:val="2"/>
              </w:rPr>
            </w:pPr>
          </w:p>
        </w:tc>
        <w:tc>
          <w:tcPr>
            <w:tcW w:w="1232" w:type="dxa"/>
            <w:vMerge/>
            <w:tcBorders>
              <w:top w:val="nil"/>
            </w:tcBorders>
          </w:tcPr>
          <w:p w14:paraId="5A977D93" w14:textId="77777777" w:rsidR="006E1BB2" w:rsidRDefault="006E1BB2">
            <w:pPr>
              <w:rPr>
                <w:sz w:val="2"/>
                <w:szCs w:val="2"/>
              </w:rPr>
            </w:pPr>
          </w:p>
        </w:tc>
        <w:tc>
          <w:tcPr>
            <w:tcW w:w="1933" w:type="dxa"/>
          </w:tcPr>
          <w:p w14:paraId="00B949DF" w14:textId="77777777" w:rsidR="006E1BB2" w:rsidRDefault="007221B2">
            <w:pPr>
              <w:pStyle w:val="TableParagraph"/>
              <w:spacing w:before="0" w:line="229" w:lineRule="exact"/>
              <w:ind w:left="346" w:right="233"/>
              <w:jc w:val="center"/>
              <w:rPr>
                <w:sz w:val="20"/>
              </w:rPr>
            </w:pPr>
            <w:r>
              <w:rPr>
                <w:sz w:val="20"/>
              </w:rPr>
              <w:t>6,000 – 7,999</w:t>
            </w:r>
          </w:p>
        </w:tc>
        <w:tc>
          <w:tcPr>
            <w:tcW w:w="1935" w:type="dxa"/>
          </w:tcPr>
          <w:p w14:paraId="5F539ED7" w14:textId="77777777" w:rsidR="006E1BB2" w:rsidRDefault="007221B2">
            <w:pPr>
              <w:pStyle w:val="TableParagraph"/>
              <w:spacing w:before="0" w:line="229" w:lineRule="exact"/>
              <w:ind w:right="717"/>
              <w:jc w:val="right"/>
              <w:rPr>
                <w:sz w:val="20"/>
              </w:rPr>
            </w:pPr>
            <w:r>
              <w:rPr>
                <w:w w:val="90"/>
                <w:sz w:val="20"/>
              </w:rPr>
              <w:t>11.0</w:t>
            </w:r>
          </w:p>
        </w:tc>
        <w:tc>
          <w:tcPr>
            <w:tcW w:w="1936" w:type="dxa"/>
          </w:tcPr>
          <w:p w14:paraId="26018C1A" w14:textId="77777777" w:rsidR="006E1BB2" w:rsidRDefault="007221B2">
            <w:pPr>
              <w:pStyle w:val="TableParagraph"/>
              <w:spacing w:before="0" w:line="229" w:lineRule="exact"/>
              <w:ind w:right="724"/>
              <w:jc w:val="right"/>
              <w:rPr>
                <w:sz w:val="20"/>
              </w:rPr>
            </w:pPr>
            <w:r>
              <w:rPr>
                <w:sz w:val="20"/>
              </w:rPr>
              <w:t>12.1</w:t>
            </w:r>
          </w:p>
        </w:tc>
      </w:tr>
      <w:tr w:rsidR="006E1BB2" w14:paraId="15F23E35" w14:textId="77777777">
        <w:trPr>
          <w:trHeight w:val="251"/>
        </w:trPr>
        <w:tc>
          <w:tcPr>
            <w:tcW w:w="2328" w:type="dxa"/>
            <w:vMerge/>
            <w:tcBorders>
              <w:top w:val="nil"/>
            </w:tcBorders>
          </w:tcPr>
          <w:p w14:paraId="5BCC74AF" w14:textId="77777777" w:rsidR="006E1BB2" w:rsidRDefault="006E1BB2">
            <w:pPr>
              <w:rPr>
                <w:sz w:val="2"/>
                <w:szCs w:val="2"/>
              </w:rPr>
            </w:pPr>
          </w:p>
        </w:tc>
        <w:tc>
          <w:tcPr>
            <w:tcW w:w="1232" w:type="dxa"/>
            <w:vMerge/>
            <w:tcBorders>
              <w:top w:val="nil"/>
            </w:tcBorders>
          </w:tcPr>
          <w:p w14:paraId="4DA53324" w14:textId="77777777" w:rsidR="006E1BB2" w:rsidRDefault="006E1BB2">
            <w:pPr>
              <w:rPr>
                <w:sz w:val="2"/>
                <w:szCs w:val="2"/>
              </w:rPr>
            </w:pPr>
          </w:p>
        </w:tc>
        <w:tc>
          <w:tcPr>
            <w:tcW w:w="1933" w:type="dxa"/>
          </w:tcPr>
          <w:p w14:paraId="55A7D68D" w14:textId="77777777" w:rsidR="006E1BB2" w:rsidRDefault="007221B2">
            <w:pPr>
              <w:pStyle w:val="TableParagraph"/>
              <w:spacing w:before="0" w:line="232" w:lineRule="exact"/>
              <w:ind w:left="346" w:right="233"/>
              <w:jc w:val="center"/>
              <w:rPr>
                <w:sz w:val="20"/>
              </w:rPr>
            </w:pPr>
            <w:r>
              <w:rPr>
                <w:sz w:val="20"/>
              </w:rPr>
              <w:t>8,000 – 10,999</w:t>
            </w:r>
          </w:p>
        </w:tc>
        <w:tc>
          <w:tcPr>
            <w:tcW w:w="1935" w:type="dxa"/>
          </w:tcPr>
          <w:p w14:paraId="22DEBD56" w14:textId="77777777" w:rsidR="006E1BB2" w:rsidRDefault="007221B2">
            <w:pPr>
              <w:pStyle w:val="TableParagraph"/>
              <w:spacing w:before="0" w:line="232" w:lineRule="exact"/>
              <w:ind w:right="717"/>
              <w:jc w:val="right"/>
              <w:rPr>
                <w:sz w:val="20"/>
              </w:rPr>
            </w:pPr>
            <w:r>
              <w:rPr>
                <w:w w:val="90"/>
                <w:sz w:val="20"/>
              </w:rPr>
              <w:t>10.6</w:t>
            </w:r>
          </w:p>
        </w:tc>
        <w:tc>
          <w:tcPr>
            <w:tcW w:w="1936" w:type="dxa"/>
          </w:tcPr>
          <w:p w14:paraId="5612451D" w14:textId="77777777" w:rsidR="006E1BB2" w:rsidRDefault="007221B2">
            <w:pPr>
              <w:pStyle w:val="TableParagraph"/>
              <w:spacing w:before="0" w:line="232" w:lineRule="exact"/>
              <w:ind w:right="724"/>
              <w:jc w:val="right"/>
              <w:rPr>
                <w:sz w:val="20"/>
              </w:rPr>
            </w:pPr>
            <w:r>
              <w:rPr>
                <w:sz w:val="20"/>
              </w:rPr>
              <w:t>11.7</w:t>
            </w:r>
          </w:p>
        </w:tc>
      </w:tr>
      <w:tr w:rsidR="006E1BB2" w14:paraId="7B81D1F6" w14:textId="77777777">
        <w:trPr>
          <w:trHeight w:val="266"/>
        </w:trPr>
        <w:tc>
          <w:tcPr>
            <w:tcW w:w="2328" w:type="dxa"/>
            <w:vMerge/>
            <w:tcBorders>
              <w:top w:val="nil"/>
            </w:tcBorders>
          </w:tcPr>
          <w:p w14:paraId="09493479" w14:textId="77777777" w:rsidR="006E1BB2" w:rsidRDefault="006E1BB2">
            <w:pPr>
              <w:rPr>
                <w:sz w:val="2"/>
                <w:szCs w:val="2"/>
              </w:rPr>
            </w:pPr>
          </w:p>
        </w:tc>
        <w:tc>
          <w:tcPr>
            <w:tcW w:w="1232" w:type="dxa"/>
            <w:vMerge/>
            <w:tcBorders>
              <w:top w:val="nil"/>
            </w:tcBorders>
          </w:tcPr>
          <w:p w14:paraId="586EC8CB" w14:textId="77777777" w:rsidR="006E1BB2" w:rsidRDefault="006E1BB2">
            <w:pPr>
              <w:rPr>
                <w:sz w:val="2"/>
                <w:szCs w:val="2"/>
              </w:rPr>
            </w:pPr>
          </w:p>
        </w:tc>
        <w:tc>
          <w:tcPr>
            <w:tcW w:w="1933" w:type="dxa"/>
          </w:tcPr>
          <w:p w14:paraId="2D19EE7C" w14:textId="77777777" w:rsidR="006E1BB2" w:rsidRDefault="007221B2">
            <w:pPr>
              <w:pStyle w:val="TableParagraph"/>
              <w:spacing w:before="11" w:line="235" w:lineRule="exact"/>
              <w:ind w:left="347" w:right="233"/>
              <w:jc w:val="center"/>
              <w:rPr>
                <w:sz w:val="20"/>
              </w:rPr>
            </w:pPr>
            <w:r>
              <w:rPr>
                <w:sz w:val="20"/>
              </w:rPr>
              <w:t>11,000 – 13,999</w:t>
            </w:r>
          </w:p>
        </w:tc>
        <w:tc>
          <w:tcPr>
            <w:tcW w:w="1935" w:type="dxa"/>
          </w:tcPr>
          <w:p w14:paraId="56DEE39C" w14:textId="77777777" w:rsidR="006E1BB2" w:rsidRDefault="007221B2">
            <w:pPr>
              <w:pStyle w:val="TableParagraph"/>
              <w:spacing w:before="11" w:line="235" w:lineRule="exact"/>
              <w:ind w:right="717"/>
              <w:jc w:val="right"/>
              <w:rPr>
                <w:sz w:val="20"/>
              </w:rPr>
            </w:pPr>
            <w:r>
              <w:rPr>
                <w:w w:val="90"/>
                <w:sz w:val="20"/>
              </w:rPr>
              <w:t>10.5</w:t>
            </w:r>
          </w:p>
        </w:tc>
        <w:tc>
          <w:tcPr>
            <w:tcW w:w="1936" w:type="dxa"/>
          </w:tcPr>
          <w:p w14:paraId="3FCECC56" w14:textId="77777777" w:rsidR="006E1BB2" w:rsidRDefault="007221B2">
            <w:pPr>
              <w:pStyle w:val="TableParagraph"/>
              <w:spacing w:before="11" w:line="235" w:lineRule="exact"/>
              <w:ind w:right="724"/>
              <w:jc w:val="right"/>
              <w:rPr>
                <w:sz w:val="20"/>
              </w:rPr>
            </w:pPr>
            <w:r>
              <w:rPr>
                <w:sz w:val="20"/>
              </w:rPr>
              <w:t>11.6</w:t>
            </w:r>
          </w:p>
        </w:tc>
      </w:tr>
      <w:tr w:rsidR="006E1BB2" w14:paraId="19B8D3FF" w14:textId="77777777">
        <w:trPr>
          <w:trHeight w:val="249"/>
        </w:trPr>
        <w:tc>
          <w:tcPr>
            <w:tcW w:w="2328" w:type="dxa"/>
            <w:vMerge/>
            <w:tcBorders>
              <w:top w:val="nil"/>
            </w:tcBorders>
          </w:tcPr>
          <w:p w14:paraId="3E60B896" w14:textId="77777777" w:rsidR="006E1BB2" w:rsidRDefault="006E1BB2">
            <w:pPr>
              <w:rPr>
                <w:sz w:val="2"/>
                <w:szCs w:val="2"/>
              </w:rPr>
            </w:pPr>
          </w:p>
        </w:tc>
        <w:tc>
          <w:tcPr>
            <w:tcW w:w="1232" w:type="dxa"/>
            <w:vMerge/>
            <w:tcBorders>
              <w:top w:val="nil"/>
            </w:tcBorders>
          </w:tcPr>
          <w:p w14:paraId="1F9633D4" w14:textId="77777777" w:rsidR="006E1BB2" w:rsidRDefault="006E1BB2">
            <w:pPr>
              <w:rPr>
                <w:sz w:val="2"/>
                <w:szCs w:val="2"/>
              </w:rPr>
            </w:pPr>
          </w:p>
        </w:tc>
        <w:tc>
          <w:tcPr>
            <w:tcW w:w="1933" w:type="dxa"/>
          </w:tcPr>
          <w:p w14:paraId="604EFD9E" w14:textId="77777777" w:rsidR="006E1BB2" w:rsidRDefault="007221B2">
            <w:pPr>
              <w:pStyle w:val="TableParagraph"/>
              <w:spacing w:before="0" w:line="229" w:lineRule="exact"/>
              <w:ind w:left="347" w:right="233"/>
              <w:jc w:val="center"/>
              <w:rPr>
                <w:sz w:val="20"/>
              </w:rPr>
            </w:pPr>
            <w:r>
              <w:rPr>
                <w:sz w:val="20"/>
              </w:rPr>
              <w:t>14,000 – 19,999</w:t>
            </w:r>
          </w:p>
        </w:tc>
        <w:tc>
          <w:tcPr>
            <w:tcW w:w="1935" w:type="dxa"/>
          </w:tcPr>
          <w:p w14:paraId="516479AD" w14:textId="77777777" w:rsidR="006E1BB2" w:rsidRDefault="007221B2">
            <w:pPr>
              <w:pStyle w:val="TableParagraph"/>
              <w:spacing w:before="0" w:line="229" w:lineRule="exact"/>
              <w:ind w:right="717"/>
              <w:jc w:val="right"/>
              <w:rPr>
                <w:sz w:val="20"/>
              </w:rPr>
            </w:pPr>
            <w:r>
              <w:rPr>
                <w:w w:val="90"/>
                <w:sz w:val="20"/>
              </w:rPr>
              <w:t>10.2</w:t>
            </w:r>
          </w:p>
        </w:tc>
        <w:tc>
          <w:tcPr>
            <w:tcW w:w="1936" w:type="dxa"/>
          </w:tcPr>
          <w:p w14:paraId="169CD58A" w14:textId="77777777" w:rsidR="006E1BB2" w:rsidRDefault="007221B2">
            <w:pPr>
              <w:pStyle w:val="TableParagraph"/>
              <w:spacing w:before="0" w:line="229" w:lineRule="exact"/>
              <w:ind w:right="724"/>
              <w:jc w:val="right"/>
              <w:rPr>
                <w:sz w:val="20"/>
              </w:rPr>
            </w:pPr>
            <w:r>
              <w:rPr>
                <w:sz w:val="20"/>
              </w:rPr>
              <w:t>11.2</w:t>
            </w:r>
          </w:p>
        </w:tc>
      </w:tr>
      <w:tr w:rsidR="006E1BB2" w14:paraId="42D6ED50" w14:textId="77777777">
        <w:trPr>
          <w:trHeight w:val="275"/>
        </w:trPr>
        <w:tc>
          <w:tcPr>
            <w:tcW w:w="2328" w:type="dxa"/>
            <w:vMerge/>
            <w:tcBorders>
              <w:top w:val="nil"/>
            </w:tcBorders>
          </w:tcPr>
          <w:p w14:paraId="62A98E57" w14:textId="77777777" w:rsidR="006E1BB2" w:rsidRDefault="006E1BB2">
            <w:pPr>
              <w:rPr>
                <w:sz w:val="2"/>
                <w:szCs w:val="2"/>
              </w:rPr>
            </w:pPr>
          </w:p>
        </w:tc>
        <w:tc>
          <w:tcPr>
            <w:tcW w:w="1232" w:type="dxa"/>
            <w:vMerge/>
            <w:tcBorders>
              <w:top w:val="nil"/>
            </w:tcBorders>
          </w:tcPr>
          <w:p w14:paraId="1DC67BFF" w14:textId="77777777" w:rsidR="006E1BB2" w:rsidRDefault="006E1BB2">
            <w:pPr>
              <w:rPr>
                <w:sz w:val="2"/>
                <w:szCs w:val="2"/>
              </w:rPr>
            </w:pPr>
          </w:p>
        </w:tc>
        <w:tc>
          <w:tcPr>
            <w:tcW w:w="1933" w:type="dxa"/>
          </w:tcPr>
          <w:p w14:paraId="628F97B0" w14:textId="77777777" w:rsidR="006E1BB2" w:rsidRDefault="007221B2">
            <w:pPr>
              <w:pStyle w:val="TableParagraph"/>
              <w:spacing w:before="18" w:line="237" w:lineRule="exact"/>
              <w:ind w:left="346" w:right="233"/>
              <w:jc w:val="center"/>
              <w:rPr>
                <w:sz w:val="20"/>
              </w:rPr>
            </w:pPr>
            <w:r>
              <w:rPr>
                <w:sz w:val="20"/>
              </w:rPr>
              <w:t>≥ 20,000</w:t>
            </w:r>
          </w:p>
        </w:tc>
        <w:tc>
          <w:tcPr>
            <w:tcW w:w="1935" w:type="dxa"/>
          </w:tcPr>
          <w:p w14:paraId="39BB21AA" w14:textId="77777777" w:rsidR="006E1BB2" w:rsidRDefault="007221B2">
            <w:pPr>
              <w:pStyle w:val="TableParagraph"/>
              <w:spacing w:before="8"/>
              <w:ind w:right="717"/>
              <w:jc w:val="right"/>
              <w:rPr>
                <w:sz w:val="20"/>
              </w:rPr>
            </w:pPr>
            <w:r>
              <w:rPr>
                <w:w w:val="90"/>
                <w:sz w:val="20"/>
              </w:rPr>
              <w:t>10.3</w:t>
            </w:r>
          </w:p>
        </w:tc>
        <w:tc>
          <w:tcPr>
            <w:tcW w:w="1936" w:type="dxa"/>
          </w:tcPr>
          <w:p w14:paraId="5B0751B8" w14:textId="77777777" w:rsidR="006E1BB2" w:rsidRDefault="007221B2">
            <w:pPr>
              <w:pStyle w:val="TableParagraph"/>
              <w:spacing w:before="8"/>
              <w:ind w:right="724"/>
              <w:jc w:val="right"/>
              <w:rPr>
                <w:sz w:val="20"/>
              </w:rPr>
            </w:pPr>
            <w:r>
              <w:rPr>
                <w:sz w:val="20"/>
              </w:rPr>
              <w:t>11.3</w:t>
            </w:r>
          </w:p>
        </w:tc>
      </w:tr>
      <w:tr w:rsidR="006E1BB2" w14:paraId="46D702AC" w14:textId="77777777">
        <w:trPr>
          <w:trHeight w:val="249"/>
        </w:trPr>
        <w:tc>
          <w:tcPr>
            <w:tcW w:w="2328" w:type="dxa"/>
            <w:vMerge w:val="restart"/>
          </w:tcPr>
          <w:p w14:paraId="4A5AFE5D" w14:textId="77777777" w:rsidR="006E1BB2" w:rsidRDefault="007221B2">
            <w:pPr>
              <w:pStyle w:val="TableParagraph"/>
              <w:ind w:left="112"/>
              <w:rPr>
                <w:sz w:val="20"/>
              </w:rPr>
            </w:pPr>
            <w:r>
              <w:rPr>
                <w:sz w:val="20"/>
              </w:rPr>
              <w:t>Room AC Heat Pump</w:t>
            </w:r>
          </w:p>
        </w:tc>
        <w:tc>
          <w:tcPr>
            <w:tcW w:w="1232" w:type="dxa"/>
            <w:vMerge w:val="restart"/>
          </w:tcPr>
          <w:p w14:paraId="1FDD09A2" w14:textId="77777777" w:rsidR="006E1BB2" w:rsidRDefault="007221B2">
            <w:pPr>
              <w:pStyle w:val="TableParagraph"/>
              <w:ind w:left="112"/>
              <w:rPr>
                <w:sz w:val="20"/>
              </w:rPr>
            </w:pPr>
            <w:r>
              <w:rPr>
                <w:sz w:val="20"/>
              </w:rPr>
              <w:t>Yes</w:t>
            </w:r>
          </w:p>
        </w:tc>
        <w:tc>
          <w:tcPr>
            <w:tcW w:w="1933" w:type="dxa"/>
          </w:tcPr>
          <w:p w14:paraId="7DC74924" w14:textId="77777777" w:rsidR="006E1BB2" w:rsidRDefault="007221B2">
            <w:pPr>
              <w:pStyle w:val="TableParagraph"/>
              <w:spacing w:before="0" w:line="229" w:lineRule="exact"/>
              <w:ind w:left="346" w:right="233"/>
              <w:jc w:val="center"/>
              <w:rPr>
                <w:sz w:val="20"/>
              </w:rPr>
            </w:pPr>
            <w:r>
              <w:rPr>
                <w:sz w:val="20"/>
              </w:rPr>
              <w:t>&lt; 20,000</w:t>
            </w:r>
          </w:p>
        </w:tc>
        <w:tc>
          <w:tcPr>
            <w:tcW w:w="1935" w:type="dxa"/>
          </w:tcPr>
          <w:p w14:paraId="614DDA3E" w14:textId="77777777" w:rsidR="006E1BB2" w:rsidRDefault="007221B2">
            <w:pPr>
              <w:pStyle w:val="TableParagraph"/>
              <w:spacing w:before="0" w:line="229" w:lineRule="exact"/>
              <w:ind w:right="717"/>
              <w:jc w:val="right"/>
              <w:rPr>
                <w:sz w:val="20"/>
              </w:rPr>
            </w:pPr>
            <w:r>
              <w:rPr>
                <w:w w:val="90"/>
                <w:sz w:val="20"/>
              </w:rPr>
              <w:t>10.8</w:t>
            </w:r>
          </w:p>
        </w:tc>
        <w:tc>
          <w:tcPr>
            <w:tcW w:w="1936" w:type="dxa"/>
          </w:tcPr>
          <w:p w14:paraId="02BA7995" w14:textId="77777777" w:rsidR="006E1BB2" w:rsidRDefault="007221B2">
            <w:pPr>
              <w:pStyle w:val="TableParagraph"/>
              <w:spacing w:before="0" w:line="229" w:lineRule="exact"/>
              <w:ind w:right="724"/>
              <w:jc w:val="right"/>
              <w:rPr>
                <w:sz w:val="20"/>
              </w:rPr>
            </w:pPr>
            <w:r>
              <w:rPr>
                <w:sz w:val="20"/>
              </w:rPr>
              <w:t>11.9</w:t>
            </w:r>
          </w:p>
        </w:tc>
      </w:tr>
      <w:tr w:rsidR="006E1BB2" w14:paraId="6909B62C" w14:textId="77777777">
        <w:trPr>
          <w:trHeight w:val="273"/>
        </w:trPr>
        <w:tc>
          <w:tcPr>
            <w:tcW w:w="2328" w:type="dxa"/>
            <w:vMerge/>
            <w:tcBorders>
              <w:top w:val="nil"/>
            </w:tcBorders>
          </w:tcPr>
          <w:p w14:paraId="418E6D82" w14:textId="77777777" w:rsidR="006E1BB2" w:rsidRDefault="006E1BB2">
            <w:pPr>
              <w:rPr>
                <w:sz w:val="2"/>
                <w:szCs w:val="2"/>
              </w:rPr>
            </w:pPr>
          </w:p>
        </w:tc>
        <w:tc>
          <w:tcPr>
            <w:tcW w:w="1232" w:type="dxa"/>
            <w:vMerge/>
            <w:tcBorders>
              <w:top w:val="nil"/>
            </w:tcBorders>
          </w:tcPr>
          <w:p w14:paraId="100BE9B9" w14:textId="77777777" w:rsidR="006E1BB2" w:rsidRDefault="006E1BB2">
            <w:pPr>
              <w:rPr>
                <w:sz w:val="2"/>
                <w:szCs w:val="2"/>
              </w:rPr>
            </w:pPr>
          </w:p>
        </w:tc>
        <w:tc>
          <w:tcPr>
            <w:tcW w:w="1933" w:type="dxa"/>
          </w:tcPr>
          <w:p w14:paraId="34121B59" w14:textId="77777777" w:rsidR="006E1BB2" w:rsidRDefault="007221B2">
            <w:pPr>
              <w:pStyle w:val="TableParagraph"/>
              <w:spacing w:before="18" w:line="235" w:lineRule="exact"/>
              <w:ind w:left="346" w:right="233"/>
              <w:jc w:val="center"/>
              <w:rPr>
                <w:sz w:val="20"/>
              </w:rPr>
            </w:pPr>
            <w:r>
              <w:rPr>
                <w:sz w:val="20"/>
              </w:rPr>
              <w:t>≥ 20,000</w:t>
            </w:r>
          </w:p>
        </w:tc>
        <w:tc>
          <w:tcPr>
            <w:tcW w:w="1935" w:type="dxa"/>
          </w:tcPr>
          <w:p w14:paraId="35B00790" w14:textId="77777777" w:rsidR="006E1BB2" w:rsidRDefault="007221B2">
            <w:pPr>
              <w:pStyle w:val="TableParagraph"/>
              <w:spacing w:before="8"/>
              <w:ind w:right="717"/>
              <w:jc w:val="right"/>
              <w:rPr>
                <w:sz w:val="20"/>
              </w:rPr>
            </w:pPr>
            <w:r>
              <w:rPr>
                <w:w w:val="90"/>
                <w:sz w:val="20"/>
              </w:rPr>
              <w:t>10.2</w:t>
            </w:r>
          </w:p>
        </w:tc>
        <w:tc>
          <w:tcPr>
            <w:tcW w:w="1936" w:type="dxa"/>
          </w:tcPr>
          <w:p w14:paraId="3D1EFE2C" w14:textId="77777777" w:rsidR="006E1BB2" w:rsidRDefault="007221B2">
            <w:pPr>
              <w:pStyle w:val="TableParagraph"/>
              <w:spacing w:before="8"/>
              <w:ind w:right="724"/>
              <w:jc w:val="right"/>
              <w:rPr>
                <w:sz w:val="20"/>
              </w:rPr>
            </w:pPr>
            <w:r>
              <w:rPr>
                <w:sz w:val="20"/>
              </w:rPr>
              <w:t>11.2</w:t>
            </w:r>
          </w:p>
        </w:tc>
      </w:tr>
      <w:tr w:rsidR="006E1BB2" w14:paraId="63F7E873" w14:textId="77777777">
        <w:trPr>
          <w:trHeight w:val="249"/>
        </w:trPr>
        <w:tc>
          <w:tcPr>
            <w:tcW w:w="2328" w:type="dxa"/>
            <w:vMerge/>
            <w:tcBorders>
              <w:top w:val="nil"/>
            </w:tcBorders>
          </w:tcPr>
          <w:p w14:paraId="349EAE2C" w14:textId="77777777" w:rsidR="006E1BB2" w:rsidRDefault="006E1BB2">
            <w:pPr>
              <w:rPr>
                <w:sz w:val="2"/>
                <w:szCs w:val="2"/>
              </w:rPr>
            </w:pPr>
          </w:p>
        </w:tc>
        <w:tc>
          <w:tcPr>
            <w:tcW w:w="1232" w:type="dxa"/>
            <w:vMerge w:val="restart"/>
          </w:tcPr>
          <w:p w14:paraId="468C8EF2" w14:textId="77777777" w:rsidR="006E1BB2" w:rsidRDefault="007221B2">
            <w:pPr>
              <w:pStyle w:val="TableParagraph"/>
              <w:ind w:left="112"/>
              <w:rPr>
                <w:sz w:val="20"/>
              </w:rPr>
            </w:pPr>
            <w:r>
              <w:rPr>
                <w:sz w:val="20"/>
              </w:rPr>
              <w:t>No</w:t>
            </w:r>
          </w:p>
        </w:tc>
        <w:tc>
          <w:tcPr>
            <w:tcW w:w="1933" w:type="dxa"/>
          </w:tcPr>
          <w:p w14:paraId="1954C643" w14:textId="77777777" w:rsidR="006E1BB2" w:rsidRDefault="007221B2">
            <w:pPr>
              <w:pStyle w:val="TableParagraph"/>
              <w:spacing w:before="0" w:line="229" w:lineRule="exact"/>
              <w:ind w:left="346" w:right="233"/>
              <w:jc w:val="center"/>
              <w:rPr>
                <w:sz w:val="20"/>
              </w:rPr>
            </w:pPr>
            <w:r>
              <w:rPr>
                <w:sz w:val="20"/>
              </w:rPr>
              <w:t>&lt; 14,000</w:t>
            </w:r>
          </w:p>
        </w:tc>
        <w:tc>
          <w:tcPr>
            <w:tcW w:w="1935" w:type="dxa"/>
          </w:tcPr>
          <w:p w14:paraId="6446C4D7" w14:textId="77777777" w:rsidR="006E1BB2" w:rsidRDefault="007221B2">
            <w:pPr>
              <w:pStyle w:val="TableParagraph"/>
              <w:spacing w:before="0" w:line="229" w:lineRule="exact"/>
              <w:ind w:right="717"/>
              <w:jc w:val="right"/>
              <w:rPr>
                <w:sz w:val="20"/>
              </w:rPr>
            </w:pPr>
            <w:r>
              <w:rPr>
                <w:w w:val="90"/>
                <w:sz w:val="20"/>
              </w:rPr>
              <w:t>10.2</w:t>
            </w:r>
          </w:p>
        </w:tc>
        <w:tc>
          <w:tcPr>
            <w:tcW w:w="1936" w:type="dxa"/>
          </w:tcPr>
          <w:p w14:paraId="09FA5768" w14:textId="77777777" w:rsidR="006E1BB2" w:rsidRDefault="007221B2">
            <w:pPr>
              <w:pStyle w:val="TableParagraph"/>
              <w:spacing w:before="0" w:line="229" w:lineRule="exact"/>
              <w:ind w:right="724"/>
              <w:jc w:val="right"/>
              <w:rPr>
                <w:sz w:val="20"/>
              </w:rPr>
            </w:pPr>
            <w:r>
              <w:rPr>
                <w:sz w:val="20"/>
              </w:rPr>
              <w:t>11.2</w:t>
            </w:r>
          </w:p>
        </w:tc>
      </w:tr>
      <w:tr w:rsidR="006E1BB2" w14:paraId="7351FB56" w14:textId="77777777">
        <w:trPr>
          <w:trHeight w:val="273"/>
        </w:trPr>
        <w:tc>
          <w:tcPr>
            <w:tcW w:w="2328" w:type="dxa"/>
            <w:vMerge/>
            <w:tcBorders>
              <w:top w:val="nil"/>
            </w:tcBorders>
          </w:tcPr>
          <w:p w14:paraId="389D8268" w14:textId="77777777" w:rsidR="006E1BB2" w:rsidRDefault="006E1BB2">
            <w:pPr>
              <w:rPr>
                <w:sz w:val="2"/>
                <w:szCs w:val="2"/>
              </w:rPr>
            </w:pPr>
          </w:p>
        </w:tc>
        <w:tc>
          <w:tcPr>
            <w:tcW w:w="1232" w:type="dxa"/>
            <w:vMerge/>
            <w:tcBorders>
              <w:top w:val="nil"/>
            </w:tcBorders>
          </w:tcPr>
          <w:p w14:paraId="0DA0A893" w14:textId="77777777" w:rsidR="006E1BB2" w:rsidRDefault="006E1BB2">
            <w:pPr>
              <w:rPr>
                <w:sz w:val="2"/>
                <w:szCs w:val="2"/>
              </w:rPr>
            </w:pPr>
          </w:p>
        </w:tc>
        <w:tc>
          <w:tcPr>
            <w:tcW w:w="1933" w:type="dxa"/>
          </w:tcPr>
          <w:p w14:paraId="676FCC3E" w14:textId="77777777" w:rsidR="006E1BB2" w:rsidRDefault="007221B2">
            <w:pPr>
              <w:pStyle w:val="TableParagraph"/>
              <w:spacing w:before="18" w:line="235" w:lineRule="exact"/>
              <w:ind w:left="346" w:right="233"/>
              <w:jc w:val="center"/>
              <w:rPr>
                <w:sz w:val="20"/>
              </w:rPr>
            </w:pPr>
            <w:r>
              <w:rPr>
                <w:sz w:val="20"/>
              </w:rPr>
              <w:t>≥ 14,000</w:t>
            </w:r>
          </w:p>
        </w:tc>
        <w:tc>
          <w:tcPr>
            <w:tcW w:w="1935" w:type="dxa"/>
          </w:tcPr>
          <w:p w14:paraId="46FB533F" w14:textId="77777777" w:rsidR="006E1BB2" w:rsidRDefault="007221B2">
            <w:pPr>
              <w:pStyle w:val="TableParagraph"/>
              <w:spacing w:before="8"/>
              <w:ind w:right="719"/>
              <w:jc w:val="right"/>
              <w:rPr>
                <w:sz w:val="20"/>
              </w:rPr>
            </w:pPr>
            <w:r>
              <w:rPr>
                <w:w w:val="90"/>
                <w:sz w:val="20"/>
              </w:rPr>
              <w:t>9.6</w:t>
            </w:r>
          </w:p>
        </w:tc>
        <w:tc>
          <w:tcPr>
            <w:tcW w:w="1936" w:type="dxa"/>
          </w:tcPr>
          <w:p w14:paraId="32B560DE" w14:textId="77777777" w:rsidR="006E1BB2" w:rsidRDefault="007221B2">
            <w:pPr>
              <w:pStyle w:val="TableParagraph"/>
              <w:spacing w:before="8"/>
              <w:ind w:right="724"/>
              <w:jc w:val="right"/>
              <w:rPr>
                <w:sz w:val="20"/>
              </w:rPr>
            </w:pPr>
            <w:r>
              <w:rPr>
                <w:sz w:val="20"/>
              </w:rPr>
              <w:t>10.6</w:t>
            </w:r>
          </w:p>
        </w:tc>
      </w:tr>
      <w:tr w:rsidR="006E1BB2" w14:paraId="2F23EBF7" w14:textId="77777777">
        <w:trPr>
          <w:trHeight w:val="285"/>
        </w:trPr>
        <w:tc>
          <w:tcPr>
            <w:tcW w:w="2328" w:type="dxa"/>
          </w:tcPr>
          <w:p w14:paraId="2B241884" w14:textId="77777777" w:rsidR="006E1BB2" w:rsidRDefault="007221B2">
            <w:pPr>
              <w:pStyle w:val="TableParagraph"/>
              <w:spacing w:before="15"/>
              <w:ind w:left="112"/>
              <w:rPr>
                <w:sz w:val="20"/>
              </w:rPr>
            </w:pPr>
            <w:r>
              <w:rPr>
                <w:sz w:val="20"/>
              </w:rPr>
              <w:t>Casement-Only Room AC</w:t>
            </w:r>
          </w:p>
        </w:tc>
        <w:tc>
          <w:tcPr>
            <w:tcW w:w="1232" w:type="dxa"/>
          </w:tcPr>
          <w:p w14:paraId="22CD469D" w14:textId="77777777" w:rsidR="006E1BB2" w:rsidRDefault="007221B2">
            <w:pPr>
              <w:pStyle w:val="TableParagraph"/>
              <w:ind w:left="112"/>
              <w:rPr>
                <w:sz w:val="20"/>
              </w:rPr>
            </w:pPr>
            <w:r>
              <w:rPr>
                <w:sz w:val="20"/>
              </w:rPr>
              <w:t>Either</w:t>
            </w:r>
          </w:p>
        </w:tc>
        <w:tc>
          <w:tcPr>
            <w:tcW w:w="1933" w:type="dxa"/>
          </w:tcPr>
          <w:p w14:paraId="381AB387" w14:textId="77777777" w:rsidR="006E1BB2" w:rsidRDefault="007221B2">
            <w:pPr>
              <w:pStyle w:val="TableParagraph"/>
              <w:ind w:left="347" w:right="230"/>
              <w:jc w:val="center"/>
              <w:rPr>
                <w:sz w:val="20"/>
              </w:rPr>
            </w:pPr>
            <w:r>
              <w:rPr>
                <w:sz w:val="20"/>
              </w:rPr>
              <w:t>Any</w:t>
            </w:r>
          </w:p>
        </w:tc>
        <w:tc>
          <w:tcPr>
            <w:tcW w:w="1935" w:type="dxa"/>
          </w:tcPr>
          <w:p w14:paraId="7366083F" w14:textId="77777777" w:rsidR="006E1BB2" w:rsidRDefault="007221B2">
            <w:pPr>
              <w:pStyle w:val="TableParagraph"/>
              <w:ind w:right="717"/>
              <w:jc w:val="right"/>
              <w:rPr>
                <w:sz w:val="20"/>
              </w:rPr>
            </w:pPr>
            <w:r>
              <w:rPr>
                <w:w w:val="90"/>
                <w:sz w:val="20"/>
              </w:rPr>
              <w:t>10.5</w:t>
            </w:r>
          </w:p>
        </w:tc>
        <w:tc>
          <w:tcPr>
            <w:tcW w:w="1936" w:type="dxa"/>
          </w:tcPr>
          <w:p w14:paraId="2C5760A9" w14:textId="77777777" w:rsidR="006E1BB2" w:rsidRDefault="007221B2">
            <w:pPr>
              <w:pStyle w:val="TableParagraph"/>
              <w:ind w:right="724"/>
              <w:jc w:val="right"/>
              <w:rPr>
                <w:sz w:val="20"/>
              </w:rPr>
            </w:pPr>
            <w:r>
              <w:rPr>
                <w:sz w:val="20"/>
              </w:rPr>
              <w:t>11.6</w:t>
            </w:r>
          </w:p>
        </w:tc>
      </w:tr>
      <w:tr w:rsidR="006E1BB2" w14:paraId="494AAE65" w14:textId="77777777">
        <w:trPr>
          <w:trHeight w:val="282"/>
        </w:trPr>
        <w:tc>
          <w:tcPr>
            <w:tcW w:w="2328" w:type="dxa"/>
          </w:tcPr>
          <w:p w14:paraId="102041E5" w14:textId="77777777" w:rsidR="006E1BB2" w:rsidRDefault="007221B2">
            <w:pPr>
              <w:pStyle w:val="TableParagraph"/>
              <w:spacing w:before="15"/>
              <w:ind w:left="112"/>
              <w:rPr>
                <w:sz w:val="20"/>
              </w:rPr>
            </w:pPr>
            <w:r>
              <w:rPr>
                <w:sz w:val="20"/>
              </w:rPr>
              <w:t>Casement-Slider Room AC</w:t>
            </w:r>
          </w:p>
        </w:tc>
        <w:tc>
          <w:tcPr>
            <w:tcW w:w="1232" w:type="dxa"/>
          </w:tcPr>
          <w:p w14:paraId="408C9587" w14:textId="77777777" w:rsidR="006E1BB2" w:rsidRDefault="007221B2">
            <w:pPr>
              <w:pStyle w:val="TableParagraph"/>
              <w:spacing w:line="242" w:lineRule="exact"/>
              <w:ind w:left="112"/>
              <w:rPr>
                <w:sz w:val="20"/>
              </w:rPr>
            </w:pPr>
            <w:r>
              <w:rPr>
                <w:sz w:val="20"/>
              </w:rPr>
              <w:t>Either</w:t>
            </w:r>
          </w:p>
        </w:tc>
        <w:tc>
          <w:tcPr>
            <w:tcW w:w="1933" w:type="dxa"/>
          </w:tcPr>
          <w:p w14:paraId="6C5143BE" w14:textId="77777777" w:rsidR="006E1BB2" w:rsidRDefault="007221B2">
            <w:pPr>
              <w:pStyle w:val="TableParagraph"/>
              <w:spacing w:line="242" w:lineRule="exact"/>
              <w:ind w:left="347" w:right="230"/>
              <w:jc w:val="center"/>
              <w:rPr>
                <w:sz w:val="20"/>
              </w:rPr>
            </w:pPr>
            <w:r>
              <w:rPr>
                <w:sz w:val="20"/>
              </w:rPr>
              <w:t>Any</w:t>
            </w:r>
          </w:p>
        </w:tc>
        <w:tc>
          <w:tcPr>
            <w:tcW w:w="1935" w:type="dxa"/>
          </w:tcPr>
          <w:p w14:paraId="04A0B8DA" w14:textId="77777777" w:rsidR="006E1BB2" w:rsidRDefault="007221B2">
            <w:pPr>
              <w:pStyle w:val="TableParagraph"/>
              <w:spacing w:line="242" w:lineRule="exact"/>
              <w:ind w:right="717"/>
              <w:jc w:val="right"/>
              <w:rPr>
                <w:sz w:val="20"/>
              </w:rPr>
            </w:pPr>
            <w:r>
              <w:rPr>
                <w:w w:val="90"/>
                <w:sz w:val="20"/>
              </w:rPr>
              <w:t>11.4</w:t>
            </w:r>
          </w:p>
        </w:tc>
        <w:tc>
          <w:tcPr>
            <w:tcW w:w="1936" w:type="dxa"/>
          </w:tcPr>
          <w:p w14:paraId="24E03B2B" w14:textId="77777777" w:rsidR="006E1BB2" w:rsidRDefault="007221B2">
            <w:pPr>
              <w:pStyle w:val="TableParagraph"/>
              <w:spacing w:line="242" w:lineRule="exact"/>
              <w:ind w:right="724"/>
              <w:jc w:val="right"/>
              <w:rPr>
                <w:sz w:val="20"/>
              </w:rPr>
            </w:pPr>
            <w:r>
              <w:rPr>
                <w:sz w:val="20"/>
              </w:rPr>
              <w:t>12.5</w:t>
            </w:r>
          </w:p>
        </w:tc>
      </w:tr>
    </w:tbl>
    <w:p w14:paraId="5111475C" w14:textId="77777777" w:rsidR="006E1BB2" w:rsidRDefault="006E1BB2">
      <w:pPr>
        <w:pStyle w:val="BodyText"/>
      </w:pPr>
    </w:p>
    <w:p w14:paraId="1EEB7921" w14:textId="77777777" w:rsidR="006E1BB2" w:rsidRDefault="006E1BB2">
      <w:pPr>
        <w:pStyle w:val="BodyText"/>
        <w:spacing w:before="7"/>
        <w:rPr>
          <w:sz w:val="20"/>
        </w:rPr>
      </w:pPr>
    </w:p>
    <w:p w14:paraId="4A929F42" w14:textId="77777777" w:rsidR="006E1BB2" w:rsidRDefault="007221B2">
      <w:pPr>
        <w:pStyle w:val="Heading1"/>
        <w:spacing w:before="1"/>
      </w:pPr>
      <w:bookmarkStart w:id="4" w:name="_TOC_250019"/>
      <w:bookmarkEnd w:id="4"/>
      <w:r>
        <w:rPr>
          <w:color w:val="CFAB79"/>
        </w:rPr>
        <w:t>BASE CASE DESCRIPTION</w:t>
      </w:r>
    </w:p>
    <w:p w14:paraId="75F4909F" w14:textId="77777777" w:rsidR="006E1BB2" w:rsidRDefault="007221B2">
      <w:pPr>
        <w:pStyle w:val="BodyText"/>
        <w:spacing w:before="115"/>
        <w:ind w:left="120" w:right="282"/>
      </w:pPr>
      <w:r>
        <w:t>The base case room air conditioner is defined as a unit that complies with the minimum specification of the California Appliance Efficiency Regulations (Title 20)</w:t>
      </w:r>
      <w:r>
        <w:rPr>
          <w:vertAlign w:val="superscript"/>
        </w:rPr>
        <w:t>3</w:t>
      </w:r>
      <w:r>
        <w:t xml:space="preserve"> (see Code Requirements section), and that does not meet the ENERGY STAR Version 4.0 efficiency criteria.</w:t>
      </w:r>
    </w:p>
    <w:p w14:paraId="425D284F" w14:textId="77777777" w:rsidR="006E1BB2" w:rsidRDefault="006E1BB2">
      <w:pPr>
        <w:pStyle w:val="BodyText"/>
      </w:pPr>
    </w:p>
    <w:p w14:paraId="0AE044FB" w14:textId="77777777" w:rsidR="006E1BB2" w:rsidRDefault="006E1BB2">
      <w:pPr>
        <w:pStyle w:val="BodyText"/>
        <w:spacing w:before="9"/>
        <w:rPr>
          <w:sz w:val="20"/>
        </w:rPr>
      </w:pPr>
    </w:p>
    <w:p w14:paraId="58C30256" w14:textId="77777777" w:rsidR="006E1BB2" w:rsidRDefault="007221B2">
      <w:pPr>
        <w:pStyle w:val="Heading1"/>
      </w:pPr>
      <w:bookmarkStart w:id="5" w:name="_TOC_250018"/>
      <w:bookmarkEnd w:id="5"/>
      <w:r>
        <w:rPr>
          <w:color w:val="CFAB79"/>
        </w:rPr>
        <w:t>CODE REQUIREMENTS</w:t>
      </w:r>
    </w:p>
    <w:p w14:paraId="4C3D7D13" w14:textId="77777777" w:rsidR="006E1BB2" w:rsidRDefault="007221B2">
      <w:pPr>
        <w:pStyle w:val="BodyText"/>
        <w:spacing w:before="115"/>
        <w:ind w:left="120" w:right="254"/>
      </w:pPr>
      <w:r>
        <w:t>As shown below, room air conditioners are governed by California 2016 Appliance Efficiency Regulations (Title 20)</w:t>
      </w:r>
      <w:r>
        <w:rPr>
          <w:vertAlign w:val="superscript"/>
        </w:rPr>
        <w:t>4</w:t>
      </w:r>
      <w:r>
        <w:t xml:space="preserve"> which mirror current federal efficiency standards. The combined EER or room air conditioners manufactured on or after June 1, 2014 shall not be less than the applicable values shown in the following tables. (Note that room air conditioning heat pumps are also frequently referred to as reverse cycle room air conditioners.)</w:t>
      </w:r>
    </w:p>
    <w:p w14:paraId="6DF427F4" w14:textId="77777777" w:rsidR="006E1BB2" w:rsidRDefault="006E1BB2">
      <w:pPr>
        <w:pStyle w:val="BodyText"/>
        <w:rPr>
          <w:sz w:val="20"/>
        </w:rPr>
      </w:pPr>
    </w:p>
    <w:p w14:paraId="4AADA49D" w14:textId="77777777" w:rsidR="006E1BB2" w:rsidRDefault="006E1BB2">
      <w:pPr>
        <w:pStyle w:val="BodyText"/>
        <w:rPr>
          <w:sz w:val="20"/>
        </w:rPr>
      </w:pPr>
    </w:p>
    <w:p w14:paraId="02910750" w14:textId="77777777" w:rsidR="006E1BB2" w:rsidRDefault="006E1BB2">
      <w:pPr>
        <w:pStyle w:val="BodyText"/>
        <w:rPr>
          <w:sz w:val="20"/>
        </w:rPr>
      </w:pPr>
    </w:p>
    <w:p w14:paraId="10D2273C" w14:textId="77777777" w:rsidR="006E1BB2" w:rsidRDefault="006E1BB2">
      <w:pPr>
        <w:pStyle w:val="BodyText"/>
        <w:rPr>
          <w:sz w:val="20"/>
        </w:rPr>
      </w:pPr>
    </w:p>
    <w:p w14:paraId="6937F1DA" w14:textId="77777777" w:rsidR="006E1BB2" w:rsidRDefault="006E1BB2">
      <w:pPr>
        <w:pStyle w:val="BodyText"/>
        <w:rPr>
          <w:sz w:val="20"/>
        </w:rPr>
      </w:pPr>
    </w:p>
    <w:p w14:paraId="22462CDC" w14:textId="61ACCA35" w:rsidR="006E1BB2" w:rsidRDefault="007221B2">
      <w:pPr>
        <w:pStyle w:val="BodyText"/>
        <w:spacing w:before="6"/>
        <w:rPr>
          <w:sz w:val="25"/>
        </w:rPr>
      </w:pPr>
      <w:r>
        <w:rPr>
          <w:noProof/>
        </w:rPr>
        <mc:AlternateContent>
          <mc:Choice Requires="wps">
            <w:drawing>
              <wp:anchor distT="0" distB="0" distL="0" distR="0" simplePos="0" relativeHeight="251660288" behindDoc="1" locked="0" layoutInCell="1" allowOverlap="1" wp14:anchorId="1B06DA9B" wp14:editId="44328889">
                <wp:simplePos x="0" y="0"/>
                <wp:positionH relativeFrom="page">
                  <wp:posOffset>914400</wp:posOffset>
                </wp:positionH>
                <wp:positionV relativeFrom="paragraph">
                  <wp:posOffset>227965</wp:posOffset>
                </wp:positionV>
                <wp:extent cx="1829435" cy="1270"/>
                <wp:effectExtent l="0" t="0" r="0" b="0"/>
                <wp:wrapTopAndBottom/>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F352C" id="Freeform 9" o:spid="_x0000_s1026" style="position:absolute;margin-left:1in;margin-top:17.95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" path="m,l2881,e" filled="f" strokeweight=".72pt">
                <v:path arrowok="t" o:connecttype="custom" o:connectlocs="0,0;1829435,0" o:connectangles="0,0"/>
                <w10:wrap type="topAndBottom" anchorx="page"/>
              </v:shape>
            </w:pict>
          </mc:Fallback>
        </mc:AlternateContent>
      </w:r>
    </w:p>
    <w:p w14:paraId="7933C6A4" w14:textId="77777777" w:rsidR="006E1BB2" w:rsidRDefault="006E1BB2">
      <w:pPr>
        <w:pStyle w:val="BodyText"/>
        <w:rPr>
          <w:sz w:val="20"/>
        </w:rPr>
      </w:pPr>
    </w:p>
    <w:p w14:paraId="52586FCC" w14:textId="77777777" w:rsidR="006E1BB2" w:rsidRDefault="006E1BB2">
      <w:pPr>
        <w:pStyle w:val="BodyText"/>
        <w:spacing w:before="11"/>
        <w:rPr>
          <w:sz w:val="21"/>
        </w:rPr>
      </w:pPr>
    </w:p>
    <w:p w14:paraId="25C5C671" w14:textId="77777777" w:rsidR="006E1BB2" w:rsidRDefault="007221B2">
      <w:pPr>
        <w:spacing w:before="69"/>
        <w:ind w:left="120"/>
        <w:rPr>
          <w:sz w:val="18"/>
        </w:rPr>
      </w:pPr>
      <w:r>
        <w:rPr>
          <w:position w:val="5"/>
          <w:sz w:val="12"/>
        </w:rPr>
        <w:t>3</w:t>
      </w:r>
      <w:r>
        <w:rPr>
          <w:spacing w:val="7"/>
          <w:position w:val="5"/>
          <w:sz w:val="12"/>
        </w:rPr>
        <w:t xml:space="preserve"> </w:t>
      </w:r>
      <w:r>
        <w:rPr>
          <w:sz w:val="18"/>
        </w:rPr>
        <w:t>California</w:t>
      </w:r>
      <w:r>
        <w:rPr>
          <w:spacing w:val="-5"/>
          <w:sz w:val="18"/>
        </w:rPr>
        <w:t xml:space="preserve"> </w:t>
      </w:r>
      <w:r>
        <w:rPr>
          <w:sz w:val="18"/>
        </w:rPr>
        <w:t>Energy</w:t>
      </w:r>
      <w:r>
        <w:rPr>
          <w:spacing w:val="-4"/>
          <w:sz w:val="18"/>
        </w:rPr>
        <w:t xml:space="preserve"> </w:t>
      </w:r>
      <w:r>
        <w:rPr>
          <w:sz w:val="18"/>
        </w:rPr>
        <w:t>Commission</w:t>
      </w:r>
      <w:r>
        <w:rPr>
          <w:spacing w:val="-5"/>
          <w:sz w:val="18"/>
        </w:rPr>
        <w:t xml:space="preserve"> </w:t>
      </w:r>
      <w:r>
        <w:rPr>
          <w:sz w:val="18"/>
        </w:rPr>
        <w:t>(CEC).</w:t>
      </w:r>
      <w:r>
        <w:rPr>
          <w:spacing w:val="-5"/>
          <w:sz w:val="18"/>
        </w:rPr>
        <w:t xml:space="preserve"> </w:t>
      </w:r>
      <w:r>
        <w:rPr>
          <w:sz w:val="18"/>
        </w:rPr>
        <w:t>2017.</w:t>
      </w:r>
      <w:r>
        <w:rPr>
          <w:spacing w:val="-4"/>
          <w:sz w:val="18"/>
        </w:rPr>
        <w:t xml:space="preserve"> </w:t>
      </w:r>
      <w:r>
        <w:rPr>
          <w:i/>
          <w:sz w:val="18"/>
        </w:rPr>
        <w:t>2016</w:t>
      </w:r>
      <w:r>
        <w:rPr>
          <w:i/>
          <w:spacing w:val="-4"/>
          <w:sz w:val="18"/>
        </w:rPr>
        <w:t xml:space="preserve"> </w:t>
      </w:r>
      <w:r>
        <w:rPr>
          <w:i/>
          <w:sz w:val="18"/>
        </w:rPr>
        <w:t>Appliance</w:t>
      </w:r>
      <w:r>
        <w:rPr>
          <w:i/>
          <w:spacing w:val="-5"/>
          <w:sz w:val="18"/>
        </w:rPr>
        <w:t xml:space="preserve"> </w:t>
      </w:r>
      <w:r>
        <w:rPr>
          <w:i/>
          <w:sz w:val="18"/>
        </w:rPr>
        <w:t>Efficiency</w:t>
      </w:r>
      <w:r>
        <w:rPr>
          <w:i/>
          <w:spacing w:val="-5"/>
          <w:sz w:val="18"/>
        </w:rPr>
        <w:t xml:space="preserve"> </w:t>
      </w:r>
      <w:r>
        <w:rPr>
          <w:i/>
          <w:sz w:val="18"/>
        </w:rPr>
        <w:t>Regulations</w:t>
      </w:r>
      <w:r>
        <w:rPr>
          <w:sz w:val="18"/>
        </w:rPr>
        <w:t>.</w:t>
      </w:r>
      <w:r>
        <w:rPr>
          <w:spacing w:val="-5"/>
          <w:sz w:val="18"/>
        </w:rPr>
        <w:t xml:space="preserve"> </w:t>
      </w:r>
      <w:r>
        <w:rPr>
          <w:sz w:val="18"/>
        </w:rPr>
        <w:t>CEC-400-2017-002.</w:t>
      </w:r>
    </w:p>
    <w:p w14:paraId="2F5AB505" w14:textId="77777777" w:rsidR="006E1BB2" w:rsidRDefault="007221B2">
      <w:pPr>
        <w:spacing w:before="119"/>
        <w:ind w:left="120"/>
        <w:rPr>
          <w:sz w:val="18"/>
        </w:rPr>
      </w:pPr>
      <w:r>
        <w:rPr>
          <w:position w:val="5"/>
          <w:sz w:val="12"/>
        </w:rPr>
        <w:t>4</w:t>
      </w:r>
      <w:r>
        <w:rPr>
          <w:spacing w:val="7"/>
          <w:position w:val="5"/>
          <w:sz w:val="12"/>
        </w:rPr>
        <w:t xml:space="preserve"> </w:t>
      </w:r>
      <w:r>
        <w:rPr>
          <w:sz w:val="18"/>
        </w:rPr>
        <w:t>California</w:t>
      </w:r>
      <w:r>
        <w:rPr>
          <w:spacing w:val="-5"/>
          <w:sz w:val="18"/>
        </w:rPr>
        <w:t xml:space="preserve"> </w:t>
      </w:r>
      <w:r>
        <w:rPr>
          <w:sz w:val="18"/>
        </w:rPr>
        <w:t>Energy</w:t>
      </w:r>
      <w:r>
        <w:rPr>
          <w:spacing w:val="-4"/>
          <w:sz w:val="18"/>
        </w:rPr>
        <w:t xml:space="preserve"> </w:t>
      </w:r>
      <w:r>
        <w:rPr>
          <w:sz w:val="18"/>
        </w:rPr>
        <w:t>Commission</w:t>
      </w:r>
      <w:r>
        <w:rPr>
          <w:spacing w:val="-5"/>
          <w:sz w:val="18"/>
        </w:rPr>
        <w:t xml:space="preserve"> </w:t>
      </w:r>
      <w:r>
        <w:rPr>
          <w:sz w:val="18"/>
        </w:rPr>
        <w:t>(CEC).</w:t>
      </w:r>
      <w:r>
        <w:rPr>
          <w:spacing w:val="-5"/>
          <w:sz w:val="18"/>
        </w:rPr>
        <w:t xml:space="preserve"> </w:t>
      </w:r>
      <w:r>
        <w:rPr>
          <w:sz w:val="18"/>
        </w:rPr>
        <w:t>2017.</w:t>
      </w:r>
      <w:r>
        <w:rPr>
          <w:spacing w:val="-4"/>
          <w:sz w:val="18"/>
        </w:rPr>
        <w:t xml:space="preserve"> </w:t>
      </w:r>
      <w:r>
        <w:rPr>
          <w:i/>
          <w:sz w:val="18"/>
        </w:rPr>
        <w:t>2016</w:t>
      </w:r>
      <w:r>
        <w:rPr>
          <w:i/>
          <w:spacing w:val="-4"/>
          <w:sz w:val="18"/>
        </w:rPr>
        <w:t xml:space="preserve"> </w:t>
      </w:r>
      <w:r>
        <w:rPr>
          <w:i/>
          <w:sz w:val="18"/>
        </w:rPr>
        <w:t>Appliance</w:t>
      </w:r>
      <w:r>
        <w:rPr>
          <w:i/>
          <w:spacing w:val="-5"/>
          <w:sz w:val="18"/>
        </w:rPr>
        <w:t xml:space="preserve"> </w:t>
      </w:r>
      <w:r>
        <w:rPr>
          <w:i/>
          <w:sz w:val="18"/>
        </w:rPr>
        <w:t>Efficiency</w:t>
      </w:r>
      <w:r>
        <w:rPr>
          <w:i/>
          <w:spacing w:val="-5"/>
          <w:sz w:val="18"/>
        </w:rPr>
        <w:t xml:space="preserve"> </w:t>
      </w:r>
      <w:r>
        <w:rPr>
          <w:i/>
          <w:sz w:val="18"/>
        </w:rPr>
        <w:t>Regulations</w:t>
      </w:r>
      <w:r>
        <w:rPr>
          <w:sz w:val="18"/>
        </w:rPr>
        <w:t>.</w:t>
      </w:r>
      <w:r>
        <w:rPr>
          <w:spacing w:val="-5"/>
          <w:sz w:val="18"/>
        </w:rPr>
        <w:t xml:space="preserve"> </w:t>
      </w:r>
      <w:r>
        <w:rPr>
          <w:sz w:val="18"/>
        </w:rPr>
        <w:t>CEC-400-2017-002.</w:t>
      </w:r>
    </w:p>
    <w:p w14:paraId="45DF3DBC" w14:textId="77777777" w:rsidR="006E1BB2" w:rsidRDefault="006E1BB2">
      <w:pPr>
        <w:rPr>
          <w:sz w:val="18"/>
        </w:rPr>
        <w:sectPr w:rsidR="006E1BB2">
          <w:pgSz w:w="12240" w:h="15840"/>
          <w:pgMar w:top="1220" w:right="1220" w:bottom="1320" w:left="1320" w:header="858" w:footer="1129" w:gutter="0"/>
          <w:cols w:space="720"/>
        </w:sectPr>
      </w:pPr>
    </w:p>
    <w:p w14:paraId="205022A0" w14:textId="77777777" w:rsidR="006E1BB2" w:rsidRDefault="006E1BB2">
      <w:pPr>
        <w:pStyle w:val="BodyText"/>
        <w:spacing w:before="10"/>
        <w:rPr>
          <w:sz w:val="19"/>
        </w:rPr>
      </w:pPr>
    </w:p>
    <w:p w14:paraId="3D4D18FC" w14:textId="77777777" w:rsidR="006E1BB2" w:rsidRDefault="007221B2">
      <w:pPr>
        <w:pStyle w:val="BodyText"/>
        <w:spacing w:before="57"/>
        <w:ind w:left="120"/>
      </w:pPr>
      <w:r>
        <w:t>Applicable State and Federal Codes and Standards</w:t>
      </w:r>
    </w:p>
    <w:p w14:paraId="51C4529D" w14:textId="77777777" w:rsidR="006E1BB2" w:rsidRDefault="006E1BB2">
      <w:pPr>
        <w:pStyle w:val="BodyText"/>
        <w:spacing w:before="9"/>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885"/>
        <w:gridCol w:w="2497"/>
        <w:gridCol w:w="1712"/>
      </w:tblGrid>
      <w:tr w:rsidR="006E1BB2" w14:paraId="1099B8DF" w14:textId="77777777">
        <w:trPr>
          <w:trHeight w:val="282"/>
        </w:trPr>
        <w:tc>
          <w:tcPr>
            <w:tcW w:w="4885" w:type="dxa"/>
            <w:shd w:val="clear" w:color="auto" w:fill="F1F1F1"/>
          </w:tcPr>
          <w:p w14:paraId="73A22D6B" w14:textId="77777777" w:rsidR="006E1BB2" w:rsidRDefault="007221B2">
            <w:pPr>
              <w:pStyle w:val="TableParagraph"/>
              <w:spacing w:line="242" w:lineRule="exact"/>
              <w:ind w:left="107"/>
              <w:rPr>
                <w:sz w:val="20"/>
              </w:rPr>
            </w:pPr>
            <w:r>
              <w:rPr>
                <w:sz w:val="20"/>
              </w:rPr>
              <w:t>Code</w:t>
            </w:r>
          </w:p>
        </w:tc>
        <w:tc>
          <w:tcPr>
            <w:tcW w:w="2497" w:type="dxa"/>
            <w:shd w:val="clear" w:color="auto" w:fill="F1F1F1"/>
          </w:tcPr>
          <w:p w14:paraId="2FB560A7" w14:textId="77777777" w:rsidR="006E1BB2" w:rsidRDefault="007221B2">
            <w:pPr>
              <w:pStyle w:val="TableParagraph"/>
              <w:spacing w:line="242" w:lineRule="exact"/>
              <w:ind w:left="186"/>
              <w:rPr>
                <w:sz w:val="20"/>
              </w:rPr>
            </w:pPr>
            <w:r>
              <w:rPr>
                <w:sz w:val="20"/>
              </w:rPr>
              <w:t>Applicable Code Reference</w:t>
            </w:r>
          </w:p>
        </w:tc>
        <w:tc>
          <w:tcPr>
            <w:tcW w:w="1712" w:type="dxa"/>
            <w:shd w:val="clear" w:color="auto" w:fill="F1F1F1"/>
          </w:tcPr>
          <w:p w14:paraId="5C49A708" w14:textId="77777777" w:rsidR="006E1BB2" w:rsidRDefault="007221B2">
            <w:pPr>
              <w:pStyle w:val="TableParagraph"/>
              <w:spacing w:line="242" w:lineRule="exact"/>
              <w:ind w:left="271" w:right="267"/>
              <w:jc w:val="center"/>
              <w:rPr>
                <w:sz w:val="20"/>
              </w:rPr>
            </w:pPr>
            <w:r>
              <w:rPr>
                <w:sz w:val="20"/>
              </w:rPr>
              <w:t>Effective Date</w:t>
            </w:r>
          </w:p>
        </w:tc>
      </w:tr>
      <w:tr w:rsidR="006E1BB2" w14:paraId="298DC92B" w14:textId="77777777">
        <w:trPr>
          <w:trHeight w:val="285"/>
        </w:trPr>
        <w:tc>
          <w:tcPr>
            <w:tcW w:w="4885" w:type="dxa"/>
          </w:tcPr>
          <w:p w14:paraId="74560A1E" w14:textId="77777777" w:rsidR="006E1BB2" w:rsidRDefault="007221B2">
            <w:pPr>
              <w:pStyle w:val="TableParagraph"/>
              <w:ind w:left="107"/>
              <w:rPr>
                <w:sz w:val="20"/>
              </w:rPr>
            </w:pPr>
            <w:r>
              <w:rPr>
                <w:sz w:val="20"/>
              </w:rPr>
              <w:t>CA Appliance Efficiency Regulations – Title 20 (2016)</w:t>
            </w:r>
          </w:p>
        </w:tc>
        <w:tc>
          <w:tcPr>
            <w:tcW w:w="2497" w:type="dxa"/>
          </w:tcPr>
          <w:p w14:paraId="23CF0933" w14:textId="77777777" w:rsidR="006E1BB2" w:rsidRDefault="007221B2">
            <w:pPr>
              <w:pStyle w:val="TableParagraph"/>
              <w:ind w:left="107"/>
              <w:rPr>
                <w:sz w:val="20"/>
              </w:rPr>
            </w:pPr>
            <w:r>
              <w:rPr>
                <w:sz w:val="20"/>
              </w:rPr>
              <w:t>Section 1605.1 (b)</w:t>
            </w:r>
          </w:p>
        </w:tc>
        <w:tc>
          <w:tcPr>
            <w:tcW w:w="1712" w:type="dxa"/>
          </w:tcPr>
          <w:p w14:paraId="58A0BD5F" w14:textId="77777777" w:rsidR="006E1BB2" w:rsidRDefault="007221B2">
            <w:pPr>
              <w:pStyle w:val="TableParagraph"/>
              <w:ind w:left="267" w:right="267"/>
              <w:jc w:val="center"/>
              <w:rPr>
                <w:sz w:val="20"/>
              </w:rPr>
            </w:pPr>
            <w:r>
              <w:rPr>
                <w:sz w:val="20"/>
              </w:rPr>
              <w:t>June 1, 2014</w:t>
            </w:r>
          </w:p>
        </w:tc>
      </w:tr>
      <w:tr w:rsidR="006E1BB2" w14:paraId="0198F284" w14:textId="77777777">
        <w:trPr>
          <w:trHeight w:val="282"/>
        </w:trPr>
        <w:tc>
          <w:tcPr>
            <w:tcW w:w="4885" w:type="dxa"/>
          </w:tcPr>
          <w:p w14:paraId="3F6B406D" w14:textId="77777777" w:rsidR="006E1BB2" w:rsidRDefault="007221B2">
            <w:pPr>
              <w:pStyle w:val="TableParagraph"/>
              <w:spacing w:line="242" w:lineRule="exact"/>
              <w:ind w:left="107"/>
              <w:rPr>
                <w:sz w:val="20"/>
              </w:rPr>
            </w:pPr>
            <w:r>
              <w:rPr>
                <w:sz w:val="20"/>
              </w:rPr>
              <w:t>CA Building Energy Efficiency Standards – Title 24</w:t>
            </w:r>
          </w:p>
        </w:tc>
        <w:tc>
          <w:tcPr>
            <w:tcW w:w="2497" w:type="dxa"/>
          </w:tcPr>
          <w:p w14:paraId="10936C38" w14:textId="77777777" w:rsidR="006E1BB2" w:rsidRDefault="007221B2">
            <w:pPr>
              <w:pStyle w:val="TableParagraph"/>
              <w:spacing w:line="242" w:lineRule="exact"/>
              <w:ind w:left="107"/>
              <w:rPr>
                <w:sz w:val="20"/>
              </w:rPr>
            </w:pPr>
            <w:r>
              <w:rPr>
                <w:sz w:val="20"/>
              </w:rPr>
              <w:t>None.</w:t>
            </w:r>
          </w:p>
        </w:tc>
        <w:tc>
          <w:tcPr>
            <w:tcW w:w="1712" w:type="dxa"/>
          </w:tcPr>
          <w:p w14:paraId="02AB52ED" w14:textId="77777777" w:rsidR="006E1BB2" w:rsidRDefault="007221B2">
            <w:pPr>
              <w:pStyle w:val="TableParagraph"/>
              <w:spacing w:line="242" w:lineRule="exact"/>
              <w:ind w:left="268" w:right="267"/>
              <w:jc w:val="center"/>
              <w:rPr>
                <w:sz w:val="20"/>
              </w:rPr>
            </w:pPr>
            <w:r>
              <w:rPr>
                <w:sz w:val="20"/>
              </w:rPr>
              <w:t>n/a</w:t>
            </w:r>
          </w:p>
        </w:tc>
      </w:tr>
      <w:tr w:rsidR="006E1BB2" w14:paraId="434BE32B" w14:textId="77777777">
        <w:trPr>
          <w:trHeight w:val="285"/>
        </w:trPr>
        <w:tc>
          <w:tcPr>
            <w:tcW w:w="4885" w:type="dxa"/>
          </w:tcPr>
          <w:p w14:paraId="639C7012" w14:textId="77777777" w:rsidR="006E1BB2" w:rsidRDefault="007221B2">
            <w:pPr>
              <w:pStyle w:val="TableParagraph"/>
              <w:ind w:left="107"/>
              <w:rPr>
                <w:sz w:val="20"/>
              </w:rPr>
            </w:pPr>
            <w:r>
              <w:rPr>
                <w:sz w:val="20"/>
              </w:rPr>
              <w:t>Federal Standards</w:t>
            </w:r>
          </w:p>
        </w:tc>
        <w:tc>
          <w:tcPr>
            <w:tcW w:w="2497" w:type="dxa"/>
          </w:tcPr>
          <w:p w14:paraId="03844345" w14:textId="77777777" w:rsidR="006E1BB2" w:rsidRDefault="007221B2">
            <w:pPr>
              <w:pStyle w:val="TableParagraph"/>
              <w:ind w:left="107"/>
              <w:rPr>
                <w:sz w:val="20"/>
              </w:rPr>
            </w:pPr>
            <w:r>
              <w:rPr>
                <w:sz w:val="20"/>
              </w:rPr>
              <w:t>Section 430.32 (b)</w:t>
            </w:r>
          </w:p>
        </w:tc>
        <w:tc>
          <w:tcPr>
            <w:tcW w:w="1712" w:type="dxa"/>
          </w:tcPr>
          <w:p w14:paraId="0415618C" w14:textId="77777777" w:rsidR="006E1BB2" w:rsidRDefault="007221B2">
            <w:pPr>
              <w:pStyle w:val="TableParagraph"/>
              <w:ind w:left="267" w:right="267"/>
              <w:jc w:val="center"/>
              <w:rPr>
                <w:sz w:val="20"/>
              </w:rPr>
            </w:pPr>
            <w:r>
              <w:rPr>
                <w:sz w:val="20"/>
              </w:rPr>
              <w:t>June 1, 2014</w:t>
            </w:r>
          </w:p>
        </w:tc>
      </w:tr>
    </w:tbl>
    <w:p w14:paraId="5156C203" w14:textId="77777777" w:rsidR="006E1BB2" w:rsidRDefault="006E1BB2">
      <w:pPr>
        <w:pStyle w:val="BodyText"/>
      </w:pPr>
    </w:p>
    <w:p w14:paraId="085DBB52" w14:textId="77777777" w:rsidR="006E1BB2" w:rsidRDefault="006E1BB2">
      <w:pPr>
        <w:pStyle w:val="BodyText"/>
        <w:spacing w:before="7"/>
        <w:rPr>
          <w:sz w:val="19"/>
        </w:rPr>
      </w:pPr>
    </w:p>
    <w:p w14:paraId="0EE7DE2E" w14:textId="77777777" w:rsidR="006E1BB2" w:rsidRDefault="007221B2">
      <w:pPr>
        <w:pStyle w:val="BodyText"/>
        <w:spacing w:before="1"/>
        <w:ind w:left="120"/>
      </w:pPr>
      <w:r>
        <w:t>California Title 20 Requirements for Room Air Conditioners</w:t>
      </w:r>
    </w:p>
    <w:p w14:paraId="704356B0" w14:textId="77777777" w:rsidR="006E1BB2" w:rsidRDefault="006E1BB2">
      <w:pPr>
        <w:pStyle w:val="BodyText"/>
        <w:spacing w:before="6"/>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41"/>
        <w:gridCol w:w="1620"/>
        <w:gridCol w:w="2252"/>
        <w:gridCol w:w="1971"/>
      </w:tblGrid>
      <w:tr w:rsidR="006E1BB2" w14:paraId="41113C1B" w14:textId="77777777">
        <w:trPr>
          <w:trHeight w:val="527"/>
        </w:trPr>
        <w:tc>
          <w:tcPr>
            <w:tcW w:w="3241" w:type="dxa"/>
            <w:shd w:val="clear" w:color="auto" w:fill="F1F1F1"/>
          </w:tcPr>
          <w:p w14:paraId="62617ED1" w14:textId="77777777" w:rsidR="006E1BB2" w:rsidRDefault="006E1BB2">
            <w:pPr>
              <w:pStyle w:val="TableParagraph"/>
              <w:spacing w:before="9"/>
              <w:rPr>
                <w:sz w:val="21"/>
              </w:rPr>
            </w:pPr>
          </w:p>
          <w:p w14:paraId="514B12E2" w14:textId="77777777" w:rsidR="006E1BB2" w:rsidRDefault="007221B2">
            <w:pPr>
              <w:pStyle w:val="TableParagraph"/>
              <w:spacing w:before="0" w:line="242" w:lineRule="exact"/>
              <w:ind w:left="115"/>
              <w:rPr>
                <w:sz w:val="20"/>
              </w:rPr>
            </w:pPr>
            <w:r>
              <w:rPr>
                <w:sz w:val="20"/>
              </w:rPr>
              <w:t>Product Class</w:t>
            </w:r>
          </w:p>
        </w:tc>
        <w:tc>
          <w:tcPr>
            <w:tcW w:w="1620" w:type="dxa"/>
            <w:shd w:val="clear" w:color="auto" w:fill="F1F1F1"/>
          </w:tcPr>
          <w:p w14:paraId="482044B6" w14:textId="77777777" w:rsidR="006E1BB2" w:rsidRDefault="006E1BB2">
            <w:pPr>
              <w:pStyle w:val="TableParagraph"/>
              <w:spacing w:before="9"/>
              <w:rPr>
                <w:sz w:val="21"/>
              </w:rPr>
            </w:pPr>
          </w:p>
          <w:p w14:paraId="18F8E771" w14:textId="77777777" w:rsidR="006E1BB2" w:rsidRDefault="007221B2">
            <w:pPr>
              <w:pStyle w:val="TableParagraph"/>
              <w:spacing w:before="0" w:line="242" w:lineRule="exact"/>
              <w:ind w:left="139" w:right="127"/>
              <w:jc w:val="center"/>
              <w:rPr>
                <w:sz w:val="20"/>
              </w:rPr>
            </w:pPr>
            <w:r>
              <w:rPr>
                <w:sz w:val="20"/>
              </w:rPr>
              <w:t>Louvered Sides?</w:t>
            </w:r>
          </w:p>
        </w:tc>
        <w:tc>
          <w:tcPr>
            <w:tcW w:w="2252" w:type="dxa"/>
            <w:shd w:val="clear" w:color="auto" w:fill="F1F1F1"/>
          </w:tcPr>
          <w:p w14:paraId="1FD38E0E" w14:textId="77777777" w:rsidR="006E1BB2" w:rsidRDefault="007221B2">
            <w:pPr>
              <w:pStyle w:val="TableParagraph"/>
              <w:spacing w:line="240" w:lineRule="atLeast"/>
              <w:ind w:left="844" w:hanging="372"/>
              <w:rPr>
                <w:sz w:val="20"/>
              </w:rPr>
            </w:pPr>
            <w:r>
              <w:rPr>
                <w:sz w:val="20"/>
              </w:rPr>
              <w:t>Cooling Capacity (Btu/h)</w:t>
            </w:r>
          </w:p>
        </w:tc>
        <w:tc>
          <w:tcPr>
            <w:tcW w:w="1971" w:type="dxa"/>
            <w:shd w:val="clear" w:color="auto" w:fill="F1F1F1"/>
          </w:tcPr>
          <w:p w14:paraId="11FD64D0" w14:textId="77777777" w:rsidR="006E1BB2" w:rsidRDefault="007221B2">
            <w:pPr>
              <w:pStyle w:val="TableParagraph"/>
              <w:spacing w:line="240" w:lineRule="atLeast"/>
              <w:ind w:left="406" w:firstLine="192"/>
              <w:rPr>
                <w:sz w:val="20"/>
              </w:rPr>
            </w:pPr>
            <w:r>
              <w:rPr>
                <w:sz w:val="20"/>
              </w:rPr>
              <w:t>Minimum Combined EER</w:t>
            </w:r>
          </w:p>
        </w:tc>
      </w:tr>
      <w:tr w:rsidR="006E1BB2" w14:paraId="4B6B66E3" w14:textId="77777777">
        <w:trPr>
          <w:trHeight w:val="285"/>
        </w:trPr>
        <w:tc>
          <w:tcPr>
            <w:tcW w:w="3241" w:type="dxa"/>
            <w:vMerge w:val="restart"/>
          </w:tcPr>
          <w:p w14:paraId="4D3BA8A8" w14:textId="77777777" w:rsidR="006E1BB2" w:rsidRDefault="006E1BB2">
            <w:pPr>
              <w:pStyle w:val="TableParagraph"/>
              <w:spacing w:before="0"/>
              <w:rPr>
                <w:sz w:val="20"/>
              </w:rPr>
            </w:pPr>
          </w:p>
          <w:p w14:paraId="04C20E80" w14:textId="77777777" w:rsidR="006E1BB2" w:rsidRDefault="006E1BB2">
            <w:pPr>
              <w:pStyle w:val="TableParagraph"/>
              <w:spacing w:before="0"/>
              <w:rPr>
                <w:sz w:val="20"/>
              </w:rPr>
            </w:pPr>
          </w:p>
          <w:p w14:paraId="23B2F355" w14:textId="77777777" w:rsidR="006E1BB2" w:rsidRDefault="006E1BB2">
            <w:pPr>
              <w:pStyle w:val="TableParagraph"/>
              <w:spacing w:before="0"/>
              <w:rPr>
                <w:sz w:val="20"/>
              </w:rPr>
            </w:pPr>
          </w:p>
          <w:p w14:paraId="232DCB83" w14:textId="77777777" w:rsidR="006E1BB2" w:rsidRDefault="006E1BB2">
            <w:pPr>
              <w:pStyle w:val="TableParagraph"/>
              <w:spacing w:before="0"/>
              <w:rPr>
                <w:sz w:val="20"/>
              </w:rPr>
            </w:pPr>
          </w:p>
          <w:p w14:paraId="2EE52CF1" w14:textId="77777777" w:rsidR="006E1BB2" w:rsidRDefault="006E1BB2">
            <w:pPr>
              <w:pStyle w:val="TableParagraph"/>
              <w:spacing w:before="0"/>
              <w:rPr>
                <w:sz w:val="20"/>
              </w:rPr>
            </w:pPr>
          </w:p>
          <w:p w14:paraId="28F9F6EA" w14:textId="77777777" w:rsidR="006E1BB2" w:rsidRDefault="006E1BB2">
            <w:pPr>
              <w:pStyle w:val="TableParagraph"/>
              <w:spacing w:before="0"/>
              <w:rPr>
                <w:sz w:val="20"/>
              </w:rPr>
            </w:pPr>
          </w:p>
          <w:p w14:paraId="18822EED" w14:textId="77777777" w:rsidR="006E1BB2" w:rsidRDefault="007221B2">
            <w:pPr>
              <w:pStyle w:val="TableParagraph"/>
              <w:spacing w:before="176"/>
              <w:ind w:left="115"/>
              <w:rPr>
                <w:sz w:val="20"/>
              </w:rPr>
            </w:pPr>
            <w:r>
              <w:rPr>
                <w:sz w:val="20"/>
              </w:rPr>
              <w:t>Room Air Conditioner</w:t>
            </w:r>
          </w:p>
        </w:tc>
        <w:tc>
          <w:tcPr>
            <w:tcW w:w="1620" w:type="dxa"/>
            <w:vMerge w:val="restart"/>
          </w:tcPr>
          <w:p w14:paraId="554EEB40" w14:textId="77777777" w:rsidR="006E1BB2" w:rsidRDefault="006E1BB2">
            <w:pPr>
              <w:pStyle w:val="TableParagraph"/>
              <w:spacing w:before="0"/>
              <w:rPr>
                <w:sz w:val="20"/>
              </w:rPr>
            </w:pPr>
          </w:p>
          <w:p w14:paraId="4FA3D615" w14:textId="77777777" w:rsidR="006E1BB2" w:rsidRDefault="006E1BB2">
            <w:pPr>
              <w:pStyle w:val="TableParagraph"/>
              <w:spacing w:before="0"/>
              <w:rPr>
                <w:sz w:val="20"/>
              </w:rPr>
            </w:pPr>
          </w:p>
          <w:p w14:paraId="5B58C9AE" w14:textId="77777777" w:rsidR="006E1BB2" w:rsidRDefault="006E1BB2">
            <w:pPr>
              <w:pStyle w:val="TableParagraph"/>
              <w:spacing w:before="1"/>
            </w:pPr>
          </w:p>
          <w:p w14:paraId="783E012F" w14:textId="77777777" w:rsidR="006E1BB2" w:rsidRDefault="007221B2">
            <w:pPr>
              <w:pStyle w:val="TableParagraph"/>
              <w:spacing w:before="0"/>
              <w:ind w:left="133" w:right="127"/>
              <w:jc w:val="center"/>
              <w:rPr>
                <w:sz w:val="20"/>
              </w:rPr>
            </w:pPr>
            <w:r>
              <w:rPr>
                <w:sz w:val="20"/>
              </w:rPr>
              <w:t>Yes</w:t>
            </w:r>
          </w:p>
        </w:tc>
        <w:tc>
          <w:tcPr>
            <w:tcW w:w="2252" w:type="dxa"/>
          </w:tcPr>
          <w:p w14:paraId="7DC05444" w14:textId="77777777" w:rsidR="006E1BB2" w:rsidRDefault="007221B2">
            <w:pPr>
              <w:pStyle w:val="TableParagraph"/>
              <w:spacing w:before="23" w:line="242" w:lineRule="exact"/>
              <w:ind w:left="453" w:right="447"/>
              <w:jc w:val="center"/>
              <w:rPr>
                <w:sz w:val="20"/>
              </w:rPr>
            </w:pPr>
            <w:r>
              <w:rPr>
                <w:sz w:val="20"/>
              </w:rPr>
              <w:t>&lt; 6,000</w:t>
            </w:r>
          </w:p>
        </w:tc>
        <w:tc>
          <w:tcPr>
            <w:tcW w:w="1971" w:type="dxa"/>
          </w:tcPr>
          <w:p w14:paraId="566DBFFE" w14:textId="77777777" w:rsidR="006E1BB2" w:rsidRDefault="007221B2">
            <w:pPr>
              <w:pStyle w:val="TableParagraph"/>
              <w:spacing w:before="23" w:line="242" w:lineRule="exact"/>
              <w:ind w:right="792"/>
              <w:jc w:val="right"/>
              <w:rPr>
                <w:sz w:val="20"/>
              </w:rPr>
            </w:pPr>
            <w:r>
              <w:rPr>
                <w:sz w:val="20"/>
              </w:rPr>
              <w:t>11.0</w:t>
            </w:r>
          </w:p>
        </w:tc>
      </w:tr>
      <w:tr w:rsidR="006E1BB2" w14:paraId="7AB9F68E" w14:textId="77777777">
        <w:trPr>
          <w:trHeight w:val="282"/>
        </w:trPr>
        <w:tc>
          <w:tcPr>
            <w:tcW w:w="3241" w:type="dxa"/>
            <w:vMerge/>
            <w:tcBorders>
              <w:top w:val="nil"/>
            </w:tcBorders>
          </w:tcPr>
          <w:p w14:paraId="7256F6B7" w14:textId="77777777" w:rsidR="006E1BB2" w:rsidRDefault="006E1BB2">
            <w:pPr>
              <w:rPr>
                <w:sz w:val="2"/>
                <w:szCs w:val="2"/>
              </w:rPr>
            </w:pPr>
          </w:p>
        </w:tc>
        <w:tc>
          <w:tcPr>
            <w:tcW w:w="1620" w:type="dxa"/>
            <w:vMerge/>
            <w:tcBorders>
              <w:top w:val="nil"/>
            </w:tcBorders>
          </w:tcPr>
          <w:p w14:paraId="0D43CC09" w14:textId="77777777" w:rsidR="006E1BB2" w:rsidRDefault="006E1BB2">
            <w:pPr>
              <w:rPr>
                <w:sz w:val="2"/>
                <w:szCs w:val="2"/>
              </w:rPr>
            </w:pPr>
          </w:p>
        </w:tc>
        <w:tc>
          <w:tcPr>
            <w:tcW w:w="2252" w:type="dxa"/>
          </w:tcPr>
          <w:p w14:paraId="7CF72AFD" w14:textId="77777777" w:rsidR="006E1BB2" w:rsidRDefault="007221B2">
            <w:pPr>
              <w:pStyle w:val="TableParagraph"/>
              <w:spacing w:line="242" w:lineRule="exact"/>
              <w:ind w:left="453" w:right="447"/>
              <w:jc w:val="center"/>
              <w:rPr>
                <w:sz w:val="20"/>
              </w:rPr>
            </w:pPr>
            <w:r>
              <w:rPr>
                <w:sz w:val="20"/>
              </w:rPr>
              <w:t>6,000 – 7,999</w:t>
            </w:r>
          </w:p>
        </w:tc>
        <w:tc>
          <w:tcPr>
            <w:tcW w:w="1971" w:type="dxa"/>
          </w:tcPr>
          <w:p w14:paraId="3139352E" w14:textId="77777777" w:rsidR="006E1BB2" w:rsidRDefault="007221B2">
            <w:pPr>
              <w:pStyle w:val="TableParagraph"/>
              <w:spacing w:line="242" w:lineRule="exact"/>
              <w:ind w:right="792"/>
              <w:jc w:val="right"/>
              <w:rPr>
                <w:sz w:val="20"/>
              </w:rPr>
            </w:pPr>
            <w:r>
              <w:rPr>
                <w:sz w:val="20"/>
              </w:rPr>
              <w:t>11.0</w:t>
            </w:r>
          </w:p>
        </w:tc>
      </w:tr>
      <w:tr w:rsidR="006E1BB2" w14:paraId="28B85A2D" w14:textId="77777777">
        <w:trPr>
          <w:trHeight w:val="285"/>
        </w:trPr>
        <w:tc>
          <w:tcPr>
            <w:tcW w:w="3241" w:type="dxa"/>
            <w:vMerge/>
            <w:tcBorders>
              <w:top w:val="nil"/>
            </w:tcBorders>
          </w:tcPr>
          <w:p w14:paraId="4B34A56A" w14:textId="77777777" w:rsidR="006E1BB2" w:rsidRDefault="006E1BB2">
            <w:pPr>
              <w:rPr>
                <w:sz w:val="2"/>
                <w:szCs w:val="2"/>
              </w:rPr>
            </w:pPr>
          </w:p>
        </w:tc>
        <w:tc>
          <w:tcPr>
            <w:tcW w:w="1620" w:type="dxa"/>
            <w:vMerge/>
            <w:tcBorders>
              <w:top w:val="nil"/>
            </w:tcBorders>
          </w:tcPr>
          <w:p w14:paraId="3DBAA8DA" w14:textId="77777777" w:rsidR="006E1BB2" w:rsidRDefault="006E1BB2">
            <w:pPr>
              <w:rPr>
                <w:sz w:val="2"/>
                <w:szCs w:val="2"/>
              </w:rPr>
            </w:pPr>
          </w:p>
        </w:tc>
        <w:tc>
          <w:tcPr>
            <w:tcW w:w="2252" w:type="dxa"/>
          </w:tcPr>
          <w:p w14:paraId="3CEC88C4" w14:textId="77777777" w:rsidR="006E1BB2" w:rsidRDefault="007221B2">
            <w:pPr>
              <w:pStyle w:val="TableParagraph"/>
              <w:spacing w:before="23" w:line="242" w:lineRule="exact"/>
              <w:ind w:left="453" w:right="447"/>
              <w:jc w:val="center"/>
              <w:rPr>
                <w:sz w:val="20"/>
              </w:rPr>
            </w:pPr>
            <w:r>
              <w:rPr>
                <w:sz w:val="20"/>
              </w:rPr>
              <w:t>8,000 – 13,999</w:t>
            </w:r>
          </w:p>
        </w:tc>
        <w:tc>
          <w:tcPr>
            <w:tcW w:w="1971" w:type="dxa"/>
          </w:tcPr>
          <w:p w14:paraId="59478B50" w14:textId="77777777" w:rsidR="006E1BB2" w:rsidRDefault="007221B2">
            <w:pPr>
              <w:pStyle w:val="TableParagraph"/>
              <w:spacing w:before="23" w:line="242" w:lineRule="exact"/>
              <w:ind w:right="792"/>
              <w:jc w:val="right"/>
              <w:rPr>
                <w:sz w:val="20"/>
              </w:rPr>
            </w:pPr>
            <w:r>
              <w:rPr>
                <w:sz w:val="20"/>
              </w:rPr>
              <w:t>10.9</w:t>
            </w:r>
          </w:p>
        </w:tc>
      </w:tr>
      <w:tr w:rsidR="006E1BB2" w14:paraId="17E00588" w14:textId="77777777">
        <w:trPr>
          <w:trHeight w:val="285"/>
        </w:trPr>
        <w:tc>
          <w:tcPr>
            <w:tcW w:w="3241" w:type="dxa"/>
            <w:vMerge/>
            <w:tcBorders>
              <w:top w:val="nil"/>
            </w:tcBorders>
          </w:tcPr>
          <w:p w14:paraId="43682938" w14:textId="77777777" w:rsidR="006E1BB2" w:rsidRDefault="006E1BB2">
            <w:pPr>
              <w:rPr>
                <w:sz w:val="2"/>
                <w:szCs w:val="2"/>
              </w:rPr>
            </w:pPr>
          </w:p>
        </w:tc>
        <w:tc>
          <w:tcPr>
            <w:tcW w:w="1620" w:type="dxa"/>
            <w:vMerge/>
            <w:tcBorders>
              <w:top w:val="nil"/>
            </w:tcBorders>
          </w:tcPr>
          <w:p w14:paraId="0E021E04" w14:textId="77777777" w:rsidR="006E1BB2" w:rsidRDefault="006E1BB2">
            <w:pPr>
              <w:rPr>
                <w:sz w:val="2"/>
                <w:szCs w:val="2"/>
              </w:rPr>
            </w:pPr>
          </w:p>
        </w:tc>
        <w:tc>
          <w:tcPr>
            <w:tcW w:w="2252" w:type="dxa"/>
          </w:tcPr>
          <w:p w14:paraId="02463CAC" w14:textId="77777777" w:rsidR="006E1BB2" w:rsidRDefault="007221B2">
            <w:pPr>
              <w:pStyle w:val="TableParagraph"/>
              <w:ind w:left="453" w:right="447"/>
              <w:jc w:val="center"/>
              <w:rPr>
                <w:sz w:val="20"/>
              </w:rPr>
            </w:pPr>
            <w:r>
              <w:rPr>
                <w:sz w:val="20"/>
              </w:rPr>
              <w:t>14,000 – 19,999</w:t>
            </w:r>
          </w:p>
        </w:tc>
        <w:tc>
          <w:tcPr>
            <w:tcW w:w="1971" w:type="dxa"/>
          </w:tcPr>
          <w:p w14:paraId="5B925552" w14:textId="77777777" w:rsidR="006E1BB2" w:rsidRDefault="007221B2">
            <w:pPr>
              <w:pStyle w:val="TableParagraph"/>
              <w:ind w:right="792"/>
              <w:jc w:val="right"/>
              <w:rPr>
                <w:sz w:val="20"/>
              </w:rPr>
            </w:pPr>
            <w:r>
              <w:rPr>
                <w:sz w:val="20"/>
              </w:rPr>
              <w:t>10.7</w:t>
            </w:r>
          </w:p>
        </w:tc>
      </w:tr>
      <w:tr w:rsidR="006E1BB2" w14:paraId="5941E337" w14:textId="77777777">
        <w:trPr>
          <w:trHeight w:val="282"/>
        </w:trPr>
        <w:tc>
          <w:tcPr>
            <w:tcW w:w="3241" w:type="dxa"/>
            <w:vMerge/>
            <w:tcBorders>
              <w:top w:val="nil"/>
            </w:tcBorders>
          </w:tcPr>
          <w:p w14:paraId="0840FB9D" w14:textId="77777777" w:rsidR="006E1BB2" w:rsidRDefault="006E1BB2">
            <w:pPr>
              <w:rPr>
                <w:sz w:val="2"/>
                <w:szCs w:val="2"/>
              </w:rPr>
            </w:pPr>
          </w:p>
        </w:tc>
        <w:tc>
          <w:tcPr>
            <w:tcW w:w="1620" w:type="dxa"/>
            <w:vMerge/>
            <w:tcBorders>
              <w:top w:val="nil"/>
            </w:tcBorders>
          </w:tcPr>
          <w:p w14:paraId="40017B45" w14:textId="77777777" w:rsidR="006E1BB2" w:rsidRDefault="006E1BB2">
            <w:pPr>
              <w:rPr>
                <w:sz w:val="2"/>
                <w:szCs w:val="2"/>
              </w:rPr>
            </w:pPr>
          </w:p>
        </w:tc>
        <w:tc>
          <w:tcPr>
            <w:tcW w:w="2252" w:type="dxa"/>
          </w:tcPr>
          <w:p w14:paraId="13E2D99D" w14:textId="77777777" w:rsidR="006E1BB2" w:rsidRDefault="007221B2">
            <w:pPr>
              <w:pStyle w:val="TableParagraph"/>
              <w:spacing w:line="242" w:lineRule="exact"/>
              <w:ind w:left="453" w:right="447"/>
              <w:jc w:val="center"/>
              <w:rPr>
                <w:sz w:val="20"/>
              </w:rPr>
            </w:pPr>
            <w:r>
              <w:rPr>
                <w:sz w:val="20"/>
              </w:rPr>
              <w:t>20,000 – 27,999</w:t>
            </w:r>
          </w:p>
        </w:tc>
        <w:tc>
          <w:tcPr>
            <w:tcW w:w="1971" w:type="dxa"/>
          </w:tcPr>
          <w:p w14:paraId="00C323D2" w14:textId="77777777" w:rsidR="006E1BB2" w:rsidRDefault="007221B2">
            <w:pPr>
              <w:pStyle w:val="TableParagraph"/>
              <w:spacing w:line="242" w:lineRule="exact"/>
              <w:ind w:right="792"/>
              <w:jc w:val="right"/>
              <w:rPr>
                <w:sz w:val="20"/>
              </w:rPr>
            </w:pPr>
            <w:r>
              <w:rPr>
                <w:sz w:val="20"/>
              </w:rPr>
              <w:t>9.4</w:t>
            </w:r>
          </w:p>
        </w:tc>
      </w:tr>
      <w:tr w:rsidR="006E1BB2" w14:paraId="721C54EB" w14:textId="77777777">
        <w:trPr>
          <w:trHeight w:val="285"/>
        </w:trPr>
        <w:tc>
          <w:tcPr>
            <w:tcW w:w="3241" w:type="dxa"/>
            <w:vMerge/>
            <w:tcBorders>
              <w:top w:val="nil"/>
            </w:tcBorders>
          </w:tcPr>
          <w:p w14:paraId="4FB68A19" w14:textId="77777777" w:rsidR="006E1BB2" w:rsidRDefault="006E1BB2">
            <w:pPr>
              <w:rPr>
                <w:sz w:val="2"/>
                <w:szCs w:val="2"/>
              </w:rPr>
            </w:pPr>
          </w:p>
        </w:tc>
        <w:tc>
          <w:tcPr>
            <w:tcW w:w="1620" w:type="dxa"/>
            <w:vMerge/>
            <w:tcBorders>
              <w:top w:val="nil"/>
            </w:tcBorders>
          </w:tcPr>
          <w:p w14:paraId="28DCD393" w14:textId="77777777" w:rsidR="006E1BB2" w:rsidRDefault="006E1BB2">
            <w:pPr>
              <w:rPr>
                <w:sz w:val="2"/>
                <w:szCs w:val="2"/>
              </w:rPr>
            </w:pPr>
          </w:p>
        </w:tc>
        <w:tc>
          <w:tcPr>
            <w:tcW w:w="2252" w:type="dxa"/>
          </w:tcPr>
          <w:p w14:paraId="3AAD76DC" w14:textId="77777777" w:rsidR="006E1BB2" w:rsidRDefault="007221B2">
            <w:pPr>
              <w:pStyle w:val="TableParagraph"/>
              <w:ind w:left="453" w:right="447"/>
              <w:jc w:val="center"/>
              <w:rPr>
                <w:sz w:val="20"/>
              </w:rPr>
            </w:pPr>
            <w:r>
              <w:rPr>
                <w:sz w:val="20"/>
              </w:rPr>
              <w:t>≥ 28,000</w:t>
            </w:r>
          </w:p>
        </w:tc>
        <w:tc>
          <w:tcPr>
            <w:tcW w:w="1971" w:type="dxa"/>
          </w:tcPr>
          <w:p w14:paraId="2BB5A233" w14:textId="77777777" w:rsidR="006E1BB2" w:rsidRDefault="007221B2">
            <w:pPr>
              <w:pStyle w:val="TableParagraph"/>
              <w:ind w:right="792"/>
              <w:jc w:val="right"/>
              <w:rPr>
                <w:sz w:val="20"/>
              </w:rPr>
            </w:pPr>
            <w:r>
              <w:rPr>
                <w:sz w:val="20"/>
              </w:rPr>
              <w:t>9.0</w:t>
            </w:r>
          </w:p>
        </w:tc>
      </w:tr>
      <w:tr w:rsidR="006E1BB2" w14:paraId="566A5CD7" w14:textId="77777777">
        <w:trPr>
          <w:trHeight w:val="282"/>
        </w:trPr>
        <w:tc>
          <w:tcPr>
            <w:tcW w:w="3241" w:type="dxa"/>
            <w:vMerge/>
            <w:tcBorders>
              <w:top w:val="nil"/>
            </w:tcBorders>
          </w:tcPr>
          <w:p w14:paraId="43F2A5C5" w14:textId="77777777" w:rsidR="006E1BB2" w:rsidRDefault="006E1BB2">
            <w:pPr>
              <w:rPr>
                <w:sz w:val="2"/>
                <w:szCs w:val="2"/>
              </w:rPr>
            </w:pPr>
          </w:p>
        </w:tc>
        <w:tc>
          <w:tcPr>
            <w:tcW w:w="1620" w:type="dxa"/>
            <w:vMerge w:val="restart"/>
          </w:tcPr>
          <w:p w14:paraId="4ECE4DB5" w14:textId="77777777" w:rsidR="006E1BB2" w:rsidRDefault="006E1BB2">
            <w:pPr>
              <w:pStyle w:val="TableParagraph"/>
              <w:spacing w:before="0"/>
              <w:rPr>
                <w:sz w:val="20"/>
              </w:rPr>
            </w:pPr>
          </w:p>
          <w:p w14:paraId="5B87FC1C" w14:textId="77777777" w:rsidR="006E1BB2" w:rsidRDefault="006E1BB2">
            <w:pPr>
              <w:pStyle w:val="TableParagraph"/>
              <w:spacing w:before="0"/>
              <w:rPr>
                <w:sz w:val="20"/>
              </w:rPr>
            </w:pPr>
          </w:p>
          <w:p w14:paraId="0ADF9278" w14:textId="77777777" w:rsidR="006E1BB2" w:rsidRDefault="006E1BB2">
            <w:pPr>
              <w:pStyle w:val="TableParagraph"/>
              <w:spacing w:before="10"/>
              <w:rPr>
                <w:sz w:val="21"/>
              </w:rPr>
            </w:pPr>
          </w:p>
          <w:p w14:paraId="3E02C655" w14:textId="77777777" w:rsidR="006E1BB2" w:rsidRDefault="007221B2">
            <w:pPr>
              <w:pStyle w:val="TableParagraph"/>
              <w:spacing w:before="0"/>
              <w:ind w:left="133" w:right="127"/>
              <w:jc w:val="center"/>
              <w:rPr>
                <w:sz w:val="20"/>
              </w:rPr>
            </w:pPr>
            <w:r>
              <w:rPr>
                <w:sz w:val="20"/>
              </w:rPr>
              <w:t>No</w:t>
            </w:r>
          </w:p>
        </w:tc>
        <w:tc>
          <w:tcPr>
            <w:tcW w:w="2252" w:type="dxa"/>
          </w:tcPr>
          <w:p w14:paraId="0B7F8253" w14:textId="77777777" w:rsidR="006E1BB2" w:rsidRDefault="007221B2">
            <w:pPr>
              <w:pStyle w:val="TableParagraph"/>
              <w:spacing w:line="242" w:lineRule="exact"/>
              <w:ind w:left="450" w:right="447"/>
              <w:jc w:val="center"/>
              <w:rPr>
                <w:sz w:val="20"/>
              </w:rPr>
            </w:pPr>
            <w:r>
              <w:rPr>
                <w:sz w:val="20"/>
              </w:rPr>
              <w:t>&lt;6,000</w:t>
            </w:r>
          </w:p>
        </w:tc>
        <w:tc>
          <w:tcPr>
            <w:tcW w:w="1971" w:type="dxa"/>
          </w:tcPr>
          <w:p w14:paraId="35B75CA8" w14:textId="77777777" w:rsidR="006E1BB2" w:rsidRDefault="007221B2">
            <w:pPr>
              <w:pStyle w:val="TableParagraph"/>
              <w:spacing w:line="242" w:lineRule="exact"/>
              <w:ind w:right="792"/>
              <w:jc w:val="right"/>
              <w:rPr>
                <w:sz w:val="20"/>
              </w:rPr>
            </w:pPr>
            <w:r>
              <w:rPr>
                <w:sz w:val="20"/>
              </w:rPr>
              <w:t>10.0</w:t>
            </w:r>
          </w:p>
        </w:tc>
      </w:tr>
      <w:tr w:rsidR="006E1BB2" w14:paraId="17653AF7" w14:textId="77777777">
        <w:trPr>
          <w:trHeight w:val="285"/>
        </w:trPr>
        <w:tc>
          <w:tcPr>
            <w:tcW w:w="3241" w:type="dxa"/>
            <w:vMerge/>
            <w:tcBorders>
              <w:top w:val="nil"/>
            </w:tcBorders>
          </w:tcPr>
          <w:p w14:paraId="49788CB5" w14:textId="77777777" w:rsidR="006E1BB2" w:rsidRDefault="006E1BB2">
            <w:pPr>
              <w:rPr>
                <w:sz w:val="2"/>
                <w:szCs w:val="2"/>
              </w:rPr>
            </w:pPr>
          </w:p>
        </w:tc>
        <w:tc>
          <w:tcPr>
            <w:tcW w:w="1620" w:type="dxa"/>
            <w:vMerge/>
            <w:tcBorders>
              <w:top w:val="nil"/>
            </w:tcBorders>
          </w:tcPr>
          <w:p w14:paraId="30BAC51C" w14:textId="77777777" w:rsidR="006E1BB2" w:rsidRDefault="006E1BB2">
            <w:pPr>
              <w:rPr>
                <w:sz w:val="2"/>
                <w:szCs w:val="2"/>
              </w:rPr>
            </w:pPr>
          </w:p>
        </w:tc>
        <w:tc>
          <w:tcPr>
            <w:tcW w:w="2252" w:type="dxa"/>
          </w:tcPr>
          <w:p w14:paraId="08289659" w14:textId="77777777" w:rsidR="006E1BB2" w:rsidRDefault="007221B2">
            <w:pPr>
              <w:pStyle w:val="TableParagraph"/>
              <w:ind w:left="453" w:right="447"/>
              <w:jc w:val="center"/>
              <w:rPr>
                <w:sz w:val="20"/>
              </w:rPr>
            </w:pPr>
            <w:r>
              <w:rPr>
                <w:sz w:val="20"/>
              </w:rPr>
              <w:t>6,000 – 7,999</w:t>
            </w:r>
          </w:p>
        </w:tc>
        <w:tc>
          <w:tcPr>
            <w:tcW w:w="1971" w:type="dxa"/>
          </w:tcPr>
          <w:p w14:paraId="181C7946" w14:textId="77777777" w:rsidR="006E1BB2" w:rsidRDefault="007221B2">
            <w:pPr>
              <w:pStyle w:val="TableParagraph"/>
              <w:ind w:right="792"/>
              <w:jc w:val="right"/>
              <w:rPr>
                <w:sz w:val="20"/>
              </w:rPr>
            </w:pPr>
            <w:r>
              <w:rPr>
                <w:sz w:val="20"/>
              </w:rPr>
              <w:t>10.0</w:t>
            </w:r>
          </w:p>
        </w:tc>
      </w:tr>
      <w:tr w:rsidR="006E1BB2" w14:paraId="71C5DD7E" w14:textId="77777777">
        <w:trPr>
          <w:trHeight w:val="282"/>
        </w:trPr>
        <w:tc>
          <w:tcPr>
            <w:tcW w:w="3241" w:type="dxa"/>
            <w:vMerge/>
            <w:tcBorders>
              <w:top w:val="nil"/>
            </w:tcBorders>
          </w:tcPr>
          <w:p w14:paraId="2193C29D" w14:textId="77777777" w:rsidR="006E1BB2" w:rsidRDefault="006E1BB2">
            <w:pPr>
              <w:rPr>
                <w:sz w:val="2"/>
                <w:szCs w:val="2"/>
              </w:rPr>
            </w:pPr>
          </w:p>
        </w:tc>
        <w:tc>
          <w:tcPr>
            <w:tcW w:w="1620" w:type="dxa"/>
            <w:vMerge/>
            <w:tcBorders>
              <w:top w:val="nil"/>
            </w:tcBorders>
          </w:tcPr>
          <w:p w14:paraId="3C9DD34F" w14:textId="77777777" w:rsidR="006E1BB2" w:rsidRDefault="006E1BB2">
            <w:pPr>
              <w:rPr>
                <w:sz w:val="2"/>
                <w:szCs w:val="2"/>
              </w:rPr>
            </w:pPr>
          </w:p>
        </w:tc>
        <w:tc>
          <w:tcPr>
            <w:tcW w:w="2252" w:type="dxa"/>
          </w:tcPr>
          <w:p w14:paraId="0DC0421D" w14:textId="77777777" w:rsidR="006E1BB2" w:rsidRDefault="007221B2">
            <w:pPr>
              <w:pStyle w:val="TableParagraph"/>
              <w:spacing w:line="242" w:lineRule="exact"/>
              <w:ind w:left="453" w:right="447"/>
              <w:jc w:val="center"/>
              <w:rPr>
                <w:sz w:val="20"/>
              </w:rPr>
            </w:pPr>
            <w:r>
              <w:rPr>
                <w:sz w:val="20"/>
              </w:rPr>
              <w:t>8,000 – 10,999</w:t>
            </w:r>
          </w:p>
        </w:tc>
        <w:tc>
          <w:tcPr>
            <w:tcW w:w="1971" w:type="dxa"/>
          </w:tcPr>
          <w:p w14:paraId="23B4FFCB" w14:textId="77777777" w:rsidR="006E1BB2" w:rsidRDefault="007221B2">
            <w:pPr>
              <w:pStyle w:val="TableParagraph"/>
              <w:spacing w:line="242" w:lineRule="exact"/>
              <w:ind w:right="792"/>
              <w:jc w:val="right"/>
              <w:rPr>
                <w:sz w:val="20"/>
              </w:rPr>
            </w:pPr>
            <w:r>
              <w:rPr>
                <w:sz w:val="20"/>
              </w:rPr>
              <w:t>9.6</w:t>
            </w:r>
          </w:p>
        </w:tc>
      </w:tr>
      <w:tr w:rsidR="006E1BB2" w14:paraId="5FD621DE" w14:textId="77777777">
        <w:trPr>
          <w:trHeight w:val="285"/>
        </w:trPr>
        <w:tc>
          <w:tcPr>
            <w:tcW w:w="3241" w:type="dxa"/>
            <w:vMerge/>
            <w:tcBorders>
              <w:top w:val="nil"/>
            </w:tcBorders>
          </w:tcPr>
          <w:p w14:paraId="4ECF274E" w14:textId="77777777" w:rsidR="006E1BB2" w:rsidRDefault="006E1BB2">
            <w:pPr>
              <w:rPr>
                <w:sz w:val="2"/>
                <w:szCs w:val="2"/>
              </w:rPr>
            </w:pPr>
          </w:p>
        </w:tc>
        <w:tc>
          <w:tcPr>
            <w:tcW w:w="1620" w:type="dxa"/>
            <w:vMerge/>
            <w:tcBorders>
              <w:top w:val="nil"/>
            </w:tcBorders>
          </w:tcPr>
          <w:p w14:paraId="7C23B0FA" w14:textId="77777777" w:rsidR="006E1BB2" w:rsidRDefault="006E1BB2">
            <w:pPr>
              <w:rPr>
                <w:sz w:val="2"/>
                <w:szCs w:val="2"/>
              </w:rPr>
            </w:pPr>
          </w:p>
        </w:tc>
        <w:tc>
          <w:tcPr>
            <w:tcW w:w="2252" w:type="dxa"/>
          </w:tcPr>
          <w:p w14:paraId="00495844" w14:textId="77777777" w:rsidR="006E1BB2" w:rsidRDefault="007221B2">
            <w:pPr>
              <w:pStyle w:val="TableParagraph"/>
              <w:spacing w:before="23" w:line="242" w:lineRule="exact"/>
              <w:ind w:left="453" w:right="447"/>
              <w:jc w:val="center"/>
              <w:rPr>
                <w:sz w:val="20"/>
              </w:rPr>
            </w:pPr>
            <w:r>
              <w:rPr>
                <w:sz w:val="20"/>
              </w:rPr>
              <w:t>11,000 – 13,999</w:t>
            </w:r>
          </w:p>
        </w:tc>
        <w:tc>
          <w:tcPr>
            <w:tcW w:w="1971" w:type="dxa"/>
          </w:tcPr>
          <w:p w14:paraId="18CBDC7B" w14:textId="77777777" w:rsidR="006E1BB2" w:rsidRDefault="007221B2">
            <w:pPr>
              <w:pStyle w:val="TableParagraph"/>
              <w:spacing w:before="23" w:line="242" w:lineRule="exact"/>
              <w:ind w:right="792"/>
              <w:jc w:val="right"/>
              <w:rPr>
                <w:sz w:val="20"/>
              </w:rPr>
            </w:pPr>
            <w:r>
              <w:rPr>
                <w:sz w:val="20"/>
              </w:rPr>
              <w:t>9.5</w:t>
            </w:r>
          </w:p>
        </w:tc>
      </w:tr>
      <w:tr w:rsidR="006E1BB2" w14:paraId="0AA64E6A" w14:textId="77777777">
        <w:trPr>
          <w:trHeight w:val="285"/>
        </w:trPr>
        <w:tc>
          <w:tcPr>
            <w:tcW w:w="3241" w:type="dxa"/>
            <w:vMerge/>
            <w:tcBorders>
              <w:top w:val="nil"/>
            </w:tcBorders>
          </w:tcPr>
          <w:p w14:paraId="34DE18EC" w14:textId="77777777" w:rsidR="006E1BB2" w:rsidRDefault="006E1BB2">
            <w:pPr>
              <w:rPr>
                <w:sz w:val="2"/>
                <w:szCs w:val="2"/>
              </w:rPr>
            </w:pPr>
          </w:p>
        </w:tc>
        <w:tc>
          <w:tcPr>
            <w:tcW w:w="1620" w:type="dxa"/>
            <w:vMerge/>
            <w:tcBorders>
              <w:top w:val="nil"/>
            </w:tcBorders>
          </w:tcPr>
          <w:p w14:paraId="476EE888" w14:textId="77777777" w:rsidR="006E1BB2" w:rsidRDefault="006E1BB2">
            <w:pPr>
              <w:rPr>
                <w:sz w:val="2"/>
                <w:szCs w:val="2"/>
              </w:rPr>
            </w:pPr>
          </w:p>
        </w:tc>
        <w:tc>
          <w:tcPr>
            <w:tcW w:w="2252" w:type="dxa"/>
          </w:tcPr>
          <w:p w14:paraId="04DB783C" w14:textId="77777777" w:rsidR="006E1BB2" w:rsidRDefault="007221B2">
            <w:pPr>
              <w:pStyle w:val="TableParagraph"/>
              <w:ind w:left="453" w:right="447"/>
              <w:jc w:val="center"/>
              <w:rPr>
                <w:sz w:val="20"/>
              </w:rPr>
            </w:pPr>
            <w:r>
              <w:rPr>
                <w:sz w:val="20"/>
              </w:rPr>
              <w:t>14,000 – 19,999</w:t>
            </w:r>
          </w:p>
        </w:tc>
        <w:tc>
          <w:tcPr>
            <w:tcW w:w="1971" w:type="dxa"/>
          </w:tcPr>
          <w:p w14:paraId="72A04C91" w14:textId="77777777" w:rsidR="006E1BB2" w:rsidRDefault="007221B2">
            <w:pPr>
              <w:pStyle w:val="TableParagraph"/>
              <w:ind w:right="792"/>
              <w:jc w:val="right"/>
              <w:rPr>
                <w:sz w:val="20"/>
              </w:rPr>
            </w:pPr>
            <w:r>
              <w:rPr>
                <w:sz w:val="20"/>
              </w:rPr>
              <w:t>9.3</w:t>
            </w:r>
          </w:p>
        </w:tc>
      </w:tr>
      <w:tr w:rsidR="006E1BB2" w14:paraId="2733C59E" w14:textId="77777777">
        <w:trPr>
          <w:trHeight w:val="282"/>
        </w:trPr>
        <w:tc>
          <w:tcPr>
            <w:tcW w:w="3241" w:type="dxa"/>
            <w:vMerge/>
            <w:tcBorders>
              <w:top w:val="nil"/>
            </w:tcBorders>
          </w:tcPr>
          <w:p w14:paraId="291AF62D" w14:textId="77777777" w:rsidR="006E1BB2" w:rsidRDefault="006E1BB2">
            <w:pPr>
              <w:rPr>
                <w:sz w:val="2"/>
                <w:szCs w:val="2"/>
              </w:rPr>
            </w:pPr>
          </w:p>
        </w:tc>
        <w:tc>
          <w:tcPr>
            <w:tcW w:w="1620" w:type="dxa"/>
            <w:vMerge/>
            <w:tcBorders>
              <w:top w:val="nil"/>
            </w:tcBorders>
          </w:tcPr>
          <w:p w14:paraId="0A62E2A2" w14:textId="77777777" w:rsidR="006E1BB2" w:rsidRDefault="006E1BB2">
            <w:pPr>
              <w:rPr>
                <w:sz w:val="2"/>
                <w:szCs w:val="2"/>
              </w:rPr>
            </w:pPr>
          </w:p>
        </w:tc>
        <w:tc>
          <w:tcPr>
            <w:tcW w:w="2252" w:type="dxa"/>
          </w:tcPr>
          <w:p w14:paraId="0E9D22DE" w14:textId="77777777" w:rsidR="006E1BB2" w:rsidRDefault="007221B2">
            <w:pPr>
              <w:pStyle w:val="TableParagraph"/>
              <w:spacing w:line="242" w:lineRule="exact"/>
              <w:ind w:left="453" w:right="447"/>
              <w:jc w:val="center"/>
              <w:rPr>
                <w:sz w:val="20"/>
              </w:rPr>
            </w:pPr>
            <w:r>
              <w:rPr>
                <w:sz w:val="20"/>
              </w:rPr>
              <w:t>≥ 20,000</w:t>
            </w:r>
          </w:p>
        </w:tc>
        <w:tc>
          <w:tcPr>
            <w:tcW w:w="1971" w:type="dxa"/>
          </w:tcPr>
          <w:p w14:paraId="3D4F5319" w14:textId="77777777" w:rsidR="006E1BB2" w:rsidRDefault="007221B2">
            <w:pPr>
              <w:pStyle w:val="TableParagraph"/>
              <w:spacing w:line="242" w:lineRule="exact"/>
              <w:ind w:right="792"/>
              <w:jc w:val="right"/>
              <w:rPr>
                <w:sz w:val="20"/>
              </w:rPr>
            </w:pPr>
            <w:r>
              <w:rPr>
                <w:sz w:val="20"/>
              </w:rPr>
              <w:t>9.4</w:t>
            </w:r>
          </w:p>
        </w:tc>
      </w:tr>
      <w:tr w:rsidR="006E1BB2" w14:paraId="1415D5AA" w14:textId="77777777">
        <w:trPr>
          <w:trHeight w:val="285"/>
        </w:trPr>
        <w:tc>
          <w:tcPr>
            <w:tcW w:w="3241" w:type="dxa"/>
            <w:vMerge w:val="restart"/>
          </w:tcPr>
          <w:p w14:paraId="08310895" w14:textId="77777777" w:rsidR="006E1BB2" w:rsidRDefault="006E1BB2">
            <w:pPr>
              <w:pStyle w:val="TableParagraph"/>
              <w:spacing w:before="0"/>
              <w:rPr>
                <w:sz w:val="20"/>
              </w:rPr>
            </w:pPr>
          </w:p>
          <w:p w14:paraId="5C22E8DC" w14:textId="77777777" w:rsidR="006E1BB2" w:rsidRDefault="006E1BB2">
            <w:pPr>
              <w:pStyle w:val="TableParagraph"/>
              <w:spacing w:before="10"/>
              <w:rPr>
                <w:sz w:val="17"/>
              </w:rPr>
            </w:pPr>
          </w:p>
          <w:p w14:paraId="424C2A9F" w14:textId="77777777" w:rsidR="006E1BB2" w:rsidRDefault="007221B2">
            <w:pPr>
              <w:pStyle w:val="TableParagraph"/>
              <w:spacing w:before="0"/>
              <w:ind w:left="115"/>
              <w:rPr>
                <w:sz w:val="20"/>
              </w:rPr>
            </w:pPr>
            <w:r>
              <w:rPr>
                <w:sz w:val="20"/>
              </w:rPr>
              <w:t>Room Air Conditioning Heat Pump</w:t>
            </w:r>
          </w:p>
        </w:tc>
        <w:tc>
          <w:tcPr>
            <w:tcW w:w="1620" w:type="dxa"/>
            <w:vMerge w:val="restart"/>
          </w:tcPr>
          <w:p w14:paraId="7F0BE269" w14:textId="77777777" w:rsidR="006E1BB2" w:rsidRDefault="007221B2">
            <w:pPr>
              <w:pStyle w:val="TableParagraph"/>
              <w:spacing w:before="169"/>
              <w:ind w:left="133" w:right="127"/>
              <w:jc w:val="center"/>
              <w:rPr>
                <w:sz w:val="20"/>
              </w:rPr>
            </w:pPr>
            <w:r>
              <w:rPr>
                <w:sz w:val="20"/>
              </w:rPr>
              <w:t>Yes</w:t>
            </w:r>
          </w:p>
        </w:tc>
        <w:tc>
          <w:tcPr>
            <w:tcW w:w="2252" w:type="dxa"/>
          </w:tcPr>
          <w:p w14:paraId="05F9CF62" w14:textId="77777777" w:rsidR="006E1BB2" w:rsidRDefault="007221B2">
            <w:pPr>
              <w:pStyle w:val="TableParagraph"/>
              <w:ind w:left="453" w:right="447"/>
              <w:jc w:val="center"/>
              <w:rPr>
                <w:sz w:val="20"/>
              </w:rPr>
            </w:pPr>
            <w:r>
              <w:rPr>
                <w:sz w:val="20"/>
              </w:rPr>
              <w:t>&lt; 20,000</w:t>
            </w:r>
          </w:p>
        </w:tc>
        <w:tc>
          <w:tcPr>
            <w:tcW w:w="1971" w:type="dxa"/>
          </w:tcPr>
          <w:p w14:paraId="5B95922E" w14:textId="77777777" w:rsidR="006E1BB2" w:rsidRDefault="007221B2">
            <w:pPr>
              <w:pStyle w:val="TableParagraph"/>
              <w:ind w:right="792"/>
              <w:jc w:val="right"/>
              <w:rPr>
                <w:sz w:val="20"/>
              </w:rPr>
            </w:pPr>
            <w:r>
              <w:rPr>
                <w:sz w:val="20"/>
              </w:rPr>
              <w:t>9.8</w:t>
            </w:r>
          </w:p>
        </w:tc>
      </w:tr>
      <w:tr w:rsidR="006E1BB2" w14:paraId="0F8EC80A" w14:textId="77777777">
        <w:trPr>
          <w:trHeight w:val="282"/>
        </w:trPr>
        <w:tc>
          <w:tcPr>
            <w:tcW w:w="3241" w:type="dxa"/>
            <w:vMerge/>
            <w:tcBorders>
              <w:top w:val="nil"/>
            </w:tcBorders>
          </w:tcPr>
          <w:p w14:paraId="24B2A444" w14:textId="77777777" w:rsidR="006E1BB2" w:rsidRDefault="006E1BB2">
            <w:pPr>
              <w:rPr>
                <w:sz w:val="2"/>
                <w:szCs w:val="2"/>
              </w:rPr>
            </w:pPr>
          </w:p>
        </w:tc>
        <w:tc>
          <w:tcPr>
            <w:tcW w:w="1620" w:type="dxa"/>
            <w:vMerge/>
            <w:tcBorders>
              <w:top w:val="nil"/>
            </w:tcBorders>
          </w:tcPr>
          <w:p w14:paraId="74547F72" w14:textId="77777777" w:rsidR="006E1BB2" w:rsidRDefault="006E1BB2">
            <w:pPr>
              <w:rPr>
                <w:sz w:val="2"/>
                <w:szCs w:val="2"/>
              </w:rPr>
            </w:pPr>
          </w:p>
        </w:tc>
        <w:tc>
          <w:tcPr>
            <w:tcW w:w="2252" w:type="dxa"/>
          </w:tcPr>
          <w:p w14:paraId="68AA21D6" w14:textId="77777777" w:rsidR="006E1BB2" w:rsidRDefault="007221B2">
            <w:pPr>
              <w:pStyle w:val="TableParagraph"/>
              <w:spacing w:line="242" w:lineRule="exact"/>
              <w:ind w:left="453" w:right="447"/>
              <w:jc w:val="center"/>
              <w:rPr>
                <w:sz w:val="20"/>
              </w:rPr>
            </w:pPr>
            <w:r>
              <w:rPr>
                <w:sz w:val="20"/>
              </w:rPr>
              <w:t>≥ 20,000</w:t>
            </w:r>
          </w:p>
        </w:tc>
        <w:tc>
          <w:tcPr>
            <w:tcW w:w="1971" w:type="dxa"/>
          </w:tcPr>
          <w:p w14:paraId="61E0FE75" w14:textId="77777777" w:rsidR="006E1BB2" w:rsidRDefault="007221B2">
            <w:pPr>
              <w:pStyle w:val="TableParagraph"/>
              <w:spacing w:line="242" w:lineRule="exact"/>
              <w:ind w:right="792"/>
              <w:jc w:val="right"/>
              <w:rPr>
                <w:sz w:val="20"/>
              </w:rPr>
            </w:pPr>
            <w:r>
              <w:rPr>
                <w:sz w:val="20"/>
              </w:rPr>
              <w:t>9.3</w:t>
            </w:r>
          </w:p>
        </w:tc>
      </w:tr>
      <w:tr w:rsidR="006E1BB2" w14:paraId="6CD6FC0C" w14:textId="77777777">
        <w:trPr>
          <w:trHeight w:val="285"/>
        </w:trPr>
        <w:tc>
          <w:tcPr>
            <w:tcW w:w="3241" w:type="dxa"/>
            <w:vMerge/>
            <w:tcBorders>
              <w:top w:val="nil"/>
            </w:tcBorders>
          </w:tcPr>
          <w:p w14:paraId="739CF2EF" w14:textId="77777777" w:rsidR="006E1BB2" w:rsidRDefault="006E1BB2">
            <w:pPr>
              <w:rPr>
                <w:sz w:val="2"/>
                <w:szCs w:val="2"/>
              </w:rPr>
            </w:pPr>
          </w:p>
        </w:tc>
        <w:tc>
          <w:tcPr>
            <w:tcW w:w="1620" w:type="dxa"/>
            <w:vMerge w:val="restart"/>
          </w:tcPr>
          <w:p w14:paraId="6720A9B7" w14:textId="77777777" w:rsidR="006E1BB2" w:rsidRDefault="007221B2">
            <w:pPr>
              <w:pStyle w:val="TableParagraph"/>
              <w:spacing w:before="169"/>
              <w:ind w:left="133" w:right="127"/>
              <w:jc w:val="center"/>
              <w:rPr>
                <w:sz w:val="20"/>
              </w:rPr>
            </w:pPr>
            <w:r>
              <w:rPr>
                <w:sz w:val="20"/>
              </w:rPr>
              <w:t>No</w:t>
            </w:r>
          </w:p>
        </w:tc>
        <w:tc>
          <w:tcPr>
            <w:tcW w:w="2252" w:type="dxa"/>
          </w:tcPr>
          <w:p w14:paraId="6B1BCB16" w14:textId="77777777" w:rsidR="006E1BB2" w:rsidRDefault="007221B2">
            <w:pPr>
              <w:pStyle w:val="TableParagraph"/>
              <w:spacing w:before="21"/>
              <w:ind w:left="453" w:right="447"/>
              <w:jc w:val="center"/>
              <w:rPr>
                <w:sz w:val="20"/>
              </w:rPr>
            </w:pPr>
            <w:r>
              <w:rPr>
                <w:sz w:val="20"/>
              </w:rPr>
              <w:t>&lt; 14,000</w:t>
            </w:r>
          </w:p>
        </w:tc>
        <w:tc>
          <w:tcPr>
            <w:tcW w:w="1971" w:type="dxa"/>
          </w:tcPr>
          <w:p w14:paraId="244B03A1" w14:textId="77777777" w:rsidR="006E1BB2" w:rsidRDefault="007221B2">
            <w:pPr>
              <w:pStyle w:val="TableParagraph"/>
              <w:spacing w:before="21"/>
              <w:ind w:right="792"/>
              <w:jc w:val="right"/>
              <w:rPr>
                <w:sz w:val="20"/>
              </w:rPr>
            </w:pPr>
            <w:r>
              <w:rPr>
                <w:sz w:val="20"/>
              </w:rPr>
              <w:t>9.3</w:t>
            </w:r>
          </w:p>
        </w:tc>
      </w:tr>
      <w:tr w:rsidR="006E1BB2" w14:paraId="616F16BF" w14:textId="77777777">
        <w:trPr>
          <w:trHeight w:val="282"/>
        </w:trPr>
        <w:tc>
          <w:tcPr>
            <w:tcW w:w="3241" w:type="dxa"/>
            <w:vMerge/>
            <w:tcBorders>
              <w:top w:val="nil"/>
            </w:tcBorders>
          </w:tcPr>
          <w:p w14:paraId="0E9039EB" w14:textId="77777777" w:rsidR="006E1BB2" w:rsidRDefault="006E1BB2">
            <w:pPr>
              <w:rPr>
                <w:sz w:val="2"/>
                <w:szCs w:val="2"/>
              </w:rPr>
            </w:pPr>
          </w:p>
        </w:tc>
        <w:tc>
          <w:tcPr>
            <w:tcW w:w="1620" w:type="dxa"/>
            <w:vMerge/>
            <w:tcBorders>
              <w:top w:val="nil"/>
            </w:tcBorders>
          </w:tcPr>
          <w:p w14:paraId="4E0AB307" w14:textId="77777777" w:rsidR="006E1BB2" w:rsidRDefault="006E1BB2">
            <w:pPr>
              <w:rPr>
                <w:sz w:val="2"/>
                <w:szCs w:val="2"/>
              </w:rPr>
            </w:pPr>
          </w:p>
        </w:tc>
        <w:tc>
          <w:tcPr>
            <w:tcW w:w="2252" w:type="dxa"/>
          </w:tcPr>
          <w:p w14:paraId="0B82F866" w14:textId="77777777" w:rsidR="006E1BB2" w:rsidRDefault="007221B2">
            <w:pPr>
              <w:pStyle w:val="TableParagraph"/>
              <w:spacing w:line="242" w:lineRule="exact"/>
              <w:ind w:left="453" w:right="447"/>
              <w:jc w:val="center"/>
              <w:rPr>
                <w:sz w:val="20"/>
              </w:rPr>
            </w:pPr>
            <w:r>
              <w:rPr>
                <w:sz w:val="20"/>
              </w:rPr>
              <w:t>≥ 14,000</w:t>
            </w:r>
          </w:p>
        </w:tc>
        <w:tc>
          <w:tcPr>
            <w:tcW w:w="1971" w:type="dxa"/>
          </w:tcPr>
          <w:p w14:paraId="3A802743" w14:textId="77777777" w:rsidR="006E1BB2" w:rsidRDefault="007221B2">
            <w:pPr>
              <w:pStyle w:val="TableParagraph"/>
              <w:spacing w:line="242" w:lineRule="exact"/>
              <w:ind w:right="792"/>
              <w:jc w:val="right"/>
              <w:rPr>
                <w:sz w:val="20"/>
              </w:rPr>
            </w:pPr>
            <w:r>
              <w:rPr>
                <w:sz w:val="20"/>
              </w:rPr>
              <w:t>8.7</w:t>
            </w:r>
          </w:p>
        </w:tc>
      </w:tr>
      <w:tr w:rsidR="006E1BB2" w14:paraId="0C7C0413" w14:textId="77777777">
        <w:trPr>
          <w:trHeight w:val="530"/>
        </w:trPr>
        <w:tc>
          <w:tcPr>
            <w:tcW w:w="3241" w:type="dxa"/>
          </w:tcPr>
          <w:p w14:paraId="7DC87C51" w14:textId="77777777" w:rsidR="006E1BB2" w:rsidRDefault="007221B2">
            <w:pPr>
              <w:pStyle w:val="TableParagraph"/>
              <w:spacing w:line="240" w:lineRule="atLeast"/>
              <w:ind w:left="115" w:right="165"/>
              <w:rPr>
                <w:sz w:val="20"/>
              </w:rPr>
            </w:pPr>
            <w:r>
              <w:rPr>
                <w:sz w:val="20"/>
              </w:rPr>
              <w:t>Casement-Only Room Air Conditioner</w:t>
            </w:r>
          </w:p>
        </w:tc>
        <w:tc>
          <w:tcPr>
            <w:tcW w:w="1620" w:type="dxa"/>
          </w:tcPr>
          <w:p w14:paraId="0F5634F4" w14:textId="77777777" w:rsidR="006E1BB2" w:rsidRDefault="007221B2">
            <w:pPr>
              <w:pStyle w:val="TableParagraph"/>
              <w:spacing w:before="143"/>
              <w:ind w:left="130" w:right="127"/>
              <w:jc w:val="center"/>
              <w:rPr>
                <w:sz w:val="20"/>
              </w:rPr>
            </w:pPr>
            <w:r>
              <w:rPr>
                <w:sz w:val="20"/>
              </w:rPr>
              <w:t>Either</w:t>
            </w:r>
          </w:p>
        </w:tc>
        <w:tc>
          <w:tcPr>
            <w:tcW w:w="2252" w:type="dxa"/>
          </w:tcPr>
          <w:p w14:paraId="793A1C20" w14:textId="77777777" w:rsidR="006E1BB2" w:rsidRDefault="007221B2">
            <w:pPr>
              <w:pStyle w:val="TableParagraph"/>
              <w:spacing w:before="143"/>
              <w:ind w:left="452" w:right="447"/>
              <w:jc w:val="center"/>
              <w:rPr>
                <w:sz w:val="20"/>
              </w:rPr>
            </w:pPr>
            <w:r>
              <w:rPr>
                <w:sz w:val="20"/>
              </w:rPr>
              <w:t>Any</w:t>
            </w:r>
          </w:p>
        </w:tc>
        <w:tc>
          <w:tcPr>
            <w:tcW w:w="1971" w:type="dxa"/>
          </w:tcPr>
          <w:p w14:paraId="4555ED43" w14:textId="77777777" w:rsidR="006E1BB2" w:rsidRDefault="007221B2">
            <w:pPr>
              <w:pStyle w:val="TableParagraph"/>
              <w:spacing w:before="143"/>
              <w:ind w:right="792"/>
              <w:jc w:val="right"/>
              <w:rPr>
                <w:sz w:val="20"/>
              </w:rPr>
            </w:pPr>
            <w:r>
              <w:rPr>
                <w:sz w:val="20"/>
              </w:rPr>
              <w:t>9.5</w:t>
            </w:r>
          </w:p>
        </w:tc>
      </w:tr>
      <w:tr w:rsidR="006E1BB2" w14:paraId="42172C0F" w14:textId="77777777">
        <w:trPr>
          <w:trHeight w:val="527"/>
        </w:trPr>
        <w:tc>
          <w:tcPr>
            <w:tcW w:w="3241" w:type="dxa"/>
          </w:tcPr>
          <w:p w14:paraId="0CB5137D" w14:textId="77777777" w:rsidR="006E1BB2" w:rsidRDefault="007221B2">
            <w:pPr>
              <w:pStyle w:val="TableParagraph"/>
              <w:spacing w:line="240" w:lineRule="atLeast"/>
              <w:ind w:left="115" w:right="165"/>
              <w:rPr>
                <w:sz w:val="20"/>
              </w:rPr>
            </w:pPr>
            <w:r>
              <w:rPr>
                <w:sz w:val="20"/>
              </w:rPr>
              <w:t>Casement-Slider Room Air Conditioner</w:t>
            </w:r>
          </w:p>
        </w:tc>
        <w:tc>
          <w:tcPr>
            <w:tcW w:w="1620" w:type="dxa"/>
          </w:tcPr>
          <w:p w14:paraId="19B959EF" w14:textId="77777777" w:rsidR="006E1BB2" w:rsidRDefault="007221B2">
            <w:pPr>
              <w:pStyle w:val="TableParagraph"/>
              <w:spacing w:before="143"/>
              <w:ind w:left="130" w:right="127"/>
              <w:jc w:val="center"/>
              <w:rPr>
                <w:sz w:val="20"/>
              </w:rPr>
            </w:pPr>
            <w:r>
              <w:rPr>
                <w:sz w:val="20"/>
              </w:rPr>
              <w:t>Either</w:t>
            </w:r>
          </w:p>
        </w:tc>
        <w:tc>
          <w:tcPr>
            <w:tcW w:w="2252" w:type="dxa"/>
          </w:tcPr>
          <w:p w14:paraId="76BBF026" w14:textId="77777777" w:rsidR="006E1BB2" w:rsidRDefault="007221B2">
            <w:pPr>
              <w:pStyle w:val="TableParagraph"/>
              <w:spacing w:before="143"/>
              <w:ind w:left="452" w:right="447"/>
              <w:jc w:val="center"/>
              <w:rPr>
                <w:sz w:val="20"/>
              </w:rPr>
            </w:pPr>
            <w:r>
              <w:rPr>
                <w:sz w:val="20"/>
              </w:rPr>
              <w:t>Any</w:t>
            </w:r>
          </w:p>
        </w:tc>
        <w:tc>
          <w:tcPr>
            <w:tcW w:w="1971" w:type="dxa"/>
          </w:tcPr>
          <w:p w14:paraId="22F8E934" w14:textId="77777777" w:rsidR="006E1BB2" w:rsidRDefault="007221B2">
            <w:pPr>
              <w:pStyle w:val="TableParagraph"/>
              <w:spacing w:before="143"/>
              <w:ind w:right="792"/>
              <w:jc w:val="right"/>
              <w:rPr>
                <w:sz w:val="20"/>
              </w:rPr>
            </w:pPr>
            <w:r>
              <w:rPr>
                <w:sz w:val="20"/>
              </w:rPr>
              <w:t>10.4</w:t>
            </w:r>
          </w:p>
        </w:tc>
      </w:tr>
    </w:tbl>
    <w:p w14:paraId="0E020FD2" w14:textId="77777777" w:rsidR="006E1BB2" w:rsidRDefault="006E1BB2">
      <w:pPr>
        <w:pStyle w:val="BodyText"/>
      </w:pPr>
    </w:p>
    <w:p w14:paraId="0025B300" w14:textId="77777777" w:rsidR="006E1BB2" w:rsidRDefault="006E1BB2">
      <w:pPr>
        <w:pStyle w:val="BodyText"/>
        <w:spacing w:before="8"/>
        <w:rPr>
          <w:sz w:val="20"/>
        </w:rPr>
      </w:pPr>
    </w:p>
    <w:p w14:paraId="4150B3F5" w14:textId="77777777" w:rsidR="006E1BB2" w:rsidRDefault="007221B2">
      <w:pPr>
        <w:pStyle w:val="Heading1"/>
      </w:pPr>
      <w:bookmarkStart w:id="6" w:name="_TOC_250017"/>
      <w:bookmarkEnd w:id="6"/>
      <w:r>
        <w:rPr>
          <w:color w:val="CFAB79"/>
        </w:rPr>
        <w:t>NORMALIZING UNIT</w:t>
      </w:r>
    </w:p>
    <w:p w14:paraId="5014973F" w14:textId="77777777" w:rsidR="006E1BB2" w:rsidRDefault="007221B2">
      <w:pPr>
        <w:pStyle w:val="BodyText"/>
        <w:spacing w:before="115"/>
        <w:ind w:left="120"/>
      </w:pPr>
      <w:r>
        <w:t>Each.</w:t>
      </w:r>
    </w:p>
    <w:p w14:paraId="40FB1A90" w14:textId="77777777" w:rsidR="006E1BB2" w:rsidRDefault="006E1BB2">
      <w:pPr>
        <w:pStyle w:val="BodyText"/>
      </w:pPr>
    </w:p>
    <w:p w14:paraId="7C36D582" w14:textId="77777777" w:rsidR="006E1BB2" w:rsidRDefault="006E1BB2">
      <w:pPr>
        <w:pStyle w:val="BodyText"/>
        <w:spacing w:before="9"/>
        <w:rPr>
          <w:sz w:val="20"/>
        </w:rPr>
      </w:pPr>
    </w:p>
    <w:p w14:paraId="5EA9DC34" w14:textId="77777777" w:rsidR="006E1BB2" w:rsidRDefault="007221B2">
      <w:pPr>
        <w:pStyle w:val="Heading1"/>
      </w:pPr>
      <w:bookmarkStart w:id="7" w:name="_TOC_250016"/>
      <w:bookmarkEnd w:id="7"/>
      <w:r>
        <w:rPr>
          <w:color w:val="CFAB79"/>
        </w:rPr>
        <w:t>PROGRAM REQUIREMENTS</w:t>
      </w:r>
    </w:p>
    <w:p w14:paraId="35719A06" w14:textId="77777777" w:rsidR="006E1BB2" w:rsidRDefault="007221B2">
      <w:pPr>
        <w:spacing w:before="115"/>
        <w:ind w:left="120"/>
        <w:rPr>
          <w:i/>
        </w:rPr>
      </w:pPr>
      <w:r>
        <w:rPr>
          <w:i/>
          <w:color w:val="5F5F5F"/>
        </w:rPr>
        <w:t xml:space="preserve">Measure Implementation Eligibility </w:t>
      </w:r>
    </w:p>
    <w:p w14:paraId="622E9791" w14:textId="77777777" w:rsidR="006E1BB2" w:rsidRDefault="007221B2">
      <w:pPr>
        <w:pStyle w:val="BodyText"/>
        <w:spacing w:before="120"/>
        <w:ind w:left="120" w:right="51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w:t>
      </w:r>
    </w:p>
    <w:p w14:paraId="30798924" w14:textId="77777777" w:rsidR="006E1BB2" w:rsidRDefault="006E1BB2">
      <w:pPr>
        <w:sectPr w:rsidR="006E1BB2">
          <w:pgSz w:w="12240" w:h="15840"/>
          <w:pgMar w:top="1220" w:right="1220" w:bottom="1320" w:left="1320" w:header="858" w:footer="1129" w:gutter="0"/>
          <w:cols w:space="720"/>
        </w:sectPr>
      </w:pPr>
    </w:p>
    <w:p w14:paraId="418F0065" w14:textId="77777777" w:rsidR="006E1BB2" w:rsidRDefault="006E1BB2">
      <w:pPr>
        <w:pStyle w:val="BodyText"/>
        <w:spacing w:before="10"/>
        <w:rPr>
          <w:sz w:val="19"/>
        </w:rPr>
      </w:pPr>
    </w:p>
    <w:p w14:paraId="260F0620" w14:textId="77777777" w:rsidR="006E1BB2" w:rsidRDefault="007221B2">
      <w:pPr>
        <w:pStyle w:val="BodyText"/>
        <w:spacing w:before="56"/>
        <w:ind w:left="120" w:right="568"/>
      </w:pPr>
      <w:r>
        <w:t>incentives or other services) is targeted. This table also designates the broad market sector(s) that are applicable for this measure.</w:t>
      </w:r>
    </w:p>
    <w:p w14:paraId="296AAE87" w14:textId="77777777" w:rsidR="006E1BB2" w:rsidRDefault="007221B2">
      <w:pPr>
        <w:spacing w:before="121"/>
        <w:ind w:left="120" w:right="327"/>
        <w:rPr>
          <w:i/>
        </w:rPr>
      </w:pPr>
      <w:r>
        <w:rPr>
          <w:i/>
        </w:rPr>
        <w:t xml:space="preserve">Note that some of the implementation combinations below may not be allowed for some measure offerings by all program administrators. </w:t>
      </w:r>
    </w:p>
    <w:p w14:paraId="7CB62DA8" w14:textId="77777777" w:rsidR="006E1BB2" w:rsidRDefault="007221B2">
      <w:pPr>
        <w:pStyle w:val="BodyText"/>
        <w:spacing w:before="121"/>
        <w:ind w:left="120"/>
      </w:pPr>
      <w:r>
        <w:t>Implementation Eligibility</w:t>
      </w:r>
    </w:p>
    <w:p w14:paraId="74028435" w14:textId="77777777" w:rsidR="006E1BB2" w:rsidRDefault="006E1BB2">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5"/>
      </w:tblGrid>
      <w:tr w:rsidR="006E1BB2" w14:paraId="1B35BCC3" w14:textId="77777777">
        <w:trPr>
          <w:trHeight w:val="290"/>
        </w:trPr>
        <w:tc>
          <w:tcPr>
            <w:tcW w:w="3025" w:type="dxa"/>
            <w:shd w:val="clear" w:color="auto" w:fill="F1F1F1"/>
          </w:tcPr>
          <w:p w14:paraId="1F96E0F6" w14:textId="77777777" w:rsidR="006E1BB2" w:rsidRDefault="007221B2">
            <w:pPr>
              <w:pStyle w:val="TableParagraph"/>
              <w:spacing w:before="47" w:line="223" w:lineRule="exact"/>
              <w:ind w:left="107"/>
              <w:rPr>
                <w:sz w:val="20"/>
              </w:rPr>
            </w:pPr>
            <w:r>
              <w:rPr>
                <w:sz w:val="20"/>
              </w:rPr>
              <w:t>Measure Application Type</w:t>
            </w:r>
          </w:p>
        </w:tc>
        <w:tc>
          <w:tcPr>
            <w:tcW w:w="3025" w:type="dxa"/>
            <w:shd w:val="clear" w:color="auto" w:fill="F1F1F1"/>
          </w:tcPr>
          <w:p w14:paraId="7A411302" w14:textId="77777777" w:rsidR="006E1BB2" w:rsidRDefault="007221B2">
            <w:pPr>
              <w:pStyle w:val="TableParagraph"/>
              <w:spacing w:before="47" w:line="223" w:lineRule="exact"/>
              <w:ind w:left="107"/>
              <w:rPr>
                <w:sz w:val="20"/>
              </w:rPr>
            </w:pPr>
            <w:r>
              <w:rPr>
                <w:sz w:val="20"/>
              </w:rPr>
              <w:t>Delivery Type</w:t>
            </w:r>
          </w:p>
        </w:tc>
        <w:tc>
          <w:tcPr>
            <w:tcW w:w="3025" w:type="dxa"/>
            <w:shd w:val="clear" w:color="auto" w:fill="F1F1F1"/>
          </w:tcPr>
          <w:p w14:paraId="2D83252B" w14:textId="77777777" w:rsidR="006E1BB2" w:rsidRDefault="007221B2">
            <w:pPr>
              <w:pStyle w:val="TableParagraph"/>
              <w:spacing w:before="47" w:line="223" w:lineRule="exact"/>
              <w:ind w:left="106"/>
              <w:rPr>
                <w:sz w:val="20"/>
              </w:rPr>
            </w:pPr>
            <w:r>
              <w:rPr>
                <w:sz w:val="20"/>
              </w:rPr>
              <w:t>Sector</w:t>
            </w:r>
          </w:p>
        </w:tc>
      </w:tr>
      <w:tr w:rsidR="006E1BB2" w14:paraId="6A4CE261" w14:textId="77777777">
        <w:trPr>
          <w:trHeight w:val="290"/>
        </w:trPr>
        <w:tc>
          <w:tcPr>
            <w:tcW w:w="3025" w:type="dxa"/>
          </w:tcPr>
          <w:p w14:paraId="77974C05" w14:textId="77777777" w:rsidR="006E1BB2" w:rsidRDefault="007221B2">
            <w:pPr>
              <w:pStyle w:val="TableParagraph"/>
              <w:spacing w:before="47" w:line="223" w:lineRule="exact"/>
              <w:ind w:left="107"/>
              <w:rPr>
                <w:sz w:val="20"/>
              </w:rPr>
            </w:pPr>
            <w:r>
              <w:rPr>
                <w:sz w:val="20"/>
              </w:rPr>
              <w:t>Normal replacement</w:t>
            </w:r>
          </w:p>
        </w:tc>
        <w:tc>
          <w:tcPr>
            <w:tcW w:w="3025" w:type="dxa"/>
          </w:tcPr>
          <w:p w14:paraId="024C4B17" w14:textId="77777777" w:rsidR="006E1BB2" w:rsidRDefault="007221B2">
            <w:pPr>
              <w:pStyle w:val="TableParagraph"/>
              <w:spacing w:before="47" w:line="223" w:lineRule="exact"/>
              <w:ind w:left="107"/>
              <w:rPr>
                <w:sz w:val="20"/>
              </w:rPr>
            </w:pPr>
            <w:proofErr w:type="spellStart"/>
            <w:r>
              <w:rPr>
                <w:sz w:val="20"/>
              </w:rPr>
              <w:t>UpDeemed</w:t>
            </w:r>
            <w:proofErr w:type="spellEnd"/>
          </w:p>
        </w:tc>
        <w:tc>
          <w:tcPr>
            <w:tcW w:w="3025" w:type="dxa"/>
          </w:tcPr>
          <w:p w14:paraId="43E95ACA" w14:textId="77777777" w:rsidR="006E1BB2" w:rsidRDefault="007221B2">
            <w:pPr>
              <w:pStyle w:val="TableParagraph"/>
              <w:spacing w:before="47" w:line="223" w:lineRule="exact"/>
              <w:ind w:left="106"/>
              <w:rPr>
                <w:sz w:val="20"/>
              </w:rPr>
            </w:pPr>
            <w:r>
              <w:rPr>
                <w:sz w:val="20"/>
              </w:rPr>
              <w:t>Res</w:t>
            </w:r>
          </w:p>
        </w:tc>
      </w:tr>
      <w:tr w:rsidR="006E1BB2" w14:paraId="4F3DE2FB" w14:textId="77777777">
        <w:trPr>
          <w:trHeight w:val="290"/>
        </w:trPr>
        <w:tc>
          <w:tcPr>
            <w:tcW w:w="3025" w:type="dxa"/>
          </w:tcPr>
          <w:p w14:paraId="2295A2C5" w14:textId="77777777" w:rsidR="006E1BB2" w:rsidRDefault="007221B2">
            <w:pPr>
              <w:pStyle w:val="TableParagraph"/>
              <w:spacing w:before="47" w:line="223" w:lineRule="exact"/>
              <w:ind w:left="107"/>
              <w:rPr>
                <w:sz w:val="20"/>
              </w:rPr>
            </w:pPr>
            <w:r>
              <w:rPr>
                <w:sz w:val="20"/>
              </w:rPr>
              <w:t>Normal replacement</w:t>
            </w:r>
          </w:p>
        </w:tc>
        <w:tc>
          <w:tcPr>
            <w:tcW w:w="3025" w:type="dxa"/>
          </w:tcPr>
          <w:p w14:paraId="619218E3" w14:textId="77777777" w:rsidR="006E1BB2" w:rsidRDefault="007221B2">
            <w:pPr>
              <w:pStyle w:val="TableParagraph"/>
              <w:spacing w:before="47" w:line="223" w:lineRule="exact"/>
              <w:ind w:left="107"/>
              <w:rPr>
                <w:sz w:val="20"/>
              </w:rPr>
            </w:pPr>
            <w:proofErr w:type="spellStart"/>
            <w:r>
              <w:rPr>
                <w:sz w:val="20"/>
              </w:rPr>
              <w:t>DnDeemed</w:t>
            </w:r>
            <w:proofErr w:type="spellEnd"/>
          </w:p>
        </w:tc>
        <w:tc>
          <w:tcPr>
            <w:tcW w:w="3025" w:type="dxa"/>
          </w:tcPr>
          <w:p w14:paraId="3CD19495" w14:textId="77777777" w:rsidR="006E1BB2" w:rsidRDefault="007221B2">
            <w:pPr>
              <w:pStyle w:val="TableParagraph"/>
              <w:spacing w:before="47" w:line="223" w:lineRule="exact"/>
              <w:ind w:left="106"/>
              <w:rPr>
                <w:sz w:val="20"/>
              </w:rPr>
            </w:pPr>
            <w:r>
              <w:rPr>
                <w:sz w:val="20"/>
              </w:rPr>
              <w:t>Res</w:t>
            </w:r>
          </w:p>
        </w:tc>
      </w:tr>
      <w:tr w:rsidR="006E1BB2" w14:paraId="0B996060" w14:textId="77777777">
        <w:trPr>
          <w:trHeight w:val="290"/>
        </w:trPr>
        <w:tc>
          <w:tcPr>
            <w:tcW w:w="3025" w:type="dxa"/>
          </w:tcPr>
          <w:p w14:paraId="1439A2A2" w14:textId="77777777" w:rsidR="006E1BB2" w:rsidRDefault="007221B2">
            <w:pPr>
              <w:pStyle w:val="TableParagraph"/>
              <w:spacing w:before="47" w:line="223" w:lineRule="exact"/>
              <w:ind w:left="107"/>
              <w:rPr>
                <w:sz w:val="20"/>
              </w:rPr>
            </w:pPr>
            <w:r>
              <w:rPr>
                <w:sz w:val="20"/>
              </w:rPr>
              <w:t>Normal replacement</w:t>
            </w:r>
          </w:p>
        </w:tc>
        <w:tc>
          <w:tcPr>
            <w:tcW w:w="3025" w:type="dxa"/>
          </w:tcPr>
          <w:p w14:paraId="0220E677" w14:textId="77777777" w:rsidR="006E1BB2" w:rsidRDefault="007221B2">
            <w:pPr>
              <w:pStyle w:val="TableParagraph"/>
              <w:spacing w:before="47" w:line="223" w:lineRule="exact"/>
              <w:ind w:left="107"/>
              <w:rPr>
                <w:sz w:val="20"/>
              </w:rPr>
            </w:pPr>
            <w:proofErr w:type="spellStart"/>
            <w:r>
              <w:rPr>
                <w:sz w:val="20"/>
              </w:rPr>
              <w:t>DnDeemDI</w:t>
            </w:r>
            <w:proofErr w:type="spellEnd"/>
          </w:p>
        </w:tc>
        <w:tc>
          <w:tcPr>
            <w:tcW w:w="3025" w:type="dxa"/>
          </w:tcPr>
          <w:p w14:paraId="43360CE4" w14:textId="77777777" w:rsidR="006E1BB2" w:rsidRDefault="007221B2">
            <w:pPr>
              <w:pStyle w:val="TableParagraph"/>
              <w:spacing w:before="47" w:line="223" w:lineRule="exact"/>
              <w:ind w:left="106"/>
              <w:rPr>
                <w:sz w:val="20"/>
              </w:rPr>
            </w:pPr>
            <w:r>
              <w:rPr>
                <w:sz w:val="20"/>
              </w:rPr>
              <w:t>Res</w:t>
            </w:r>
          </w:p>
        </w:tc>
      </w:tr>
      <w:tr w:rsidR="006E1BB2" w14:paraId="1B51D827" w14:textId="77777777">
        <w:trPr>
          <w:trHeight w:val="290"/>
        </w:trPr>
        <w:tc>
          <w:tcPr>
            <w:tcW w:w="3025" w:type="dxa"/>
          </w:tcPr>
          <w:p w14:paraId="1612E951" w14:textId="77777777" w:rsidR="006E1BB2" w:rsidRDefault="007221B2">
            <w:pPr>
              <w:pStyle w:val="TableParagraph"/>
              <w:spacing w:before="47" w:line="223" w:lineRule="exact"/>
              <w:ind w:left="107"/>
              <w:rPr>
                <w:sz w:val="20"/>
              </w:rPr>
            </w:pPr>
            <w:r>
              <w:rPr>
                <w:sz w:val="20"/>
              </w:rPr>
              <w:t>New construction</w:t>
            </w:r>
          </w:p>
        </w:tc>
        <w:tc>
          <w:tcPr>
            <w:tcW w:w="3025" w:type="dxa"/>
          </w:tcPr>
          <w:p w14:paraId="6E8D82DE" w14:textId="77777777" w:rsidR="006E1BB2" w:rsidRDefault="007221B2">
            <w:pPr>
              <w:pStyle w:val="TableParagraph"/>
              <w:spacing w:before="47" w:line="223" w:lineRule="exact"/>
              <w:ind w:left="107"/>
              <w:rPr>
                <w:sz w:val="20"/>
              </w:rPr>
            </w:pPr>
            <w:proofErr w:type="spellStart"/>
            <w:r>
              <w:rPr>
                <w:sz w:val="20"/>
              </w:rPr>
              <w:t>UpDeemed</w:t>
            </w:r>
            <w:proofErr w:type="spellEnd"/>
          </w:p>
        </w:tc>
        <w:tc>
          <w:tcPr>
            <w:tcW w:w="3025" w:type="dxa"/>
          </w:tcPr>
          <w:p w14:paraId="45E27290" w14:textId="77777777" w:rsidR="006E1BB2" w:rsidRDefault="007221B2">
            <w:pPr>
              <w:pStyle w:val="TableParagraph"/>
              <w:spacing w:before="47" w:line="223" w:lineRule="exact"/>
              <w:ind w:left="106"/>
              <w:rPr>
                <w:sz w:val="20"/>
              </w:rPr>
            </w:pPr>
            <w:r>
              <w:rPr>
                <w:sz w:val="20"/>
              </w:rPr>
              <w:t>Res</w:t>
            </w:r>
          </w:p>
        </w:tc>
      </w:tr>
      <w:tr w:rsidR="006E1BB2" w14:paraId="1C7D778A" w14:textId="77777777">
        <w:trPr>
          <w:trHeight w:val="290"/>
        </w:trPr>
        <w:tc>
          <w:tcPr>
            <w:tcW w:w="3025" w:type="dxa"/>
          </w:tcPr>
          <w:p w14:paraId="2DDE21D7" w14:textId="77777777" w:rsidR="006E1BB2" w:rsidRDefault="007221B2">
            <w:pPr>
              <w:pStyle w:val="TableParagraph"/>
              <w:spacing w:before="47" w:line="223" w:lineRule="exact"/>
              <w:ind w:left="107"/>
              <w:rPr>
                <w:sz w:val="20"/>
              </w:rPr>
            </w:pPr>
            <w:r>
              <w:rPr>
                <w:sz w:val="20"/>
              </w:rPr>
              <w:t>New construction</w:t>
            </w:r>
          </w:p>
        </w:tc>
        <w:tc>
          <w:tcPr>
            <w:tcW w:w="3025" w:type="dxa"/>
          </w:tcPr>
          <w:p w14:paraId="3DC50E7F" w14:textId="77777777" w:rsidR="006E1BB2" w:rsidRDefault="007221B2">
            <w:pPr>
              <w:pStyle w:val="TableParagraph"/>
              <w:spacing w:before="47" w:line="223" w:lineRule="exact"/>
              <w:ind w:left="107"/>
              <w:rPr>
                <w:sz w:val="20"/>
              </w:rPr>
            </w:pPr>
            <w:proofErr w:type="spellStart"/>
            <w:r>
              <w:rPr>
                <w:sz w:val="20"/>
              </w:rPr>
              <w:t>DnDeemed</w:t>
            </w:r>
            <w:proofErr w:type="spellEnd"/>
          </w:p>
        </w:tc>
        <w:tc>
          <w:tcPr>
            <w:tcW w:w="3025" w:type="dxa"/>
          </w:tcPr>
          <w:p w14:paraId="4BC9EC5D" w14:textId="77777777" w:rsidR="006E1BB2" w:rsidRDefault="007221B2">
            <w:pPr>
              <w:pStyle w:val="TableParagraph"/>
              <w:spacing w:before="47" w:line="223" w:lineRule="exact"/>
              <w:ind w:left="106"/>
              <w:rPr>
                <w:sz w:val="20"/>
              </w:rPr>
            </w:pPr>
            <w:r>
              <w:rPr>
                <w:sz w:val="20"/>
              </w:rPr>
              <w:t>Res</w:t>
            </w:r>
          </w:p>
        </w:tc>
      </w:tr>
      <w:tr w:rsidR="006E1BB2" w14:paraId="09739CF5" w14:textId="77777777">
        <w:trPr>
          <w:trHeight w:val="290"/>
        </w:trPr>
        <w:tc>
          <w:tcPr>
            <w:tcW w:w="3025" w:type="dxa"/>
          </w:tcPr>
          <w:p w14:paraId="145FB51D" w14:textId="77777777" w:rsidR="006E1BB2" w:rsidRDefault="007221B2">
            <w:pPr>
              <w:pStyle w:val="TableParagraph"/>
              <w:spacing w:before="47" w:line="223" w:lineRule="exact"/>
              <w:ind w:left="107"/>
              <w:rPr>
                <w:sz w:val="20"/>
              </w:rPr>
            </w:pPr>
            <w:r>
              <w:rPr>
                <w:sz w:val="20"/>
              </w:rPr>
              <w:t>New construction</w:t>
            </w:r>
          </w:p>
        </w:tc>
        <w:tc>
          <w:tcPr>
            <w:tcW w:w="3025" w:type="dxa"/>
          </w:tcPr>
          <w:p w14:paraId="36B3D40E" w14:textId="77777777" w:rsidR="006E1BB2" w:rsidRDefault="007221B2">
            <w:pPr>
              <w:pStyle w:val="TableParagraph"/>
              <w:spacing w:before="47" w:line="223" w:lineRule="exact"/>
              <w:ind w:left="107"/>
              <w:rPr>
                <w:sz w:val="20"/>
              </w:rPr>
            </w:pPr>
            <w:proofErr w:type="spellStart"/>
            <w:r>
              <w:rPr>
                <w:sz w:val="20"/>
              </w:rPr>
              <w:t>DnDeemDI</w:t>
            </w:r>
            <w:proofErr w:type="spellEnd"/>
          </w:p>
        </w:tc>
        <w:tc>
          <w:tcPr>
            <w:tcW w:w="3025" w:type="dxa"/>
          </w:tcPr>
          <w:p w14:paraId="2BDAF19B" w14:textId="77777777" w:rsidR="006E1BB2" w:rsidRDefault="007221B2">
            <w:pPr>
              <w:pStyle w:val="TableParagraph"/>
              <w:spacing w:before="47" w:line="223" w:lineRule="exact"/>
              <w:ind w:left="106"/>
              <w:rPr>
                <w:sz w:val="20"/>
              </w:rPr>
            </w:pPr>
            <w:r>
              <w:rPr>
                <w:sz w:val="20"/>
              </w:rPr>
              <w:t>Res</w:t>
            </w:r>
          </w:p>
        </w:tc>
      </w:tr>
    </w:tbl>
    <w:p w14:paraId="335907B8" w14:textId="77777777" w:rsidR="006E1BB2" w:rsidRDefault="006E1BB2">
      <w:pPr>
        <w:pStyle w:val="BodyText"/>
      </w:pPr>
    </w:p>
    <w:p w14:paraId="7989F7D4" w14:textId="77777777" w:rsidR="006E1BB2" w:rsidRDefault="006E1BB2">
      <w:pPr>
        <w:pStyle w:val="BodyText"/>
        <w:spacing w:before="8"/>
        <w:rPr>
          <w:sz w:val="19"/>
        </w:rPr>
      </w:pPr>
    </w:p>
    <w:p w14:paraId="3CF585FD" w14:textId="77777777" w:rsidR="006E1BB2" w:rsidRDefault="007221B2">
      <w:pPr>
        <w:ind w:left="120"/>
        <w:rPr>
          <w:i/>
        </w:rPr>
      </w:pPr>
      <w:r>
        <w:rPr>
          <w:i/>
          <w:color w:val="5F5F5F"/>
        </w:rPr>
        <w:t xml:space="preserve">Eligible Products </w:t>
      </w:r>
    </w:p>
    <w:p w14:paraId="32220C0F" w14:textId="77777777" w:rsidR="006E1BB2" w:rsidRDefault="007221B2">
      <w:pPr>
        <w:pStyle w:val="BodyText"/>
        <w:spacing w:before="120"/>
        <w:ind w:left="120" w:right="456"/>
      </w:pPr>
      <w:r>
        <w:t>The room air conditioner must meet or exceed the current ENERGY STAR efficiency levels and carry the ENERGY STAR qualification, as per specification in the Measure Case Description.</w:t>
      </w:r>
    </w:p>
    <w:p w14:paraId="5F356A6C" w14:textId="77777777" w:rsidR="006E1BB2" w:rsidRDefault="007221B2">
      <w:pPr>
        <w:spacing w:before="121"/>
        <w:ind w:left="120"/>
        <w:rPr>
          <w:i/>
        </w:rPr>
      </w:pPr>
      <w:r>
        <w:rPr>
          <w:i/>
          <w:color w:val="5F5F5F"/>
        </w:rPr>
        <w:t xml:space="preserve"> </w:t>
      </w:r>
    </w:p>
    <w:p w14:paraId="1F409C4F" w14:textId="77777777" w:rsidR="006E1BB2" w:rsidRDefault="007221B2">
      <w:pPr>
        <w:spacing w:before="120"/>
        <w:ind w:left="120"/>
        <w:rPr>
          <w:i/>
        </w:rPr>
      </w:pPr>
      <w:r>
        <w:rPr>
          <w:i/>
          <w:color w:val="5F5F5F"/>
        </w:rPr>
        <w:t xml:space="preserve">Eligible Building Types </w:t>
      </w:r>
    </w:p>
    <w:p w14:paraId="0CB94BD5" w14:textId="77777777" w:rsidR="006E1BB2" w:rsidRDefault="007221B2">
      <w:pPr>
        <w:pStyle w:val="BodyText"/>
        <w:spacing w:before="120"/>
        <w:ind w:left="120" w:right="290"/>
      </w:pPr>
      <w:r>
        <w:t>Eligible building types include all single-family, multifamily, and mobile homes residential buildings of any vintage.</w:t>
      </w:r>
    </w:p>
    <w:p w14:paraId="3B9EE8A5" w14:textId="77777777" w:rsidR="006E1BB2" w:rsidRDefault="006E1BB2">
      <w:pPr>
        <w:pStyle w:val="BodyText"/>
      </w:pPr>
    </w:p>
    <w:p w14:paraId="5A4FD99B" w14:textId="77777777" w:rsidR="006E1BB2" w:rsidRDefault="006E1BB2">
      <w:pPr>
        <w:pStyle w:val="BodyText"/>
        <w:spacing w:before="7"/>
        <w:rPr>
          <w:sz w:val="19"/>
        </w:rPr>
      </w:pPr>
    </w:p>
    <w:p w14:paraId="445BFD14" w14:textId="77777777" w:rsidR="006E1BB2" w:rsidRDefault="007221B2">
      <w:pPr>
        <w:ind w:left="120"/>
        <w:rPr>
          <w:i/>
        </w:rPr>
      </w:pPr>
      <w:r>
        <w:rPr>
          <w:i/>
          <w:color w:val="5F5F5F"/>
        </w:rPr>
        <w:t xml:space="preserve">Eligible Climate Zones </w:t>
      </w:r>
    </w:p>
    <w:p w14:paraId="1808C614" w14:textId="77777777" w:rsidR="006E1BB2" w:rsidRDefault="007221B2">
      <w:pPr>
        <w:pStyle w:val="BodyText"/>
        <w:spacing w:before="120"/>
        <w:ind w:left="120"/>
      </w:pPr>
      <w:r>
        <w:t>The measure is applicable in all California climate zones.</w:t>
      </w:r>
    </w:p>
    <w:p w14:paraId="23A3B0A1" w14:textId="77777777" w:rsidR="006E1BB2" w:rsidRDefault="006E1BB2">
      <w:pPr>
        <w:pStyle w:val="BodyText"/>
      </w:pPr>
    </w:p>
    <w:p w14:paraId="59BBCF47" w14:textId="77777777" w:rsidR="006E1BB2" w:rsidRDefault="006E1BB2">
      <w:pPr>
        <w:pStyle w:val="BodyText"/>
        <w:spacing w:before="9"/>
        <w:rPr>
          <w:sz w:val="20"/>
        </w:rPr>
      </w:pPr>
    </w:p>
    <w:p w14:paraId="150BB8E1" w14:textId="77777777" w:rsidR="006E1BB2" w:rsidRDefault="007221B2">
      <w:pPr>
        <w:pStyle w:val="Heading1"/>
      </w:pPr>
      <w:bookmarkStart w:id="8" w:name="_TOC_250015"/>
      <w:bookmarkEnd w:id="8"/>
      <w:r>
        <w:rPr>
          <w:color w:val="CFAB79"/>
        </w:rPr>
        <w:t>PROGRAM EXCLUSIONS</w:t>
      </w:r>
    </w:p>
    <w:p w14:paraId="7DC03A4B" w14:textId="77777777" w:rsidR="006E1BB2" w:rsidRDefault="007221B2">
      <w:pPr>
        <w:pStyle w:val="BodyText"/>
        <w:spacing w:before="115"/>
        <w:ind w:left="120" w:right="449"/>
      </w:pPr>
      <w:r>
        <w:t>The following products are not eligible: packaged terminal air conditioners (PTACs), portable air conditioners, room air conditioner models with electric resistance heat as the primary heat source, and dehumidifiers.</w:t>
      </w:r>
    </w:p>
    <w:p w14:paraId="5289560B" w14:textId="77777777" w:rsidR="006E1BB2" w:rsidRDefault="006E1BB2">
      <w:pPr>
        <w:pStyle w:val="BodyText"/>
      </w:pPr>
    </w:p>
    <w:p w14:paraId="79B6B524" w14:textId="77777777" w:rsidR="006E1BB2" w:rsidRDefault="006E1BB2">
      <w:pPr>
        <w:pStyle w:val="BodyText"/>
        <w:spacing w:before="9"/>
        <w:rPr>
          <w:sz w:val="20"/>
        </w:rPr>
      </w:pPr>
    </w:p>
    <w:p w14:paraId="71501B6A" w14:textId="77777777" w:rsidR="006E1BB2" w:rsidRDefault="007221B2">
      <w:pPr>
        <w:pStyle w:val="Heading1"/>
      </w:pPr>
      <w:bookmarkStart w:id="9" w:name="_TOC_250014"/>
      <w:bookmarkEnd w:id="9"/>
      <w:r>
        <w:rPr>
          <w:color w:val="CFAB79"/>
        </w:rPr>
        <w:t>DATA COLLECTION REQUIREMENTS</w:t>
      </w:r>
    </w:p>
    <w:p w14:paraId="29389CBB" w14:textId="77777777" w:rsidR="006E1BB2" w:rsidRDefault="007221B2">
      <w:pPr>
        <w:pStyle w:val="BodyText"/>
        <w:spacing w:before="115"/>
        <w:ind w:left="120"/>
      </w:pPr>
      <w:r>
        <w:t>Data collection requirements are to be determined.</w:t>
      </w:r>
    </w:p>
    <w:p w14:paraId="7BE18912" w14:textId="77777777" w:rsidR="006E1BB2" w:rsidRDefault="006E1BB2">
      <w:pPr>
        <w:pStyle w:val="BodyText"/>
      </w:pPr>
    </w:p>
    <w:p w14:paraId="16548143" w14:textId="77777777" w:rsidR="006E1BB2" w:rsidRDefault="006E1BB2">
      <w:pPr>
        <w:pStyle w:val="BodyText"/>
        <w:spacing w:before="6"/>
        <w:rPr>
          <w:sz w:val="20"/>
        </w:rPr>
      </w:pPr>
    </w:p>
    <w:p w14:paraId="42EF956C" w14:textId="77777777" w:rsidR="006E1BB2" w:rsidRDefault="007221B2">
      <w:pPr>
        <w:pStyle w:val="Heading1"/>
      </w:pPr>
      <w:bookmarkStart w:id="10" w:name="_TOC_250013"/>
      <w:bookmarkEnd w:id="10"/>
      <w:r>
        <w:rPr>
          <w:color w:val="CFAB79"/>
        </w:rPr>
        <w:t>USE CATEGORY</w:t>
      </w:r>
    </w:p>
    <w:p w14:paraId="7C441EE8" w14:textId="77777777" w:rsidR="006E1BB2" w:rsidRDefault="007221B2">
      <w:pPr>
        <w:pStyle w:val="BodyText"/>
        <w:spacing w:before="115"/>
        <w:ind w:left="120"/>
      </w:pPr>
      <w:r>
        <w:t>Appliance and plug loads (</w:t>
      </w:r>
      <w:proofErr w:type="spellStart"/>
      <w:r>
        <w:t>AppPlug</w:t>
      </w:r>
      <w:proofErr w:type="spellEnd"/>
      <w:r>
        <w:t>)</w:t>
      </w:r>
    </w:p>
    <w:p w14:paraId="5C629FD8" w14:textId="77777777" w:rsidR="006E1BB2" w:rsidRDefault="006E1BB2">
      <w:pPr>
        <w:sectPr w:rsidR="006E1BB2">
          <w:pgSz w:w="12240" w:h="15840"/>
          <w:pgMar w:top="1220" w:right="1220" w:bottom="1320" w:left="1320" w:header="858" w:footer="1129" w:gutter="0"/>
          <w:cols w:space="720"/>
        </w:sectPr>
      </w:pPr>
    </w:p>
    <w:p w14:paraId="4E9AFB28" w14:textId="77777777" w:rsidR="006E1BB2" w:rsidRDefault="006E1BB2">
      <w:pPr>
        <w:pStyle w:val="BodyText"/>
        <w:spacing w:before="3"/>
        <w:rPr>
          <w:sz w:val="21"/>
        </w:rPr>
      </w:pPr>
    </w:p>
    <w:p w14:paraId="2AA217A2" w14:textId="77777777" w:rsidR="006E1BB2" w:rsidRDefault="007221B2">
      <w:pPr>
        <w:pStyle w:val="Heading1"/>
        <w:spacing w:before="51"/>
      </w:pPr>
      <w:bookmarkStart w:id="11" w:name="_TOC_250012"/>
      <w:bookmarkEnd w:id="11"/>
      <w:r>
        <w:rPr>
          <w:color w:val="CFAB79"/>
        </w:rPr>
        <w:t>ELECTRIC SAVINGS (kWh)</w:t>
      </w:r>
    </w:p>
    <w:p w14:paraId="27715D1F" w14:textId="77777777" w:rsidR="006E1BB2" w:rsidRDefault="007221B2">
      <w:pPr>
        <w:spacing w:before="127"/>
        <w:ind w:left="120"/>
        <w:rPr>
          <w:sz w:val="24"/>
        </w:rPr>
      </w:pPr>
      <w:r>
        <w:rPr>
          <w:color w:val="CFAB79"/>
          <w:sz w:val="24"/>
        </w:rPr>
        <w:t>ENERGY STAR Basic Tier Unit Energy Savings</w:t>
      </w:r>
    </w:p>
    <w:p w14:paraId="430E3BBD" w14:textId="77777777" w:rsidR="006E1BB2" w:rsidRDefault="007221B2">
      <w:pPr>
        <w:pStyle w:val="BodyText"/>
        <w:spacing w:before="115"/>
        <w:ind w:left="120" w:right="217"/>
      </w:pPr>
      <w:r>
        <w:t>Unit energy savings (UES) for a basic tier room air conditioner (AC) unit was based on the Residential Retrofit High Impact Measure Evaluation Report published by The Cadmus Group in 2010.</w:t>
      </w:r>
      <w:r>
        <w:rPr>
          <w:vertAlign w:val="superscript"/>
        </w:rPr>
        <w:t>5</w:t>
      </w:r>
      <w:r>
        <w:t xml:space="preserve"> The analysis provides room AC modeled annual energy savings (in climate zones 6, 8, 9 and 10) based on the California Appliance Efficiency Regulations (Title 20) code effective October 1, 2000. The results of the study were subsequently updated to reflect the new federal code (effective June 1, 2014) and the ENERGY STAR Version 4.0 eligibility criteria.</w:t>
      </w:r>
    </w:p>
    <w:p w14:paraId="14169475" w14:textId="77777777" w:rsidR="006E1BB2" w:rsidRDefault="007221B2">
      <w:pPr>
        <w:pStyle w:val="BodyText"/>
        <w:spacing w:before="122"/>
        <w:ind w:left="120" w:right="271"/>
      </w:pPr>
      <w:r>
        <w:t>The estimated annual UES for the remaining climate zones were extrapolated by using the California Statewide Residential Appliance Saturation Study (RASS)</w:t>
      </w:r>
      <w:proofErr w:type="gramStart"/>
      <w:r>
        <w:rPr>
          <w:vertAlign w:val="superscript"/>
        </w:rPr>
        <w:t>6</w:t>
      </w:r>
      <w:r>
        <w:t xml:space="preserve"> unit</w:t>
      </w:r>
      <w:proofErr w:type="gramEnd"/>
      <w:r>
        <w:t xml:space="preserve"> energy consumption (UEC) values for room AC by climate zone. The RASS UECs were used to determine a scaling factor calculated as Residential HIM Savings/RASS UEC.</w:t>
      </w:r>
      <w:r>
        <w:rPr>
          <w:vertAlign w:val="superscript"/>
        </w:rPr>
        <w:t>7</w:t>
      </w:r>
      <w:r>
        <w:t xml:space="preserve"> Based on climatic parallels, energy savings for Climate Zones 11, 13, 14, 15 were derived from the Climate Zone 10 Residential HIM/RASS UEC scaling factor. Similarly, estimated energy savings for Climate Zones 12 and 16 are determined via the Climate Zone 8 scaling factor. Remaining Climate Zones 1, 2, 3, 4 and 5 were calculated in a similar manner using Climate Zone 6.</w:t>
      </w:r>
    </w:p>
    <w:p w14:paraId="414A1B54" w14:textId="77777777" w:rsidR="006E1BB2" w:rsidRDefault="007221B2">
      <w:pPr>
        <w:pStyle w:val="BodyText"/>
        <w:spacing w:before="120"/>
        <w:ind w:left="120" w:right="232"/>
      </w:pPr>
      <w:r>
        <w:t>UES values were also developed for each investor-owned utility (IOU) as the weighted average UES across all climate zones in each IOU service area.</w:t>
      </w:r>
    </w:p>
    <w:p w14:paraId="530742A7" w14:textId="77777777" w:rsidR="006E1BB2" w:rsidRDefault="006E1BB2">
      <w:pPr>
        <w:pStyle w:val="BodyText"/>
      </w:pPr>
    </w:p>
    <w:p w14:paraId="5894D20A" w14:textId="77777777" w:rsidR="006E1BB2" w:rsidRDefault="006E1BB2">
      <w:pPr>
        <w:pStyle w:val="BodyText"/>
        <w:spacing w:before="8"/>
        <w:rPr>
          <w:sz w:val="20"/>
        </w:rPr>
      </w:pPr>
    </w:p>
    <w:p w14:paraId="604AAD83" w14:textId="77777777" w:rsidR="006E1BB2" w:rsidRDefault="007221B2">
      <w:pPr>
        <w:ind w:left="120"/>
        <w:rPr>
          <w:sz w:val="24"/>
        </w:rPr>
      </w:pPr>
      <w:r>
        <w:rPr>
          <w:color w:val="CFAB79"/>
          <w:sz w:val="24"/>
        </w:rPr>
        <w:t>ENERGY STAR Connected Tier Unit Energy Savings</w:t>
      </w:r>
    </w:p>
    <w:p w14:paraId="2BEF594D" w14:textId="77777777" w:rsidR="006E1BB2" w:rsidRDefault="007221B2">
      <w:pPr>
        <w:pStyle w:val="BodyText"/>
        <w:spacing w:before="115"/>
        <w:ind w:left="120" w:right="278"/>
      </w:pPr>
      <w:r>
        <w:t>The UES of an ENERGY STAR Connected room air conditioner model is identical to the UES of the ENERGY STAR Basic Tier UES.</w:t>
      </w:r>
    </w:p>
    <w:p w14:paraId="1841A93B" w14:textId="77777777" w:rsidR="006E1BB2" w:rsidRDefault="006E1BB2">
      <w:pPr>
        <w:pStyle w:val="BodyText"/>
      </w:pPr>
    </w:p>
    <w:p w14:paraId="2A05F023" w14:textId="77777777" w:rsidR="006E1BB2" w:rsidRDefault="006E1BB2">
      <w:pPr>
        <w:pStyle w:val="BodyText"/>
        <w:spacing w:before="7"/>
        <w:rPr>
          <w:sz w:val="20"/>
        </w:rPr>
      </w:pPr>
    </w:p>
    <w:p w14:paraId="40DA2EEE" w14:textId="77777777" w:rsidR="006E1BB2" w:rsidRDefault="007221B2">
      <w:pPr>
        <w:ind w:left="120"/>
        <w:rPr>
          <w:sz w:val="24"/>
        </w:rPr>
      </w:pPr>
      <w:r>
        <w:rPr>
          <w:color w:val="CFAB79"/>
          <w:sz w:val="24"/>
        </w:rPr>
        <w:t>ENERGY STAR Advanced Tier Unit Energy Savings</w:t>
      </w:r>
    </w:p>
    <w:p w14:paraId="0D472D7E" w14:textId="77777777" w:rsidR="006E1BB2" w:rsidRDefault="007221B2">
      <w:pPr>
        <w:pStyle w:val="BodyText"/>
        <w:spacing w:before="115"/>
        <w:ind w:left="120" w:right="754"/>
      </w:pPr>
      <w:r>
        <w:rPr>
          <w:color w:val="242424"/>
        </w:rPr>
        <w:t>The UES of an advanced tier room AC unit was scaled from the Basic Tier UES value, as shown in the following calculation.</w:t>
      </w:r>
    </w:p>
    <w:p w14:paraId="3292E98B" w14:textId="77777777" w:rsidR="006E1BB2" w:rsidRDefault="006E1BB2"/>
    <w:p w14:paraId="7EA8E3C1" w14:textId="438A7AB9" w:rsidR="00E046E4" w:rsidRDefault="00E046E4">
      <w:pPr>
        <w:sectPr w:rsidR="00E046E4">
          <w:pgSz w:w="12240" w:h="15840"/>
          <w:pgMar w:top="1220" w:right="1220" w:bottom="1320" w:left="1320" w:header="858" w:footer="1129" w:gutter="0"/>
          <w:cols w:space="720"/>
        </w:sectPr>
      </w:pPr>
    </w:p>
    <w:p w14:paraId="5C813A4F" w14:textId="7000AE52" w:rsidR="006E1BB2" w:rsidRPr="009F5E4B" w:rsidRDefault="00A82DEE" w:rsidP="009F5E4B">
      <w:pPr>
        <w:pStyle w:val="BodyText"/>
        <w:spacing w:before="2"/>
        <w:ind w:left="810"/>
        <w:rPr>
          <w:rFonts w:ascii="Cambria Math"/>
          <w:sz w:val="26"/>
        </w:rPr>
      </w:pPr>
      <m:oMathPara>
        <m:oMathParaPr>
          <m:jc m:val="left"/>
        </m:oMathParaPr>
        <m:oMath>
          <m:sSub>
            <m:sSubPr>
              <m:ctrlPr>
                <w:rPr>
                  <w:rFonts w:ascii="Cambria Math" w:hAnsi="Cambria Math"/>
                  <w:i/>
                  <w:sz w:val="19"/>
                  <w:szCs w:val="19"/>
                </w:rPr>
              </m:ctrlPr>
            </m:sSubPr>
            <m:e>
              <m:r>
                <w:rPr>
                  <w:rFonts w:ascii="Cambria Math" w:hAnsi="Cambria Math"/>
                  <w:sz w:val="19"/>
                  <w:szCs w:val="19"/>
                </w:rPr>
                <m:t>UES</m:t>
              </m:r>
            </m:e>
            <m:sub>
              <m:r>
                <w:rPr>
                  <w:rFonts w:ascii="Cambria Math" w:hAnsi="Cambria Math"/>
                  <w:sz w:val="19"/>
                  <w:szCs w:val="19"/>
                </w:rPr>
                <m:t>ES+10%</m:t>
              </m:r>
            </m:sub>
          </m:sSub>
          <m:r>
            <w:rPr>
              <w:rFonts w:ascii="Cambria Math" w:hAnsi="Cambria Math"/>
              <w:sz w:val="19"/>
              <w:szCs w:val="19"/>
            </w:rPr>
            <m:t xml:space="preserve">= </m:t>
          </m:r>
          <m:sSub>
            <m:sSubPr>
              <m:ctrlPr>
                <w:rPr>
                  <w:rFonts w:ascii="Cambria Math" w:hAnsi="Cambria Math"/>
                  <w:i/>
                  <w:sz w:val="19"/>
                  <w:szCs w:val="19"/>
                </w:rPr>
              </m:ctrlPr>
            </m:sSubPr>
            <m:e>
              <m:r>
                <w:rPr>
                  <w:rFonts w:ascii="Cambria Math" w:hAnsi="Cambria Math"/>
                  <w:sz w:val="19"/>
                  <w:szCs w:val="19"/>
                </w:rPr>
                <m:t>UES</m:t>
              </m:r>
            </m:e>
            <m:sub>
              <m:r>
                <w:rPr>
                  <w:rFonts w:ascii="Cambria Math" w:hAnsi="Cambria Math"/>
                  <w:sz w:val="19"/>
                  <w:szCs w:val="19"/>
                </w:rPr>
                <m:t>ES</m:t>
              </m:r>
            </m:sub>
          </m:sSub>
          <m:r>
            <w:rPr>
              <w:rFonts w:ascii="Cambria Math" w:hAnsi="Cambria Math"/>
              <w:sz w:val="19"/>
              <w:szCs w:val="19"/>
            </w:rPr>
            <m:t>×</m:t>
          </m:r>
          <m:f>
            <m:fPr>
              <m:ctrlPr>
                <w:rPr>
                  <w:rFonts w:ascii="Cambria Math" w:hAnsi="Cambria Math"/>
                  <w:i/>
                  <w:sz w:val="19"/>
                  <w:szCs w:val="19"/>
                </w:rPr>
              </m:ctrlPr>
            </m:fPr>
            <m:num>
              <m:d>
                <m:dPr>
                  <m:ctrlPr>
                    <w:rPr>
                      <w:rFonts w:ascii="Cambria Math" w:hAnsi="Cambria Math"/>
                      <w:i/>
                      <w:sz w:val="19"/>
                      <w:szCs w:val="19"/>
                    </w:rPr>
                  </m:ctrlPr>
                </m:dPr>
                <m:e>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Base</m:t>
                          </m:r>
                        </m:sub>
                      </m:sSub>
                    </m:den>
                  </m:f>
                  <m:r>
                    <w:rPr>
                      <w:rFonts w:ascii="Cambria Math" w:hAnsi="Cambria Math"/>
                      <w:sz w:val="19"/>
                      <w:szCs w:val="19"/>
                    </w:rPr>
                    <m:t>-</m:t>
                  </m:r>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ES+10%</m:t>
                          </m:r>
                        </m:sub>
                      </m:sSub>
                    </m:den>
                  </m:f>
                </m:e>
              </m:d>
            </m:num>
            <m:den>
              <m:d>
                <m:dPr>
                  <m:ctrlPr>
                    <w:rPr>
                      <w:rFonts w:ascii="Cambria Math" w:hAnsi="Cambria Math"/>
                      <w:i/>
                      <w:sz w:val="19"/>
                      <w:szCs w:val="19"/>
                    </w:rPr>
                  </m:ctrlPr>
                </m:dPr>
                <m:e>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Base</m:t>
                          </m:r>
                        </m:sub>
                      </m:sSub>
                    </m:den>
                  </m:f>
                  <m:r>
                    <w:rPr>
                      <w:rFonts w:ascii="Cambria Math" w:hAnsi="Cambria Math"/>
                      <w:sz w:val="19"/>
                      <w:szCs w:val="19"/>
                    </w:rPr>
                    <m:t>-</m:t>
                  </m:r>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ES</m:t>
                          </m:r>
                        </m:sub>
                      </m:sSub>
                    </m:den>
                  </m:f>
                </m:e>
              </m:d>
            </m:den>
          </m:f>
        </m:oMath>
      </m:oMathPara>
    </w:p>
    <w:p w14:paraId="53A32A5D" w14:textId="77777777" w:rsidR="00B81CCF" w:rsidRDefault="00B81CCF">
      <w:pPr>
        <w:pStyle w:val="BodyText"/>
        <w:spacing w:before="2"/>
        <w:rPr>
          <w:rFonts w:ascii="Cambria Math"/>
          <w:sz w:val="26"/>
        </w:rPr>
      </w:pPr>
    </w:p>
    <w:p w14:paraId="64A6DDE3" w14:textId="1008AB55" w:rsidR="006E1BB2" w:rsidRDefault="007221B2" w:rsidP="00F024C9">
      <w:pPr>
        <w:tabs>
          <w:tab w:val="left" w:pos="2732"/>
        </w:tabs>
        <w:spacing w:before="67" w:line="271" w:lineRule="auto"/>
        <w:ind w:left="1560" w:right="1960"/>
        <w:rPr>
          <w:rFonts w:ascii="Cambria Math"/>
          <w:i/>
          <w:sz w:val="19"/>
        </w:rPr>
      </w:pPr>
      <w:r>
        <w:rPr>
          <w:rFonts w:ascii="Cambria Math"/>
          <w:i/>
          <w:position w:val="1"/>
          <w:sz w:val="19"/>
        </w:rPr>
        <w:t>UES</w:t>
      </w:r>
      <w:r>
        <w:rPr>
          <w:rFonts w:ascii="Cambria Math"/>
          <w:i/>
          <w:sz w:val="12"/>
        </w:rPr>
        <w:t xml:space="preserve">ES+10% </w:t>
      </w:r>
      <w:r>
        <w:rPr>
          <w:rFonts w:ascii="Cambria Math"/>
          <w:i/>
          <w:position w:val="1"/>
          <w:sz w:val="19"/>
        </w:rPr>
        <w:t>=</w:t>
      </w:r>
      <w:r w:rsidR="00F024C9">
        <w:rPr>
          <w:rFonts w:ascii="Cambria Math"/>
          <w:i/>
          <w:position w:val="1"/>
          <w:sz w:val="19"/>
        </w:rPr>
        <w:t xml:space="preserve">    </w:t>
      </w:r>
      <w:r>
        <w:rPr>
          <w:rFonts w:ascii="Cambria Math"/>
          <w:i/>
          <w:position w:val="1"/>
          <w:sz w:val="19"/>
        </w:rPr>
        <w:t xml:space="preserve"> Unit energy savings of an advanced tier room AC unit (kWh) UES</w:t>
      </w:r>
      <w:r>
        <w:rPr>
          <w:rFonts w:ascii="Cambria Math"/>
          <w:i/>
          <w:sz w:val="12"/>
        </w:rPr>
        <w:t>ES</w:t>
      </w:r>
      <w:r>
        <w:rPr>
          <w:rFonts w:ascii="Cambria Math"/>
          <w:i/>
          <w:spacing w:val="-6"/>
          <w:sz w:val="12"/>
        </w:rPr>
        <w:t xml:space="preserve"> </w:t>
      </w:r>
      <w:r>
        <w:rPr>
          <w:rFonts w:ascii="Cambria Math"/>
          <w:i/>
          <w:position w:val="1"/>
          <w:sz w:val="19"/>
        </w:rPr>
        <w:t>=</w:t>
      </w:r>
      <w:r>
        <w:rPr>
          <w:rFonts w:ascii="Cambria Math"/>
          <w:i/>
          <w:position w:val="1"/>
          <w:sz w:val="19"/>
        </w:rPr>
        <w:tab/>
        <w:t>Unit energy savings of a basic tier room AC unit (kWh) CEER</w:t>
      </w:r>
      <w:r>
        <w:rPr>
          <w:rFonts w:ascii="Cambria Math"/>
          <w:i/>
          <w:sz w:val="12"/>
        </w:rPr>
        <w:t>Base</w:t>
      </w:r>
      <w:r>
        <w:rPr>
          <w:rFonts w:ascii="Cambria Math"/>
          <w:i/>
          <w:position w:val="1"/>
          <w:sz w:val="19"/>
        </w:rPr>
        <w:t>=</w:t>
      </w:r>
      <w:r>
        <w:rPr>
          <w:rFonts w:ascii="Cambria Math"/>
          <w:i/>
          <w:position w:val="1"/>
          <w:sz w:val="19"/>
        </w:rPr>
        <w:tab/>
        <w:t>Efficiency</w:t>
      </w:r>
      <w:r>
        <w:rPr>
          <w:rFonts w:ascii="Cambria Math"/>
          <w:i/>
          <w:spacing w:val="-10"/>
          <w:position w:val="1"/>
          <w:sz w:val="19"/>
        </w:rPr>
        <w:t xml:space="preserve"> </w:t>
      </w:r>
      <w:r>
        <w:rPr>
          <w:rFonts w:ascii="Cambria Math"/>
          <w:i/>
          <w:position w:val="1"/>
          <w:sz w:val="19"/>
        </w:rPr>
        <w:t>of</w:t>
      </w:r>
      <w:r>
        <w:rPr>
          <w:rFonts w:ascii="Cambria Math"/>
          <w:i/>
          <w:spacing w:val="-7"/>
          <w:position w:val="1"/>
          <w:sz w:val="19"/>
        </w:rPr>
        <w:t xml:space="preserve"> </w:t>
      </w:r>
      <w:r>
        <w:rPr>
          <w:rFonts w:ascii="Cambria Math"/>
          <w:i/>
          <w:position w:val="1"/>
          <w:sz w:val="19"/>
        </w:rPr>
        <w:t>a</w:t>
      </w:r>
      <w:r>
        <w:rPr>
          <w:rFonts w:ascii="Cambria Math"/>
          <w:i/>
          <w:spacing w:val="-7"/>
          <w:position w:val="1"/>
          <w:sz w:val="19"/>
        </w:rPr>
        <w:t xml:space="preserve"> </w:t>
      </w:r>
      <w:r>
        <w:rPr>
          <w:rFonts w:ascii="Cambria Math"/>
          <w:i/>
          <w:position w:val="1"/>
          <w:sz w:val="19"/>
        </w:rPr>
        <w:t>base</w:t>
      </w:r>
      <w:r>
        <w:rPr>
          <w:rFonts w:ascii="Cambria Math"/>
          <w:i/>
          <w:spacing w:val="-7"/>
          <w:position w:val="1"/>
          <w:sz w:val="19"/>
        </w:rPr>
        <w:t xml:space="preserve"> </w:t>
      </w:r>
      <w:r>
        <w:rPr>
          <w:rFonts w:ascii="Cambria Math"/>
          <w:i/>
          <w:position w:val="1"/>
          <w:sz w:val="19"/>
        </w:rPr>
        <w:t>case</w:t>
      </w:r>
      <w:r>
        <w:rPr>
          <w:rFonts w:ascii="Cambria Math"/>
          <w:i/>
          <w:spacing w:val="-7"/>
          <w:position w:val="1"/>
          <w:sz w:val="19"/>
        </w:rPr>
        <w:t xml:space="preserve"> </w:t>
      </w:r>
      <w:r>
        <w:rPr>
          <w:rFonts w:ascii="Cambria Math"/>
          <w:i/>
          <w:position w:val="1"/>
          <w:sz w:val="19"/>
        </w:rPr>
        <w:t>room</w:t>
      </w:r>
      <w:r>
        <w:rPr>
          <w:rFonts w:ascii="Cambria Math"/>
          <w:i/>
          <w:spacing w:val="-5"/>
          <w:position w:val="1"/>
          <w:sz w:val="19"/>
        </w:rPr>
        <w:t xml:space="preserve"> </w:t>
      </w:r>
      <w:r>
        <w:rPr>
          <w:rFonts w:ascii="Cambria Math"/>
          <w:i/>
          <w:position w:val="1"/>
          <w:sz w:val="19"/>
        </w:rPr>
        <w:t>AC</w:t>
      </w:r>
      <w:r>
        <w:rPr>
          <w:rFonts w:ascii="Cambria Math"/>
          <w:i/>
          <w:spacing w:val="-7"/>
          <w:position w:val="1"/>
          <w:sz w:val="19"/>
        </w:rPr>
        <w:t xml:space="preserve"> </w:t>
      </w:r>
      <w:r>
        <w:rPr>
          <w:rFonts w:ascii="Cambria Math"/>
          <w:i/>
          <w:position w:val="1"/>
          <w:sz w:val="19"/>
        </w:rPr>
        <w:t>unit</w:t>
      </w:r>
      <w:r>
        <w:rPr>
          <w:rFonts w:ascii="Cambria Math"/>
          <w:i/>
          <w:spacing w:val="-7"/>
          <w:position w:val="1"/>
          <w:sz w:val="19"/>
        </w:rPr>
        <w:t xml:space="preserve"> </w:t>
      </w:r>
      <w:r>
        <w:rPr>
          <w:rFonts w:ascii="Cambria Math"/>
          <w:i/>
          <w:position w:val="1"/>
          <w:sz w:val="19"/>
        </w:rPr>
        <w:t>(CEER)</w:t>
      </w:r>
    </w:p>
    <w:p w14:paraId="709B2A99" w14:textId="4BE8A906" w:rsidR="006E1BB2" w:rsidRDefault="007221B2">
      <w:pPr>
        <w:spacing w:before="1"/>
        <w:ind w:left="1560"/>
        <w:rPr>
          <w:rFonts w:ascii="Cambria Math"/>
          <w:i/>
          <w:sz w:val="19"/>
        </w:rPr>
      </w:pPr>
      <w:r>
        <w:rPr>
          <w:rFonts w:ascii="Cambria Math"/>
          <w:i/>
          <w:position w:val="1"/>
          <w:sz w:val="19"/>
        </w:rPr>
        <w:t>CEER</w:t>
      </w:r>
      <w:r>
        <w:rPr>
          <w:rFonts w:ascii="Cambria Math"/>
          <w:i/>
          <w:sz w:val="12"/>
        </w:rPr>
        <w:t>ES+10%</w:t>
      </w:r>
      <w:r>
        <w:rPr>
          <w:rFonts w:ascii="Cambria Math"/>
          <w:i/>
          <w:position w:val="1"/>
          <w:sz w:val="19"/>
        </w:rPr>
        <w:t>=</w:t>
      </w:r>
      <w:r w:rsidR="00F024C9">
        <w:rPr>
          <w:rFonts w:ascii="Cambria Math"/>
          <w:i/>
          <w:position w:val="1"/>
          <w:sz w:val="19"/>
        </w:rPr>
        <w:t xml:space="preserve">  </w:t>
      </w:r>
      <w:r>
        <w:rPr>
          <w:rFonts w:ascii="Cambria Math"/>
          <w:i/>
          <w:position w:val="1"/>
          <w:sz w:val="19"/>
        </w:rPr>
        <w:t xml:space="preserve"> Efficiency of an advanced tier room AC unit (CEER)</w:t>
      </w:r>
    </w:p>
    <w:p w14:paraId="0BBE2752" w14:textId="77777777" w:rsidR="006E1BB2" w:rsidRDefault="006E1BB2">
      <w:pPr>
        <w:pStyle w:val="BodyText"/>
        <w:rPr>
          <w:rFonts w:ascii="Cambria Math"/>
          <w:i/>
          <w:sz w:val="20"/>
        </w:rPr>
      </w:pPr>
    </w:p>
    <w:p w14:paraId="18F73275" w14:textId="242B1F4E" w:rsidR="006E1BB2" w:rsidRDefault="007221B2">
      <w:pPr>
        <w:pStyle w:val="BodyText"/>
        <w:spacing w:before="3"/>
        <w:rPr>
          <w:rFonts w:ascii="Cambria Math"/>
          <w:i/>
          <w:sz w:val="17"/>
        </w:rPr>
      </w:pPr>
      <w:r>
        <w:rPr>
          <w:noProof/>
        </w:rPr>
        <mc:AlternateContent>
          <mc:Choice Requires="wps">
            <w:drawing>
              <wp:anchor distT="0" distB="0" distL="0" distR="0" simplePos="0" relativeHeight="251661312" behindDoc="1" locked="0" layoutInCell="1" allowOverlap="1" wp14:anchorId="38D61DE9" wp14:editId="5E595552">
                <wp:simplePos x="0" y="0"/>
                <wp:positionH relativeFrom="page">
                  <wp:posOffset>914400</wp:posOffset>
                </wp:positionH>
                <wp:positionV relativeFrom="paragraph">
                  <wp:posOffset>158750</wp:posOffset>
                </wp:positionV>
                <wp:extent cx="1829435"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1C1CD" id="Freeform 7" o:spid="_x0000_s1026" style="position:absolute;margin-left:1in;margin-top:12.5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" path="m,l2881,e" filled="f" strokeweight=".72pt">
                <v:path arrowok="t" o:connecttype="custom" o:connectlocs="0,0;1829435,0" o:connectangles="0,0"/>
                <w10:wrap type="topAndBottom" anchorx="page"/>
              </v:shape>
            </w:pict>
          </mc:Fallback>
        </mc:AlternateContent>
      </w:r>
    </w:p>
    <w:p w14:paraId="5E5778C9" w14:textId="77777777" w:rsidR="006E1BB2" w:rsidRDefault="006E1BB2">
      <w:pPr>
        <w:pStyle w:val="BodyText"/>
        <w:rPr>
          <w:rFonts w:ascii="Cambria Math"/>
          <w:i/>
          <w:sz w:val="20"/>
        </w:rPr>
      </w:pPr>
    </w:p>
    <w:p w14:paraId="5CC19F65" w14:textId="77777777" w:rsidR="006E1BB2" w:rsidRDefault="006E1BB2">
      <w:pPr>
        <w:pStyle w:val="BodyText"/>
        <w:spacing w:before="5"/>
        <w:rPr>
          <w:rFonts w:ascii="Cambria Math"/>
          <w:i/>
          <w:sz w:val="23"/>
        </w:rPr>
      </w:pPr>
    </w:p>
    <w:p w14:paraId="0B0CC082" w14:textId="77777777" w:rsidR="006E1BB2" w:rsidRDefault="007221B2">
      <w:pPr>
        <w:spacing w:before="69"/>
        <w:ind w:left="120" w:right="478"/>
        <w:rPr>
          <w:sz w:val="18"/>
        </w:rPr>
      </w:pPr>
      <w:r>
        <w:rPr>
          <w:position w:val="5"/>
          <w:sz w:val="12"/>
        </w:rPr>
        <w:t xml:space="preserve">5 </w:t>
      </w:r>
      <w:r>
        <w:rPr>
          <w:sz w:val="18"/>
        </w:rPr>
        <w:t xml:space="preserve">The Cadmus Group, Inc. 2010. </w:t>
      </w:r>
      <w:r>
        <w:rPr>
          <w:i/>
          <w:sz w:val="18"/>
        </w:rPr>
        <w:t xml:space="preserve">Residential Retrofit High Impact Measure Evaluation Report. </w:t>
      </w:r>
      <w:r>
        <w:rPr>
          <w:sz w:val="18"/>
        </w:rPr>
        <w:t>Prepared for the California Public Utilities Commission.</w:t>
      </w:r>
    </w:p>
    <w:p w14:paraId="0341F467" w14:textId="77777777" w:rsidR="006E1BB2" w:rsidRDefault="007221B2">
      <w:pPr>
        <w:spacing w:before="123"/>
        <w:ind w:left="120" w:right="387"/>
        <w:rPr>
          <w:sz w:val="18"/>
        </w:rPr>
      </w:pPr>
      <w:r>
        <w:rPr>
          <w:position w:val="5"/>
          <w:sz w:val="12"/>
        </w:rPr>
        <w:t xml:space="preserve">6 </w:t>
      </w:r>
      <w:r>
        <w:rPr>
          <w:sz w:val="18"/>
        </w:rPr>
        <w:t xml:space="preserve">KEMA, Inc. 2010. </w:t>
      </w:r>
      <w:r>
        <w:rPr>
          <w:i/>
          <w:sz w:val="18"/>
        </w:rPr>
        <w:t>2009 California Residential Appliance Saturation Study. Volume 2: Results</w:t>
      </w:r>
      <w:r>
        <w:rPr>
          <w:sz w:val="18"/>
        </w:rPr>
        <w:t>. Prepared for the California Energy Commission. CEC-200-2010-004.</w:t>
      </w:r>
    </w:p>
    <w:p w14:paraId="1449B73D" w14:textId="77777777" w:rsidR="006E1BB2" w:rsidRDefault="007221B2">
      <w:pPr>
        <w:spacing w:before="119"/>
        <w:ind w:left="120"/>
        <w:rPr>
          <w:sz w:val="18"/>
        </w:rPr>
      </w:pPr>
      <w:r>
        <w:rPr>
          <w:position w:val="5"/>
          <w:sz w:val="12"/>
        </w:rPr>
        <w:t xml:space="preserve">7 </w:t>
      </w:r>
      <w:r>
        <w:rPr>
          <w:sz w:val="18"/>
        </w:rPr>
        <w:t>Southern California Edison (SCE). 2016. “SCE Energy Star Room Air Conditioners_Final.xlsx.”</w:t>
      </w:r>
    </w:p>
    <w:p w14:paraId="6B074BE4" w14:textId="77777777" w:rsidR="006E1BB2" w:rsidRDefault="006E1BB2">
      <w:pPr>
        <w:rPr>
          <w:sz w:val="18"/>
        </w:rPr>
        <w:sectPr w:rsidR="006E1BB2">
          <w:type w:val="continuous"/>
          <w:pgSz w:w="12240" w:h="15840"/>
          <w:pgMar w:top="1220" w:right="1220" w:bottom="1320" w:left="1320" w:header="720" w:footer="720" w:gutter="0"/>
          <w:cols w:space="720"/>
        </w:sectPr>
      </w:pPr>
    </w:p>
    <w:p w14:paraId="11F76B88" w14:textId="77777777" w:rsidR="006E1BB2" w:rsidRDefault="006E1BB2">
      <w:pPr>
        <w:pStyle w:val="BodyText"/>
        <w:spacing w:before="6"/>
        <w:rPr>
          <w:sz w:val="19"/>
        </w:rPr>
      </w:pPr>
    </w:p>
    <w:p w14:paraId="5BE50411" w14:textId="77777777" w:rsidR="006E1BB2" w:rsidRDefault="007221B2">
      <w:pPr>
        <w:tabs>
          <w:tab w:val="left" w:pos="2732"/>
        </w:tabs>
        <w:spacing w:before="67"/>
        <w:ind w:left="1560"/>
        <w:rPr>
          <w:rFonts w:ascii="Cambria Math"/>
          <w:i/>
          <w:sz w:val="19"/>
        </w:rPr>
      </w:pPr>
      <w:r>
        <w:rPr>
          <w:rFonts w:ascii="Cambria Math"/>
          <w:i/>
          <w:position w:val="1"/>
          <w:sz w:val="19"/>
        </w:rPr>
        <w:t>CEER</w:t>
      </w:r>
      <w:r>
        <w:rPr>
          <w:rFonts w:ascii="Cambria Math"/>
          <w:i/>
          <w:sz w:val="12"/>
        </w:rPr>
        <w:t>ES</w:t>
      </w:r>
      <w:r>
        <w:rPr>
          <w:rFonts w:ascii="Cambria Math"/>
          <w:i/>
          <w:spacing w:val="-8"/>
          <w:sz w:val="12"/>
        </w:rPr>
        <w:t xml:space="preserve"> </w:t>
      </w:r>
      <w:r>
        <w:rPr>
          <w:rFonts w:ascii="Cambria Math"/>
          <w:i/>
          <w:position w:val="1"/>
          <w:sz w:val="19"/>
        </w:rPr>
        <w:t>=</w:t>
      </w:r>
      <w:r>
        <w:rPr>
          <w:rFonts w:ascii="Cambria Math"/>
          <w:i/>
          <w:position w:val="1"/>
          <w:sz w:val="19"/>
        </w:rPr>
        <w:tab/>
        <w:t>Efficiency</w:t>
      </w:r>
      <w:r>
        <w:rPr>
          <w:rFonts w:ascii="Cambria Math"/>
          <w:i/>
          <w:spacing w:val="-6"/>
          <w:position w:val="1"/>
          <w:sz w:val="19"/>
        </w:rPr>
        <w:t xml:space="preserve"> </w:t>
      </w:r>
      <w:r>
        <w:rPr>
          <w:rFonts w:ascii="Cambria Math"/>
          <w:i/>
          <w:position w:val="1"/>
          <w:sz w:val="19"/>
        </w:rPr>
        <w:t>of</w:t>
      </w:r>
      <w:r>
        <w:rPr>
          <w:rFonts w:ascii="Cambria Math"/>
          <w:i/>
          <w:spacing w:val="-4"/>
          <w:position w:val="1"/>
          <w:sz w:val="19"/>
        </w:rPr>
        <w:t xml:space="preserve"> </w:t>
      </w:r>
      <w:r>
        <w:rPr>
          <w:rFonts w:ascii="Cambria Math"/>
          <w:i/>
          <w:position w:val="1"/>
          <w:sz w:val="19"/>
        </w:rPr>
        <w:t>a</w:t>
      </w:r>
      <w:r>
        <w:rPr>
          <w:rFonts w:ascii="Cambria Math"/>
          <w:i/>
          <w:spacing w:val="-4"/>
          <w:position w:val="1"/>
          <w:sz w:val="19"/>
        </w:rPr>
        <w:t xml:space="preserve"> </w:t>
      </w:r>
      <w:r>
        <w:rPr>
          <w:rFonts w:ascii="Cambria Math"/>
          <w:i/>
          <w:position w:val="1"/>
          <w:sz w:val="19"/>
        </w:rPr>
        <w:t>basic</w:t>
      </w:r>
      <w:r>
        <w:rPr>
          <w:rFonts w:ascii="Cambria Math"/>
          <w:i/>
          <w:spacing w:val="-4"/>
          <w:position w:val="1"/>
          <w:sz w:val="19"/>
        </w:rPr>
        <w:t xml:space="preserve"> </w:t>
      </w:r>
      <w:r>
        <w:rPr>
          <w:rFonts w:ascii="Cambria Math"/>
          <w:i/>
          <w:position w:val="1"/>
          <w:sz w:val="19"/>
        </w:rPr>
        <w:t>tier</w:t>
      </w:r>
      <w:r>
        <w:rPr>
          <w:rFonts w:ascii="Cambria Math"/>
          <w:i/>
          <w:spacing w:val="-4"/>
          <w:position w:val="1"/>
          <w:sz w:val="19"/>
        </w:rPr>
        <w:t xml:space="preserve"> </w:t>
      </w:r>
      <w:r>
        <w:rPr>
          <w:rFonts w:ascii="Cambria Math"/>
          <w:i/>
          <w:position w:val="1"/>
          <w:sz w:val="19"/>
        </w:rPr>
        <w:t>room</w:t>
      </w:r>
      <w:r>
        <w:rPr>
          <w:rFonts w:ascii="Cambria Math"/>
          <w:i/>
          <w:spacing w:val="-2"/>
          <w:position w:val="1"/>
          <w:sz w:val="19"/>
        </w:rPr>
        <w:t xml:space="preserve"> </w:t>
      </w:r>
      <w:r>
        <w:rPr>
          <w:rFonts w:ascii="Cambria Math"/>
          <w:i/>
          <w:position w:val="1"/>
          <w:sz w:val="19"/>
        </w:rPr>
        <w:t>AC</w:t>
      </w:r>
      <w:r>
        <w:rPr>
          <w:rFonts w:ascii="Cambria Math"/>
          <w:i/>
          <w:spacing w:val="-4"/>
          <w:position w:val="1"/>
          <w:sz w:val="19"/>
        </w:rPr>
        <w:t xml:space="preserve"> </w:t>
      </w:r>
      <w:r>
        <w:rPr>
          <w:rFonts w:ascii="Cambria Math"/>
          <w:i/>
          <w:position w:val="1"/>
          <w:sz w:val="19"/>
        </w:rPr>
        <w:t>unit</w:t>
      </w:r>
      <w:r>
        <w:rPr>
          <w:rFonts w:ascii="Cambria Math"/>
          <w:i/>
          <w:spacing w:val="-4"/>
          <w:position w:val="1"/>
          <w:sz w:val="19"/>
        </w:rPr>
        <w:t xml:space="preserve"> </w:t>
      </w:r>
      <w:r>
        <w:rPr>
          <w:rFonts w:ascii="Cambria Math"/>
          <w:i/>
          <w:position w:val="1"/>
          <w:sz w:val="19"/>
        </w:rPr>
        <w:t>(CEER)</w:t>
      </w:r>
    </w:p>
    <w:p w14:paraId="7BD9DAD6" w14:textId="77777777" w:rsidR="006E1BB2" w:rsidRDefault="006E1BB2">
      <w:pPr>
        <w:pStyle w:val="BodyText"/>
        <w:rPr>
          <w:rFonts w:ascii="Cambria Math"/>
          <w:i/>
          <w:sz w:val="18"/>
        </w:rPr>
      </w:pPr>
    </w:p>
    <w:p w14:paraId="6FAD3BB3" w14:textId="77777777" w:rsidR="006E1BB2" w:rsidRDefault="006E1BB2">
      <w:pPr>
        <w:pStyle w:val="BodyText"/>
        <w:spacing w:before="9"/>
        <w:rPr>
          <w:rFonts w:ascii="Cambria Math"/>
          <w:i/>
          <w:sz w:val="26"/>
        </w:rPr>
      </w:pPr>
    </w:p>
    <w:p w14:paraId="63D83AE3" w14:textId="77777777" w:rsidR="006E1BB2" w:rsidRDefault="007221B2">
      <w:pPr>
        <w:pStyle w:val="Heading1"/>
      </w:pPr>
      <w:bookmarkStart w:id="12" w:name="_TOC_250011"/>
      <w:bookmarkEnd w:id="12"/>
      <w:r>
        <w:rPr>
          <w:color w:val="CFAB79"/>
        </w:rPr>
        <w:t>PEAK ELECTRIC DEMAND REDUCTION (KW)</w:t>
      </w:r>
    </w:p>
    <w:p w14:paraId="7957EFDA" w14:textId="77777777" w:rsidR="006E1BB2" w:rsidRDefault="007221B2">
      <w:pPr>
        <w:pStyle w:val="BodyText"/>
        <w:spacing w:before="115"/>
        <w:ind w:left="120" w:right="217"/>
      </w:pPr>
      <w:r>
        <w:t>It is assumed that this measure operates within the Database of Energy Efficient Resources (DEER) peak period of 4 p.m. to 9 p.m. on weekdays.</w:t>
      </w:r>
      <w:r>
        <w:rPr>
          <w:vertAlign w:val="superscript"/>
        </w:rPr>
        <w:t>8</w:t>
      </w:r>
      <w:r>
        <w:t xml:space="preserve"> The derivation of peak demand reduction for each efficiency tier is explained below.</w:t>
      </w:r>
    </w:p>
    <w:p w14:paraId="3D9972C9" w14:textId="77777777" w:rsidR="006E1BB2" w:rsidRDefault="006E1BB2">
      <w:pPr>
        <w:pStyle w:val="BodyText"/>
      </w:pPr>
    </w:p>
    <w:p w14:paraId="42D554C6" w14:textId="77777777" w:rsidR="006E1BB2" w:rsidRDefault="006E1BB2">
      <w:pPr>
        <w:pStyle w:val="BodyText"/>
        <w:spacing w:before="6"/>
        <w:rPr>
          <w:sz w:val="20"/>
        </w:rPr>
      </w:pPr>
    </w:p>
    <w:p w14:paraId="0D21FBE9" w14:textId="77777777" w:rsidR="006E1BB2" w:rsidRDefault="007221B2">
      <w:pPr>
        <w:ind w:left="120"/>
        <w:rPr>
          <w:sz w:val="24"/>
        </w:rPr>
      </w:pPr>
      <w:r>
        <w:rPr>
          <w:color w:val="CFAB79"/>
          <w:sz w:val="24"/>
        </w:rPr>
        <w:t>ENERGY STAR Basic Tier Unit Demand Reduction</w:t>
      </w:r>
    </w:p>
    <w:p w14:paraId="6BC9D429" w14:textId="77777777" w:rsidR="006E1BB2" w:rsidRDefault="007221B2">
      <w:pPr>
        <w:pStyle w:val="BodyText"/>
        <w:spacing w:before="115"/>
        <w:ind w:left="120" w:right="234"/>
      </w:pPr>
      <w:r>
        <w:t>The peak demand reduction a basic tier room air conditioner (AC) was based on the Residential Retrofit High Impact Measure Evaluation Report published by The Cadmus Group in 2010.</w:t>
      </w:r>
      <w:r>
        <w:rPr>
          <w:vertAlign w:val="superscript"/>
        </w:rPr>
        <w:t>9</w:t>
      </w:r>
      <w:r>
        <w:t xml:space="preserve"> The analysis provides room AC modeled demand reduction (in climate zones 6, 8, 9 and 10) based on the Title 20 code effective as of October 1, 2000. The results of the study were subsequently updated to reflect the new federal code (effective June 1, 2014) and the ENERGY STAR Version 4.0 eligibility</w:t>
      </w:r>
      <w:r>
        <w:rPr>
          <w:spacing w:val="-14"/>
        </w:rPr>
        <w:t xml:space="preserve"> </w:t>
      </w:r>
      <w:r>
        <w:t>criteria.</w:t>
      </w:r>
    </w:p>
    <w:p w14:paraId="38DD23C7" w14:textId="77777777" w:rsidR="006E1BB2" w:rsidRDefault="007221B2">
      <w:pPr>
        <w:pStyle w:val="BodyText"/>
        <w:spacing w:before="124" w:line="237" w:lineRule="auto"/>
        <w:ind w:left="120" w:right="248"/>
      </w:pPr>
      <w:r>
        <w:t>The estimated demand reduction for the remaining climate zones were extrapolated by using the California Statewide Residential Appliance Saturation Study (RASS)</w:t>
      </w:r>
      <w:r>
        <w:rPr>
          <w:vertAlign w:val="superscript"/>
        </w:rPr>
        <w:t>10</w:t>
      </w:r>
      <w:r>
        <w:t xml:space="preserve"> UEC values for room AC by climate zone. The RASS unit energy consumption (UEC) values were used to develop a scaling factor calculated as </w:t>
      </w:r>
      <w:r>
        <w:rPr>
          <w:rFonts w:ascii="Cambria Math"/>
          <w:i/>
          <w:sz w:val="23"/>
        </w:rPr>
        <w:t>[</w:t>
      </w:r>
      <w:r>
        <w:rPr>
          <w:rFonts w:ascii="Cambria Math"/>
          <w:i/>
          <w:sz w:val="21"/>
        </w:rPr>
        <w:t>Residential HIM Savings/RASS UEC]</w:t>
      </w:r>
      <w:r>
        <w:t>.</w:t>
      </w:r>
      <w:r>
        <w:rPr>
          <w:vertAlign w:val="superscript"/>
        </w:rPr>
        <w:t>11</w:t>
      </w:r>
      <w:r>
        <w:t xml:space="preserve"> Based on climatic parallels, the demand reduction values for climate zones 11, 13, 14, 15 were derived from the climate zone 10 Residential HIM/RASS UEC scaling factor. Similarly, estimated demand reduction for climate zones 12 and 16 are determined via the climate zone 8 scaling factor. Remaining climate zones 1, 2, 3, 4 and 5 were calculated in a similar manner using climate zone 6.</w:t>
      </w:r>
    </w:p>
    <w:p w14:paraId="16B25EF0" w14:textId="77777777" w:rsidR="006E1BB2" w:rsidRDefault="007221B2">
      <w:pPr>
        <w:pStyle w:val="BodyText"/>
        <w:spacing w:before="130"/>
        <w:ind w:left="120" w:right="439"/>
      </w:pPr>
      <w:r>
        <w:t>At the time when the Cadmus High Impact Measure Evaluation was conducted, the DEER peak demand period was 2:00 p.m. to 5:00 p.m. An additional step was necessary to map the peak demand savings from the period of 2:00 p.m. to 5:00 p.m. to the current DEER peak demand period of 4:00 p.m. to 9:00</w:t>
      </w:r>
    </w:p>
    <w:p w14:paraId="53F0E844" w14:textId="77777777" w:rsidR="006E1BB2" w:rsidRDefault="007221B2">
      <w:pPr>
        <w:pStyle w:val="BodyText"/>
        <w:spacing w:before="1"/>
        <w:ind w:left="120" w:right="336"/>
      </w:pPr>
      <w:r>
        <w:t>p.m. The Cadmus evaluation study presented hourly mean energy usage during the peak demand period for climate zones 6 to 10 (see Table 152). The mean hourly percent of each peak day energy usage was calculated for the period of 2:00 p.m. to 5:00 p.m. and for 4:00 p.m. to 9:00 p.m.; the ratio of these percentages was then applied to the peak demand savings for each climate zone to scale the peak demand of the previous peak period to derive the peak demand of the new peak period. Since the peak demand period studied corresponded to days when the highest temperatures occurred in the hours of 2:00 p.m. to 5:00 p.m. rather than the hours of 4:00 p.m. to 9:00 p.m., this analysis may understate the peak demand reduction.</w:t>
      </w:r>
    </w:p>
    <w:p w14:paraId="5C0B52B1" w14:textId="77777777" w:rsidR="006E1BB2" w:rsidRDefault="006E1BB2">
      <w:pPr>
        <w:pStyle w:val="BodyText"/>
        <w:rPr>
          <w:sz w:val="20"/>
        </w:rPr>
      </w:pPr>
    </w:p>
    <w:p w14:paraId="39702FE9" w14:textId="77777777" w:rsidR="006E1BB2" w:rsidRDefault="006E1BB2">
      <w:pPr>
        <w:pStyle w:val="BodyText"/>
        <w:rPr>
          <w:sz w:val="20"/>
        </w:rPr>
      </w:pPr>
    </w:p>
    <w:p w14:paraId="1FEACECB" w14:textId="5C1A0742" w:rsidR="006E1BB2" w:rsidRDefault="007221B2">
      <w:pPr>
        <w:pStyle w:val="BodyText"/>
        <w:spacing w:before="6"/>
        <w:rPr>
          <w:sz w:val="28"/>
        </w:rPr>
      </w:pPr>
      <w:r>
        <w:rPr>
          <w:noProof/>
        </w:rPr>
        <mc:AlternateContent>
          <mc:Choice Requires="wps">
            <w:drawing>
              <wp:anchor distT="0" distB="0" distL="0" distR="0" simplePos="0" relativeHeight="251663360" behindDoc="1" locked="0" layoutInCell="1" allowOverlap="1" wp14:anchorId="09463968" wp14:editId="51058707">
                <wp:simplePos x="0" y="0"/>
                <wp:positionH relativeFrom="page">
                  <wp:posOffset>914400</wp:posOffset>
                </wp:positionH>
                <wp:positionV relativeFrom="paragraph">
                  <wp:posOffset>251460</wp:posOffset>
                </wp:positionV>
                <wp:extent cx="1829435" cy="1270"/>
                <wp:effectExtent l="0" t="0" r="0" b="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677BB" id="Freeform 6" o:spid="_x0000_s1026" style="position:absolute;margin-left:1in;margin-top:19.8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" path="m,l2881,e" filled="f" strokeweight=".72pt">
                <v:path arrowok="t" o:connecttype="custom" o:connectlocs="0,0;1829435,0" o:connectangles="0,0"/>
                <w10:wrap type="topAndBottom" anchorx="page"/>
              </v:shape>
            </w:pict>
          </mc:Fallback>
        </mc:AlternateContent>
      </w:r>
    </w:p>
    <w:p w14:paraId="0E0C10B9" w14:textId="77777777" w:rsidR="006E1BB2" w:rsidRDefault="006E1BB2">
      <w:pPr>
        <w:pStyle w:val="BodyText"/>
        <w:rPr>
          <w:sz w:val="20"/>
        </w:rPr>
      </w:pPr>
    </w:p>
    <w:p w14:paraId="7FEA4DEA" w14:textId="77777777" w:rsidR="006E1BB2" w:rsidRDefault="006E1BB2">
      <w:pPr>
        <w:pStyle w:val="BodyText"/>
      </w:pPr>
    </w:p>
    <w:p w14:paraId="5ABBF980" w14:textId="77777777" w:rsidR="006E1BB2" w:rsidRDefault="007221B2">
      <w:pPr>
        <w:spacing w:before="69"/>
        <w:ind w:left="120"/>
        <w:rPr>
          <w:sz w:val="18"/>
        </w:rPr>
      </w:pPr>
      <w:r>
        <w:rPr>
          <w:position w:val="5"/>
          <w:sz w:val="12"/>
        </w:rPr>
        <w:t xml:space="preserve">8 </w:t>
      </w:r>
      <w:r>
        <w:rPr>
          <w:sz w:val="18"/>
        </w:rPr>
        <w:t xml:space="preserve">California Public Utilities Commission (CPUC). 2018. </w:t>
      </w:r>
      <w:r>
        <w:rPr>
          <w:i/>
          <w:sz w:val="18"/>
        </w:rPr>
        <w:t xml:space="preserve">Resolution E-4952. </w:t>
      </w:r>
      <w:r>
        <w:rPr>
          <w:sz w:val="18"/>
        </w:rPr>
        <w:t>October 11. Op 1.</w:t>
      </w:r>
    </w:p>
    <w:p w14:paraId="785F8820" w14:textId="77777777" w:rsidR="006E1BB2" w:rsidRDefault="007221B2">
      <w:pPr>
        <w:spacing w:before="118"/>
        <w:ind w:left="120" w:right="478"/>
        <w:rPr>
          <w:sz w:val="18"/>
        </w:rPr>
      </w:pPr>
      <w:r>
        <w:rPr>
          <w:position w:val="5"/>
          <w:sz w:val="12"/>
        </w:rPr>
        <w:t xml:space="preserve">9 </w:t>
      </w:r>
      <w:r>
        <w:rPr>
          <w:sz w:val="18"/>
        </w:rPr>
        <w:t xml:space="preserve">The Cadmus Group, Inc. 2010. </w:t>
      </w:r>
      <w:r>
        <w:rPr>
          <w:i/>
          <w:sz w:val="18"/>
        </w:rPr>
        <w:t>Residential Retrofit High Impact Measure Evaluation Report</w:t>
      </w:r>
      <w:r>
        <w:rPr>
          <w:sz w:val="18"/>
        </w:rPr>
        <w:t>. Prepared for the California Public Utilities Commission.</w:t>
      </w:r>
    </w:p>
    <w:p w14:paraId="03F631A9" w14:textId="77777777" w:rsidR="006E1BB2" w:rsidRDefault="007221B2">
      <w:pPr>
        <w:spacing w:before="123"/>
        <w:ind w:left="120" w:right="327"/>
        <w:rPr>
          <w:sz w:val="18"/>
        </w:rPr>
      </w:pPr>
      <w:r>
        <w:rPr>
          <w:position w:val="5"/>
          <w:sz w:val="12"/>
        </w:rPr>
        <w:t xml:space="preserve">10 </w:t>
      </w:r>
      <w:r>
        <w:rPr>
          <w:sz w:val="18"/>
        </w:rPr>
        <w:t xml:space="preserve">KEMA, Inc. 2010. </w:t>
      </w:r>
      <w:r>
        <w:rPr>
          <w:i/>
          <w:sz w:val="18"/>
        </w:rPr>
        <w:t>2009 California Residential Appliance Saturation Study. Volume 2: Results</w:t>
      </w:r>
      <w:r>
        <w:rPr>
          <w:sz w:val="18"/>
        </w:rPr>
        <w:t>. Prepared for the California Energy Commission. CEC-200-2010-004.</w:t>
      </w:r>
    </w:p>
    <w:p w14:paraId="16DBC197" w14:textId="77777777" w:rsidR="006E1BB2" w:rsidRDefault="007221B2">
      <w:pPr>
        <w:spacing w:before="119"/>
        <w:ind w:left="120"/>
        <w:rPr>
          <w:sz w:val="18"/>
        </w:rPr>
      </w:pPr>
      <w:r>
        <w:rPr>
          <w:position w:val="5"/>
          <w:sz w:val="12"/>
        </w:rPr>
        <w:t xml:space="preserve">11 </w:t>
      </w:r>
      <w:r>
        <w:rPr>
          <w:sz w:val="18"/>
        </w:rPr>
        <w:t>Southern California Edison (SCE). 2016. “SCE Energy Star Room Air Conditioners_Final.xlsx.”</w:t>
      </w:r>
    </w:p>
    <w:p w14:paraId="079E833E" w14:textId="77777777" w:rsidR="006E1BB2" w:rsidRDefault="006E1BB2">
      <w:pPr>
        <w:rPr>
          <w:sz w:val="18"/>
        </w:rPr>
        <w:sectPr w:rsidR="006E1BB2">
          <w:pgSz w:w="12240" w:h="15840"/>
          <w:pgMar w:top="1220" w:right="1220" w:bottom="1320" w:left="1320" w:header="858" w:footer="1129" w:gutter="0"/>
          <w:cols w:space="720"/>
        </w:sectPr>
      </w:pPr>
    </w:p>
    <w:p w14:paraId="671D9CA4" w14:textId="77777777" w:rsidR="006E1BB2" w:rsidRDefault="006E1BB2">
      <w:pPr>
        <w:pStyle w:val="BodyText"/>
        <w:spacing w:before="10"/>
        <w:rPr>
          <w:sz w:val="19"/>
        </w:rPr>
      </w:pPr>
    </w:p>
    <w:p w14:paraId="760F257A" w14:textId="77777777" w:rsidR="006E1BB2" w:rsidRDefault="007221B2">
      <w:pPr>
        <w:pStyle w:val="BodyText"/>
        <w:spacing w:before="56"/>
        <w:ind w:left="120" w:right="227"/>
      </w:pPr>
      <w:r>
        <w:t>Peak demand reduction values were also developed for each investor-owned utility (IOU) as the weighted average UES across all climate zones in each IOU service area.</w:t>
      </w:r>
    </w:p>
    <w:p w14:paraId="3E1DBAB9" w14:textId="77777777" w:rsidR="006E1BB2" w:rsidRDefault="006E1BB2">
      <w:pPr>
        <w:pStyle w:val="BodyText"/>
      </w:pPr>
    </w:p>
    <w:p w14:paraId="1591195C" w14:textId="77777777" w:rsidR="006E1BB2" w:rsidRDefault="006E1BB2">
      <w:pPr>
        <w:pStyle w:val="BodyText"/>
        <w:spacing w:before="9"/>
        <w:rPr>
          <w:sz w:val="20"/>
        </w:rPr>
      </w:pPr>
    </w:p>
    <w:p w14:paraId="7A86A334" w14:textId="77777777" w:rsidR="006E1BB2" w:rsidRDefault="007221B2">
      <w:pPr>
        <w:ind w:left="120"/>
        <w:rPr>
          <w:sz w:val="24"/>
        </w:rPr>
      </w:pPr>
      <w:r>
        <w:rPr>
          <w:color w:val="CFAB79"/>
          <w:sz w:val="24"/>
        </w:rPr>
        <w:t>ENERGY STAR Connected Tier Unit Demand Reduction</w:t>
      </w:r>
    </w:p>
    <w:p w14:paraId="1A2FF85B" w14:textId="77777777" w:rsidR="006E1BB2" w:rsidRDefault="007221B2">
      <w:pPr>
        <w:pStyle w:val="BodyText"/>
        <w:spacing w:before="115"/>
        <w:ind w:left="120" w:right="514"/>
      </w:pPr>
      <w:r>
        <w:t>The peak demand reduction of an ENERGY STAR Connected room air conditioner model is equal to the peak demand reduction of the ENERGY STAR Basic Tier.</w:t>
      </w:r>
    </w:p>
    <w:p w14:paraId="3D577547" w14:textId="77777777" w:rsidR="006E1BB2" w:rsidRDefault="006E1BB2">
      <w:pPr>
        <w:pStyle w:val="BodyText"/>
      </w:pPr>
    </w:p>
    <w:p w14:paraId="5F3B03CD" w14:textId="77777777" w:rsidR="006E1BB2" w:rsidRDefault="006E1BB2">
      <w:pPr>
        <w:pStyle w:val="BodyText"/>
        <w:spacing w:before="9"/>
        <w:rPr>
          <w:sz w:val="20"/>
        </w:rPr>
      </w:pPr>
    </w:p>
    <w:p w14:paraId="760DB599" w14:textId="77777777" w:rsidR="006E1BB2" w:rsidRDefault="007221B2">
      <w:pPr>
        <w:ind w:left="120"/>
        <w:rPr>
          <w:sz w:val="24"/>
        </w:rPr>
      </w:pPr>
      <w:r>
        <w:rPr>
          <w:color w:val="CFAB79"/>
          <w:sz w:val="24"/>
        </w:rPr>
        <w:t>ENERGY STAR Advanced Tier Unit Demand Reduction</w:t>
      </w:r>
    </w:p>
    <w:p w14:paraId="6E31854E" w14:textId="5BD97FA0" w:rsidR="006E1BB2" w:rsidRPr="0082364A" w:rsidRDefault="007221B2" w:rsidP="0082364A">
      <w:pPr>
        <w:pStyle w:val="BodyText"/>
        <w:spacing w:before="115"/>
        <w:ind w:left="120" w:right="254"/>
        <w:sectPr w:rsidR="006E1BB2" w:rsidRPr="0082364A">
          <w:pgSz w:w="12240" w:h="15840"/>
          <w:pgMar w:top="1220" w:right="1220" w:bottom="1320" w:left="1320" w:header="858" w:footer="1129" w:gutter="0"/>
          <w:cols w:space="720"/>
        </w:sectPr>
      </w:pPr>
      <w:r>
        <w:rPr>
          <w:color w:val="242424"/>
        </w:rPr>
        <w:t>Peak demand reduction estimates for an advanced tier room AC were derived by applying a scaling factor to the Basic Tier unit demand reduction values.</w:t>
      </w:r>
    </w:p>
    <w:p w14:paraId="1302C5F2" w14:textId="77777777" w:rsidR="006E1BB2" w:rsidRDefault="006E1BB2">
      <w:pPr>
        <w:pStyle w:val="BodyText"/>
        <w:rPr>
          <w:rFonts w:ascii="Cambria Math"/>
          <w:sz w:val="20"/>
        </w:rPr>
      </w:pPr>
    </w:p>
    <w:p w14:paraId="609B1A32" w14:textId="20AEEDE2" w:rsidR="0082364A" w:rsidRPr="009F5E4B" w:rsidRDefault="00A82DEE" w:rsidP="0082364A">
      <w:pPr>
        <w:pStyle w:val="BodyText"/>
        <w:spacing w:before="2"/>
        <w:ind w:left="810"/>
        <w:rPr>
          <w:rFonts w:ascii="Cambria Math"/>
          <w:sz w:val="26"/>
        </w:rPr>
      </w:pPr>
      <m:oMathPara>
        <m:oMathParaPr>
          <m:jc m:val="left"/>
        </m:oMathParaPr>
        <m:oMath>
          <m:sSub>
            <m:sSubPr>
              <m:ctrlPr>
                <w:rPr>
                  <w:rFonts w:ascii="Cambria Math" w:hAnsi="Cambria Math"/>
                  <w:i/>
                  <w:sz w:val="19"/>
                  <w:szCs w:val="19"/>
                </w:rPr>
              </m:ctrlPr>
            </m:sSubPr>
            <m:e>
              <m:r>
                <w:rPr>
                  <w:rFonts w:ascii="Cambria Math" w:hAnsi="Cambria Math"/>
                  <w:sz w:val="19"/>
                  <w:szCs w:val="19"/>
                </w:rPr>
                <m:t>UDR</m:t>
              </m:r>
            </m:e>
            <m:sub>
              <m:r>
                <w:rPr>
                  <w:rFonts w:ascii="Cambria Math" w:hAnsi="Cambria Math"/>
                  <w:sz w:val="19"/>
                  <w:szCs w:val="19"/>
                </w:rPr>
                <m:t>ES+10%</m:t>
              </m:r>
            </m:sub>
          </m:sSub>
          <m:r>
            <w:rPr>
              <w:rFonts w:ascii="Cambria Math" w:hAnsi="Cambria Math"/>
              <w:sz w:val="19"/>
              <w:szCs w:val="19"/>
            </w:rPr>
            <m:t xml:space="preserve">= </m:t>
          </m:r>
          <m:sSub>
            <m:sSubPr>
              <m:ctrlPr>
                <w:rPr>
                  <w:rFonts w:ascii="Cambria Math" w:hAnsi="Cambria Math"/>
                  <w:i/>
                  <w:sz w:val="19"/>
                  <w:szCs w:val="19"/>
                </w:rPr>
              </m:ctrlPr>
            </m:sSubPr>
            <m:e>
              <m:r>
                <w:rPr>
                  <w:rFonts w:ascii="Cambria Math" w:hAnsi="Cambria Math"/>
                  <w:sz w:val="19"/>
                  <w:szCs w:val="19"/>
                </w:rPr>
                <m:t>UDR</m:t>
              </m:r>
            </m:e>
            <m:sub>
              <m:r>
                <w:rPr>
                  <w:rFonts w:ascii="Cambria Math" w:hAnsi="Cambria Math"/>
                  <w:sz w:val="19"/>
                  <w:szCs w:val="19"/>
                </w:rPr>
                <m:t>ES</m:t>
              </m:r>
            </m:sub>
          </m:sSub>
          <m:r>
            <w:rPr>
              <w:rFonts w:ascii="Cambria Math" w:hAnsi="Cambria Math"/>
              <w:sz w:val="19"/>
              <w:szCs w:val="19"/>
            </w:rPr>
            <m:t>×</m:t>
          </m:r>
          <m:f>
            <m:fPr>
              <m:ctrlPr>
                <w:rPr>
                  <w:rFonts w:ascii="Cambria Math" w:hAnsi="Cambria Math"/>
                  <w:i/>
                  <w:sz w:val="19"/>
                  <w:szCs w:val="19"/>
                </w:rPr>
              </m:ctrlPr>
            </m:fPr>
            <m:num>
              <m:d>
                <m:dPr>
                  <m:ctrlPr>
                    <w:rPr>
                      <w:rFonts w:ascii="Cambria Math" w:hAnsi="Cambria Math"/>
                      <w:i/>
                      <w:sz w:val="19"/>
                      <w:szCs w:val="19"/>
                    </w:rPr>
                  </m:ctrlPr>
                </m:dPr>
                <m:e>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Base</m:t>
                          </m:r>
                        </m:sub>
                      </m:sSub>
                    </m:den>
                  </m:f>
                  <m:r>
                    <w:rPr>
                      <w:rFonts w:ascii="Cambria Math" w:hAnsi="Cambria Math"/>
                      <w:sz w:val="19"/>
                      <w:szCs w:val="19"/>
                    </w:rPr>
                    <m:t>-</m:t>
                  </m:r>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ES+10%</m:t>
                          </m:r>
                        </m:sub>
                      </m:sSub>
                    </m:den>
                  </m:f>
                </m:e>
              </m:d>
            </m:num>
            <m:den>
              <m:d>
                <m:dPr>
                  <m:ctrlPr>
                    <w:rPr>
                      <w:rFonts w:ascii="Cambria Math" w:hAnsi="Cambria Math"/>
                      <w:i/>
                      <w:sz w:val="19"/>
                      <w:szCs w:val="19"/>
                    </w:rPr>
                  </m:ctrlPr>
                </m:dPr>
                <m:e>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Base</m:t>
                          </m:r>
                        </m:sub>
                      </m:sSub>
                    </m:den>
                  </m:f>
                  <m:r>
                    <w:rPr>
                      <w:rFonts w:ascii="Cambria Math" w:hAnsi="Cambria Math"/>
                      <w:sz w:val="19"/>
                      <w:szCs w:val="19"/>
                    </w:rPr>
                    <m:t>-</m:t>
                  </m:r>
                  <m:f>
                    <m:fPr>
                      <m:ctrlPr>
                        <w:rPr>
                          <w:rFonts w:ascii="Cambria Math" w:hAnsi="Cambria Math"/>
                          <w:i/>
                          <w:sz w:val="19"/>
                          <w:szCs w:val="19"/>
                        </w:rPr>
                      </m:ctrlPr>
                    </m:fPr>
                    <m:num>
                      <m:r>
                        <w:rPr>
                          <w:rFonts w:ascii="Cambria Math" w:hAnsi="Cambria Math"/>
                          <w:sz w:val="19"/>
                          <w:szCs w:val="19"/>
                        </w:rPr>
                        <m:t>1</m:t>
                      </m:r>
                    </m:num>
                    <m:den>
                      <m:sSub>
                        <m:sSubPr>
                          <m:ctrlPr>
                            <w:rPr>
                              <w:rFonts w:ascii="Cambria Math" w:hAnsi="Cambria Math"/>
                              <w:i/>
                              <w:sz w:val="19"/>
                              <w:szCs w:val="19"/>
                            </w:rPr>
                          </m:ctrlPr>
                        </m:sSubPr>
                        <m:e>
                          <m:r>
                            <w:rPr>
                              <w:rFonts w:ascii="Cambria Math" w:hAnsi="Cambria Math"/>
                              <w:sz w:val="19"/>
                              <w:szCs w:val="19"/>
                            </w:rPr>
                            <m:t>CEER</m:t>
                          </m:r>
                        </m:e>
                        <m:sub>
                          <m:r>
                            <w:rPr>
                              <w:rFonts w:ascii="Cambria Math" w:hAnsi="Cambria Math"/>
                              <w:sz w:val="19"/>
                              <w:szCs w:val="19"/>
                            </w:rPr>
                            <m:t>ES</m:t>
                          </m:r>
                        </m:sub>
                      </m:sSub>
                    </m:den>
                  </m:f>
                </m:e>
              </m:d>
            </m:den>
          </m:f>
        </m:oMath>
      </m:oMathPara>
    </w:p>
    <w:p w14:paraId="6C708BC2" w14:textId="420210BD" w:rsidR="006E1BB2" w:rsidRDefault="006E1BB2">
      <w:pPr>
        <w:pStyle w:val="BodyText"/>
        <w:spacing w:before="8"/>
        <w:rPr>
          <w:rFonts w:ascii="Cambria Math"/>
          <w:sz w:val="17"/>
        </w:rPr>
      </w:pPr>
    </w:p>
    <w:p w14:paraId="644906EA" w14:textId="77777777" w:rsidR="0082364A" w:rsidRDefault="0082364A">
      <w:pPr>
        <w:pStyle w:val="BodyText"/>
        <w:spacing w:before="8"/>
        <w:rPr>
          <w:rFonts w:ascii="Cambria Math"/>
          <w:sz w:val="17"/>
        </w:rPr>
      </w:pPr>
    </w:p>
    <w:p w14:paraId="34AE902E" w14:textId="3074650E" w:rsidR="006E1BB2" w:rsidRDefault="007221B2" w:rsidP="00E4372A">
      <w:pPr>
        <w:tabs>
          <w:tab w:val="left" w:pos="2732"/>
        </w:tabs>
        <w:spacing w:before="67" w:line="271" w:lineRule="auto"/>
        <w:ind w:left="1560" w:right="1780"/>
        <w:rPr>
          <w:rFonts w:ascii="Cambria Math"/>
          <w:i/>
          <w:sz w:val="19"/>
        </w:rPr>
      </w:pPr>
      <w:r>
        <w:rPr>
          <w:rFonts w:ascii="Cambria Math"/>
          <w:i/>
          <w:position w:val="1"/>
          <w:sz w:val="19"/>
        </w:rPr>
        <w:t>UDR</w:t>
      </w:r>
      <w:r>
        <w:rPr>
          <w:rFonts w:ascii="Cambria Math"/>
          <w:i/>
          <w:sz w:val="12"/>
        </w:rPr>
        <w:t xml:space="preserve">ES+10% </w:t>
      </w:r>
      <w:r>
        <w:rPr>
          <w:rFonts w:ascii="Cambria Math"/>
          <w:i/>
          <w:position w:val="1"/>
          <w:sz w:val="19"/>
        </w:rPr>
        <w:t xml:space="preserve">= </w:t>
      </w:r>
      <w:r w:rsidR="00E4372A">
        <w:rPr>
          <w:rFonts w:ascii="Cambria Math"/>
          <w:i/>
          <w:position w:val="1"/>
          <w:sz w:val="19"/>
        </w:rPr>
        <w:t xml:space="preserve">   </w:t>
      </w:r>
      <w:r>
        <w:rPr>
          <w:rFonts w:ascii="Cambria Math"/>
          <w:i/>
          <w:position w:val="1"/>
          <w:sz w:val="19"/>
        </w:rPr>
        <w:t>Unit demand reduction of an advanced tier room AC unit (kW) UDR</w:t>
      </w:r>
      <w:r>
        <w:rPr>
          <w:rFonts w:ascii="Cambria Math"/>
          <w:i/>
          <w:sz w:val="12"/>
        </w:rPr>
        <w:t>ES</w:t>
      </w:r>
      <w:r>
        <w:rPr>
          <w:rFonts w:ascii="Cambria Math"/>
          <w:i/>
          <w:spacing w:val="-5"/>
          <w:sz w:val="12"/>
        </w:rPr>
        <w:t xml:space="preserve"> </w:t>
      </w:r>
      <w:r>
        <w:rPr>
          <w:rFonts w:ascii="Cambria Math"/>
          <w:i/>
          <w:position w:val="1"/>
          <w:sz w:val="19"/>
        </w:rPr>
        <w:t>=</w:t>
      </w:r>
      <w:r>
        <w:rPr>
          <w:rFonts w:ascii="Cambria Math"/>
          <w:i/>
          <w:position w:val="1"/>
          <w:sz w:val="19"/>
        </w:rPr>
        <w:tab/>
        <w:t>Unit demand reduction of a basic tier room AC unit (kW) CEER</w:t>
      </w:r>
      <w:r>
        <w:rPr>
          <w:rFonts w:ascii="Cambria Math"/>
          <w:i/>
          <w:sz w:val="12"/>
        </w:rPr>
        <w:t>Base</w:t>
      </w:r>
      <w:r>
        <w:rPr>
          <w:rFonts w:ascii="Cambria Math"/>
          <w:i/>
          <w:position w:val="1"/>
          <w:sz w:val="19"/>
        </w:rPr>
        <w:t>=</w:t>
      </w:r>
      <w:r>
        <w:rPr>
          <w:rFonts w:ascii="Cambria Math"/>
          <w:i/>
          <w:position w:val="1"/>
          <w:sz w:val="19"/>
        </w:rPr>
        <w:tab/>
        <w:t>Efficiency</w:t>
      </w:r>
      <w:r>
        <w:rPr>
          <w:rFonts w:ascii="Cambria Math"/>
          <w:i/>
          <w:spacing w:val="-9"/>
          <w:position w:val="1"/>
          <w:sz w:val="19"/>
        </w:rPr>
        <w:t xml:space="preserve"> </w:t>
      </w:r>
      <w:r>
        <w:rPr>
          <w:rFonts w:ascii="Cambria Math"/>
          <w:i/>
          <w:position w:val="1"/>
          <w:sz w:val="19"/>
        </w:rPr>
        <w:t>of</w:t>
      </w:r>
      <w:r>
        <w:rPr>
          <w:rFonts w:ascii="Cambria Math"/>
          <w:i/>
          <w:spacing w:val="-7"/>
          <w:position w:val="1"/>
          <w:sz w:val="19"/>
        </w:rPr>
        <w:t xml:space="preserve"> </w:t>
      </w:r>
      <w:r>
        <w:rPr>
          <w:rFonts w:ascii="Cambria Math"/>
          <w:i/>
          <w:position w:val="1"/>
          <w:sz w:val="19"/>
        </w:rPr>
        <w:t>base</w:t>
      </w:r>
      <w:r>
        <w:rPr>
          <w:rFonts w:ascii="Cambria Math"/>
          <w:i/>
          <w:spacing w:val="-5"/>
          <w:position w:val="1"/>
          <w:sz w:val="19"/>
        </w:rPr>
        <w:t xml:space="preserve"> </w:t>
      </w:r>
      <w:r>
        <w:rPr>
          <w:rFonts w:ascii="Cambria Math"/>
          <w:i/>
          <w:position w:val="1"/>
          <w:sz w:val="19"/>
        </w:rPr>
        <w:t>case</w:t>
      </w:r>
      <w:r>
        <w:rPr>
          <w:rFonts w:ascii="Cambria Math"/>
          <w:i/>
          <w:spacing w:val="-6"/>
          <w:position w:val="1"/>
          <w:sz w:val="19"/>
        </w:rPr>
        <w:t xml:space="preserve"> </w:t>
      </w:r>
      <w:r>
        <w:rPr>
          <w:rFonts w:ascii="Cambria Math"/>
          <w:i/>
          <w:position w:val="1"/>
          <w:sz w:val="19"/>
        </w:rPr>
        <w:t>room</w:t>
      </w:r>
      <w:r>
        <w:rPr>
          <w:rFonts w:ascii="Cambria Math"/>
          <w:i/>
          <w:spacing w:val="-4"/>
          <w:position w:val="1"/>
          <w:sz w:val="19"/>
        </w:rPr>
        <w:t xml:space="preserve"> </w:t>
      </w:r>
      <w:r>
        <w:rPr>
          <w:rFonts w:ascii="Cambria Math"/>
          <w:i/>
          <w:position w:val="1"/>
          <w:sz w:val="19"/>
        </w:rPr>
        <w:t>AC</w:t>
      </w:r>
      <w:r>
        <w:rPr>
          <w:rFonts w:ascii="Cambria Math"/>
          <w:i/>
          <w:spacing w:val="-7"/>
          <w:position w:val="1"/>
          <w:sz w:val="19"/>
        </w:rPr>
        <w:t xml:space="preserve"> </w:t>
      </w:r>
      <w:r>
        <w:rPr>
          <w:rFonts w:ascii="Cambria Math"/>
          <w:i/>
          <w:position w:val="1"/>
          <w:sz w:val="19"/>
        </w:rPr>
        <w:t>unit</w:t>
      </w:r>
      <w:r>
        <w:rPr>
          <w:rFonts w:ascii="Cambria Math"/>
          <w:i/>
          <w:spacing w:val="-6"/>
          <w:position w:val="1"/>
          <w:sz w:val="19"/>
        </w:rPr>
        <w:t xml:space="preserve"> </w:t>
      </w:r>
      <w:r>
        <w:rPr>
          <w:rFonts w:ascii="Cambria Math"/>
          <w:i/>
          <w:position w:val="1"/>
          <w:sz w:val="19"/>
        </w:rPr>
        <w:t>(CEER)</w:t>
      </w:r>
    </w:p>
    <w:p w14:paraId="27DE148C" w14:textId="62E0660B" w:rsidR="006E1BB2" w:rsidRDefault="007221B2" w:rsidP="00E4372A">
      <w:pPr>
        <w:tabs>
          <w:tab w:val="left" w:pos="2732"/>
        </w:tabs>
        <w:spacing w:line="271" w:lineRule="auto"/>
        <w:ind w:left="1560" w:right="2770"/>
        <w:rPr>
          <w:rFonts w:ascii="Cambria Math"/>
          <w:i/>
          <w:sz w:val="19"/>
        </w:rPr>
      </w:pPr>
      <w:r>
        <w:rPr>
          <w:rFonts w:ascii="Cambria Math"/>
          <w:i/>
          <w:position w:val="1"/>
          <w:sz w:val="19"/>
        </w:rPr>
        <w:t>CEER</w:t>
      </w:r>
      <w:r>
        <w:rPr>
          <w:rFonts w:ascii="Cambria Math"/>
          <w:i/>
          <w:sz w:val="12"/>
        </w:rPr>
        <w:t>ES+10%</w:t>
      </w:r>
      <w:proofErr w:type="gramStart"/>
      <w:r>
        <w:rPr>
          <w:rFonts w:ascii="Cambria Math"/>
          <w:i/>
          <w:position w:val="1"/>
          <w:sz w:val="19"/>
        </w:rPr>
        <w:t>=</w:t>
      </w:r>
      <w:r>
        <w:rPr>
          <w:rFonts w:ascii="Cambria Math"/>
          <w:i/>
          <w:spacing w:val="25"/>
          <w:position w:val="1"/>
          <w:sz w:val="19"/>
        </w:rPr>
        <w:t xml:space="preserve"> </w:t>
      </w:r>
      <w:r w:rsidR="00E4372A">
        <w:rPr>
          <w:rFonts w:ascii="Cambria Math"/>
          <w:i/>
          <w:spacing w:val="25"/>
          <w:position w:val="1"/>
          <w:sz w:val="19"/>
        </w:rPr>
        <w:t xml:space="preserve"> </w:t>
      </w:r>
      <w:r>
        <w:rPr>
          <w:rFonts w:ascii="Cambria Math"/>
          <w:i/>
          <w:position w:val="1"/>
          <w:sz w:val="19"/>
        </w:rPr>
        <w:t>Efficiency</w:t>
      </w:r>
      <w:proofErr w:type="gramEnd"/>
      <w:r>
        <w:rPr>
          <w:rFonts w:ascii="Cambria Math"/>
          <w:i/>
          <w:spacing w:val="-27"/>
          <w:position w:val="1"/>
          <w:sz w:val="19"/>
        </w:rPr>
        <w:t xml:space="preserve"> </w:t>
      </w:r>
      <w:r>
        <w:rPr>
          <w:rFonts w:ascii="Cambria Math"/>
          <w:i/>
          <w:position w:val="1"/>
          <w:sz w:val="19"/>
        </w:rPr>
        <w:t>of</w:t>
      </w:r>
      <w:r>
        <w:rPr>
          <w:rFonts w:ascii="Cambria Math"/>
          <w:i/>
          <w:spacing w:val="-27"/>
          <w:position w:val="1"/>
          <w:sz w:val="19"/>
        </w:rPr>
        <w:t xml:space="preserve"> </w:t>
      </w:r>
      <w:r>
        <w:rPr>
          <w:rFonts w:ascii="Cambria Math"/>
          <w:i/>
          <w:position w:val="1"/>
          <w:sz w:val="19"/>
        </w:rPr>
        <w:t>an</w:t>
      </w:r>
      <w:r>
        <w:rPr>
          <w:rFonts w:ascii="Cambria Math"/>
          <w:i/>
          <w:spacing w:val="-26"/>
          <w:position w:val="1"/>
          <w:sz w:val="19"/>
        </w:rPr>
        <w:t xml:space="preserve"> </w:t>
      </w:r>
      <w:r>
        <w:rPr>
          <w:rFonts w:ascii="Cambria Math"/>
          <w:i/>
          <w:position w:val="1"/>
          <w:sz w:val="19"/>
        </w:rPr>
        <w:t>advanced</w:t>
      </w:r>
      <w:r>
        <w:rPr>
          <w:rFonts w:ascii="Cambria Math"/>
          <w:i/>
          <w:spacing w:val="-25"/>
          <w:position w:val="1"/>
          <w:sz w:val="19"/>
        </w:rPr>
        <w:t xml:space="preserve"> </w:t>
      </w:r>
      <w:r>
        <w:rPr>
          <w:rFonts w:ascii="Cambria Math"/>
          <w:i/>
          <w:position w:val="1"/>
          <w:sz w:val="19"/>
        </w:rPr>
        <w:t>tier</w:t>
      </w:r>
      <w:r>
        <w:rPr>
          <w:rFonts w:ascii="Cambria Math"/>
          <w:i/>
          <w:spacing w:val="-25"/>
          <w:position w:val="1"/>
          <w:sz w:val="19"/>
        </w:rPr>
        <w:t xml:space="preserve"> </w:t>
      </w:r>
      <w:r>
        <w:rPr>
          <w:rFonts w:ascii="Cambria Math"/>
          <w:i/>
          <w:position w:val="1"/>
          <w:sz w:val="19"/>
        </w:rPr>
        <w:t>room</w:t>
      </w:r>
      <w:r>
        <w:rPr>
          <w:rFonts w:ascii="Cambria Math"/>
          <w:i/>
          <w:spacing w:val="-25"/>
          <w:position w:val="1"/>
          <w:sz w:val="19"/>
        </w:rPr>
        <w:t xml:space="preserve"> </w:t>
      </w:r>
      <w:r>
        <w:rPr>
          <w:rFonts w:ascii="Cambria Math"/>
          <w:i/>
          <w:position w:val="1"/>
          <w:sz w:val="19"/>
        </w:rPr>
        <w:t>AC</w:t>
      </w:r>
      <w:r>
        <w:rPr>
          <w:rFonts w:ascii="Cambria Math"/>
          <w:i/>
          <w:spacing w:val="-26"/>
          <w:position w:val="1"/>
          <w:sz w:val="19"/>
        </w:rPr>
        <w:t xml:space="preserve"> </w:t>
      </w:r>
      <w:r>
        <w:rPr>
          <w:rFonts w:ascii="Cambria Math"/>
          <w:i/>
          <w:position w:val="1"/>
          <w:sz w:val="19"/>
        </w:rPr>
        <w:t>unit</w:t>
      </w:r>
      <w:r>
        <w:rPr>
          <w:rFonts w:ascii="Cambria Math"/>
          <w:i/>
          <w:spacing w:val="-26"/>
          <w:position w:val="1"/>
          <w:sz w:val="19"/>
        </w:rPr>
        <w:t xml:space="preserve"> </w:t>
      </w:r>
      <w:r>
        <w:rPr>
          <w:rFonts w:ascii="Cambria Math"/>
          <w:i/>
          <w:position w:val="1"/>
          <w:sz w:val="19"/>
        </w:rPr>
        <w:t>(CEER) CEER</w:t>
      </w:r>
      <w:r>
        <w:rPr>
          <w:rFonts w:ascii="Cambria Math"/>
          <w:i/>
          <w:sz w:val="12"/>
        </w:rPr>
        <w:t>ES</w:t>
      </w:r>
      <w:r>
        <w:rPr>
          <w:rFonts w:ascii="Cambria Math"/>
          <w:i/>
          <w:spacing w:val="-8"/>
          <w:sz w:val="12"/>
        </w:rPr>
        <w:t xml:space="preserve"> </w:t>
      </w:r>
      <w:r>
        <w:rPr>
          <w:rFonts w:ascii="Cambria Math"/>
          <w:i/>
          <w:position w:val="1"/>
          <w:sz w:val="19"/>
        </w:rPr>
        <w:t>=</w:t>
      </w:r>
      <w:r>
        <w:rPr>
          <w:rFonts w:ascii="Cambria Math"/>
          <w:i/>
          <w:position w:val="1"/>
          <w:sz w:val="19"/>
        </w:rPr>
        <w:tab/>
        <w:t>Efficiency</w:t>
      </w:r>
      <w:r>
        <w:rPr>
          <w:rFonts w:ascii="Cambria Math"/>
          <w:i/>
          <w:spacing w:val="-15"/>
          <w:position w:val="1"/>
          <w:sz w:val="19"/>
        </w:rPr>
        <w:t xml:space="preserve"> </w:t>
      </w:r>
      <w:r>
        <w:rPr>
          <w:rFonts w:ascii="Cambria Math"/>
          <w:i/>
          <w:position w:val="1"/>
          <w:sz w:val="19"/>
        </w:rPr>
        <w:t>of</w:t>
      </w:r>
      <w:r>
        <w:rPr>
          <w:rFonts w:ascii="Cambria Math"/>
          <w:i/>
          <w:spacing w:val="-15"/>
          <w:position w:val="1"/>
          <w:sz w:val="19"/>
        </w:rPr>
        <w:t xml:space="preserve"> </w:t>
      </w:r>
      <w:r>
        <w:rPr>
          <w:rFonts w:ascii="Cambria Math"/>
          <w:i/>
          <w:position w:val="1"/>
          <w:sz w:val="19"/>
        </w:rPr>
        <w:t>a</w:t>
      </w:r>
      <w:r>
        <w:rPr>
          <w:rFonts w:ascii="Cambria Math"/>
          <w:i/>
          <w:spacing w:val="-13"/>
          <w:position w:val="1"/>
          <w:sz w:val="19"/>
        </w:rPr>
        <w:t xml:space="preserve"> </w:t>
      </w:r>
      <w:r>
        <w:rPr>
          <w:rFonts w:ascii="Cambria Math"/>
          <w:i/>
          <w:position w:val="1"/>
          <w:sz w:val="19"/>
        </w:rPr>
        <w:t>basic</w:t>
      </w:r>
      <w:r>
        <w:rPr>
          <w:rFonts w:ascii="Cambria Math"/>
          <w:i/>
          <w:spacing w:val="-14"/>
          <w:position w:val="1"/>
          <w:sz w:val="19"/>
        </w:rPr>
        <w:t xml:space="preserve"> </w:t>
      </w:r>
      <w:r>
        <w:rPr>
          <w:rFonts w:ascii="Cambria Math"/>
          <w:i/>
          <w:position w:val="1"/>
          <w:sz w:val="19"/>
        </w:rPr>
        <w:t>tier</w:t>
      </w:r>
      <w:r>
        <w:rPr>
          <w:rFonts w:ascii="Cambria Math"/>
          <w:i/>
          <w:spacing w:val="-12"/>
          <w:position w:val="1"/>
          <w:sz w:val="19"/>
        </w:rPr>
        <w:t xml:space="preserve"> </w:t>
      </w:r>
      <w:r>
        <w:rPr>
          <w:rFonts w:ascii="Cambria Math"/>
          <w:i/>
          <w:position w:val="1"/>
          <w:sz w:val="19"/>
        </w:rPr>
        <w:t>room</w:t>
      </w:r>
      <w:r>
        <w:rPr>
          <w:rFonts w:ascii="Cambria Math"/>
          <w:i/>
          <w:spacing w:val="-12"/>
          <w:position w:val="1"/>
          <w:sz w:val="19"/>
        </w:rPr>
        <w:t xml:space="preserve"> </w:t>
      </w:r>
      <w:r>
        <w:rPr>
          <w:rFonts w:ascii="Cambria Math"/>
          <w:i/>
          <w:position w:val="1"/>
          <w:sz w:val="19"/>
        </w:rPr>
        <w:t>AC</w:t>
      </w:r>
      <w:r>
        <w:rPr>
          <w:rFonts w:ascii="Cambria Math"/>
          <w:i/>
          <w:spacing w:val="-14"/>
          <w:position w:val="1"/>
          <w:sz w:val="19"/>
        </w:rPr>
        <w:t xml:space="preserve"> </w:t>
      </w:r>
      <w:r>
        <w:rPr>
          <w:rFonts w:ascii="Cambria Math"/>
          <w:i/>
          <w:position w:val="1"/>
          <w:sz w:val="19"/>
        </w:rPr>
        <w:t>unit</w:t>
      </w:r>
      <w:r>
        <w:rPr>
          <w:rFonts w:ascii="Cambria Math"/>
          <w:i/>
          <w:spacing w:val="-14"/>
          <w:position w:val="1"/>
          <w:sz w:val="19"/>
        </w:rPr>
        <w:t xml:space="preserve"> </w:t>
      </w:r>
      <w:r>
        <w:rPr>
          <w:rFonts w:ascii="Cambria Math"/>
          <w:i/>
          <w:position w:val="1"/>
          <w:sz w:val="19"/>
        </w:rPr>
        <w:t>(CEER)</w:t>
      </w:r>
    </w:p>
    <w:p w14:paraId="0DC6FE8D" w14:textId="77777777" w:rsidR="006E1BB2" w:rsidRDefault="006E1BB2">
      <w:pPr>
        <w:pStyle w:val="BodyText"/>
        <w:rPr>
          <w:rFonts w:ascii="Cambria Math"/>
          <w:i/>
          <w:sz w:val="18"/>
        </w:rPr>
      </w:pPr>
    </w:p>
    <w:p w14:paraId="262029D6" w14:textId="77777777" w:rsidR="006E1BB2" w:rsidRDefault="006E1BB2">
      <w:pPr>
        <w:pStyle w:val="BodyText"/>
        <w:spacing w:before="4"/>
        <w:rPr>
          <w:rFonts w:ascii="Cambria Math"/>
          <w:i/>
          <w:sz w:val="26"/>
        </w:rPr>
      </w:pPr>
    </w:p>
    <w:p w14:paraId="3AF1BC93" w14:textId="77777777" w:rsidR="006E1BB2" w:rsidRDefault="007221B2">
      <w:pPr>
        <w:pStyle w:val="Heading1"/>
      </w:pPr>
      <w:bookmarkStart w:id="13" w:name="_TOC_250010"/>
      <w:bookmarkEnd w:id="13"/>
      <w:r>
        <w:rPr>
          <w:color w:val="CFAB79"/>
        </w:rPr>
        <w:t>GAS SAVINGS (THERMS)</w:t>
      </w:r>
    </w:p>
    <w:p w14:paraId="66DC3854" w14:textId="77777777" w:rsidR="006E1BB2" w:rsidRDefault="007221B2">
      <w:pPr>
        <w:pStyle w:val="BodyText"/>
        <w:spacing w:before="115"/>
        <w:ind w:left="120"/>
      </w:pPr>
      <w:r>
        <w:t>Not applicable.</w:t>
      </w:r>
    </w:p>
    <w:p w14:paraId="2969E20F" w14:textId="77777777" w:rsidR="006E1BB2" w:rsidRDefault="006E1BB2">
      <w:pPr>
        <w:pStyle w:val="BodyText"/>
      </w:pPr>
    </w:p>
    <w:p w14:paraId="5E12105F" w14:textId="77777777" w:rsidR="006E1BB2" w:rsidRDefault="006E1BB2">
      <w:pPr>
        <w:pStyle w:val="BodyText"/>
        <w:spacing w:before="6"/>
        <w:rPr>
          <w:sz w:val="20"/>
        </w:rPr>
      </w:pPr>
    </w:p>
    <w:p w14:paraId="760AEBD1" w14:textId="77777777" w:rsidR="006E1BB2" w:rsidRDefault="007221B2">
      <w:pPr>
        <w:pStyle w:val="Heading1"/>
      </w:pPr>
      <w:bookmarkStart w:id="14" w:name="_TOC_250009"/>
      <w:bookmarkEnd w:id="14"/>
      <w:r>
        <w:rPr>
          <w:color w:val="CFAB79"/>
        </w:rPr>
        <w:t>LIFE CYCLE</w:t>
      </w:r>
    </w:p>
    <w:p w14:paraId="1C05B2EE" w14:textId="77777777" w:rsidR="006E1BB2" w:rsidRDefault="007221B2">
      <w:pPr>
        <w:pStyle w:val="BodyText"/>
        <w:spacing w:before="115"/>
        <w:ind w:left="120" w:right="233"/>
      </w:pPr>
      <w:r>
        <w:t xml:space="preserve">Effective Useful Life (EUL) is an estimate of the median number of years that a measure installed through a program is still in place and operable. EUL is often, but not always, derived from measure persistence or retention studies. Remaining Useful Life (RUL) is an estimate of the median number of years that a technology or piece of equipment replaced or altered by an energy efficiency program would have remained in service and operational had the program intervention </w:t>
      </w:r>
      <w:proofErr w:type="gramStart"/>
      <w:r>
        <w:t>not caused</w:t>
      </w:r>
      <w:proofErr w:type="gramEnd"/>
      <w:r>
        <w:t xml:space="preserve"> the replacement or alteration.</w:t>
      </w:r>
    </w:p>
    <w:p w14:paraId="21AE0DA2" w14:textId="77777777" w:rsidR="006E1BB2" w:rsidRDefault="007221B2">
      <w:pPr>
        <w:pStyle w:val="BodyText"/>
        <w:spacing w:before="122"/>
        <w:ind w:left="120" w:right="741"/>
      </w:pPr>
      <w:r>
        <w:t>The EUL and RUL specified for a room air conditioner (AC) are specified below. Note that RUL is only applicable for add-on and accelerated replacement measures and not applicable for this measure.</w:t>
      </w:r>
    </w:p>
    <w:p w14:paraId="2D4DCA08" w14:textId="77777777" w:rsidR="006E1BB2" w:rsidRDefault="007221B2">
      <w:pPr>
        <w:pStyle w:val="BodyText"/>
        <w:spacing w:before="121"/>
        <w:ind w:left="120" w:right="485"/>
      </w:pPr>
      <w:r>
        <w:t>Note that the original source for the estimated lifetime of a room AC unit was adopted in the Database for Energy Efficient Resources 2008 update, with the original source noted as “Appliance Magazine.” Documentation for this EUL has not been located or is no longer available.</w:t>
      </w:r>
    </w:p>
    <w:p w14:paraId="1C4C6801" w14:textId="77777777" w:rsidR="006E1BB2" w:rsidRDefault="006E1BB2">
      <w:pPr>
        <w:sectPr w:rsidR="006E1BB2">
          <w:type w:val="continuous"/>
          <w:pgSz w:w="12240" w:h="15840"/>
          <w:pgMar w:top="1220" w:right="1220" w:bottom="1320" w:left="1320" w:header="720" w:footer="720" w:gutter="0"/>
          <w:cols w:space="720"/>
        </w:sectPr>
      </w:pPr>
    </w:p>
    <w:p w14:paraId="3A3EB2B3" w14:textId="77777777" w:rsidR="006E1BB2" w:rsidRDefault="006E1BB2">
      <w:pPr>
        <w:pStyle w:val="BodyText"/>
        <w:spacing w:before="10"/>
        <w:rPr>
          <w:sz w:val="19"/>
        </w:rPr>
      </w:pPr>
    </w:p>
    <w:p w14:paraId="125A49AF" w14:textId="77777777" w:rsidR="006E1BB2" w:rsidRDefault="007221B2">
      <w:pPr>
        <w:pStyle w:val="BodyText"/>
        <w:spacing w:before="57"/>
        <w:ind w:left="120"/>
      </w:pPr>
      <w:r>
        <w:t>Effective Useful Life and Remaining Useful Life</w:t>
      </w:r>
    </w:p>
    <w:p w14:paraId="2CC96B15" w14:textId="77777777" w:rsidR="006E1BB2" w:rsidRDefault="006E1BB2">
      <w:pPr>
        <w:pStyle w:val="BodyText"/>
        <w:spacing w:before="9"/>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46"/>
        <w:gridCol w:w="1349"/>
        <w:gridCol w:w="5852"/>
      </w:tblGrid>
      <w:tr w:rsidR="006E1BB2" w14:paraId="555F68FF" w14:textId="77777777">
        <w:trPr>
          <w:trHeight w:val="282"/>
        </w:trPr>
        <w:tc>
          <w:tcPr>
            <w:tcW w:w="2246" w:type="dxa"/>
            <w:shd w:val="clear" w:color="auto" w:fill="F1F1F1"/>
          </w:tcPr>
          <w:p w14:paraId="461DDA6C" w14:textId="77777777" w:rsidR="006E1BB2" w:rsidRDefault="007221B2">
            <w:pPr>
              <w:pStyle w:val="TableParagraph"/>
              <w:spacing w:line="242" w:lineRule="exact"/>
              <w:ind w:left="705"/>
              <w:rPr>
                <w:sz w:val="20"/>
              </w:rPr>
            </w:pPr>
            <w:r>
              <w:rPr>
                <w:sz w:val="20"/>
              </w:rPr>
              <w:t>Parameter</w:t>
            </w:r>
          </w:p>
        </w:tc>
        <w:tc>
          <w:tcPr>
            <w:tcW w:w="1349" w:type="dxa"/>
            <w:shd w:val="clear" w:color="auto" w:fill="F1F1F1"/>
          </w:tcPr>
          <w:p w14:paraId="02513A41" w14:textId="77777777" w:rsidR="006E1BB2" w:rsidRDefault="007221B2">
            <w:pPr>
              <w:pStyle w:val="TableParagraph"/>
              <w:spacing w:line="242" w:lineRule="exact"/>
              <w:ind w:left="426" w:right="420"/>
              <w:jc w:val="center"/>
              <w:rPr>
                <w:sz w:val="20"/>
              </w:rPr>
            </w:pPr>
            <w:r>
              <w:rPr>
                <w:sz w:val="20"/>
              </w:rPr>
              <w:t>Value</w:t>
            </w:r>
          </w:p>
        </w:tc>
        <w:tc>
          <w:tcPr>
            <w:tcW w:w="5852" w:type="dxa"/>
            <w:shd w:val="clear" w:color="auto" w:fill="F1F1F1"/>
          </w:tcPr>
          <w:p w14:paraId="01347B00" w14:textId="77777777" w:rsidR="006E1BB2" w:rsidRDefault="007221B2">
            <w:pPr>
              <w:pStyle w:val="TableParagraph"/>
              <w:spacing w:line="242" w:lineRule="exact"/>
              <w:ind w:left="2629" w:right="2621"/>
              <w:jc w:val="center"/>
              <w:rPr>
                <w:sz w:val="20"/>
              </w:rPr>
            </w:pPr>
            <w:r>
              <w:rPr>
                <w:sz w:val="20"/>
              </w:rPr>
              <w:t>Source</w:t>
            </w:r>
          </w:p>
        </w:tc>
      </w:tr>
      <w:tr w:rsidR="006E1BB2" w14:paraId="07E66F93" w14:textId="77777777">
        <w:trPr>
          <w:trHeight w:val="501"/>
        </w:trPr>
        <w:tc>
          <w:tcPr>
            <w:tcW w:w="2246" w:type="dxa"/>
          </w:tcPr>
          <w:p w14:paraId="484BDFBD" w14:textId="77777777" w:rsidR="006E1BB2" w:rsidRDefault="007221B2">
            <w:pPr>
              <w:pStyle w:val="TableParagraph"/>
              <w:spacing w:before="128"/>
              <w:ind w:left="107"/>
              <w:rPr>
                <w:sz w:val="20"/>
              </w:rPr>
            </w:pPr>
            <w:r>
              <w:rPr>
                <w:sz w:val="20"/>
              </w:rPr>
              <w:t>EUL (</w:t>
            </w:r>
            <w:proofErr w:type="spellStart"/>
            <w:r>
              <w:rPr>
                <w:sz w:val="20"/>
              </w:rPr>
              <w:t>yrs</w:t>
            </w:r>
            <w:proofErr w:type="spellEnd"/>
            <w:r>
              <w:rPr>
                <w:sz w:val="20"/>
              </w:rPr>
              <w:t>)</w:t>
            </w:r>
          </w:p>
        </w:tc>
        <w:tc>
          <w:tcPr>
            <w:tcW w:w="1349" w:type="dxa"/>
          </w:tcPr>
          <w:p w14:paraId="21D32BFB" w14:textId="77777777" w:rsidR="006E1BB2" w:rsidRDefault="007221B2">
            <w:pPr>
              <w:pStyle w:val="TableParagraph"/>
              <w:spacing w:before="128"/>
              <w:ind w:left="421" w:right="420"/>
              <w:jc w:val="center"/>
              <w:rPr>
                <w:sz w:val="20"/>
              </w:rPr>
            </w:pPr>
            <w:r>
              <w:rPr>
                <w:sz w:val="20"/>
              </w:rPr>
              <w:t>9.0</w:t>
            </w:r>
          </w:p>
        </w:tc>
        <w:tc>
          <w:tcPr>
            <w:tcW w:w="5852" w:type="dxa"/>
          </w:tcPr>
          <w:p w14:paraId="3D4AF940" w14:textId="77777777" w:rsidR="006E1BB2" w:rsidRDefault="007221B2">
            <w:pPr>
              <w:pStyle w:val="TableParagraph"/>
              <w:ind w:left="108"/>
              <w:rPr>
                <w:sz w:val="18"/>
              </w:rPr>
            </w:pPr>
            <w:r>
              <w:rPr>
                <w:sz w:val="18"/>
              </w:rPr>
              <w:t>Appliance Magazine 1998. “Portrait of the U.S. Appliance Industry.”</w:t>
            </w:r>
          </w:p>
          <w:p w14:paraId="0048E784" w14:textId="77777777" w:rsidR="006E1BB2" w:rsidRDefault="007221B2">
            <w:pPr>
              <w:pStyle w:val="TableParagraph"/>
              <w:spacing w:before="23" w:line="218" w:lineRule="exact"/>
              <w:ind w:left="108"/>
              <w:rPr>
                <w:sz w:val="18"/>
              </w:rPr>
            </w:pPr>
            <w:r>
              <w:rPr>
                <w:sz w:val="18"/>
              </w:rPr>
              <w:t>This reference has not been located or is no longer available.</w:t>
            </w:r>
          </w:p>
        </w:tc>
      </w:tr>
      <w:tr w:rsidR="006E1BB2" w14:paraId="6B11CD4F" w14:textId="77777777">
        <w:trPr>
          <w:trHeight w:val="282"/>
        </w:trPr>
        <w:tc>
          <w:tcPr>
            <w:tcW w:w="2246" w:type="dxa"/>
          </w:tcPr>
          <w:p w14:paraId="2E530BDC" w14:textId="77777777" w:rsidR="006E1BB2" w:rsidRDefault="007221B2">
            <w:pPr>
              <w:pStyle w:val="TableParagraph"/>
              <w:spacing w:line="242" w:lineRule="exact"/>
              <w:ind w:left="107"/>
              <w:rPr>
                <w:sz w:val="20"/>
              </w:rPr>
            </w:pPr>
            <w:r>
              <w:rPr>
                <w:sz w:val="20"/>
              </w:rPr>
              <w:t>RUL (</w:t>
            </w:r>
            <w:proofErr w:type="spellStart"/>
            <w:r>
              <w:rPr>
                <w:sz w:val="20"/>
              </w:rPr>
              <w:t>yrs</w:t>
            </w:r>
            <w:proofErr w:type="spellEnd"/>
            <w:r>
              <w:rPr>
                <w:sz w:val="20"/>
              </w:rPr>
              <w:t>)</w:t>
            </w:r>
          </w:p>
        </w:tc>
        <w:tc>
          <w:tcPr>
            <w:tcW w:w="1349" w:type="dxa"/>
          </w:tcPr>
          <w:p w14:paraId="42FAB447" w14:textId="77777777" w:rsidR="006E1BB2" w:rsidRDefault="007221B2">
            <w:pPr>
              <w:pStyle w:val="TableParagraph"/>
              <w:spacing w:line="242" w:lineRule="exact"/>
              <w:ind w:left="422" w:right="420"/>
              <w:jc w:val="center"/>
              <w:rPr>
                <w:sz w:val="20"/>
              </w:rPr>
            </w:pPr>
            <w:r>
              <w:rPr>
                <w:sz w:val="20"/>
              </w:rPr>
              <w:t>n/a</w:t>
            </w:r>
          </w:p>
        </w:tc>
        <w:tc>
          <w:tcPr>
            <w:tcW w:w="5852" w:type="dxa"/>
          </w:tcPr>
          <w:p w14:paraId="26E2EFAF" w14:textId="77777777" w:rsidR="006E1BB2" w:rsidRDefault="007221B2">
            <w:pPr>
              <w:pStyle w:val="TableParagraph"/>
              <w:ind w:left="108"/>
              <w:rPr>
                <w:sz w:val="18"/>
              </w:rPr>
            </w:pPr>
            <w:r>
              <w:rPr>
                <w:sz w:val="18"/>
              </w:rPr>
              <w:t>-</w:t>
            </w:r>
          </w:p>
        </w:tc>
      </w:tr>
    </w:tbl>
    <w:p w14:paraId="24FE4D81" w14:textId="77777777" w:rsidR="006E1BB2" w:rsidRDefault="006E1BB2">
      <w:pPr>
        <w:pStyle w:val="BodyText"/>
      </w:pPr>
    </w:p>
    <w:p w14:paraId="4AF026CE" w14:textId="77777777" w:rsidR="006E1BB2" w:rsidRDefault="006E1BB2">
      <w:pPr>
        <w:pStyle w:val="BodyText"/>
        <w:spacing w:before="7"/>
        <w:rPr>
          <w:sz w:val="20"/>
        </w:rPr>
      </w:pPr>
    </w:p>
    <w:p w14:paraId="7A0D779C" w14:textId="77777777" w:rsidR="006E1BB2" w:rsidRDefault="007221B2">
      <w:pPr>
        <w:pStyle w:val="Heading1"/>
        <w:spacing w:before="1"/>
      </w:pPr>
      <w:bookmarkStart w:id="15" w:name="_TOC_250008"/>
      <w:bookmarkEnd w:id="15"/>
      <w:r>
        <w:rPr>
          <w:color w:val="CFAB79"/>
        </w:rPr>
        <w:t>BASE CASE MATERIAL COST ($/UNIT)</w:t>
      </w:r>
    </w:p>
    <w:p w14:paraId="71B2A683" w14:textId="77777777" w:rsidR="006E1BB2" w:rsidRDefault="007221B2">
      <w:pPr>
        <w:spacing w:before="114"/>
        <w:ind w:left="120"/>
      </w:pPr>
      <w:r>
        <w:t xml:space="preserve">The base case material cost for equipment </w:t>
      </w:r>
      <w:r>
        <w:rPr>
          <w:i/>
        </w:rPr>
        <w:t xml:space="preserve">delivered via direct install </w:t>
      </w:r>
      <w:r>
        <w:t>is equal to $0.</w:t>
      </w:r>
    </w:p>
    <w:p w14:paraId="6DAADFC1" w14:textId="77777777" w:rsidR="006E1BB2" w:rsidRDefault="007221B2">
      <w:pPr>
        <w:pStyle w:val="BodyText"/>
        <w:spacing w:before="121"/>
        <w:ind w:left="120" w:right="257"/>
      </w:pPr>
      <w:r>
        <w:t xml:space="preserve">The estimation of the base case material cost for </w:t>
      </w:r>
      <w:r>
        <w:rPr>
          <w:i/>
        </w:rPr>
        <w:t xml:space="preserve">all other delivery types </w:t>
      </w:r>
      <w:r>
        <w:t>follows the approach to estimate measure case costs, as summarized in Measure Case Material Cost.</w:t>
      </w:r>
    </w:p>
    <w:p w14:paraId="4F56EC2B" w14:textId="77777777" w:rsidR="006E1BB2" w:rsidRDefault="006E1BB2">
      <w:pPr>
        <w:pStyle w:val="BodyText"/>
      </w:pPr>
    </w:p>
    <w:p w14:paraId="54AF0D9A" w14:textId="77777777" w:rsidR="006E1BB2" w:rsidRDefault="006E1BB2">
      <w:pPr>
        <w:pStyle w:val="BodyText"/>
        <w:spacing w:before="9"/>
        <w:rPr>
          <w:sz w:val="20"/>
        </w:rPr>
      </w:pPr>
    </w:p>
    <w:p w14:paraId="5AA9C0EF" w14:textId="77777777" w:rsidR="006E1BB2" w:rsidRDefault="007221B2">
      <w:pPr>
        <w:pStyle w:val="Heading1"/>
      </w:pPr>
      <w:bookmarkStart w:id="16" w:name="_TOC_250007"/>
      <w:bookmarkEnd w:id="16"/>
      <w:r>
        <w:rPr>
          <w:color w:val="CFAB79"/>
        </w:rPr>
        <w:t>MEASURE CASE MATERIAL COST ($/UNIT)</w:t>
      </w:r>
    </w:p>
    <w:p w14:paraId="3D5B718F" w14:textId="77777777" w:rsidR="006E1BB2" w:rsidRDefault="007221B2">
      <w:pPr>
        <w:pStyle w:val="BodyText"/>
        <w:spacing w:before="115"/>
        <w:ind w:left="120" w:right="226"/>
      </w:pPr>
      <w:r>
        <w:t xml:space="preserve">Measure case material costs for </w:t>
      </w:r>
      <w:r>
        <w:rPr>
          <w:i/>
        </w:rPr>
        <w:t xml:space="preserve">all delivery types </w:t>
      </w:r>
      <w:r>
        <w:t>were estimated from a hedonic price model that utilized web-scraped (“web harvested”) data from eight online retailers yielded 516 initial product models and approximately 110 initial attributes.</w:t>
      </w:r>
      <w:r>
        <w:rPr>
          <w:vertAlign w:val="superscript"/>
        </w:rPr>
        <w:t>12</w:t>
      </w:r>
    </w:p>
    <w:p w14:paraId="78204187" w14:textId="39D44D91" w:rsidR="006E1BB2" w:rsidRDefault="007221B2">
      <w:pPr>
        <w:pStyle w:val="BodyText"/>
        <w:spacing w:before="118"/>
        <w:ind w:left="120" w:right="317"/>
      </w:pPr>
      <w:r>
        <w:t>Hedonic price models are often used to estimate the contribution of specific characteristics (including energy efficiency) to the product price. This is the method utilized in the 2010-2012 Ex Ante Measure Cost Study</w:t>
      </w:r>
      <w:r>
        <w:rPr>
          <w:vertAlign w:val="superscript"/>
        </w:rPr>
        <w:t>13</w:t>
      </w:r>
      <w:r>
        <w:t xml:space="preserve"> to identify key drivers of price and determine the fraction of price explained by specific variables (such as energy efficiency). As outlined in Young et al.,</w:t>
      </w:r>
      <w:r>
        <w:rPr>
          <w:vertAlign w:val="superscript"/>
        </w:rPr>
        <w:t>14</w:t>
      </w:r>
      <w:r>
        <w:t xml:space="preserve"> the key drivers of cost may be unrelated to energy efficiency. In this modeling approach, the incremental measure cost (IMC) is defined as the fraction of cost difference between the program-qualified (measure case) and base case model that can be attributed to energy efficiency. For example, if the measure is an ENERGY STAR </w:t>
      </w:r>
      <w:r w:rsidR="000A496E">
        <w:t>product and</w:t>
      </w:r>
      <w:r>
        <w:t xml:space="preserve"> the base case is a non-ENERGY STAR product, IMC is defined as the fraction of incremental cost that can be attributed to an ENERGY STAR product. The IMC may be different for various models, and therefore a weighted average is calculated across multiple model-specific IMC values to establish an overall IMC for the product category.</w:t>
      </w:r>
    </w:p>
    <w:p w14:paraId="087EDC4C" w14:textId="77777777" w:rsidR="006E1BB2" w:rsidRDefault="007221B2">
      <w:pPr>
        <w:pStyle w:val="BodyText"/>
        <w:spacing w:before="121"/>
        <w:ind w:left="120" w:right="490"/>
      </w:pPr>
      <w:r>
        <w:t>The results of the hedonic price model indicate that ENERGY STAR-qualified air conditioners are estimated to cost $22 more than non-qualified products. Because the coefficient of the ‘ENERGY STAR’ term in the model was highly statistically significant (p=0.008), the IMC model estimate is accepted (rather than the null hypothesis that the IMC is equal to $0.00).</w:t>
      </w:r>
    </w:p>
    <w:p w14:paraId="05D5F3A7" w14:textId="77777777" w:rsidR="006E1BB2" w:rsidRDefault="006E1BB2">
      <w:pPr>
        <w:pStyle w:val="BodyText"/>
        <w:rPr>
          <w:sz w:val="20"/>
        </w:rPr>
      </w:pPr>
    </w:p>
    <w:p w14:paraId="7BF10F4D" w14:textId="77777777" w:rsidR="006E1BB2" w:rsidRDefault="006E1BB2">
      <w:pPr>
        <w:pStyle w:val="BodyText"/>
        <w:rPr>
          <w:sz w:val="20"/>
        </w:rPr>
      </w:pPr>
    </w:p>
    <w:p w14:paraId="69E501AB" w14:textId="65507BFA" w:rsidR="006E1BB2" w:rsidRDefault="007221B2">
      <w:pPr>
        <w:pStyle w:val="BodyText"/>
        <w:spacing w:before="3"/>
        <w:rPr>
          <w:sz w:val="16"/>
        </w:rPr>
      </w:pPr>
      <w:r>
        <w:rPr>
          <w:noProof/>
        </w:rPr>
        <mc:AlternateContent>
          <mc:Choice Requires="wps">
            <w:drawing>
              <wp:anchor distT="0" distB="0" distL="0" distR="0" simplePos="0" relativeHeight="251665408" behindDoc="1" locked="0" layoutInCell="1" allowOverlap="1" wp14:anchorId="2A65A8AF" wp14:editId="2385F68E">
                <wp:simplePos x="0" y="0"/>
                <wp:positionH relativeFrom="page">
                  <wp:posOffset>914400</wp:posOffset>
                </wp:positionH>
                <wp:positionV relativeFrom="paragraph">
                  <wp:posOffset>156210</wp:posOffset>
                </wp:positionV>
                <wp:extent cx="1829435"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D0153" id="Freeform 3" o:spid="_x0000_s1026" style="position:absolute;margin-left:1in;margin-top:12.3pt;width:144.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" path="m,l2881,e" filled="f" strokeweight=".72pt">
                <v:path arrowok="t" o:connecttype="custom" o:connectlocs="0,0;1829435,0" o:connectangles="0,0"/>
                <w10:wrap type="topAndBottom" anchorx="page"/>
              </v:shape>
            </w:pict>
          </mc:Fallback>
        </mc:AlternateContent>
      </w:r>
    </w:p>
    <w:p w14:paraId="117DF157" w14:textId="77777777" w:rsidR="006E1BB2" w:rsidRDefault="006E1BB2">
      <w:pPr>
        <w:pStyle w:val="BodyText"/>
        <w:rPr>
          <w:sz w:val="20"/>
        </w:rPr>
      </w:pPr>
    </w:p>
    <w:p w14:paraId="27A03F85" w14:textId="77777777" w:rsidR="006E1BB2" w:rsidRDefault="006E1BB2">
      <w:pPr>
        <w:pStyle w:val="BodyText"/>
        <w:spacing w:before="2"/>
        <w:rPr>
          <w:sz w:val="20"/>
        </w:rPr>
      </w:pPr>
    </w:p>
    <w:p w14:paraId="49B18B89" w14:textId="77777777" w:rsidR="006E1BB2" w:rsidRDefault="007221B2">
      <w:pPr>
        <w:spacing w:before="89"/>
        <w:ind w:left="120" w:right="483"/>
        <w:jc w:val="both"/>
        <w:rPr>
          <w:sz w:val="18"/>
        </w:rPr>
      </w:pPr>
      <w:r>
        <w:rPr>
          <w:rFonts w:ascii="Arial"/>
          <w:color w:val="6C666E"/>
          <w:position w:val="6"/>
          <w:sz w:val="11"/>
        </w:rPr>
        <w:t xml:space="preserve">12 </w:t>
      </w:r>
      <w:r>
        <w:rPr>
          <w:color w:val="6C666E"/>
          <w:sz w:val="18"/>
        </w:rPr>
        <w:t>This analysis is part of a broader effort to understand the dynamics between product attributes and price. A web harvesting approach was initially utilized by the Statewide IOU Codes and Standards team to identify key drivers of product costs for LED lamps from 2012-2014 and was presented at the ACEEE Summer Study Conference in 2014.</w:t>
      </w:r>
    </w:p>
    <w:p w14:paraId="3B42E5C7" w14:textId="77777777" w:rsidR="006E1BB2" w:rsidRDefault="007221B2">
      <w:pPr>
        <w:spacing w:before="121"/>
        <w:ind w:left="120" w:right="813"/>
        <w:rPr>
          <w:sz w:val="18"/>
        </w:rPr>
      </w:pPr>
      <w:r>
        <w:rPr>
          <w:position w:val="5"/>
          <w:sz w:val="12"/>
        </w:rPr>
        <w:t xml:space="preserve">13 </w:t>
      </w:r>
      <w:proofErr w:type="spellStart"/>
      <w:r>
        <w:rPr>
          <w:sz w:val="18"/>
        </w:rPr>
        <w:t>Itron</w:t>
      </w:r>
      <w:proofErr w:type="spellEnd"/>
      <w:r>
        <w:rPr>
          <w:sz w:val="18"/>
        </w:rPr>
        <w:t xml:space="preserve">, Inc. 2014. </w:t>
      </w:r>
      <w:r>
        <w:rPr>
          <w:i/>
          <w:sz w:val="18"/>
        </w:rPr>
        <w:t xml:space="preserve">2010-2012 WO017 Ex Ante Measure Cost Study Final Report. </w:t>
      </w:r>
      <w:r>
        <w:rPr>
          <w:sz w:val="18"/>
        </w:rPr>
        <w:t>Prepared for the California Public Utilities Commission.</w:t>
      </w:r>
    </w:p>
    <w:p w14:paraId="1075E96C" w14:textId="77777777" w:rsidR="006E1BB2" w:rsidRDefault="007221B2">
      <w:pPr>
        <w:spacing w:before="119"/>
        <w:ind w:left="120" w:right="327"/>
        <w:rPr>
          <w:sz w:val="18"/>
        </w:rPr>
      </w:pPr>
      <w:r>
        <w:rPr>
          <w:position w:val="5"/>
          <w:sz w:val="12"/>
        </w:rPr>
        <w:t xml:space="preserve">14 </w:t>
      </w:r>
      <w:r>
        <w:rPr>
          <w:sz w:val="18"/>
        </w:rPr>
        <w:t xml:space="preserve">Young, D., M. </w:t>
      </w:r>
      <w:proofErr w:type="spellStart"/>
      <w:r>
        <w:rPr>
          <w:sz w:val="18"/>
        </w:rPr>
        <w:t>McGaraghan</w:t>
      </w:r>
      <w:proofErr w:type="spellEnd"/>
      <w:r>
        <w:rPr>
          <w:sz w:val="18"/>
        </w:rPr>
        <w:t xml:space="preserve">, N. </w:t>
      </w:r>
      <w:proofErr w:type="spellStart"/>
      <w:r>
        <w:rPr>
          <w:sz w:val="18"/>
        </w:rPr>
        <w:t>Dewart</w:t>
      </w:r>
      <w:proofErr w:type="spellEnd"/>
      <w:r>
        <w:rPr>
          <w:sz w:val="18"/>
        </w:rPr>
        <w:t xml:space="preserve">, D. Hopper, P. </w:t>
      </w:r>
      <w:proofErr w:type="spellStart"/>
      <w:r>
        <w:rPr>
          <w:sz w:val="18"/>
        </w:rPr>
        <w:t>Borocz</w:t>
      </w:r>
      <w:proofErr w:type="spellEnd"/>
      <w:r>
        <w:rPr>
          <w:sz w:val="18"/>
        </w:rPr>
        <w:t xml:space="preserve">, F. </w:t>
      </w:r>
      <w:proofErr w:type="spellStart"/>
      <w:r>
        <w:rPr>
          <w:sz w:val="18"/>
        </w:rPr>
        <w:t>Kaser</w:t>
      </w:r>
      <w:proofErr w:type="spellEnd"/>
      <w:r>
        <w:rPr>
          <w:sz w:val="18"/>
        </w:rPr>
        <w:t>, et al. (Energy Solutions). 2014. “Leveraging Big Data to Develop Next Generation Demand Side Management Programs and Energy Regulations.” Proceedings of the 2014 ACEEE Summer Study on Energy Efficiency in Buildings, 11-332. Washington, DC: American Council for an Energy Efficient Economy (ACEEE).</w:t>
      </w:r>
    </w:p>
    <w:p w14:paraId="16889DD1" w14:textId="77777777" w:rsidR="006E1BB2" w:rsidRDefault="006E1BB2">
      <w:pPr>
        <w:rPr>
          <w:sz w:val="18"/>
        </w:rPr>
        <w:sectPr w:rsidR="006E1BB2">
          <w:pgSz w:w="12240" w:h="15840"/>
          <w:pgMar w:top="1220" w:right="1220" w:bottom="1320" w:left="1320" w:header="858" w:footer="1129" w:gutter="0"/>
          <w:cols w:space="720"/>
        </w:sectPr>
      </w:pPr>
    </w:p>
    <w:p w14:paraId="121B1CA4" w14:textId="77777777" w:rsidR="006E1BB2" w:rsidRDefault="006E1BB2">
      <w:pPr>
        <w:pStyle w:val="BodyText"/>
        <w:rPr>
          <w:sz w:val="20"/>
        </w:rPr>
      </w:pPr>
    </w:p>
    <w:p w14:paraId="35267E85" w14:textId="77777777" w:rsidR="006E1BB2" w:rsidRDefault="006E1BB2">
      <w:pPr>
        <w:pStyle w:val="BodyText"/>
        <w:rPr>
          <w:sz w:val="20"/>
        </w:rPr>
      </w:pPr>
    </w:p>
    <w:p w14:paraId="20D07DF9" w14:textId="77777777" w:rsidR="006E1BB2" w:rsidRDefault="007221B2">
      <w:pPr>
        <w:pStyle w:val="Heading1"/>
        <w:spacing w:before="211"/>
      </w:pPr>
      <w:bookmarkStart w:id="17" w:name="_TOC_250006"/>
      <w:bookmarkEnd w:id="17"/>
      <w:r>
        <w:rPr>
          <w:color w:val="CFAB79"/>
        </w:rPr>
        <w:t>BASE CASE LABOR COST ($/UNIT)</w:t>
      </w:r>
    </w:p>
    <w:p w14:paraId="797D8222" w14:textId="77777777" w:rsidR="006E1BB2" w:rsidRDefault="007221B2">
      <w:pPr>
        <w:pStyle w:val="BodyText"/>
        <w:spacing w:before="115"/>
        <w:ind w:left="120" w:right="260" w:firstLine="50"/>
      </w:pPr>
      <w:r>
        <w:t xml:space="preserve">For </w:t>
      </w:r>
      <w:r>
        <w:rPr>
          <w:i/>
        </w:rPr>
        <w:t>all delivery types</w:t>
      </w:r>
      <w:r>
        <w:t>, a high efficiency model does not require additional installation labor compared to a base case model. Since this measure is applicable for normal replacement and new construction installations, the base case and measure case model installation costs are expected to be the same for the customer and thus not estimated for the incremental cost</w:t>
      </w:r>
      <w:r>
        <w:rPr>
          <w:spacing w:val="-8"/>
        </w:rPr>
        <w:t xml:space="preserve"> </w:t>
      </w:r>
      <w:r>
        <w:t>analysis.</w:t>
      </w:r>
    </w:p>
    <w:p w14:paraId="5EF659E5" w14:textId="77777777" w:rsidR="006E1BB2" w:rsidRDefault="006E1BB2">
      <w:pPr>
        <w:pStyle w:val="BodyText"/>
      </w:pPr>
    </w:p>
    <w:p w14:paraId="2BE396A9" w14:textId="77777777" w:rsidR="006E1BB2" w:rsidRDefault="006E1BB2">
      <w:pPr>
        <w:pStyle w:val="BodyText"/>
        <w:spacing w:before="9"/>
        <w:rPr>
          <w:sz w:val="20"/>
        </w:rPr>
      </w:pPr>
    </w:p>
    <w:p w14:paraId="55179D85" w14:textId="77777777" w:rsidR="006E1BB2" w:rsidRDefault="007221B2">
      <w:pPr>
        <w:pStyle w:val="Heading1"/>
      </w:pPr>
      <w:bookmarkStart w:id="18" w:name="_TOC_250005"/>
      <w:bookmarkEnd w:id="18"/>
      <w:r>
        <w:rPr>
          <w:color w:val="CFAB79"/>
        </w:rPr>
        <w:t>MEASURE CASE LABOR COST ($/UNIT)</w:t>
      </w:r>
    </w:p>
    <w:p w14:paraId="0602E624" w14:textId="77777777" w:rsidR="006E1BB2" w:rsidRDefault="007221B2">
      <w:pPr>
        <w:pStyle w:val="BodyText"/>
        <w:spacing w:before="115"/>
        <w:ind w:left="120" w:right="260" w:firstLine="50"/>
      </w:pPr>
      <w:r>
        <w:t xml:space="preserve">For </w:t>
      </w:r>
      <w:r>
        <w:rPr>
          <w:i/>
        </w:rPr>
        <w:t>all delivery types</w:t>
      </w:r>
      <w:r>
        <w:t>, a high efficiency model does not require additional installation labor compared to a base case model. Since this measure is applicable for normal replacement and new construction installations, the base case and measure case model installation costs are expected to be the same for the customer and thus not estimated for the incremental cost</w:t>
      </w:r>
      <w:r>
        <w:rPr>
          <w:spacing w:val="-8"/>
        </w:rPr>
        <w:t xml:space="preserve"> </w:t>
      </w:r>
      <w:r>
        <w:t>analysis.</w:t>
      </w:r>
    </w:p>
    <w:p w14:paraId="384398FE" w14:textId="77777777" w:rsidR="006E1BB2" w:rsidRDefault="006E1BB2">
      <w:pPr>
        <w:pStyle w:val="BodyText"/>
      </w:pPr>
    </w:p>
    <w:p w14:paraId="14511EAB" w14:textId="77777777" w:rsidR="006E1BB2" w:rsidRDefault="006E1BB2">
      <w:pPr>
        <w:pStyle w:val="BodyText"/>
        <w:spacing w:before="8"/>
        <w:rPr>
          <w:sz w:val="20"/>
        </w:rPr>
      </w:pPr>
    </w:p>
    <w:p w14:paraId="07124A29" w14:textId="77777777" w:rsidR="006E1BB2" w:rsidRDefault="007221B2">
      <w:pPr>
        <w:pStyle w:val="Heading1"/>
      </w:pPr>
      <w:bookmarkStart w:id="19" w:name="_TOC_250004"/>
      <w:bookmarkEnd w:id="19"/>
      <w:r>
        <w:rPr>
          <w:color w:val="CFAB79"/>
        </w:rPr>
        <w:t>NET-TO-GROSS (NTG)</w:t>
      </w:r>
    </w:p>
    <w:p w14:paraId="63B3B7AC" w14:textId="77777777" w:rsidR="006E1BB2" w:rsidRDefault="007221B2">
      <w:pPr>
        <w:pStyle w:val="BodyText"/>
        <w:spacing w:before="115"/>
        <w:ind w:left="120" w:right="238"/>
      </w:pPr>
      <w:r>
        <w:t>The net-to-gross (NTG) ratio represents the portion of gross impacts that are determined to be directly attributed to a specific program intervention. According to the disposition by the California Public Utilities Commission (CPUC) Energy Division issued on December 15, 2015, these NTG values were derived from a variety of analyses and are intended to represent short-term (one to two years) program outcomes.</w:t>
      </w:r>
      <w:r>
        <w:rPr>
          <w:vertAlign w:val="superscript"/>
        </w:rPr>
        <w:t>15</w:t>
      </w:r>
    </w:p>
    <w:p w14:paraId="009A24D8" w14:textId="77777777" w:rsidR="006E1BB2" w:rsidRDefault="007221B2">
      <w:pPr>
        <w:pStyle w:val="BodyText"/>
        <w:spacing w:before="121"/>
        <w:ind w:left="120"/>
      </w:pPr>
      <w:r>
        <w:t>Net-to-Gross Ratios</w:t>
      </w:r>
    </w:p>
    <w:p w14:paraId="34842067" w14:textId="77777777" w:rsidR="006E1BB2" w:rsidRDefault="006E1BB2">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346"/>
        <w:gridCol w:w="1260"/>
        <w:gridCol w:w="6840"/>
      </w:tblGrid>
      <w:tr w:rsidR="006E1BB2" w14:paraId="4777541D" w14:textId="77777777">
        <w:trPr>
          <w:trHeight w:val="244"/>
        </w:trPr>
        <w:tc>
          <w:tcPr>
            <w:tcW w:w="1346" w:type="dxa"/>
            <w:shd w:val="clear" w:color="auto" w:fill="F1F1F1"/>
          </w:tcPr>
          <w:p w14:paraId="4BDBD028" w14:textId="77777777" w:rsidR="006E1BB2" w:rsidRDefault="007221B2">
            <w:pPr>
              <w:pStyle w:val="TableParagraph"/>
              <w:spacing w:before="1" w:line="223" w:lineRule="exact"/>
              <w:ind w:left="256"/>
              <w:rPr>
                <w:sz w:val="20"/>
              </w:rPr>
            </w:pPr>
            <w:r>
              <w:rPr>
                <w:sz w:val="20"/>
              </w:rPr>
              <w:t>Parameter</w:t>
            </w:r>
          </w:p>
        </w:tc>
        <w:tc>
          <w:tcPr>
            <w:tcW w:w="1260" w:type="dxa"/>
            <w:shd w:val="clear" w:color="auto" w:fill="F1F1F1"/>
          </w:tcPr>
          <w:p w14:paraId="4ACD7179" w14:textId="77777777" w:rsidR="006E1BB2" w:rsidRDefault="007221B2">
            <w:pPr>
              <w:pStyle w:val="TableParagraph"/>
              <w:spacing w:before="1" w:line="223" w:lineRule="exact"/>
              <w:ind w:left="383" w:right="375"/>
              <w:jc w:val="center"/>
              <w:rPr>
                <w:sz w:val="20"/>
              </w:rPr>
            </w:pPr>
            <w:r>
              <w:rPr>
                <w:sz w:val="20"/>
              </w:rPr>
              <w:t>Value</w:t>
            </w:r>
          </w:p>
        </w:tc>
        <w:tc>
          <w:tcPr>
            <w:tcW w:w="6840" w:type="dxa"/>
            <w:shd w:val="clear" w:color="auto" w:fill="F1F1F1"/>
          </w:tcPr>
          <w:p w14:paraId="46871682" w14:textId="77777777" w:rsidR="006E1BB2" w:rsidRDefault="007221B2">
            <w:pPr>
              <w:pStyle w:val="TableParagraph"/>
              <w:spacing w:before="1" w:line="223" w:lineRule="exact"/>
              <w:ind w:left="3123" w:right="3114"/>
              <w:jc w:val="center"/>
              <w:rPr>
                <w:sz w:val="20"/>
              </w:rPr>
            </w:pPr>
            <w:r>
              <w:rPr>
                <w:sz w:val="20"/>
              </w:rPr>
              <w:t>Source</w:t>
            </w:r>
          </w:p>
        </w:tc>
      </w:tr>
      <w:tr w:rsidR="006E1BB2" w14:paraId="63FA006E" w14:textId="77777777">
        <w:trPr>
          <w:trHeight w:val="438"/>
        </w:trPr>
        <w:tc>
          <w:tcPr>
            <w:tcW w:w="1346" w:type="dxa"/>
          </w:tcPr>
          <w:p w14:paraId="47E2C309" w14:textId="77777777" w:rsidR="006E1BB2" w:rsidRDefault="007221B2">
            <w:pPr>
              <w:pStyle w:val="TableParagraph"/>
              <w:spacing w:before="99"/>
              <w:ind w:left="115"/>
              <w:rPr>
                <w:sz w:val="20"/>
              </w:rPr>
            </w:pPr>
            <w:r>
              <w:rPr>
                <w:sz w:val="20"/>
              </w:rPr>
              <w:t>NTG Ratio</w:t>
            </w:r>
          </w:p>
        </w:tc>
        <w:tc>
          <w:tcPr>
            <w:tcW w:w="1260" w:type="dxa"/>
          </w:tcPr>
          <w:p w14:paraId="61611CB0" w14:textId="77777777" w:rsidR="006E1BB2" w:rsidRDefault="007221B2">
            <w:pPr>
              <w:pStyle w:val="TableParagraph"/>
              <w:spacing w:before="99"/>
              <w:ind w:left="378" w:right="375"/>
              <w:jc w:val="center"/>
              <w:rPr>
                <w:sz w:val="20"/>
              </w:rPr>
            </w:pPr>
            <w:r>
              <w:rPr>
                <w:sz w:val="20"/>
              </w:rPr>
              <w:t>0.36</w:t>
            </w:r>
          </w:p>
        </w:tc>
        <w:tc>
          <w:tcPr>
            <w:tcW w:w="6840" w:type="dxa"/>
          </w:tcPr>
          <w:p w14:paraId="659685C5" w14:textId="77777777" w:rsidR="006E1BB2" w:rsidRDefault="007221B2">
            <w:pPr>
              <w:pStyle w:val="TableParagraph"/>
              <w:spacing w:before="1" w:line="219" w:lineRule="exact"/>
              <w:ind w:left="113"/>
              <w:rPr>
                <w:sz w:val="18"/>
              </w:rPr>
            </w:pPr>
            <w:r>
              <w:rPr>
                <w:sz w:val="18"/>
              </w:rPr>
              <w:t>California Public Utilities Commission (CPUC), Energy Division. 2015. "Workpaper</w:t>
            </w:r>
          </w:p>
          <w:p w14:paraId="5A96BDBE" w14:textId="77777777" w:rsidR="006E1BB2" w:rsidRDefault="007221B2">
            <w:pPr>
              <w:pStyle w:val="TableParagraph"/>
              <w:spacing w:before="0" w:line="199" w:lineRule="exact"/>
              <w:ind w:left="113"/>
              <w:rPr>
                <w:sz w:val="18"/>
              </w:rPr>
            </w:pPr>
            <w:r>
              <w:rPr>
                <w:sz w:val="18"/>
              </w:rPr>
              <w:t>Disposition for PGECOAPP128 Revision 0 Retail Products Platform." December 15. Page 8.</w:t>
            </w:r>
          </w:p>
        </w:tc>
      </w:tr>
    </w:tbl>
    <w:p w14:paraId="08EF7712" w14:textId="77777777" w:rsidR="006E1BB2" w:rsidRDefault="006E1BB2">
      <w:pPr>
        <w:pStyle w:val="BodyText"/>
      </w:pPr>
    </w:p>
    <w:p w14:paraId="65B7B1B9" w14:textId="77777777" w:rsidR="006E1BB2" w:rsidRDefault="006E1BB2">
      <w:pPr>
        <w:pStyle w:val="BodyText"/>
        <w:spacing w:before="8"/>
        <w:rPr>
          <w:sz w:val="20"/>
        </w:rPr>
      </w:pPr>
    </w:p>
    <w:p w14:paraId="5329EB49" w14:textId="77777777" w:rsidR="006E1BB2" w:rsidRDefault="007221B2">
      <w:pPr>
        <w:pStyle w:val="Heading1"/>
      </w:pPr>
      <w:bookmarkStart w:id="20" w:name="_TOC_250003"/>
      <w:bookmarkEnd w:id="20"/>
      <w:r>
        <w:rPr>
          <w:color w:val="CFAB79"/>
        </w:rPr>
        <w:t>GROSS SAVINGS INSTALLATION ADJUSTMENT (GSIA)</w:t>
      </w:r>
    </w:p>
    <w:p w14:paraId="0A342AA3" w14:textId="77777777" w:rsidR="006E1BB2" w:rsidRDefault="007221B2">
      <w:pPr>
        <w:pStyle w:val="BodyText"/>
        <w:spacing w:before="115"/>
        <w:ind w:left="120" w:right="666"/>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w:t>
      </w:r>
    </w:p>
    <w:p w14:paraId="0E545DE6" w14:textId="77777777" w:rsidR="006E1BB2" w:rsidRDefault="007221B2">
      <w:pPr>
        <w:pStyle w:val="BodyText"/>
        <w:spacing w:before="1"/>
        <w:ind w:left="120" w:right="213"/>
      </w:pPr>
      <w:r>
        <w:t>“default” rate specified for measures for which an alternative GSIA has not been estimated and approved. This rate is logical, as consumers do not typically stockpile home appliances or consumer electronics products.</w:t>
      </w:r>
    </w:p>
    <w:p w14:paraId="55A2FA40" w14:textId="77777777" w:rsidR="006E1BB2" w:rsidRDefault="007221B2">
      <w:pPr>
        <w:pStyle w:val="BodyText"/>
        <w:spacing w:before="121"/>
        <w:ind w:left="120"/>
      </w:pPr>
      <w:r>
        <w:t>Gross Savings Installation Adjustment</w:t>
      </w:r>
    </w:p>
    <w:p w14:paraId="68673DD8" w14:textId="77777777" w:rsidR="006E1BB2" w:rsidRDefault="006E1BB2">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335"/>
        <w:gridCol w:w="2160"/>
        <w:gridCol w:w="4952"/>
      </w:tblGrid>
      <w:tr w:rsidR="006E1BB2" w14:paraId="2F0571A6" w14:textId="77777777">
        <w:trPr>
          <w:trHeight w:val="244"/>
        </w:trPr>
        <w:tc>
          <w:tcPr>
            <w:tcW w:w="2335" w:type="dxa"/>
            <w:shd w:val="clear" w:color="auto" w:fill="F1F1F1"/>
          </w:tcPr>
          <w:p w14:paraId="5BBC6414" w14:textId="77777777" w:rsidR="006E1BB2" w:rsidRDefault="007221B2">
            <w:pPr>
              <w:pStyle w:val="TableParagraph"/>
              <w:spacing w:before="1" w:line="223" w:lineRule="exact"/>
              <w:ind w:left="750"/>
              <w:rPr>
                <w:sz w:val="20"/>
              </w:rPr>
            </w:pPr>
            <w:r>
              <w:rPr>
                <w:sz w:val="20"/>
              </w:rPr>
              <w:t>Parameter</w:t>
            </w:r>
          </w:p>
        </w:tc>
        <w:tc>
          <w:tcPr>
            <w:tcW w:w="2160" w:type="dxa"/>
            <w:shd w:val="clear" w:color="auto" w:fill="F1F1F1"/>
          </w:tcPr>
          <w:p w14:paraId="65584096" w14:textId="77777777" w:rsidR="006E1BB2" w:rsidRDefault="007221B2">
            <w:pPr>
              <w:pStyle w:val="TableParagraph"/>
              <w:spacing w:before="1" w:line="223" w:lineRule="exact"/>
              <w:ind w:left="834" w:right="823"/>
              <w:jc w:val="center"/>
              <w:rPr>
                <w:sz w:val="20"/>
              </w:rPr>
            </w:pPr>
            <w:r>
              <w:rPr>
                <w:sz w:val="20"/>
              </w:rPr>
              <w:t>Value</w:t>
            </w:r>
          </w:p>
        </w:tc>
        <w:tc>
          <w:tcPr>
            <w:tcW w:w="4952" w:type="dxa"/>
            <w:shd w:val="clear" w:color="auto" w:fill="F1F1F1"/>
          </w:tcPr>
          <w:p w14:paraId="05B294DC" w14:textId="77777777" w:rsidR="006E1BB2" w:rsidRDefault="007221B2">
            <w:pPr>
              <w:pStyle w:val="TableParagraph"/>
              <w:spacing w:before="1" w:line="223" w:lineRule="exact"/>
              <w:ind w:left="2178" w:right="2172"/>
              <w:jc w:val="center"/>
              <w:rPr>
                <w:sz w:val="20"/>
              </w:rPr>
            </w:pPr>
            <w:r>
              <w:rPr>
                <w:sz w:val="20"/>
              </w:rPr>
              <w:t>Source</w:t>
            </w:r>
          </w:p>
        </w:tc>
      </w:tr>
      <w:tr w:rsidR="006E1BB2" w14:paraId="6AC93FAA" w14:textId="77777777">
        <w:trPr>
          <w:trHeight w:val="439"/>
        </w:trPr>
        <w:tc>
          <w:tcPr>
            <w:tcW w:w="2335" w:type="dxa"/>
          </w:tcPr>
          <w:p w14:paraId="7EE5A9D8" w14:textId="77777777" w:rsidR="006E1BB2" w:rsidRDefault="007221B2">
            <w:pPr>
              <w:pStyle w:val="TableParagraph"/>
              <w:spacing w:before="98"/>
              <w:ind w:left="115"/>
              <w:rPr>
                <w:sz w:val="20"/>
              </w:rPr>
            </w:pPr>
            <w:r>
              <w:rPr>
                <w:sz w:val="20"/>
              </w:rPr>
              <w:t>GSIA</w:t>
            </w:r>
          </w:p>
        </w:tc>
        <w:tc>
          <w:tcPr>
            <w:tcW w:w="2160" w:type="dxa"/>
          </w:tcPr>
          <w:p w14:paraId="4BB1BAAE" w14:textId="77777777" w:rsidR="006E1BB2" w:rsidRDefault="007221B2">
            <w:pPr>
              <w:pStyle w:val="TableParagraph"/>
              <w:spacing w:before="98"/>
              <w:ind w:left="829" w:right="823"/>
              <w:jc w:val="center"/>
              <w:rPr>
                <w:sz w:val="20"/>
              </w:rPr>
            </w:pPr>
            <w:r>
              <w:rPr>
                <w:sz w:val="20"/>
              </w:rPr>
              <w:t>1.0</w:t>
            </w:r>
          </w:p>
        </w:tc>
        <w:tc>
          <w:tcPr>
            <w:tcW w:w="4952" w:type="dxa"/>
          </w:tcPr>
          <w:p w14:paraId="7C537EBF" w14:textId="77777777" w:rsidR="006E1BB2" w:rsidRDefault="007221B2">
            <w:pPr>
              <w:pStyle w:val="TableParagraph"/>
              <w:spacing w:before="0" w:line="219" w:lineRule="exact"/>
              <w:ind w:left="113"/>
              <w:rPr>
                <w:sz w:val="18"/>
              </w:rPr>
            </w:pPr>
            <w:r>
              <w:rPr>
                <w:sz w:val="18"/>
              </w:rPr>
              <w:t>California Public Utilities Commission (CPUC), Energy Division.</w:t>
            </w:r>
          </w:p>
          <w:p w14:paraId="2A3267EA" w14:textId="77777777" w:rsidR="006E1BB2" w:rsidRDefault="007221B2">
            <w:pPr>
              <w:pStyle w:val="TableParagraph"/>
              <w:spacing w:before="1" w:line="199" w:lineRule="exact"/>
              <w:ind w:left="113"/>
              <w:rPr>
                <w:sz w:val="18"/>
              </w:rPr>
            </w:pPr>
            <w:r>
              <w:rPr>
                <w:sz w:val="18"/>
              </w:rPr>
              <w:t xml:space="preserve">2013. </w:t>
            </w:r>
            <w:r>
              <w:rPr>
                <w:i/>
                <w:sz w:val="18"/>
              </w:rPr>
              <w:t>Energy Efficiency Policy Manual Version 5</w:t>
            </w:r>
            <w:r>
              <w:rPr>
                <w:sz w:val="18"/>
              </w:rPr>
              <w:t>. Page 31.</w:t>
            </w:r>
          </w:p>
        </w:tc>
      </w:tr>
    </w:tbl>
    <w:p w14:paraId="459C5DC9" w14:textId="77777777" w:rsidR="006E1BB2" w:rsidRDefault="006E1BB2">
      <w:pPr>
        <w:pStyle w:val="BodyText"/>
        <w:rPr>
          <w:sz w:val="20"/>
        </w:rPr>
      </w:pPr>
    </w:p>
    <w:p w14:paraId="1AC6B9C5" w14:textId="77777777" w:rsidR="006E1BB2" w:rsidRDefault="006E1BB2">
      <w:pPr>
        <w:pStyle w:val="BodyText"/>
        <w:rPr>
          <w:sz w:val="20"/>
        </w:rPr>
      </w:pPr>
    </w:p>
    <w:p w14:paraId="54D1748F" w14:textId="0EF4D276" w:rsidR="006E1BB2" w:rsidRDefault="007221B2">
      <w:pPr>
        <w:pStyle w:val="BodyText"/>
        <w:spacing w:before="1"/>
        <w:rPr>
          <w:sz w:val="21"/>
        </w:rPr>
      </w:pPr>
      <w:r>
        <w:rPr>
          <w:noProof/>
        </w:rPr>
        <mc:AlternateContent>
          <mc:Choice Requires="wps">
            <w:drawing>
              <wp:anchor distT="0" distB="0" distL="0" distR="0" simplePos="0" relativeHeight="251666432" behindDoc="1" locked="0" layoutInCell="1" allowOverlap="1" wp14:anchorId="1904FE0B" wp14:editId="5FD524E2">
                <wp:simplePos x="0" y="0"/>
                <wp:positionH relativeFrom="page">
                  <wp:posOffset>914400</wp:posOffset>
                </wp:positionH>
                <wp:positionV relativeFrom="paragraph">
                  <wp:posOffset>193675</wp:posOffset>
                </wp:positionV>
                <wp:extent cx="1829435"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CF604" id="Freeform 2" o:spid="_x0000_s1026" style="position:absolute;margin-left:1in;margin-top:15.25pt;width:144.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" path="m,l2881,e" filled="f" strokeweight=".72pt">
                <v:path arrowok="t" o:connecttype="custom" o:connectlocs="0,0;1829435,0" o:connectangles="0,0"/>
                <w10:wrap type="topAndBottom" anchorx="page"/>
              </v:shape>
            </w:pict>
          </mc:Fallback>
        </mc:AlternateContent>
      </w:r>
    </w:p>
    <w:p w14:paraId="0271826C" w14:textId="77777777" w:rsidR="006E1BB2" w:rsidRDefault="006E1BB2">
      <w:pPr>
        <w:pStyle w:val="BodyText"/>
      </w:pPr>
    </w:p>
    <w:p w14:paraId="57A50EFF" w14:textId="77777777" w:rsidR="006E1BB2" w:rsidRDefault="006E1BB2">
      <w:pPr>
        <w:pStyle w:val="BodyText"/>
      </w:pPr>
    </w:p>
    <w:p w14:paraId="723D3B75" w14:textId="77777777" w:rsidR="006E1BB2" w:rsidRDefault="007221B2">
      <w:pPr>
        <w:spacing w:before="161"/>
        <w:ind w:left="120" w:right="606"/>
        <w:rPr>
          <w:sz w:val="18"/>
        </w:rPr>
      </w:pPr>
      <w:r>
        <w:rPr>
          <w:position w:val="5"/>
          <w:sz w:val="12"/>
        </w:rPr>
        <w:t xml:space="preserve">15 </w:t>
      </w:r>
      <w:r>
        <w:rPr>
          <w:sz w:val="18"/>
        </w:rPr>
        <w:t>California Public Utilities Commission (CPUC), Energy Division. 2015. “Workpaper Disposition for PGECOAPP128 Revision 0 Retail Products Platform.” December 15. Page 7.</w:t>
      </w:r>
    </w:p>
    <w:p w14:paraId="321EDAC9" w14:textId="77777777" w:rsidR="006E1BB2" w:rsidRDefault="006E1BB2">
      <w:pPr>
        <w:rPr>
          <w:sz w:val="18"/>
        </w:rPr>
        <w:sectPr w:rsidR="006E1BB2">
          <w:pgSz w:w="12240" w:h="15840"/>
          <w:pgMar w:top="1220" w:right="1220" w:bottom="1320" w:left="1320" w:header="858" w:footer="1129" w:gutter="0"/>
          <w:cols w:space="720"/>
        </w:sectPr>
      </w:pPr>
    </w:p>
    <w:p w14:paraId="64BC1E6B" w14:textId="77777777" w:rsidR="006E1BB2" w:rsidRDefault="006E1BB2">
      <w:pPr>
        <w:pStyle w:val="BodyText"/>
        <w:spacing w:before="3"/>
        <w:rPr>
          <w:sz w:val="21"/>
        </w:rPr>
      </w:pPr>
    </w:p>
    <w:p w14:paraId="1FE7E110" w14:textId="77777777" w:rsidR="006E1BB2" w:rsidRDefault="007221B2">
      <w:pPr>
        <w:pStyle w:val="Heading1"/>
        <w:spacing w:before="51"/>
      </w:pPr>
      <w:bookmarkStart w:id="21" w:name="_TOC_250002"/>
      <w:bookmarkEnd w:id="21"/>
      <w:r>
        <w:rPr>
          <w:color w:val="CFAB79"/>
        </w:rPr>
        <w:t>NON-ENERGY IMPACTS</w:t>
      </w:r>
    </w:p>
    <w:p w14:paraId="1DB1F5C3" w14:textId="77777777" w:rsidR="006E1BB2" w:rsidRDefault="007221B2">
      <w:pPr>
        <w:pStyle w:val="BodyText"/>
        <w:spacing w:before="115"/>
        <w:ind w:left="120"/>
      </w:pPr>
      <w:r>
        <w:t>Non-energy impacts for this measure have not been quantified.</w:t>
      </w:r>
    </w:p>
    <w:p w14:paraId="4F2DF03D" w14:textId="77777777" w:rsidR="006E1BB2" w:rsidRDefault="006E1BB2">
      <w:pPr>
        <w:pStyle w:val="BodyText"/>
      </w:pPr>
    </w:p>
    <w:p w14:paraId="3066290E" w14:textId="77777777" w:rsidR="006E1BB2" w:rsidRDefault="006E1BB2">
      <w:pPr>
        <w:pStyle w:val="BodyText"/>
        <w:spacing w:before="9"/>
        <w:rPr>
          <w:sz w:val="18"/>
        </w:rPr>
      </w:pPr>
    </w:p>
    <w:p w14:paraId="5A41D035" w14:textId="77777777" w:rsidR="006E1BB2" w:rsidRDefault="007221B2">
      <w:pPr>
        <w:pStyle w:val="Heading1"/>
      </w:pPr>
      <w:bookmarkStart w:id="22" w:name="_TOC_250001"/>
      <w:bookmarkEnd w:id="22"/>
      <w:r>
        <w:rPr>
          <w:color w:val="CFAB79"/>
        </w:rPr>
        <w:t>DEER DIFFERENCES ANALYSIS</w:t>
      </w:r>
    </w:p>
    <w:p w14:paraId="29DD5E17" w14:textId="77777777" w:rsidR="006E1BB2" w:rsidRDefault="007221B2">
      <w:pPr>
        <w:pStyle w:val="BodyText"/>
        <w:spacing w:before="115"/>
        <w:ind w:left="120" w:right="624"/>
      </w:pPr>
      <w:r>
        <w:t>This section provides a summary of DEER-based inputs and methods, and the rationale for inputs and methods that are not DEER-based. This measure is not included in the Database for Energy Efficient Resources (DEER), thus the only parameters drawn from DEER are noted below.</w:t>
      </w:r>
    </w:p>
    <w:p w14:paraId="2C6F7438" w14:textId="77777777" w:rsidR="006E1BB2" w:rsidRDefault="007221B2">
      <w:pPr>
        <w:pStyle w:val="BodyText"/>
        <w:spacing w:before="121"/>
        <w:ind w:left="120"/>
      </w:pPr>
      <w:r>
        <w:t>DEER Difference Summary</w:t>
      </w:r>
    </w:p>
    <w:p w14:paraId="4ACA5658" w14:textId="77777777" w:rsidR="006E1BB2" w:rsidRDefault="006E1BB2">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73"/>
        <w:gridCol w:w="6574"/>
      </w:tblGrid>
      <w:tr w:rsidR="006E1BB2" w14:paraId="00795E7C" w14:textId="77777777">
        <w:trPr>
          <w:trHeight w:val="282"/>
        </w:trPr>
        <w:tc>
          <w:tcPr>
            <w:tcW w:w="2873" w:type="dxa"/>
            <w:shd w:val="clear" w:color="auto" w:fill="F1F1F1"/>
          </w:tcPr>
          <w:p w14:paraId="4F5F4B2E" w14:textId="77777777" w:rsidR="006E1BB2" w:rsidRDefault="007221B2">
            <w:pPr>
              <w:pStyle w:val="TableParagraph"/>
              <w:spacing w:line="242" w:lineRule="exact"/>
              <w:ind w:left="115"/>
              <w:rPr>
                <w:sz w:val="20"/>
              </w:rPr>
            </w:pPr>
            <w:r>
              <w:rPr>
                <w:sz w:val="20"/>
              </w:rPr>
              <w:t>DEER Item</w:t>
            </w:r>
          </w:p>
        </w:tc>
        <w:tc>
          <w:tcPr>
            <w:tcW w:w="6574" w:type="dxa"/>
            <w:shd w:val="clear" w:color="auto" w:fill="F1F1F1"/>
          </w:tcPr>
          <w:p w14:paraId="15D3FC0E" w14:textId="77777777" w:rsidR="006E1BB2" w:rsidRDefault="007221B2">
            <w:pPr>
              <w:pStyle w:val="TableParagraph"/>
              <w:spacing w:line="242" w:lineRule="exact"/>
              <w:ind w:left="115"/>
              <w:rPr>
                <w:sz w:val="20"/>
              </w:rPr>
            </w:pPr>
            <w:r>
              <w:rPr>
                <w:sz w:val="20"/>
              </w:rPr>
              <w:t>Comment</w:t>
            </w:r>
          </w:p>
        </w:tc>
      </w:tr>
      <w:tr w:rsidR="006E1BB2" w14:paraId="68F941E5" w14:textId="77777777">
        <w:trPr>
          <w:trHeight w:val="285"/>
        </w:trPr>
        <w:tc>
          <w:tcPr>
            <w:tcW w:w="2873" w:type="dxa"/>
          </w:tcPr>
          <w:p w14:paraId="4B2A73C4" w14:textId="77777777" w:rsidR="006E1BB2" w:rsidRDefault="007221B2">
            <w:pPr>
              <w:pStyle w:val="TableParagraph"/>
              <w:spacing w:before="23" w:line="242" w:lineRule="exact"/>
              <w:ind w:left="115"/>
              <w:rPr>
                <w:sz w:val="20"/>
              </w:rPr>
            </w:pPr>
            <w:r>
              <w:rPr>
                <w:sz w:val="20"/>
              </w:rPr>
              <w:t>Modified DEER methodology</w:t>
            </w:r>
          </w:p>
        </w:tc>
        <w:tc>
          <w:tcPr>
            <w:tcW w:w="6574" w:type="dxa"/>
          </w:tcPr>
          <w:p w14:paraId="36A8134D" w14:textId="77777777" w:rsidR="006E1BB2" w:rsidRDefault="007221B2">
            <w:pPr>
              <w:pStyle w:val="TableParagraph"/>
              <w:spacing w:before="23" w:line="242" w:lineRule="exact"/>
              <w:ind w:left="115"/>
              <w:rPr>
                <w:sz w:val="20"/>
              </w:rPr>
            </w:pPr>
            <w:r>
              <w:rPr>
                <w:sz w:val="20"/>
              </w:rPr>
              <w:t>No</w:t>
            </w:r>
          </w:p>
        </w:tc>
      </w:tr>
      <w:tr w:rsidR="006E1BB2" w14:paraId="0674E98A" w14:textId="77777777">
        <w:trPr>
          <w:trHeight w:val="285"/>
        </w:trPr>
        <w:tc>
          <w:tcPr>
            <w:tcW w:w="2873" w:type="dxa"/>
          </w:tcPr>
          <w:p w14:paraId="3D61CEA0" w14:textId="77777777" w:rsidR="006E1BB2" w:rsidRDefault="007221B2">
            <w:pPr>
              <w:pStyle w:val="TableParagraph"/>
              <w:spacing w:before="21"/>
              <w:ind w:left="115"/>
              <w:rPr>
                <w:sz w:val="20"/>
              </w:rPr>
            </w:pPr>
            <w:r>
              <w:rPr>
                <w:sz w:val="20"/>
              </w:rPr>
              <w:t>Scaled DEER measure</w:t>
            </w:r>
          </w:p>
        </w:tc>
        <w:tc>
          <w:tcPr>
            <w:tcW w:w="6574" w:type="dxa"/>
          </w:tcPr>
          <w:p w14:paraId="6C40A132" w14:textId="77777777" w:rsidR="006E1BB2" w:rsidRDefault="007221B2">
            <w:pPr>
              <w:pStyle w:val="TableParagraph"/>
              <w:spacing w:before="21"/>
              <w:ind w:left="115"/>
              <w:rPr>
                <w:sz w:val="20"/>
              </w:rPr>
            </w:pPr>
            <w:r>
              <w:rPr>
                <w:sz w:val="20"/>
              </w:rPr>
              <w:t>No</w:t>
            </w:r>
          </w:p>
        </w:tc>
      </w:tr>
      <w:tr w:rsidR="006E1BB2" w14:paraId="4EA56E11" w14:textId="77777777">
        <w:trPr>
          <w:trHeight w:val="282"/>
        </w:trPr>
        <w:tc>
          <w:tcPr>
            <w:tcW w:w="2873" w:type="dxa"/>
          </w:tcPr>
          <w:p w14:paraId="4E2FF5AD" w14:textId="77777777" w:rsidR="006E1BB2" w:rsidRDefault="007221B2">
            <w:pPr>
              <w:pStyle w:val="TableParagraph"/>
              <w:spacing w:line="242" w:lineRule="exact"/>
              <w:ind w:left="115"/>
              <w:rPr>
                <w:sz w:val="20"/>
              </w:rPr>
            </w:pPr>
            <w:r>
              <w:rPr>
                <w:sz w:val="20"/>
              </w:rPr>
              <w:t>DEER Base Case</w:t>
            </w:r>
          </w:p>
        </w:tc>
        <w:tc>
          <w:tcPr>
            <w:tcW w:w="6574" w:type="dxa"/>
          </w:tcPr>
          <w:p w14:paraId="20F0BD93" w14:textId="77777777" w:rsidR="006E1BB2" w:rsidRDefault="007221B2">
            <w:pPr>
              <w:pStyle w:val="TableParagraph"/>
              <w:spacing w:line="242" w:lineRule="exact"/>
              <w:ind w:left="115"/>
              <w:rPr>
                <w:sz w:val="20"/>
              </w:rPr>
            </w:pPr>
            <w:r>
              <w:rPr>
                <w:sz w:val="20"/>
              </w:rPr>
              <w:t>No</w:t>
            </w:r>
          </w:p>
        </w:tc>
      </w:tr>
      <w:tr w:rsidR="006E1BB2" w14:paraId="346D9292" w14:textId="77777777">
        <w:trPr>
          <w:trHeight w:val="285"/>
        </w:trPr>
        <w:tc>
          <w:tcPr>
            <w:tcW w:w="2873" w:type="dxa"/>
          </w:tcPr>
          <w:p w14:paraId="3B7C6ED3" w14:textId="77777777" w:rsidR="006E1BB2" w:rsidRDefault="007221B2">
            <w:pPr>
              <w:pStyle w:val="TableParagraph"/>
              <w:ind w:left="115"/>
              <w:rPr>
                <w:sz w:val="20"/>
              </w:rPr>
            </w:pPr>
            <w:r>
              <w:rPr>
                <w:sz w:val="20"/>
              </w:rPr>
              <w:t>DEER Measure Case</w:t>
            </w:r>
          </w:p>
        </w:tc>
        <w:tc>
          <w:tcPr>
            <w:tcW w:w="6574" w:type="dxa"/>
          </w:tcPr>
          <w:p w14:paraId="2FB456AA" w14:textId="77777777" w:rsidR="006E1BB2" w:rsidRDefault="007221B2">
            <w:pPr>
              <w:pStyle w:val="TableParagraph"/>
              <w:ind w:left="115"/>
              <w:rPr>
                <w:sz w:val="20"/>
              </w:rPr>
            </w:pPr>
            <w:r>
              <w:rPr>
                <w:sz w:val="20"/>
              </w:rPr>
              <w:t>No</w:t>
            </w:r>
          </w:p>
        </w:tc>
      </w:tr>
      <w:tr w:rsidR="006E1BB2" w14:paraId="4E0BAE39" w14:textId="77777777">
        <w:trPr>
          <w:trHeight w:val="282"/>
        </w:trPr>
        <w:tc>
          <w:tcPr>
            <w:tcW w:w="2873" w:type="dxa"/>
          </w:tcPr>
          <w:p w14:paraId="6A9CCA92" w14:textId="77777777" w:rsidR="006E1BB2" w:rsidRDefault="007221B2">
            <w:pPr>
              <w:pStyle w:val="TableParagraph"/>
              <w:spacing w:line="242" w:lineRule="exact"/>
              <w:ind w:left="115"/>
              <w:rPr>
                <w:sz w:val="20"/>
              </w:rPr>
            </w:pPr>
            <w:r>
              <w:rPr>
                <w:sz w:val="20"/>
              </w:rPr>
              <w:t>DEER Building Types</w:t>
            </w:r>
          </w:p>
        </w:tc>
        <w:tc>
          <w:tcPr>
            <w:tcW w:w="6574" w:type="dxa"/>
          </w:tcPr>
          <w:p w14:paraId="1C143395" w14:textId="77777777" w:rsidR="006E1BB2" w:rsidRDefault="007221B2">
            <w:pPr>
              <w:pStyle w:val="TableParagraph"/>
              <w:spacing w:line="242" w:lineRule="exact"/>
              <w:ind w:left="115"/>
              <w:rPr>
                <w:sz w:val="20"/>
              </w:rPr>
            </w:pPr>
            <w:r>
              <w:rPr>
                <w:sz w:val="20"/>
              </w:rPr>
              <w:t>No</w:t>
            </w:r>
          </w:p>
        </w:tc>
      </w:tr>
      <w:tr w:rsidR="006E1BB2" w14:paraId="215D5232" w14:textId="77777777">
        <w:trPr>
          <w:trHeight w:val="285"/>
        </w:trPr>
        <w:tc>
          <w:tcPr>
            <w:tcW w:w="2873" w:type="dxa"/>
          </w:tcPr>
          <w:p w14:paraId="3127AB68" w14:textId="77777777" w:rsidR="006E1BB2" w:rsidRDefault="007221B2">
            <w:pPr>
              <w:pStyle w:val="TableParagraph"/>
              <w:ind w:left="115"/>
              <w:rPr>
                <w:sz w:val="20"/>
              </w:rPr>
            </w:pPr>
            <w:r>
              <w:rPr>
                <w:sz w:val="20"/>
              </w:rPr>
              <w:t>DEER Operating Hours</w:t>
            </w:r>
          </w:p>
        </w:tc>
        <w:tc>
          <w:tcPr>
            <w:tcW w:w="6574" w:type="dxa"/>
          </w:tcPr>
          <w:p w14:paraId="59E7816E" w14:textId="77777777" w:rsidR="006E1BB2" w:rsidRDefault="007221B2">
            <w:pPr>
              <w:pStyle w:val="TableParagraph"/>
              <w:ind w:left="115"/>
              <w:rPr>
                <w:sz w:val="20"/>
              </w:rPr>
            </w:pPr>
            <w:r>
              <w:rPr>
                <w:sz w:val="20"/>
              </w:rPr>
              <w:t>No</w:t>
            </w:r>
          </w:p>
        </w:tc>
      </w:tr>
      <w:tr w:rsidR="006E1BB2" w14:paraId="2D8DA691" w14:textId="77777777">
        <w:trPr>
          <w:trHeight w:val="282"/>
        </w:trPr>
        <w:tc>
          <w:tcPr>
            <w:tcW w:w="2873" w:type="dxa"/>
          </w:tcPr>
          <w:p w14:paraId="14271DF6" w14:textId="77777777" w:rsidR="006E1BB2" w:rsidRDefault="007221B2">
            <w:pPr>
              <w:pStyle w:val="TableParagraph"/>
              <w:spacing w:line="242" w:lineRule="exact"/>
              <w:ind w:left="115"/>
              <w:rPr>
                <w:sz w:val="20"/>
              </w:rPr>
            </w:pPr>
            <w:r>
              <w:rPr>
                <w:sz w:val="20"/>
              </w:rPr>
              <w:t>DEER Version</w:t>
            </w:r>
          </w:p>
        </w:tc>
        <w:tc>
          <w:tcPr>
            <w:tcW w:w="6574" w:type="dxa"/>
          </w:tcPr>
          <w:p w14:paraId="3BB51905" w14:textId="77777777" w:rsidR="006E1BB2" w:rsidRDefault="007221B2">
            <w:pPr>
              <w:pStyle w:val="TableParagraph"/>
              <w:spacing w:line="242" w:lineRule="exact"/>
              <w:ind w:left="115"/>
              <w:rPr>
                <w:sz w:val="20"/>
              </w:rPr>
            </w:pPr>
            <w:r>
              <w:rPr>
                <w:sz w:val="20"/>
              </w:rPr>
              <w:t>n/a</w:t>
            </w:r>
          </w:p>
        </w:tc>
      </w:tr>
      <w:tr w:rsidR="006E1BB2" w14:paraId="5AAB0EFB" w14:textId="77777777">
        <w:trPr>
          <w:trHeight w:val="285"/>
        </w:trPr>
        <w:tc>
          <w:tcPr>
            <w:tcW w:w="2873" w:type="dxa"/>
          </w:tcPr>
          <w:p w14:paraId="2E3BC2AC" w14:textId="77777777" w:rsidR="006E1BB2" w:rsidRDefault="007221B2">
            <w:pPr>
              <w:pStyle w:val="TableParagraph"/>
              <w:spacing w:before="23" w:line="242" w:lineRule="exact"/>
              <w:ind w:left="115"/>
              <w:rPr>
                <w:sz w:val="20"/>
              </w:rPr>
            </w:pPr>
            <w:r>
              <w:rPr>
                <w:sz w:val="20"/>
              </w:rPr>
              <w:t>Reason for Deviation from DEER</w:t>
            </w:r>
          </w:p>
        </w:tc>
        <w:tc>
          <w:tcPr>
            <w:tcW w:w="6574" w:type="dxa"/>
          </w:tcPr>
          <w:p w14:paraId="45A80A97" w14:textId="77777777" w:rsidR="006E1BB2" w:rsidRDefault="007221B2">
            <w:pPr>
              <w:pStyle w:val="TableParagraph"/>
              <w:spacing w:before="23" w:line="242" w:lineRule="exact"/>
              <w:ind w:left="115"/>
              <w:rPr>
                <w:sz w:val="20"/>
              </w:rPr>
            </w:pPr>
            <w:r>
              <w:rPr>
                <w:sz w:val="20"/>
              </w:rPr>
              <w:t>There are no measure savings for room air conditioners in DEER</w:t>
            </w:r>
          </w:p>
        </w:tc>
      </w:tr>
      <w:tr w:rsidR="006E1BB2" w14:paraId="6D18861E" w14:textId="77777777">
        <w:trPr>
          <w:trHeight w:val="282"/>
        </w:trPr>
        <w:tc>
          <w:tcPr>
            <w:tcW w:w="2873" w:type="dxa"/>
          </w:tcPr>
          <w:p w14:paraId="6F6AA200" w14:textId="77777777" w:rsidR="006E1BB2" w:rsidRDefault="007221B2">
            <w:pPr>
              <w:pStyle w:val="TableParagraph"/>
              <w:spacing w:line="242" w:lineRule="exact"/>
              <w:ind w:left="115"/>
              <w:rPr>
                <w:sz w:val="20"/>
              </w:rPr>
            </w:pPr>
            <w:r>
              <w:rPr>
                <w:sz w:val="20"/>
              </w:rPr>
              <w:t>DEER Measure IDs Used</w:t>
            </w:r>
          </w:p>
        </w:tc>
        <w:tc>
          <w:tcPr>
            <w:tcW w:w="6574" w:type="dxa"/>
          </w:tcPr>
          <w:p w14:paraId="68D5CCA3" w14:textId="77777777" w:rsidR="006E1BB2" w:rsidRDefault="007221B2">
            <w:pPr>
              <w:pStyle w:val="TableParagraph"/>
              <w:spacing w:line="242" w:lineRule="exact"/>
              <w:ind w:left="115"/>
              <w:rPr>
                <w:sz w:val="20"/>
              </w:rPr>
            </w:pPr>
            <w:r>
              <w:rPr>
                <w:sz w:val="20"/>
              </w:rPr>
              <w:t>n/a</w:t>
            </w:r>
          </w:p>
        </w:tc>
      </w:tr>
      <w:tr w:rsidR="006E1BB2" w14:paraId="591C7982" w14:textId="77777777">
        <w:trPr>
          <w:trHeight w:val="285"/>
        </w:trPr>
        <w:tc>
          <w:tcPr>
            <w:tcW w:w="2873" w:type="dxa"/>
          </w:tcPr>
          <w:p w14:paraId="60DE253B" w14:textId="77777777" w:rsidR="006E1BB2" w:rsidRDefault="007221B2">
            <w:pPr>
              <w:pStyle w:val="TableParagraph"/>
              <w:spacing w:before="23" w:line="242" w:lineRule="exact"/>
              <w:ind w:left="115"/>
              <w:rPr>
                <w:sz w:val="20"/>
              </w:rPr>
            </w:pPr>
            <w:r>
              <w:rPr>
                <w:sz w:val="20"/>
              </w:rPr>
              <w:t>NTG</w:t>
            </w:r>
          </w:p>
        </w:tc>
        <w:tc>
          <w:tcPr>
            <w:tcW w:w="6574" w:type="dxa"/>
          </w:tcPr>
          <w:p w14:paraId="45473DD9" w14:textId="77777777" w:rsidR="006E1BB2" w:rsidRDefault="007221B2">
            <w:pPr>
              <w:pStyle w:val="TableParagraph"/>
              <w:spacing w:before="23" w:line="242" w:lineRule="exact"/>
              <w:ind w:left="115"/>
              <w:rPr>
                <w:i/>
                <w:sz w:val="20"/>
              </w:rPr>
            </w:pPr>
            <w:r>
              <w:rPr>
                <w:sz w:val="20"/>
              </w:rPr>
              <w:t xml:space="preserve">Source: The value of 0.36 is associated with NTG-ID: </w:t>
            </w:r>
            <w:r>
              <w:rPr>
                <w:i/>
                <w:sz w:val="20"/>
              </w:rPr>
              <w:t>Res-</w:t>
            </w:r>
            <w:proofErr w:type="spellStart"/>
            <w:r>
              <w:rPr>
                <w:i/>
                <w:sz w:val="20"/>
              </w:rPr>
              <w:t>sAll</w:t>
            </w:r>
            <w:proofErr w:type="spellEnd"/>
            <w:r>
              <w:rPr>
                <w:i/>
                <w:sz w:val="20"/>
              </w:rPr>
              <w:t>-</w:t>
            </w:r>
            <w:proofErr w:type="spellStart"/>
            <w:r>
              <w:rPr>
                <w:i/>
                <w:sz w:val="20"/>
              </w:rPr>
              <w:t>mHVAC-RmAC-dn</w:t>
            </w:r>
            <w:proofErr w:type="spellEnd"/>
          </w:p>
        </w:tc>
      </w:tr>
      <w:tr w:rsidR="006E1BB2" w14:paraId="51270BA3" w14:textId="77777777">
        <w:trPr>
          <w:trHeight w:val="285"/>
        </w:trPr>
        <w:tc>
          <w:tcPr>
            <w:tcW w:w="2873" w:type="dxa"/>
          </w:tcPr>
          <w:p w14:paraId="346E5B9A" w14:textId="77777777" w:rsidR="006E1BB2" w:rsidRDefault="007221B2">
            <w:pPr>
              <w:pStyle w:val="TableParagraph"/>
              <w:ind w:left="115"/>
              <w:rPr>
                <w:sz w:val="20"/>
              </w:rPr>
            </w:pPr>
            <w:r>
              <w:rPr>
                <w:sz w:val="20"/>
              </w:rPr>
              <w:t>GSIA</w:t>
            </w:r>
          </w:p>
        </w:tc>
        <w:tc>
          <w:tcPr>
            <w:tcW w:w="6574" w:type="dxa"/>
          </w:tcPr>
          <w:p w14:paraId="08BCE197" w14:textId="77777777" w:rsidR="006E1BB2" w:rsidRDefault="007221B2">
            <w:pPr>
              <w:pStyle w:val="TableParagraph"/>
              <w:ind w:left="115"/>
              <w:rPr>
                <w:i/>
                <w:sz w:val="20"/>
              </w:rPr>
            </w:pPr>
            <w:r>
              <w:rPr>
                <w:sz w:val="20"/>
              </w:rPr>
              <w:t xml:space="preserve">The value of 1.0 is associated with GSIA ID: </w:t>
            </w:r>
            <w:r>
              <w:rPr>
                <w:i/>
                <w:sz w:val="20"/>
              </w:rPr>
              <w:t>Def-GSIA</w:t>
            </w:r>
          </w:p>
        </w:tc>
      </w:tr>
      <w:tr w:rsidR="006E1BB2" w14:paraId="3BE22ADA" w14:textId="77777777">
        <w:trPr>
          <w:trHeight w:val="282"/>
        </w:trPr>
        <w:tc>
          <w:tcPr>
            <w:tcW w:w="2873" w:type="dxa"/>
          </w:tcPr>
          <w:p w14:paraId="61F64561" w14:textId="77777777" w:rsidR="006E1BB2" w:rsidRDefault="007221B2">
            <w:pPr>
              <w:pStyle w:val="TableParagraph"/>
              <w:spacing w:line="242" w:lineRule="exact"/>
              <w:ind w:left="115"/>
              <w:rPr>
                <w:sz w:val="20"/>
              </w:rPr>
            </w:pPr>
            <w:r>
              <w:rPr>
                <w:sz w:val="20"/>
              </w:rPr>
              <w:t>EUL/RUL</w:t>
            </w:r>
          </w:p>
        </w:tc>
        <w:tc>
          <w:tcPr>
            <w:tcW w:w="6574" w:type="dxa"/>
          </w:tcPr>
          <w:p w14:paraId="3FD079EC" w14:textId="77777777" w:rsidR="006E1BB2" w:rsidRDefault="007221B2">
            <w:pPr>
              <w:pStyle w:val="TableParagraph"/>
              <w:spacing w:line="242" w:lineRule="exact"/>
              <w:ind w:left="115"/>
              <w:rPr>
                <w:i/>
                <w:sz w:val="20"/>
              </w:rPr>
            </w:pPr>
            <w:r>
              <w:rPr>
                <w:sz w:val="20"/>
              </w:rPr>
              <w:t xml:space="preserve">Source: DEER. The EUL of 9 years is associated with EUL ID: </w:t>
            </w:r>
            <w:r>
              <w:rPr>
                <w:i/>
                <w:sz w:val="20"/>
              </w:rPr>
              <w:t xml:space="preserve">HV-RAC-ES. </w:t>
            </w:r>
          </w:p>
        </w:tc>
      </w:tr>
    </w:tbl>
    <w:p w14:paraId="6E92B80C" w14:textId="77777777" w:rsidR="006E1BB2" w:rsidRDefault="006E1BB2">
      <w:pPr>
        <w:pStyle w:val="BodyText"/>
      </w:pPr>
    </w:p>
    <w:p w14:paraId="0DAB8FCF" w14:textId="77777777" w:rsidR="006E1BB2" w:rsidRDefault="006E1BB2">
      <w:pPr>
        <w:pStyle w:val="BodyText"/>
        <w:spacing w:before="8"/>
        <w:rPr>
          <w:sz w:val="20"/>
        </w:rPr>
      </w:pPr>
      <w:bookmarkStart w:id="23" w:name="_GoBack"/>
      <w:bookmarkEnd w:id="23"/>
    </w:p>
    <w:p w14:paraId="09B8BDF6" w14:textId="77777777" w:rsidR="006E1BB2" w:rsidRDefault="007221B2">
      <w:pPr>
        <w:pStyle w:val="Heading1"/>
      </w:pPr>
      <w:bookmarkStart w:id="24" w:name="_TOC_250000"/>
      <w:bookmarkEnd w:id="24"/>
      <w:r>
        <w:rPr>
          <w:color w:val="CFAB79"/>
        </w:rPr>
        <w:t>REVISION HISTORY</w:t>
      </w:r>
    </w:p>
    <w:p w14:paraId="0F5C3DF8" w14:textId="77777777" w:rsidR="006E1BB2" w:rsidRDefault="007221B2">
      <w:pPr>
        <w:pStyle w:val="BodyText"/>
        <w:spacing w:before="115"/>
        <w:ind w:left="120"/>
      </w:pPr>
      <w:r>
        <w:t>Measure Characterization Revision History</w:t>
      </w:r>
    </w:p>
    <w:p w14:paraId="60C1FE07" w14:textId="77777777" w:rsidR="006E1BB2" w:rsidRDefault="006E1BB2">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575"/>
        <w:gridCol w:w="1710"/>
        <w:gridCol w:w="5128"/>
      </w:tblGrid>
      <w:tr w:rsidR="006E1BB2" w14:paraId="398176D6" w14:textId="77777777">
        <w:trPr>
          <w:trHeight w:val="549"/>
        </w:trPr>
        <w:tc>
          <w:tcPr>
            <w:tcW w:w="941" w:type="dxa"/>
            <w:shd w:val="clear" w:color="auto" w:fill="F1F1F1"/>
          </w:tcPr>
          <w:p w14:paraId="0D3B2F75" w14:textId="77777777" w:rsidR="006E1BB2" w:rsidRDefault="007221B2">
            <w:pPr>
              <w:pStyle w:val="TableParagraph"/>
              <w:spacing w:before="42" w:line="240" w:lineRule="atLeast"/>
              <w:ind w:left="115"/>
              <w:rPr>
                <w:sz w:val="20"/>
              </w:rPr>
            </w:pPr>
            <w:r>
              <w:rPr>
                <w:w w:val="95"/>
                <w:sz w:val="20"/>
              </w:rPr>
              <w:t xml:space="preserve">Revision </w:t>
            </w:r>
            <w:r>
              <w:rPr>
                <w:sz w:val="20"/>
              </w:rPr>
              <w:t>Number</w:t>
            </w:r>
          </w:p>
        </w:tc>
        <w:tc>
          <w:tcPr>
            <w:tcW w:w="1575" w:type="dxa"/>
            <w:shd w:val="clear" w:color="auto" w:fill="F1F1F1"/>
          </w:tcPr>
          <w:p w14:paraId="329857F9" w14:textId="77777777" w:rsidR="006E1BB2" w:rsidRDefault="007221B2">
            <w:pPr>
              <w:pStyle w:val="TableParagraph"/>
              <w:spacing w:before="42" w:line="240" w:lineRule="atLeast"/>
              <w:ind w:left="114" w:right="22"/>
              <w:rPr>
                <w:sz w:val="20"/>
              </w:rPr>
            </w:pPr>
            <w:r>
              <w:rPr>
                <w:sz w:val="20"/>
              </w:rPr>
              <w:t>Revision Complete Date</w:t>
            </w:r>
          </w:p>
        </w:tc>
        <w:tc>
          <w:tcPr>
            <w:tcW w:w="1710" w:type="dxa"/>
            <w:shd w:val="clear" w:color="auto" w:fill="F1F1F1"/>
          </w:tcPr>
          <w:p w14:paraId="1973B557" w14:textId="77777777" w:rsidR="006E1BB2" w:rsidRDefault="007221B2">
            <w:pPr>
              <w:pStyle w:val="TableParagraph"/>
              <w:spacing w:before="42" w:line="240" w:lineRule="atLeast"/>
              <w:ind w:left="114"/>
              <w:rPr>
                <w:sz w:val="20"/>
              </w:rPr>
            </w:pPr>
            <w:r>
              <w:rPr>
                <w:sz w:val="20"/>
              </w:rPr>
              <w:t>Primary Author, Title, Organization</w:t>
            </w:r>
          </w:p>
        </w:tc>
        <w:tc>
          <w:tcPr>
            <w:tcW w:w="5128" w:type="dxa"/>
            <w:shd w:val="clear" w:color="auto" w:fill="F1F1F1"/>
          </w:tcPr>
          <w:p w14:paraId="070081D5" w14:textId="77777777" w:rsidR="006E1BB2" w:rsidRDefault="007221B2">
            <w:pPr>
              <w:pStyle w:val="TableParagraph"/>
              <w:spacing w:before="7" w:line="260" w:lineRule="atLeast"/>
              <w:ind w:left="113" w:right="1371"/>
              <w:rPr>
                <w:sz w:val="20"/>
              </w:rPr>
            </w:pPr>
            <w:r>
              <w:rPr>
                <w:sz w:val="20"/>
              </w:rPr>
              <w:t>Revision Summary and Rationale for Revision Effective Date and Approved By</w:t>
            </w:r>
          </w:p>
        </w:tc>
      </w:tr>
      <w:tr w:rsidR="006E1BB2" w14:paraId="2472C649" w14:textId="77777777">
        <w:trPr>
          <w:trHeight w:val="548"/>
        </w:trPr>
        <w:tc>
          <w:tcPr>
            <w:tcW w:w="941" w:type="dxa"/>
            <w:tcBorders>
              <w:bottom w:val="nil"/>
            </w:tcBorders>
          </w:tcPr>
          <w:p w14:paraId="36B8BAE5" w14:textId="77777777" w:rsidR="006E1BB2" w:rsidRDefault="007221B2">
            <w:pPr>
              <w:pStyle w:val="TableParagraph"/>
              <w:ind w:left="115"/>
              <w:rPr>
                <w:sz w:val="20"/>
              </w:rPr>
            </w:pPr>
            <w:r>
              <w:rPr>
                <w:sz w:val="20"/>
              </w:rPr>
              <w:t>01</w:t>
            </w:r>
          </w:p>
        </w:tc>
        <w:tc>
          <w:tcPr>
            <w:tcW w:w="1575" w:type="dxa"/>
            <w:tcBorders>
              <w:bottom w:val="nil"/>
            </w:tcBorders>
          </w:tcPr>
          <w:p w14:paraId="67E6C426" w14:textId="77777777" w:rsidR="006E1BB2" w:rsidRDefault="007221B2">
            <w:pPr>
              <w:pStyle w:val="TableParagraph"/>
              <w:ind w:left="114"/>
              <w:rPr>
                <w:sz w:val="20"/>
              </w:rPr>
            </w:pPr>
            <w:r>
              <w:rPr>
                <w:sz w:val="20"/>
              </w:rPr>
              <w:t>12/31/2017</w:t>
            </w:r>
          </w:p>
        </w:tc>
        <w:tc>
          <w:tcPr>
            <w:tcW w:w="1710" w:type="dxa"/>
            <w:tcBorders>
              <w:bottom w:val="nil"/>
            </w:tcBorders>
          </w:tcPr>
          <w:p w14:paraId="1AFFC14B" w14:textId="77777777" w:rsidR="006E1BB2" w:rsidRDefault="007221B2">
            <w:pPr>
              <w:pStyle w:val="TableParagraph"/>
              <w:ind w:left="114"/>
              <w:rPr>
                <w:sz w:val="20"/>
              </w:rPr>
            </w:pPr>
            <w:r>
              <w:rPr>
                <w:sz w:val="20"/>
              </w:rPr>
              <w:t>Jennifer Holmes</w:t>
            </w:r>
          </w:p>
          <w:p w14:paraId="60A72BC4" w14:textId="77777777" w:rsidR="006E1BB2" w:rsidRDefault="007221B2">
            <w:pPr>
              <w:pStyle w:val="TableParagraph"/>
              <w:spacing w:before="23" w:line="242" w:lineRule="exact"/>
              <w:ind w:left="114"/>
              <w:rPr>
                <w:sz w:val="20"/>
              </w:rPr>
            </w:pPr>
            <w:r>
              <w:rPr>
                <w:sz w:val="20"/>
              </w:rPr>
              <w:t>Cal TF Staff</w:t>
            </w:r>
          </w:p>
        </w:tc>
        <w:tc>
          <w:tcPr>
            <w:tcW w:w="5128" w:type="dxa"/>
            <w:tcBorders>
              <w:bottom w:val="nil"/>
            </w:tcBorders>
          </w:tcPr>
          <w:p w14:paraId="0846F006" w14:textId="77777777" w:rsidR="006E1BB2" w:rsidRDefault="007221B2">
            <w:pPr>
              <w:pStyle w:val="TableParagraph"/>
              <w:ind w:left="113" w:right="133"/>
              <w:rPr>
                <w:sz w:val="20"/>
              </w:rPr>
            </w:pPr>
            <w:r>
              <w:rPr>
                <w:sz w:val="20"/>
              </w:rPr>
              <w:t>Draft of consolidated text for this statewide measure is based upon:</w:t>
            </w:r>
          </w:p>
        </w:tc>
      </w:tr>
      <w:tr w:rsidR="006E1BB2" w14:paraId="65EE42BE" w14:textId="77777777">
        <w:trPr>
          <w:trHeight w:val="253"/>
        </w:trPr>
        <w:tc>
          <w:tcPr>
            <w:tcW w:w="941" w:type="dxa"/>
            <w:tcBorders>
              <w:top w:val="nil"/>
              <w:bottom w:val="nil"/>
            </w:tcBorders>
          </w:tcPr>
          <w:p w14:paraId="622DA985" w14:textId="77777777" w:rsidR="006E1BB2" w:rsidRDefault="006E1BB2">
            <w:pPr>
              <w:pStyle w:val="TableParagraph"/>
              <w:spacing w:before="0"/>
              <w:rPr>
                <w:rFonts w:ascii="Times New Roman"/>
                <w:sz w:val="18"/>
              </w:rPr>
            </w:pPr>
          </w:p>
        </w:tc>
        <w:tc>
          <w:tcPr>
            <w:tcW w:w="1575" w:type="dxa"/>
            <w:tcBorders>
              <w:top w:val="nil"/>
              <w:bottom w:val="nil"/>
            </w:tcBorders>
          </w:tcPr>
          <w:p w14:paraId="0CCD4CB4" w14:textId="77777777" w:rsidR="006E1BB2" w:rsidRDefault="006E1BB2">
            <w:pPr>
              <w:pStyle w:val="TableParagraph"/>
              <w:spacing w:before="0"/>
              <w:rPr>
                <w:rFonts w:ascii="Times New Roman"/>
                <w:sz w:val="18"/>
              </w:rPr>
            </w:pPr>
          </w:p>
        </w:tc>
        <w:tc>
          <w:tcPr>
            <w:tcW w:w="1710" w:type="dxa"/>
            <w:tcBorders>
              <w:top w:val="nil"/>
              <w:bottom w:val="nil"/>
            </w:tcBorders>
          </w:tcPr>
          <w:p w14:paraId="3B0452C2" w14:textId="77777777" w:rsidR="006E1BB2" w:rsidRDefault="006E1BB2">
            <w:pPr>
              <w:pStyle w:val="TableParagraph"/>
              <w:spacing w:before="0"/>
              <w:rPr>
                <w:rFonts w:ascii="Times New Roman"/>
                <w:sz w:val="18"/>
              </w:rPr>
            </w:pPr>
          </w:p>
        </w:tc>
        <w:tc>
          <w:tcPr>
            <w:tcW w:w="5128" w:type="dxa"/>
            <w:tcBorders>
              <w:top w:val="nil"/>
              <w:bottom w:val="nil"/>
            </w:tcBorders>
          </w:tcPr>
          <w:p w14:paraId="2FE7AD40" w14:textId="77777777" w:rsidR="006E1BB2" w:rsidRDefault="007221B2">
            <w:pPr>
              <w:pStyle w:val="TableParagraph"/>
              <w:spacing w:before="0" w:line="225" w:lineRule="exact"/>
              <w:ind w:left="113"/>
              <w:rPr>
                <w:sz w:val="20"/>
              </w:rPr>
            </w:pPr>
            <w:r>
              <w:rPr>
                <w:sz w:val="20"/>
              </w:rPr>
              <w:t>PGECOAPP128, Revision 6 (January 30, 2018)</w:t>
            </w:r>
          </w:p>
        </w:tc>
      </w:tr>
      <w:tr w:rsidR="006E1BB2" w14:paraId="36939FAE" w14:textId="77777777">
        <w:trPr>
          <w:trHeight w:val="264"/>
        </w:trPr>
        <w:tc>
          <w:tcPr>
            <w:tcW w:w="941" w:type="dxa"/>
            <w:tcBorders>
              <w:top w:val="nil"/>
              <w:bottom w:val="nil"/>
            </w:tcBorders>
          </w:tcPr>
          <w:p w14:paraId="008372B5" w14:textId="77777777" w:rsidR="006E1BB2" w:rsidRDefault="006E1BB2">
            <w:pPr>
              <w:pStyle w:val="TableParagraph"/>
              <w:spacing w:before="0"/>
              <w:rPr>
                <w:rFonts w:ascii="Times New Roman"/>
                <w:sz w:val="18"/>
              </w:rPr>
            </w:pPr>
          </w:p>
        </w:tc>
        <w:tc>
          <w:tcPr>
            <w:tcW w:w="1575" w:type="dxa"/>
            <w:tcBorders>
              <w:top w:val="nil"/>
              <w:bottom w:val="nil"/>
            </w:tcBorders>
          </w:tcPr>
          <w:p w14:paraId="4DD42AA6" w14:textId="77777777" w:rsidR="006E1BB2" w:rsidRDefault="006E1BB2">
            <w:pPr>
              <w:pStyle w:val="TableParagraph"/>
              <w:spacing w:before="0"/>
              <w:rPr>
                <w:rFonts w:ascii="Times New Roman"/>
                <w:sz w:val="18"/>
              </w:rPr>
            </w:pPr>
          </w:p>
        </w:tc>
        <w:tc>
          <w:tcPr>
            <w:tcW w:w="1710" w:type="dxa"/>
            <w:tcBorders>
              <w:top w:val="nil"/>
              <w:bottom w:val="nil"/>
            </w:tcBorders>
          </w:tcPr>
          <w:p w14:paraId="5F74F22E" w14:textId="77777777" w:rsidR="006E1BB2" w:rsidRDefault="006E1BB2">
            <w:pPr>
              <w:pStyle w:val="TableParagraph"/>
              <w:spacing w:before="0"/>
              <w:rPr>
                <w:rFonts w:ascii="Times New Roman"/>
                <w:sz w:val="18"/>
              </w:rPr>
            </w:pPr>
          </w:p>
        </w:tc>
        <w:tc>
          <w:tcPr>
            <w:tcW w:w="5128" w:type="dxa"/>
            <w:tcBorders>
              <w:top w:val="nil"/>
              <w:bottom w:val="nil"/>
            </w:tcBorders>
          </w:tcPr>
          <w:p w14:paraId="247BA5C8" w14:textId="77777777" w:rsidR="006E1BB2" w:rsidRDefault="007221B2">
            <w:pPr>
              <w:pStyle w:val="TableParagraph"/>
              <w:spacing w:before="0" w:line="236" w:lineRule="exact"/>
              <w:ind w:left="113"/>
              <w:rPr>
                <w:sz w:val="20"/>
              </w:rPr>
            </w:pPr>
            <w:r>
              <w:rPr>
                <w:sz w:val="20"/>
              </w:rPr>
              <w:t>PGECOAPP128, Revision 3 (March 29, 2017)</w:t>
            </w:r>
          </w:p>
        </w:tc>
      </w:tr>
      <w:tr w:rsidR="006E1BB2" w14:paraId="581A484D" w14:textId="77777777">
        <w:trPr>
          <w:trHeight w:val="263"/>
        </w:trPr>
        <w:tc>
          <w:tcPr>
            <w:tcW w:w="941" w:type="dxa"/>
            <w:tcBorders>
              <w:top w:val="nil"/>
              <w:bottom w:val="nil"/>
            </w:tcBorders>
          </w:tcPr>
          <w:p w14:paraId="5861AEA0" w14:textId="77777777" w:rsidR="006E1BB2" w:rsidRDefault="006E1BB2">
            <w:pPr>
              <w:pStyle w:val="TableParagraph"/>
              <w:spacing w:before="0"/>
              <w:rPr>
                <w:rFonts w:ascii="Times New Roman"/>
                <w:sz w:val="18"/>
              </w:rPr>
            </w:pPr>
          </w:p>
        </w:tc>
        <w:tc>
          <w:tcPr>
            <w:tcW w:w="1575" w:type="dxa"/>
            <w:tcBorders>
              <w:top w:val="nil"/>
              <w:bottom w:val="nil"/>
            </w:tcBorders>
          </w:tcPr>
          <w:p w14:paraId="367516DA" w14:textId="77777777" w:rsidR="006E1BB2" w:rsidRDefault="006E1BB2">
            <w:pPr>
              <w:pStyle w:val="TableParagraph"/>
              <w:spacing w:before="0"/>
              <w:rPr>
                <w:rFonts w:ascii="Times New Roman"/>
                <w:sz w:val="18"/>
              </w:rPr>
            </w:pPr>
          </w:p>
        </w:tc>
        <w:tc>
          <w:tcPr>
            <w:tcW w:w="1710" w:type="dxa"/>
            <w:tcBorders>
              <w:top w:val="nil"/>
              <w:bottom w:val="nil"/>
            </w:tcBorders>
          </w:tcPr>
          <w:p w14:paraId="44FA8429" w14:textId="77777777" w:rsidR="006E1BB2" w:rsidRDefault="006E1BB2">
            <w:pPr>
              <w:pStyle w:val="TableParagraph"/>
              <w:spacing w:before="0"/>
              <w:rPr>
                <w:rFonts w:ascii="Times New Roman"/>
                <w:sz w:val="18"/>
              </w:rPr>
            </w:pPr>
          </w:p>
        </w:tc>
        <w:tc>
          <w:tcPr>
            <w:tcW w:w="5128" w:type="dxa"/>
            <w:tcBorders>
              <w:top w:val="nil"/>
              <w:bottom w:val="nil"/>
            </w:tcBorders>
          </w:tcPr>
          <w:p w14:paraId="59ACE000" w14:textId="77777777" w:rsidR="006E1BB2" w:rsidRDefault="007221B2">
            <w:pPr>
              <w:pStyle w:val="TableParagraph"/>
              <w:spacing w:before="0" w:line="236" w:lineRule="exact"/>
              <w:ind w:left="113"/>
              <w:rPr>
                <w:sz w:val="20"/>
              </w:rPr>
            </w:pPr>
            <w:r>
              <w:rPr>
                <w:sz w:val="20"/>
              </w:rPr>
              <w:t>SCE17HC001, Revision 0 (November 18, 2016)</w:t>
            </w:r>
          </w:p>
        </w:tc>
      </w:tr>
      <w:tr w:rsidR="006E1BB2" w14:paraId="2FCA4E4A" w14:textId="77777777">
        <w:trPr>
          <w:trHeight w:val="256"/>
        </w:trPr>
        <w:tc>
          <w:tcPr>
            <w:tcW w:w="941" w:type="dxa"/>
            <w:tcBorders>
              <w:top w:val="nil"/>
              <w:bottom w:val="nil"/>
            </w:tcBorders>
          </w:tcPr>
          <w:p w14:paraId="035485D2" w14:textId="77777777" w:rsidR="006E1BB2" w:rsidRDefault="006E1BB2">
            <w:pPr>
              <w:pStyle w:val="TableParagraph"/>
              <w:spacing w:before="0"/>
              <w:rPr>
                <w:rFonts w:ascii="Times New Roman"/>
                <w:sz w:val="18"/>
              </w:rPr>
            </w:pPr>
          </w:p>
        </w:tc>
        <w:tc>
          <w:tcPr>
            <w:tcW w:w="1575" w:type="dxa"/>
            <w:tcBorders>
              <w:top w:val="nil"/>
            </w:tcBorders>
          </w:tcPr>
          <w:p w14:paraId="5C9E8694" w14:textId="77777777" w:rsidR="006E1BB2" w:rsidRDefault="006E1BB2">
            <w:pPr>
              <w:pStyle w:val="TableParagraph"/>
              <w:spacing w:before="0"/>
              <w:rPr>
                <w:rFonts w:ascii="Times New Roman"/>
                <w:sz w:val="18"/>
              </w:rPr>
            </w:pPr>
          </w:p>
        </w:tc>
        <w:tc>
          <w:tcPr>
            <w:tcW w:w="1710" w:type="dxa"/>
            <w:tcBorders>
              <w:top w:val="nil"/>
            </w:tcBorders>
          </w:tcPr>
          <w:p w14:paraId="489DCBEF" w14:textId="77777777" w:rsidR="006E1BB2" w:rsidRDefault="006E1BB2">
            <w:pPr>
              <w:pStyle w:val="TableParagraph"/>
              <w:spacing w:before="0"/>
              <w:rPr>
                <w:rFonts w:ascii="Times New Roman"/>
                <w:sz w:val="18"/>
              </w:rPr>
            </w:pPr>
          </w:p>
        </w:tc>
        <w:tc>
          <w:tcPr>
            <w:tcW w:w="5128" w:type="dxa"/>
            <w:tcBorders>
              <w:top w:val="nil"/>
            </w:tcBorders>
          </w:tcPr>
          <w:p w14:paraId="68A57D71" w14:textId="77777777" w:rsidR="006E1BB2" w:rsidRDefault="007221B2">
            <w:pPr>
              <w:pStyle w:val="TableParagraph"/>
              <w:spacing w:before="0" w:line="236" w:lineRule="exact"/>
              <w:ind w:left="113"/>
              <w:rPr>
                <w:sz w:val="20"/>
              </w:rPr>
            </w:pPr>
            <w:r>
              <w:rPr>
                <w:sz w:val="20"/>
              </w:rPr>
              <w:t>Consensus reached among Cal TF members.</w:t>
            </w:r>
          </w:p>
        </w:tc>
      </w:tr>
      <w:tr w:rsidR="006E1BB2" w14:paraId="148CA2C7" w14:textId="77777777">
        <w:trPr>
          <w:trHeight w:val="293"/>
        </w:trPr>
        <w:tc>
          <w:tcPr>
            <w:tcW w:w="941" w:type="dxa"/>
            <w:tcBorders>
              <w:top w:val="nil"/>
              <w:bottom w:val="nil"/>
            </w:tcBorders>
          </w:tcPr>
          <w:p w14:paraId="7F2A387B" w14:textId="77777777" w:rsidR="006E1BB2" w:rsidRDefault="006E1BB2">
            <w:pPr>
              <w:pStyle w:val="TableParagraph"/>
              <w:spacing w:before="0"/>
              <w:rPr>
                <w:rFonts w:ascii="Times New Roman"/>
                <w:sz w:val="20"/>
              </w:rPr>
            </w:pPr>
          </w:p>
        </w:tc>
        <w:tc>
          <w:tcPr>
            <w:tcW w:w="1575" w:type="dxa"/>
            <w:tcBorders>
              <w:bottom w:val="nil"/>
            </w:tcBorders>
          </w:tcPr>
          <w:p w14:paraId="11C5D174" w14:textId="77777777" w:rsidR="006E1BB2" w:rsidRDefault="007221B2">
            <w:pPr>
              <w:pStyle w:val="TableParagraph"/>
              <w:ind w:left="114"/>
              <w:rPr>
                <w:sz w:val="20"/>
              </w:rPr>
            </w:pPr>
            <w:r>
              <w:rPr>
                <w:sz w:val="20"/>
              </w:rPr>
              <w:t>12/21/2018</w:t>
            </w:r>
          </w:p>
        </w:tc>
        <w:tc>
          <w:tcPr>
            <w:tcW w:w="1710" w:type="dxa"/>
            <w:tcBorders>
              <w:bottom w:val="nil"/>
            </w:tcBorders>
          </w:tcPr>
          <w:p w14:paraId="18294DB6" w14:textId="77777777" w:rsidR="006E1BB2" w:rsidRDefault="007221B2">
            <w:pPr>
              <w:pStyle w:val="TableParagraph"/>
              <w:ind w:left="114"/>
              <w:rPr>
                <w:sz w:val="20"/>
              </w:rPr>
            </w:pPr>
            <w:r>
              <w:rPr>
                <w:sz w:val="20"/>
              </w:rPr>
              <w:t>Jennifer Holmes</w:t>
            </w:r>
          </w:p>
          <w:p w14:paraId="6D0111E6" w14:textId="03970D32" w:rsidR="00701116" w:rsidRDefault="00701116">
            <w:pPr>
              <w:pStyle w:val="TableParagraph"/>
              <w:ind w:left="114"/>
              <w:rPr>
                <w:sz w:val="20"/>
              </w:rPr>
            </w:pPr>
            <w:r>
              <w:rPr>
                <w:sz w:val="20"/>
              </w:rPr>
              <w:t>Cal TF Staff</w:t>
            </w:r>
          </w:p>
        </w:tc>
        <w:tc>
          <w:tcPr>
            <w:tcW w:w="5128" w:type="dxa"/>
            <w:tcBorders>
              <w:bottom w:val="nil"/>
            </w:tcBorders>
          </w:tcPr>
          <w:p w14:paraId="5D189EB0" w14:textId="77777777" w:rsidR="006E1BB2" w:rsidRDefault="007221B2">
            <w:pPr>
              <w:pStyle w:val="TableParagraph"/>
              <w:ind w:left="113"/>
              <w:rPr>
                <w:sz w:val="20"/>
              </w:rPr>
            </w:pPr>
            <w:r>
              <w:rPr>
                <w:sz w:val="20"/>
              </w:rPr>
              <w:t>Revisions for submission of version 01</w:t>
            </w:r>
          </w:p>
        </w:tc>
      </w:tr>
      <w:tr w:rsidR="00701116" w14:paraId="4950AAA7" w14:textId="77777777">
        <w:trPr>
          <w:trHeight w:val="293"/>
        </w:trPr>
        <w:tc>
          <w:tcPr>
            <w:tcW w:w="941" w:type="dxa"/>
            <w:tcBorders>
              <w:top w:val="nil"/>
              <w:bottom w:val="nil"/>
            </w:tcBorders>
          </w:tcPr>
          <w:p w14:paraId="2F759A80" w14:textId="77777777" w:rsidR="00701116" w:rsidRDefault="00701116">
            <w:pPr>
              <w:pStyle w:val="TableParagraph"/>
              <w:spacing w:before="0"/>
              <w:rPr>
                <w:rFonts w:ascii="Times New Roman"/>
                <w:sz w:val="20"/>
              </w:rPr>
            </w:pPr>
          </w:p>
        </w:tc>
        <w:tc>
          <w:tcPr>
            <w:tcW w:w="1575" w:type="dxa"/>
            <w:tcBorders>
              <w:bottom w:val="nil"/>
            </w:tcBorders>
          </w:tcPr>
          <w:p w14:paraId="4DB4DE04" w14:textId="77777777" w:rsidR="00701116" w:rsidRDefault="00701116">
            <w:pPr>
              <w:pStyle w:val="TableParagraph"/>
              <w:ind w:left="114"/>
              <w:rPr>
                <w:sz w:val="20"/>
              </w:rPr>
            </w:pPr>
          </w:p>
        </w:tc>
        <w:tc>
          <w:tcPr>
            <w:tcW w:w="1710" w:type="dxa"/>
            <w:tcBorders>
              <w:bottom w:val="nil"/>
            </w:tcBorders>
          </w:tcPr>
          <w:p w14:paraId="2EB61E2A" w14:textId="77777777" w:rsidR="00701116" w:rsidRDefault="00701116">
            <w:pPr>
              <w:pStyle w:val="TableParagraph"/>
              <w:ind w:left="114"/>
              <w:rPr>
                <w:sz w:val="20"/>
              </w:rPr>
            </w:pPr>
          </w:p>
        </w:tc>
        <w:tc>
          <w:tcPr>
            <w:tcW w:w="5128" w:type="dxa"/>
            <w:tcBorders>
              <w:bottom w:val="nil"/>
            </w:tcBorders>
          </w:tcPr>
          <w:p w14:paraId="1BAFFB84" w14:textId="77777777" w:rsidR="00701116" w:rsidRDefault="00701116">
            <w:pPr>
              <w:pStyle w:val="TableParagraph"/>
              <w:ind w:left="113"/>
              <w:rPr>
                <w:sz w:val="20"/>
              </w:rPr>
            </w:pPr>
          </w:p>
        </w:tc>
      </w:tr>
      <w:tr w:rsidR="00403969" w14:paraId="0764E263" w14:textId="77777777" w:rsidTr="00403969">
        <w:trPr>
          <w:trHeight w:val="253"/>
        </w:trPr>
        <w:tc>
          <w:tcPr>
            <w:tcW w:w="941" w:type="dxa"/>
            <w:tcBorders>
              <w:top w:val="nil"/>
              <w:bottom w:val="nil"/>
            </w:tcBorders>
          </w:tcPr>
          <w:p w14:paraId="724D61CA" w14:textId="77777777" w:rsidR="00403969" w:rsidRDefault="00403969" w:rsidP="00403969">
            <w:pPr>
              <w:pStyle w:val="TableParagraph"/>
              <w:spacing w:before="0"/>
              <w:rPr>
                <w:rFonts w:ascii="Times New Roman"/>
                <w:sz w:val="18"/>
              </w:rPr>
            </w:pPr>
          </w:p>
        </w:tc>
        <w:tc>
          <w:tcPr>
            <w:tcW w:w="1575" w:type="dxa"/>
            <w:tcBorders>
              <w:top w:val="nil"/>
              <w:bottom w:val="nil"/>
            </w:tcBorders>
          </w:tcPr>
          <w:p w14:paraId="1DAD76C0" w14:textId="642CE134" w:rsidR="00403969" w:rsidRDefault="00403969" w:rsidP="00403969">
            <w:pPr>
              <w:pStyle w:val="TableParagraph"/>
              <w:spacing w:before="0"/>
              <w:rPr>
                <w:rFonts w:ascii="Times New Roman"/>
                <w:sz w:val="18"/>
              </w:rPr>
            </w:pPr>
            <w:r>
              <w:rPr>
                <w:sz w:val="20"/>
              </w:rPr>
              <w:t xml:space="preserve">   02/11/2021</w:t>
            </w:r>
          </w:p>
        </w:tc>
        <w:tc>
          <w:tcPr>
            <w:tcW w:w="1710" w:type="dxa"/>
            <w:tcBorders>
              <w:top w:val="nil"/>
              <w:bottom w:val="nil"/>
            </w:tcBorders>
          </w:tcPr>
          <w:p w14:paraId="3CE4EEDB" w14:textId="77777777" w:rsidR="00403969" w:rsidRDefault="00403969" w:rsidP="00403969">
            <w:pPr>
              <w:pStyle w:val="TableParagraph"/>
              <w:spacing w:before="0" w:line="234" w:lineRule="exact"/>
              <w:ind w:left="114"/>
              <w:rPr>
                <w:sz w:val="20"/>
              </w:rPr>
            </w:pPr>
            <w:r>
              <w:rPr>
                <w:sz w:val="20"/>
              </w:rPr>
              <w:t>Soe K Hla</w:t>
            </w:r>
          </w:p>
          <w:p w14:paraId="22B15AAD" w14:textId="1D1B3A57" w:rsidR="00403969" w:rsidRDefault="00403969" w:rsidP="00403969">
            <w:pPr>
              <w:pStyle w:val="TableParagraph"/>
              <w:spacing w:before="0" w:line="234" w:lineRule="exact"/>
              <w:ind w:left="114"/>
              <w:rPr>
                <w:sz w:val="20"/>
              </w:rPr>
            </w:pPr>
            <w:r>
              <w:rPr>
                <w:sz w:val="20"/>
              </w:rPr>
              <w:t>PG&amp;E</w:t>
            </w:r>
          </w:p>
        </w:tc>
        <w:tc>
          <w:tcPr>
            <w:tcW w:w="5128" w:type="dxa"/>
            <w:tcBorders>
              <w:top w:val="nil"/>
              <w:bottom w:val="nil"/>
            </w:tcBorders>
          </w:tcPr>
          <w:p w14:paraId="08F057CC" w14:textId="41AE8E68" w:rsidR="00403969" w:rsidRDefault="00DC1E11" w:rsidP="00403969">
            <w:pPr>
              <w:pStyle w:val="TableParagraph"/>
              <w:spacing w:before="0"/>
              <w:rPr>
                <w:rFonts w:ascii="Times New Roman"/>
                <w:sz w:val="18"/>
              </w:rPr>
            </w:pPr>
            <w:r>
              <w:rPr>
                <w:sz w:val="20"/>
              </w:rPr>
              <w:t xml:space="preserve">   </w:t>
            </w:r>
            <w:r w:rsidR="00112CC4">
              <w:rPr>
                <w:sz w:val="20"/>
              </w:rPr>
              <w:t>Adopted measures</w:t>
            </w:r>
            <w:r w:rsidR="004A5951">
              <w:rPr>
                <w:sz w:val="20"/>
              </w:rPr>
              <w:t xml:space="preserve"> for </w:t>
            </w:r>
            <w:proofErr w:type="spellStart"/>
            <w:r w:rsidR="004A5951">
              <w:rPr>
                <w:sz w:val="20"/>
              </w:rPr>
              <w:t>Dn</w:t>
            </w:r>
            <w:r w:rsidR="005A75B5">
              <w:rPr>
                <w:sz w:val="20"/>
              </w:rPr>
              <w:t>Deem</w:t>
            </w:r>
            <w:r w:rsidR="007F1234">
              <w:rPr>
                <w:sz w:val="20"/>
              </w:rPr>
              <w:t>ed</w:t>
            </w:r>
            <w:proofErr w:type="spellEnd"/>
            <w:r w:rsidR="00A96C1B">
              <w:rPr>
                <w:sz w:val="20"/>
              </w:rPr>
              <w:t xml:space="preserve"> and </w:t>
            </w:r>
            <w:proofErr w:type="spellStart"/>
            <w:r w:rsidR="00A96C1B">
              <w:rPr>
                <w:sz w:val="20"/>
              </w:rPr>
              <w:t>Dn</w:t>
            </w:r>
            <w:r w:rsidR="00A82DEE">
              <w:rPr>
                <w:sz w:val="20"/>
              </w:rPr>
              <w:t>D</w:t>
            </w:r>
            <w:r w:rsidR="00A96C1B">
              <w:rPr>
                <w:sz w:val="20"/>
              </w:rPr>
              <w:t>eemDI</w:t>
            </w:r>
            <w:proofErr w:type="spellEnd"/>
          </w:p>
        </w:tc>
      </w:tr>
      <w:tr w:rsidR="00403969" w14:paraId="3568A53F" w14:textId="77777777">
        <w:trPr>
          <w:trHeight w:val="253"/>
        </w:trPr>
        <w:tc>
          <w:tcPr>
            <w:tcW w:w="941" w:type="dxa"/>
            <w:tcBorders>
              <w:top w:val="nil"/>
            </w:tcBorders>
          </w:tcPr>
          <w:p w14:paraId="76D4C546" w14:textId="77777777" w:rsidR="00403969" w:rsidRDefault="00403969" w:rsidP="00403969">
            <w:pPr>
              <w:pStyle w:val="TableParagraph"/>
              <w:spacing w:before="0"/>
              <w:rPr>
                <w:rFonts w:ascii="Times New Roman"/>
                <w:sz w:val="18"/>
              </w:rPr>
            </w:pPr>
          </w:p>
        </w:tc>
        <w:tc>
          <w:tcPr>
            <w:tcW w:w="1575" w:type="dxa"/>
            <w:tcBorders>
              <w:top w:val="nil"/>
            </w:tcBorders>
          </w:tcPr>
          <w:p w14:paraId="5BA0FBAC" w14:textId="77777777" w:rsidR="00403969" w:rsidRDefault="00403969" w:rsidP="00403969">
            <w:pPr>
              <w:pStyle w:val="TableParagraph"/>
              <w:spacing w:before="0"/>
              <w:rPr>
                <w:sz w:val="20"/>
              </w:rPr>
            </w:pPr>
          </w:p>
        </w:tc>
        <w:tc>
          <w:tcPr>
            <w:tcW w:w="1710" w:type="dxa"/>
            <w:tcBorders>
              <w:top w:val="nil"/>
            </w:tcBorders>
          </w:tcPr>
          <w:p w14:paraId="49E3EF64" w14:textId="77777777" w:rsidR="00403969" w:rsidRDefault="00403969" w:rsidP="00403969">
            <w:pPr>
              <w:pStyle w:val="TableParagraph"/>
              <w:spacing w:before="0" w:line="234" w:lineRule="exact"/>
              <w:ind w:left="114"/>
              <w:rPr>
                <w:sz w:val="20"/>
              </w:rPr>
            </w:pPr>
          </w:p>
        </w:tc>
        <w:tc>
          <w:tcPr>
            <w:tcW w:w="5128" w:type="dxa"/>
            <w:tcBorders>
              <w:top w:val="nil"/>
            </w:tcBorders>
          </w:tcPr>
          <w:p w14:paraId="4863BD79" w14:textId="77777777" w:rsidR="00403969" w:rsidRDefault="00403969" w:rsidP="00403969">
            <w:pPr>
              <w:pStyle w:val="TableParagraph"/>
              <w:spacing w:before="0"/>
              <w:rPr>
                <w:rFonts w:ascii="Times New Roman"/>
                <w:sz w:val="18"/>
              </w:rPr>
            </w:pPr>
          </w:p>
        </w:tc>
      </w:tr>
    </w:tbl>
    <w:p w14:paraId="444DA90F" w14:textId="77777777" w:rsidR="00DC20B7" w:rsidRDefault="00DC20B7"/>
    <w:sectPr w:rsidR="00DC20B7">
      <w:pgSz w:w="12240" w:h="15840"/>
      <w:pgMar w:top="1220" w:right="122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FB2D1" w14:textId="77777777" w:rsidR="00065752" w:rsidRDefault="00065752">
      <w:r>
        <w:separator/>
      </w:r>
    </w:p>
  </w:endnote>
  <w:endnote w:type="continuationSeparator" w:id="0">
    <w:p w14:paraId="7BFF4248" w14:textId="77777777" w:rsidR="00065752" w:rsidRDefault="0006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089D4" w14:textId="6584A120" w:rsidR="006E1BB2" w:rsidRDefault="007221B2">
    <w:pPr>
      <w:pStyle w:val="BodyText"/>
      <w:spacing w:line="14" w:lineRule="auto"/>
      <w:rPr>
        <w:sz w:val="20"/>
      </w:rPr>
    </w:pPr>
    <w:r>
      <w:rPr>
        <w:noProof/>
      </w:rPr>
      <w:drawing>
        <wp:anchor distT="0" distB="0" distL="0" distR="0" simplePos="0" relativeHeight="250354688" behindDoc="1" locked="0" layoutInCell="1" allowOverlap="1" wp14:anchorId="66A64371" wp14:editId="13763BFE">
          <wp:simplePos x="0" y="0"/>
          <wp:positionH relativeFrom="page">
            <wp:posOffset>3622134</wp:posOffset>
          </wp:positionH>
          <wp:positionV relativeFrom="page">
            <wp:posOffset>9214522</wp:posOffset>
          </wp:positionV>
          <wp:extent cx="550450"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50355712" behindDoc="1" locked="0" layoutInCell="1" allowOverlap="1" wp14:anchorId="39E82F01" wp14:editId="0455AAC3">
              <wp:simplePos x="0" y="0"/>
              <wp:positionH relativeFrom="page">
                <wp:posOffset>3825875</wp:posOffset>
              </wp:positionH>
              <wp:positionV relativeFrom="page">
                <wp:posOffset>9422765</wp:posOffset>
              </wp:positionV>
              <wp:extent cx="121285" cy="1143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E7EF5" w14:textId="77777777" w:rsidR="006E1BB2" w:rsidRDefault="007221B2">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82F01" id="_x0000_t202" coordsize="21600,21600" o:spt="202" path="m,l,21600r21600,l21600,xe">
              <v:stroke joinstyle="miter"/>
              <v:path gradientshapeok="t" o:connecttype="rect"/>
            </v:shapetype>
            <v:shape id="Text Box 3" o:spid="_x0000_s1027" type="#_x0000_t202" style="position:absolute;margin-left:301.25pt;margin-top:741.95pt;width:9.55pt;height:9pt;z-index:-25296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" filled="f" stroked="f">
              <v:textbox inset="0,0,0,0">
                <w:txbxContent>
                  <w:p w14:paraId="600E7EF5" w14:textId="77777777" w:rsidR="006E1BB2" w:rsidRDefault="007221B2">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53513" w14:textId="65746EED" w:rsidR="006E1BB2" w:rsidRDefault="007221B2">
    <w:pPr>
      <w:pStyle w:val="BodyText"/>
      <w:spacing w:line="14" w:lineRule="auto"/>
      <w:rPr>
        <w:sz w:val="20"/>
      </w:rPr>
    </w:pPr>
    <w:r>
      <w:rPr>
        <w:noProof/>
      </w:rPr>
      <w:drawing>
        <wp:anchor distT="0" distB="0" distL="0" distR="0" simplePos="0" relativeHeight="250357760" behindDoc="1" locked="0" layoutInCell="1" allowOverlap="1" wp14:anchorId="4E1B7717" wp14:editId="0EB48F37">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50358784" behindDoc="1" locked="0" layoutInCell="1" allowOverlap="1" wp14:anchorId="3FE6ED00" wp14:editId="5CE20205">
              <wp:simplePos x="0" y="0"/>
              <wp:positionH relativeFrom="page">
                <wp:posOffset>3803015</wp:posOffset>
              </wp:positionH>
              <wp:positionV relativeFrom="page">
                <wp:posOffset>9422765</wp:posOffset>
              </wp:positionV>
              <wp:extent cx="165100" cy="114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6C68" w14:textId="77777777" w:rsidR="006E1BB2" w:rsidRDefault="007221B2">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E6ED00" id="_x0000_t202" coordsize="21600,21600" o:spt="202" path="m,l,21600r21600,l21600,xe">
              <v:stroke joinstyle="miter"/>
              <v:path gradientshapeok="t" o:connecttype="rect"/>
            </v:shapetype>
            <v:shape id="Text Box 1" o:spid="_x0000_s1029" type="#_x0000_t202" style="position:absolute;margin-left:299.45pt;margin-top:741.95pt;width:13pt;height:9pt;z-index:-25295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" filled="f" stroked="f">
              <v:textbox inset="0,0,0,0">
                <w:txbxContent>
                  <w:p w14:paraId="0D206C68" w14:textId="77777777" w:rsidR="006E1BB2" w:rsidRDefault="007221B2">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B5843" w14:textId="77777777" w:rsidR="00065752" w:rsidRDefault="00065752">
      <w:r>
        <w:separator/>
      </w:r>
    </w:p>
  </w:footnote>
  <w:footnote w:type="continuationSeparator" w:id="0">
    <w:p w14:paraId="11FC2602" w14:textId="77777777" w:rsidR="00065752" w:rsidRDefault="00065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0D12E" w14:textId="2D13E97B" w:rsidR="006E1BB2" w:rsidRDefault="007221B2">
    <w:pPr>
      <w:pStyle w:val="BodyText"/>
      <w:spacing w:line="14" w:lineRule="auto"/>
      <w:rPr>
        <w:sz w:val="20"/>
      </w:rPr>
    </w:pPr>
    <w:r>
      <w:rPr>
        <w:noProof/>
      </w:rPr>
      <mc:AlternateContent>
        <mc:Choice Requires="wps">
          <w:drawing>
            <wp:anchor distT="0" distB="0" distL="114300" distR="114300" simplePos="0" relativeHeight="250356736" behindDoc="1" locked="0" layoutInCell="1" allowOverlap="1" wp14:anchorId="1B6007E4" wp14:editId="37A76D2B">
              <wp:simplePos x="0" y="0"/>
              <wp:positionH relativeFrom="page">
                <wp:posOffset>2569845</wp:posOffset>
              </wp:positionH>
              <wp:positionV relativeFrom="page">
                <wp:posOffset>541655</wp:posOffset>
              </wp:positionV>
              <wp:extent cx="2635250" cy="1428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7B086" w14:textId="77777777" w:rsidR="006E1BB2" w:rsidRDefault="007221B2">
                          <w:pPr>
                            <w:spacing w:before="12"/>
                            <w:ind w:left="20"/>
                            <w:rPr>
                              <w:sz w:val="16"/>
                            </w:rPr>
                          </w:pPr>
                          <w:r>
                            <w:rPr>
                              <w:color w:val="5F5F5F"/>
                              <w:w w:val="105"/>
                              <w:sz w:val="16"/>
                            </w:rPr>
                            <w:t>APPLIANCE</w:t>
                          </w:r>
                          <w:r>
                            <w:rPr>
                              <w:color w:val="5F5F5F"/>
                              <w:spacing w:val="-15"/>
                              <w:w w:val="105"/>
                              <w:sz w:val="16"/>
                            </w:rPr>
                            <w:t xml:space="preserve"> </w:t>
                          </w:r>
                          <w:r>
                            <w:rPr>
                              <w:color w:val="5F5F5F"/>
                              <w:w w:val="105"/>
                              <w:sz w:val="16"/>
                            </w:rPr>
                            <w:t>&amp;</w:t>
                          </w:r>
                          <w:r>
                            <w:rPr>
                              <w:color w:val="5F5F5F"/>
                              <w:spacing w:val="-14"/>
                              <w:w w:val="105"/>
                              <w:sz w:val="16"/>
                            </w:rPr>
                            <w:t xml:space="preserve"> </w:t>
                          </w:r>
                          <w:r>
                            <w:rPr>
                              <w:color w:val="5F5F5F"/>
                              <w:w w:val="105"/>
                              <w:sz w:val="16"/>
                            </w:rPr>
                            <w:t>PLUG</w:t>
                          </w:r>
                          <w:r>
                            <w:rPr>
                              <w:color w:val="5F5F5F"/>
                              <w:spacing w:val="-14"/>
                              <w:w w:val="105"/>
                              <w:sz w:val="16"/>
                            </w:rPr>
                            <w:t xml:space="preserve"> </w:t>
                          </w:r>
                          <w:r>
                            <w:rPr>
                              <w:color w:val="5F5F5F"/>
                              <w:w w:val="105"/>
                              <w:sz w:val="16"/>
                            </w:rPr>
                            <w:t>LOADS</w:t>
                          </w:r>
                          <w:r>
                            <w:rPr>
                              <w:color w:val="5F5F5F"/>
                              <w:spacing w:val="9"/>
                              <w:w w:val="105"/>
                              <w:sz w:val="16"/>
                            </w:rPr>
                            <w:t xml:space="preserve"> </w:t>
                          </w:r>
                          <w:r>
                            <w:rPr>
                              <w:rFonts w:ascii="Wingdings" w:hAnsi="Wingdings"/>
                              <w:color w:val="8DC53E"/>
                              <w:w w:val="120"/>
                              <w:sz w:val="16"/>
                            </w:rPr>
                            <w:t>◼</w:t>
                          </w:r>
                          <w:r>
                            <w:rPr>
                              <w:rFonts w:ascii="Times New Roman" w:hAnsi="Times New Roman"/>
                              <w:color w:val="8DC53E"/>
                              <w:spacing w:val="-2"/>
                              <w:w w:val="120"/>
                              <w:sz w:val="16"/>
                            </w:rPr>
                            <w:t xml:space="preserve"> </w:t>
                          </w:r>
                          <w:r>
                            <w:rPr>
                              <w:color w:val="5F5F5F"/>
                              <w:w w:val="105"/>
                              <w:sz w:val="16"/>
                            </w:rPr>
                            <w:t>Room</w:t>
                          </w:r>
                          <w:r>
                            <w:rPr>
                              <w:color w:val="5F5F5F"/>
                              <w:spacing w:val="-17"/>
                              <w:w w:val="105"/>
                              <w:sz w:val="16"/>
                            </w:rPr>
                            <w:t xml:space="preserve"> </w:t>
                          </w:r>
                          <w:r>
                            <w:rPr>
                              <w:color w:val="5F5F5F"/>
                              <w:w w:val="105"/>
                              <w:sz w:val="16"/>
                            </w:rPr>
                            <w:t>Air</w:t>
                          </w:r>
                          <w:r>
                            <w:rPr>
                              <w:color w:val="5F5F5F"/>
                              <w:spacing w:val="-14"/>
                              <w:w w:val="105"/>
                              <w:sz w:val="16"/>
                            </w:rPr>
                            <w:t xml:space="preserve"> </w:t>
                          </w:r>
                          <w:r>
                            <w:rPr>
                              <w:color w:val="5F5F5F"/>
                              <w:spacing w:val="-3"/>
                              <w:w w:val="105"/>
                              <w:sz w:val="16"/>
                            </w:rPr>
                            <w:t>Conditioner,</w:t>
                          </w:r>
                          <w:r>
                            <w:rPr>
                              <w:color w:val="5F5F5F"/>
                              <w:spacing w:val="-16"/>
                              <w:w w:val="105"/>
                              <w:sz w:val="16"/>
                            </w:rPr>
                            <w:t xml:space="preserve"> </w:t>
                          </w:r>
                          <w:r>
                            <w:rPr>
                              <w:color w:val="5F5F5F"/>
                              <w:spacing w:val="-11"/>
                              <w:w w:val="105"/>
                              <w:sz w:val="16"/>
                            </w:rPr>
                            <w:t>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007E4" id="_x0000_t202" coordsize="21600,21600" o:spt="202" path="m,l,21600r21600,l21600,xe">
              <v:stroke joinstyle="miter"/>
              <v:path gradientshapeok="t" o:connecttype="rect"/>
            </v:shapetype>
            <v:shape id="Text Box 2" o:spid="_x0000_s1028" type="#_x0000_t202" style="position:absolute;margin-left:202.35pt;margin-top:42.65pt;width:207.5pt;height:11.25pt;z-index:-25295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" filled="f" stroked="f">
              <v:textbox inset="0,0,0,0">
                <w:txbxContent>
                  <w:p w14:paraId="7A87B086" w14:textId="77777777" w:rsidR="006E1BB2" w:rsidRDefault="007221B2">
                    <w:pPr>
                      <w:spacing w:before="12"/>
                      <w:ind w:left="20"/>
                      <w:rPr>
                        <w:sz w:val="16"/>
                      </w:rPr>
                    </w:pPr>
                    <w:r>
                      <w:rPr>
                        <w:color w:val="5F5F5F"/>
                        <w:w w:val="105"/>
                        <w:sz w:val="16"/>
                      </w:rPr>
                      <w:t>APPLIANCE</w:t>
                    </w:r>
                    <w:r>
                      <w:rPr>
                        <w:color w:val="5F5F5F"/>
                        <w:spacing w:val="-15"/>
                        <w:w w:val="105"/>
                        <w:sz w:val="16"/>
                      </w:rPr>
                      <w:t xml:space="preserve"> </w:t>
                    </w:r>
                    <w:r>
                      <w:rPr>
                        <w:color w:val="5F5F5F"/>
                        <w:w w:val="105"/>
                        <w:sz w:val="16"/>
                      </w:rPr>
                      <w:t>&amp;</w:t>
                    </w:r>
                    <w:r>
                      <w:rPr>
                        <w:color w:val="5F5F5F"/>
                        <w:spacing w:val="-14"/>
                        <w:w w:val="105"/>
                        <w:sz w:val="16"/>
                      </w:rPr>
                      <w:t xml:space="preserve"> </w:t>
                    </w:r>
                    <w:r>
                      <w:rPr>
                        <w:color w:val="5F5F5F"/>
                        <w:w w:val="105"/>
                        <w:sz w:val="16"/>
                      </w:rPr>
                      <w:t>PLUG</w:t>
                    </w:r>
                    <w:r>
                      <w:rPr>
                        <w:color w:val="5F5F5F"/>
                        <w:spacing w:val="-14"/>
                        <w:w w:val="105"/>
                        <w:sz w:val="16"/>
                      </w:rPr>
                      <w:t xml:space="preserve"> </w:t>
                    </w:r>
                    <w:r>
                      <w:rPr>
                        <w:color w:val="5F5F5F"/>
                        <w:w w:val="105"/>
                        <w:sz w:val="16"/>
                      </w:rPr>
                      <w:t>LOADS</w:t>
                    </w:r>
                    <w:r>
                      <w:rPr>
                        <w:color w:val="5F5F5F"/>
                        <w:spacing w:val="9"/>
                        <w:w w:val="105"/>
                        <w:sz w:val="16"/>
                      </w:rPr>
                      <w:t xml:space="preserve"> </w:t>
                    </w:r>
                    <w:r>
                      <w:rPr>
                        <w:rFonts w:ascii="Wingdings" w:hAnsi="Wingdings"/>
                        <w:color w:val="8DC53E"/>
                        <w:w w:val="120"/>
                        <w:sz w:val="16"/>
                      </w:rPr>
                      <w:t>◼</w:t>
                    </w:r>
                    <w:r>
                      <w:rPr>
                        <w:rFonts w:ascii="Times New Roman" w:hAnsi="Times New Roman"/>
                        <w:color w:val="8DC53E"/>
                        <w:spacing w:val="-2"/>
                        <w:w w:val="120"/>
                        <w:sz w:val="16"/>
                      </w:rPr>
                      <w:t xml:space="preserve"> </w:t>
                    </w:r>
                    <w:r>
                      <w:rPr>
                        <w:color w:val="5F5F5F"/>
                        <w:w w:val="105"/>
                        <w:sz w:val="16"/>
                      </w:rPr>
                      <w:t>Room</w:t>
                    </w:r>
                    <w:r>
                      <w:rPr>
                        <w:color w:val="5F5F5F"/>
                        <w:spacing w:val="-17"/>
                        <w:w w:val="105"/>
                        <w:sz w:val="16"/>
                      </w:rPr>
                      <w:t xml:space="preserve"> </w:t>
                    </w:r>
                    <w:r>
                      <w:rPr>
                        <w:color w:val="5F5F5F"/>
                        <w:w w:val="105"/>
                        <w:sz w:val="16"/>
                      </w:rPr>
                      <w:t>Air</w:t>
                    </w:r>
                    <w:r>
                      <w:rPr>
                        <w:color w:val="5F5F5F"/>
                        <w:spacing w:val="-14"/>
                        <w:w w:val="105"/>
                        <w:sz w:val="16"/>
                      </w:rPr>
                      <w:t xml:space="preserve"> </w:t>
                    </w:r>
                    <w:r>
                      <w:rPr>
                        <w:color w:val="5F5F5F"/>
                        <w:spacing w:val="-3"/>
                        <w:w w:val="105"/>
                        <w:sz w:val="16"/>
                      </w:rPr>
                      <w:t>Conditioner,</w:t>
                    </w:r>
                    <w:r>
                      <w:rPr>
                        <w:color w:val="5F5F5F"/>
                        <w:spacing w:val="-16"/>
                        <w:w w:val="105"/>
                        <w:sz w:val="16"/>
                      </w:rPr>
                      <w:t xml:space="preserve"> </w:t>
                    </w:r>
                    <w:r>
                      <w:rPr>
                        <w:color w:val="5F5F5F"/>
                        <w:spacing w:val="-11"/>
                        <w:w w:val="105"/>
                        <w:sz w:val="16"/>
                      </w:rPr>
                      <w:t>Residential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7719"/>
    <w:multiLevelType w:val="hybridMultilevel"/>
    <w:tmpl w:val="A29CE5B2"/>
    <w:lvl w:ilvl="0" w:tplc="73BC8612">
      <w:start w:val="1"/>
      <w:numFmt w:val="decimal"/>
      <w:lvlText w:val="%1."/>
      <w:lvlJc w:val="left"/>
      <w:pPr>
        <w:ind w:left="840" w:hanging="360"/>
      </w:pPr>
      <w:rPr>
        <w:rFonts w:hint="default"/>
        <w:spacing w:val="-1"/>
        <w:w w:val="99"/>
        <w:lang w:val="en-US" w:eastAsia="en-US" w:bidi="en-US"/>
      </w:rPr>
    </w:lvl>
    <w:lvl w:ilvl="1" w:tplc="E570A948">
      <w:numFmt w:val="bullet"/>
      <w:lvlText w:val="•"/>
      <w:lvlJc w:val="left"/>
      <w:pPr>
        <w:ind w:left="1726" w:hanging="360"/>
      </w:pPr>
      <w:rPr>
        <w:rFonts w:hint="default"/>
        <w:lang w:val="en-US" w:eastAsia="en-US" w:bidi="en-US"/>
      </w:rPr>
    </w:lvl>
    <w:lvl w:ilvl="2" w:tplc="E13AFA2E">
      <w:numFmt w:val="bullet"/>
      <w:lvlText w:val="•"/>
      <w:lvlJc w:val="left"/>
      <w:pPr>
        <w:ind w:left="2612" w:hanging="360"/>
      </w:pPr>
      <w:rPr>
        <w:rFonts w:hint="default"/>
        <w:lang w:val="en-US" w:eastAsia="en-US" w:bidi="en-US"/>
      </w:rPr>
    </w:lvl>
    <w:lvl w:ilvl="3" w:tplc="532C515A">
      <w:numFmt w:val="bullet"/>
      <w:lvlText w:val="•"/>
      <w:lvlJc w:val="left"/>
      <w:pPr>
        <w:ind w:left="3498" w:hanging="360"/>
      </w:pPr>
      <w:rPr>
        <w:rFonts w:hint="default"/>
        <w:lang w:val="en-US" w:eastAsia="en-US" w:bidi="en-US"/>
      </w:rPr>
    </w:lvl>
    <w:lvl w:ilvl="4" w:tplc="701C55C2">
      <w:numFmt w:val="bullet"/>
      <w:lvlText w:val="•"/>
      <w:lvlJc w:val="left"/>
      <w:pPr>
        <w:ind w:left="4384" w:hanging="360"/>
      </w:pPr>
      <w:rPr>
        <w:rFonts w:hint="default"/>
        <w:lang w:val="en-US" w:eastAsia="en-US" w:bidi="en-US"/>
      </w:rPr>
    </w:lvl>
    <w:lvl w:ilvl="5" w:tplc="595C8A98">
      <w:numFmt w:val="bullet"/>
      <w:lvlText w:val="•"/>
      <w:lvlJc w:val="left"/>
      <w:pPr>
        <w:ind w:left="5270" w:hanging="360"/>
      </w:pPr>
      <w:rPr>
        <w:rFonts w:hint="default"/>
        <w:lang w:val="en-US" w:eastAsia="en-US" w:bidi="en-US"/>
      </w:rPr>
    </w:lvl>
    <w:lvl w:ilvl="6" w:tplc="4C221022">
      <w:numFmt w:val="bullet"/>
      <w:lvlText w:val="•"/>
      <w:lvlJc w:val="left"/>
      <w:pPr>
        <w:ind w:left="6156" w:hanging="360"/>
      </w:pPr>
      <w:rPr>
        <w:rFonts w:hint="default"/>
        <w:lang w:val="en-US" w:eastAsia="en-US" w:bidi="en-US"/>
      </w:rPr>
    </w:lvl>
    <w:lvl w:ilvl="7" w:tplc="4B08C582">
      <w:numFmt w:val="bullet"/>
      <w:lvlText w:val="•"/>
      <w:lvlJc w:val="left"/>
      <w:pPr>
        <w:ind w:left="7042" w:hanging="360"/>
      </w:pPr>
      <w:rPr>
        <w:rFonts w:hint="default"/>
        <w:lang w:val="en-US" w:eastAsia="en-US" w:bidi="en-US"/>
      </w:rPr>
    </w:lvl>
    <w:lvl w:ilvl="8" w:tplc="A5AAEF18">
      <w:numFmt w:val="bullet"/>
      <w:lvlText w:val="•"/>
      <w:lvlJc w:val="left"/>
      <w:pPr>
        <w:ind w:left="792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BB2"/>
    <w:rsid w:val="00065752"/>
    <w:rsid w:val="000A496E"/>
    <w:rsid w:val="000E4633"/>
    <w:rsid w:val="000F305C"/>
    <w:rsid w:val="00112CC4"/>
    <w:rsid w:val="0013315C"/>
    <w:rsid w:val="002B2744"/>
    <w:rsid w:val="00316915"/>
    <w:rsid w:val="0039053D"/>
    <w:rsid w:val="003D50BD"/>
    <w:rsid w:val="003F3BB4"/>
    <w:rsid w:val="00403969"/>
    <w:rsid w:val="004539C8"/>
    <w:rsid w:val="004A5951"/>
    <w:rsid w:val="004C7B63"/>
    <w:rsid w:val="005A75B5"/>
    <w:rsid w:val="00646C10"/>
    <w:rsid w:val="006E1BB2"/>
    <w:rsid w:val="00701116"/>
    <w:rsid w:val="007221B2"/>
    <w:rsid w:val="00793C88"/>
    <w:rsid w:val="007A7538"/>
    <w:rsid w:val="007F1234"/>
    <w:rsid w:val="0082364A"/>
    <w:rsid w:val="00966958"/>
    <w:rsid w:val="009C726D"/>
    <w:rsid w:val="009F5E4B"/>
    <w:rsid w:val="00A82DEE"/>
    <w:rsid w:val="00A96C1B"/>
    <w:rsid w:val="00B81CCF"/>
    <w:rsid w:val="00BA0D7A"/>
    <w:rsid w:val="00C034E6"/>
    <w:rsid w:val="00C822C2"/>
    <w:rsid w:val="00D620F3"/>
    <w:rsid w:val="00DC1E11"/>
    <w:rsid w:val="00DC20B7"/>
    <w:rsid w:val="00DF3840"/>
    <w:rsid w:val="00E046E4"/>
    <w:rsid w:val="00E13E43"/>
    <w:rsid w:val="00E4372A"/>
    <w:rsid w:val="00E54919"/>
    <w:rsid w:val="00EE0177"/>
    <w:rsid w:val="00F024C9"/>
    <w:rsid w:val="00F519B0"/>
    <w:rsid w:val="00F55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685342"/>
  <w15:docId w15:val="{783709F0-B6D4-418C-9426-53C96036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80"/>
    </w:pPr>
  </w:style>
  <w:style w:type="paragraph" w:styleId="BodyText">
    <w:name w:val="Body Text"/>
    <w:basedOn w:val="Normal"/>
    <w:uiPriority w:val="1"/>
    <w:qFormat/>
  </w:style>
  <w:style w:type="paragraph" w:styleId="ListParagraph">
    <w:name w:val="List Paragraph"/>
    <w:basedOn w:val="Normal"/>
    <w:uiPriority w:val="1"/>
    <w:qFormat/>
    <w:pPr>
      <w:spacing w:before="1"/>
      <w:ind w:left="840" w:hanging="360"/>
    </w:pPr>
  </w:style>
  <w:style w:type="paragraph" w:customStyle="1" w:styleId="TableParagraph">
    <w:name w:val="Table Paragraph"/>
    <w:basedOn w:val="Normal"/>
    <w:uiPriority w:val="1"/>
    <w:qFormat/>
    <w:pPr>
      <w:spacing w:before="20"/>
    </w:pPr>
  </w:style>
  <w:style w:type="paragraph" w:customStyle="1" w:styleId="eTRMHeading1">
    <w:name w:val="eTRM Heading 1"/>
    <w:basedOn w:val="Normal"/>
    <w:link w:val="eTRMHeading1Char"/>
    <w:autoRedefine/>
    <w:qFormat/>
    <w:rsid w:val="00EE0177"/>
    <w:pPr>
      <w:keepNext/>
      <w:keepLines/>
      <w:widowControl/>
      <w:autoSpaceDE/>
      <w:autoSpaceDN/>
      <w:spacing w:before="120" w:after="120" w:line="320" w:lineRule="exact"/>
      <w:contextualSpacing/>
      <w:outlineLvl w:val="0"/>
    </w:pPr>
    <w:rPr>
      <w:rFonts w:ascii="Calibri" w:eastAsiaTheme="majorEastAsia" w:hAnsi="Calibri" w:cstheme="majorBidi"/>
      <w:b/>
      <w:caps/>
      <w:color w:val="FFFFFF" w:themeColor="background1"/>
      <w:spacing w:val="60"/>
      <w:sz w:val="32"/>
      <w:szCs w:val="40"/>
      <w:lang w:bidi="ar-SA"/>
    </w:rPr>
  </w:style>
  <w:style w:type="character" w:customStyle="1" w:styleId="eTRMHeading1Char">
    <w:name w:val="eTRM Heading 1 Char"/>
    <w:basedOn w:val="DefaultParagraphFont"/>
    <w:link w:val="eTRMHeading1"/>
    <w:rsid w:val="00EE0177"/>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7A7538"/>
    <w:pPr>
      <w:keepNext/>
      <w:keepLines/>
      <w:widowControl/>
      <w:autoSpaceDE/>
      <w:autoSpaceDN/>
      <w:spacing w:before="120" w:after="120" w:line="360" w:lineRule="exact"/>
      <w:jc w:val="center"/>
      <w:outlineLvl w:val="1"/>
    </w:pPr>
    <w:rPr>
      <w:rFonts w:eastAsiaTheme="majorEastAsia" w:cstheme="majorBidi"/>
      <w:caps/>
      <w:spacing w:val="80"/>
      <w:sz w:val="36"/>
      <w:szCs w:val="26"/>
      <w:lang w:bidi="ar-SA"/>
    </w:rPr>
  </w:style>
  <w:style w:type="character" w:customStyle="1" w:styleId="eTRMHeading2Char">
    <w:name w:val="eTRM Heading 2 Char"/>
    <w:basedOn w:val="DefaultParagraphFont"/>
    <w:link w:val="eTRMHeading2"/>
    <w:rsid w:val="007A7538"/>
    <w:rPr>
      <w:rFonts w:ascii="Calibri Light" w:eastAsiaTheme="majorEastAsia" w:hAnsi="Calibri Light" w:cstheme="majorBidi"/>
      <w:caps/>
      <w:spacing w:val="80"/>
      <w:sz w:val="36"/>
      <w:szCs w:val="26"/>
    </w:rPr>
  </w:style>
  <w:style w:type="character" w:styleId="PlaceholderText">
    <w:name w:val="Placeholder Text"/>
    <w:basedOn w:val="DefaultParagraphFont"/>
    <w:uiPriority w:val="99"/>
    <w:semiHidden/>
    <w:rsid w:val="00E54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085CA6BAA6AB4A863566C5E1A02075" ma:contentTypeVersion="12" ma:contentTypeDescription="Create a new document." ma:contentTypeScope="" ma:versionID="5f5d8060f6b7826916ce30c10f78f1f6">
  <xsd:schema xmlns:xsd="http://www.w3.org/2001/XMLSchema" xmlns:xs="http://www.w3.org/2001/XMLSchema" xmlns:p="http://schemas.microsoft.com/office/2006/metadata/properties" xmlns:ns3="686d45dc-0e35-4a28-a6af-9a4b5ccfa67b" xmlns:ns4="26d3db0d-e6b4-482f-8cb9-934bdb0cacf2" targetNamespace="http://schemas.microsoft.com/office/2006/metadata/properties" ma:root="true" ma:fieldsID="7f56d2cfdf95f801894ee30c4b8c3abe" ns3:_="" ns4:_="">
    <xsd:import namespace="686d45dc-0e35-4a28-a6af-9a4b5ccfa67b"/>
    <xsd:import namespace="26d3db0d-e6b4-482f-8cb9-934bdb0cac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d45dc-0e35-4a28-a6af-9a4b5ccfa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3db0d-e6b4-482f-8cb9-934bdb0cac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3F725-3D16-4340-8266-7C66CCB5CF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08CB61-ADD2-459C-9CA7-71AF2DD479C3}">
  <ds:schemaRefs>
    <ds:schemaRef ds:uri="http://schemas.microsoft.com/sharepoint/v3/contenttype/forms"/>
  </ds:schemaRefs>
</ds:datastoreItem>
</file>

<file path=customXml/itemProps3.xml><?xml version="1.0" encoding="utf-8"?>
<ds:datastoreItem xmlns:ds="http://schemas.openxmlformats.org/officeDocument/2006/customXml" ds:itemID="{E921332D-2402-4E4D-A4CD-3299C9355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d45dc-0e35-4a28-a6af-9a4b5ccfa67b"/>
    <ds:schemaRef ds:uri="26d3db0d-e6b4-482f-8cb9-934bdb0ca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11</Pages>
  <Words>3393</Words>
  <Characters>19341</Characters>
  <Application>Microsoft Office Word</Application>
  <DocSecurity>0</DocSecurity>
  <Lines>161</Lines>
  <Paragraphs>45</Paragraphs>
  <ScaleCrop>false</ScaleCrop>
  <Company>Pacific Gas and Electric Co</Company>
  <LinksUpToDate>false</LinksUpToDate>
  <CharactersWithSpaces>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Hla, Soe</cp:lastModifiedBy>
  <cp:revision>42</cp:revision>
  <dcterms:created xsi:type="dcterms:W3CDTF">2021-02-08T19:10:00Z</dcterms:created>
  <dcterms:modified xsi:type="dcterms:W3CDTF">2021-02-11T21:44:00Z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2018-12-28T00:00:00Z</vt:filetime>
  </property>
  <property fmtid="{D5CDD505-2E9C-101B-9397-08002B2CF9AE}" pid="3" name="Creator">
    <vt:lpwstr>Microsoft® Word for Office 365</vt:lpwstr>
  </property>
  <property fmtid="{D5CDD505-2E9C-101B-9397-08002B2CF9AE}" pid="4" name="LastSaved">
    <vt:filetime>2021-02-08T00:00:00Z</vt:filetime>
  </property>
  <property fmtid="{D5CDD505-2E9C-101B-9397-08002B2CF9AE}" pid="5" name="ContentTypeId">
    <vt:lpwstr>0x0101005B085CA6BAA6AB4A863566C5E1A02075</vt:lpwstr>
  </property>
</Properties>
</file>