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94019" w:rsidRDefault="00794019" w:rsidP="00794019">
      <w:pPr>
        <w:spacing w:after="0" w:line="240" w:lineRule="auto"/>
        <w:rPr>
          <w:b/>
          <w:sz w:val="24"/>
          <w:szCs w:val="24"/>
        </w:rPr>
      </w:pPr>
      <w:bookmarkStart w:id="0" w:name="_top"/>
      <w:bookmarkEnd w:id="0"/>
      <w:r>
        <w:rPr>
          <w:b/>
          <w:sz w:val="24"/>
          <w:szCs w:val="24"/>
        </w:rPr>
        <w:t>WORKPAPER DISPOSITION FOR</w:t>
      </w:r>
    </w:p>
    <w:p w:rsidR="00794019" w:rsidRDefault="00794019" w:rsidP="00794019">
      <w:pPr>
        <w:spacing w:after="0" w:line="240" w:lineRule="auto"/>
        <w:rPr>
          <w:b/>
          <w:sz w:val="24"/>
          <w:szCs w:val="24"/>
        </w:rPr>
      </w:pPr>
      <w:r>
        <w:rPr>
          <w:b/>
          <w:sz w:val="24"/>
          <w:szCs w:val="24"/>
        </w:rPr>
        <w:t>Water Fixtures</w:t>
      </w:r>
    </w:p>
    <w:p w:rsidR="00794019" w:rsidRDefault="00794019" w:rsidP="00794019">
      <w:pPr>
        <w:spacing w:after="0" w:line="240" w:lineRule="auto"/>
        <w:rPr>
          <w:b/>
          <w:sz w:val="24"/>
          <w:szCs w:val="24"/>
        </w:rPr>
      </w:pPr>
      <w:r>
        <w:rPr>
          <w:b/>
          <w:sz w:val="24"/>
          <w:szCs w:val="24"/>
        </w:rPr>
        <w:t>California Public Utilities Commission, Energy Division</w:t>
      </w:r>
    </w:p>
    <w:p w:rsidR="00CE231F" w:rsidRDefault="00CE231F" w:rsidP="00794019">
      <w:r>
        <w:t>February 22, 2013</w:t>
      </w:r>
    </w:p>
    <w:p w:rsidR="00794019" w:rsidRPr="00E534A2" w:rsidRDefault="00794019" w:rsidP="00794019">
      <w:r>
        <w:t xml:space="preserve">Refer to </w:t>
      </w:r>
      <w:r w:rsidR="00B14858">
        <w:fldChar w:fldCharType="begin"/>
      </w:r>
      <w:r>
        <w:instrText xml:space="preserve"> REF _Ref324175084 \h </w:instrText>
      </w:r>
      <w:r w:rsidR="00B14858">
        <w:fldChar w:fldCharType="separate"/>
      </w:r>
      <w:r w:rsidRPr="00E534A2">
        <w:t xml:space="preserve">Table </w:t>
      </w:r>
      <w:r>
        <w:rPr>
          <w:noProof/>
        </w:rPr>
        <w:t>1</w:t>
      </w:r>
      <w:r w:rsidR="00B14858">
        <w:fldChar w:fldCharType="end"/>
      </w:r>
      <w:r>
        <w:t xml:space="preserve"> for a list of currently submitted IOU workpapers </w:t>
      </w:r>
      <w:r w:rsidR="00FF188F">
        <w:t>that cover domestic hot water fixture measures</w:t>
      </w:r>
      <w:r>
        <w:t>.</w:t>
      </w:r>
    </w:p>
    <w:p w:rsidR="00794019" w:rsidRPr="00E534A2" w:rsidRDefault="00794019" w:rsidP="00794019">
      <w:pPr>
        <w:pStyle w:val="Caption"/>
        <w:keepNext/>
        <w:rPr>
          <w:sz w:val="22"/>
          <w:szCs w:val="22"/>
        </w:rPr>
      </w:pPr>
      <w:bookmarkStart w:id="1" w:name="_Ref324175084"/>
      <w:r w:rsidRPr="00E534A2">
        <w:rPr>
          <w:sz w:val="22"/>
          <w:szCs w:val="22"/>
        </w:rPr>
        <w:t xml:space="preserve">Table </w:t>
      </w:r>
      <w:r w:rsidR="00B14858">
        <w:rPr>
          <w:sz w:val="22"/>
          <w:szCs w:val="22"/>
        </w:rPr>
        <w:fldChar w:fldCharType="begin"/>
      </w:r>
      <w:r>
        <w:rPr>
          <w:sz w:val="22"/>
          <w:szCs w:val="22"/>
        </w:rPr>
        <w:instrText xml:space="preserve"> SEQ Table \* ARABIC </w:instrText>
      </w:r>
      <w:r w:rsidR="00B14858">
        <w:rPr>
          <w:sz w:val="22"/>
          <w:szCs w:val="22"/>
        </w:rPr>
        <w:fldChar w:fldCharType="separate"/>
      </w:r>
      <w:r w:rsidR="009C141F">
        <w:rPr>
          <w:noProof/>
          <w:sz w:val="22"/>
          <w:szCs w:val="22"/>
        </w:rPr>
        <w:t>1</w:t>
      </w:r>
      <w:r w:rsidR="00B14858">
        <w:rPr>
          <w:sz w:val="22"/>
          <w:szCs w:val="22"/>
        </w:rPr>
        <w:fldChar w:fldCharType="end"/>
      </w:r>
      <w:bookmarkEnd w:id="1"/>
      <w:r w:rsidR="00B512B1">
        <w:rPr>
          <w:sz w:val="22"/>
          <w:szCs w:val="22"/>
        </w:rPr>
        <w:t xml:space="preserve"> – Faucet Aerators and Showerheads</w:t>
      </w:r>
    </w:p>
    <w:tbl>
      <w:tblPr>
        <w:tblW w:w="928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56"/>
        <w:gridCol w:w="5265"/>
        <w:gridCol w:w="1764"/>
      </w:tblGrid>
      <w:tr w:rsidR="00794019" w:rsidRPr="008E6B1C" w:rsidTr="0025457E">
        <w:trPr>
          <w:trHeight w:val="287"/>
        </w:trPr>
        <w:tc>
          <w:tcPr>
            <w:tcW w:w="2256" w:type="dxa"/>
          </w:tcPr>
          <w:p w:rsidR="00794019" w:rsidRPr="008E6B1C" w:rsidRDefault="00794019" w:rsidP="001E7828">
            <w:pPr>
              <w:keepNext/>
              <w:spacing w:after="0" w:line="240" w:lineRule="auto"/>
              <w:rPr>
                <w:b/>
              </w:rPr>
            </w:pPr>
            <w:r w:rsidRPr="008E6B1C">
              <w:rPr>
                <w:b/>
              </w:rPr>
              <w:t>Workpaper ID</w:t>
            </w:r>
          </w:p>
        </w:tc>
        <w:tc>
          <w:tcPr>
            <w:tcW w:w="5265" w:type="dxa"/>
          </w:tcPr>
          <w:p w:rsidR="00794019" w:rsidRPr="008E6B1C" w:rsidRDefault="00794019" w:rsidP="001E7828">
            <w:pPr>
              <w:keepNext/>
              <w:spacing w:after="0" w:line="240" w:lineRule="auto"/>
              <w:rPr>
                <w:b/>
              </w:rPr>
            </w:pPr>
            <w:r w:rsidRPr="008E6B1C">
              <w:rPr>
                <w:b/>
              </w:rPr>
              <w:t>Workpaper Title</w:t>
            </w:r>
          </w:p>
        </w:tc>
        <w:tc>
          <w:tcPr>
            <w:tcW w:w="1764" w:type="dxa"/>
          </w:tcPr>
          <w:p w:rsidR="00794019" w:rsidRPr="008E6B1C" w:rsidRDefault="00B512B1" w:rsidP="001E7828">
            <w:pPr>
              <w:keepNext/>
              <w:spacing w:after="0" w:line="240" w:lineRule="auto"/>
              <w:rPr>
                <w:b/>
              </w:rPr>
            </w:pPr>
            <w:r>
              <w:rPr>
                <w:b/>
              </w:rPr>
              <w:t>Date</w:t>
            </w:r>
          </w:p>
        </w:tc>
      </w:tr>
      <w:tr w:rsidR="0025457E" w:rsidRPr="008E6B1C" w:rsidTr="00B512B1">
        <w:trPr>
          <w:trHeight w:val="287"/>
        </w:trPr>
        <w:tc>
          <w:tcPr>
            <w:tcW w:w="2256" w:type="dxa"/>
            <w:tcBorders>
              <w:right w:val="nil"/>
            </w:tcBorders>
            <w:shd w:val="pct25" w:color="auto" w:fill="auto"/>
          </w:tcPr>
          <w:p w:rsidR="0025457E" w:rsidRPr="008E6B1C" w:rsidRDefault="0025457E" w:rsidP="001E7828">
            <w:pPr>
              <w:keepNext/>
              <w:spacing w:after="0" w:line="240" w:lineRule="auto"/>
              <w:rPr>
                <w:b/>
              </w:rPr>
            </w:pPr>
            <w:r>
              <w:rPr>
                <w:b/>
              </w:rPr>
              <w:t>SCG</w:t>
            </w:r>
          </w:p>
        </w:tc>
        <w:tc>
          <w:tcPr>
            <w:tcW w:w="5265" w:type="dxa"/>
            <w:tcBorders>
              <w:left w:val="nil"/>
              <w:bottom w:val="single" w:sz="4" w:space="0" w:color="auto"/>
              <w:right w:val="nil"/>
            </w:tcBorders>
            <w:shd w:val="pct25" w:color="auto" w:fill="auto"/>
          </w:tcPr>
          <w:p w:rsidR="0025457E" w:rsidRPr="008E6B1C" w:rsidRDefault="0025457E" w:rsidP="001E7828">
            <w:pPr>
              <w:keepNext/>
              <w:spacing w:after="0" w:line="240" w:lineRule="auto"/>
            </w:pPr>
          </w:p>
        </w:tc>
        <w:tc>
          <w:tcPr>
            <w:tcW w:w="1764" w:type="dxa"/>
            <w:tcBorders>
              <w:left w:val="nil"/>
            </w:tcBorders>
            <w:shd w:val="pct25" w:color="auto" w:fill="auto"/>
          </w:tcPr>
          <w:p w:rsidR="0025457E" w:rsidRPr="008E6B1C" w:rsidRDefault="0025457E" w:rsidP="001E7828">
            <w:pPr>
              <w:keepNext/>
              <w:spacing w:after="0" w:line="240" w:lineRule="auto"/>
              <w:jc w:val="right"/>
            </w:pPr>
          </w:p>
        </w:tc>
      </w:tr>
      <w:tr w:rsidR="0025457E" w:rsidRPr="008E6B1C" w:rsidTr="00B512B1">
        <w:trPr>
          <w:trHeight w:val="287"/>
        </w:trPr>
        <w:tc>
          <w:tcPr>
            <w:tcW w:w="2256" w:type="dxa"/>
            <w:tcBorders>
              <w:right w:val="single" w:sz="4" w:space="0" w:color="auto"/>
            </w:tcBorders>
            <w:shd w:val="clear" w:color="auto" w:fill="auto"/>
          </w:tcPr>
          <w:p w:rsidR="0025457E" w:rsidRPr="0025457E" w:rsidRDefault="0025457E" w:rsidP="0025457E">
            <w:pPr>
              <w:spacing w:after="0" w:line="240" w:lineRule="auto"/>
            </w:pPr>
            <w:r w:rsidRPr="0025457E">
              <w:t>SCGWP100303A</w:t>
            </w:r>
          </w:p>
        </w:tc>
        <w:tc>
          <w:tcPr>
            <w:tcW w:w="5265" w:type="dxa"/>
            <w:tcBorders>
              <w:left w:val="single" w:sz="4" w:space="0" w:color="auto"/>
              <w:right w:val="single" w:sz="4" w:space="0" w:color="auto"/>
            </w:tcBorders>
            <w:shd w:val="clear" w:color="auto" w:fill="auto"/>
          </w:tcPr>
          <w:p w:rsidR="0025457E" w:rsidRPr="008E6B1C" w:rsidRDefault="0025457E" w:rsidP="0025457E">
            <w:pPr>
              <w:spacing w:after="0" w:line="240" w:lineRule="auto"/>
            </w:pPr>
            <w:r w:rsidRPr="0025457E">
              <w:t>Low-Flow Showerheads</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08/31/2012</w:t>
            </w:r>
          </w:p>
        </w:tc>
      </w:tr>
      <w:tr w:rsidR="0025457E" w:rsidRPr="008E6B1C" w:rsidTr="00B512B1">
        <w:trPr>
          <w:trHeight w:val="563"/>
        </w:trPr>
        <w:tc>
          <w:tcPr>
            <w:tcW w:w="2256" w:type="dxa"/>
            <w:tcBorders>
              <w:right w:val="single" w:sz="4" w:space="0" w:color="auto"/>
            </w:tcBorders>
            <w:shd w:val="clear" w:color="auto" w:fill="auto"/>
          </w:tcPr>
          <w:p w:rsidR="0025457E" w:rsidRPr="0025457E" w:rsidRDefault="0025457E" w:rsidP="0025457E">
            <w:pPr>
              <w:spacing w:after="0" w:line="240" w:lineRule="auto"/>
            </w:pPr>
            <w:r w:rsidRPr="0025457E">
              <w:t>SCGWP100303B</w:t>
            </w:r>
          </w:p>
        </w:tc>
        <w:tc>
          <w:tcPr>
            <w:tcW w:w="5265" w:type="dxa"/>
            <w:tcBorders>
              <w:left w:val="single" w:sz="4" w:space="0" w:color="auto"/>
              <w:right w:val="single" w:sz="4" w:space="0" w:color="auto"/>
            </w:tcBorders>
            <w:shd w:val="clear" w:color="auto" w:fill="auto"/>
          </w:tcPr>
          <w:p w:rsidR="0025457E" w:rsidRPr="008E6B1C" w:rsidRDefault="0025457E" w:rsidP="0025457E">
            <w:pPr>
              <w:spacing w:after="0" w:line="240" w:lineRule="auto"/>
            </w:pPr>
            <w:r w:rsidRPr="0025457E">
              <w:t>Temperature-Initiated Shower Flow Restriction Valve with and without an Integrated Low-Flow Showerhead</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08/31/2012</w:t>
            </w:r>
          </w:p>
        </w:tc>
      </w:tr>
      <w:tr w:rsidR="0025457E" w:rsidRPr="008E6B1C" w:rsidTr="00B512B1">
        <w:trPr>
          <w:trHeight w:val="551"/>
        </w:trPr>
        <w:tc>
          <w:tcPr>
            <w:tcW w:w="2256" w:type="dxa"/>
            <w:tcBorders>
              <w:right w:val="single" w:sz="4" w:space="0" w:color="auto"/>
            </w:tcBorders>
            <w:shd w:val="clear" w:color="auto" w:fill="auto"/>
          </w:tcPr>
          <w:p w:rsidR="0025457E" w:rsidRPr="0025457E" w:rsidRDefault="0025457E" w:rsidP="0025457E">
            <w:pPr>
              <w:spacing w:after="0" w:line="240" w:lineRule="auto"/>
            </w:pPr>
            <w:r w:rsidRPr="0025457E">
              <w:t>WPSCGREWH120618A</w:t>
            </w:r>
          </w:p>
        </w:tc>
        <w:tc>
          <w:tcPr>
            <w:tcW w:w="5265" w:type="dxa"/>
            <w:tcBorders>
              <w:left w:val="single" w:sz="4" w:space="0" w:color="auto"/>
              <w:bottom w:val="single" w:sz="4" w:space="0" w:color="auto"/>
              <w:right w:val="single" w:sz="4" w:space="0" w:color="auto"/>
            </w:tcBorders>
            <w:shd w:val="clear" w:color="auto" w:fill="auto"/>
          </w:tcPr>
          <w:p w:rsidR="0025457E" w:rsidRPr="008E6B1C" w:rsidRDefault="0025457E" w:rsidP="0025457E">
            <w:pPr>
              <w:spacing w:after="0" w:line="240" w:lineRule="auto"/>
            </w:pPr>
            <w:r w:rsidRPr="0025457E">
              <w:t>Faucet Aerators for Bathroom/Kitchen Sinks in Residential Buildings</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06/18/2012</w:t>
            </w:r>
          </w:p>
        </w:tc>
      </w:tr>
      <w:tr w:rsidR="00081C45" w:rsidRPr="008E6B1C" w:rsidTr="005169F4">
        <w:trPr>
          <w:trHeight w:val="296"/>
        </w:trPr>
        <w:tc>
          <w:tcPr>
            <w:tcW w:w="2256" w:type="dxa"/>
            <w:tcBorders>
              <w:right w:val="single" w:sz="4" w:space="0" w:color="auto"/>
            </w:tcBorders>
            <w:shd w:val="clear" w:color="auto" w:fill="auto"/>
          </w:tcPr>
          <w:p w:rsidR="00081C45" w:rsidRPr="0025457E" w:rsidRDefault="00081C45" w:rsidP="0025457E">
            <w:pPr>
              <w:spacing w:after="0" w:line="240" w:lineRule="auto"/>
            </w:pPr>
            <w:r w:rsidRPr="00081C45">
              <w:t>SCGWP100309A</w:t>
            </w:r>
          </w:p>
        </w:tc>
        <w:tc>
          <w:tcPr>
            <w:tcW w:w="5265" w:type="dxa"/>
            <w:tcBorders>
              <w:left w:val="single" w:sz="4" w:space="0" w:color="auto"/>
              <w:bottom w:val="single" w:sz="4" w:space="0" w:color="auto"/>
              <w:right w:val="single" w:sz="4" w:space="0" w:color="auto"/>
            </w:tcBorders>
            <w:shd w:val="clear" w:color="auto" w:fill="auto"/>
          </w:tcPr>
          <w:p w:rsidR="00081C45" w:rsidRPr="0025457E" w:rsidRDefault="00081C45" w:rsidP="0025457E">
            <w:pPr>
              <w:spacing w:after="0" w:line="240" w:lineRule="auto"/>
            </w:pPr>
            <w:r>
              <w:t>Therm Savings Kit</w:t>
            </w:r>
          </w:p>
        </w:tc>
        <w:tc>
          <w:tcPr>
            <w:tcW w:w="1764" w:type="dxa"/>
            <w:tcBorders>
              <w:left w:val="single" w:sz="4" w:space="0" w:color="auto"/>
            </w:tcBorders>
            <w:shd w:val="clear" w:color="auto" w:fill="auto"/>
          </w:tcPr>
          <w:p w:rsidR="00081C45" w:rsidRDefault="00081C45" w:rsidP="0025457E">
            <w:pPr>
              <w:spacing w:after="0" w:line="240" w:lineRule="auto"/>
              <w:jc w:val="right"/>
            </w:pPr>
            <w:r>
              <w:t>08/12/2012</w:t>
            </w:r>
          </w:p>
        </w:tc>
      </w:tr>
      <w:tr w:rsidR="00794019" w:rsidRPr="008E6B1C" w:rsidTr="00B512B1">
        <w:trPr>
          <w:trHeight w:val="276"/>
        </w:trPr>
        <w:tc>
          <w:tcPr>
            <w:tcW w:w="2256" w:type="dxa"/>
            <w:tcBorders>
              <w:right w:val="nil"/>
            </w:tcBorders>
            <w:shd w:val="pct25" w:color="auto" w:fill="auto"/>
          </w:tcPr>
          <w:p w:rsidR="00794019" w:rsidRPr="008E6B1C" w:rsidRDefault="00794019" w:rsidP="001E7828">
            <w:pPr>
              <w:keepNext/>
              <w:spacing w:after="0" w:line="240" w:lineRule="auto"/>
              <w:rPr>
                <w:b/>
              </w:rPr>
            </w:pPr>
            <w:r w:rsidRPr="008E6B1C">
              <w:rPr>
                <w:b/>
              </w:rPr>
              <w:t>SDG&amp;E</w:t>
            </w:r>
          </w:p>
        </w:tc>
        <w:tc>
          <w:tcPr>
            <w:tcW w:w="5265" w:type="dxa"/>
            <w:tcBorders>
              <w:top w:val="single" w:sz="4" w:space="0" w:color="auto"/>
              <w:left w:val="nil"/>
              <w:right w:val="nil"/>
            </w:tcBorders>
            <w:shd w:val="pct25" w:color="auto" w:fill="auto"/>
          </w:tcPr>
          <w:p w:rsidR="00794019" w:rsidRPr="008E6B1C" w:rsidRDefault="00794019" w:rsidP="001E7828">
            <w:pPr>
              <w:keepNext/>
              <w:spacing w:after="0" w:line="240" w:lineRule="auto"/>
            </w:pPr>
          </w:p>
        </w:tc>
        <w:tc>
          <w:tcPr>
            <w:tcW w:w="1764" w:type="dxa"/>
            <w:tcBorders>
              <w:left w:val="nil"/>
            </w:tcBorders>
            <w:shd w:val="pct25" w:color="auto" w:fill="auto"/>
          </w:tcPr>
          <w:p w:rsidR="00794019" w:rsidRPr="008E6B1C" w:rsidRDefault="00794019" w:rsidP="001E7828">
            <w:pPr>
              <w:keepNext/>
              <w:spacing w:after="0" w:line="240" w:lineRule="auto"/>
              <w:jc w:val="right"/>
            </w:pPr>
          </w:p>
        </w:tc>
      </w:tr>
      <w:tr w:rsidR="00794019" w:rsidRPr="008E6B1C" w:rsidTr="0025457E">
        <w:trPr>
          <w:trHeight w:val="551"/>
        </w:trPr>
        <w:tc>
          <w:tcPr>
            <w:tcW w:w="2256" w:type="dxa"/>
          </w:tcPr>
          <w:p w:rsidR="00794019" w:rsidRPr="008E6B1C" w:rsidRDefault="00794019" w:rsidP="001E7828">
            <w:pPr>
              <w:spacing w:after="0" w:line="240" w:lineRule="auto"/>
            </w:pPr>
            <w:r w:rsidRPr="00794019">
              <w:t>WPSDGEREWH1000</w:t>
            </w:r>
          </w:p>
        </w:tc>
        <w:tc>
          <w:tcPr>
            <w:tcW w:w="5265" w:type="dxa"/>
          </w:tcPr>
          <w:p w:rsidR="00794019" w:rsidRPr="008E6B1C" w:rsidRDefault="00794019" w:rsidP="001E7828">
            <w:pPr>
              <w:spacing w:after="0" w:line="240" w:lineRule="auto"/>
            </w:pPr>
            <w:r w:rsidRPr="00794019">
              <w:t>Temperature-Initiated Shower Flow Restriction Valve with and without an Integrated Low-Flow Showerhead</w:t>
            </w:r>
          </w:p>
        </w:tc>
        <w:tc>
          <w:tcPr>
            <w:tcW w:w="1764" w:type="dxa"/>
          </w:tcPr>
          <w:p w:rsidR="00794019" w:rsidRPr="008E6B1C" w:rsidRDefault="00794019" w:rsidP="001E7828">
            <w:pPr>
              <w:spacing w:after="0" w:line="240" w:lineRule="auto"/>
              <w:jc w:val="right"/>
            </w:pPr>
            <w:r>
              <w:t>06/15/2012</w:t>
            </w:r>
          </w:p>
        </w:tc>
      </w:tr>
      <w:tr w:rsidR="00794019" w:rsidRPr="008E6B1C" w:rsidTr="0025457E">
        <w:trPr>
          <w:trHeight w:val="563"/>
        </w:trPr>
        <w:tc>
          <w:tcPr>
            <w:tcW w:w="2256" w:type="dxa"/>
          </w:tcPr>
          <w:p w:rsidR="00794019" w:rsidRPr="008E6B1C" w:rsidRDefault="00794019" w:rsidP="001E7828">
            <w:pPr>
              <w:spacing w:after="0" w:line="240" w:lineRule="auto"/>
            </w:pPr>
            <w:r w:rsidRPr="00794019">
              <w:t>WPSDGEREWH1012</w:t>
            </w:r>
          </w:p>
        </w:tc>
        <w:tc>
          <w:tcPr>
            <w:tcW w:w="5265" w:type="dxa"/>
          </w:tcPr>
          <w:p w:rsidR="00794019" w:rsidRPr="008E6B1C" w:rsidRDefault="00794019" w:rsidP="001E7828">
            <w:pPr>
              <w:spacing w:after="0" w:line="240" w:lineRule="auto"/>
            </w:pPr>
            <w:r w:rsidRPr="00794019">
              <w:t>Faucet Aerators for Bathroom/Kitchen Sinks in Residential Buildings</w:t>
            </w:r>
          </w:p>
        </w:tc>
        <w:tc>
          <w:tcPr>
            <w:tcW w:w="1764" w:type="dxa"/>
          </w:tcPr>
          <w:p w:rsidR="00794019" w:rsidRPr="008E6B1C" w:rsidRDefault="00794019" w:rsidP="001E7828">
            <w:pPr>
              <w:spacing w:after="0" w:line="240" w:lineRule="auto"/>
              <w:jc w:val="right"/>
            </w:pPr>
            <w:r>
              <w:t>06/27/2012</w:t>
            </w:r>
          </w:p>
        </w:tc>
      </w:tr>
      <w:tr w:rsidR="00794019" w:rsidRPr="008E6B1C" w:rsidTr="0025457E">
        <w:trPr>
          <w:trHeight w:val="276"/>
        </w:trPr>
        <w:tc>
          <w:tcPr>
            <w:tcW w:w="2256" w:type="dxa"/>
          </w:tcPr>
          <w:p w:rsidR="00794019" w:rsidRPr="008E6B1C" w:rsidRDefault="00794019" w:rsidP="001E7828">
            <w:pPr>
              <w:spacing w:after="0" w:line="240" w:lineRule="auto"/>
            </w:pPr>
            <w:r w:rsidRPr="00794019">
              <w:t>WPSDGEREWH1061A</w:t>
            </w:r>
          </w:p>
        </w:tc>
        <w:tc>
          <w:tcPr>
            <w:tcW w:w="5265" w:type="dxa"/>
          </w:tcPr>
          <w:p w:rsidR="00794019" w:rsidRPr="008E6B1C" w:rsidRDefault="00794019" w:rsidP="001E7828">
            <w:pPr>
              <w:spacing w:after="0" w:line="240" w:lineRule="auto"/>
            </w:pPr>
            <w:r w:rsidRPr="00794019">
              <w:t>Low-Flow Showerheads</w:t>
            </w:r>
          </w:p>
        </w:tc>
        <w:tc>
          <w:tcPr>
            <w:tcW w:w="1764" w:type="dxa"/>
          </w:tcPr>
          <w:p w:rsidR="00794019" w:rsidRPr="008E6B1C" w:rsidRDefault="00794019" w:rsidP="001E7828">
            <w:pPr>
              <w:spacing w:after="0" w:line="240" w:lineRule="auto"/>
              <w:jc w:val="right"/>
            </w:pPr>
            <w:r>
              <w:t>06/06/2012</w:t>
            </w:r>
          </w:p>
        </w:tc>
      </w:tr>
      <w:tr w:rsidR="00081C45" w:rsidRPr="008E6B1C" w:rsidTr="005169F4">
        <w:trPr>
          <w:trHeight w:val="278"/>
        </w:trPr>
        <w:tc>
          <w:tcPr>
            <w:tcW w:w="2256" w:type="dxa"/>
          </w:tcPr>
          <w:p w:rsidR="00081C45" w:rsidRPr="00794019" w:rsidRDefault="00081C45" w:rsidP="001E7828">
            <w:pPr>
              <w:spacing w:after="0" w:line="240" w:lineRule="auto"/>
            </w:pPr>
            <w:r w:rsidRPr="00081C45">
              <w:t>WPSDGEREWH1063</w:t>
            </w:r>
          </w:p>
        </w:tc>
        <w:tc>
          <w:tcPr>
            <w:tcW w:w="5265" w:type="dxa"/>
          </w:tcPr>
          <w:p w:rsidR="00081C45" w:rsidRPr="00794019" w:rsidRDefault="00081C45" w:rsidP="001E7828">
            <w:pPr>
              <w:spacing w:after="0" w:line="240" w:lineRule="auto"/>
            </w:pPr>
            <w:r>
              <w:t>Therm Savings Kit</w:t>
            </w:r>
          </w:p>
        </w:tc>
        <w:tc>
          <w:tcPr>
            <w:tcW w:w="1764" w:type="dxa"/>
          </w:tcPr>
          <w:p w:rsidR="00081C45" w:rsidRDefault="00081C45" w:rsidP="001E7828">
            <w:pPr>
              <w:spacing w:after="0" w:line="240" w:lineRule="auto"/>
              <w:jc w:val="right"/>
            </w:pPr>
            <w:r>
              <w:t>06/15/2012</w:t>
            </w:r>
          </w:p>
        </w:tc>
      </w:tr>
      <w:tr w:rsidR="00081C45" w:rsidRPr="008E6B1C" w:rsidTr="0025457E">
        <w:trPr>
          <w:trHeight w:val="276"/>
        </w:trPr>
        <w:tc>
          <w:tcPr>
            <w:tcW w:w="2256" w:type="dxa"/>
            <w:tcBorders>
              <w:right w:val="nil"/>
            </w:tcBorders>
            <w:shd w:val="clear" w:color="auto" w:fill="BFBFBF"/>
          </w:tcPr>
          <w:p w:rsidR="00081C45" w:rsidRPr="008E6B1C" w:rsidRDefault="00081C45" w:rsidP="001E7828">
            <w:pPr>
              <w:keepNext/>
              <w:spacing w:after="0" w:line="240" w:lineRule="auto"/>
              <w:rPr>
                <w:b/>
              </w:rPr>
            </w:pPr>
            <w:r w:rsidRPr="008E6B1C">
              <w:rPr>
                <w:b/>
              </w:rPr>
              <w:t>SCE</w:t>
            </w:r>
          </w:p>
        </w:tc>
        <w:tc>
          <w:tcPr>
            <w:tcW w:w="5265" w:type="dxa"/>
            <w:tcBorders>
              <w:left w:val="nil"/>
              <w:right w:val="nil"/>
            </w:tcBorders>
            <w:shd w:val="clear" w:color="auto" w:fill="BFBFBF"/>
          </w:tcPr>
          <w:p w:rsidR="00081C45" w:rsidRPr="008E6B1C" w:rsidRDefault="00081C45" w:rsidP="001E7828">
            <w:pPr>
              <w:keepNext/>
              <w:spacing w:after="0" w:line="240" w:lineRule="auto"/>
            </w:pPr>
          </w:p>
        </w:tc>
        <w:tc>
          <w:tcPr>
            <w:tcW w:w="1764" w:type="dxa"/>
            <w:tcBorders>
              <w:left w:val="nil"/>
            </w:tcBorders>
            <w:shd w:val="clear" w:color="auto" w:fill="BFBFBF"/>
          </w:tcPr>
          <w:p w:rsidR="00081C45" w:rsidRPr="008E6B1C" w:rsidRDefault="00081C45" w:rsidP="001E7828">
            <w:pPr>
              <w:keepNext/>
              <w:spacing w:after="0" w:line="240" w:lineRule="auto"/>
            </w:pPr>
          </w:p>
        </w:tc>
      </w:tr>
      <w:tr w:rsidR="00081C45" w:rsidRPr="008E6B1C" w:rsidTr="0025457E">
        <w:trPr>
          <w:trHeight w:val="276"/>
        </w:trPr>
        <w:tc>
          <w:tcPr>
            <w:tcW w:w="2256" w:type="dxa"/>
          </w:tcPr>
          <w:p w:rsidR="00081C45" w:rsidRPr="008E6B1C" w:rsidRDefault="00081C45" w:rsidP="001E7828">
            <w:pPr>
              <w:keepNext/>
              <w:spacing w:after="0" w:line="240" w:lineRule="auto"/>
            </w:pPr>
            <w:r>
              <w:t>SCE13WP004</w:t>
            </w:r>
          </w:p>
        </w:tc>
        <w:tc>
          <w:tcPr>
            <w:tcW w:w="5265" w:type="dxa"/>
          </w:tcPr>
          <w:p w:rsidR="00081C45" w:rsidRPr="008E6B1C" w:rsidRDefault="00081C45" w:rsidP="001E7828">
            <w:pPr>
              <w:keepNext/>
              <w:spacing w:after="0" w:line="240" w:lineRule="auto"/>
            </w:pPr>
            <w:r>
              <w:t>Faucet Aerator and Low Flow Showerhead</w:t>
            </w:r>
          </w:p>
        </w:tc>
        <w:tc>
          <w:tcPr>
            <w:tcW w:w="1764" w:type="dxa"/>
          </w:tcPr>
          <w:p w:rsidR="00081C45" w:rsidRPr="008E6B1C" w:rsidRDefault="00081C45" w:rsidP="001E7828">
            <w:pPr>
              <w:keepNext/>
              <w:spacing w:after="0" w:line="240" w:lineRule="auto"/>
              <w:jc w:val="right"/>
            </w:pPr>
            <w:r>
              <w:t>06/19/2012</w:t>
            </w:r>
          </w:p>
        </w:tc>
      </w:tr>
      <w:tr w:rsidR="00081C45" w:rsidRPr="008E6B1C" w:rsidTr="0025457E">
        <w:trPr>
          <w:trHeight w:val="276"/>
        </w:trPr>
        <w:tc>
          <w:tcPr>
            <w:tcW w:w="2256" w:type="dxa"/>
            <w:tcBorders>
              <w:right w:val="nil"/>
            </w:tcBorders>
            <w:shd w:val="pct25" w:color="auto" w:fill="auto"/>
          </w:tcPr>
          <w:p w:rsidR="00081C45" w:rsidRPr="008E6B1C" w:rsidRDefault="00081C45" w:rsidP="001E7828">
            <w:pPr>
              <w:keepNext/>
              <w:spacing w:after="0" w:line="240" w:lineRule="auto"/>
              <w:rPr>
                <w:b/>
              </w:rPr>
            </w:pPr>
            <w:r w:rsidRPr="008E6B1C">
              <w:rPr>
                <w:b/>
              </w:rPr>
              <w:t>PG&amp;E</w:t>
            </w:r>
          </w:p>
        </w:tc>
        <w:tc>
          <w:tcPr>
            <w:tcW w:w="5265" w:type="dxa"/>
            <w:tcBorders>
              <w:left w:val="nil"/>
              <w:right w:val="nil"/>
            </w:tcBorders>
            <w:shd w:val="pct25" w:color="auto" w:fill="auto"/>
          </w:tcPr>
          <w:p w:rsidR="00081C45" w:rsidRPr="008E6B1C" w:rsidRDefault="00081C45" w:rsidP="001E7828">
            <w:pPr>
              <w:keepNext/>
              <w:spacing w:after="0" w:line="240" w:lineRule="auto"/>
            </w:pPr>
          </w:p>
        </w:tc>
        <w:tc>
          <w:tcPr>
            <w:tcW w:w="1764" w:type="dxa"/>
            <w:tcBorders>
              <w:left w:val="nil"/>
            </w:tcBorders>
            <w:shd w:val="pct25" w:color="auto" w:fill="auto"/>
          </w:tcPr>
          <w:p w:rsidR="00081C45" w:rsidRPr="008E6B1C" w:rsidRDefault="00081C45" w:rsidP="001E7828">
            <w:pPr>
              <w:keepNext/>
              <w:spacing w:after="0" w:line="240" w:lineRule="auto"/>
              <w:jc w:val="right"/>
            </w:pPr>
          </w:p>
        </w:tc>
      </w:tr>
      <w:tr w:rsidR="00081C45" w:rsidRPr="008E6B1C" w:rsidTr="0025457E">
        <w:trPr>
          <w:trHeight w:val="276"/>
        </w:trPr>
        <w:tc>
          <w:tcPr>
            <w:tcW w:w="2256" w:type="dxa"/>
          </w:tcPr>
          <w:p w:rsidR="00081C45" w:rsidRPr="008E6B1C" w:rsidRDefault="00081C45" w:rsidP="001E7828">
            <w:pPr>
              <w:keepNext/>
              <w:spacing w:after="0" w:line="240" w:lineRule="auto"/>
            </w:pPr>
            <w:r w:rsidRPr="00794019">
              <w:t>PGE3PDHW116</w:t>
            </w:r>
          </w:p>
        </w:tc>
        <w:tc>
          <w:tcPr>
            <w:tcW w:w="5265" w:type="dxa"/>
          </w:tcPr>
          <w:p w:rsidR="00081C45" w:rsidRPr="008E6B1C" w:rsidRDefault="00081C45" w:rsidP="001E7828">
            <w:pPr>
              <w:keepNext/>
              <w:spacing w:after="0" w:line="240" w:lineRule="auto"/>
            </w:pPr>
            <w:r>
              <w:t>Faucet Aerators</w:t>
            </w:r>
          </w:p>
        </w:tc>
        <w:tc>
          <w:tcPr>
            <w:tcW w:w="1764" w:type="dxa"/>
          </w:tcPr>
          <w:p w:rsidR="00081C45" w:rsidRPr="008E6B1C" w:rsidRDefault="00081C45" w:rsidP="001E7828">
            <w:pPr>
              <w:keepNext/>
              <w:spacing w:after="0" w:line="240" w:lineRule="auto"/>
              <w:jc w:val="right"/>
            </w:pPr>
            <w:r>
              <w:t>06/1/2012</w:t>
            </w:r>
          </w:p>
        </w:tc>
      </w:tr>
      <w:tr w:rsidR="00081C45" w:rsidRPr="008E6B1C" w:rsidTr="0025457E">
        <w:trPr>
          <w:trHeight w:val="276"/>
        </w:trPr>
        <w:tc>
          <w:tcPr>
            <w:tcW w:w="2256" w:type="dxa"/>
          </w:tcPr>
          <w:p w:rsidR="00081C45" w:rsidRPr="008E6B1C" w:rsidRDefault="00081C45" w:rsidP="001E7828">
            <w:pPr>
              <w:keepNext/>
              <w:spacing w:after="0" w:line="240" w:lineRule="auto"/>
            </w:pPr>
            <w:r w:rsidRPr="00794019">
              <w:t>PGE3PDHW11</w:t>
            </w:r>
            <w:r>
              <w:t>7</w:t>
            </w:r>
          </w:p>
        </w:tc>
        <w:tc>
          <w:tcPr>
            <w:tcW w:w="5265" w:type="dxa"/>
          </w:tcPr>
          <w:p w:rsidR="00081C45" w:rsidRPr="008E6B1C" w:rsidRDefault="00081C45" w:rsidP="001E7828">
            <w:pPr>
              <w:keepNext/>
              <w:spacing w:after="0" w:line="240" w:lineRule="auto"/>
            </w:pPr>
            <w:r>
              <w:t>Low Flow Showerheads</w:t>
            </w:r>
          </w:p>
        </w:tc>
        <w:tc>
          <w:tcPr>
            <w:tcW w:w="1764" w:type="dxa"/>
          </w:tcPr>
          <w:p w:rsidR="00081C45" w:rsidRPr="008E6B1C" w:rsidRDefault="00081C45" w:rsidP="001E7828">
            <w:pPr>
              <w:keepNext/>
              <w:spacing w:after="0" w:line="240" w:lineRule="auto"/>
              <w:jc w:val="right"/>
            </w:pPr>
            <w:r>
              <w:t>08/29/2012</w:t>
            </w:r>
          </w:p>
        </w:tc>
      </w:tr>
      <w:tr w:rsidR="00081C45" w:rsidRPr="008E6B1C" w:rsidTr="0025457E">
        <w:trPr>
          <w:trHeight w:val="575"/>
        </w:trPr>
        <w:tc>
          <w:tcPr>
            <w:tcW w:w="2256" w:type="dxa"/>
          </w:tcPr>
          <w:p w:rsidR="00081C45" w:rsidRPr="008E6B1C" w:rsidRDefault="00081C45" w:rsidP="001E7828">
            <w:pPr>
              <w:keepNext/>
              <w:spacing w:after="0" w:line="240" w:lineRule="auto"/>
            </w:pPr>
            <w:r w:rsidRPr="00794019">
              <w:t>PGECODHW113</w:t>
            </w:r>
          </w:p>
        </w:tc>
        <w:tc>
          <w:tcPr>
            <w:tcW w:w="5265" w:type="dxa"/>
          </w:tcPr>
          <w:p w:rsidR="00081C45" w:rsidRPr="008E6B1C" w:rsidRDefault="00081C45" w:rsidP="001E7828">
            <w:pPr>
              <w:keepNext/>
              <w:spacing w:after="0" w:line="240" w:lineRule="auto"/>
            </w:pPr>
            <w:r>
              <w:t>Low Flow Showerheads and Thermostatic Shower Restriction Valve (1.6 gpm)</w:t>
            </w:r>
          </w:p>
        </w:tc>
        <w:tc>
          <w:tcPr>
            <w:tcW w:w="1764" w:type="dxa"/>
          </w:tcPr>
          <w:p w:rsidR="00081C45" w:rsidRPr="008E6B1C" w:rsidRDefault="00081C45" w:rsidP="001E7828">
            <w:pPr>
              <w:keepNext/>
              <w:spacing w:after="0" w:line="240" w:lineRule="auto"/>
              <w:jc w:val="right"/>
            </w:pPr>
            <w:r>
              <w:t>06/18/2012</w:t>
            </w:r>
          </w:p>
        </w:tc>
      </w:tr>
    </w:tbl>
    <w:p w:rsidR="00794019" w:rsidRDefault="00794019" w:rsidP="00794019">
      <w:pPr>
        <w:tabs>
          <w:tab w:val="left" w:pos="2520"/>
        </w:tabs>
      </w:pPr>
    </w:p>
    <w:p w:rsidR="0025457E" w:rsidRPr="00E95B84" w:rsidRDefault="0025457E" w:rsidP="00794019">
      <w:pPr>
        <w:tabs>
          <w:tab w:val="left" w:pos="2520"/>
        </w:tabs>
        <w:rPr>
          <w:b/>
          <w:u w:val="single"/>
        </w:rPr>
      </w:pPr>
      <w:r w:rsidRPr="00E95B84">
        <w:rPr>
          <w:b/>
          <w:u w:val="single"/>
        </w:rPr>
        <w:t xml:space="preserve">Workpaper </w:t>
      </w:r>
      <w:r w:rsidR="00721A99" w:rsidRPr="00E95B84">
        <w:rPr>
          <w:b/>
          <w:u w:val="single"/>
        </w:rPr>
        <w:t>Disposition</w:t>
      </w:r>
      <w:r w:rsidRPr="00E95B84">
        <w:rPr>
          <w:b/>
          <w:u w:val="single"/>
        </w:rPr>
        <w:t>:</w:t>
      </w:r>
    </w:p>
    <w:p w:rsidR="00827882" w:rsidRPr="00E95B84" w:rsidRDefault="00827882" w:rsidP="00B512B1">
      <w:pPr>
        <w:tabs>
          <w:tab w:val="left" w:pos="2520"/>
        </w:tabs>
        <w:rPr>
          <w:b/>
        </w:rPr>
      </w:pPr>
      <w:r w:rsidRPr="00E95B84">
        <w:rPr>
          <w:b/>
        </w:rPr>
        <w:t>Phase 1 2010-2012 Review Summary:</w:t>
      </w:r>
    </w:p>
    <w:p w:rsidR="005D4B8F" w:rsidRPr="00E95B84" w:rsidRDefault="00FF188F" w:rsidP="00B512B1">
      <w:pPr>
        <w:tabs>
          <w:tab w:val="left" w:pos="2520"/>
        </w:tabs>
      </w:pPr>
      <w:r w:rsidRPr="00E95B84">
        <w:t xml:space="preserve">Energy Division reviewed these measures during the Phase 1 review period for the 2010-2012 cycle. </w:t>
      </w:r>
      <w:r w:rsidR="00DD2871" w:rsidRPr="00E95B84">
        <w:t>The following revisions were required at that time:</w:t>
      </w:r>
    </w:p>
    <w:p w:rsidR="00DD2871" w:rsidRPr="00E95B84" w:rsidRDefault="00DD2871" w:rsidP="00DD2871">
      <w:pPr>
        <w:pStyle w:val="ListParagraph"/>
        <w:numPr>
          <w:ilvl w:val="0"/>
          <w:numId w:val="7"/>
        </w:numPr>
        <w:tabs>
          <w:tab w:val="left" w:pos="2520"/>
        </w:tabs>
      </w:pPr>
      <w:r w:rsidRPr="00E95B84">
        <w:t xml:space="preserve">Use water heater recovery efficiency instead of energy factor </w:t>
      </w:r>
      <w:r w:rsidR="003F34F0" w:rsidRPr="00E95B84">
        <w:t>for calculating the water heating energy use</w:t>
      </w:r>
    </w:p>
    <w:p w:rsidR="003F34F0" w:rsidRPr="00E95B84" w:rsidRDefault="003F34F0" w:rsidP="00DD2871">
      <w:pPr>
        <w:pStyle w:val="ListParagraph"/>
        <w:numPr>
          <w:ilvl w:val="0"/>
          <w:numId w:val="7"/>
        </w:numPr>
        <w:tabs>
          <w:tab w:val="left" w:pos="2520"/>
        </w:tabs>
      </w:pPr>
      <w:r w:rsidRPr="00E95B84">
        <w:t>Revise total DHW consumption to reflect RASS UECs</w:t>
      </w:r>
    </w:p>
    <w:p w:rsidR="003F34F0" w:rsidRPr="00E95B84" w:rsidRDefault="003F34F0" w:rsidP="00DD2871">
      <w:pPr>
        <w:pStyle w:val="ListParagraph"/>
        <w:numPr>
          <w:ilvl w:val="0"/>
          <w:numId w:val="7"/>
        </w:numPr>
        <w:tabs>
          <w:tab w:val="left" w:pos="2520"/>
        </w:tabs>
      </w:pPr>
      <w:r w:rsidRPr="00E95B84">
        <w:t>Remove installation rate adjustments from the calculation of energy savings. Installation rates are gross savings adjustments that are applied separately to claims. E3 calculators now include separate entry fields for installation rates.</w:t>
      </w:r>
    </w:p>
    <w:p w:rsidR="00827882" w:rsidRPr="00E95B84" w:rsidRDefault="00827882" w:rsidP="00DD2871">
      <w:pPr>
        <w:pStyle w:val="ListParagraph"/>
        <w:numPr>
          <w:ilvl w:val="0"/>
          <w:numId w:val="7"/>
        </w:numPr>
        <w:tabs>
          <w:tab w:val="left" w:pos="2520"/>
        </w:tabs>
      </w:pPr>
      <w:r w:rsidRPr="00E95B84">
        <w:t>Add a gross savings adjustment for flow restriction valves to consider that some may be installed in bath tubs where not all water use is for the shower.</w:t>
      </w:r>
    </w:p>
    <w:p w:rsidR="00827882" w:rsidRPr="00E95B84" w:rsidRDefault="00827882" w:rsidP="00827882">
      <w:pPr>
        <w:tabs>
          <w:tab w:val="left" w:pos="2520"/>
        </w:tabs>
      </w:pPr>
      <w:r w:rsidRPr="00E95B84">
        <w:rPr>
          <w:b/>
        </w:rPr>
        <w:t>2013-2014 Disposition</w:t>
      </w:r>
      <w:r w:rsidR="0096429F" w:rsidRPr="00E95B84">
        <w:rPr>
          <w:b/>
        </w:rPr>
        <w:t xml:space="preserve"> </w:t>
      </w:r>
      <w:r w:rsidRPr="00E95B84">
        <w:rPr>
          <w:b/>
        </w:rPr>
        <w:t>Summary</w:t>
      </w:r>
    </w:p>
    <w:p w:rsidR="00827882" w:rsidRPr="00E95B84" w:rsidRDefault="00827882" w:rsidP="00827882">
      <w:pPr>
        <w:tabs>
          <w:tab w:val="left" w:pos="2520"/>
        </w:tabs>
      </w:pPr>
      <w:r w:rsidRPr="00E95B84">
        <w:t xml:space="preserve">Energy Division </w:t>
      </w:r>
      <w:r w:rsidR="00F2143C" w:rsidRPr="00E95B84">
        <w:t>staff recommends</w:t>
      </w:r>
      <w:r w:rsidRPr="00E95B84">
        <w:t xml:space="preserve"> the following revisions:</w:t>
      </w:r>
    </w:p>
    <w:p w:rsidR="00827882" w:rsidRPr="00E95B84" w:rsidRDefault="00827882" w:rsidP="00827882">
      <w:pPr>
        <w:pStyle w:val="ListParagraph"/>
        <w:numPr>
          <w:ilvl w:val="0"/>
          <w:numId w:val="8"/>
        </w:numPr>
        <w:tabs>
          <w:tab w:val="left" w:pos="2520"/>
        </w:tabs>
      </w:pPr>
      <w:r w:rsidRPr="00E95B84">
        <w:t xml:space="preserve">Savings values shall be uniform across all IOUs. Energy Division staff have reviewed all workpapers and developed a uniform set of savings values that are applicable to all IOUs. </w:t>
      </w:r>
      <w:r w:rsidR="00776CB2" w:rsidRPr="00E95B84">
        <w:t>Energy savings are determined by multiplying the basis savings value by the climate zone multiplier. The climate zone multiplier adjusts total energy savings due to variations across climate zones of typical ground (or mains) water temperatures.</w:t>
      </w:r>
    </w:p>
    <w:p w:rsidR="00776CB2" w:rsidRPr="00E95B84" w:rsidRDefault="00776CB2" w:rsidP="00827882">
      <w:pPr>
        <w:pStyle w:val="ListParagraph"/>
        <w:numPr>
          <w:ilvl w:val="0"/>
          <w:numId w:val="8"/>
        </w:numPr>
        <w:tabs>
          <w:tab w:val="left" w:pos="2520"/>
        </w:tabs>
      </w:pPr>
      <w:r w:rsidRPr="00E95B84">
        <w:t>Baseline DHW consumption shall be based on DEER assumptions. DEER assumptions are taken from U.S. Department of Energy BuildAmerica research and energy modeling guidelines.</w:t>
      </w:r>
      <w:r w:rsidR="00656A56" w:rsidRPr="00E95B84">
        <w:t xml:space="preserve"> Generally, total DHW consumption is about 25 gallons per day for sinks and 28 gallons per day for showers.</w:t>
      </w:r>
    </w:p>
    <w:p w:rsidR="00776CB2" w:rsidRPr="00E95B84" w:rsidRDefault="007E73B5" w:rsidP="00827882">
      <w:pPr>
        <w:pStyle w:val="ListParagraph"/>
        <w:numPr>
          <w:ilvl w:val="0"/>
          <w:numId w:val="8"/>
        </w:numPr>
        <w:tabs>
          <w:tab w:val="left" w:pos="2520"/>
        </w:tabs>
      </w:pPr>
      <w:r w:rsidRPr="00E95B84">
        <w:t>Savings for kitchen faucet aerators are much higher than lavatory aerators. Therefore these savings may only be claimed for direct install measures or as part of the Thermsaver kit measures.</w:t>
      </w:r>
    </w:p>
    <w:p w:rsidR="00776CB2" w:rsidRPr="00E95B84" w:rsidRDefault="00776CB2" w:rsidP="00827882">
      <w:pPr>
        <w:pStyle w:val="ListParagraph"/>
        <w:numPr>
          <w:ilvl w:val="0"/>
          <w:numId w:val="8"/>
        </w:numPr>
        <w:tabs>
          <w:tab w:val="left" w:pos="2520"/>
        </w:tabs>
      </w:pPr>
      <w:r w:rsidRPr="00E95B84">
        <w:t>Gross savings adjustments shall be based on the following:</w:t>
      </w:r>
    </w:p>
    <w:p w:rsidR="00656A56" w:rsidRPr="00E95B84" w:rsidRDefault="00656A56" w:rsidP="00656A56">
      <w:pPr>
        <w:pStyle w:val="ListParagraph"/>
        <w:numPr>
          <w:ilvl w:val="1"/>
          <w:numId w:val="8"/>
        </w:numPr>
        <w:tabs>
          <w:tab w:val="left" w:pos="2520"/>
        </w:tabs>
      </w:pPr>
      <w:r w:rsidRPr="00E95B84">
        <w:t>For Thermsavings Kit measures, installation rates shall be weighted average across all technologies</w:t>
      </w:r>
    </w:p>
    <w:p w:rsidR="00776CB2" w:rsidRPr="00E95B84" w:rsidRDefault="00776CB2" w:rsidP="00776CB2">
      <w:pPr>
        <w:pStyle w:val="ListParagraph"/>
        <w:numPr>
          <w:ilvl w:val="1"/>
          <w:numId w:val="8"/>
        </w:numPr>
        <w:tabs>
          <w:tab w:val="left" w:pos="2520"/>
        </w:tabs>
      </w:pPr>
      <w:r w:rsidRPr="00E95B84">
        <w:t>Showerheads from READI</w:t>
      </w:r>
    </w:p>
    <w:p w:rsidR="00776CB2" w:rsidRPr="00E95B84" w:rsidRDefault="00776CB2" w:rsidP="00776CB2">
      <w:pPr>
        <w:pStyle w:val="ListParagraph"/>
        <w:numPr>
          <w:ilvl w:val="1"/>
          <w:numId w:val="8"/>
        </w:numPr>
        <w:tabs>
          <w:tab w:val="left" w:pos="2520"/>
        </w:tabs>
      </w:pPr>
      <w:r w:rsidRPr="00E95B84">
        <w:t>Aerators from READI</w:t>
      </w:r>
    </w:p>
    <w:p w:rsidR="00776CB2" w:rsidRPr="00E95B84" w:rsidRDefault="00776CB2" w:rsidP="00776CB2">
      <w:pPr>
        <w:pStyle w:val="ListParagraph"/>
        <w:numPr>
          <w:ilvl w:val="1"/>
          <w:numId w:val="8"/>
        </w:numPr>
        <w:tabs>
          <w:tab w:val="left" w:pos="2520"/>
        </w:tabs>
      </w:pPr>
      <w:r w:rsidRPr="00E95B84">
        <w:t>Flow restrictor valves and showerheads with flow restrictors shall have an additional gross savings adjustment of</w:t>
      </w:r>
      <w:r w:rsidR="004D7A34" w:rsidRPr="00E95B84">
        <w:t xml:space="preserve"> 0.80 </w:t>
      </w:r>
      <w:r w:rsidRPr="00E95B84">
        <w:t>in consideration that some devices will be installed in bathtubs where not all water use is for the shower.</w:t>
      </w:r>
    </w:p>
    <w:p w:rsidR="00B14858" w:rsidRPr="005169F4" w:rsidRDefault="00761DFD" w:rsidP="005169F4">
      <w:pPr>
        <w:rPr>
          <w:sz w:val="12"/>
          <w:szCs w:val="12"/>
          <w:u w:val="single"/>
        </w:rPr>
      </w:pPr>
      <w:r>
        <w:rPr>
          <w:b/>
          <w:u w:val="single"/>
        </w:rPr>
        <w:t xml:space="preserve">Summary of Revisions to </w:t>
      </w:r>
      <w:r w:rsidR="00223828">
        <w:rPr>
          <w:b/>
          <w:u w:val="single"/>
        </w:rPr>
        <w:t xml:space="preserve">Energy </w:t>
      </w:r>
      <w:r>
        <w:rPr>
          <w:b/>
          <w:u w:val="single"/>
        </w:rPr>
        <w:t>Savings Values</w:t>
      </w:r>
    </w:p>
    <w:p w:rsidR="00B14858" w:rsidRDefault="00F7747B" w:rsidP="00E95B84">
      <w:pPr>
        <w:pStyle w:val="NoSpacing"/>
        <w:spacing w:line="276" w:lineRule="auto"/>
      </w:pPr>
      <w:r>
        <w:t xml:space="preserve">The assumptions used by the utilities for the calculation are different. </w:t>
      </w:r>
      <w:r w:rsidR="005D4B8F">
        <w:t>The values used by SCE to calculate the savings come from the DEER 2005 database</w:t>
      </w:r>
      <w:r>
        <w:t>. These values were removed from the database for 2011.</w:t>
      </w:r>
      <w:r w:rsidR="005D4B8F">
        <w:t xml:space="preserve"> PGE values </w:t>
      </w:r>
      <w:r w:rsidR="00F2143C">
        <w:t xml:space="preserve">are </w:t>
      </w:r>
      <w:r w:rsidR="005D4B8F">
        <w:t xml:space="preserve">from </w:t>
      </w:r>
      <w:r w:rsidR="00B512B1">
        <w:t xml:space="preserve">the </w:t>
      </w:r>
      <w:r w:rsidR="004D7A34">
        <w:t xml:space="preserve">first published documentation for </w:t>
      </w:r>
      <w:r w:rsidR="00B512B1">
        <w:t>DEER 2011</w:t>
      </w:r>
      <w:r w:rsidR="005D4B8F">
        <w:t xml:space="preserve">, however, </w:t>
      </w:r>
      <w:r w:rsidR="004D7A34">
        <w:t xml:space="preserve">the Commission did not adopt these values as part of the final, frozen DEER </w:t>
      </w:r>
      <w:r w:rsidR="005D4B8F">
        <w:t>database.</w:t>
      </w:r>
      <w:r>
        <w:t xml:space="preserve"> </w:t>
      </w:r>
      <w:r w:rsidR="005D4B8F">
        <w:t xml:space="preserve">Energy Division </w:t>
      </w:r>
      <w:r w:rsidR="004D7A34">
        <w:t xml:space="preserve">staff has used the instantaneous measured flow rates from </w:t>
      </w:r>
      <w:r w:rsidR="005D4B8F">
        <w:t xml:space="preserve">SCG and SDG&amp;E </w:t>
      </w:r>
      <w:r w:rsidR="004D7A34">
        <w:t xml:space="preserve">field </w:t>
      </w:r>
      <w:r>
        <w:t xml:space="preserve">research, provided with the Thermsaver Kit workpaper, </w:t>
      </w:r>
      <w:r w:rsidR="004D7A34">
        <w:t xml:space="preserve">to estimate pre- and post- flow rates. The SCG/SDG&amp;E research also uses self-report data to estimate the total water </w:t>
      </w:r>
      <w:r w:rsidR="004A37BB">
        <w:t xml:space="preserve">usage for </w:t>
      </w:r>
      <w:r w:rsidR="00761DFD">
        <w:t xml:space="preserve">faucet aerators and </w:t>
      </w:r>
      <w:r w:rsidR="004A37BB">
        <w:t>shower</w:t>
      </w:r>
      <w:r w:rsidR="004D7A34">
        <w:t xml:space="preserve">heads, however, the </w:t>
      </w:r>
      <w:r w:rsidR="0096429F">
        <w:t>estimated daily water usage f</w:t>
      </w:r>
      <w:r w:rsidR="00761DFD">
        <w:t xml:space="preserve">rom this research is more than twice </w:t>
      </w:r>
      <w:r w:rsidR="004D7A34">
        <w:t>the usage used in DEER</w:t>
      </w:r>
      <w:r w:rsidR="00761DFD">
        <w:t xml:space="preserve"> for faucets and about 60% higher than DEER for showerheads</w:t>
      </w:r>
      <w:r w:rsidR="004D7A34">
        <w:t>.</w:t>
      </w:r>
      <w:r w:rsidR="004A37BB">
        <w:t xml:space="preserve"> DEER values </w:t>
      </w:r>
      <w:r w:rsidR="00761DFD">
        <w:t xml:space="preserve">for daily hot water use by end use </w:t>
      </w:r>
      <w:r w:rsidR="004A37BB">
        <w:t>are developed from</w:t>
      </w:r>
      <w:r w:rsidR="005D4B8F">
        <w:t xml:space="preserve"> the NREL</w:t>
      </w:r>
      <w:r w:rsidR="00796487">
        <w:t xml:space="preserve"> and the Building America House</w:t>
      </w:r>
      <w:r w:rsidR="00F2143C">
        <w:t xml:space="preserve"> Simulation Protocols</w:t>
      </w:r>
      <w:r w:rsidR="00796487">
        <w:rPr>
          <w:rStyle w:val="FootnoteReference"/>
        </w:rPr>
        <w:footnoteReference w:id="1"/>
      </w:r>
      <w:r w:rsidR="00761DFD">
        <w:t>,</w:t>
      </w:r>
      <w:r w:rsidR="00796487">
        <w:t xml:space="preserve"> but assumed that the daily water consumption of Single Family houses is the same as </w:t>
      </w:r>
      <w:r w:rsidR="00721A99">
        <w:t xml:space="preserve">for </w:t>
      </w:r>
      <w:r w:rsidR="00796487">
        <w:t xml:space="preserve">Multi Family houses, </w:t>
      </w:r>
      <w:r w:rsidR="0096429F">
        <w:t xml:space="preserve">however, DEER assumes single family homes have three bedrooms and multi-family dwelling units have two, </w:t>
      </w:r>
      <w:r w:rsidR="00796487">
        <w:t xml:space="preserve">which </w:t>
      </w:r>
      <w:r w:rsidR="0096429F">
        <w:t>will result in lower daily water usage for multi-family dwellings</w:t>
      </w:r>
      <w:r w:rsidR="00796487">
        <w:t>.</w:t>
      </w:r>
    </w:p>
    <w:p w:rsidR="00B14858" w:rsidRDefault="00B14858" w:rsidP="005169F4">
      <w:pPr>
        <w:pStyle w:val="ListParagraph"/>
        <w:tabs>
          <w:tab w:val="left" w:pos="2520"/>
        </w:tabs>
        <w:ind w:left="0"/>
      </w:pPr>
    </w:p>
    <w:p w:rsidR="00B14858" w:rsidRPr="005169F4" w:rsidRDefault="005E3AC7" w:rsidP="005169F4">
      <w:pPr>
        <w:pStyle w:val="ListParagraph"/>
        <w:numPr>
          <w:ilvl w:val="0"/>
          <w:numId w:val="10"/>
        </w:numPr>
        <w:tabs>
          <w:tab w:val="left" w:pos="2520"/>
        </w:tabs>
        <w:rPr>
          <w:u w:val="single"/>
        </w:rPr>
      </w:pPr>
      <w:r>
        <w:rPr>
          <w:u w:val="single"/>
        </w:rPr>
        <w:t>Savings Estimation Summary</w:t>
      </w:r>
    </w:p>
    <w:p w:rsidR="00B14858" w:rsidRDefault="00B14858" w:rsidP="005169F4">
      <w:pPr>
        <w:pStyle w:val="ListParagraph"/>
        <w:tabs>
          <w:tab w:val="left" w:pos="2520"/>
        </w:tabs>
        <w:ind w:left="0"/>
      </w:pPr>
    </w:p>
    <w:p w:rsidR="00B14858" w:rsidRDefault="00872A4A" w:rsidP="005169F4">
      <w:pPr>
        <w:pStyle w:val="ListParagraph"/>
        <w:tabs>
          <w:tab w:val="left" w:pos="2520"/>
        </w:tabs>
      </w:pPr>
      <w:r>
        <w:t xml:space="preserve">Energy Division staff have develop “basis savings values” for DHW fixtures. </w:t>
      </w:r>
      <w:r w:rsidR="00FC1D97">
        <w:t>Staff developed the basis savings values by using the SCE/SDG&amp;E values from the Thermsavings Kit workpapers and reducing them by the ratio of the DEER daily hot water use to the daily hot water use assumed in the workpapers. Basis</w:t>
      </w:r>
      <w:r>
        <w:t xml:space="preserve"> values are then multiplied by climate zone adjustment factors to determine climate zone specific results. </w:t>
      </w:r>
      <w:r w:rsidR="00B6572F">
        <w:fldChar w:fldCharType="begin"/>
      </w:r>
      <w:r w:rsidR="00B6572F">
        <w:instrText xml:space="preserve"> REF _Ref347315722 \h  \* MERGEFORMAT </w:instrText>
      </w:r>
      <w:r w:rsidR="00B6572F">
        <w:fldChar w:fldCharType="separate"/>
      </w:r>
      <w:r w:rsidR="00721A99">
        <w:t xml:space="preserve">Table </w:t>
      </w:r>
      <w:r w:rsidR="00721A99">
        <w:rPr>
          <w:noProof/>
        </w:rPr>
        <w:t>2</w:t>
      </w:r>
      <w:r w:rsidR="00B6572F">
        <w:fldChar w:fldCharType="end"/>
      </w:r>
      <w:r>
        <w:t xml:space="preserve"> provides gas basis savings and </w:t>
      </w:r>
      <w:r w:rsidR="00B6572F">
        <w:fldChar w:fldCharType="begin"/>
      </w:r>
      <w:r w:rsidR="00B6572F">
        <w:instrText xml:space="preserve"> REF _Ref347315733 \h  \* MERGEFORMAT </w:instrText>
      </w:r>
      <w:r w:rsidR="00B6572F">
        <w:fldChar w:fldCharType="separate"/>
      </w:r>
      <w:r w:rsidR="00721A99">
        <w:t xml:space="preserve">Table </w:t>
      </w:r>
      <w:r w:rsidR="00721A99">
        <w:rPr>
          <w:noProof/>
        </w:rPr>
        <w:t>3</w:t>
      </w:r>
      <w:r w:rsidR="00B6572F">
        <w:fldChar w:fldCharType="end"/>
      </w:r>
      <w:r>
        <w:t xml:space="preserve"> prov</w:t>
      </w:r>
      <w:r w:rsidR="00B62C38">
        <w:t xml:space="preserve">ides electric basis savings and compares them to proposed values from SCG, SDG&amp;E and PG&amp;E. SCE proposed different savings values for each climate zone and therefore could not be included in tables 2 and 3 for comparison. SCE savings values are include in </w:t>
      </w:r>
      <w:r w:rsidR="00B14858">
        <w:fldChar w:fldCharType="begin"/>
      </w:r>
      <w:r w:rsidR="00777DA1">
        <w:instrText xml:space="preserve"> REF _Ref349227251 \h </w:instrText>
      </w:r>
      <w:r w:rsidR="00B14858">
        <w:fldChar w:fldCharType="separate"/>
      </w:r>
      <w:r w:rsidR="00777DA1">
        <w:t xml:space="preserve">Table </w:t>
      </w:r>
      <w:r w:rsidR="00777DA1">
        <w:rPr>
          <w:noProof/>
        </w:rPr>
        <w:t>4</w:t>
      </w:r>
      <w:r w:rsidR="00B14858">
        <w:fldChar w:fldCharType="end"/>
      </w:r>
      <w:r w:rsidR="00777DA1">
        <w:t xml:space="preserve"> </w:t>
      </w:r>
      <w:r w:rsidR="00B62C38">
        <w:t>for reference.</w:t>
      </w:r>
    </w:p>
    <w:p w:rsidR="00B14858" w:rsidRDefault="00B14858" w:rsidP="005169F4">
      <w:pPr>
        <w:pStyle w:val="ListParagraph"/>
        <w:tabs>
          <w:tab w:val="left" w:pos="2520"/>
        </w:tabs>
        <w:ind w:left="0"/>
      </w:pPr>
    </w:p>
    <w:p w:rsidR="00B14858" w:rsidRDefault="00777DA1" w:rsidP="005169F4">
      <w:pPr>
        <w:pStyle w:val="ListParagraph"/>
        <w:tabs>
          <w:tab w:val="left" w:pos="2520"/>
        </w:tabs>
      </w:pPr>
      <w:r>
        <w:t xml:space="preserve">Climate Zone multipliers were developed from the DEER dishwasher measures. </w:t>
      </w:r>
      <w:r w:rsidR="00416BB9">
        <w:t>Within a single vintage of a single building type, the difference in gas savings across climate zones are due exclusively to the variation in ground (or mains) temperature in the weather data. Multipliers were developed by dividing each climate zone’s gas savings by the median of gas savings across all climate zones. Climate zone multipliers are provide</w:t>
      </w:r>
      <w:r w:rsidR="007C6070">
        <w:t>d</w:t>
      </w:r>
      <w:r w:rsidR="00416BB9">
        <w:t xml:space="preserve"> in Table 5.</w:t>
      </w:r>
    </w:p>
    <w:p w:rsidR="00B14858" w:rsidRDefault="00B14858" w:rsidP="005169F4">
      <w:pPr>
        <w:pStyle w:val="ListParagraph"/>
        <w:tabs>
          <w:tab w:val="left" w:pos="2520"/>
        </w:tabs>
      </w:pPr>
    </w:p>
    <w:p w:rsidR="00B14858" w:rsidRDefault="00FC1D97" w:rsidP="005169F4">
      <w:pPr>
        <w:pStyle w:val="ListParagraph"/>
        <w:tabs>
          <w:tab w:val="left" w:pos="2520"/>
        </w:tabs>
      </w:pPr>
      <w:r>
        <w:t xml:space="preserve">Refer to the embedded workbook, </w:t>
      </w:r>
      <w:r w:rsidR="007E7CD1">
        <w:t>“</w:t>
      </w:r>
      <w:r w:rsidR="00BB034C" w:rsidRPr="00BB034C">
        <w:t>20132014DHWFixturesMeasures.xlsx</w:t>
      </w:r>
      <w:r w:rsidR="007E7CD1">
        <w:t>”</w:t>
      </w:r>
      <w:r w:rsidR="00B14858">
        <w:t>,</w:t>
      </w:r>
      <w:r>
        <w:t xml:space="preserve"> for the complete development of the revised basis values as well as the complete table of savings values for all IOU, building type, climate zone and DHW fuel sour</w:t>
      </w:r>
      <w:r w:rsidR="00761DFD">
        <w:t>ce</w:t>
      </w:r>
      <w:r>
        <w:t>.</w:t>
      </w:r>
    </w:p>
    <w:p w:rsidR="00B14858" w:rsidRDefault="00721A99" w:rsidP="005169F4">
      <w:pPr>
        <w:pStyle w:val="Caption"/>
        <w:keepNext/>
      </w:pPr>
      <w:bookmarkStart w:id="2" w:name="_Ref347315722"/>
      <w:r>
        <w:t xml:space="preserve">Table </w:t>
      </w:r>
      <w:r w:rsidR="00B14858">
        <w:fldChar w:fldCharType="begin"/>
      </w:r>
      <w:r w:rsidR="000B7532">
        <w:instrText xml:space="preserve"> SEQ Table \* ARABIC </w:instrText>
      </w:r>
      <w:r w:rsidR="00B14858">
        <w:fldChar w:fldCharType="separate"/>
      </w:r>
      <w:r w:rsidR="009C141F">
        <w:rPr>
          <w:noProof/>
        </w:rPr>
        <w:t>2</w:t>
      </w:r>
      <w:r w:rsidR="00B14858">
        <w:rPr>
          <w:noProof/>
        </w:rPr>
        <w:fldChar w:fldCharType="end"/>
      </w:r>
      <w:r>
        <w:t xml:space="preserve">- </w:t>
      </w:r>
      <w:r w:rsidR="00BD4680">
        <w:t xml:space="preserve">Basis </w:t>
      </w:r>
      <w:r>
        <w:t>Gas savings</w:t>
      </w:r>
      <w:bookmarkEnd w:id="2"/>
    </w:p>
    <w:p w:rsidR="00B14858" w:rsidRDefault="003C79A4" w:rsidP="005169F4">
      <w:pPr>
        <w:pStyle w:val="ListParagraph"/>
        <w:tabs>
          <w:tab w:val="left" w:pos="2520"/>
        </w:tabs>
        <w:ind w:left="0"/>
      </w:pPr>
      <w:r>
        <w:rPr>
          <w:noProof/>
        </w:rPr>
        <w:drawing>
          <wp:inline distT="0" distB="0" distL="0" distR="0" wp14:anchorId="23BAF004" wp14:editId="5596859F">
            <wp:extent cx="5943600" cy="1785479"/>
            <wp:effectExtent l="19050" t="0" r="0"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5943600" cy="1785479"/>
                    </a:xfrm>
                    <a:prstGeom prst="rect">
                      <a:avLst/>
                    </a:prstGeom>
                    <a:noFill/>
                    <a:ln w="9525">
                      <a:noFill/>
                      <a:miter lim="800000"/>
                      <a:headEnd/>
                      <a:tailEnd/>
                    </a:ln>
                  </pic:spPr>
                </pic:pic>
              </a:graphicData>
            </a:graphic>
          </wp:inline>
        </w:drawing>
      </w:r>
    </w:p>
    <w:p w:rsidR="00B14858" w:rsidRDefault="00721A99" w:rsidP="005169F4">
      <w:pPr>
        <w:pStyle w:val="Caption"/>
        <w:keepNext/>
      </w:pPr>
      <w:bookmarkStart w:id="3" w:name="_Ref347315733"/>
      <w:r>
        <w:t xml:space="preserve">Table </w:t>
      </w:r>
      <w:r w:rsidR="00B14858">
        <w:fldChar w:fldCharType="begin"/>
      </w:r>
      <w:r w:rsidR="000B7532">
        <w:instrText xml:space="preserve"> SEQ Table \* ARABIC </w:instrText>
      </w:r>
      <w:r w:rsidR="00B14858">
        <w:fldChar w:fldCharType="separate"/>
      </w:r>
      <w:r w:rsidR="009C141F">
        <w:rPr>
          <w:noProof/>
        </w:rPr>
        <w:t>3</w:t>
      </w:r>
      <w:r w:rsidR="00B14858">
        <w:rPr>
          <w:noProof/>
        </w:rPr>
        <w:fldChar w:fldCharType="end"/>
      </w:r>
      <w:r>
        <w:t xml:space="preserve"> </w:t>
      </w:r>
      <w:r w:rsidR="00BD4680">
        <w:t>–</w:t>
      </w:r>
      <w:r>
        <w:t xml:space="preserve"> </w:t>
      </w:r>
      <w:r w:rsidR="00BD4680">
        <w:t xml:space="preserve">Basis </w:t>
      </w:r>
      <w:r>
        <w:t>Electricity savings</w:t>
      </w:r>
      <w:bookmarkEnd w:id="3"/>
      <w:r w:rsidR="00081C45" w:rsidRPr="00081C45">
        <w:t xml:space="preserve"> </w:t>
      </w:r>
      <w:r w:rsidR="00510566" w:rsidRPr="00510566" w:rsidDel="00081C45">
        <w:t xml:space="preserve"> </w:t>
      </w:r>
    </w:p>
    <w:p w:rsidR="00B14858" w:rsidRDefault="003C79A4" w:rsidP="005169F4">
      <w:pPr>
        <w:pStyle w:val="ListParagraph"/>
        <w:tabs>
          <w:tab w:val="left" w:pos="2520"/>
        </w:tabs>
        <w:ind w:left="0"/>
      </w:pPr>
      <w:r>
        <w:rPr>
          <w:noProof/>
        </w:rPr>
        <w:drawing>
          <wp:inline distT="0" distB="0" distL="0" distR="0" wp14:anchorId="37893117" wp14:editId="252D2290">
            <wp:extent cx="5943600" cy="1657048"/>
            <wp:effectExtent l="19050" t="0" r="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srcRect/>
                    <a:stretch>
                      <a:fillRect/>
                    </a:stretch>
                  </pic:blipFill>
                  <pic:spPr bwMode="auto">
                    <a:xfrm>
                      <a:off x="0" y="0"/>
                      <a:ext cx="5943600" cy="1657048"/>
                    </a:xfrm>
                    <a:prstGeom prst="rect">
                      <a:avLst/>
                    </a:prstGeom>
                    <a:noFill/>
                    <a:ln w="9525">
                      <a:noFill/>
                      <a:miter lim="800000"/>
                      <a:headEnd/>
                      <a:tailEnd/>
                    </a:ln>
                  </pic:spPr>
                </pic:pic>
              </a:graphicData>
            </a:graphic>
          </wp:inline>
        </w:drawing>
      </w:r>
    </w:p>
    <w:p w:rsidR="00B14858" w:rsidRDefault="00721A99" w:rsidP="005169F4">
      <w:pPr>
        <w:pStyle w:val="Caption"/>
        <w:keepNext/>
      </w:pPr>
      <w:bookmarkStart w:id="4" w:name="_Ref349227251"/>
      <w:bookmarkStart w:id="5" w:name="_Ref349227260"/>
      <w:r>
        <w:t xml:space="preserve">Table </w:t>
      </w:r>
      <w:r w:rsidR="00B14858">
        <w:fldChar w:fldCharType="begin"/>
      </w:r>
      <w:r w:rsidR="000B7532">
        <w:instrText xml:space="preserve"> SEQ Table \* ARABIC </w:instrText>
      </w:r>
      <w:r w:rsidR="00B14858">
        <w:fldChar w:fldCharType="separate"/>
      </w:r>
      <w:r w:rsidR="009C141F">
        <w:rPr>
          <w:noProof/>
        </w:rPr>
        <w:t>4</w:t>
      </w:r>
      <w:r w:rsidR="00B14858">
        <w:rPr>
          <w:noProof/>
        </w:rPr>
        <w:fldChar w:fldCharType="end"/>
      </w:r>
      <w:bookmarkEnd w:id="4"/>
      <w:r>
        <w:t xml:space="preserve"> - SCE claimed savings (weather sensitive)</w:t>
      </w:r>
      <w:bookmarkEnd w:id="5"/>
    </w:p>
    <w:p w:rsidR="00B14858" w:rsidRDefault="00721A99" w:rsidP="005169F4">
      <w:pPr>
        <w:pStyle w:val="ListParagraph"/>
        <w:tabs>
          <w:tab w:val="left" w:pos="2520"/>
        </w:tabs>
        <w:ind w:left="0"/>
      </w:pPr>
      <w:r w:rsidRPr="00721A99">
        <w:rPr>
          <w:noProof/>
        </w:rPr>
        <w:drawing>
          <wp:inline distT="0" distB="0" distL="0" distR="0" wp14:anchorId="128A8B79" wp14:editId="68155B53">
            <wp:extent cx="6317673" cy="316250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6320246" cy="3163791"/>
                    </a:xfrm>
                    <a:prstGeom prst="rect">
                      <a:avLst/>
                    </a:prstGeom>
                    <a:noFill/>
                    <a:ln w="9525">
                      <a:noFill/>
                      <a:miter lim="800000"/>
                      <a:headEnd/>
                      <a:tailEnd/>
                    </a:ln>
                  </pic:spPr>
                </pic:pic>
              </a:graphicData>
            </a:graphic>
          </wp:inline>
        </w:drawing>
      </w:r>
    </w:p>
    <w:p w:rsidR="001E7828" w:rsidRDefault="001E7828">
      <w:pPr>
        <w:pStyle w:val="ListParagraph"/>
        <w:tabs>
          <w:tab w:val="left" w:pos="2520"/>
        </w:tabs>
        <w:rPr>
          <w:u w:val="single"/>
        </w:rPr>
      </w:pPr>
    </w:p>
    <w:p w:rsidR="00B14858" w:rsidRDefault="001E7828" w:rsidP="005169F4">
      <w:pPr>
        <w:pStyle w:val="Caption"/>
        <w:keepNext/>
      </w:pPr>
      <w:bookmarkStart w:id="6" w:name="_Ref347316212"/>
      <w:r>
        <w:t xml:space="preserve">Table </w:t>
      </w:r>
      <w:r w:rsidR="00B14858">
        <w:fldChar w:fldCharType="begin"/>
      </w:r>
      <w:r w:rsidR="000B7532">
        <w:instrText xml:space="preserve"> SEQ Table \* ARABIC </w:instrText>
      </w:r>
      <w:r w:rsidR="00B14858">
        <w:fldChar w:fldCharType="separate"/>
      </w:r>
      <w:r w:rsidR="009C141F">
        <w:rPr>
          <w:noProof/>
        </w:rPr>
        <w:t>5</w:t>
      </w:r>
      <w:r w:rsidR="00B14858">
        <w:rPr>
          <w:noProof/>
        </w:rPr>
        <w:fldChar w:fldCharType="end"/>
      </w:r>
      <w:r>
        <w:t xml:space="preserve"> - Adjustment factors</w:t>
      </w:r>
      <w:bookmarkEnd w:id="6"/>
    </w:p>
    <w:tbl>
      <w:tblPr>
        <w:tblStyle w:val="TableGrid"/>
        <w:tblW w:w="0" w:type="auto"/>
        <w:tblLook w:val="04A0" w:firstRow="1" w:lastRow="0" w:firstColumn="1" w:lastColumn="0" w:noHBand="0" w:noVBand="1"/>
      </w:tblPr>
      <w:tblGrid>
        <w:gridCol w:w="899"/>
        <w:gridCol w:w="1262"/>
      </w:tblGrid>
      <w:tr w:rsidR="007E7CD1" w:rsidRPr="007E7CD1" w:rsidTr="007E7CD1">
        <w:trPr>
          <w:trHeight w:val="300"/>
        </w:trPr>
        <w:tc>
          <w:tcPr>
            <w:tcW w:w="769" w:type="dxa"/>
            <w:noWrap/>
            <w:hideMark/>
          </w:tcPr>
          <w:p w:rsidR="00A07CD5" w:rsidRDefault="007E7CD1" w:rsidP="005169F4">
            <w:pPr>
              <w:keepNext/>
              <w:jc w:val="center"/>
              <w:rPr>
                <w:rFonts w:cs="Arial"/>
                <w:color w:val="000000"/>
              </w:rPr>
            </w:pPr>
            <w:r>
              <w:rPr>
                <w:rFonts w:cs="Arial"/>
                <w:color w:val="000000"/>
              </w:rPr>
              <w:t>Climate Zone</w:t>
            </w:r>
          </w:p>
        </w:tc>
        <w:tc>
          <w:tcPr>
            <w:tcW w:w="716" w:type="dxa"/>
            <w:noWrap/>
            <w:hideMark/>
          </w:tcPr>
          <w:p w:rsidR="00A07CD5" w:rsidRDefault="007E7CD1" w:rsidP="005169F4">
            <w:pPr>
              <w:keepNext/>
              <w:jc w:val="center"/>
              <w:rPr>
                <w:rFonts w:cs="Arial"/>
                <w:color w:val="000000"/>
              </w:rPr>
            </w:pPr>
            <w:r>
              <w:rPr>
                <w:rFonts w:cs="Arial"/>
                <w:color w:val="000000"/>
              </w:rPr>
              <w:t>Adjustment Factor</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bookmarkStart w:id="7" w:name="RANGE!B2:C17"/>
            <w:r w:rsidRPr="007E7CD1">
              <w:rPr>
                <w:rFonts w:cs="Arial"/>
                <w:color w:val="000000"/>
              </w:rPr>
              <w:t>CZ01</w:t>
            </w:r>
            <w:bookmarkEnd w:id="7"/>
          </w:p>
        </w:tc>
        <w:tc>
          <w:tcPr>
            <w:tcW w:w="716" w:type="dxa"/>
            <w:noWrap/>
            <w:hideMark/>
          </w:tcPr>
          <w:p w:rsidR="00A07CD5" w:rsidRDefault="007E7CD1" w:rsidP="005169F4">
            <w:pPr>
              <w:keepNext/>
              <w:jc w:val="center"/>
              <w:rPr>
                <w:rFonts w:cs="Arial"/>
                <w:color w:val="000000"/>
              </w:rPr>
            </w:pPr>
            <w:r w:rsidRPr="007E7CD1">
              <w:rPr>
                <w:rFonts w:cs="Arial"/>
                <w:color w:val="000000"/>
              </w:rPr>
              <w:t>1.08</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CZ02</w:t>
            </w:r>
          </w:p>
        </w:tc>
        <w:tc>
          <w:tcPr>
            <w:tcW w:w="716" w:type="dxa"/>
            <w:noWrap/>
            <w:hideMark/>
          </w:tcPr>
          <w:p w:rsidR="00A07CD5" w:rsidRDefault="007E7CD1" w:rsidP="005169F4">
            <w:pPr>
              <w:keepNext/>
              <w:jc w:val="center"/>
              <w:rPr>
                <w:rFonts w:cs="Arial"/>
                <w:color w:val="000000"/>
              </w:rPr>
            </w:pPr>
            <w:r w:rsidRPr="007E7CD1">
              <w:rPr>
                <w:rFonts w:cs="Arial"/>
                <w:color w:val="000000"/>
              </w:rPr>
              <w:t>1.08</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CZ03</w:t>
            </w:r>
          </w:p>
        </w:tc>
        <w:tc>
          <w:tcPr>
            <w:tcW w:w="716" w:type="dxa"/>
            <w:noWrap/>
            <w:hideMark/>
          </w:tcPr>
          <w:p w:rsidR="00A07CD5" w:rsidRDefault="007E7CD1" w:rsidP="005169F4">
            <w:pPr>
              <w:keepNext/>
              <w:jc w:val="center"/>
              <w:rPr>
                <w:rFonts w:cs="Arial"/>
                <w:color w:val="000000"/>
              </w:rPr>
            </w:pPr>
            <w:r w:rsidRPr="007E7CD1">
              <w:rPr>
                <w:rFonts w:cs="Arial"/>
                <w:color w:val="000000"/>
              </w:rPr>
              <w:t>1.06</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CZ04</w:t>
            </w:r>
          </w:p>
        </w:tc>
        <w:tc>
          <w:tcPr>
            <w:tcW w:w="716" w:type="dxa"/>
            <w:noWrap/>
            <w:hideMark/>
          </w:tcPr>
          <w:p w:rsidR="00A07CD5" w:rsidRDefault="007E7CD1" w:rsidP="005169F4">
            <w:pPr>
              <w:keepNext/>
              <w:jc w:val="center"/>
              <w:rPr>
                <w:rFonts w:cs="Arial"/>
                <w:color w:val="000000"/>
              </w:rPr>
            </w:pPr>
            <w:r w:rsidRPr="007E7CD1">
              <w:rPr>
                <w:rFonts w:cs="Arial"/>
                <w:color w:val="000000"/>
              </w:rPr>
              <w:t>1.02</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CZ05</w:t>
            </w:r>
          </w:p>
        </w:tc>
        <w:tc>
          <w:tcPr>
            <w:tcW w:w="716" w:type="dxa"/>
            <w:noWrap/>
            <w:hideMark/>
          </w:tcPr>
          <w:p w:rsidR="00A07CD5" w:rsidRDefault="007E7CD1" w:rsidP="005169F4">
            <w:pPr>
              <w:keepNext/>
              <w:jc w:val="center"/>
              <w:rPr>
                <w:rFonts w:cs="Arial"/>
                <w:color w:val="000000"/>
              </w:rPr>
            </w:pPr>
            <w:r w:rsidRPr="007E7CD1">
              <w:rPr>
                <w:rFonts w:cs="Arial"/>
                <w:color w:val="000000"/>
              </w:rPr>
              <w:t>1.05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CZ06</w:t>
            </w:r>
          </w:p>
        </w:tc>
        <w:tc>
          <w:tcPr>
            <w:tcW w:w="716" w:type="dxa"/>
            <w:noWrap/>
            <w:hideMark/>
          </w:tcPr>
          <w:p w:rsidR="00A07CD5" w:rsidRDefault="007E7CD1" w:rsidP="005169F4">
            <w:pPr>
              <w:keepNext/>
              <w:jc w:val="center"/>
              <w:rPr>
                <w:rFonts w:cs="Arial"/>
                <w:color w:val="000000"/>
              </w:rPr>
            </w:pPr>
            <w:r w:rsidRPr="007E7CD1">
              <w:rPr>
                <w:rFonts w:cs="Arial"/>
                <w:color w:val="000000"/>
              </w:rPr>
              <w:t>0.99</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CZ07</w:t>
            </w:r>
          </w:p>
        </w:tc>
        <w:tc>
          <w:tcPr>
            <w:tcW w:w="716" w:type="dxa"/>
            <w:noWrap/>
            <w:hideMark/>
          </w:tcPr>
          <w:p w:rsidR="00A07CD5" w:rsidRDefault="007E7CD1" w:rsidP="005169F4">
            <w:pPr>
              <w:keepNext/>
              <w:jc w:val="center"/>
              <w:rPr>
                <w:rFonts w:cs="Arial"/>
                <w:color w:val="000000"/>
              </w:rPr>
            </w:pPr>
            <w:r w:rsidRPr="007E7CD1">
              <w:rPr>
                <w:rFonts w:cs="Arial"/>
                <w:color w:val="000000"/>
              </w:rPr>
              <w:t>0.97</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CZ08</w:t>
            </w:r>
          </w:p>
        </w:tc>
        <w:tc>
          <w:tcPr>
            <w:tcW w:w="716" w:type="dxa"/>
            <w:noWrap/>
            <w:hideMark/>
          </w:tcPr>
          <w:p w:rsidR="00A07CD5" w:rsidRDefault="007E7CD1" w:rsidP="005169F4">
            <w:pPr>
              <w:keepNext/>
              <w:jc w:val="center"/>
              <w:rPr>
                <w:rFonts w:cs="Arial"/>
                <w:color w:val="000000"/>
              </w:rPr>
            </w:pPr>
            <w:r w:rsidRPr="007E7CD1">
              <w:rPr>
                <w:rFonts w:cs="Arial"/>
                <w:color w:val="000000"/>
              </w:rPr>
              <w:t>0.94</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CZ09</w:t>
            </w:r>
          </w:p>
        </w:tc>
        <w:tc>
          <w:tcPr>
            <w:tcW w:w="716" w:type="dxa"/>
            <w:noWrap/>
            <w:hideMark/>
          </w:tcPr>
          <w:p w:rsidR="00A07CD5" w:rsidRDefault="007E7CD1" w:rsidP="005169F4">
            <w:pPr>
              <w:keepNext/>
              <w:jc w:val="center"/>
              <w:rPr>
                <w:rFonts w:cs="Arial"/>
                <w:color w:val="000000"/>
              </w:rPr>
            </w:pPr>
            <w:r w:rsidRPr="007E7CD1">
              <w:rPr>
                <w:rFonts w:cs="Arial"/>
                <w:color w:val="000000"/>
              </w:rPr>
              <w:t>0.96</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CZ10</w:t>
            </w:r>
          </w:p>
        </w:tc>
        <w:tc>
          <w:tcPr>
            <w:tcW w:w="716" w:type="dxa"/>
            <w:noWrap/>
            <w:hideMark/>
          </w:tcPr>
          <w:p w:rsidR="00A07CD5" w:rsidRDefault="007E7CD1" w:rsidP="005169F4">
            <w:pPr>
              <w:keepNext/>
              <w:jc w:val="center"/>
              <w:rPr>
                <w:rFonts w:cs="Arial"/>
                <w:color w:val="000000"/>
              </w:rPr>
            </w:pPr>
            <w:r w:rsidRPr="007E7CD1">
              <w:rPr>
                <w:rFonts w:cs="Arial"/>
                <w:color w:val="000000"/>
              </w:rPr>
              <w:t>0.95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CZ11</w:t>
            </w:r>
          </w:p>
        </w:tc>
        <w:tc>
          <w:tcPr>
            <w:tcW w:w="716" w:type="dxa"/>
            <w:noWrap/>
            <w:hideMark/>
          </w:tcPr>
          <w:p w:rsidR="00A07CD5" w:rsidRDefault="007E7CD1" w:rsidP="005169F4">
            <w:pPr>
              <w:keepNext/>
              <w:jc w:val="center"/>
              <w:rPr>
                <w:rFonts w:cs="Arial"/>
                <w:color w:val="000000"/>
              </w:rPr>
            </w:pPr>
            <w:r w:rsidRPr="007E7CD1">
              <w:rPr>
                <w:rFonts w:cs="Arial"/>
                <w:color w:val="000000"/>
              </w:rPr>
              <w:t>0.99</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CZ12</w:t>
            </w:r>
          </w:p>
        </w:tc>
        <w:tc>
          <w:tcPr>
            <w:tcW w:w="716" w:type="dxa"/>
            <w:noWrap/>
            <w:hideMark/>
          </w:tcPr>
          <w:p w:rsidR="00A07CD5" w:rsidRDefault="007E7CD1" w:rsidP="005169F4">
            <w:pPr>
              <w:keepNext/>
              <w:jc w:val="center"/>
              <w:rPr>
                <w:rFonts w:cs="Arial"/>
                <w:color w:val="000000"/>
              </w:rPr>
            </w:pPr>
            <w:r w:rsidRPr="007E7CD1">
              <w:rPr>
                <w:rFonts w:cs="Arial"/>
                <w:color w:val="000000"/>
              </w:rPr>
              <w:t>1.02</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CZ13</w:t>
            </w:r>
          </w:p>
        </w:tc>
        <w:tc>
          <w:tcPr>
            <w:tcW w:w="716" w:type="dxa"/>
            <w:noWrap/>
            <w:hideMark/>
          </w:tcPr>
          <w:p w:rsidR="00A07CD5" w:rsidRDefault="007E7CD1" w:rsidP="005169F4">
            <w:pPr>
              <w:keepNext/>
              <w:jc w:val="center"/>
              <w:rPr>
                <w:rFonts w:cs="Arial"/>
                <w:color w:val="000000"/>
              </w:rPr>
            </w:pPr>
            <w:r w:rsidRPr="007E7CD1">
              <w:rPr>
                <w:rFonts w:cs="Arial"/>
                <w:color w:val="000000"/>
              </w:rPr>
              <w:t>0.95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CZ14</w:t>
            </w:r>
          </w:p>
        </w:tc>
        <w:tc>
          <w:tcPr>
            <w:tcW w:w="716" w:type="dxa"/>
            <w:noWrap/>
            <w:hideMark/>
          </w:tcPr>
          <w:p w:rsidR="00A07CD5" w:rsidRDefault="007E7CD1" w:rsidP="005169F4">
            <w:pPr>
              <w:keepNext/>
              <w:jc w:val="center"/>
              <w:rPr>
                <w:rFonts w:cs="Arial"/>
                <w:color w:val="000000"/>
              </w:rPr>
            </w:pPr>
            <w:r w:rsidRPr="007E7CD1">
              <w:rPr>
                <w:rFonts w:cs="Arial"/>
                <w:color w:val="000000"/>
              </w:rPr>
              <w:t>1.01</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CZ15</w:t>
            </w:r>
          </w:p>
        </w:tc>
        <w:tc>
          <w:tcPr>
            <w:tcW w:w="716" w:type="dxa"/>
            <w:noWrap/>
            <w:hideMark/>
          </w:tcPr>
          <w:p w:rsidR="00A07CD5" w:rsidRDefault="007E7CD1" w:rsidP="005169F4">
            <w:pPr>
              <w:keepNext/>
              <w:jc w:val="center"/>
              <w:rPr>
                <w:rFonts w:cs="Arial"/>
                <w:color w:val="000000"/>
              </w:rPr>
            </w:pPr>
            <w:r w:rsidRPr="007E7CD1">
              <w:rPr>
                <w:rFonts w:cs="Arial"/>
                <w:color w:val="000000"/>
              </w:rPr>
              <w:t>0.80</w:t>
            </w:r>
          </w:p>
        </w:tc>
      </w:tr>
      <w:tr w:rsidR="007E7CD1" w:rsidRPr="007E7CD1" w:rsidTr="005169F4">
        <w:trPr>
          <w:trHeight w:val="300"/>
        </w:trPr>
        <w:tc>
          <w:tcPr>
            <w:tcW w:w="769" w:type="dxa"/>
            <w:noWrap/>
            <w:hideMark/>
          </w:tcPr>
          <w:p w:rsidR="00A07CD5" w:rsidRDefault="007E7CD1" w:rsidP="005169F4">
            <w:pPr>
              <w:jc w:val="center"/>
              <w:rPr>
                <w:rFonts w:cs="Arial"/>
                <w:color w:val="000000"/>
              </w:rPr>
            </w:pPr>
            <w:r w:rsidRPr="007E7CD1">
              <w:rPr>
                <w:rFonts w:cs="Arial"/>
                <w:color w:val="000000"/>
              </w:rPr>
              <w:t>CZ16</w:t>
            </w:r>
          </w:p>
        </w:tc>
        <w:tc>
          <w:tcPr>
            <w:tcW w:w="716" w:type="dxa"/>
            <w:noWrap/>
            <w:hideMark/>
          </w:tcPr>
          <w:p w:rsidR="00A07CD5" w:rsidRDefault="007E7CD1" w:rsidP="005169F4">
            <w:pPr>
              <w:jc w:val="center"/>
              <w:rPr>
                <w:rFonts w:cs="Arial"/>
                <w:color w:val="000000"/>
              </w:rPr>
            </w:pPr>
            <w:r w:rsidRPr="007E7CD1">
              <w:rPr>
                <w:rFonts w:cs="Arial"/>
                <w:color w:val="000000"/>
              </w:rPr>
              <w:t>1.13</w:t>
            </w:r>
          </w:p>
        </w:tc>
      </w:tr>
    </w:tbl>
    <w:p w:rsidR="00B14858" w:rsidRDefault="00510566" w:rsidP="005169F4">
      <w:pPr>
        <w:pStyle w:val="ListParagraph"/>
        <w:tabs>
          <w:tab w:val="left" w:pos="2520"/>
        </w:tabs>
        <w:ind w:left="0"/>
      </w:pPr>
      <w:r w:rsidRPr="00510566">
        <w:t xml:space="preserve"> </w:t>
      </w:r>
    </w:p>
    <w:p w:rsidR="00B14858" w:rsidRDefault="00B14858" w:rsidP="005169F4">
      <w:pPr>
        <w:pStyle w:val="ListParagraph"/>
        <w:tabs>
          <w:tab w:val="left" w:pos="2520"/>
        </w:tabs>
        <w:ind w:left="0"/>
      </w:pPr>
    </w:p>
    <w:p w:rsidR="00B14858" w:rsidRDefault="005E3AC7" w:rsidP="005169F4">
      <w:pPr>
        <w:pStyle w:val="ListParagraph"/>
        <w:numPr>
          <w:ilvl w:val="0"/>
          <w:numId w:val="10"/>
        </w:numPr>
        <w:tabs>
          <w:tab w:val="left" w:pos="2520"/>
        </w:tabs>
        <w:spacing w:after="0"/>
      </w:pPr>
      <w:r>
        <w:rPr>
          <w:u w:val="single"/>
        </w:rPr>
        <w:t>Faucet Aerators</w:t>
      </w:r>
    </w:p>
    <w:p w:rsidR="00B14858" w:rsidRDefault="005E3AC7" w:rsidP="005169F4">
      <w:pPr>
        <w:tabs>
          <w:tab w:val="left" w:pos="2520"/>
        </w:tabs>
        <w:spacing w:after="0"/>
        <w:ind w:left="720"/>
      </w:pPr>
      <w:r>
        <w:t xml:space="preserve">Savings calculations are based on data provided with the Thermsaver Kit workpapers. </w:t>
      </w:r>
      <w:r w:rsidR="00755F94">
        <w:t xml:space="preserve">Savings from the workpapers were reduced by the ratio of the DEER daily DHW use to the daily DHW use proposed in the workpapers. Workpaper calculations are for </w:t>
      </w:r>
      <w:r>
        <w:t>a 1 gpm faucet aerator. Savings for the 1 gpm aerator were normalized to develop a savings “per delta gpm” which was then used to create scaled results for 0.5 gpm and 1.5 gpm aerators.</w:t>
      </w:r>
    </w:p>
    <w:p w:rsidR="00B14858" w:rsidRDefault="00B14858" w:rsidP="005169F4">
      <w:pPr>
        <w:tabs>
          <w:tab w:val="left" w:pos="2520"/>
        </w:tabs>
        <w:spacing w:after="0"/>
        <w:ind w:left="720"/>
      </w:pPr>
    </w:p>
    <w:p w:rsidR="00B14858" w:rsidRDefault="00755F94" w:rsidP="005169F4">
      <w:pPr>
        <w:pStyle w:val="ListParagraph"/>
        <w:numPr>
          <w:ilvl w:val="0"/>
          <w:numId w:val="10"/>
        </w:numPr>
        <w:tabs>
          <w:tab w:val="left" w:pos="2520"/>
        </w:tabs>
        <w:spacing w:after="0"/>
      </w:pPr>
      <w:r>
        <w:rPr>
          <w:u w:val="single"/>
        </w:rPr>
        <w:t>Showerheads</w:t>
      </w:r>
    </w:p>
    <w:p w:rsidR="00B14858" w:rsidRDefault="00755F94" w:rsidP="005169F4">
      <w:pPr>
        <w:tabs>
          <w:tab w:val="left" w:pos="2520"/>
        </w:tabs>
        <w:spacing w:after="0"/>
        <w:ind w:left="720"/>
      </w:pPr>
      <w:r>
        <w:t>Savings calculations are based on data provided with the Thermsaver Kit workpapers. Savings from the workpapers were reduced by the ratio of the DEER daily DHW use to the daily DHW use proposed in the workpapers.</w:t>
      </w:r>
    </w:p>
    <w:p w:rsidR="00B14858" w:rsidRDefault="00B14858" w:rsidP="005169F4">
      <w:pPr>
        <w:tabs>
          <w:tab w:val="left" w:pos="2520"/>
        </w:tabs>
        <w:spacing w:after="0"/>
        <w:ind w:left="720"/>
      </w:pPr>
    </w:p>
    <w:p w:rsidR="00B14858" w:rsidRDefault="007C6070" w:rsidP="005169F4">
      <w:pPr>
        <w:pStyle w:val="ListParagraph"/>
        <w:numPr>
          <w:ilvl w:val="0"/>
          <w:numId w:val="10"/>
        </w:numPr>
        <w:tabs>
          <w:tab w:val="left" w:pos="2520"/>
        </w:tabs>
        <w:spacing w:after="0"/>
      </w:pPr>
      <w:r>
        <w:rPr>
          <w:u w:val="single"/>
        </w:rPr>
        <w:t>Flow Restriction Valves</w:t>
      </w:r>
    </w:p>
    <w:p w:rsidR="00B14858" w:rsidRDefault="00755F94" w:rsidP="005169F4">
      <w:pPr>
        <w:tabs>
          <w:tab w:val="left" w:pos="2520"/>
        </w:tabs>
        <w:spacing w:after="0"/>
        <w:ind w:left="720"/>
      </w:pPr>
      <w:r>
        <w:t>Savings calculations are based on data provided with the Thermsaver Kit workpapers. Savings from the workpapers were reduced by the ratio of the DEER daily DHW use to the daily DHW use proposed in the workpapers.</w:t>
      </w:r>
    </w:p>
    <w:p w:rsidR="00B14858" w:rsidRDefault="00B14858" w:rsidP="005169F4">
      <w:pPr>
        <w:tabs>
          <w:tab w:val="left" w:pos="2520"/>
        </w:tabs>
        <w:spacing w:after="0"/>
        <w:ind w:left="720"/>
      </w:pPr>
    </w:p>
    <w:p w:rsidR="00B14858" w:rsidRDefault="007C6070" w:rsidP="005169F4">
      <w:pPr>
        <w:pStyle w:val="ListParagraph"/>
        <w:keepNext/>
        <w:numPr>
          <w:ilvl w:val="0"/>
          <w:numId w:val="10"/>
        </w:numPr>
        <w:tabs>
          <w:tab w:val="left" w:pos="2520"/>
        </w:tabs>
        <w:spacing w:after="0"/>
      </w:pPr>
      <w:r>
        <w:rPr>
          <w:u w:val="single"/>
        </w:rPr>
        <w:t>Low Flow Showerheads and</w:t>
      </w:r>
      <w:r w:rsidR="008033A9" w:rsidRPr="00D4624D">
        <w:rPr>
          <w:u w:val="single"/>
        </w:rPr>
        <w:t xml:space="preserve"> Thermostatic</w:t>
      </w:r>
      <w:r w:rsidR="008033A9">
        <w:rPr>
          <w:u w:val="single"/>
        </w:rPr>
        <w:t xml:space="preserve"> Restriction </w:t>
      </w:r>
      <w:r w:rsidR="008033A9" w:rsidRPr="00D4624D">
        <w:rPr>
          <w:u w:val="single"/>
        </w:rPr>
        <w:t>Valve</w:t>
      </w:r>
    </w:p>
    <w:p w:rsidR="00B14858" w:rsidRDefault="008033A9" w:rsidP="005169F4">
      <w:pPr>
        <w:tabs>
          <w:tab w:val="left" w:pos="2520"/>
        </w:tabs>
        <w:spacing w:after="0"/>
        <w:ind w:left="720"/>
      </w:pPr>
      <w:r>
        <w:t>Energy savings estimates for the thermostatic restriction valve alone are acceptable. Energy savings of the showerhead-plus-valve combination shall be the sum of the savings for the valve alone and the savings for the showerhead as revised by staff.</w:t>
      </w:r>
    </w:p>
    <w:p w:rsidR="00BE4ABD" w:rsidRDefault="00BE4ABD" w:rsidP="00BE4ABD">
      <w:pPr>
        <w:tabs>
          <w:tab w:val="left" w:pos="2520"/>
        </w:tabs>
        <w:spacing w:after="0"/>
        <w:ind w:left="720"/>
      </w:pPr>
    </w:p>
    <w:p w:rsidR="00BE4ABD" w:rsidRDefault="00BE4ABD" w:rsidP="00BE4ABD">
      <w:pPr>
        <w:pStyle w:val="ListParagraph"/>
        <w:keepNext/>
        <w:numPr>
          <w:ilvl w:val="0"/>
          <w:numId w:val="10"/>
        </w:numPr>
        <w:tabs>
          <w:tab w:val="left" w:pos="2520"/>
        </w:tabs>
        <w:spacing w:after="0"/>
      </w:pPr>
      <w:r>
        <w:rPr>
          <w:u w:val="single"/>
        </w:rPr>
        <w:t>Peak Demand Impact for Electric Water Heating</w:t>
      </w:r>
    </w:p>
    <w:p w:rsidR="00BE4ABD" w:rsidRDefault="00BE4ABD" w:rsidP="00BE4ABD">
      <w:pPr>
        <w:tabs>
          <w:tab w:val="left" w:pos="2520"/>
        </w:tabs>
        <w:spacing w:after="0"/>
        <w:ind w:left="720"/>
      </w:pPr>
      <w:r w:rsidRPr="00BE4ABD">
        <w:t xml:space="preserve">The peak demand factor used in every workpapers is 0.22 W/kWh. </w:t>
      </w:r>
      <w:r>
        <w:t>Staff reviewed similar workpapers for the 2010-2012 cycle and determined that using this demand is more than twice the demand impact if that factor is calculated using DEER residential DHW u</w:t>
      </w:r>
      <w:r w:rsidR="00BB2FCA">
        <w:t>sage profile</w:t>
      </w:r>
      <w:r w:rsidR="007C6070">
        <w:rPr>
          <w:rStyle w:val="FootnoteReference"/>
        </w:rPr>
        <w:footnoteReference w:id="2"/>
      </w:r>
      <w:r w:rsidR="00BB2FCA">
        <w:t>. Staff has recalculated the demand impacts to consider that, when using the DEER DHW usage profile, about 11% of the daily DHW energy consumption occurs during the peak period.</w:t>
      </w:r>
    </w:p>
    <w:p w:rsidR="00B14858" w:rsidRDefault="00B14858" w:rsidP="005169F4">
      <w:pPr>
        <w:pStyle w:val="ListParagraph"/>
        <w:tabs>
          <w:tab w:val="left" w:pos="2520"/>
        </w:tabs>
        <w:ind w:left="0"/>
        <w:rPr>
          <w:u w:val="single"/>
        </w:rPr>
      </w:pPr>
    </w:p>
    <w:p w:rsidR="00B14858" w:rsidRDefault="008033A9" w:rsidP="005169F4">
      <w:pPr>
        <w:pStyle w:val="ListParagraph"/>
        <w:keepNext/>
        <w:tabs>
          <w:tab w:val="left" w:pos="2520"/>
        </w:tabs>
        <w:ind w:left="0"/>
        <w:rPr>
          <w:b/>
          <w:u w:val="single"/>
        </w:rPr>
      </w:pPr>
      <w:r>
        <w:rPr>
          <w:b/>
          <w:u w:val="single"/>
        </w:rPr>
        <w:t>Revisions to Net-To-Gross</w:t>
      </w:r>
    </w:p>
    <w:p w:rsidR="00B14858" w:rsidRDefault="008033A9" w:rsidP="005169F4">
      <w:pPr>
        <w:pStyle w:val="ListParagraph"/>
        <w:keepNext/>
        <w:tabs>
          <w:tab w:val="left" w:pos="2520"/>
        </w:tabs>
        <w:ind w:left="0"/>
      </w:pPr>
      <w:r>
        <w:t xml:space="preserve">DEER includes explicit NTG values of 0.70 for showerheads and 0.59 for faucet aerators when the implementation method is direct install. All other implementations shall use the default NTG of 0.55. The attached workbook, </w:t>
      </w:r>
      <w:r w:rsidR="007E7CD1">
        <w:t>“</w:t>
      </w:r>
      <w:r w:rsidR="00BB034C" w:rsidRPr="00BB034C">
        <w:t>20132014DHWFixturesMeasures.xlsx</w:t>
      </w:r>
      <w:r w:rsidR="007E7CD1">
        <w:t>”</w:t>
      </w:r>
      <w:r>
        <w:t>, includes a complete summary of all approved measures along with DEER NTG references.</w:t>
      </w:r>
    </w:p>
    <w:p w:rsidR="008033A9" w:rsidRDefault="008033A9" w:rsidP="008033A9">
      <w:pPr>
        <w:pStyle w:val="ListParagraph"/>
        <w:keepNext/>
        <w:tabs>
          <w:tab w:val="left" w:pos="2520"/>
        </w:tabs>
        <w:ind w:left="0"/>
        <w:rPr>
          <w:b/>
          <w:u w:val="single"/>
        </w:rPr>
      </w:pPr>
    </w:p>
    <w:p w:rsidR="008033A9" w:rsidRDefault="008033A9" w:rsidP="008033A9">
      <w:pPr>
        <w:pStyle w:val="ListParagraph"/>
        <w:keepNext/>
        <w:tabs>
          <w:tab w:val="left" w:pos="2520"/>
        </w:tabs>
        <w:ind w:left="0"/>
        <w:rPr>
          <w:b/>
          <w:u w:val="single"/>
        </w:rPr>
      </w:pPr>
      <w:r>
        <w:rPr>
          <w:b/>
          <w:u w:val="single"/>
        </w:rPr>
        <w:t>Revisions to Installation Rates</w:t>
      </w:r>
    </w:p>
    <w:p w:rsidR="00BB2FCA" w:rsidRDefault="00BB2FCA" w:rsidP="008033A9">
      <w:pPr>
        <w:pStyle w:val="ListParagraph"/>
        <w:keepNext/>
        <w:tabs>
          <w:tab w:val="left" w:pos="2520"/>
        </w:tabs>
        <w:ind w:left="0"/>
      </w:pPr>
      <w:r>
        <w:t xml:space="preserve">Installation rates for showerheads and faucet aerators were investigated as part of the 2006-2008 program cycle evaluations. However, research was limited to specific programs and utilities. Therefore, installation rates shall be those listed </w:t>
      </w:r>
      <w:r w:rsidR="009434A5">
        <w:t xml:space="preserve">in READI for “All” utilities. Additionally, installation rates flow restrictor valves and showerheads with flow restrictor valves shall be reduced by an additional 20% to account for the likelihood that some of these valves will be installed in shower+bathtub combinations. Staff revised installation rates for Thermsaver Kit measures following the SCG/SDG&amp;E calculation methods, substituting the revised energy savings values for each device included in the kit. The attached workbook, </w:t>
      </w:r>
      <w:r w:rsidR="007E7CD1">
        <w:t>“</w:t>
      </w:r>
      <w:r w:rsidR="00BB034C" w:rsidRPr="00BB034C">
        <w:t>20132014DHWFixturesMeasures.xlsx</w:t>
      </w:r>
      <w:r w:rsidR="007E7CD1">
        <w:t>”</w:t>
      </w:r>
      <w:r w:rsidR="009434A5">
        <w:t>, includes a complete summary of all approved measures along with installation rate references.</w:t>
      </w:r>
    </w:p>
    <w:p w:rsidR="0025457E" w:rsidRPr="00E82489" w:rsidRDefault="0025457E">
      <w:pPr>
        <w:tabs>
          <w:tab w:val="left" w:pos="2520"/>
        </w:tabs>
      </w:pPr>
    </w:p>
    <w:p w:rsidR="00B14858" w:rsidRDefault="00B14858" w:rsidP="005169F4">
      <w:pPr>
        <w:rPr>
          <w:b/>
          <w:u w:val="single"/>
        </w:rPr>
      </w:pPr>
      <w:r w:rsidRPr="005169F4">
        <w:rPr>
          <w:b/>
          <w:u w:val="single"/>
        </w:rPr>
        <w:t>Reference</w:t>
      </w:r>
      <w:r w:rsidR="001D0C47">
        <w:rPr>
          <w:b/>
          <w:u w:val="single"/>
        </w:rPr>
        <w:t>(s):</w:t>
      </w:r>
    </w:p>
    <w:bookmarkStart w:id="8" w:name="_MON_1422947989"/>
    <w:bookmarkEnd w:id="8"/>
    <w:p w:rsidR="003C79A4" w:rsidRPr="00CE231F" w:rsidRDefault="001D469D" w:rsidP="005169F4">
      <w:r w:rsidRPr="004D7A34">
        <w:object w:dxaOrig="155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50.25pt" o:ole="">
            <v:imagedata r:id="rId11" o:title=""/>
          </v:shape>
          <o:OLEObject Type="Embed" ProgID="Word.Document.12" ShapeID="_x0000_i1025" DrawAspect="Icon" ObjectID="_1571030578" r:id="rId12">
            <o:FieldCodes>\s</o:FieldCodes>
          </o:OLEObject>
        </w:object>
      </w:r>
      <w:r w:rsidR="00CE231F">
        <w:t xml:space="preserve">   </w:t>
      </w:r>
      <w:bookmarkStart w:id="9" w:name="_MON_1448338693"/>
      <w:bookmarkEnd w:id="9"/>
      <w:r w:rsidR="00224B4F">
        <w:object w:dxaOrig="2520" w:dyaOrig="1600">
          <v:shape id="_x0000_i1026" type="#_x0000_t75" style="width:126pt;height:80.25pt" o:ole="">
            <v:imagedata r:id="rId13" o:title=""/>
          </v:shape>
          <o:OLEObject Type="Embed" ProgID="Excel.Sheet.12" ShapeID="_x0000_i1026" DrawAspect="Icon" ObjectID="_1571030579" r:id="rId14"/>
        </w:object>
      </w:r>
    </w:p>
    <w:sectPr w:rsidR="003C79A4" w:rsidRPr="00CE231F" w:rsidSect="00721A99">
      <w:headerReference w:type="default" r:id="rId15"/>
      <w:footerReference w:type="default" r:id="rId16"/>
      <w:pgSz w:w="12240" w:h="15840"/>
      <w:pgMar w:top="1440" w:right="1440" w:bottom="1440" w:left="1440" w:header="720" w:footer="14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D5F35" w:rsidRDefault="00FD5F35" w:rsidP="0025457E">
      <w:pPr>
        <w:spacing w:after="0" w:line="240" w:lineRule="auto"/>
      </w:pPr>
      <w:r>
        <w:separator/>
      </w:r>
    </w:p>
  </w:endnote>
  <w:endnote w:type="continuationSeparator" w:id="0">
    <w:p w:rsidR="00FD5F35" w:rsidRDefault="00FD5F35" w:rsidP="002545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65053143"/>
      <w:docPartObj>
        <w:docPartGallery w:val="Page Numbers (Top of Page)"/>
        <w:docPartUnique/>
      </w:docPartObj>
    </w:sdtPr>
    <w:sdtEndPr/>
    <w:sdtContent>
      <w:p w:rsidR="00327EBF" w:rsidRPr="00721A99" w:rsidRDefault="00327EBF" w:rsidP="0025457E">
        <w:pPr>
          <w:pStyle w:val="Header"/>
          <w:jc w:val="center"/>
        </w:pPr>
        <w:r>
          <w:t>Page</w:t>
        </w:r>
        <w:r w:rsidRPr="0025457E">
          <w:t xml:space="preserve"> </w:t>
        </w:r>
        <w:r w:rsidR="00B14858">
          <w:fldChar w:fldCharType="begin"/>
        </w:r>
        <w:r w:rsidR="00325F38">
          <w:instrText xml:space="preserve"> PAGE </w:instrText>
        </w:r>
        <w:r w:rsidR="00B14858">
          <w:fldChar w:fldCharType="separate"/>
        </w:r>
        <w:r w:rsidR="005726CD">
          <w:rPr>
            <w:noProof/>
          </w:rPr>
          <w:t>2</w:t>
        </w:r>
        <w:r w:rsidR="00B14858">
          <w:rPr>
            <w:noProof/>
          </w:rPr>
          <w:fldChar w:fldCharType="end"/>
        </w:r>
        <w:r w:rsidRPr="0025457E">
          <w:t xml:space="preserve"> of </w:t>
        </w:r>
        <w:r w:rsidR="00B14858">
          <w:fldChar w:fldCharType="begin"/>
        </w:r>
        <w:r w:rsidR="00325F38">
          <w:instrText xml:space="preserve"> NUMPAGES  </w:instrText>
        </w:r>
        <w:r w:rsidR="00B14858">
          <w:fldChar w:fldCharType="separate"/>
        </w:r>
        <w:r w:rsidR="005726CD">
          <w:rPr>
            <w:noProof/>
          </w:rPr>
          <w:t>6</w:t>
        </w:r>
        <w:r w:rsidR="00B14858">
          <w:rPr>
            <w:noProof/>
          </w:rPr>
          <w:fldChar w:fldCharType="end"/>
        </w:r>
      </w:p>
    </w:sdtContent>
  </w:sdt>
  <w:p w:rsidR="00327EBF" w:rsidRDefault="00327EBF">
    <w:pPr>
      <w:pStyle w:val="Footer"/>
    </w:pPr>
  </w:p>
  <w:p w:rsidR="00327EBF" w:rsidRDefault="00327EB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D5F35" w:rsidRDefault="00FD5F35" w:rsidP="0025457E">
      <w:pPr>
        <w:spacing w:after="0" w:line="240" w:lineRule="auto"/>
      </w:pPr>
      <w:r>
        <w:separator/>
      </w:r>
    </w:p>
  </w:footnote>
  <w:footnote w:type="continuationSeparator" w:id="0">
    <w:p w:rsidR="00FD5F35" w:rsidRDefault="00FD5F35" w:rsidP="0025457E">
      <w:pPr>
        <w:spacing w:after="0" w:line="240" w:lineRule="auto"/>
      </w:pPr>
      <w:r>
        <w:continuationSeparator/>
      </w:r>
    </w:p>
  </w:footnote>
  <w:footnote w:id="1">
    <w:p w:rsidR="00327EBF" w:rsidRDefault="00327EBF">
      <w:pPr>
        <w:pStyle w:val="FootnoteText"/>
      </w:pPr>
      <w:r>
        <w:rPr>
          <w:rStyle w:val="FootnoteReference"/>
        </w:rPr>
        <w:footnoteRef/>
      </w:r>
      <w:r>
        <w:t xml:space="preserve"> Building America House Simulation Protocols, Energy Efficiency &amp; Renewable Energy, Table 9 , p12</w:t>
      </w:r>
    </w:p>
  </w:footnote>
  <w:footnote w:id="2">
    <w:p w:rsidR="007C6070" w:rsidRDefault="007C6070">
      <w:pPr>
        <w:pStyle w:val="FootnoteText"/>
      </w:pPr>
      <w:r>
        <w:rPr>
          <w:rStyle w:val="FootnoteReference"/>
        </w:rPr>
        <w:footnoteRef/>
      </w:r>
      <w:r>
        <w:t xml:space="preserve"> “</w:t>
      </w:r>
      <w:r w:rsidRPr="007C6070">
        <w:t>Non-DEER Measure Review Tem</w:t>
      </w:r>
      <w:r>
        <w:t xml:space="preserve">plate, </w:t>
      </w:r>
      <w:r w:rsidRPr="007C6070">
        <w:t>PGECODHW113 – Low Flow Showerhead and Thermostatic Shower Restriction Valve</w:t>
      </w:r>
      <w:r>
        <w:t xml:space="preserve">”, </w:t>
      </w:r>
      <w:r w:rsidRPr="007C6070">
        <w:t>PGECODHW113_ShowerHead_Comments.doc</w:t>
      </w:r>
      <w:r>
        <w:t>, April 27, 2010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27EBF" w:rsidRPr="007B4BBF" w:rsidRDefault="00327EBF" w:rsidP="0025457E">
    <w:pPr>
      <w:pStyle w:val="Header"/>
      <w:rPr>
        <w:sz w:val="18"/>
        <w:szCs w:val="18"/>
      </w:rPr>
    </w:pPr>
    <w:r w:rsidRPr="007B4BBF">
      <w:rPr>
        <w:sz w:val="18"/>
        <w:szCs w:val="18"/>
      </w:rPr>
      <w:t xml:space="preserve">WORKPAPER DISPOSITION FOR </w:t>
    </w:r>
    <w:r>
      <w:rPr>
        <w:sz w:val="18"/>
        <w:szCs w:val="18"/>
      </w:rPr>
      <w:t>WATER FIXTURES</w:t>
    </w:r>
  </w:p>
  <w:p w:rsidR="00327EBF" w:rsidRDefault="00327EBF" w:rsidP="0025457E">
    <w:pPr>
      <w:pStyle w:val="Header"/>
      <w:rPr>
        <w:sz w:val="18"/>
        <w:szCs w:val="18"/>
      </w:rPr>
    </w:pPr>
    <w:r w:rsidRPr="007B4BBF">
      <w:rPr>
        <w:sz w:val="18"/>
        <w:szCs w:val="18"/>
      </w:rPr>
      <w:t>California Public Utilities Commission, Energy Division</w:t>
    </w:r>
  </w:p>
  <w:p w:rsidR="00711EBC" w:rsidRDefault="00B14858">
    <w:pPr>
      <w:pStyle w:val="Header"/>
      <w:rPr>
        <w:sz w:val="18"/>
        <w:szCs w:val="18"/>
      </w:rPr>
    </w:pPr>
    <w:r>
      <w:rPr>
        <w:sz w:val="18"/>
        <w:szCs w:val="18"/>
      </w:rPr>
      <w:fldChar w:fldCharType="begin"/>
    </w:r>
    <w:r w:rsidR="00711EBC">
      <w:rPr>
        <w:sz w:val="18"/>
        <w:szCs w:val="18"/>
      </w:rPr>
      <w:instrText xml:space="preserve"> DATE \@ "MMMM d, yyyy" </w:instrText>
    </w:r>
    <w:r>
      <w:rPr>
        <w:sz w:val="18"/>
        <w:szCs w:val="18"/>
      </w:rPr>
      <w:fldChar w:fldCharType="separate"/>
    </w:r>
    <w:r w:rsidR="005726CD">
      <w:rPr>
        <w:noProof/>
        <w:sz w:val="18"/>
        <w:szCs w:val="18"/>
      </w:rPr>
      <w:t>November 1, 2017</w:t>
    </w:r>
    <w:r>
      <w:rPr>
        <w:sz w:val="18"/>
        <w:szCs w:val="18"/>
      </w:rPr>
      <w:fldChar w:fldCharType="end"/>
    </w:r>
  </w:p>
  <w:p w:rsidR="00327EBF" w:rsidRDefault="00327EB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FB47F1"/>
    <w:multiLevelType w:val="hybridMultilevel"/>
    <w:tmpl w:val="7868AF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C28194A"/>
    <w:multiLevelType w:val="hybridMultilevel"/>
    <w:tmpl w:val="BCFEF0B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39B4CD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31570578"/>
    <w:multiLevelType w:val="hybridMultilevel"/>
    <w:tmpl w:val="D51661F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15B0C71"/>
    <w:multiLevelType w:val="hybridMultilevel"/>
    <w:tmpl w:val="E396B6D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76B3205"/>
    <w:multiLevelType w:val="hybridMultilevel"/>
    <w:tmpl w:val="42B6CD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BD05411"/>
    <w:multiLevelType w:val="hybridMultilevel"/>
    <w:tmpl w:val="975AED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34436F9"/>
    <w:multiLevelType w:val="hybridMultilevel"/>
    <w:tmpl w:val="E8AA696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76AF6968"/>
    <w:multiLevelType w:val="hybridMultilevel"/>
    <w:tmpl w:val="ACFCDE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FFD584F"/>
    <w:multiLevelType w:val="hybridMultilevel"/>
    <w:tmpl w:val="15A83C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2"/>
  </w:num>
  <w:num w:numId="3">
    <w:abstractNumId w:val="4"/>
  </w:num>
  <w:num w:numId="4">
    <w:abstractNumId w:val="3"/>
  </w:num>
  <w:num w:numId="5">
    <w:abstractNumId w:val="7"/>
  </w:num>
  <w:num w:numId="6">
    <w:abstractNumId w:val="1"/>
  </w:num>
  <w:num w:numId="7">
    <w:abstractNumId w:val="9"/>
  </w:num>
  <w:num w:numId="8">
    <w:abstractNumId w:val="0"/>
  </w:num>
  <w:num w:numId="9">
    <w:abstractNumId w:val="6"/>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4019"/>
    <w:rsid w:val="00063103"/>
    <w:rsid w:val="00065F55"/>
    <w:rsid w:val="00081C45"/>
    <w:rsid w:val="000B7532"/>
    <w:rsid w:val="000C3508"/>
    <w:rsid w:val="000D542A"/>
    <w:rsid w:val="00117089"/>
    <w:rsid w:val="00124EF1"/>
    <w:rsid w:val="001414AC"/>
    <w:rsid w:val="001627BC"/>
    <w:rsid w:val="00170E4D"/>
    <w:rsid w:val="001A3EAA"/>
    <w:rsid w:val="001D0C47"/>
    <w:rsid w:val="001D469D"/>
    <w:rsid w:val="001E7828"/>
    <w:rsid w:val="002156AD"/>
    <w:rsid w:val="0022228C"/>
    <w:rsid w:val="00223828"/>
    <w:rsid w:val="00224B4F"/>
    <w:rsid w:val="0025457E"/>
    <w:rsid w:val="00274F32"/>
    <w:rsid w:val="002D0E7D"/>
    <w:rsid w:val="002E568E"/>
    <w:rsid w:val="002E6DBE"/>
    <w:rsid w:val="002F7B93"/>
    <w:rsid w:val="003221C5"/>
    <w:rsid w:val="00325F38"/>
    <w:rsid w:val="00327EBF"/>
    <w:rsid w:val="00331616"/>
    <w:rsid w:val="00350F59"/>
    <w:rsid w:val="00353686"/>
    <w:rsid w:val="003A04EE"/>
    <w:rsid w:val="003C79A4"/>
    <w:rsid w:val="003F34F0"/>
    <w:rsid w:val="00405FD0"/>
    <w:rsid w:val="00416BB9"/>
    <w:rsid w:val="00443EDC"/>
    <w:rsid w:val="00496847"/>
    <w:rsid w:val="004A37BB"/>
    <w:rsid w:val="004C2315"/>
    <w:rsid w:val="004D7414"/>
    <w:rsid w:val="004D7A34"/>
    <w:rsid w:val="004F4F92"/>
    <w:rsid w:val="00510566"/>
    <w:rsid w:val="005169F4"/>
    <w:rsid w:val="00563BCA"/>
    <w:rsid w:val="005726CD"/>
    <w:rsid w:val="005A08E3"/>
    <w:rsid w:val="005B5AB5"/>
    <w:rsid w:val="005C4F21"/>
    <w:rsid w:val="005D4B8F"/>
    <w:rsid w:val="005E3AC7"/>
    <w:rsid w:val="006053E3"/>
    <w:rsid w:val="006420CB"/>
    <w:rsid w:val="00656A56"/>
    <w:rsid w:val="00667E7B"/>
    <w:rsid w:val="006A3158"/>
    <w:rsid w:val="006D0161"/>
    <w:rsid w:val="006D25BE"/>
    <w:rsid w:val="006E5E1D"/>
    <w:rsid w:val="006E7D60"/>
    <w:rsid w:val="00711EBC"/>
    <w:rsid w:val="007164C6"/>
    <w:rsid w:val="00721A99"/>
    <w:rsid w:val="00755F94"/>
    <w:rsid w:val="00761DFD"/>
    <w:rsid w:val="00772A59"/>
    <w:rsid w:val="00776CB2"/>
    <w:rsid w:val="00777DA1"/>
    <w:rsid w:val="00794019"/>
    <w:rsid w:val="00796487"/>
    <w:rsid w:val="007C6070"/>
    <w:rsid w:val="007E3478"/>
    <w:rsid w:val="007E73B5"/>
    <w:rsid w:val="007E7CD1"/>
    <w:rsid w:val="008033A9"/>
    <w:rsid w:val="00805835"/>
    <w:rsid w:val="008201EC"/>
    <w:rsid w:val="008213F0"/>
    <w:rsid w:val="00827882"/>
    <w:rsid w:val="00872A4A"/>
    <w:rsid w:val="00896DB4"/>
    <w:rsid w:val="008A155C"/>
    <w:rsid w:val="008D2B20"/>
    <w:rsid w:val="008F30F3"/>
    <w:rsid w:val="00917A46"/>
    <w:rsid w:val="009434A5"/>
    <w:rsid w:val="00950D47"/>
    <w:rsid w:val="0096429F"/>
    <w:rsid w:val="009929D3"/>
    <w:rsid w:val="009B03DF"/>
    <w:rsid w:val="009C141F"/>
    <w:rsid w:val="009C1E63"/>
    <w:rsid w:val="009E2E0C"/>
    <w:rsid w:val="00A07CD5"/>
    <w:rsid w:val="00A106D2"/>
    <w:rsid w:val="00A11740"/>
    <w:rsid w:val="00A43172"/>
    <w:rsid w:val="00A54C9F"/>
    <w:rsid w:val="00A921C7"/>
    <w:rsid w:val="00B14858"/>
    <w:rsid w:val="00B512B1"/>
    <w:rsid w:val="00B54BF7"/>
    <w:rsid w:val="00B62C38"/>
    <w:rsid w:val="00B6572F"/>
    <w:rsid w:val="00B92B89"/>
    <w:rsid w:val="00B95D4D"/>
    <w:rsid w:val="00BB034C"/>
    <w:rsid w:val="00BB2FCA"/>
    <w:rsid w:val="00BB325F"/>
    <w:rsid w:val="00BB6B2D"/>
    <w:rsid w:val="00BD4680"/>
    <w:rsid w:val="00BE4ABD"/>
    <w:rsid w:val="00BE644F"/>
    <w:rsid w:val="00C17A3C"/>
    <w:rsid w:val="00C70A1D"/>
    <w:rsid w:val="00C93B14"/>
    <w:rsid w:val="00CD744A"/>
    <w:rsid w:val="00CE231F"/>
    <w:rsid w:val="00CF50A3"/>
    <w:rsid w:val="00CF55AA"/>
    <w:rsid w:val="00D12534"/>
    <w:rsid w:val="00D4624D"/>
    <w:rsid w:val="00D82901"/>
    <w:rsid w:val="00DB4B22"/>
    <w:rsid w:val="00DD2871"/>
    <w:rsid w:val="00E10613"/>
    <w:rsid w:val="00E40533"/>
    <w:rsid w:val="00E63BCD"/>
    <w:rsid w:val="00E82489"/>
    <w:rsid w:val="00E843B0"/>
    <w:rsid w:val="00E85652"/>
    <w:rsid w:val="00E95B84"/>
    <w:rsid w:val="00E97E23"/>
    <w:rsid w:val="00EF4122"/>
    <w:rsid w:val="00F037FC"/>
    <w:rsid w:val="00F20BA4"/>
    <w:rsid w:val="00F2143C"/>
    <w:rsid w:val="00F52C82"/>
    <w:rsid w:val="00F7747B"/>
    <w:rsid w:val="00F93F69"/>
    <w:rsid w:val="00FC1D97"/>
    <w:rsid w:val="00FD5F35"/>
    <w:rsid w:val="00FF18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9FE3BEC-CFA6-415B-A45B-1089B1C465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94019"/>
    <w:rPr>
      <w:rFonts w:ascii="Calibri" w:eastAsia="Times New Roman"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99"/>
    <w:qFormat/>
    <w:rsid w:val="00794019"/>
    <w:pPr>
      <w:spacing w:line="240" w:lineRule="auto"/>
    </w:pPr>
    <w:rPr>
      <w:b/>
      <w:bCs/>
      <w:color w:val="4F81BD"/>
      <w:sz w:val="18"/>
      <w:szCs w:val="18"/>
    </w:rPr>
  </w:style>
  <w:style w:type="paragraph" w:styleId="Header">
    <w:name w:val="header"/>
    <w:basedOn w:val="Normal"/>
    <w:link w:val="HeaderChar"/>
    <w:uiPriority w:val="99"/>
    <w:unhideWhenUsed/>
    <w:rsid w:val="0025457E"/>
    <w:pPr>
      <w:tabs>
        <w:tab w:val="center" w:pos="4680"/>
        <w:tab w:val="right" w:pos="9360"/>
      </w:tabs>
      <w:spacing w:after="0" w:line="240" w:lineRule="auto"/>
    </w:pPr>
  </w:style>
  <w:style w:type="character" w:customStyle="1" w:styleId="HeaderChar">
    <w:name w:val="Header Char"/>
    <w:basedOn w:val="DefaultParagraphFont"/>
    <w:link w:val="Header"/>
    <w:uiPriority w:val="99"/>
    <w:rsid w:val="0025457E"/>
    <w:rPr>
      <w:rFonts w:ascii="Calibri" w:eastAsia="Times New Roman" w:hAnsi="Calibri" w:cs="Times New Roman"/>
    </w:rPr>
  </w:style>
  <w:style w:type="paragraph" w:styleId="Footer">
    <w:name w:val="footer"/>
    <w:basedOn w:val="Normal"/>
    <w:link w:val="FooterChar"/>
    <w:uiPriority w:val="99"/>
    <w:unhideWhenUsed/>
    <w:rsid w:val="002545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25457E"/>
    <w:rPr>
      <w:rFonts w:ascii="Calibri" w:eastAsia="Times New Roman" w:hAnsi="Calibri" w:cs="Times New Roman"/>
    </w:rPr>
  </w:style>
  <w:style w:type="paragraph" w:styleId="BalloonText">
    <w:name w:val="Balloon Text"/>
    <w:basedOn w:val="Normal"/>
    <w:link w:val="BalloonTextChar"/>
    <w:uiPriority w:val="99"/>
    <w:semiHidden/>
    <w:unhideWhenUsed/>
    <w:rsid w:val="0025457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457E"/>
    <w:rPr>
      <w:rFonts w:ascii="Tahoma" w:eastAsia="Times New Roman" w:hAnsi="Tahoma" w:cs="Tahoma"/>
      <w:sz w:val="16"/>
      <w:szCs w:val="16"/>
    </w:rPr>
  </w:style>
  <w:style w:type="paragraph" w:styleId="ListParagraph">
    <w:name w:val="List Paragraph"/>
    <w:basedOn w:val="Normal"/>
    <w:uiPriority w:val="34"/>
    <w:qFormat/>
    <w:rsid w:val="002156AD"/>
    <w:pPr>
      <w:ind w:left="720"/>
      <w:contextualSpacing/>
    </w:pPr>
  </w:style>
  <w:style w:type="paragraph" w:styleId="FootnoteText">
    <w:name w:val="footnote text"/>
    <w:basedOn w:val="Normal"/>
    <w:link w:val="FootnoteTextChar"/>
    <w:uiPriority w:val="99"/>
    <w:semiHidden/>
    <w:unhideWhenUsed/>
    <w:rsid w:val="0079648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96487"/>
    <w:rPr>
      <w:rFonts w:ascii="Calibri" w:eastAsia="Times New Roman" w:hAnsi="Calibri" w:cs="Times New Roman"/>
      <w:sz w:val="20"/>
      <w:szCs w:val="20"/>
    </w:rPr>
  </w:style>
  <w:style w:type="character" w:styleId="FootnoteReference">
    <w:name w:val="footnote reference"/>
    <w:basedOn w:val="DefaultParagraphFont"/>
    <w:uiPriority w:val="99"/>
    <w:semiHidden/>
    <w:unhideWhenUsed/>
    <w:rsid w:val="00796487"/>
    <w:rPr>
      <w:vertAlign w:val="superscript"/>
    </w:rPr>
  </w:style>
  <w:style w:type="paragraph" w:styleId="EndnoteText">
    <w:name w:val="endnote text"/>
    <w:basedOn w:val="Normal"/>
    <w:link w:val="EndnoteTextChar"/>
    <w:uiPriority w:val="99"/>
    <w:semiHidden/>
    <w:unhideWhenUsed/>
    <w:rsid w:val="00E82489"/>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82489"/>
    <w:rPr>
      <w:rFonts w:ascii="Calibri" w:eastAsia="Times New Roman" w:hAnsi="Calibri" w:cs="Times New Roman"/>
      <w:sz w:val="20"/>
      <w:szCs w:val="20"/>
    </w:rPr>
  </w:style>
  <w:style w:type="character" w:styleId="EndnoteReference">
    <w:name w:val="endnote reference"/>
    <w:basedOn w:val="DefaultParagraphFont"/>
    <w:uiPriority w:val="99"/>
    <w:semiHidden/>
    <w:unhideWhenUsed/>
    <w:rsid w:val="00E82489"/>
    <w:rPr>
      <w:vertAlign w:val="superscript"/>
    </w:rPr>
  </w:style>
  <w:style w:type="character" w:styleId="Hyperlink">
    <w:name w:val="Hyperlink"/>
    <w:basedOn w:val="DefaultParagraphFont"/>
    <w:uiPriority w:val="99"/>
    <w:unhideWhenUsed/>
    <w:rsid w:val="001D0C47"/>
    <w:rPr>
      <w:color w:val="0000FF" w:themeColor="hyperlink"/>
      <w:u w:val="single"/>
    </w:rPr>
  </w:style>
  <w:style w:type="paragraph" w:styleId="NoSpacing">
    <w:name w:val="No Spacing"/>
    <w:uiPriority w:val="1"/>
    <w:qFormat/>
    <w:rsid w:val="00F7747B"/>
    <w:pPr>
      <w:spacing w:after="0" w:line="240" w:lineRule="auto"/>
    </w:pPr>
    <w:rPr>
      <w:rFonts w:ascii="Calibri" w:eastAsia="Times New Roman" w:hAnsi="Calibri" w:cs="Times New Roman"/>
    </w:rPr>
  </w:style>
  <w:style w:type="table" w:styleId="TableGrid">
    <w:name w:val="Table Grid"/>
    <w:basedOn w:val="TableNormal"/>
    <w:uiPriority w:val="59"/>
    <w:rsid w:val="007E7C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520600">
      <w:bodyDiv w:val="1"/>
      <w:marLeft w:val="0"/>
      <w:marRight w:val="0"/>
      <w:marTop w:val="0"/>
      <w:marBottom w:val="0"/>
      <w:divBdr>
        <w:top w:val="none" w:sz="0" w:space="0" w:color="auto"/>
        <w:left w:val="none" w:sz="0" w:space="0" w:color="auto"/>
        <w:bottom w:val="none" w:sz="0" w:space="0" w:color="auto"/>
        <w:right w:val="none" w:sz="0" w:space="0" w:color="auto"/>
      </w:divBdr>
    </w:div>
    <w:div w:id="99224206">
      <w:bodyDiv w:val="1"/>
      <w:marLeft w:val="0"/>
      <w:marRight w:val="0"/>
      <w:marTop w:val="0"/>
      <w:marBottom w:val="0"/>
      <w:divBdr>
        <w:top w:val="none" w:sz="0" w:space="0" w:color="auto"/>
        <w:left w:val="none" w:sz="0" w:space="0" w:color="auto"/>
        <w:bottom w:val="none" w:sz="0" w:space="0" w:color="auto"/>
        <w:right w:val="none" w:sz="0" w:space="0" w:color="auto"/>
      </w:divBdr>
    </w:div>
    <w:div w:id="112947143">
      <w:bodyDiv w:val="1"/>
      <w:marLeft w:val="0"/>
      <w:marRight w:val="0"/>
      <w:marTop w:val="0"/>
      <w:marBottom w:val="0"/>
      <w:divBdr>
        <w:top w:val="none" w:sz="0" w:space="0" w:color="auto"/>
        <w:left w:val="none" w:sz="0" w:space="0" w:color="auto"/>
        <w:bottom w:val="none" w:sz="0" w:space="0" w:color="auto"/>
        <w:right w:val="none" w:sz="0" w:space="0" w:color="auto"/>
      </w:divBdr>
    </w:div>
    <w:div w:id="137185733">
      <w:bodyDiv w:val="1"/>
      <w:marLeft w:val="0"/>
      <w:marRight w:val="0"/>
      <w:marTop w:val="0"/>
      <w:marBottom w:val="0"/>
      <w:divBdr>
        <w:top w:val="none" w:sz="0" w:space="0" w:color="auto"/>
        <w:left w:val="none" w:sz="0" w:space="0" w:color="auto"/>
        <w:bottom w:val="none" w:sz="0" w:space="0" w:color="auto"/>
        <w:right w:val="none" w:sz="0" w:space="0" w:color="auto"/>
      </w:divBdr>
    </w:div>
    <w:div w:id="203639795">
      <w:bodyDiv w:val="1"/>
      <w:marLeft w:val="0"/>
      <w:marRight w:val="0"/>
      <w:marTop w:val="0"/>
      <w:marBottom w:val="0"/>
      <w:divBdr>
        <w:top w:val="none" w:sz="0" w:space="0" w:color="auto"/>
        <w:left w:val="none" w:sz="0" w:space="0" w:color="auto"/>
        <w:bottom w:val="none" w:sz="0" w:space="0" w:color="auto"/>
        <w:right w:val="none" w:sz="0" w:space="0" w:color="auto"/>
      </w:divBdr>
    </w:div>
    <w:div w:id="208805889">
      <w:bodyDiv w:val="1"/>
      <w:marLeft w:val="0"/>
      <w:marRight w:val="0"/>
      <w:marTop w:val="0"/>
      <w:marBottom w:val="0"/>
      <w:divBdr>
        <w:top w:val="none" w:sz="0" w:space="0" w:color="auto"/>
        <w:left w:val="none" w:sz="0" w:space="0" w:color="auto"/>
        <w:bottom w:val="none" w:sz="0" w:space="0" w:color="auto"/>
        <w:right w:val="none" w:sz="0" w:space="0" w:color="auto"/>
      </w:divBdr>
    </w:div>
    <w:div w:id="209734669">
      <w:bodyDiv w:val="1"/>
      <w:marLeft w:val="0"/>
      <w:marRight w:val="0"/>
      <w:marTop w:val="0"/>
      <w:marBottom w:val="0"/>
      <w:divBdr>
        <w:top w:val="none" w:sz="0" w:space="0" w:color="auto"/>
        <w:left w:val="none" w:sz="0" w:space="0" w:color="auto"/>
        <w:bottom w:val="none" w:sz="0" w:space="0" w:color="auto"/>
        <w:right w:val="none" w:sz="0" w:space="0" w:color="auto"/>
      </w:divBdr>
    </w:div>
    <w:div w:id="229270069">
      <w:bodyDiv w:val="1"/>
      <w:marLeft w:val="0"/>
      <w:marRight w:val="0"/>
      <w:marTop w:val="0"/>
      <w:marBottom w:val="0"/>
      <w:divBdr>
        <w:top w:val="none" w:sz="0" w:space="0" w:color="auto"/>
        <w:left w:val="none" w:sz="0" w:space="0" w:color="auto"/>
        <w:bottom w:val="none" w:sz="0" w:space="0" w:color="auto"/>
        <w:right w:val="none" w:sz="0" w:space="0" w:color="auto"/>
      </w:divBdr>
    </w:div>
    <w:div w:id="232861700">
      <w:bodyDiv w:val="1"/>
      <w:marLeft w:val="0"/>
      <w:marRight w:val="0"/>
      <w:marTop w:val="0"/>
      <w:marBottom w:val="0"/>
      <w:divBdr>
        <w:top w:val="none" w:sz="0" w:space="0" w:color="auto"/>
        <w:left w:val="none" w:sz="0" w:space="0" w:color="auto"/>
        <w:bottom w:val="none" w:sz="0" w:space="0" w:color="auto"/>
        <w:right w:val="none" w:sz="0" w:space="0" w:color="auto"/>
      </w:divBdr>
    </w:div>
    <w:div w:id="234365179">
      <w:bodyDiv w:val="1"/>
      <w:marLeft w:val="0"/>
      <w:marRight w:val="0"/>
      <w:marTop w:val="0"/>
      <w:marBottom w:val="0"/>
      <w:divBdr>
        <w:top w:val="none" w:sz="0" w:space="0" w:color="auto"/>
        <w:left w:val="none" w:sz="0" w:space="0" w:color="auto"/>
        <w:bottom w:val="none" w:sz="0" w:space="0" w:color="auto"/>
        <w:right w:val="none" w:sz="0" w:space="0" w:color="auto"/>
      </w:divBdr>
    </w:div>
    <w:div w:id="322124818">
      <w:bodyDiv w:val="1"/>
      <w:marLeft w:val="0"/>
      <w:marRight w:val="0"/>
      <w:marTop w:val="0"/>
      <w:marBottom w:val="0"/>
      <w:divBdr>
        <w:top w:val="none" w:sz="0" w:space="0" w:color="auto"/>
        <w:left w:val="none" w:sz="0" w:space="0" w:color="auto"/>
        <w:bottom w:val="none" w:sz="0" w:space="0" w:color="auto"/>
        <w:right w:val="none" w:sz="0" w:space="0" w:color="auto"/>
      </w:divBdr>
    </w:div>
    <w:div w:id="346445454">
      <w:bodyDiv w:val="1"/>
      <w:marLeft w:val="0"/>
      <w:marRight w:val="0"/>
      <w:marTop w:val="0"/>
      <w:marBottom w:val="0"/>
      <w:divBdr>
        <w:top w:val="none" w:sz="0" w:space="0" w:color="auto"/>
        <w:left w:val="none" w:sz="0" w:space="0" w:color="auto"/>
        <w:bottom w:val="none" w:sz="0" w:space="0" w:color="auto"/>
        <w:right w:val="none" w:sz="0" w:space="0" w:color="auto"/>
      </w:divBdr>
    </w:div>
    <w:div w:id="349378683">
      <w:bodyDiv w:val="1"/>
      <w:marLeft w:val="0"/>
      <w:marRight w:val="0"/>
      <w:marTop w:val="0"/>
      <w:marBottom w:val="0"/>
      <w:divBdr>
        <w:top w:val="none" w:sz="0" w:space="0" w:color="auto"/>
        <w:left w:val="none" w:sz="0" w:space="0" w:color="auto"/>
        <w:bottom w:val="none" w:sz="0" w:space="0" w:color="auto"/>
        <w:right w:val="none" w:sz="0" w:space="0" w:color="auto"/>
      </w:divBdr>
    </w:div>
    <w:div w:id="357437516">
      <w:bodyDiv w:val="1"/>
      <w:marLeft w:val="0"/>
      <w:marRight w:val="0"/>
      <w:marTop w:val="0"/>
      <w:marBottom w:val="0"/>
      <w:divBdr>
        <w:top w:val="none" w:sz="0" w:space="0" w:color="auto"/>
        <w:left w:val="none" w:sz="0" w:space="0" w:color="auto"/>
        <w:bottom w:val="none" w:sz="0" w:space="0" w:color="auto"/>
        <w:right w:val="none" w:sz="0" w:space="0" w:color="auto"/>
      </w:divBdr>
    </w:div>
    <w:div w:id="398405581">
      <w:bodyDiv w:val="1"/>
      <w:marLeft w:val="0"/>
      <w:marRight w:val="0"/>
      <w:marTop w:val="0"/>
      <w:marBottom w:val="0"/>
      <w:divBdr>
        <w:top w:val="none" w:sz="0" w:space="0" w:color="auto"/>
        <w:left w:val="none" w:sz="0" w:space="0" w:color="auto"/>
        <w:bottom w:val="none" w:sz="0" w:space="0" w:color="auto"/>
        <w:right w:val="none" w:sz="0" w:space="0" w:color="auto"/>
      </w:divBdr>
    </w:div>
    <w:div w:id="487986284">
      <w:bodyDiv w:val="1"/>
      <w:marLeft w:val="0"/>
      <w:marRight w:val="0"/>
      <w:marTop w:val="0"/>
      <w:marBottom w:val="0"/>
      <w:divBdr>
        <w:top w:val="none" w:sz="0" w:space="0" w:color="auto"/>
        <w:left w:val="none" w:sz="0" w:space="0" w:color="auto"/>
        <w:bottom w:val="none" w:sz="0" w:space="0" w:color="auto"/>
        <w:right w:val="none" w:sz="0" w:space="0" w:color="auto"/>
      </w:divBdr>
    </w:div>
    <w:div w:id="494616779">
      <w:bodyDiv w:val="1"/>
      <w:marLeft w:val="0"/>
      <w:marRight w:val="0"/>
      <w:marTop w:val="0"/>
      <w:marBottom w:val="0"/>
      <w:divBdr>
        <w:top w:val="none" w:sz="0" w:space="0" w:color="auto"/>
        <w:left w:val="none" w:sz="0" w:space="0" w:color="auto"/>
        <w:bottom w:val="none" w:sz="0" w:space="0" w:color="auto"/>
        <w:right w:val="none" w:sz="0" w:space="0" w:color="auto"/>
      </w:divBdr>
    </w:div>
    <w:div w:id="537283301">
      <w:bodyDiv w:val="1"/>
      <w:marLeft w:val="0"/>
      <w:marRight w:val="0"/>
      <w:marTop w:val="0"/>
      <w:marBottom w:val="0"/>
      <w:divBdr>
        <w:top w:val="none" w:sz="0" w:space="0" w:color="auto"/>
        <w:left w:val="none" w:sz="0" w:space="0" w:color="auto"/>
        <w:bottom w:val="none" w:sz="0" w:space="0" w:color="auto"/>
        <w:right w:val="none" w:sz="0" w:space="0" w:color="auto"/>
      </w:divBdr>
    </w:div>
    <w:div w:id="550729643">
      <w:bodyDiv w:val="1"/>
      <w:marLeft w:val="0"/>
      <w:marRight w:val="0"/>
      <w:marTop w:val="0"/>
      <w:marBottom w:val="0"/>
      <w:divBdr>
        <w:top w:val="none" w:sz="0" w:space="0" w:color="auto"/>
        <w:left w:val="none" w:sz="0" w:space="0" w:color="auto"/>
        <w:bottom w:val="none" w:sz="0" w:space="0" w:color="auto"/>
        <w:right w:val="none" w:sz="0" w:space="0" w:color="auto"/>
      </w:divBdr>
    </w:div>
    <w:div w:id="612135471">
      <w:bodyDiv w:val="1"/>
      <w:marLeft w:val="0"/>
      <w:marRight w:val="0"/>
      <w:marTop w:val="0"/>
      <w:marBottom w:val="0"/>
      <w:divBdr>
        <w:top w:val="none" w:sz="0" w:space="0" w:color="auto"/>
        <w:left w:val="none" w:sz="0" w:space="0" w:color="auto"/>
        <w:bottom w:val="none" w:sz="0" w:space="0" w:color="auto"/>
        <w:right w:val="none" w:sz="0" w:space="0" w:color="auto"/>
      </w:divBdr>
    </w:div>
    <w:div w:id="652489062">
      <w:bodyDiv w:val="1"/>
      <w:marLeft w:val="0"/>
      <w:marRight w:val="0"/>
      <w:marTop w:val="0"/>
      <w:marBottom w:val="0"/>
      <w:divBdr>
        <w:top w:val="none" w:sz="0" w:space="0" w:color="auto"/>
        <w:left w:val="none" w:sz="0" w:space="0" w:color="auto"/>
        <w:bottom w:val="none" w:sz="0" w:space="0" w:color="auto"/>
        <w:right w:val="none" w:sz="0" w:space="0" w:color="auto"/>
      </w:divBdr>
    </w:div>
    <w:div w:id="653919378">
      <w:bodyDiv w:val="1"/>
      <w:marLeft w:val="0"/>
      <w:marRight w:val="0"/>
      <w:marTop w:val="0"/>
      <w:marBottom w:val="0"/>
      <w:divBdr>
        <w:top w:val="none" w:sz="0" w:space="0" w:color="auto"/>
        <w:left w:val="none" w:sz="0" w:space="0" w:color="auto"/>
        <w:bottom w:val="none" w:sz="0" w:space="0" w:color="auto"/>
        <w:right w:val="none" w:sz="0" w:space="0" w:color="auto"/>
      </w:divBdr>
    </w:div>
    <w:div w:id="735126355">
      <w:bodyDiv w:val="1"/>
      <w:marLeft w:val="0"/>
      <w:marRight w:val="0"/>
      <w:marTop w:val="0"/>
      <w:marBottom w:val="0"/>
      <w:divBdr>
        <w:top w:val="none" w:sz="0" w:space="0" w:color="auto"/>
        <w:left w:val="none" w:sz="0" w:space="0" w:color="auto"/>
        <w:bottom w:val="none" w:sz="0" w:space="0" w:color="auto"/>
        <w:right w:val="none" w:sz="0" w:space="0" w:color="auto"/>
      </w:divBdr>
    </w:div>
    <w:div w:id="750272075">
      <w:bodyDiv w:val="1"/>
      <w:marLeft w:val="0"/>
      <w:marRight w:val="0"/>
      <w:marTop w:val="0"/>
      <w:marBottom w:val="0"/>
      <w:divBdr>
        <w:top w:val="none" w:sz="0" w:space="0" w:color="auto"/>
        <w:left w:val="none" w:sz="0" w:space="0" w:color="auto"/>
        <w:bottom w:val="none" w:sz="0" w:space="0" w:color="auto"/>
        <w:right w:val="none" w:sz="0" w:space="0" w:color="auto"/>
      </w:divBdr>
    </w:div>
    <w:div w:id="840773728">
      <w:bodyDiv w:val="1"/>
      <w:marLeft w:val="0"/>
      <w:marRight w:val="0"/>
      <w:marTop w:val="0"/>
      <w:marBottom w:val="0"/>
      <w:divBdr>
        <w:top w:val="none" w:sz="0" w:space="0" w:color="auto"/>
        <w:left w:val="none" w:sz="0" w:space="0" w:color="auto"/>
        <w:bottom w:val="none" w:sz="0" w:space="0" w:color="auto"/>
        <w:right w:val="none" w:sz="0" w:space="0" w:color="auto"/>
      </w:divBdr>
    </w:div>
    <w:div w:id="891959958">
      <w:bodyDiv w:val="1"/>
      <w:marLeft w:val="0"/>
      <w:marRight w:val="0"/>
      <w:marTop w:val="0"/>
      <w:marBottom w:val="0"/>
      <w:divBdr>
        <w:top w:val="none" w:sz="0" w:space="0" w:color="auto"/>
        <w:left w:val="none" w:sz="0" w:space="0" w:color="auto"/>
        <w:bottom w:val="none" w:sz="0" w:space="0" w:color="auto"/>
        <w:right w:val="none" w:sz="0" w:space="0" w:color="auto"/>
      </w:divBdr>
    </w:div>
    <w:div w:id="1003513602">
      <w:bodyDiv w:val="1"/>
      <w:marLeft w:val="0"/>
      <w:marRight w:val="0"/>
      <w:marTop w:val="0"/>
      <w:marBottom w:val="0"/>
      <w:divBdr>
        <w:top w:val="none" w:sz="0" w:space="0" w:color="auto"/>
        <w:left w:val="none" w:sz="0" w:space="0" w:color="auto"/>
        <w:bottom w:val="none" w:sz="0" w:space="0" w:color="auto"/>
        <w:right w:val="none" w:sz="0" w:space="0" w:color="auto"/>
      </w:divBdr>
    </w:div>
    <w:div w:id="1037125044">
      <w:bodyDiv w:val="1"/>
      <w:marLeft w:val="0"/>
      <w:marRight w:val="0"/>
      <w:marTop w:val="0"/>
      <w:marBottom w:val="0"/>
      <w:divBdr>
        <w:top w:val="none" w:sz="0" w:space="0" w:color="auto"/>
        <w:left w:val="none" w:sz="0" w:space="0" w:color="auto"/>
        <w:bottom w:val="none" w:sz="0" w:space="0" w:color="auto"/>
        <w:right w:val="none" w:sz="0" w:space="0" w:color="auto"/>
      </w:divBdr>
    </w:div>
    <w:div w:id="1122387135">
      <w:bodyDiv w:val="1"/>
      <w:marLeft w:val="0"/>
      <w:marRight w:val="0"/>
      <w:marTop w:val="0"/>
      <w:marBottom w:val="0"/>
      <w:divBdr>
        <w:top w:val="none" w:sz="0" w:space="0" w:color="auto"/>
        <w:left w:val="none" w:sz="0" w:space="0" w:color="auto"/>
        <w:bottom w:val="none" w:sz="0" w:space="0" w:color="auto"/>
        <w:right w:val="none" w:sz="0" w:space="0" w:color="auto"/>
      </w:divBdr>
    </w:div>
    <w:div w:id="1153571674">
      <w:bodyDiv w:val="1"/>
      <w:marLeft w:val="0"/>
      <w:marRight w:val="0"/>
      <w:marTop w:val="0"/>
      <w:marBottom w:val="0"/>
      <w:divBdr>
        <w:top w:val="none" w:sz="0" w:space="0" w:color="auto"/>
        <w:left w:val="none" w:sz="0" w:space="0" w:color="auto"/>
        <w:bottom w:val="none" w:sz="0" w:space="0" w:color="auto"/>
        <w:right w:val="none" w:sz="0" w:space="0" w:color="auto"/>
      </w:divBdr>
    </w:div>
    <w:div w:id="1160805314">
      <w:bodyDiv w:val="1"/>
      <w:marLeft w:val="0"/>
      <w:marRight w:val="0"/>
      <w:marTop w:val="0"/>
      <w:marBottom w:val="0"/>
      <w:divBdr>
        <w:top w:val="none" w:sz="0" w:space="0" w:color="auto"/>
        <w:left w:val="none" w:sz="0" w:space="0" w:color="auto"/>
        <w:bottom w:val="none" w:sz="0" w:space="0" w:color="auto"/>
        <w:right w:val="none" w:sz="0" w:space="0" w:color="auto"/>
      </w:divBdr>
    </w:div>
    <w:div w:id="1196042641">
      <w:bodyDiv w:val="1"/>
      <w:marLeft w:val="0"/>
      <w:marRight w:val="0"/>
      <w:marTop w:val="0"/>
      <w:marBottom w:val="0"/>
      <w:divBdr>
        <w:top w:val="none" w:sz="0" w:space="0" w:color="auto"/>
        <w:left w:val="none" w:sz="0" w:space="0" w:color="auto"/>
        <w:bottom w:val="none" w:sz="0" w:space="0" w:color="auto"/>
        <w:right w:val="none" w:sz="0" w:space="0" w:color="auto"/>
      </w:divBdr>
    </w:div>
    <w:div w:id="1251281203">
      <w:bodyDiv w:val="1"/>
      <w:marLeft w:val="0"/>
      <w:marRight w:val="0"/>
      <w:marTop w:val="0"/>
      <w:marBottom w:val="0"/>
      <w:divBdr>
        <w:top w:val="none" w:sz="0" w:space="0" w:color="auto"/>
        <w:left w:val="none" w:sz="0" w:space="0" w:color="auto"/>
        <w:bottom w:val="none" w:sz="0" w:space="0" w:color="auto"/>
        <w:right w:val="none" w:sz="0" w:space="0" w:color="auto"/>
      </w:divBdr>
    </w:div>
    <w:div w:id="1287078922">
      <w:bodyDiv w:val="1"/>
      <w:marLeft w:val="0"/>
      <w:marRight w:val="0"/>
      <w:marTop w:val="0"/>
      <w:marBottom w:val="0"/>
      <w:divBdr>
        <w:top w:val="none" w:sz="0" w:space="0" w:color="auto"/>
        <w:left w:val="none" w:sz="0" w:space="0" w:color="auto"/>
        <w:bottom w:val="none" w:sz="0" w:space="0" w:color="auto"/>
        <w:right w:val="none" w:sz="0" w:space="0" w:color="auto"/>
      </w:divBdr>
    </w:div>
    <w:div w:id="1321230980">
      <w:bodyDiv w:val="1"/>
      <w:marLeft w:val="0"/>
      <w:marRight w:val="0"/>
      <w:marTop w:val="0"/>
      <w:marBottom w:val="0"/>
      <w:divBdr>
        <w:top w:val="none" w:sz="0" w:space="0" w:color="auto"/>
        <w:left w:val="none" w:sz="0" w:space="0" w:color="auto"/>
        <w:bottom w:val="none" w:sz="0" w:space="0" w:color="auto"/>
        <w:right w:val="none" w:sz="0" w:space="0" w:color="auto"/>
      </w:divBdr>
    </w:div>
    <w:div w:id="1322270713">
      <w:bodyDiv w:val="1"/>
      <w:marLeft w:val="0"/>
      <w:marRight w:val="0"/>
      <w:marTop w:val="0"/>
      <w:marBottom w:val="0"/>
      <w:divBdr>
        <w:top w:val="none" w:sz="0" w:space="0" w:color="auto"/>
        <w:left w:val="none" w:sz="0" w:space="0" w:color="auto"/>
        <w:bottom w:val="none" w:sz="0" w:space="0" w:color="auto"/>
        <w:right w:val="none" w:sz="0" w:space="0" w:color="auto"/>
      </w:divBdr>
    </w:div>
    <w:div w:id="1427383535">
      <w:bodyDiv w:val="1"/>
      <w:marLeft w:val="0"/>
      <w:marRight w:val="0"/>
      <w:marTop w:val="0"/>
      <w:marBottom w:val="0"/>
      <w:divBdr>
        <w:top w:val="none" w:sz="0" w:space="0" w:color="auto"/>
        <w:left w:val="none" w:sz="0" w:space="0" w:color="auto"/>
        <w:bottom w:val="none" w:sz="0" w:space="0" w:color="auto"/>
        <w:right w:val="none" w:sz="0" w:space="0" w:color="auto"/>
      </w:divBdr>
    </w:div>
    <w:div w:id="1509707517">
      <w:bodyDiv w:val="1"/>
      <w:marLeft w:val="0"/>
      <w:marRight w:val="0"/>
      <w:marTop w:val="0"/>
      <w:marBottom w:val="0"/>
      <w:divBdr>
        <w:top w:val="none" w:sz="0" w:space="0" w:color="auto"/>
        <w:left w:val="none" w:sz="0" w:space="0" w:color="auto"/>
        <w:bottom w:val="none" w:sz="0" w:space="0" w:color="auto"/>
        <w:right w:val="none" w:sz="0" w:space="0" w:color="auto"/>
      </w:divBdr>
    </w:div>
    <w:div w:id="1525902439">
      <w:bodyDiv w:val="1"/>
      <w:marLeft w:val="0"/>
      <w:marRight w:val="0"/>
      <w:marTop w:val="0"/>
      <w:marBottom w:val="0"/>
      <w:divBdr>
        <w:top w:val="none" w:sz="0" w:space="0" w:color="auto"/>
        <w:left w:val="none" w:sz="0" w:space="0" w:color="auto"/>
        <w:bottom w:val="none" w:sz="0" w:space="0" w:color="auto"/>
        <w:right w:val="none" w:sz="0" w:space="0" w:color="auto"/>
      </w:divBdr>
    </w:div>
    <w:div w:id="1585796406">
      <w:bodyDiv w:val="1"/>
      <w:marLeft w:val="0"/>
      <w:marRight w:val="0"/>
      <w:marTop w:val="0"/>
      <w:marBottom w:val="0"/>
      <w:divBdr>
        <w:top w:val="none" w:sz="0" w:space="0" w:color="auto"/>
        <w:left w:val="none" w:sz="0" w:space="0" w:color="auto"/>
        <w:bottom w:val="none" w:sz="0" w:space="0" w:color="auto"/>
        <w:right w:val="none" w:sz="0" w:space="0" w:color="auto"/>
      </w:divBdr>
    </w:div>
    <w:div w:id="1626695004">
      <w:bodyDiv w:val="1"/>
      <w:marLeft w:val="0"/>
      <w:marRight w:val="0"/>
      <w:marTop w:val="0"/>
      <w:marBottom w:val="0"/>
      <w:divBdr>
        <w:top w:val="none" w:sz="0" w:space="0" w:color="auto"/>
        <w:left w:val="none" w:sz="0" w:space="0" w:color="auto"/>
        <w:bottom w:val="none" w:sz="0" w:space="0" w:color="auto"/>
        <w:right w:val="none" w:sz="0" w:space="0" w:color="auto"/>
      </w:divBdr>
    </w:div>
    <w:div w:id="1705208427">
      <w:bodyDiv w:val="1"/>
      <w:marLeft w:val="0"/>
      <w:marRight w:val="0"/>
      <w:marTop w:val="0"/>
      <w:marBottom w:val="0"/>
      <w:divBdr>
        <w:top w:val="none" w:sz="0" w:space="0" w:color="auto"/>
        <w:left w:val="none" w:sz="0" w:space="0" w:color="auto"/>
        <w:bottom w:val="none" w:sz="0" w:space="0" w:color="auto"/>
        <w:right w:val="none" w:sz="0" w:space="0" w:color="auto"/>
      </w:divBdr>
    </w:div>
    <w:div w:id="1739748801">
      <w:bodyDiv w:val="1"/>
      <w:marLeft w:val="0"/>
      <w:marRight w:val="0"/>
      <w:marTop w:val="0"/>
      <w:marBottom w:val="0"/>
      <w:divBdr>
        <w:top w:val="none" w:sz="0" w:space="0" w:color="auto"/>
        <w:left w:val="none" w:sz="0" w:space="0" w:color="auto"/>
        <w:bottom w:val="none" w:sz="0" w:space="0" w:color="auto"/>
        <w:right w:val="none" w:sz="0" w:space="0" w:color="auto"/>
      </w:divBdr>
    </w:div>
    <w:div w:id="1874265460">
      <w:bodyDiv w:val="1"/>
      <w:marLeft w:val="0"/>
      <w:marRight w:val="0"/>
      <w:marTop w:val="0"/>
      <w:marBottom w:val="0"/>
      <w:divBdr>
        <w:top w:val="none" w:sz="0" w:space="0" w:color="auto"/>
        <w:left w:val="none" w:sz="0" w:space="0" w:color="auto"/>
        <w:bottom w:val="none" w:sz="0" w:space="0" w:color="auto"/>
        <w:right w:val="none" w:sz="0" w:space="0" w:color="auto"/>
      </w:divBdr>
    </w:div>
    <w:div w:id="1878421865">
      <w:bodyDiv w:val="1"/>
      <w:marLeft w:val="0"/>
      <w:marRight w:val="0"/>
      <w:marTop w:val="0"/>
      <w:marBottom w:val="0"/>
      <w:divBdr>
        <w:top w:val="none" w:sz="0" w:space="0" w:color="auto"/>
        <w:left w:val="none" w:sz="0" w:space="0" w:color="auto"/>
        <w:bottom w:val="none" w:sz="0" w:space="0" w:color="auto"/>
        <w:right w:val="none" w:sz="0" w:space="0" w:color="auto"/>
      </w:divBdr>
    </w:div>
    <w:div w:id="1937979067">
      <w:bodyDiv w:val="1"/>
      <w:marLeft w:val="0"/>
      <w:marRight w:val="0"/>
      <w:marTop w:val="0"/>
      <w:marBottom w:val="0"/>
      <w:divBdr>
        <w:top w:val="none" w:sz="0" w:space="0" w:color="auto"/>
        <w:left w:val="none" w:sz="0" w:space="0" w:color="auto"/>
        <w:bottom w:val="none" w:sz="0" w:space="0" w:color="auto"/>
        <w:right w:val="none" w:sz="0" w:space="0" w:color="auto"/>
      </w:divBdr>
    </w:div>
    <w:div w:id="1999842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Microsoft_Word_Document1.docx"/><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Excel_Worksheet2.xls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AC935DC-1966-4498-A5BF-4FCE885F32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1463</Words>
  <Characters>8340</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9784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kjm</dc:creator>
  <cp:lastModifiedBy>Kara Vega</cp:lastModifiedBy>
  <cp:revision>1</cp:revision>
  <dcterms:created xsi:type="dcterms:W3CDTF">2017-11-01T15:36:00Z</dcterms:created>
  <dcterms:modified xsi:type="dcterms:W3CDTF">2017-11-01T15:36:00Z</dcterms:modified>
</cp:coreProperties>
</file>