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872" w:rsidRPr="00257E69" w:rsidRDefault="00C46478" w:rsidP="00257E69">
      <w:pPr>
        <w:pStyle w:val="Title"/>
      </w:pPr>
      <w:r w:rsidRPr="00257E69">
        <w:t xml:space="preserve">DISPOSITION </w:t>
      </w:r>
      <w:r w:rsidR="005A5BCD">
        <w:t xml:space="preserve">FOR WORKPAPERS COVERING PROCESS FAN </w:t>
      </w:r>
      <w:r w:rsidR="00BE01CB">
        <w:t>VSD</w:t>
      </w:r>
    </w:p>
    <w:p w:rsidR="00CD0872" w:rsidRPr="00257E69" w:rsidRDefault="00BE01CB" w:rsidP="00257E69">
      <w:pPr>
        <w:pStyle w:val="Subtitle"/>
      </w:pPr>
      <w:r>
        <w:t>California Public Utilities Commission, Energy Division</w:t>
      </w:r>
    </w:p>
    <w:p w:rsidR="00CD0872" w:rsidRDefault="00BE01CB" w:rsidP="00774848">
      <w:pPr>
        <w:pStyle w:val="DispositionDate"/>
      </w:pPr>
      <w:r>
        <w:t>March 2, 2017</w:t>
      </w:r>
    </w:p>
    <w:p w:rsidR="008504F1" w:rsidRDefault="008504F1">
      <w:pPr>
        <w:pStyle w:val="TOC1"/>
        <w:tabs>
          <w:tab w:val="right" w:leader="dot" w:pos="9350"/>
        </w:tabs>
      </w:pPr>
    </w:p>
    <w:p w:rsidR="008504F1" w:rsidRDefault="008504F1">
      <w:pPr>
        <w:pStyle w:val="TOC1"/>
        <w:tabs>
          <w:tab w:val="right" w:leader="dot" w:pos="9350"/>
        </w:tabs>
      </w:pPr>
    </w:p>
    <w:bookmarkStart w:id="0" w:name="_GoBack"/>
    <w:bookmarkEnd w:id="0"/>
    <w:p w:rsidR="00F2004A" w:rsidRDefault="00235ACC">
      <w:pPr>
        <w:pStyle w:val="TOC1"/>
        <w:tabs>
          <w:tab w:val="right" w:leader="dot" w:pos="9350"/>
        </w:tabs>
        <w:rPr>
          <w:rFonts w:asciiTheme="minorHAnsi" w:eastAsiaTheme="minorEastAsia" w:hAnsiTheme="minorHAnsi" w:cstheme="minorBidi"/>
          <w:noProof/>
        </w:rPr>
      </w:pPr>
      <w:r>
        <w:fldChar w:fldCharType="begin"/>
      </w:r>
      <w:r>
        <w:instrText xml:space="preserve"> TOC \o "1-2" \h \z \u </w:instrText>
      </w:r>
      <w:r>
        <w:fldChar w:fldCharType="separate"/>
      </w:r>
      <w:hyperlink w:anchor="_Toc476153520" w:history="1">
        <w:r w:rsidR="00F2004A" w:rsidRPr="0084542B">
          <w:rPr>
            <w:rStyle w:val="Hyperlink"/>
            <w:noProof/>
          </w:rPr>
          <w:t>1. Review Scope</w:t>
        </w:r>
        <w:r w:rsidR="00F2004A">
          <w:rPr>
            <w:noProof/>
            <w:webHidden/>
          </w:rPr>
          <w:tab/>
        </w:r>
        <w:r w:rsidR="00F2004A">
          <w:rPr>
            <w:noProof/>
            <w:webHidden/>
          </w:rPr>
          <w:fldChar w:fldCharType="begin"/>
        </w:r>
        <w:r w:rsidR="00F2004A">
          <w:rPr>
            <w:noProof/>
            <w:webHidden/>
          </w:rPr>
          <w:instrText xml:space="preserve"> PAGEREF _Toc476153520 \h </w:instrText>
        </w:r>
        <w:r w:rsidR="00F2004A">
          <w:rPr>
            <w:noProof/>
            <w:webHidden/>
          </w:rPr>
        </w:r>
        <w:r w:rsidR="00F2004A">
          <w:rPr>
            <w:noProof/>
            <w:webHidden/>
          </w:rPr>
          <w:fldChar w:fldCharType="separate"/>
        </w:r>
        <w:r w:rsidR="00F2004A">
          <w:rPr>
            <w:noProof/>
            <w:webHidden/>
          </w:rPr>
          <w:t>2</w:t>
        </w:r>
        <w:r w:rsidR="00F2004A">
          <w:rPr>
            <w:noProof/>
            <w:webHidden/>
          </w:rPr>
          <w:fldChar w:fldCharType="end"/>
        </w:r>
      </w:hyperlink>
    </w:p>
    <w:p w:rsidR="00F2004A" w:rsidRDefault="00F2004A">
      <w:pPr>
        <w:pStyle w:val="TOC1"/>
        <w:tabs>
          <w:tab w:val="right" w:leader="dot" w:pos="9350"/>
        </w:tabs>
        <w:rPr>
          <w:rFonts w:asciiTheme="minorHAnsi" w:eastAsiaTheme="minorEastAsia" w:hAnsiTheme="minorHAnsi" w:cstheme="minorBidi"/>
          <w:noProof/>
        </w:rPr>
      </w:pPr>
      <w:hyperlink w:anchor="_Toc476153521" w:history="1">
        <w:r w:rsidRPr="0084542B">
          <w:rPr>
            <w:rStyle w:val="Hyperlink"/>
            <w:noProof/>
          </w:rPr>
          <w:t>2. Critical Review Issues</w:t>
        </w:r>
        <w:r>
          <w:rPr>
            <w:noProof/>
            <w:webHidden/>
          </w:rPr>
          <w:tab/>
        </w:r>
        <w:r>
          <w:rPr>
            <w:noProof/>
            <w:webHidden/>
          </w:rPr>
          <w:fldChar w:fldCharType="begin"/>
        </w:r>
        <w:r>
          <w:rPr>
            <w:noProof/>
            <w:webHidden/>
          </w:rPr>
          <w:instrText xml:space="preserve"> PAGEREF _Toc476153521 \h </w:instrText>
        </w:r>
        <w:r>
          <w:rPr>
            <w:noProof/>
            <w:webHidden/>
          </w:rPr>
        </w:r>
        <w:r>
          <w:rPr>
            <w:noProof/>
            <w:webHidden/>
          </w:rPr>
          <w:fldChar w:fldCharType="separate"/>
        </w:r>
        <w:r>
          <w:rPr>
            <w:noProof/>
            <w:webHidden/>
          </w:rPr>
          <w:t>2</w:t>
        </w:r>
        <w:r>
          <w:rPr>
            <w:noProof/>
            <w:webHidden/>
          </w:rPr>
          <w:fldChar w:fldCharType="end"/>
        </w:r>
      </w:hyperlink>
    </w:p>
    <w:p w:rsidR="00F2004A" w:rsidRDefault="00F2004A">
      <w:pPr>
        <w:pStyle w:val="TOC2"/>
        <w:tabs>
          <w:tab w:val="right" w:leader="dot" w:pos="9350"/>
        </w:tabs>
        <w:rPr>
          <w:rFonts w:asciiTheme="minorHAnsi" w:eastAsiaTheme="minorEastAsia" w:hAnsiTheme="minorHAnsi" w:cstheme="minorBidi"/>
          <w:noProof/>
        </w:rPr>
      </w:pPr>
      <w:hyperlink w:anchor="_Toc476153522" w:history="1">
        <w:r w:rsidRPr="0084542B">
          <w:rPr>
            <w:rStyle w:val="Hyperlink"/>
            <w:noProof/>
          </w:rPr>
          <w:t>2.1. Missing information regarding fan installations prevents evaluation of operating hours, effective useful life (EUL), and other assumptions used to calculate savings</w:t>
        </w:r>
        <w:r>
          <w:rPr>
            <w:noProof/>
            <w:webHidden/>
          </w:rPr>
          <w:tab/>
        </w:r>
        <w:r>
          <w:rPr>
            <w:noProof/>
            <w:webHidden/>
          </w:rPr>
          <w:fldChar w:fldCharType="begin"/>
        </w:r>
        <w:r>
          <w:rPr>
            <w:noProof/>
            <w:webHidden/>
          </w:rPr>
          <w:instrText xml:space="preserve"> PAGEREF _Toc476153522 \h </w:instrText>
        </w:r>
        <w:r>
          <w:rPr>
            <w:noProof/>
            <w:webHidden/>
          </w:rPr>
        </w:r>
        <w:r>
          <w:rPr>
            <w:noProof/>
            <w:webHidden/>
          </w:rPr>
          <w:fldChar w:fldCharType="separate"/>
        </w:r>
        <w:r>
          <w:rPr>
            <w:noProof/>
            <w:webHidden/>
          </w:rPr>
          <w:t>2</w:t>
        </w:r>
        <w:r>
          <w:rPr>
            <w:noProof/>
            <w:webHidden/>
          </w:rPr>
          <w:fldChar w:fldCharType="end"/>
        </w:r>
      </w:hyperlink>
    </w:p>
    <w:p w:rsidR="00F2004A" w:rsidRDefault="00F2004A">
      <w:pPr>
        <w:pStyle w:val="TOC2"/>
        <w:tabs>
          <w:tab w:val="right" w:leader="dot" w:pos="9350"/>
        </w:tabs>
        <w:rPr>
          <w:rFonts w:asciiTheme="minorHAnsi" w:eastAsiaTheme="minorEastAsia" w:hAnsiTheme="minorHAnsi" w:cstheme="minorBidi"/>
          <w:noProof/>
        </w:rPr>
      </w:pPr>
      <w:hyperlink w:anchor="_Toc476153523" w:history="1">
        <w:r w:rsidRPr="0084542B">
          <w:rPr>
            <w:rStyle w:val="Hyperlink"/>
            <w:noProof/>
          </w:rPr>
          <w:t>2.2. Measure definition incorrectly assumes a linear relationship between savings and size</w:t>
        </w:r>
        <w:r>
          <w:rPr>
            <w:noProof/>
            <w:webHidden/>
          </w:rPr>
          <w:tab/>
        </w:r>
        <w:r>
          <w:rPr>
            <w:noProof/>
            <w:webHidden/>
          </w:rPr>
          <w:fldChar w:fldCharType="begin"/>
        </w:r>
        <w:r>
          <w:rPr>
            <w:noProof/>
            <w:webHidden/>
          </w:rPr>
          <w:instrText xml:space="preserve"> PAGEREF _Toc476153523 \h </w:instrText>
        </w:r>
        <w:r>
          <w:rPr>
            <w:noProof/>
            <w:webHidden/>
          </w:rPr>
        </w:r>
        <w:r>
          <w:rPr>
            <w:noProof/>
            <w:webHidden/>
          </w:rPr>
          <w:fldChar w:fldCharType="separate"/>
        </w:r>
        <w:r>
          <w:rPr>
            <w:noProof/>
            <w:webHidden/>
          </w:rPr>
          <w:t>2</w:t>
        </w:r>
        <w:r>
          <w:rPr>
            <w:noProof/>
            <w:webHidden/>
          </w:rPr>
          <w:fldChar w:fldCharType="end"/>
        </w:r>
      </w:hyperlink>
    </w:p>
    <w:p w:rsidR="00F2004A" w:rsidRDefault="00F2004A">
      <w:pPr>
        <w:pStyle w:val="TOC2"/>
        <w:tabs>
          <w:tab w:val="right" w:leader="dot" w:pos="9350"/>
        </w:tabs>
        <w:rPr>
          <w:rFonts w:asciiTheme="minorHAnsi" w:eastAsiaTheme="minorEastAsia" w:hAnsiTheme="minorHAnsi" w:cstheme="minorBidi"/>
          <w:noProof/>
        </w:rPr>
      </w:pPr>
      <w:hyperlink w:anchor="_Toc476153524" w:history="1">
        <w:r w:rsidRPr="0084542B">
          <w:rPr>
            <w:rStyle w:val="Hyperlink"/>
            <w:noProof/>
          </w:rPr>
          <w:t>2.3. Ex ante data submissions have various errors and is inconsistent with the workpaper</w:t>
        </w:r>
        <w:r>
          <w:rPr>
            <w:noProof/>
            <w:webHidden/>
          </w:rPr>
          <w:tab/>
        </w:r>
        <w:r>
          <w:rPr>
            <w:noProof/>
            <w:webHidden/>
          </w:rPr>
          <w:fldChar w:fldCharType="begin"/>
        </w:r>
        <w:r>
          <w:rPr>
            <w:noProof/>
            <w:webHidden/>
          </w:rPr>
          <w:instrText xml:space="preserve"> PAGEREF _Toc476153524 \h </w:instrText>
        </w:r>
        <w:r>
          <w:rPr>
            <w:noProof/>
            <w:webHidden/>
          </w:rPr>
        </w:r>
        <w:r>
          <w:rPr>
            <w:noProof/>
            <w:webHidden/>
          </w:rPr>
          <w:fldChar w:fldCharType="separate"/>
        </w:r>
        <w:r>
          <w:rPr>
            <w:noProof/>
            <w:webHidden/>
          </w:rPr>
          <w:t>2</w:t>
        </w:r>
        <w:r>
          <w:rPr>
            <w:noProof/>
            <w:webHidden/>
          </w:rPr>
          <w:fldChar w:fldCharType="end"/>
        </w:r>
      </w:hyperlink>
    </w:p>
    <w:p w:rsidR="00F2004A" w:rsidRDefault="00F2004A">
      <w:pPr>
        <w:pStyle w:val="TOC1"/>
        <w:tabs>
          <w:tab w:val="right" w:leader="dot" w:pos="9350"/>
        </w:tabs>
        <w:rPr>
          <w:rFonts w:asciiTheme="minorHAnsi" w:eastAsiaTheme="minorEastAsia" w:hAnsiTheme="minorHAnsi" w:cstheme="minorBidi"/>
          <w:noProof/>
        </w:rPr>
      </w:pPr>
      <w:hyperlink w:anchor="_Toc476153525" w:history="1">
        <w:r w:rsidRPr="0084542B">
          <w:rPr>
            <w:rStyle w:val="Hyperlink"/>
            <w:noProof/>
          </w:rPr>
          <w:t>3. Detailed Review</w:t>
        </w:r>
        <w:r>
          <w:rPr>
            <w:noProof/>
            <w:webHidden/>
          </w:rPr>
          <w:tab/>
        </w:r>
        <w:r>
          <w:rPr>
            <w:noProof/>
            <w:webHidden/>
          </w:rPr>
          <w:fldChar w:fldCharType="begin"/>
        </w:r>
        <w:r>
          <w:rPr>
            <w:noProof/>
            <w:webHidden/>
          </w:rPr>
          <w:instrText xml:space="preserve"> PAGEREF _Toc476153525 \h </w:instrText>
        </w:r>
        <w:r>
          <w:rPr>
            <w:noProof/>
            <w:webHidden/>
          </w:rPr>
        </w:r>
        <w:r>
          <w:rPr>
            <w:noProof/>
            <w:webHidden/>
          </w:rPr>
          <w:fldChar w:fldCharType="separate"/>
        </w:r>
        <w:r>
          <w:rPr>
            <w:noProof/>
            <w:webHidden/>
          </w:rPr>
          <w:t>3</w:t>
        </w:r>
        <w:r>
          <w:rPr>
            <w:noProof/>
            <w:webHidden/>
          </w:rPr>
          <w:fldChar w:fldCharType="end"/>
        </w:r>
      </w:hyperlink>
    </w:p>
    <w:p w:rsidR="00F2004A" w:rsidRDefault="00F2004A">
      <w:pPr>
        <w:pStyle w:val="TOC2"/>
        <w:tabs>
          <w:tab w:val="right" w:leader="dot" w:pos="9350"/>
        </w:tabs>
        <w:rPr>
          <w:rFonts w:asciiTheme="minorHAnsi" w:eastAsiaTheme="minorEastAsia" w:hAnsiTheme="minorHAnsi" w:cstheme="minorBidi"/>
          <w:noProof/>
        </w:rPr>
      </w:pPr>
      <w:hyperlink w:anchor="_Toc476153526" w:history="1">
        <w:r w:rsidRPr="0084542B">
          <w:rPr>
            <w:rStyle w:val="Hyperlink"/>
            <w:noProof/>
          </w:rPr>
          <w:t>3.1. Missing information regarding fan installations prevents evaluation of operating hours, effective useful life (EUL), and other assumptions used to calculate savings</w:t>
        </w:r>
        <w:r>
          <w:rPr>
            <w:noProof/>
            <w:webHidden/>
          </w:rPr>
          <w:tab/>
        </w:r>
        <w:r>
          <w:rPr>
            <w:noProof/>
            <w:webHidden/>
          </w:rPr>
          <w:fldChar w:fldCharType="begin"/>
        </w:r>
        <w:r>
          <w:rPr>
            <w:noProof/>
            <w:webHidden/>
          </w:rPr>
          <w:instrText xml:space="preserve"> PAGEREF _Toc476153526 \h </w:instrText>
        </w:r>
        <w:r>
          <w:rPr>
            <w:noProof/>
            <w:webHidden/>
          </w:rPr>
        </w:r>
        <w:r>
          <w:rPr>
            <w:noProof/>
            <w:webHidden/>
          </w:rPr>
          <w:fldChar w:fldCharType="separate"/>
        </w:r>
        <w:r>
          <w:rPr>
            <w:noProof/>
            <w:webHidden/>
          </w:rPr>
          <w:t>3</w:t>
        </w:r>
        <w:r>
          <w:rPr>
            <w:noProof/>
            <w:webHidden/>
          </w:rPr>
          <w:fldChar w:fldCharType="end"/>
        </w:r>
      </w:hyperlink>
    </w:p>
    <w:p w:rsidR="00F2004A" w:rsidRDefault="00F2004A">
      <w:pPr>
        <w:pStyle w:val="TOC2"/>
        <w:tabs>
          <w:tab w:val="right" w:leader="dot" w:pos="9350"/>
        </w:tabs>
        <w:rPr>
          <w:rFonts w:asciiTheme="minorHAnsi" w:eastAsiaTheme="minorEastAsia" w:hAnsiTheme="minorHAnsi" w:cstheme="minorBidi"/>
          <w:noProof/>
        </w:rPr>
      </w:pPr>
      <w:hyperlink w:anchor="_Toc476153527" w:history="1">
        <w:r w:rsidRPr="0084542B">
          <w:rPr>
            <w:rStyle w:val="Hyperlink"/>
            <w:noProof/>
          </w:rPr>
          <w:t>3.2. Measure definition incorrectly assumes a linear relationship between savings and size</w:t>
        </w:r>
        <w:r>
          <w:rPr>
            <w:noProof/>
            <w:webHidden/>
          </w:rPr>
          <w:tab/>
        </w:r>
        <w:r>
          <w:rPr>
            <w:noProof/>
            <w:webHidden/>
          </w:rPr>
          <w:fldChar w:fldCharType="begin"/>
        </w:r>
        <w:r>
          <w:rPr>
            <w:noProof/>
            <w:webHidden/>
          </w:rPr>
          <w:instrText xml:space="preserve"> PAGEREF _Toc476153527 \h </w:instrText>
        </w:r>
        <w:r>
          <w:rPr>
            <w:noProof/>
            <w:webHidden/>
          </w:rPr>
        </w:r>
        <w:r>
          <w:rPr>
            <w:noProof/>
            <w:webHidden/>
          </w:rPr>
          <w:fldChar w:fldCharType="separate"/>
        </w:r>
        <w:r>
          <w:rPr>
            <w:noProof/>
            <w:webHidden/>
          </w:rPr>
          <w:t>4</w:t>
        </w:r>
        <w:r>
          <w:rPr>
            <w:noProof/>
            <w:webHidden/>
          </w:rPr>
          <w:fldChar w:fldCharType="end"/>
        </w:r>
      </w:hyperlink>
    </w:p>
    <w:p w:rsidR="00F2004A" w:rsidRDefault="00F2004A">
      <w:pPr>
        <w:pStyle w:val="TOC2"/>
        <w:tabs>
          <w:tab w:val="right" w:leader="dot" w:pos="9350"/>
        </w:tabs>
        <w:rPr>
          <w:rFonts w:asciiTheme="minorHAnsi" w:eastAsiaTheme="minorEastAsia" w:hAnsiTheme="minorHAnsi" w:cstheme="minorBidi"/>
          <w:noProof/>
        </w:rPr>
      </w:pPr>
      <w:hyperlink w:anchor="_Toc476153528" w:history="1">
        <w:r w:rsidRPr="0084542B">
          <w:rPr>
            <w:rStyle w:val="Hyperlink"/>
            <w:noProof/>
          </w:rPr>
          <w:t>3.3. Ex ante data submissions have various errors and is inconsistent with the workpaper</w:t>
        </w:r>
        <w:r>
          <w:rPr>
            <w:noProof/>
            <w:webHidden/>
          </w:rPr>
          <w:tab/>
        </w:r>
        <w:r>
          <w:rPr>
            <w:noProof/>
            <w:webHidden/>
          </w:rPr>
          <w:fldChar w:fldCharType="begin"/>
        </w:r>
        <w:r>
          <w:rPr>
            <w:noProof/>
            <w:webHidden/>
          </w:rPr>
          <w:instrText xml:space="preserve"> PAGEREF _Toc476153528 \h </w:instrText>
        </w:r>
        <w:r>
          <w:rPr>
            <w:noProof/>
            <w:webHidden/>
          </w:rPr>
        </w:r>
        <w:r>
          <w:rPr>
            <w:noProof/>
            <w:webHidden/>
          </w:rPr>
          <w:fldChar w:fldCharType="separate"/>
        </w:r>
        <w:r>
          <w:rPr>
            <w:noProof/>
            <w:webHidden/>
          </w:rPr>
          <w:t>6</w:t>
        </w:r>
        <w:r>
          <w:rPr>
            <w:noProof/>
            <w:webHidden/>
          </w:rPr>
          <w:fldChar w:fldCharType="end"/>
        </w:r>
      </w:hyperlink>
    </w:p>
    <w:p w:rsidR="0072213E" w:rsidRDefault="00235ACC" w:rsidP="00235ACC">
      <w:r>
        <w:fldChar w:fldCharType="end"/>
      </w:r>
    </w:p>
    <w:p w:rsidR="0072213E" w:rsidRDefault="0072213E" w:rsidP="0072213E">
      <w:pPr>
        <w:pStyle w:val="Heading1"/>
      </w:pPr>
      <w:r>
        <w:br w:type="page"/>
      </w:r>
    </w:p>
    <w:p w:rsidR="00235ACC" w:rsidRPr="008C7F61" w:rsidRDefault="00235ACC" w:rsidP="00235ACC"/>
    <w:p w:rsidR="002A67E5" w:rsidRPr="00C46478" w:rsidRDefault="002A67E5" w:rsidP="005F0289">
      <w:pPr>
        <w:pStyle w:val="Heading1"/>
        <w:numPr>
          <w:ilvl w:val="0"/>
          <w:numId w:val="29"/>
        </w:numPr>
      </w:pPr>
      <w:bookmarkStart w:id="1" w:name="_Toc476153520"/>
      <w:r w:rsidRPr="00C46478">
        <w:t xml:space="preserve">Review </w:t>
      </w:r>
      <w:r w:rsidR="00E12E68" w:rsidRPr="00C46478">
        <w:t>Scope</w:t>
      </w:r>
      <w:bookmarkEnd w:id="1"/>
    </w:p>
    <w:p w:rsidR="005A5BCD" w:rsidRDefault="005A5BCD" w:rsidP="00C96D56">
      <w:pPr>
        <w:pStyle w:val="Caption"/>
        <w:keepNext/>
      </w:pPr>
      <w:bookmarkStart w:id="2" w:name="_Ref324175084"/>
    </w:p>
    <w:p w:rsidR="00C96D56" w:rsidRPr="00310BA9" w:rsidRDefault="00C96D56" w:rsidP="00C96D56">
      <w:pPr>
        <w:pStyle w:val="Caption"/>
        <w:keepNext/>
      </w:pPr>
      <w:r w:rsidRPr="00310BA9">
        <w:t xml:space="preserve">Table </w:t>
      </w:r>
      <w:fldSimple w:instr=" SEQ Table \* ARABIC ">
        <w:r>
          <w:rPr>
            <w:noProof/>
          </w:rPr>
          <w:t>1</w:t>
        </w:r>
      </w:fldSimple>
      <w:bookmarkEnd w:id="2"/>
      <w:r w:rsidRPr="00310BA9">
        <w:t xml:space="preserve"> </w:t>
      </w:r>
      <w:r>
        <w:t>–</w:t>
      </w:r>
      <w:r w:rsidRPr="00310BA9">
        <w:t xml:space="preserve"> </w:t>
      </w:r>
      <w:r w:rsidR="005A5BCD">
        <w:t>Process Fan VSD</w:t>
      </w:r>
      <w:r>
        <w:t xml:space="preserve"> Workpapers</w:t>
      </w:r>
    </w:p>
    <w:tbl>
      <w:tblPr>
        <w:tblW w:w="885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4"/>
        <w:gridCol w:w="590"/>
        <w:gridCol w:w="5377"/>
        <w:gridCol w:w="1275"/>
      </w:tblGrid>
      <w:tr w:rsidR="00C96D56" w:rsidRPr="008E6B1C" w:rsidTr="005A5BCD">
        <w:tc>
          <w:tcPr>
            <w:tcW w:w="1614" w:type="dxa"/>
          </w:tcPr>
          <w:p w:rsidR="00C96D56" w:rsidRDefault="00C96D56" w:rsidP="00E42F4D">
            <w:pPr>
              <w:keepNext/>
              <w:spacing w:after="0" w:line="240" w:lineRule="auto"/>
              <w:jc w:val="center"/>
              <w:rPr>
                <w:b/>
              </w:rPr>
            </w:pPr>
          </w:p>
          <w:p w:rsidR="00C96D56" w:rsidRDefault="00C96D56" w:rsidP="00E42F4D">
            <w:pPr>
              <w:keepNext/>
              <w:spacing w:after="0" w:line="240" w:lineRule="auto"/>
              <w:jc w:val="center"/>
              <w:rPr>
                <w:b/>
              </w:rPr>
            </w:pPr>
          </w:p>
          <w:p w:rsidR="00C96D56" w:rsidRPr="008E6B1C" w:rsidRDefault="00C96D56" w:rsidP="00E42F4D">
            <w:pPr>
              <w:keepNext/>
              <w:spacing w:after="0" w:line="240" w:lineRule="auto"/>
              <w:jc w:val="center"/>
              <w:rPr>
                <w:b/>
              </w:rPr>
            </w:pPr>
            <w:r w:rsidRPr="008E6B1C">
              <w:rPr>
                <w:b/>
              </w:rPr>
              <w:t>Workpaper ID</w:t>
            </w:r>
          </w:p>
        </w:tc>
        <w:tc>
          <w:tcPr>
            <w:tcW w:w="590" w:type="dxa"/>
          </w:tcPr>
          <w:p w:rsidR="00C96D56" w:rsidRDefault="00C96D56" w:rsidP="00E42F4D">
            <w:pPr>
              <w:keepNext/>
              <w:spacing w:after="0" w:line="240" w:lineRule="auto"/>
              <w:jc w:val="center"/>
              <w:rPr>
                <w:b/>
              </w:rPr>
            </w:pPr>
          </w:p>
          <w:p w:rsidR="00C96D56" w:rsidRDefault="00C96D56" w:rsidP="00E42F4D">
            <w:pPr>
              <w:keepNext/>
              <w:spacing w:after="0" w:line="240" w:lineRule="auto"/>
              <w:jc w:val="center"/>
              <w:rPr>
                <w:b/>
              </w:rPr>
            </w:pPr>
          </w:p>
          <w:p w:rsidR="00C96D56" w:rsidRPr="008E6B1C" w:rsidRDefault="00C96D56" w:rsidP="00E42F4D">
            <w:pPr>
              <w:keepNext/>
              <w:spacing w:after="0" w:line="240" w:lineRule="auto"/>
              <w:jc w:val="center"/>
              <w:rPr>
                <w:b/>
              </w:rPr>
            </w:pPr>
            <w:r>
              <w:rPr>
                <w:b/>
              </w:rPr>
              <w:t>Rev</w:t>
            </w:r>
          </w:p>
        </w:tc>
        <w:tc>
          <w:tcPr>
            <w:tcW w:w="5377" w:type="dxa"/>
          </w:tcPr>
          <w:p w:rsidR="00C96D56" w:rsidRDefault="00C96D56" w:rsidP="00E42F4D">
            <w:pPr>
              <w:keepNext/>
              <w:spacing w:after="0" w:line="240" w:lineRule="auto"/>
              <w:jc w:val="center"/>
              <w:rPr>
                <w:b/>
              </w:rPr>
            </w:pPr>
          </w:p>
          <w:p w:rsidR="00C96D56" w:rsidRDefault="00C96D56" w:rsidP="00E42F4D">
            <w:pPr>
              <w:keepNext/>
              <w:spacing w:after="0" w:line="240" w:lineRule="auto"/>
              <w:rPr>
                <w:b/>
              </w:rPr>
            </w:pPr>
          </w:p>
          <w:p w:rsidR="00C96D56" w:rsidRPr="008E6B1C" w:rsidRDefault="00C96D56" w:rsidP="00E42F4D">
            <w:pPr>
              <w:keepNext/>
              <w:spacing w:after="0" w:line="240" w:lineRule="auto"/>
              <w:jc w:val="center"/>
              <w:rPr>
                <w:b/>
              </w:rPr>
            </w:pPr>
            <w:r w:rsidRPr="008E6B1C">
              <w:rPr>
                <w:b/>
              </w:rPr>
              <w:t>Workpaper Title</w:t>
            </w:r>
          </w:p>
        </w:tc>
        <w:tc>
          <w:tcPr>
            <w:tcW w:w="1275" w:type="dxa"/>
          </w:tcPr>
          <w:p w:rsidR="00C96D56" w:rsidRPr="008E6B1C" w:rsidRDefault="00C96D56" w:rsidP="00E42F4D">
            <w:pPr>
              <w:keepNext/>
              <w:spacing w:after="0" w:line="240" w:lineRule="auto"/>
              <w:jc w:val="center"/>
              <w:rPr>
                <w:b/>
              </w:rPr>
            </w:pPr>
            <w:r>
              <w:rPr>
                <w:b/>
              </w:rPr>
              <w:t>Official Submittal Date</w:t>
            </w:r>
          </w:p>
        </w:tc>
      </w:tr>
      <w:tr w:rsidR="00C96D56" w:rsidRPr="008E6B1C" w:rsidTr="005A5BCD">
        <w:tc>
          <w:tcPr>
            <w:tcW w:w="1614" w:type="dxa"/>
          </w:tcPr>
          <w:p w:rsidR="00C96D56" w:rsidRPr="008E6B1C" w:rsidRDefault="00C96D56" w:rsidP="00E42F4D">
            <w:pPr>
              <w:keepNext/>
              <w:spacing w:after="0" w:line="240" w:lineRule="auto"/>
            </w:pPr>
            <w:r w:rsidRPr="00C96D56">
              <w:rPr>
                <w:rFonts w:cs="Calibri"/>
                <w:color w:val="000000"/>
                <w:sz w:val="23"/>
                <w:szCs w:val="23"/>
                <w:shd w:val="clear" w:color="auto" w:fill="FFFFFF"/>
              </w:rPr>
              <w:t>SCE17PR008</w:t>
            </w:r>
          </w:p>
        </w:tc>
        <w:tc>
          <w:tcPr>
            <w:tcW w:w="590" w:type="dxa"/>
          </w:tcPr>
          <w:p w:rsidR="00C96D56" w:rsidRPr="008E6B1C" w:rsidRDefault="00C96D56" w:rsidP="00E42F4D">
            <w:pPr>
              <w:keepNext/>
              <w:spacing w:after="0" w:line="240" w:lineRule="auto"/>
              <w:jc w:val="center"/>
            </w:pPr>
            <w:r>
              <w:t>0</w:t>
            </w:r>
          </w:p>
        </w:tc>
        <w:tc>
          <w:tcPr>
            <w:tcW w:w="5377" w:type="dxa"/>
          </w:tcPr>
          <w:p w:rsidR="00C96D56" w:rsidRPr="008E6B1C" w:rsidRDefault="005A5BCD" w:rsidP="00E42F4D">
            <w:pPr>
              <w:keepNext/>
              <w:spacing w:after="0" w:line="240" w:lineRule="auto"/>
            </w:pPr>
            <w:r w:rsidRPr="005A5BCD">
              <w:rPr>
                <w:rFonts w:cs="Calibri"/>
                <w:color w:val="000000"/>
                <w:sz w:val="23"/>
                <w:szCs w:val="23"/>
                <w:shd w:val="clear" w:color="auto" w:fill="FFFFFF"/>
              </w:rPr>
              <w:t>Process Fan VSD</w:t>
            </w:r>
          </w:p>
        </w:tc>
        <w:tc>
          <w:tcPr>
            <w:tcW w:w="1275" w:type="dxa"/>
          </w:tcPr>
          <w:p w:rsidR="00C96D56" w:rsidRPr="008E6B1C" w:rsidRDefault="00C96D56" w:rsidP="00E42F4D">
            <w:pPr>
              <w:keepNext/>
              <w:spacing w:after="0" w:line="240" w:lineRule="auto"/>
              <w:jc w:val="right"/>
            </w:pPr>
            <w:r>
              <w:t>1/1/2017</w:t>
            </w:r>
          </w:p>
        </w:tc>
      </w:tr>
      <w:tr w:rsidR="00C96D56" w:rsidRPr="008E6B1C" w:rsidTr="005A5BCD">
        <w:tc>
          <w:tcPr>
            <w:tcW w:w="1614" w:type="dxa"/>
          </w:tcPr>
          <w:p w:rsidR="00C96D56" w:rsidRPr="008E6B1C" w:rsidRDefault="005A5BCD" w:rsidP="00E42F4D">
            <w:pPr>
              <w:keepNext/>
              <w:spacing w:after="0" w:line="240" w:lineRule="auto"/>
            </w:pPr>
            <w:r w:rsidRPr="005A5BCD">
              <w:rPr>
                <w:rFonts w:cs="Calibri"/>
                <w:color w:val="000000"/>
                <w:sz w:val="23"/>
                <w:szCs w:val="23"/>
                <w:shd w:val="clear" w:color="auto" w:fill="FFFFFF"/>
              </w:rPr>
              <w:t>PGECOPRO110</w:t>
            </w:r>
          </w:p>
        </w:tc>
        <w:tc>
          <w:tcPr>
            <w:tcW w:w="590" w:type="dxa"/>
          </w:tcPr>
          <w:p w:rsidR="00C96D56" w:rsidRPr="008E6B1C" w:rsidRDefault="00C96D56" w:rsidP="00E42F4D">
            <w:pPr>
              <w:keepNext/>
              <w:spacing w:after="0" w:line="240" w:lineRule="auto"/>
              <w:jc w:val="center"/>
            </w:pPr>
            <w:r>
              <w:t>0</w:t>
            </w:r>
          </w:p>
        </w:tc>
        <w:tc>
          <w:tcPr>
            <w:tcW w:w="5377" w:type="dxa"/>
          </w:tcPr>
          <w:p w:rsidR="00C96D56" w:rsidRPr="008E6B1C" w:rsidRDefault="005A5BCD" w:rsidP="00E42F4D">
            <w:pPr>
              <w:keepNext/>
              <w:spacing w:after="0" w:line="240" w:lineRule="auto"/>
            </w:pPr>
            <w:r w:rsidRPr="005A5BCD">
              <w:rPr>
                <w:rFonts w:cs="Calibri"/>
                <w:color w:val="000000"/>
                <w:sz w:val="23"/>
                <w:szCs w:val="23"/>
                <w:shd w:val="clear" w:color="auto" w:fill="FFFFFF"/>
              </w:rPr>
              <w:t>Process Fan VSD</w:t>
            </w:r>
          </w:p>
        </w:tc>
        <w:tc>
          <w:tcPr>
            <w:tcW w:w="1275" w:type="dxa"/>
          </w:tcPr>
          <w:p w:rsidR="00C96D56" w:rsidRPr="008E6B1C" w:rsidRDefault="005A5BCD" w:rsidP="00E42F4D">
            <w:pPr>
              <w:keepNext/>
              <w:spacing w:after="0" w:line="240" w:lineRule="auto"/>
              <w:jc w:val="right"/>
            </w:pPr>
            <w:r>
              <w:t>5/8/2015</w:t>
            </w:r>
          </w:p>
        </w:tc>
      </w:tr>
    </w:tbl>
    <w:p w:rsidR="005A5BCD" w:rsidRDefault="005A5BCD" w:rsidP="005A5BCD">
      <w:pPr>
        <w:pStyle w:val="Body1"/>
      </w:pPr>
    </w:p>
    <w:p w:rsidR="005A5BCD" w:rsidRDefault="005A5BCD" w:rsidP="005A5BCD">
      <w:pPr>
        <w:pStyle w:val="Body2"/>
      </w:pPr>
      <w:r>
        <w:t>The PG&amp;E workpaper above adopts the 2014 version of the SCE workpaper.  In addition, in January 2017, SDG&amp;E stated that they plan to adopt SCE’s latest version.  This disposition reviews S</w:t>
      </w:r>
      <w:r w:rsidRPr="00C96D56">
        <w:rPr>
          <w:rFonts w:cs="Calibri"/>
          <w:color w:val="000000"/>
          <w:sz w:val="23"/>
          <w:szCs w:val="23"/>
          <w:shd w:val="clear" w:color="auto" w:fill="FFFFFF"/>
        </w:rPr>
        <w:t>CE17PR008</w:t>
      </w:r>
      <w:r>
        <w:rPr>
          <w:rFonts w:cs="Calibri"/>
          <w:color w:val="000000"/>
          <w:sz w:val="23"/>
          <w:szCs w:val="23"/>
          <w:shd w:val="clear" w:color="auto" w:fill="FFFFFF"/>
        </w:rPr>
        <w:t>r0 and is applicable to all versions of this workpaper adopted by any PA.</w:t>
      </w:r>
    </w:p>
    <w:p w:rsidR="00154E04" w:rsidRDefault="00154E04" w:rsidP="002E2F58">
      <w:pPr>
        <w:pStyle w:val="Heading1"/>
      </w:pPr>
      <w:bookmarkStart w:id="3" w:name="_Toc476153521"/>
      <w:r>
        <w:t>Critical Review Issues</w:t>
      </w:r>
      <w:bookmarkEnd w:id="3"/>
    </w:p>
    <w:p w:rsidR="00235ACC" w:rsidRDefault="002C4B49" w:rsidP="007121DC">
      <w:pPr>
        <w:pStyle w:val="Heading2"/>
      </w:pPr>
      <w:bookmarkStart w:id="4" w:name="_Toc476153522"/>
      <w:r>
        <w:t xml:space="preserve">Missing information regarding </w:t>
      </w:r>
      <w:r w:rsidR="009C6EED">
        <w:t>fan installations prevents evaluation of operating hours, effective useful life (EUL), and other</w:t>
      </w:r>
      <w:r w:rsidR="00D15092">
        <w:t xml:space="preserve"> assumptions used to calculate</w:t>
      </w:r>
      <w:r w:rsidR="009C6EED">
        <w:t xml:space="preserve"> savings</w:t>
      </w:r>
      <w:bookmarkEnd w:id="4"/>
      <w:r w:rsidR="009C6EED">
        <w:t xml:space="preserve"> </w:t>
      </w:r>
    </w:p>
    <w:p w:rsidR="007B5761" w:rsidRDefault="007B5761" w:rsidP="005958DE">
      <w:pPr>
        <w:pStyle w:val="Body2"/>
      </w:pPr>
      <w:r>
        <w:t>The workpaper includes many assumptions regarding the applicability (process fan systems) and operation of process fans; however, the justification for these assumptions is missing from the workpaper.  PAs are directed to provide additional justification to support the assumptions made to generate deemed savings.</w:t>
      </w:r>
      <w:r w:rsidR="00024EFC">
        <w:t xml:space="preserve">  </w:t>
      </w:r>
      <w:r w:rsidR="00426C43">
        <w:t>The current approach is approved through June 30</w:t>
      </w:r>
      <w:r w:rsidR="00426C43" w:rsidRPr="00426C43">
        <w:rPr>
          <w:vertAlign w:val="superscript"/>
        </w:rPr>
        <w:t>th</w:t>
      </w:r>
      <w:r w:rsidR="00426C43">
        <w:t xml:space="preserve">, 2017.  </w:t>
      </w:r>
      <w:r w:rsidR="00024EFC">
        <w:t>SCE has 90 days to gather this information and submit it to the Commission for evaluation.</w:t>
      </w:r>
    </w:p>
    <w:p w:rsidR="006F1A2C" w:rsidRDefault="006F1A2C" w:rsidP="006F1A2C">
      <w:pPr>
        <w:pStyle w:val="Heading2"/>
      </w:pPr>
      <w:bookmarkStart w:id="5" w:name="_Toc476045336"/>
      <w:bookmarkStart w:id="6" w:name="_Toc476153523"/>
      <w:r>
        <w:t>Measure definition incorrectly assumes a linear relationship between savings and size</w:t>
      </w:r>
      <w:bookmarkEnd w:id="6"/>
    </w:p>
    <w:p w:rsidR="006F1A2C" w:rsidRDefault="006F1A2C" w:rsidP="006F1A2C">
      <w:pPr>
        <w:pStyle w:val="Body2"/>
      </w:pPr>
      <w:r>
        <w:t>This workpaper averages demand savings over a large range of process fans: 5 to 75 horsepower (HP).  This average assumes that there is a linear relationship between savings and size which is not correct.  T</w:t>
      </w:r>
      <w:r w:rsidR="008E1F9C">
        <w:t>here are at least 2</w:t>
      </w:r>
      <w:r>
        <w:t xml:space="preserve"> groups of savings: </w:t>
      </w:r>
      <w:r w:rsidR="00355652">
        <w:t>3 to 5</w:t>
      </w:r>
      <w:r>
        <w:t xml:space="preserve"> HP, </w:t>
      </w:r>
      <w:r w:rsidR="002D4941">
        <w:t>&gt;</w:t>
      </w:r>
      <w:r>
        <w:t>5</w:t>
      </w:r>
      <w:r w:rsidR="002D4941">
        <w:t xml:space="preserve"> to </w:t>
      </w:r>
      <w:r>
        <w:t xml:space="preserve">75 HP.  Grouping the technologies into these </w:t>
      </w:r>
      <w:r w:rsidR="00C40B86">
        <w:t xml:space="preserve">two </w:t>
      </w:r>
      <w:r>
        <w:t>categories increases savings on small systems by 11%</w:t>
      </w:r>
      <w:r w:rsidR="008E1F9C">
        <w:t xml:space="preserve"> and decreases savings for all other </w:t>
      </w:r>
      <w:r>
        <w:t xml:space="preserve">systems by </w:t>
      </w:r>
      <w:r w:rsidR="008E1F9C">
        <w:t>1.1</w:t>
      </w:r>
      <w:r>
        <w:t xml:space="preserve">%.  </w:t>
      </w:r>
    </w:p>
    <w:p w:rsidR="00235ACC" w:rsidRPr="00EF1A1C" w:rsidRDefault="005958DE" w:rsidP="00154E04">
      <w:pPr>
        <w:pStyle w:val="Heading2"/>
      </w:pPr>
      <w:bookmarkStart w:id="7" w:name="_Toc476153524"/>
      <w:r w:rsidRPr="00EF1A1C">
        <w:t>Ex ante data submissions have various errors</w:t>
      </w:r>
      <w:bookmarkEnd w:id="5"/>
      <w:r w:rsidR="009B3F87" w:rsidRPr="00EF1A1C">
        <w:t xml:space="preserve"> and is inconsistent with the workpaper</w:t>
      </w:r>
      <w:bookmarkEnd w:id="7"/>
    </w:p>
    <w:p w:rsidR="005958DE" w:rsidRDefault="005958DE" w:rsidP="005958DE">
      <w:pPr>
        <w:pStyle w:val="Body2"/>
      </w:pPr>
      <w:r w:rsidRPr="00EF1A1C">
        <w:t>Ex ante data was reviewed for conformance with program descriptions and calculated values described in the existing workpaper.  Several discrepancies</w:t>
      </w:r>
      <w:r>
        <w:t xml:space="preserve"> were noted, including missing information.  PAs are directed to update and resubmit their ex ante data.</w:t>
      </w:r>
    </w:p>
    <w:p w:rsidR="00E12E68" w:rsidRDefault="00154E04" w:rsidP="002E2F58">
      <w:pPr>
        <w:pStyle w:val="Heading1"/>
      </w:pPr>
      <w:bookmarkStart w:id="8" w:name="_Toc476153525"/>
      <w:r>
        <w:lastRenderedPageBreak/>
        <w:t>Detailed Review</w:t>
      </w:r>
      <w:bookmarkEnd w:id="8"/>
    </w:p>
    <w:p w:rsidR="00580CC6" w:rsidRDefault="00D15092" w:rsidP="007121DC">
      <w:pPr>
        <w:pStyle w:val="Heading2"/>
      </w:pPr>
      <w:bookmarkStart w:id="9" w:name="_Toc476153526"/>
      <w:r>
        <w:t>Missing information regarding fan installations prevents evaluation of operating hours, effective useful life (EUL), and other assumptions used to calculate savings</w:t>
      </w:r>
      <w:bookmarkEnd w:id="9"/>
    </w:p>
    <w:p w:rsidR="00D15092" w:rsidRDefault="006F1A2C" w:rsidP="00235ACC">
      <w:pPr>
        <w:pStyle w:val="Body2"/>
      </w:pPr>
      <w:r>
        <w:t>This workpaper uses SCE’s custom online calculation tool to generate energy savings values for deeming variable speed drive (VSD) retro</w:t>
      </w:r>
      <w:r w:rsidRPr="002D4941">
        <w:t xml:space="preserve">fits on process fans.  </w:t>
      </w:r>
      <w:r w:rsidR="00D15092" w:rsidRPr="002D4941">
        <w:t xml:space="preserve">The online tool provided </w:t>
      </w:r>
      <w:r w:rsidR="002D4941" w:rsidRPr="002D4941">
        <w:t xml:space="preserve">12 </w:t>
      </w:r>
      <w:r w:rsidR="00D15092" w:rsidRPr="002D4941">
        <w:t xml:space="preserve">types of centrifugal fans </w:t>
      </w:r>
      <w:r w:rsidR="002D4941" w:rsidRPr="002D4941">
        <w:t xml:space="preserve">and </w:t>
      </w:r>
      <w:r w:rsidR="00D15092" w:rsidRPr="002D4941">
        <w:t>4 types of axial fan</w:t>
      </w:r>
      <w:r w:rsidR="002D4941" w:rsidRPr="002D4941">
        <w:t xml:space="preserve">s </w:t>
      </w:r>
      <w:r w:rsidR="002D4941">
        <w:t>as well as dozens of other inputs in order to calculate customized energy savings for modifications to fan systems including addition of a variable speed drive (VSD).</w:t>
      </w:r>
    </w:p>
    <w:p w:rsidR="00C44666" w:rsidRDefault="008664A6" w:rsidP="00235ACC">
      <w:pPr>
        <w:pStyle w:val="Body2"/>
      </w:pPr>
      <w:r>
        <w:t xml:space="preserve">Submission of this workpaper </w:t>
      </w:r>
      <w:r w:rsidR="006F1A2C">
        <w:t xml:space="preserve">appears </w:t>
      </w:r>
      <w:r>
        <w:t xml:space="preserve">to indicate </w:t>
      </w:r>
      <w:r w:rsidR="006F1A2C">
        <w:t xml:space="preserve">that the PAs have identified a large group of process fans which are similar enough that savings </w:t>
      </w:r>
      <w:r>
        <w:t xml:space="preserve">can be deemed </w:t>
      </w:r>
      <w:r w:rsidR="006F1A2C">
        <w:t xml:space="preserve">rather than going through the custom review process.  </w:t>
      </w:r>
      <w:r>
        <w:t>To generate savings, the workpaper makes several assumptions regarding the system that the fans serves.  The assumptions include airflow temperature (85F)</w:t>
      </w:r>
      <w:r w:rsidR="00EF1A1C">
        <w:t>,</w:t>
      </w:r>
      <w:r>
        <w:t xml:space="preserve"> static pressure (5” w.g.)</w:t>
      </w:r>
      <w:r w:rsidR="00EF1A1C">
        <w:t>, 70% average flo</w:t>
      </w:r>
      <w:r w:rsidR="002D4941">
        <w:t>w</w:t>
      </w:r>
      <w:r w:rsidR="00EF1A1C">
        <w:t xml:space="preserve"> requirement, and operating hours equal to the</w:t>
      </w:r>
      <w:r w:rsidR="002D4941">
        <w:t xml:space="preserve"> lighting within light industrial manufacturing facilities</w:t>
      </w:r>
      <w:r w:rsidR="00EF1A1C">
        <w:rPr>
          <w:rStyle w:val="FootnoteReference"/>
        </w:rPr>
        <w:footnoteReference w:id="1"/>
      </w:r>
      <w:r>
        <w:t xml:space="preserve">.  As well, the workpaper assumes specific information about the fans which are being retrofit.  Using Greenheck as an example manufacturer, the workpaper assumes </w:t>
      </w:r>
      <w:r w:rsidR="002D4941">
        <w:t xml:space="preserve">that the </w:t>
      </w:r>
      <w:r>
        <w:t>process fan is</w:t>
      </w:r>
      <w:r w:rsidR="00C44666">
        <w:t xml:space="preserve"> a</w:t>
      </w:r>
      <w:r>
        <w:t xml:space="preserve"> </w:t>
      </w:r>
      <w:r w:rsidR="00C44666">
        <w:t xml:space="preserve">belt-driven, </w:t>
      </w:r>
      <w:r>
        <w:t>backward incline single width</w:t>
      </w:r>
      <w:r w:rsidR="00C44666">
        <w:t xml:space="preserve"> (DISW) centrifugal fan.  </w:t>
      </w:r>
      <w:r w:rsidR="00EF1A1C">
        <w:t>Workpaper statements regarding assumptions include the following:</w:t>
      </w:r>
    </w:p>
    <w:p w:rsidR="00EF1A1C" w:rsidRPr="00EF1A1C" w:rsidRDefault="00EF1A1C" w:rsidP="00EF1A1C">
      <w:pPr>
        <w:pStyle w:val="Body2"/>
        <w:numPr>
          <w:ilvl w:val="0"/>
          <w:numId w:val="31"/>
        </w:numPr>
      </w:pPr>
      <w:r>
        <w:t>“</w:t>
      </w:r>
      <w:r>
        <w:rPr>
          <w:rFonts w:asciiTheme="minorHAnsi" w:hAnsiTheme="minorHAnsi" w:cs="Calibri"/>
        </w:rPr>
        <w:t>An average static pressure of 5</w:t>
      </w:r>
      <w:r w:rsidRPr="00EF1A1C">
        <w:rPr>
          <w:rFonts w:asciiTheme="minorHAnsi" w:hAnsiTheme="minorHAnsi" w:cs="Calibri"/>
        </w:rPr>
        <w:t>“ Wg was assumed because process fans vary from exhaust fans that can have less than 1“ Wg static pressure to large dust collection fans that can have around 10“ Wg static pressure”</w:t>
      </w:r>
      <w:r>
        <w:rPr>
          <w:rFonts w:asciiTheme="minorHAnsi" w:hAnsiTheme="minorHAnsi" w:cs="Calibri"/>
        </w:rPr>
        <w:t xml:space="preserve"> (page 9)</w:t>
      </w:r>
    </w:p>
    <w:p w:rsidR="00EF1A1C" w:rsidRPr="00EF1A1C" w:rsidRDefault="00EF1A1C" w:rsidP="00EF1A1C">
      <w:pPr>
        <w:pStyle w:val="Body2"/>
        <w:numPr>
          <w:ilvl w:val="0"/>
          <w:numId w:val="31"/>
        </w:numPr>
      </w:pPr>
      <w:r>
        <w:rPr>
          <w:rFonts w:asciiTheme="minorHAnsi" w:hAnsiTheme="minorHAnsi" w:cs="Calibri"/>
        </w:rPr>
        <w:t>“…the specific fan type being modeled was chosen because it is the typical type used for process fan.” (page 9)</w:t>
      </w:r>
    </w:p>
    <w:p w:rsidR="00EF1A1C" w:rsidRDefault="00EF1A1C" w:rsidP="00EF1A1C">
      <w:pPr>
        <w:pStyle w:val="Body2"/>
        <w:numPr>
          <w:ilvl w:val="0"/>
          <w:numId w:val="31"/>
        </w:numPr>
      </w:pPr>
      <w:r>
        <w:t>“</w:t>
      </w:r>
      <w:r w:rsidRPr="00EF1A1C">
        <w:rPr>
          <w:rFonts w:asciiTheme="minorHAnsi" w:hAnsiTheme="minorHAnsi" w:cs="Calibri"/>
        </w:rPr>
        <w:t xml:space="preserve">The tool was then run at an assumed 70% average flow. </w:t>
      </w:r>
      <w:r w:rsidRPr="00EF1A1C">
        <w:rPr>
          <w:rFonts w:asciiTheme="minorHAnsi" w:hAnsiTheme="minorHAnsi"/>
        </w:rPr>
        <w:t>70% loading was chosen as the midpoint of a range between which savings would be minimal at the high end and the motor would be considered oversized at the low end.”</w:t>
      </w:r>
      <w:r>
        <w:rPr>
          <w:rFonts w:asciiTheme="minorHAnsi" w:hAnsiTheme="minorHAnsi"/>
        </w:rPr>
        <w:t xml:space="preserve"> (page 9-10)</w:t>
      </w:r>
    </w:p>
    <w:p w:rsidR="00D15092" w:rsidRDefault="002D4941" w:rsidP="00D15092">
      <w:pPr>
        <w:pStyle w:val="Body2"/>
      </w:pPr>
      <w:r>
        <w:t xml:space="preserve">The statements above are general and do not </w:t>
      </w:r>
      <w:r w:rsidR="00EF1A1C">
        <w:t>include enough information for Commission Staff to determine whether these assumption</w:t>
      </w:r>
      <w:r>
        <w:t>s</w:t>
      </w:r>
      <w:r w:rsidR="00EF1A1C">
        <w:t xml:space="preserve"> are</w:t>
      </w:r>
      <w:r w:rsidR="00EF1A1C">
        <w:t xml:space="preserve"> </w:t>
      </w:r>
      <w:r w:rsidR="00F90E1D">
        <w:t>reasonable to use for a deemed measure</w:t>
      </w:r>
      <w:r w:rsidR="00EF1A1C">
        <w:t xml:space="preserve">.  No </w:t>
      </w:r>
      <w:r w:rsidR="00EF1A1C">
        <w:t xml:space="preserve">examples of process fans are provided.  Additionally, as discussed in Section 3.4, below, the ex ante data is inconsistent with statements in the workpaper which raises concerns that these measures are being claimed </w:t>
      </w:r>
      <w:r>
        <w:t xml:space="preserve">for non applicable installations such as </w:t>
      </w:r>
      <w:r w:rsidR="00EF1A1C">
        <w:t xml:space="preserve">commercial </w:t>
      </w:r>
      <w:r>
        <w:t xml:space="preserve">building types or HVAC.  </w:t>
      </w:r>
    </w:p>
    <w:p w:rsidR="00D15092" w:rsidRDefault="002D4941" w:rsidP="00D15092">
      <w:pPr>
        <w:pStyle w:val="Body2"/>
      </w:pPr>
      <w:r>
        <w:t>Further, i</w:t>
      </w:r>
      <w:r w:rsidR="00D15092">
        <w:t xml:space="preserve">t is unclear why </w:t>
      </w:r>
      <w:r>
        <w:t xml:space="preserve">a double width fan (DIDW) was modeled in the </w:t>
      </w:r>
      <w:r w:rsidR="00024EFC">
        <w:t xml:space="preserve">calculation tool but a single width fan (BISW) was used to determine fan data (per attachments 3 and 5 of the workpaper).  </w:t>
      </w:r>
    </w:p>
    <w:p w:rsidR="00C44666" w:rsidRDefault="00C44666" w:rsidP="00D15092">
      <w:pPr>
        <w:pStyle w:val="Body2"/>
      </w:pPr>
    </w:p>
    <w:p w:rsidR="00024EFC" w:rsidRPr="008F3CE2" w:rsidRDefault="00024EFC" w:rsidP="00024EFC">
      <w:pPr>
        <w:pStyle w:val="Body2"/>
      </w:pPr>
      <w:r>
        <w:rPr>
          <w:b/>
        </w:rPr>
        <w:lastRenderedPageBreak/>
        <w:t>Direction:</w:t>
      </w:r>
      <w:r>
        <w:t xml:space="preserve"> Within 90 days, revise the workpaper as follows:</w:t>
      </w:r>
    </w:p>
    <w:p w:rsidR="00706DC3" w:rsidRDefault="00024EFC" w:rsidP="006677EF">
      <w:pPr>
        <w:pStyle w:val="Heading3"/>
      </w:pPr>
      <w:r>
        <w:t>Provide justification for the workpaper assumptions</w:t>
      </w:r>
    </w:p>
    <w:p w:rsidR="00C40B86" w:rsidRDefault="00024EFC" w:rsidP="00024EFC">
      <w:pPr>
        <w:pStyle w:val="Body3"/>
      </w:pPr>
      <w:r>
        <w:t>SCE shall gather examples which illustrate the range of acceptable process fan applications that are intended to be deemed via this workpaper.  Provide examples of process fans to justify the workpaper assumptions listed in the discussion above including at least the following: type of process (what is the fan serving), type of process fan (centrifugal or axial), operating hours</w:t>
      </w:r>
      <w:r w:rsidR="00E50342">
        <w:t xml:space="preserve"> and type of control (manual or automatic)</w:t>
      </w:r>
      <w:r>
        <w:t xml:space="preserve">, </w:t>
      </w:r>
      <w:r w:rsidR="00E50342">
        <w:t xml:space="preserve">and </w:t>
      </w:r>
      <w:r>
        <w:t xml:space="preserve">all </w:t>
      </w:r>
      <w:r w:rsidR="00E50342">
        <w:t xml:space="preserve">other </w:t>
      </w:r>
      <w:r>
        <w:t xml:space="preserve">parameters input into the custom calculation tool.  </w:t>
      </w:r>
    </w:p>
    <w:p w:rsidR="00E42F4D" w:rsidRDefault="00E42F4D" w:rsidP="00024EFC">
      <w:pPr>
        <w:pStyle w:val="Body3"/>
      </w:pPr>
      <w:r>
        <w:t>Additionally, justify the use of a single operating point (70%) in the deemed fan operation</w:t>
      </w:r>
      <w:r w:rsidR="00C40B86">
        <w:t>.  While it appears that this was done for simplicity, it is not obvious whether this point is reasonable.  For example, i</w:t>
      </w:r>
      <w:r>
        <w:t xml:space="preserve">t seems unusual that a variable speed drive would be desired for a system that operates at a constant speed.  </w:t>
      </w:r>
      <w:r w:rsidR="00C40B86">
        <w:t>Often, it is more energy efficient to re-sheave a constant flow system providing too much airflow and/or pressure than to install a VSD.  In other words, this simplification seems too simple.</w:t>
      </w:r>
    </w:p>
    <w:p w:rsidR="00024EFC" w:rsidRPr="00024EFC" w:rsidRDefault="00024EFC" w:rsidP="00024EFC">
      <w:pPr>
        <w:pStyle w:val="Body3"/>
      </w:pPr>
      <w:r>
        <w:t>Example</w:t>
      </w:r>
      <w:r w:rsidR="00C40B86">
        <w:t>s</w:t>
      </w:r>
      <w:r>
        <w:t xml:space="preserve"> should illustrate the range of fan systems that are eligible for this program and justify why the assumptions in the workpaper </w:t>
      </w:r>
      <w:r>
        <w:t xml:space="preserve">are the </w:t>
      </w:r>
      <w:r w:rsidR="00F90E1D">
        <w:t xml:space="preserve">appropriate </w:t>
      </w:r>
      <w:r>
        <w:t>values to deem.  Custom projects may be used as examples</w:t>
      </w:r>
      <w:r w:rsidR="00F90E1D">
        <w:t xml:space="preserve"> but the selection of project</w:t>
      </w:r>
      <w:r w:rsidR="00C40B86">
        <w:t>s</w:t>
      </w:r>
      <w:r w:rsidR="00F90E1D">
        <w:t xml:space="preserve"> must be supported as representative of the typical project expected to be submitted for a deemed savings claim</w:t>
      </w:r>
      <w:r>
        <w:t>.</w:t>
      </w:r>
      <w:r w:rsidR="00E42F4D">
        <w:t xml:space="preserve">  </w:t>
      </w:r>
      <w:r w:rsidR="00C40B86">
        <w:t xml:space="preserve">Make sure that every example </w:t>
      </w:r>
      <w:r w:rsidR="00E50342">
        <w:t>clarifies how it is typical of a deemed savings claim.</w:t>
      </w:r>
    </w:p>
    <w:p w:rsidR="00706DC3" w:rsidRDefault="00024EFC" w:rsidP="002E2F58">
      <w:pPr>
        <w:pStyle w:val="Heading3"/>
      </w:pPr>
      <w:r>
        <w:t xml:space="preserve">Adjust the </w:t>
      </w:r>
      <w:r w:rsidR="004171FE">
        <w:t>fan modeled in the calculation tool to be consistent with the manufacturer’s fan data</w:t>
      </w:r>
    </w:p>
    <w:p w:rsidR="004171FE" w:rsidRPr="004171FE" w:rsidRDefault="004171FE" w:rsidP="004171FE">
      <w:pPr>
        <w:pStyle w:val="Body3"/>
      </w:pPr>
      <w:r>
        <w:t xml:space="preserve">Either update </w:t>
      </w:r>
      <w:r w:rsidR="00C40B86">
        <w:t xml:space="preserve">the </w:t>
      </w:r>
      <w:r>
        <w:t xml:space="preserve">energy </w:t>
      </w:r>
      <w:r w:rsidRPr="004171FE">
        <w:t>savings results to be “single width” instead of “d</w:t>
      </w:r>
      <w:r w:rsidR="00C40B86">
        <w:t>ouble</w:t>
      </w:r>
      <w:r w:rsidRPr="004171FE">
        <w:t xml:space="preserve"> width” or provide updated fan performance data to be “single width</w:t>
      </w:r>
      <w:r>
        <w:t xml:space="preserve">” and also update the </w:t>
      </w:r>
      <w:r w:rsidR="00C40B86">
        <w:t>energy savings results</w:t>
      </w:r>
      <w:r>
        <w:t xml:space="preserve"> to reflect the manufacturer’s single width information.   Commission staff expects that several parameters will differ when this inconsistency is corrected; however, we are unsure what the impact will be.</w:t>
      </w:r>
    </w:p>
    <w:p w:rsidR="00154E04" w:rsidRPr="001C2764" w:rsidRDefault="007B5761" w:rsidP="007121DC">
      <w:pPr>
        <w:pStyle w:val="Heading2"/>
      </w:pPr>
      <w:bookmarkStart w:id="10" w:name="_Toc476153527"/>
      <w:r>
        <w:t>Measure definition incorrectly assumes a linear relationship between savings and size</w:t>
      </w:r>
      <w:bookmarkEnd w:id="10"/>
    </w:p>
    <w:p w:rsidR="00154E04" w:rsidRDefault="004171FE" w:rsidP="00235ACC">
      <w:pPr>
        <w:pStyle w:val="Body2"/>
      </w:pPr>
      <w:r>
        <w:t xml:space="preserve">It appears that the SCE </w:t>
      </w:r>
      <w:r w:rsidR="00C40B86">
        <w:t xml:space="preserve">analysis for the workpaper </w:t>
      </w:r>
      <w:r>
        <w:t xml:space="preserve">averaged the energy savings together in order to </w:t>
      </w:r>
      <w:r w:rsidR="00C40B86">
        <w:t xml:space="preserve">simplify </w:t>
      </w:r>
      <w:r>
        <w:t xml:space="preserve">the incentive payment and claims process; however, Figure 1 shows that the energy savings are not linear with motor horsepower (HP).  </w:t>
      </w:r>
    </w:p>
    <w:p w:rsidR="004171FE" w:rsidRPr="00310BA9" w:rsidRDefault="004171FE" w:rsidP="004171FE">
      <w:pPr>
        <w:pStyle w:val="Caption"/>
        <w:keepNext/>
      </w:pPr>
      <w:r>
        <w:lastRenderedPageBreak/>
        <w:t>Figure</w:t>
      </w:r>
      <w:r w:rsidRPr="00310BA9">
        <w:t xml:space="preserve"> </w:t>
      </w:r>
      <w:fldSimple w:instr=" SEQ Table \* ARABIC ">
        <w:r>
          <w:rPr>
            <w:noProof/>
          </w:rPr>
          <w:t>1</w:t>
        </w:r>
      </w:fldSimple>
      <w:r w:rsidRPr="00310BA9">
        <w:t xml:space="preserve"> </w:t>
      </w:r>
      <w:r>
        <w:t>–</w:t>
      </w:r>
      <w:r w:rsidRPr="00310BA9">
        <w:t xml:space="preserve"> </w:t>
      </w:r>
      <w:r>
        <w:t>Process Fan VSD kW savings per horsepower for each size of fan system</w:t>
      </w:r>
    </w:p>
    <w:p w:rsidR="00C75C7F" w:rsidRDefault="008E1F9C" w:rsidP="00235ACC">
      <w:pPr>
        <w:pStyle w:val="Body2"/>
      </w:pPr>
      <w:r>
        <w:rPr>
          <w:noProof/>
        </w:rPr>
        <w:drawing>
          <wp:inline distT="0" distB="0" distL="0" distR="0" wp14:anchorId="61512C09" wp14:editId="02133F13">
            <wp:extent cx="4824248" cy="2049518"/>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26C43" w:rsidRDefault="00426C43">
      <w:pPr>
        <w:spacing w:after="0" w:line="240" w:lineRule="auto"/>
        <w:rPr>
          <w:b/>
        </w:rPr>
      </w:pPr>
    </w:p>
    <w:p w:rsidR="004171FE" w:rsidRPr="008F3CE2" w:rsidRDefault="004171FE" w:rsidP="004171FE">
      <w:pPr>
        <w:pStyle w:val="Body2"/>
      </w:pPr>
      <w:r>
        <w:rPr>
          <w:b/>
        </w:rPr>
        <w:t>Direction:</w:t>
      </w:r>
      <w:r>
        <w:t xml:space="preserve"> </w:t>
      </w:r>
      <w:r w:rsidR="00426C43">
        <w:t>R</w:t>
      </w:r>
      <w:r>
        <w:t>evise the workpaper as follows</w:t>
      </w:r>
      <w:r w:rsidR="00426C43">
        <w:t xml:space="preserve"> (retroactive to January 1, 2017)</w:t>
      </w:r>
      <w:r>
        <w:t>:</w:t>
      </w:r>
    </w:p>
    <w:p w:rsidR="004171FE" w:rsidRDefault="004171FE" w:rsidP="004171FE">
      <w:pPr>
        <w:pStyle w:val="Heading3"/>
      </w:pPr>
      <w:r>
        <w:t xml:space="preserve">Develop separate measure definitions to provide </w:t>
      </w:r>
      <w:r w:rsidR="008E1F9C">
        <w:t xml:space="preserve">systems </w:t>
      </w:r>
      <w:r w:rsidR="00355652">
        <w:t xml:space="preserve">3 to </w:t>
      </w:r>
      <w:r w:rsidR="008E1F9C">
        <w:t xml:space="preserve">5 HP with different savings </w:t>
      </w:r>
    </w:p>
    <w:p w:rsidR="004171FE" w:rsidRDefault="004171FE" w:rsidP="004171FE">
      <w:pPr>
        <w:pStyle w:val="Body2"/>
      </w:pPr>
      <w:r>
        <w:t>Ex ante team developed the following table for PA’s use until the updated assumptions and evaluation can be conducted as described in Section 3.1, above.</w:t>
      </w:r>
      <w:r w:rsidR="008E1F9C">
        <w:t xml:space="preserve">  The</w:t>
      </w:r>
      <w:r w:rsidR="00C40B86">
        <w:t xml:space="preserve">se values using the same equations as </w:t>
      </w:r>
      <w:r w:rsidR="008E1F9C">
        <w:t xml:space="preserve">Attachment </w:t>
      </w:r>
      <w:r w:rsidR="00C40B86">
        <w:t>2 of the workpaper</w:t>
      </w:r>
      <w:r w:rsidR="00426C43">
        <w:t>.</w:t>
      </w:r>
    </w:p>
    <w:p w:rsidR="00426C43" w:rsidRDefault="00426C43" w:rsidP="00426C43">
      <w:pPr>
        <w:pStyle w:val="Caption"/>
        <w:keepNext/>
      </w:pPr>
      <w:r>
        <w:t>Table 2</w:t>
      </w:r>
      <w:r w:rsidRPr="00310BA9">
        <w:t xml:space="preserve"> </w:t>
      </w:r>
      <w:r>
        <w:t>–</w:t>
      </w:r>
      <w:r w:rsidRPr="00310BA9">
        <w:t xml:space="preserve"> </w:t>
      </w:r>
      <w:r>
        <w:t xml:space="preserve">Allowed savings for process fan VSD.  Separate measures are required for &lt;5 HP and &gt;5 to 75 HP </w:t>
      </w:r>
    </w:p>
    <w:tbl>
      <w:tblPr>
        <w:tblW w:w="8640" w:type="dxa"/>
        <w:tblInd w:w="108" w:type="dxa"/>
        <w:tblLook w:val="04A0" w:firstRow="1" w:lastRow="0" w:firstColumn="1" w:lastColumn="0" w:noHBand="0" w:noVBand="1"/>
      </w:tblPr>
      <w:tblGrid>
        <w:gridCol w:w="960"/>
        <w:gridCol w:w="1053"/>
        <w:gridCol w:w="1053"/>
        <w:gridCol w:w="960"/>
        <w:gridCol w:w="960"/>
        <w:gridCol w:w="818"/>
        <w:gridCol w:w="984"/>
        <w:gridCol w:w="979"/>
        <w:gridCol w:w="1059"/>
      </w:tblGrid>
      <w:tr w:rsidR="00E42F4D" w:rsidRPr="00E42F4D" w:rsidTr="00E42F4D">
        <w:trPr>
          <w:trHeight w:val="315"/>
        </w:trPr>
        <w:tc>
          <w:tcPr>
            <w:tcW w:w="960"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ascii="Times New Roman" w:hAnsi="Times New Roman"/>
                <w:sz w:val="24"/>
                <w:szCs w:val="24"/>
              </w:rPr>
            </w:pPr>
          </w:p>
        </w:tc>
        <w:tc>
          <w:tcPr>
            <w:tcW w:w="1920" w:type="dxa"/>
            <w:gridSpan w:val="2"/>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Workpaper Values</w:t>
            </w:r>
          </w:p>
        </w:tc>
        <w:tc>
          <w:tcPr>
            <w:tcW w:w="1920" w:type="dxa"/>
            <w:gridSpan w:val="2"/>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Disposed Values</w:t>
            </w:r>
          </w:p>
        </w:tc>
        <w:tc>
          <w:tcPr>
            <w:tcW w:w="3840" w:type="dxa"/>
            <w:gridSpan w:val="4"/>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Difference from Workpaper Claimed Average</w:t>
            </w:r>
          </w:p>
        </w:tc>
      </w:tr>
      <w:tr w:rsidR="00E42F4D" w:rsidRPr="00E42F4D" w:rsidTr="00E42F4D">
        <w:trPr>
          <w:trHeight w:val="600"/>
        </w:trPr>
        <w:tc>
          <w:tcPr>
            <w:tcW w:w="960"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HP</w:t>
            </w:r>
          </w:p>
        </w:tc>
        <w:tc>
          <w:tcPr>
            <w:tcW w:w="960" w:type="dxa"/>
            <w:tcBorders>
              <w:top w:val="single" w:sz="8" w:space="0" w:color="auto"/>
              <w:left w:val="single" w:sz="8" w:space="0" w:color="auto"/>
              <w:bottom w:val="nil"/>
              <w:right w:val="nil"/>
            </w:tcBorders>
            <w:shd w:val="clear" w:color="auto" w:fill="auto"/>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 Adj Hours</w:t>
            </w:r>
          </w:p>
        </w:tc>
        <w:tc>
          <w:tcPr>
            <w:tcW w:w="960" w:type="dxa"/>
            <w:tcBorders>
              <w:top w:val="single" w:sz="8" w:space="0" w:color="auto"/>
              <w:left w:val="nil"/>
              <w:bottom w:val="nil"/>
              <w:right w:val="single" w:sz="8" w:space="0" w:color="auto"/>
            </w:tcBorders>
            <w:shd w:val="clear" w:color="auto" w:fill="auto"/>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kWh, Adj Hours</w:t>
            </w:r>
          </w:p>
        </w:tc>
        <w:tc>
          <w:tcPr>
            <w:tcW w:w="960" w:type="dxa"/>
            <w:tcBorders>
              <w:top w:val="single" w:sz="8" w:space="0" w:color="auto"/>
              <w:left w:val="single" w:sz="8" w:space="0" w:color="auto"/>
              <w:bottom w:val="nil"/>
              <w:right w:val="nil"/>
            </w:tcBorders>
            <w:shd w:val="clear" w:color="auto" w:fill="auto"/>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 Adj Hours</w:t>
            </w:r>
          </w:p>
        </w:tc>
        <w:tc>
          <w:tcPr>
            <w:tcW w:w="960" w:type="dxa"/>
            <w:tcBorders>
              <w:top w:val="single" w:sz="8" w:space="0" w:color="auto"/>
              <w:left w:val="nil"/>
              <w:bottom w:val="nil"/>
              <w:right w:val="single" w:sz="8" w:space="0" w:color="auto"/>
            </w:tcBorders>
            <w:shd w:val="clear" w:color="auto" w:fill="auto"/>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kWh, Adj Hours</w:t>
            </w:r>
          </w:p>
        </w:tc>
        <w:tc>
          <w:tcPr>
            <w:tcW w:w="818" w:type="dxa"/>
            <w:tcBorders>
              <w:top w:val="nil"/>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 %</w:t>
            </w:r>
          </w:p>
        </w:tc>
        <w:tc>
          <w:tcPr>
            <w:tcW w:w="984" w:type="dxa"/>
            <w:tcBorders>
              <w:top w:val="nil"/>
              <w:left w:val="nil"/>
              <w:bottom w:val="nil"/>
              <w:right w:val="nil"/>
            </w:tcBorders>
            <w:shd w:val="clear" w:color="auto" w:fill="auto"/>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 diff</w:t>
            </w:r>
          </w:p>
        </w:tc>
        <w:tc>
          <w:tcPr>
            <w:tcW w:w="979" w:type="dxa"/>
            <w:tcBorders>
              <w:top w:val="nil"/>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kWh, %</w:t>
            </w:r>
          </w:p>
        </w:tc>
        <w:tc>
          <w:tcPr>
            <w:tcW w:w="1059" w:type="dxa"/>
            <w:tcBorders>
              <w:top w:val="nil"/>
              <w:left w:val="nil"/>
              <w:bottom w:val="nil"/>
              <w:right w:val="nil"/>
            </w:tcBorders>
            <w:shd w:val="clear" w:color="auto" w:fill="auto"/>
            <w:vAlign w:val="bottom"/>
            <w:hideMark/>
          </w:tcPr>
          <w:p w:rsidR="00E42F4D" w:rsidRPr="00E42F4D" w:rsidRDefault="00E42F4D" w:rsidP="00E42F4D">
            <w:pPr>
              <w:spacing w:after="0" w:line="240" w:lineRule="auto"/>
              <w:rPr>
                <w:rFonts w:cs="Calibri"/>
                <w:b/>
                <w:bCs/>
                <w:color w:val="000000"/>
              </w:rPr>
            </w:pPr>
            <w:r w:rsidRPr="00E42F4D">
              <w:rPr>
                <w:rFonts w:cs="Calibri"/>
                <w:b/>
                <w:bCs/>
                <w:color w:val="000000"/>
              </w:rPr>
              <w:t>kWh, diff</w:t>
            </w:r>
          </w:p>
        </w:tc>
      </w:tr>
      <w:tr w:rsidR="00E42F4D" w:rsidRPr="00E42F4D" w:rsidTr="00E42F4D">
        <w:trPr>
          <w:trHeight w:val="315"/>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5</w:t>
            </w:r>
          </w:p>
        </w:tc>
        <w:tc>
          <w:tcPr>
            <w:tcW w:w="960" w:type="dxa"/>
            <w:tcBorders>
              <w:top w:val="single" w:sz="4" w:space="0" w:color="auto"/>
              <w:left w:val="single" w:sz="8" w:space="0" w:color="auto"/>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0.387948</w:t>
            </w: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672.9163</w:t>
            </w:r>
          </w:p>
        </w:tc>
        <w:tc>
          <w:tcPr>
            <w:tcW w:w="960" w:type="dxa"/>
            <w:tcBorders>
              <w:top w:val="single" w:sz="4" w:space="0" w:color="auto"/>
              <w:left w:val="single" w:sz="8" w:space="0" w:color="auto"/>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0.38795</w:t>
            </w: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672.90</w:t>
            </w:r>
          </w:p>
        </w:tc>
        <w:tc>
          <w:tcPr>
            <w:tcW w:w="818" w:type="dxa"/>
            <w:tcBorders>
              <w:top w:val="nil"/>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111%</w:t>
            </w:r>
          </w:p>
        </w:tc>
        <w:tc>
          <w:tcPr>
            <w:tcW w:w="984" w:type="dxa"/>
            <w:tcBorders>
              <w:top w:val="single" w:sz="4" w:space="0" w:color="auto"/>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0.04</w:t>
            </w:r>
          </w:p>
        </w:tc>
        <w:tc>
          <w:tcPr>
            <w:tcW w:w="979" w:type="dxa"/>
            <w:tcBorders>
              <w:top w:val="nil"/>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111%</w:t>
            </w:r>
          </w:p>
        </w:tc>
        <w:tc>
          <w:tcPr>
            <w:tcW w:w="1059" w:type="dxa"/>
            <w:tcBorders>
              <w:top w:val="single" w:sz="4" w:space="0" w:color="auto"/>
              <w:left w:val="nil"/>
              <w:bottom w:val="single" w:sz="4" w:space="0" w:color="auto"/>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68.26</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7.5</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0.362546</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624.111</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19.46</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10</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0.347248</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599.2668</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0.00</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-5.39</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15</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0.360237</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623.2278</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18.57</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20</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0.342052</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592.889</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-11.77</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25</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0.348807</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604.6825</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0.00</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0.03</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30</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0.342052</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594.6195</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-10.04</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40</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0.337073</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584.4092</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-20.25</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50</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0.343091</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596.5529</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-8.10</w:t>
            </w:r>
          </w:p>
        </w:tc>
      </w:tr>
      <w:tr w:rsidR="00E42F4D" w:rsidRPr="00E42F4D" w:rsidTr="00E42F4D">
        <w:trPr>
          <w:trHeight w:val="300"/>
        </w:trPr>
        <w:tc>
          <w:tcPr>
            <w:tcW w:w="960" w:type="dxa"/>
            <w:tcBorders>
              <w:top w:val="nil"/>
              <w:left w:val="single" w:sz="4" w:space="0" w:color="auto"/>
              <w:bottom w:val="nil"/>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60</w:t>
            </w:r>
          </w:p>
        </w:tc>
        <w:tc>
          <w:tcPr>
            <w:tcW w:w="960" w:type="dxa"/>
            <w:tcBorders>
              <w:top w:val="nil"/>
              <w:left w:val="single" w:sz="8" w:space="0" w:color="auto"/>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0.329784</w:t>
            </w:r>
          </w:p>
        </w:tc>
        <w:tc>
          <w:tcPr>
            <w:tcW w:w="960" w:type="dxa"/>
            <w:tcBorders>
              <w:top w:val="nil"/>
              <w:left w:val="nil"/>
              <w:bottom w:val="nil"/>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573.6057</w:t>
            </w:r>
          </w:p>
        </w:tc>
        <w:tc>
          <w:tcPr>
            <w:tcW w:w="1920" w:type="dxa"/>
            <w:gridSpan w:val="2"/>
            <w:tcBorders>
              <w:top w:val="nil"/>
              <w:left w:val="single" w:sz="8" w:space="0" w:color="auto"/>
              <w:bottom w:val="nil"/>
              <w:right w:val="single" w:sz="8" w:space="0" w:color="000000"/>
            </w:tcBorders>
            <w:shd w:val="clear" w:color="auto" w:fill="auto"/>
            <w:noWrap/>
            <w:vAlign w:val="bottom"/>
            <w:hideMark/>
          </w:tcPr>
          <w:p w:rsidR="00E42F4D" w:rsidRPr="00E42F4D" w:rsidRDefault="00E42F4D" w:rsidP="00E42F4D">
            <w:pPr>
              <w:spacing w:after="0" w:line="240" w:lineRule="auto"/>
              <w:rPr>
                <w:rFonts w:cs="Calibri"/>
                <w:color w:val="000000"/>
              </w:rPr>
            </w:pPr>
            <w:r w:rsidRPr="00E42F4D">
              <w:rPr>
                <w:rFonts w:cs="Calibri"/>
                <w:color w:val="000000"/>
              </w:rPr>
              <w:t>For &gt;5 HP to 75 HP</w:t>
            </w: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cs="Calibri"/>
                <w:color w:val="00000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-0.02</w:t>
            </w: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-31.05</w:t>
            </w:r>
          </w:p>
        </w:tc>
      </w:tr>
      <w:tr w:rsidR="00E42F4D" w:rsidRPr="00E42F4D" w:rsidTr="00E42F4D">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E42F4D" w:rsidRPr="00E42F4D" w:rsidRDefault="00E42F4D" w:rsidP="00E42F4D">
            <w:pPr>
              <w:spacing w:after="0" w:line="240" w:lineRule="auto"/>
              <w:jc w:val="center"/>
              <w:rPr>
                <w:rFonts w:cs="Calibri"/>
                <w:color w:val="000000"/>
              </w:rPr>
            </w:pPr>
            <w:r w:rsidRPr="00E42F4D">
              <w:rPr>
                <w:rFonts w:cs="Calibri"/>
                <w:color w:val="000000"/>
              </w:rPr>
              <w:t>75</w:t>
            </w:r>
          </w:p>
        </w:tc>
        <w:tc>
          <w:tcPr>
            <w:tcW w:w="960" w:type="dxa"/>
            <w:tcBorders>
              <w:top w:val="nil"/>
              <w:left w:val="single" w:sz="8" w:space="0" w:color="auto"/>
              <w:bottom w:val="single" w:sz="8"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0.334951</w:t>
            </w:r>
          </w:p>
        </w:tc>
        <w:tc>
          <w:tcPr>
            <w:tcW w:w="960" w:type="dxa"/>
            <w:tcBorders>
              <w:top w:val="nil"/>
              <w:left w:val="nil"/>
              <w:bottom w:val="single" w:sz="8" w:space="0" w:color="auto"/>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584.9237</w:t>
            </w:r>
          </w:p>
        </w:tc>
        <w:tc>
          <w:tcPr>
            <w:tcW w:w="960" w:type="dxa"/>
            <w:tcBorders>
              <w:top w:val="nil"/>
              <w:left w:val="single" w:sz="8" w:space="0" w:color="auto"/>
              <w:bottom w:val="single" w:sz="8"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0.34478</w:t>
            </w:r>
          </w:p>
        </w:tc>
        <w:tc>
          <w:tcPr>
            <w:tcW w:w="960" w:type="dxa"/>
            <w:tcBorders>
              <w:top w:val="nil"/>
              <w:left w:val="nil"/>
              <w:bottom w:val="single" w:sz="8" w:space="0" w:color="auto"/>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597.83</w:t>
            </w:r>
          </w:p>
        </w:tc>
        <w:tc>
          <w:tcPr>
            <w:tcW w:w="818" w:type="dxa"/>
            <w:tcBorders>
              <w:top w:val="nil"/>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98.9%</w:t>
            </w:r>
          </w:p>
        </w:tc>
        <w:tc>
          <w:tcPr>
            <w:tcW w:w="984" w:type="dxa"/>
            <w:tcBorders>
              <w:top w:val="nil"/>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-0.01</w:t>
            </w:r>
          </w:p>
        </w:tc>
        <w:tc>
          <w:tcPr>
            <w:tcW w:w="979" w:type="dxa"/>
            <w:tcBorders>
              <w:top w:val="nil"/>
              <w:left w:val="nil"/>
              <w:bottom w:val="single" w:sz="4"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98.9%</w:t>
            </w:r>
          </w:p>
        </w:tc>
        <w:tc>
          <w:tcPr>
            <w:tcW w:w="1059" w:type="dxa"/>
            <w:tcBorders>
              <w:top w:val="nil"/>
              <w:left w:val="nil"/>
              <w:bottom w:val="single" w:sz="4" w:space="0" w:color="auto"/>
              <w:right w:val="single" w:sz="4"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-19.73</w:t>
            </w:r>
          </w:p>
        </w:tc>
      </w:tr>
      <w:tr w:rsidR="00E42F4D" w:rsidRPr="00E42F4D" w:rsidTr="00E42F4D">
        <w:trPr>
          <w:trHeight w:val="615"/>
        </w:trPr>
        <w:tc>
          <w:tcPr>
            <w:tcW w:w="960" w:type="dxa"/>
            <w:tcBorders>
              <w:top w:val="nil"/>
              <w:left w:val="nil"/>
              <w:bottom w:val="nil"/>
              <w:right w:val="nil"/>
            </w:tcBorders>
            <w:shd w:val="clear" w:color="auto" w:fill="auto"/>
            <w:vAlign w:val="bottom"/>
            <w:hideMark/>
          </w:tcPr>
          <w:p w:rsidR="00E42F4D" w:rsidRPr="00E42F4D" w:rsidRDefault="00E42F4D" w:rsidP="00E42F4D">
            <w:pPr>
              <w:spacing w:after="0" w:line="240" w:lineRule="auto"/>
              <w:rPr>
                <w:rFonts w:cs="Calibri"/>
                <w:color w:val="000000"/>
              </w:rPr>
            </w:pPr>
            <w:r w:rsidRPr="00E42F4D">
              <w:rPr>
                <w:rFonts w:cs="Calibri"/>
                <w:color w:val="000000"/>
              </w:rPr>
              <w:t>Claimed Average</w:t>
            </w:r>
          </w:p>
        </w:tc>
        <w:tc>
          <w:tcPr>
            <w:tcW w:w="960" w:type="dxa"/>
            <w:tcBorders>
              <w:top w:val="nil"/>
              <w:left w:val="single" w:sz="8" w:space="0" w:color="auto"/>
              <w:bottom w:val="single" w:sz="8" w:space="0" w:color="auto"/>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0.34871</w:t>
            </w:r>
          </w:p>
        </w:tc>
        <w:tc>
          <w:tcPr>
            <w:tcW w:w="960" w:type="dxa"/>
            <w:tcBorders>
              <w:top w:val="nil"/>
              <w:left w:val="nil"/>
              <w:bottom w:val="single" w:sz="8" w:space="0" w:color="auto"/>
              <w:right w:val="single" w:sz="8" w:space="0" w:color="auto"/>
            </w:tcBorders>
            <w:shd w:val="clear" w:color="auto" w:fill="auto"/>
            <w:noWrap/>
            <w:vAlign w:val="bottom"/>
            <w:hideMark/>
          </w:tcPr>
          <w:p w:rsidR="00E42F4D" w:rsidRPr="00E42F4D" w:rsidRDefault="00E42F4D" w:rsidP="00E42F4D">
            <w:pPr>
              <w:spacing w:after="0" w:line="240" w:lineRule="auto"/>
              <w:jc w:val="right"/>
              <w:rPr>
                <w:rFonts w:cs="Calibri"/>
                <w:color w:val="000000"/>
              </w:rPr>
            </w:pPr>
            <w:r w:rsidRPr="00E42F4D">
              <w:rPr>
                <w:rFonts w:cs="Calibri"/>
                <w:color w:val="000000"/>
              </w:rPr>
              <w:t>604.65</w:t>
            </w:r>
          </w:p>
        </w:tc>
        <w:tc>
          <w:tcPr>
            <w:tcW w:w="960"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jc w:val="right"/>
              <w:rPr>
                <w:rFonts w:cs="Calibri"/>
                <w:color w:val="000000"/>
              </w:rPr>
            </w:pPr>
          </w:p>
        </w:tc>
        <w:tc>
          <w:tcPr>
            <w:tcW w:w="960"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ascii="Times New Roman" w:hAnsi="Times New Roman"/>
                <w:sz w:val="20"/>
                <w:szCs w:val="20"/>
              </w:rPr>
            </w:pPr>
          </w:p>
        </w:tc>
        <w:tc>
          <w:tcPr>
            <w:tcW w:w="818"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ascii="Times New Roman" w:hAnsi="Times New Roman"/>
                <w:sz w:val="20"/>
                <w:szCs w:val="20"/>
              </w:rPr>
            </w:pPr>
          </w:p>
        </w:tc>
        <w:tc>
          <w:tcPr>
            <w:tcW w:w="984"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ascii="Times New Roman" w:hAnsi="Times New Roman"/>
                <w:sz w:val="20"/>
                <w:szCs w:val="20"/>
              </w:rPr>
            </w:pPr>
          </w:p>
        </w:tc>
        <w:tc>
          <w:tcPr>
            <w:tcW w:w="97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ascii="Times New Roman" w:hAnsi="Times New Roman"/>
                <w:sz w:val="20"/>
                <w:szCs w:val="20"/>
              </w:rPr>
            </w:pPr>
          </w:p>
        </w:tc>
        <w:tc>
          <w:tcPr>
            <w:tcW w:w="1059" w:type="dxa"/>
            <w:tcBorders>
              <w:top w:val="nil"/>
              <w:left w:val="nil"/>
              <w:bottom w:val="nil"/>
              <w:right w:val="nil"/>
            </w:tcBorders>
            <w:shd w:val="clear" w:color="auto" w:fill="auto"/>
            <w:noWrap/>
            <w:vAlign w:val="bottom"/>
            <w:hideMark/>
          </w:tcPr>
          <w:p w:rsidR="00E42F4D" w:rsidRPr="00E42F4D" w:rsidRDefault="00E42F4D" w:rsidP="00E42F4D">
            <w:pPr>
              <w:spacing w:after="0" w:line="240" w:lineRule="auto"/>
              <w:rPr>
                <w:rFonts w:ascii="Times New Roman" w:hAnsi="Times New Roman"/>
                <w:sz w:val="20"/>
                <w:szCs w:val="20"/>
              </w:rPr>
            </w:pPr>
          </w:p>
        </w:tc>
      </w:tr>
    </w:tbl>
    <w:p w:rsidR="00E42F4D" w:rsidRDefault="00E42F4D" w:rsidP="00E42F4D"/>
    <w:p w:rsidR="00E42F4D" w:rsidRPr="00E42F4D" w:rsidRDefault="00E42F4D" w:rsidP="00E42F4D"/>
    <w:p w:rsidR="00DE193E" w:rsidRDefault="007B5761" w:rsidP="00735549">
      <w:pPr>
        <w:pStyle w:val="Heading2"/>
      </w:pPr>
      <w:bookmarkStart w:id="11" w:name="_Toc476153528"/>
      <w:r w:rsidRPr="00EF1A1C">
        <w:lastRenderedPageBreak/>
        <w:t>Ex ante data submissions have various errors and is inconsistent with the workpaper</w:t>
      </w:r>
      <w:bookmarkEnd w:id="11"/>
    </w:p>
    <w:p w:rsidR="00426C43" w:rsidRDefault="00426C43" w:rsidP="007B5761">
      <w:pPr>
        <w:pStyle w:val="Body2"/>
      </w:pPr>
      <w:r>
        <w:t>The workpaper program descriptions states the following:</w:t>
      </w:r>
    </w:p>
    <w:p w:rsidR="00426C43" w:rsidRPr="00EF1A1C" w:rsidRDefault="007B5761" w:rsidP="00E42F4D">
      <w:pPr>
        <w:pStyle w:val="Body2"/>
        <w:numPr>
          <w:ilvl w:val="0"/>
          <w:numId w:val="32"/>
        </w:numPr>
        <w:spacing w:line="240" w:lineRule="auto"/>
      </w:pPr>
      <w:r>
        <w:t>M</w:t>
      </w:r>
      <w:r w:rsidRPr="00CE6394">
        <w:t xml:space="preserve">ust </w:t>
      </w:r>
      <w:r>
        <w:t>not be a HVAC or refrigeration fan.</w:t>
      </w:r>
      <w:r w:rsidR="00426C43" w:rsidRPr="00426C43">
        <w:t xml:space="preserve"> </w:t>
      </w:r>
    </w:p>
    <w:p w:rsidR="00426C43" w:rsidRDefault="007B5761" w:rsidP="00E42F4D">
      <w:pPr>
        <w:pStyle w:val="Body2"/>
        <w:numPr>
          <w:ilvl w:val="0"/>
          <w:numId w:val="32"/>
        </w:numPr>
        <w:spacing w:line="240" w:lineRule="auto"/>
      </w:pPr>
      <w:r>
        <w:t>May be used for exhaust, ventilation, pressurization, or other process applications</w:t>
      </w:r>
    </w:p>
    <w:p w:rsidR="007B5761" w:rsidRDefault="007B5761" w:rsidP="00E42F4D">
      <w:pPr>
        <w:pStyle w:val="Body2"/>
        <w:numPr>
          <w:ilvl w:val="0"/>
          <w:numId w:val="32"/>
        </w:numPr>
        <w:spacing w:line="240" w:lineRule="auto"/>
      </w:pPr>
      <w:r>
        <w:t>This measure is applicable only to the following building types:</w:t>
      </w:r>
      <w:r w:rsidR="00426C43">
        <w:t xml:space="preserve"> </w:t>
      </w:r>
      <w:r>
        <w:t>Manufacturing - Bio/Tech</w:t>
      </w:r>
      <w:r w:rsidR="00426C43">
        <w:t xml:space="preserve"> and </w:t>
      </w:r>
      <w:r>
        <w:t>Manufacturing - Light Industrial</w:t>
      </w:r>
      <w:r w:rsidR="00426C43">
        <w:t>.</w:t>
      </w:r>
    </w:p>
    <w:p w:rsidR="002D4941" w:rsidRDefault="00E42F4D" w:rsidP="002D4941">
      <w:pPr>
        <w:pStyle w:val="Body2"/>
      </w:pPr>
      <w:r>
        <w:t xml:space="preserve">The ex ante data is not limited to this scope.  In fact, it provides very broad applicability across industrial, agricultural, and commercial building types.  Given the lack of information about the type of process fans included in the program, Commission Staff </w:t>
      </w:r>
      <w:r w:rsidR="008727A6">
        <w:t>is concerned that these measures</w:t>
      </w:r>
      <w:r>
        <w:t xml:space="preserve"> are being claimed for fans that are supposed to be excluded from the program.</w:t>
      </w:r>
    </w:p>
    <w:p w:rsidR="00426C43" w:rsidRPr="008F3CE2" w:rsidRDefault="00426C43" w:rsidP="00426C43">
      <w:pPr>
        <w:pStyle w:val="Body2"/>
      </w:pPr>
      <w:r>
        <w:rPr>
          <w:b/>
        </w:rPr>
        <w:t>Direction:</w:t>
      </w:r>
      <w:r>
        <w:t xml:space="preserve"> </w:t>
      </w:r>
      <w:r w:rsidR="00E42F4D">
        <w:t>Revise the workpaper as follows (retroactive to January 1, 2017):</w:t>
      </w:r>
    </w:p>
    <w:p w:rsidR="00E42F4D" w:rsidRDefault="00E42F4D" w:rsidP="00E42F4D">
      <w:pPr>
        <w:pStyle w:val="Heading3"/>
      </w:pPr>
      <w:r>
        <w:t xml:space="preserve">SCE to </w:t>
      </w:r>
      <w:r w:rsidR="001A21DB">
        <w:t>revise and re</w:t>
      </w:r>
      <w:r>
        <w:t>submit ex ante data</w:t>
      </w:r>
    </w:p>
    <w:p w:rsidR="00355652" w:rsidRDefault="00E42F4D" w:rsidP="00E42F4D">
      <w:pPr>
        <w:pStyle w:val="Body3"/>
      </w:pPr>
      <w:r>
        <w:t xml:space="preserve">The workpaper data submitted in </w:t>
      </w:r>
      <w:r w:rsidR="00355652">
        <w:t>January 2017 includes downstream rebates for commercial, agricultural, and industrial sectors (Implementation table).  While this may be appropriate, it must be matched with narrow building types definition</w:t>
      </w:r>
      <w:r w:rsidR="008727A6">
        <w:t>s</w:t>
      </w:r>
      <w:r w:rsidR="00355652">
        <w:t xml:space="preserve"> (BldgType) within the EnergyImpact and Cost tables; otherwise, the data indicates that claims may be made for a wide variety of installations.  The submitted data </w:t>
      </w:r>
      <w:r w:rsidR="00355652">
        <w:t xml:space="preserve">is valid for </w:t>
      </w:r>
      <w:r w:rsidR="00C60F5F">
        <w:t>a</w:t>
      </w:r>
      <w:r w:rsidR="00355652">
        <w:t>ny commercial</w:t>
      </w:r>
      <w:r w:rsidR="00355652">
        <w:t xml:space="preserve">, industrial, or agricultural building. </w:t>
      </w:r>
    </w:p>
    <w:p w:rsidR="00355652" w:rsidRDefault="00355652" w:rsidP="00355652">
      <w:pPr>
        <w:pStyle w:val="Body3"/>
      </w:pPr>
      <w:r>
        <w:t xml:space="preserve">Correct the data to limit the data to the 2 building types listed within the workpaper: Manufacturing - Bio/Tech and Manufacturing - Light Industrial.  Also, make changes to the descriptions to </w:t>
      </w:r>
    </w:p>
    <w:p w:rsidR="00355652" w:rsidRDefault="00355652" w:rsidP="00355652">
      <w:pPr>
        <w:pStyle w:val="Body3"/>
        <w:numPr>
          <w:ilvl w:val="0"/>
          <w:numId w:val="33"/>
        </w:numPr>
        <w:spacing w:line="240" w:lineRule="auto"/>
      </w:pPr>
      <w:r>
        <w:t xml:space="preserve">clarify that systems under 3 HP do not qualify and </w:t>
      </w:r>
    </w:p>
    <w:p w:rsidR="00E42F4D" w:rsidRPr="00A21E0E" w:rsidRDefault="00355652" w:rsidP="00355652">
      <w:pPr>
        <w:pStyle w:val="Body3"/>
        <w:numPr>
          <w:ilvl w:val="0"/>
          <w:numId w:val="33"/>
        </w:numPr>
        <w:spacing w:line="240" w:lineRule="auto"/>
      </w:pPr>
      <w:r>
        <w:t>reflect the required measure definition ranges in section 3.2, above.</w:t>
      </w:r>
    </w:p>
    <w:p w:rsidR="00E42F4D" w:rsidRDefault="00E42F4D" w:rsidP="00E42F4D">
      <w:pPr>
        <w:pStyle w:val="Heading3"/>
      </w:pPr>
      <w:r>
        <w:t xml:space="preserve">PG&amp;E to </w:t>
      </w:r>
      <w:r w:rsidR="001A21DB">
        <w:t>revise and resubmit ex ante data</w:t>
      </w:r>
    </w:p>
    <w:p w:rsidR="00E42F4D" w:rsidRDefault="001A21DB" w:rsidP="00E42F4D">
      <w:pPr>
        <w:pStyle w:val="Body3"/>
      </w:pPr>
      <w:r>
        <w:t xml:space="preserve">The 2014 </w:t>
      </w:r>
      <w:r w:rsidR="00E42F4D">
        <w:t xml:space="preserve">PG&amp;E ex ante data </w:t>
      </w:r>
      <w:r>
        <w:t xml:space="preserve">appears to limit the building types appropriately.  The Implementation table </w:t>
      </w:r>
      <w:r w:rsidR="00E42F4D">
        <w:t xml:space="preserve">uses the </w:t>
      </w:r>
      <w:r w:rsidR="00355652">
        <w:t xml:space="preserve">Industrial </w:t>
      </w:r>
      <w:r w:rsidR="00E42F4D">
        <w:t xml:space="preserve">sector </w:t>
      </w:r>
      <w:r w:rsidR="00355652">
        <w:t xml:space="preserve">and “Any” </w:t>
      </w:r>
      <w:r w:rsidR="00E42F4D">
        <w:t>Building Type</w:t>
      </w:r>
      <w:r w:rsidR="00355652">
        <w:t xml:space="preserve"> </w:t>
      </w:r>
      <w:r>
        <w:t xml:space="preserve">in </w:t>
      </w:r>
      <w:r w:rsidR="00355652">
        <w:t>EnergyImpact and Cost tables</w:t>
      </w:r>
      <w:r>
        <w:t xml:space="preserve"> which will limit the claims to “Any” industrial building</w:t>
      </w:r>
      <w:r w:rsidR="00E42F4D">
        <w:t xml:space="preserve">.  </w:t>
      </w:r>
      <w:r>
        <w:t>However, in order to adopt SCE’s measures (which is what the submitted workpaper states), PG&amp;E’s data must refer directly to the SCE’s measure definitions.  Please submit only an Implementation table describing the program that PG&amp;E is using to implement the adopted measures.</w:t>
      </w:r>
    </w:p>
    <w:p w:rsidR="00E42F4D" w:rsidRDefault="00E42F4D" w:rsidP="00E42F4D">
      <w:pPr>
        <w:pStyle w:val="Heading3"/>
      </w:pPr>
      <w:r>
        <w:t xml:space="preserve">SDG&amp;E to </w:t>
      </w:r>
      <w:r w:rsidR="001A21DB">
        <w:t xml:space="preserve">submit a workpaper </w:t>
      </w:r>
    </w:p>
    <w:p w:rsidR="00DE193E" w:rsidRPr="001C2764" w:rsidRDefault="008727A6" w:rsidP="00F2004A">
      <w:pPr>
        <w:pStyle w:val="Body3"/>
      </w:pPr>
      <w:r>
        <w:t xml:space="preserve">Submit </w:t>
      </w:r>
      <w:r w:rsidR="00355652">
        <w:t xml:space="preserve">a “short form” workpaper to adopt the </w:t>
      </w:r>
      <w:r>
        <w:t xml:space="preserve">SCE’s </w:t>
      </w:r>
      <w:r w:rsidR="00355652">
        <w:t xml:space="preserve">workpaper.  The ex ante data should refer to the </w:t>
      </w:r>
      <w:r>
        <w:t xml:space="preserve">SCE’s </w:t>
      </w:r>
      <w:r w:rsidR="00355652">
        <w:t>measure definitions</w:t>
      </w:r>
      <w:r w:rsidR="00E42F4D">
        <w:t>.</w:t>
      </w:r>
      <w:r w:rsidR="00355652">
        <w:t xml:space="preserve">  SDG&amp;E is required to submit an Implementation table which lists their own workpaper ID (Source Description) and describes the program </w:t>
      </w:r>
      <w:r w:rsidR="00746893">
        <w:t>that SDG&amp;E is using to implement the adopted measures.</w:t>
      </w:r>
    </w:p>
    <w:sectPr w:rsidR="00DE193E" w:rsidRPr="001C2764" w:rsidSect="007420F0">
      <w:headerReference w:type="default" r:id="rId9"/>
      <w:footerReference w:type="defaul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00" w:rsidRDefault="00EC1000" w:rsidP="000E70A1">
      <w:pPr>
        <w:spacing w:after="0" w:line="240" w:lineRule="auto"/>
      </w:pPr>
      <w:r>
        <w:separator/>
      </w:r>
    </w:p>
  </w:endnote>
  <w:endnote w:type="continuationSeparator" w:id="0">
    <w:p w:rsidR="00EC1000" w:rsidRDefault="00EC1000"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4D" w:rsidRPr="007B4BBF" w:rsidRDefault="00E42F4D" w:rsidP="00C0532D">
    <w:pPr>
      <w:pStyle w:val="Footer"/>
      <w:rPr>
        <w:sz w:val="18"/>
        <w:szCs w:val="18"/>
      </w:rPr>
    </w:pPr>
    <w:r w:rsidRPr="007B4BBF">
      <w:rPr>
        <w:sz w:val="18"/>
        <w:szCs w:val="18"/>
      </w:rPr>
      <w:tab/>
      <w:t xml:space="preserve">page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F2004A">
      <w:rPr>
        <w:noProof/>
        <w:sz w:val="18"/>
        <w:szCs w:val="18"/>
      </w:rPr>
      <w:t>6</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F2004A">
      <w:rPr>
        <w:noProof/>
        <w:sz w:val="18"/>
        <w:szCs w:val="18"/>
      </w:rPr>
      <w:t>6</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4D" w:rsidRDefault="00E42F4D">
    <w:pPr>
      <w:pStyle w:val="Footer"/>
    </w:pPr>
    <w:r>
      <w:tab/>
      <w:t xml:space="preserve">page </w:t>
    </w:r>
    <w:r>
      <w:fldChar w:fldCharType="begin"/>
    </w:r>
    <w:r>
      <w:instrText xml:space="preserve"> PAGE  \* Arabic  \* MERGEFORMAT </w:instrText>
    </w:r>
    <w:r>
      <w:fldChar w:fldCharType="separate"/>
    </w:r>
    <w:r w:rsidR="00F2004A">
      <w:rPr>
        <w:noProof/>
      </w:rPr>
      <w:t>1</w:t>
    </w:r>
    <w:r>
      <w:fldChar w:fldCharType="end"/>
    </w:r>
    <w:r>
      <w:t xml:space="preserve"> of </w:t>
    </w:r>
    <w:fldSimple w:instr=" NUMPAGES   \* MERGEFORMAT ">
      <w:r w:rsidR="00F2004A">
        <w:rPr>
          <w:noProof/>
        </w:rPr>
        <w:t>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00" w:rsidRDefault="00EC1000" w:rsidP="000E70A1">
      <w:pPr>
        <w:spacing w:after="0" w:line="240" w:lineRule="auto"/>
      </w:pPr>
      <w:r>
        <w:separator/>
      </w:r>
    </w:p>
  </w:footnote>
  <w:footnote w:type="continuationSeparator" w:id="0">
    <w:p w:rsidR="00EC1000" w:rsidRDefault="00EC1000" w:rsidP="000E70A1">
      <w:pPr>
        <w:spacing w:after="0" w:line="240" w:lineRule="auto"/>
      </w:pPr>
      <w:r>
        <w:continuationSeparator/>
      </w:r>
    </w:p>
  </w:footnote>
  <w:footnote w:id="1">
    <w:p w:rsidR="00E42F4D" w:rsidRDefault="00E42F4D">
      <w:pPr>
        <w:pStyle w:val="FootnoteText"/>
      </w:pPr>
      <w:r>
        <w:rPr>
          <w:rStyle w:val="FootnoteReference"/>
        </w:rPr>
        <w:footnoteRef/>
      </w:r>
      <w:r>
        <w:t xml:space="preserve"> DEER2017 requires 3,372 operating hours for lighting used within Light Industrial Manufacturing facilities (DEER building type is MLI).  The workpaper assumes that the process fans operate the same number of hours as the lighting.  (page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4D" w:rsidRPr="007B4BBF" w:rsidRDefault="00E42F4D" w:rsidP="003C17B2">
    <w:pPr>
      <w:pStyle w:val="Header"/>
      <w:rPr>
        <w:sz w:val="18"/>
        <w:szCs w:val="18"/>
      </w:rPr>
    </w:pPr>
    <w:r>
      <w:rPr>
        <w:sz w:val="18"/>
        <w:szCs w:val="18"/>
      </w:rPr>
      <w:fldChar w:fldCharType="begin"/>
    </w:r>
    <w:r>
      <w:rPr>
        <w:sz w:val="18"/>
        <w:szCs w:val="18"/>
      </w:rPr>
      <w:instrText xml:space="preserve"> STYLEREF  Title  \* MERGEFORMAT </w:instrText>
    </w:r>
    <w:r>
      <w:rPr>
        <w:sz w:val="18"/>
        <w:szCs w:val="18"/>
      </w:rPr>
      <w:fldChar w:fldCharType="separate"/>
    </w:r>
    <w:r w:rsidR="00F2004A">
      <w:rPr>
        <w:noProof/>
        <w:sz w:val="18"/>
        <w:szCs w:val="18"/>
      </w:rPr>
      <w:t>DISPOSITION FOR WORKPAPERS COVERING PROCESS FAN VSD</w:t>
    </w:r>
    <w:r>
      <w:rPr>
        <w:sz w:val="18"/>
        <w:szCs w:val="18"/>
      </w:rPr>
      <w:fldChar w:fldCharType="end"/>
    </w:r>
  </w:p>
  <w:p w:rsidR="00E42F4D" w:rsidRDefault="00E42F4D" w:rsidP="00C0532D">
    <w:pPr>
      <w:pStyle w:val="Header"/>
      <w:rPr>
        <w:sz w:val="18"/>
        <w:szCs w:val="18"/>
      </w:rPr>
    </w:pPr>
    <w:r>
      <w:rPr>
        <w:sz w:val="18"/>
        <w:szCs w:val="18"/>
      </w:rPr>
      <w:fldChar w:fldCharType="begin"/>
    </w:r>
    <w:r>
      <w:rPr>
        <w:sz w:val="18"/>
        <w:szCs w:val="18"/>
      </w:rPr>
      <w:instrText xml:space="preserve"> STYLEREF  Subtitle  \* MERGEFORMAT </w:instrText>
    </w:r>
    <w:r>
      <w:rPr>
        <w:sz w:val="18"/>
        <w:szCs w:val="18"/>
      </w:rPr>
      <w:fldChar w:fldCharType="separate"/>
    </w:r>
    <w:r w:rsidR="00F2004A">
      <w:rPr>
        <w:noProof/>
        <w:sz w:val="18"/>
        <w:szCs w:val="18"/>
      </w:rPr>
      <w:t>California Public Utilities Commission, Energy Division</w:t>
    </w:r>
    <w:r>
      <w:rPr>
        <w:sz w:val="18"/>
        <w:szCs w:val="18"/>
      </w:rPr>
      <w:fldChar w:fldCharType="end"/>
    </w:r>
  </w:p>
  <w:p w:rsidR="00E42F4D" w:rsidRDefault="00E42F4D" w:rsidP="00C0532D">
    <w:pPr>
      <w:pStyle w:val="Header"/>
      <w:rPr>
        <w:sz w:val="18"/>
        <w:szCs w:val="18"/>
      </w:rPr>
    </w:pPr>
    <w:r>
      <w:rPr>
        <w:sz w:val="18"/>
        <w:szCs w:val="18"/>
      </w:rPr>
      <w:fldChar w:fldCharType="begin"/>
    </w:r>
    <w:r>
      <w:rPr>
        <w:sz w:val="18"/>
        <w:szCs w:val="18"/>
      </w:rPr>
      <w:instrText xml:space="preserve"> STYLEREF  "Disposition Date"  \* MERGEFORMAT </w:instrText>
    </w:r>
    <w:r>
      <w:rPr>
        <w:sz w:val="18"/>
        <w:szCs w:val="18"/>
      </w:rPr>
      <w:fldChar w:fldCharType="separate"/>
    </w:r>
    <w:r w:rsidR="00F2004A">
      <w:rPr>
        <w:noProof/>
        <w:sz w:val="18"/>
        <w:szCs w:val="18"/>
      </w:rPr>
      <w:t>March 2, 2017</w:t>
    </w:r>
    <w:r>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15:restartNumberingAfterBreak="0">
    <w:nsid w:val="072A0B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hint="default"/>
        <w:b/>
        <w:i w:val="0"/>
        <w:sz w:val="22"/>
      </w:rPr>
    </w:lvl>
    <w:lvl w:ilvl="1">
      <w:start w:val="1"/>
      <w:numFmt w:val="decimal"/>
      <w:pStyle w:val="Heading2"/>
      <w:suff w:val="space"/>
      <w:lvlText w:val="%1.%2."/>
      <w:lvlJc w:val="left"/>
      <w:pPr>
        <w:ind w:left="216" w:hanging="216"/>
      </w:pPr>
      <w:rPr>
        <w:rFonts w:ascii="Calibri" w:hAnsi="Calibri" w:hint="default"/>
        <w:b/>
        <w:i w:val="0"/>
        <w:sz w:val="22"/>
      </w:rPr>
    </w:lvl>
    <w:lvl w:ilvl="2">
      <w:start w:val="1"/>
      <w:numFmt w:val="decimal"/>
      <w:pStyle w:val="Heading3"/>
      <w:suff w:val="space"/>
      <w:lvlText w:val="%1.%2.%3."/>
      <w:lvlJc w:val="left"/>
      <w:pPr>
        <w:ind w:left="720" w:hanging="360"/>
      </w:pPr>
      <w:rPr>
        <w:rFonts w:ascii="Calibri" w:hAnsi="Calibri" w:hint="default"/>
        <w:sz w:val="22"/>
      </w:rPr>
    </w:lvl>
    <w:lvl w:ilvl="3">
      <w:start w:val="1"/>
      <w:numFmt w:val="decimal"/>
      <w:pStyle w:val="Heading4"/>
      <w:suff w:val="space"/>
      <w:lvlText w:val="%1.%2.%3.%4."/>
      <w:lvlJc w:val="left"/>
      <w:pPr>
        <w:ind w:left="1080" w:hanging="360"/>
      </w:pPr>
      <w:rPr>
        <w:rFonts w:ascii="Calibri" w:hAnsi="Calibri" w:hint="default"/>
        <w:sz w:val="22"/>
      </w:rPr>
    </w:lvl>
    <w:lvl w:ilvl="4">
      <w:start w:val="1"/>
      <w:numFmt w:val="decimal"/>
      <w:pStyle w:val="Heading5"/>
      <w:suff w:val="space"/>
      <w:lvlText w:val="%1.%2.%3.%4.%5."/>
      <w:lvlJc w:val="left"/>
      <w:pPr>
        <w:ind w:left="1440" w:hanging="360"/>
      </w:pPr>
      <w:rPr>
        <w:rFonts w:ascii="Calibri" w:hAnsi="Calibri" w:hint="default"/>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2622DC"/>
    <w:multiLevelType w:val="hybridMultilevel"/>
    <w:tmpl w:val="313065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15:restartNumberingAfterBreak="0">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8" w15:restartNumberingAfterBreak="0">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25CC3DBE"/>
    <w:multiLevelType w:val="hybridMultilevel"/>
    <w:tmpl w:val="BD329B34"/>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 w15:restartNumberingAfterBreak="0">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C997D4A"/>
    <w:multiLevelType w:val="multilevel"/>
    <w:tmpl w:val="480422CA"/>
    <w:numStyleLink w:val="Dispositions"/>
  </w:abstractNum>
  <w:abstractNum w:abstractNumId="15"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F100A0E"/>
    <w:multiLevelType w:val="multilevel"/>
    <w:tmpl w:val="480422CA"/>
    <w:numStyleLink w:val="Dispositions"/>
  </w:abstractNum>
  <w:abstractNum w:abstractNumId="25" w15:restartNumberingAfterBreak="0">
    <w:nsid w:val="739A19B6"/>
    <w:multiLevelType w:val="multilevel"/>
    <w:tmpl w:val="480422CA"/>
    <w:numStyleLink w:val="Dispositions"/>
  </w:abstractNum>
  <w:abstractNum w:abstractNumId="26" w15:restartNumberingAfterBreak="0">
    <w:nsid w:val="76E174E7"/>
    <w:multiLevelType w:val="hybridMultilevel"/>
    <w:tmpl w:val="90FCB642"/>
    <w:lvl w:ilvl="0" w:tplc="4BDEF6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8" w15:restartNumberingAfterBreak="0">
    <w:nsid w:val="78DC5A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BB51ABA"/>
    <w:multiLevelType w:val="multilevel"/>
    <w:tmpl w:val="480422CA"/>
    <w:numStyleLink w:val="Dispositions"/>
  </w:abstractNum>
  <w:abstractNum w:abstractNumId="30" w15:restartNumberingAfterBreak="0">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DCB28AD"/>
    <w:multiLevelType w:val="hybridMultilevel"/>
    <w:tmpl w:val="6FDA61E6"/>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num w:numId="1">
    <w:abstractNumId w:val="0"/>
  </w:num>
  <w:num w:numId="2">
    <w:abstractNumId w:val="18"/>
  </w:num>
  <w:num w:numId="3">
    <w:abstractNumId w:val="22"/>
  </w:num>
  <w:num w:numId="4">
    <w:abstractNumId w:val="11"/>
  </w:num>
  <w:num w:numId="5">
    <w:abstractNumId w:val="30"/>
  </w:num>
  <w:num w:numId="6">
    <w:abstractNumId w:val="5"/>
  </w:num>
  <w:num w:numId="7">
    <w:abstractNumId w:val="23"/>
  </w:num>
  <w:num w:numId="8">
    <w:abstractNumId w:val="19"/>
  </w:num>
  <w:num w:numId="9">
    <w:abstractNumId w:val="16"/>
  </w:num>
  <w:num w:numId="10">
    <w:abstractNumId w:val="12"/>
  </w:num>
  <w:num w:numId="11">
    <w:abstractNumId w:val="9"/>
  </w:num>
  <w:num w:numId="12">
    <w:abstractNumId w:val="27"/>
  </w:num>
  <w:num w:numId="13">
    <w:abstractNumId w:val="20"/>
  </w:num>
  <w:num w:numId="14">
    <w:abstractNumId w:val="7"/>
  </w:num>
  <w:num w:numId="15">
    <w:abstractNumId w:val="8"/>
  </w:num>
  <w:num w:numId="16">
    <w:abstractNumId w:val="1"/>
  </w:num>
  <w:num w:numId="17">
    <w:abstractNumId w:val="21"/>
  </w:num>
  <w:num w:numId="18">
    <w:abstractNumId w:val="6"/>
  </w:num>
  <w:num w:numId="19">
    <w:abstractNumId w:val="13"/>
  </w:num>
  <w:num w:numId="20">
    <w:abstractNumId w:val="17"/>
  </w:num>
  <w:num w:numId="21">
    <w:abstractNumId w:val="2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29"/>
  </w:num>
  <w:num w:numId="26">
    <w:abstractNumId w:val="24"/>
  </w:num>
  <w:num w:numId="27">
    <w:abstractNumId w:val="14"/>
    <w:lvlOverride w:ilvl="2">
      <w:lvl w:ilvl="2">
        <w:start w:val="1"/>
        <w:numFmt w:val="decimal"/>
        <w:suff w:val="space"/>
        <w:lvlText w:val="%1.%2.%3."/>
        <w:lvlJc w:val="left"/>
        <w:pPr>
          <w:ind w:left="900" w:hanging="360"/>
        </w:pPr>
        <w:rPr>
          <w:rFonts w:ascii="Calibri" w:hAnsi="Calibri" w:hint="default"/>
          <w:sz w:val="22"/>
        </w:rPr>
      </w:lvl>
    </w:lvlOverride>
  </w:num>
  <w:num w:numId="28">
    <w:abstractNumId w:val="25"/>
    <w:lvlOverride w:ilvl="0">
      <w:lvl w:ilvl="0">
        <w:start w:val="1"/>
        <w:numFmt w:val="decimal"/>
        <w:pStyle w:val="Heading1"/>
        <w:suff w:val="space"/>
        <w:lvlText w:val="%1."/>
        <w:lvlJc w:val="left"/>
        <w:pPr>
          <w:ind w:left="360" w:hanging="360"/>
        </w:pPr>
        <w:rPr>
          <w:rFonts w:ascii="Calibri" w:hAnsi="Calibri" w:hint="default"/>
          <w:b/>
          <w:i w:val="0"/>
          <w:sz w:val="22"/>
        </w:rPr>
      </w:lvl>
    </w:lvlOverride>
    <w:lvlOverride w:ilvl="1">
      <w:lvl w:ilvl="1">
        <w:start w:val="1"/>
        <w:numFmt w:val="decimal"/>
        <w:pStyle w:val="Heading2"/>
        <w:suff w:val="space"/>
        <w:lvlText w:val="%1.%2."/>
        <w:lvlJc w:val="left"/>
        <w:pPr>
          <w:ind w:left="216" w:hanging="216"/>
        </w:pPr>
        <w:rPr>
          <w:rFonts w:ascii="Calibri" w:hAnsi="Calibri" w:hint="default"/>
          <w:b/>
          <w:i w:val="0"/>
          <w:sz w:val="22"/>
        </w:rPr>
      </w:lvl>
    </w:lvlOverride>
    <w:lvlOverride w:ilvl="2">
      <w:lvl w:ilvl="2">
        <w:start w:val="1"/>
        <w:numFmt w:val="decimal"/>
        <w:pStyle w:val="Heading3"/>
        <w:suff w:val="space"/>
        <w:lvlText w:val="%1.%2.%3."/>
        <w:lvlJc w:val="left"/>
        <w:pPr>
          <w:ind w:left="720" w:hanging="360"/>
        </w:pPr>
        <w:rPr>
          <w:rFonts w:ascii="Calibri" w:hAnsi="Calibri" w:hint="default"/>
          <w:sz w:val="22"/>
        </w:rPr>
      </w:lvl>
    </w:lvlOverride>
    <w:lvlOverride w:ilvl="3">
      <w:lvl w:ilvl="3">
        <w:start w:val="1"/>
        <w:numFmt w:val="decimal"/>
        <w:pStyle w:val="Heading4"/>
        <w:suff w:val="space"/>
        <w:lvlText w:val="%1.%2.%3.%4."/>
        <w:lvlJc w:val="left"/>
        <w:pPr>
          <w:ind w:left="1080" w:hanging="360"/>
        </w:pPr>
        <w:rPr>
          <w:rFonts w:ascii="Calibri" w:hAnsi="Calibri" w:hint="default"/>
          <w:sz w:val="22"/>
        </w:rPr>
      </w:lvl>
    </w:lvlOverride>
    <w:lvlOverride w:ilvl="4">
      <w:lvl w:ilvl="4">
        <w:start w:val="1"/>
        <w:numFmt w:val="decimal"/>
        <w:pStyle w:val="Heading5"/>
        <w:suff w:val="space"/>
        <w:lvlText w:val="%1.%2.%3.%4.%5."/>
        <w:lvlJc w:val="left"/>
        <w:pPr>
          <w:ind w:left="1440" w:hanging="360"/>
        </w:pPr>
        <w:rPr>
          <w:rFonts w:ascii="Calibri" w:hAnsi="Calibri" w:hint="default"/>
          <w:sz w:val="22"/>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25"/>
    <w:lvlOverride w:ilvl="0">
      <w:startOverride w:val="1"/>
      <w:lvl w:ilvl="0">
        <w:start w:val="1"/>
        <w:numFmt w:val="decimal"/>
        <w:pStyle w:val="Heading1"/>
        <w:suff w:val="space"/>
        <w:lvlText w:val="%1."/>
        <w:lvlJc w:val="left"/>
        <w:pPr>
          <w:ind w:left="360" w:hanging="360"/>
        </w:pPr>
        <w:rPr>
          <w:rFonts w:ascii="Calibri" w:hAnsi="Calibri" w:hint="default"/>
          <w:b/>
          <w:i w:val="0"/>
          <w:sz w:val="22"/>
        </w:rPr>
      </w:lvl>
    </w:lvlOverride>
    <w:lvlOverride w:ilvl="1">
      <w:startOverride w:val="1"/>
      <w:lvl w:ilvl="1">
        <w:start w:val="1"/>
        <w:numFmt w:val="decimal"/>
        <w:pStyle w:val="Heading2"/>
        <w:suff w:val="space"/>
        <w:lvlText w:val="%1.%2."/>
        <w:lvlJc w:val="left"/>
        <w:pPr>
          <w:ind w:left="216" w:hanging="216"/>
        </w:pPr>
        <w:rPr>
          <w:rFonts w:ascii="Calibri" w:hAnsi="Calibri" w:hint="default"/>
          <w:b/>
          <w:i w:val="0"/>
          <w:sz w:val="22"/>
        </w:rPr>
      </w:lvl>
    </w:lvlOverride>
    <w:lvlOverride w:ilvl="2">
      <w:startOverride w:val="1"/>
      <w:lvl w:ilvl="2">
        <w:start w:val="1"/>
        <w:numFmt w:val="decimal"/>
        <w:pStyle w:val="Heading3"/>
        <w:suff w:val="space"/>
        <w:lvlText w:val="%1.%2.%3."/>
        <w:lvlJc w:val="left"/>
        <w:pPr>
          <w:ind w:left="720" w:hanging="360"/>
        </w:pPr>
        <w:rPr>
          <w:rFonts w:ascii="Calibri" w:hAnsi="Calibri" w:hint="default"/>
          <w:sz w:val="22"/>
        </w:rPr>
      </w:lvl>
    </w:lvlOverride>
    <w:lvlOverride w:ilvl="3">
      <w:startOverride w:val="1"/>
      <w:lvl w:ilvl="3">
        <w:start w:val="1"/>
        <w:numFmt w:val="decimal"/>
        <w:pStyle w:val="Heading4"/>
        <w:suff w:val="space"/>
        <w:lvlText w:val="%1.%2.%3.%4."/>
        <w:lvlJc w:val="left"/>
        <w:pPr>
          <w:ind w:left="1080" w:hanging="360"/>
        </w:pPr>
        <w:rPr>
          <w:rFonts w:ascii="Calibri" w:hAnsi="Calibri" w:hint="default"/>
          <w:sz w:val="22"/>
        </w:rPr>
      </w:lvl>
    </w:lvlOverride>
    <w:lvlOverride w:ilvl="4">
      <w:startOverride w:val="1"/>
      <w:lvl w:ilvl="4">
        <w:start w:val="1"/>
        <w:numFmt w:val="decimal"/>
        <w:pStyle w:val="Heading5"/>
        <w:suff w:val="space"/>
        <w:lvlText w:val="%1.%2.%3.%4.%5."/>
        <w:lvlJc w:val="left"/>
        <w:pPr>
          <w:ind w:left="1440" w:hanging="360"/>
        </w:pPr>
        <w:rPr>
          <w:rFonts w:ascii="Calibri" w:hAnsi="Calibri" w:hint="default"/>
          <w:sz w:val="22"/>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0">
    <w:abstractNumId w:val="15"/>
  </w:num>
  <w:num w:numId="31">
    <w:abstractNumId w:val="31"/>
  </w:num>
  <w:num w:numId="32">
    <w:abstractNumId w:val="10"/>
  </w:num>
  <w:num w:numId="33">
    <w:abstractNumId w:val="4"/>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14C6"/>
    <w:rsid w:val="00002A25"/>
    <w:rsid w:val="000050BD"/>
    <w:rsid w:val="00012020"/>
    <w:rsid w:val="00014D39"/>
    <w:rsid w:val="00015D9B"/>
    <w:rsid w:val="00015EE3"/>
    <w:rsid w:val="00015F65"/>
    <w:rsid w:val="00016B21"/>
    <w:rsid w:val="00024EFC"/>
    <w:rsid w:val="00030FB0"/>
    <w:rsid w:val="00034AE8"/>
    <w:rsid w:val="00051079"/>
    <w:rsid w:val="00053FF3"/>
    <w:rsid w:val="000575E4"/>
    <w:rsid w:val="00057F68"/>
    <w:rsid w:val="000602AD"/>
    <w:rsid w:val="000612D4"/>
    <w:rsid w:val="00080E9A"/>
    <w:rsid w:val="00081633"/>
    <w:rsid w:val="00082CA9"/>
    <w:rsid w:val="00090AD3"/>
    <w:rsid w:val="00093AF7"/>
    <w:rsid w:val="00094AD0"/>
    <w:rsid w:val="00095567"/>
    <w:rsid w:val="000B33BC"/>
    <w:rsid w:val="000B3A74"/>
    <w:rsid w:val="000B56D4"/>
    <w:rsid w:val="000B6C7F"/>
    <w:rsid w:val="000C544D"/>
    <w:rsid w:val="000D04A0"/>
    <w:rsid w:val="000D7703"/>
    <w:rsid w:val="000E70A1"/>
    <w:rsid w:val="000F41A4"/>
    <w:rsid w:val="000F67FC"/>
    <w:rsid w:val="00102ED4"/>
    <w:rsid w:val="00112875"/>
    <w:rsid w:val="00124328"/>
    <w:rsid w:val="00126006"/>
    <w:rsid w:val="0012658A"/>
    <w:rsid w:val="00134CD1"/>
    <w:rsid w:val="00137771"/>
    <w:rsid w:val="0014039F"/>
    <w:rsid w:val="001435E5"/>
    <w:rsid w:val="00146BCF"/>
    <w:rsid w:val="00153AA3"/>
    <w:rsid w:val="00153D56"/>
    <w:rsid w:val="00154E04"/>
    <w:rsid w:val="001566B4"/>
    <w:rsid w:val="0016053A"/>
    <w:rsid w:val="001620D5"/>
    <w:rsid w:val="00164F7A"/>
    <w:rsid w:val="00165686"/>
    <w:rsid w:val="0018340B"/>
    <w:rsid w:val="00187B12"/>
    <w:rsid w:val="001A21DB"/>
    <w:rsid w:val="001B1A3A"/>
    <w:rsid w:val="001C01C3"/>
    <w:rsid w:val="001C2764"/>
    <w:rsid w:val="001C5C1C"/>
    <w:rsid w:val="001C680B"/>
    <w:rsid w:val="001D14BF"/>
    <w:rsid w:val="001D7DD7"/>
    <w:rsid w:val="001E5F48"/>
    <w:rsid w:val="001E7899"/>
    <w:rsid w:val="001F6237"/>
    <w:rsid w:val="0020456B"/>
    <w:rsid w:val="002064B2"/>
    <w:rsid w:val="00207ACE"/>
    <w:rsid w:val="00223D23"/>
    <w:rsid w:val="00235ACC"/>
    <w:rsid w:val="002362E9"/>
    <w:rsid w:val="00241C0C"/>
    <w:rsid w:val="00243FA9"/>
    <w:rsid w:val="00245B0F"/>
    <w:rsid w:val="00250B06"/>
    <w:rsid w:val="002545F7"/>
    <w:rsid w:val="00257A30"/>
    <w:rsid w:val="00257E69"/>
    <w:rsid w:val="00273FB3"/>
    <w:rsid w:val="00283390"/>
    <w:rsid w:val="002A0DD6"/>
    <w:rsid w:val="002A6282"/>
    <w:rsid w:val="002A67E5"/>
    <w:rsid w:val="002B1119"/>
    <w:rsid w:val="002C0125"/>
    <w:rsid w:val="002C0670"/>
    <w:rsid w:val="002C15CC"/>
    <w:rsid w:val="002C4B49"/>
    <w:rsid w:val="002C7AC6"/>
    <w:rsid w:val="002D4941"/>
    <w:rsid w:val="002E2F58"/>
    <w:rsid w:val="002E695E"/>
    <w:rsid w:val="002F180A"/>
    <w:rsid w:val="002F205A"/>
    <w:rsid w:val="002F27DB"/>
    <w:rsid w:val="003013ED"/>
    <w:rsid w:val="003021CB"/>
    <w:rsid w:val="00302301"/>
    <w:rsid w:val="00310A10"/>
    <w:rsid w:val="00310BA9"/>
    <w:rsid w:val="00320623"/>
    <w:rsid w:val="00322A72"/>
    <w:rsid w:val="00332DE0"/>
    <w:rsid w:val="00350DB3"/>
    <w:rsid w:val="00355652"/>
    <w:rsid w:val="003630CF"/>
    <w:rsid w:val="00376DEE"/>
    <w:rsid w:val="00377271"/>
    <w:rsid w:val="00383D3A"/>
    <w:rsid w:val="0039305A"/>
    <w:rsid w:val="003A50A1"/>
    <w:rsid w:val="003B4AE7"/>
    <w:rsid w:val="003B6493"/>
    <w:rsid w:val="003C17B2"/>
    <w:rsid w:val="003D6049"/>
    <w:rsid w:val="003F0162"/>
    <w:rsid w:val="003F1245"/>
    <w:rsid w:val="003F5191"/>
    <w:rsid w:val="003F7718"/>
    <w:rsid w:val="0040181E"/>
    <w:rsid w:val="004037AC"/>
    <w:rsid w:val="0040649D"/>
    <w:rsid w:val="004132D9"/>
    <w:rsid w:val="004171FE"/>
    <w:rsid w:val="00426C43"/>
    <w:rsid w:val="004274BF"/>
    <w:rsid w:val="00431133"/>
    <w:rsid w:val="00432ABB"/>
    <w:rsid w:val="00433E2E"/>
    <w:rsid w:val="00437E0D"/>
    <w:rsid w:val="0044149E"/>
    <w:rsid w:val="00444535"/>
    <w:rsid w:val="00453E23"/>
    <w:rsid w:val="00454309"/>
    <w:rsid w:val="00455836"/>
    <w:rsid w:val="00470289"/>
    <w:rsid w:val="00487678"/>
    <w:rsid w:val="004923B6"/>
    <w:rsid w:val="004A74A0"/>
    <w:rsid w:val="004B52F9"/>
    <w:rsid w:val="004D03B5"/>
    <w:rsid w:val="004D4B7D"/>
    <w:rsid w:val="004E3453"/>
    <w:rsid w:val="004F20F2"/>
    <w:rsid w:val="004F4A36"/>
    <w:rsid w:val="004F62F9"/>
    <w:rsid w:val="00511CFA"/>
    <w:rsid w:val="00533E15"/>
    <w:rsid w:val="005358EE"/>
    <w:rsid w:val="00537A7A"/>
    <w:rsid w:val="00550CF1"/>
    <w:rsid w:val="005547E7"/>
    <w:rsid w:val="00562831"/>
    <w:rsid w:val="0057291C"/>
    <w:rsid w:val="00580CC6"/>
    <w:rsid w:val="005833F6"/>
    <w:rsid w:val="005846F6"/>
    <w:rsid w:val="00584753"/>
    <w:rsid w:val="00590C39"/>
    <w:rsid w:val="00591A82"/>
    <w:rsid w:val="00594E3A"/>
    <w:rsid w:val="005958DE"/>
    <w:rsid w:val="005975F4"/>
    <w:rsid w:val="005A0498"/>
    <w:rsid w:val="005A1C4D"/>
    <w:rsid w:val="005A5BCD"/>
    <w:rsid w:val="005B033C"/>
    <w:rsid w:val="005B40DD"/>
    <w:rsid w:val="005D092D"/>
    <w:rsid w:val="005D1215"/>
    <w:rsid w:val="005E2100"/>
    <w:rsid w:val="005E5A55"/>
    <w:rsid w:val="005F0289"/>
    <w:rsid w:val="005F61B9"/>
    <w:rsid w:val="006059C3"/>
    <w:rsid w:val="00607F4A"/>
    <w:rsid w:val="006137ED"/>
    <w:rsid w:val="0062209E"/>
    <w:rsid w:val="006300B4"/>
    <w:rsid w:val="00633C5E"/>
    <w:rsid w:val="00633C82"/>
    <w:rsid w:val="0064014A"/>
    <w:rsid w:val="0064069F"/>
    <w:rsid w:val="0065725B"/>
    <w:rsid w:val="00660B27"/>
    <w:rsid w:val="006677EF"/>
    <w:rsid w:val="00671077"/>
    <w:rsid w:val="00674988"/>
    <w:rsid w:val="0068170E"/>
    <w:rsid w:val="00687D70"/>
    <w:rsid w:val="0069420A"/>
    <w:rsid w:val="006A4ACA"/>
    <w:rsid w:val="006B6FF2"/>
    <w:rsid w:val="006B751F"/>
    <w:rsid w:val="006D4FCF"/>
    <w:rsid w:val="006D7BC2"/>
    <w:rsid w:val="006E7CDA"/>
    <w:rsid w:val="006F1A2C"/>
    <w:rsid w:val="00700804"/>
    <w:rsid w:val="00706DC3"/>
    <w:rsid w:val="007072C0"/>
    <w:rsid w:val="007121DC"/>
    <w:rsid w:val="00712925"/>
    <w:rsid w:val="00722043"/>
    <w:rsid w:val="0072213E"/>
    <w:rsid w:val="0072405F"/>
    <w:rsid w:val="00726AA5"/>
    <w:rsid w:val="00735549"/>
    <w:rsid w:val="007360E1"/>
    <w:rsid w:val="00736D3E"/>
    <w:rsid w:val="007377AB"/>
    <w:rsid w:val="00740096"/>
    <w:rsid w:val="007420F0"/>
    <w:rsid w:val="00746893"/>
    <w:rsid w:val="00751AE1"/>
    <w:rsid w:val="00763F00"/>
    <w:rsid w:val="007703D9"/>
    <w:rsid w:val="00771712"/>
    <w:rsid w:val="00774848"/>
    <w:rsid w:val="007757D0"/>
    <w:rsid w:val="00775AE6"/>
    <w:rsid w:val="007768F5"/>
    <w:rsid w:val="00777942"/>
    <w:rsid w:val="00781765"/>
    <w:rsid w:val="007A39B0"/>
    <w:rsid w:val="007A3BB2"/>
    <w:rsid w:val="007B4BBF"/>
    <w:rsid w:val="007B5761"/>
    <w:rsid w:val="007C0813"/>
    <w:rsid w:val="007C2ACC"/>
    <w:rsid w:val="007C5817"/>
    <w:rsid w:val="007C6215"/>
    <w:rsid w:val="007D4B9B"/>
    <w:rsid w:val="007D4DDD"/>
    <w:rsid w:val="007E0DEA"/>
    <w:rsid w:val="007E67B9"/>
    <w:rsid w:val="0080239C"/>
    <w:rsid w:val="0081477F"/>
    <w:rsid w:val="00823CF7"/>
    <w:rsid w:val="008262FE"/>
    <w:rsid w:val="008350A5"/>
    <w:rsid w:val="00836DD6"/>
    <w:rsid w:val="00836E27"/>
    <w:rsid w:val="00840E35"/>
    <w:rsid w:val="00845438"/>
    <w:rsid w:val="008504F1"/>
    <w:rsid w:val="0086193B"/>
    <w:rsid w:val="00862988"/>
    <w:rsid w:val="008664A6"/>
    <w:rsid w:val="008727A6"/>
    <w:rsid w:val="008774A6"/>
    <w:rsid w:val="00882907"/>
    <w:rsid w:val="0088515F"/>
    <w:rsid w:val="00893C67"/>
    <w:rsid w:val="008A099B"/>
    <w:rsid w:val="008B2D68"/>
    <w:rsid w:val="008B6EA2"/>
    <w:rsid w:val="008C3BD7"/>
    <w:rsid w:val="008C711A"/>
    <w:rsid w:val="008C7F61"/>
    <w:rsid w:val="008E1F9C"/>
    <w:rsid w:val="008E551C"/>
    <w:rsid w:val="008E6B1C"/>
    <w:rsid w:val="008F2DF0"/>
    <w:rsid w:val="008F35F6"/>
    <w:rsid w:val="008F6C5B"/>
    <w:rsid w:val="009047DA"/>
    <w:rsid w:val="0090760C"/>
    <w:rsid w:val="00913B3A"/>
    <w:rsid w:val="00916DEE"/>
    <w:rsid w:val="00922A4E"/>
    <w:rsid w:val="00932F64"/>
    <w:rsid w:val="00934E05"/>
    <w:rsid w:val="009608F0"/>
    <w:rsid w:val="00971B21"/>
    <w:rsid w:val="00975A87"/>
    <w:rsid w:val="0098085C"/>
    <w:rsid w:val="00993C2C"/>
    <w:rsid w:val="00997A05"/>
    <w:rsid w:val="009A0582"/>
    <w:rsid w:val="009A400D"/>
    <w:rsid w:val="009B3F87"/>
    <w:rsid w:val="009B4E31"/>
    <w:rsid w:val="009C3040"/>
    <w:rsid w:val="009C3051"/>
    <w:rsid w:val="009C6EED"/>
    <w:rsid w:val="009E14C6"/>
    <w:rsid w:val="00A021FB"/>
    <w:rsid w:val="00A03798"/>
    <w:rsid w:val="00A0471B"/>
    <w:rsid w:val="00A11247"/>
    <w:rsid w:val="00A14E41"/>
    <w:rsid w:val="00A15C83"/>
    <w:rsid w:val="00A21E0E"/>
    <w:rsid w:val="00A24712"/>
    <w:rsid w:val="00A32722"/>
    <w:rsid w:val="00A36E8C"/>
    <w:rsid w:val="00A5254E"/>
    <w:rsid w:val="00A56550"/>
    <w:rsid w:val="00A61D93"/>
    <w:rsid w:val="00A64E0C"/>
    <w:rsid w:val="00A71E1C"/>
    <w:rsid w:val="00A7209F"/>
    <w:rsid w:val="00A873F8"/>
    <w:rsid w:val="00AA31E7"/>
    <w:rsid w:val="00AA7059"/>
    <w:rsid w:val="00AB08CD"/>
    <w:rsid w:val="00AB5E5F"/>
    <w:rsid w:val="00AB68C5"/>
    <w:rsid w:val="00AD2469"/>
    <w:rsid w:val="00AE056F"/>
    <w:rsid w:val="00AE25A2"/>
    <w:rsid w:val="00AF2BE8"/>
    <w:rsid w:val="00AF349A"/>
    <w:rsid w:val="00B06998"/>
    <w:rsid w:val="00B12167"/>
    <w:rsid w:val="00B14C8C"/>
    <w:rsid w:val="00B26946"/>
    <w:rsid w:val="00B27A91"/>
    <w:rsid w:val="00B379D6"/>
    <w:rsid w:val="00B433BF"/>
    <w:rsid w:val="00B469C3"/>
    <w:rsid w:val="00B47583"/>
    <w:rsid w:val="00B51572"/>
    <w:rsid w:val="00B600C6"/>
    <w:rsid w:val="00B702D7"/>
    <w:rsid w:val="00B75D56"/>
    <w:rsid w:val="00B80733"/>
    <w:rsid w:val="00B864D0"/>
    <w:rsid w:val="00B927D8"/>
    <w:rsid w:val="00B948EC"/>
    <w:rsid w:val="00B97C9B"/>
    <w:rsid w:val="00BA0C3E"/>
    <w:rsid w:val="00BA26ED"/>
    <w:rsid w:val="00BA309B"/>
    <w:rsid w:val="00BB303C"/>
    <w:rsid w:val="00BC0A24"/>
    <w:rsid w:val="00BD3DDF"/>
    <w:rsid w:val="00BD7A08"/>
    <w:rsid w:val="00BE01CB"/>
    <w:rsid w:val="00BE16D9"/>
    <w:rsid w:val="00BE2B49"/>
    <w:rsid w:val="00BE3640"/>
    <w:rsid w:val="00BE3652"/>
    <w:rsid w:val="00BF4533"/>
    <w:rsid w:val="00C0532D"/>
    <w:rsid w:val="00C070E5"/>
    <w:rsid w:val="00C10911"/>
    <w:rsid w:val="00C163B5"/>
    <w:rsid w:val="00C26165"/>
    <w:rsid w:val="00C331FC"/>
    <w:rsid w:val="00C372B8"/>
    <w:rsid w:val="00C37430"/>
    <w:rsid w:val="00C40B86"/>
    <w:rsid w:val="00C411E6"/>
    <w:rsid w:val="00C42DC7"/>
    <w:rsid w:val="00C44666"/>
    <w:rsid w:val="00C46478"/>
    <w:rsid w:val="00C55387"/>
    <w:rsid w:val="00C60F5F"/>
    <w:rsid w:val="00C617DB"/>
    <w:rsid w:val="00C61CBE"/>
    <w:rsid w:val="00C704CD"/>
    <w:rsid w:val="00C75C7F"/>
    <w:rsid w:val="00C812A5"/>
    <w:rsid w:val="00C8311F"/>
    <w:rsid w:val="00C83AF7"/>
    <w:rsid w:val="00C84574"/>
    <w:rsid w:val="00C96D56"/>
    <w:rsid w:val="00CA138C"/>
    <w:rsid w:val="00CA4BEB"/>
    <w:rsid w:val="00CA652B"/>
    <w:rsid w:val="00CA67D2"/>
    <w:rsid w:val="00CB6450"/>
    <w:rsid w:val="00CC7570"/>
    <w:rsid w:val="00CD0872"/>
    <w:rsid w:val="00CD3B54"/>
    <w:rsid w:val="00CD3CB0"/>
    <w:rsid w:val="00CD6AB2"/>
    <w:rsid w:val="00CD77A1"/>
    <w:rsid w:val="00CE171E"/>
    <w:rsid w:val="00CE73BF"/>
    <w:rsid w:val="00D066B4"/>
    <w:rsid w:val="00D1454B"/>
    <w:rsid w:val="00D15092"/>
    <w:rsid w:val="00D172B5"/>
    <w:rsid w:val="00D23BEF"/>
    <w:rsid w:val="00D259D6"/>
    <w:rsid w:val="00D655E2"/>
    <w:rsid w:val="00D657AB"/>
    <w:rsid w:val="00D67344"/>
    <w:rsid w:val="00D8241D"/>
    <w:rsid w:val="00D84533"/>
    <w:rsid w:val="00D85716"/>
    <w:rsid w:val="00DC095C"/>
    <w:rsid w:val="00DD0B1F"/>
    <w:rsid w:val="00DD6BB7"/>
    <w:rsid w:val="00DE193E"/>
    <w:rsid w:val="00E0003E"/>
    <w:rsid w:val="00E06BD4"/>
    <w:rsid w:val="00E06DEF"/>
    <w:rsid w:val="00E12E68"/>
    <w:rsid w:val="00E162A4"/>
    <w:rsid w:val="00E224E2"/>
    <w:rsid w:val="00E3047B"/>
    <w:rsid w:val="00E357AA"/>
    <w:rsid w:val="00E42F4D"/>
    <w:rsid w:val="00E47259"/>
    <w:rsid w:val="00E47FFD"/>
    <w:rsid w:val="00E50342"/>
    <w:rsid w:val="00E534A2"/>
    <w:rsid w:val="00E55481"/>
    <w:rsid w:val="00E56918"/>
    <w:rsid w:val="00E57C4D"/>
    <w:rsid w:val="00E60139"/>
    <w:rsid w:val="00E73793"/>
    <w:rsid w:val="00E7450A"/>
    <w:rsid w:val="00E858B0"/>
    <w:rsid w:val="00E875C4"/>
    <w:rsid w:val="00E95FFB"/>
    <w:rsid w:val="00E96FC2"/>
    <w:rsid w:val="00EB17D2"/>
    <w:rsid w:val="00EB3A89"/>
    <w:rsid w:val="00EB52F9"/>
    <w:rsid w:val="00EC1000"/>
    <w:rsid w:val="00EC14AB"/>
    <w:rsid w:val="00EC319B"/>
    <w:rsid w:val="00EC7891"/>
    <w:rsid w:val="00ED1EEC"/>
    <w:rsid w:val="00EE1027"/>
    <w:rsid w:val="00EE11D0"/>
    <w:rsid w:val="00EE315E"/>
    <w:rsid w:val="00EE4705"/>
    <w:rsid w:val="00EE4D5C"/>
    <w:rsid w:val="00EE74BD"/>
    <w:rsid w:val="00EF1A1C"/>
    <w:rsid w:val="00F00C5A"/>
    <w:rsid w:val="00F015A8"/>
    <w:rsid w:val="00F07D30"/>
    <w:rsid w:val="00F2004A"/>
    <w:rsid w:val="00F201E9"/>
    <w:rsid w:val="00F25727"/>
    <w:rsid w:val="00F27D2E"/>
    <w:rsid w:val="00F42F1D"/>
    <w:rsid w:val="00F47C91"/>
    <w:rsid w:val="00F540E4"/>
    <w:rsid w:val="00F5571C"/>
    <w:rsid w:val="00F80949"/>
    <w:rsid w:val="00F81FC5"/>
    <w:rsid w:val="00F84648"/>
    <w:rsid w:val="00F874C9"/>
    <w:rsid w:val="00F90E1D"/>
    <w:rsid w:val="00F95C2E"/>
    <w:rsid w:val="00FA383D"/>
    <w:rsid w:val="00FB06B7"/>
    <w:rsid w:val="00FB0919"/>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717658-D24E-475C-8BFB-5D1F8141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Body1"/>
    <w:link w:val="Heading1Char"/>
    <w:qFormat/>
    <w:locked/>
    <w:rsid w:val="000B56D4"/>
    <w:pPr>
      <w:keepNext/>
      <w:keepLines/>
      <w:numPr>
        <w:numId w:val="28"/>
      </w:numPr>
      <w:spacing w:before="480" w:after="0"/>
      <w:outlineLvl w:val="0"/>
    </w:pPr>
    <w:rPr>
      <w:rFonts w:eastAsiaTheme="majorEastAsia" w:cstheme="majorBidi"/>
      <w:b/>
      <w:bCs/>
      <w:szCs w:val="28"/>
    </w:rPr>
  </w:style>
  <w:style w:type="paragraph" w:styleId="Heading2">
    <w:name w:val="heading 2"/>
    <w:basedOn w:val="Normal"/>
    <w:next w:val="Body2"/>
    <w:link w:val="Heading2Char"/>
    <w:unhideWhenUsed/>
    <w:qFormat/>
    <w:locked/>
    <w:rsid w:val="007121DC"/>
    <w:pPr>
      <w:keepNext/>
      <w:keepLines/>
      <w:numPr>
        <w:ilvl w:val="1"/>
        <w:numId w:val="28"/>
      </w:numPr>
      <w:spacing w:before="200" w:after="0"/>
      <w:outlineLvl w:val="1"/>
    </w:pPr>
    <w:rPr>
      <w:rFonts w:eastAsiaTheme="majorEastAsia" w:cstheme="majorBidi"/>
      <w:b/>
      <w:bCs/>
      <w:szCs w:val="26"/>
    </w:rPr>
  </w:style>
  <w:style w:type="paragraph" w:styleId="Heading3">
    <w:name w:val="heading 3"/>
    <w:basedOn w:val="Normal"/>
    <w:next w:val="Body3"/>
    <w:link w:val="Heading3Char"/>
    <w:unhideWhenUsed/>
    <w:qFormat/>
    <w:locked/>
    <w:rsid w:val="00BA309B"/>
    <w:pPr>
      <w:keepNext/>
      <w:keepLines/>
      <w:numPr>
        <w:ilvl w:val="2"/>
        <w:numId w:val="28"/>
      </w:numPr>
      <w:spacing w:before="200" w:after="0"/>
      <w:outlineLvl w:val="2"/>
    </w:pPr>
    <w:rPr>
      <w:rFonts w:eastAsiaTheme="majorEastAsia" w:cstheme="majorBidi"/>
      <w:bCs/>
      <w:u w:val="single"/>
    </w:rPr>
  </w:style>
  <w:style w:type="paragraph" w:styleId="Heading4">
    <w:name w:val="heading 4"/>
    <w:basedOn w:val="Normal"/>
    <w:next w:val="Normal"/>
    <w:link w:val="Heading4Char"/>
    <w:unhideWhenUsed/>
    <w:qFormat/>
    <w:locked/>
    <w:rsid w:val="006677EF"/>
    <w:pPr>
      <w:keepNext/>
      <w:keepLines/>
      <w:numPr>
        <w:ilvl w:val="3"/>
        <w:numId w:val="28"/>
      </w:numPr>
      <w:spacing w:before="200" w:after="0"/>
      <w:outlineLvl w:val="3"/>
    </w:pPr>
    <w:rPr>
      <w:rFonts w:eastAsiaTheme="majorEastAsia" w:cstheme="majorBidi"/>
      <w:bCs/>
      <w:iCs/>
    </w:rPr>
  </w:style>
  <w:style w:type="paragraph" w:styleId="Heading5">
    <w:name w:val="heading 5"/>
    <w:basedOn w:val="Normal"/>
    <w:next w:val="Normal"/>
    <w:link w:val="Heading5Char"/>
    <w:unhideWhenUsed/>
    <w:qFormat/>
    <w:locked/>
    <w:rsid w:val="007121DC"/>
    <w:pPr>
      <w:keepNext/>
      <w:keepLines/>
      <w:numPr>
        <w:ilvl w:val="4"/>
        <w:numId w:val="28"/>
      </w:numPr>
      <w:spacing w:before="20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numbering" w:customStyle="1" w:styleId="Dispositions">
    <w:name w:val="Dispositions"/>
    <w:uiPriority w:val="99"/>
    <w:rsid w:val="000B56D4"/>
    <w:pPr>
      <w:numPr>
        <w:numId w:val="23"/>
      </w:numPr>
    </w:pPr>
  </w:style>
  <w:style w:type="paragraph" w:styleId="Title">
    <w:name w:val="Title"/>
    <w:basedOn w:val="Normal"/>
    <w:next w:val="Normal"/>
    <w:link w:val="TitleChar"/>
    <w:qFormat/>
    <w:locked/>
    <w:rsid w:val="00257E69"/>
    <w:pPr>
      <w:spacing w:after="0" w:line="240" w:lineRule="auto"/>
    </w:pPr>
    <w:rPr>
      <w:b/>
      <w:caps/>
      <w:sz w:val="24"/>
      <w:szCs w:val="24"/>
    </w:rPr>
  </w:style>
  <w:style w:type="character" w:customStyle="1" w:styleId="Heading1Char">
    <w:name w:val="Heading 1 Char"/>
    <w:basedOn w:val="DefaultParagraphFont"/>
    <w:link w:val="Heading1"/>
    <w:rsid w:val="000B56D4"/>
    <w:rPr>
      <w:rFonts w:eastAsiaTheme="majorEastAsia" w:cstheme="majorBidi"/>
      <w:b/>
      <w:bCs/>
      <w:szCs w:val="28"/>
    </w:rPr>
  </w:style>
  <w:style w:type="character" w:customStyle="1" w:styleId="Heading2Char">
    <w:name w:val="Heading 2 Char"/>
    <w:basedOn w:val="DefaultParagraphFont"/>
    <w:link w:val="Heading2"/>
    <w:rsid w:val="007121DC"/>
    <w:rPr>
      <w:rFonts w:eastAsiaTheme="majorEastAsia" w:cstheme="majorBidi"/>
      <w:b/>
      <w:bCs/>
      <w:szCs w:val="26"/>
    </w:rPr>
  </w:style>
  <w:style w:type="character" w:customStyle="1" w:styleId="Heading3Char">
    <w:name w:val="Heading 3 Char"/>
    <w:basedOn w:val="DefaultParagraphFont"/>
    <w:link w:val="Heading3"/>
    <w:rsid w:val="00BA309B"/>
    <w:rPr>
      <w:rFonts w:eastAsiaTheme="majorEastAsia" w:cstheme="majorBidi"/>
      <w:bCs/>
      <w:u w:val="single"/>
    </w:rPr>
  </w:style>
  <w:style w:type="character" w:customStyle="1" w:styleId="Heading4Char">
    <w:name w:val="Heading 4 Char"/>
    <w:basedOn w:val="DefaultParagraphFont"/>
    <w:link w:val="Heading4"/>
    <w:rsid w:val="006677EF"/>
    <w:rPr>
      <w:rFonts w:eastAsiaTheme="majorEastAsia" w:cstheme="majorBidi"/>
      <w:bCs/>
      <w:iCs/>
    </w:rPr>
  </w:style>
  <w:style w:type="character" w:customStyle="1" w:styleId="Heading5Char">
    <w:name w:val="Heading 5 Char"/>
    <w:basedOn w:val="DefaultParagraphFont"/>
    <w:link w:val="Heading5"/>
    <w:rsid w:val="007121DC"/>
    <w:rPr>
      <w:rFonts w:eastAsiaTheme="majorEastAsia" w:cstheme="majorBidi"/>
    </w:rPr>
  </w:style>
  <w:style w:type="character" w:customStyle="1" w:styleId="TitleChar">
    <w:name w:val="Title Char"/>
    <w:basedOn w:val="DefaultParagraphFont"/>
    <w:link w:val="Title"/>
    <w:rsid w:val="00257E69"/>
    <w:rPr>
      <w:rFonts w:cs="Times New Roman"/>
      <w:b/>
      <w:caps/>
      <w:sz w:val="24"/>
      <w:szCs w:val="24"/>
    </w:rPr>
  </w:style>
  <w:style w:type="paragraph" w:styleId="Subtitle">
    <w:name w:val="Subtitle"/>
    <w:basedOn w:val="Normal"/>
    <w:next w:val="Normal"/>
    <w:link w:val="SubtitleChar"/>
    <w:qFormat/>
    <w:locked/>
    <w:rsid w:val="00257E69"/>
    <w:pPr>
      <w:spacing w:after="0" w:line="240" w:lineRule="auto"/>
    </w:pPr>
    <w:rPr>
      <w:b/>
      <w:sz w:val="24"/>
      <w:szCs w:val="24"/>
    </w:rPr>
  </w:style>
  <w:style w:type="character" w:customStyle="1" w:styleId="SubtitleChar">
    <w:name w:val="Subtitle Char"/>
    <w:basedOn w:val="DefaultParagraphFont"/>
    <w:link w:val="Subtitle"/>
    <w:rsid w:val="00257E69"/>
    <w:rPr>
      <w:rFonts w:cs="Times New Roman"/>
      <w:b/>
      <w:sz w:val="24"/>
      <w:szCs w:val="24"/>
    </w:rPr>
  </w:style>
  <w:style w:type="paragraph" w:customStyle="1" w:styleId="DispositionDate">
    <w:name w:val="Disposition Date"/>
    <w:basedOn w:val="Normal"/>
    <w:qFormat/>
    <w:rsid w:val="00774848"/>
    <w:rPr>
      <w:sz w:val="24"/>
      <w:szCs w:val="24"/>
    </w:rPr>
  </w:style>
  <w:style w:type="paragraph" w:styleId="TOC1">
    <w:name w:val="toc 1"/>
    <w:basedOn w:val="Normal"/>
    <w:next w:val="Heading1"/>
    <w:autoRedefine/>
    <w:uiPriority w:val="39"/>
    <w:locked/>
    <w:rsid w:val="00774848"/>
  </w:style>
  <w:style w:type="paragraph" w:styleId="TOC2">
    <w:name w:val="toc 2"/>
    <w:basedOn w:val="TOC1"/>
    <w:next w:val="Normal"/>
    <w:autoRedefine/>
    <w:uiPriority w:val="39"/>
    <w:locked/>
    <w:rsid w:val="007121DC"/>
    <w:pPr>
      <w:spacing w:before="100" w:after="100"/>
      <w:ind w:left="216"/>
    </w:pPr>
  </w:style>
  <w:style w:type="paragraph" w:styleId="TOC3">
    <w:name w:val="toc 3"/>
    <w:basedOn w:val="Normal"/>
    <w:next w:val="Normal"/>
    <w:locked/>
    <w:rsid w:val="007121DC"/>
    <w:pPr>
      <w:spacing w:before="100" w:after="100"/>
      <w:ind w:left="720"/>
    </w:pPr>
    <w:rPr>
      <w:rFonts w:asciiTheme="minorHAnsi" w:eastAsiaTheme="majorEastAsia" w:hAnsiTheme="minorHAnsi" w:cstheme="majorBidi"/>
      <w:bCs/>
    </w:rPr>
  </w:style>
  <w:style w:type="paragraph" w:customStyle="1" w:styleId="Body1">
    <w:name w:val="Body1"/>
    <w:basedOn w:val="Normal"/>
    <w:qFormat/>
    <w:rsid w:val="00235ACC"/>
  </w:style>
  <w:style w:type="paragraph" w:customStyle="1" w:styleId="Body2">
    <w:name w:val="Body2"/>
    <w:basedOn w:val="Normal"/>
    <w:qFormat/>
    <w:rsid w:val="00235ACC"/>
    <w:pPr>
      <w:ind w:left="216"/>
    </w:pPr>
  </w:style>
  <w:style w:type="paragraph" w:customStyle="1" w:styleId="Body3">
    <w:name w:val="Body3"/>
    <w:basedOn w:val="Body2"/>
    <w:qFormat/>
    <w:rsid w:val="00235ACC"/>
    <w:pPr>
      <w:ind w:left="720"/>
    </w:pPr>
  </w:style>
  <w:style w:type="character" w:styleId="Hyperlink">
    <w:name w:val="Hyperlink"/>
    <w:basedOn w:val="DefaultParagraphFont"/>
    <w:uiPriority w:val="99"/>
    <w:unhideWhenUsed/>
    <w:rsid w:val="00235ACC"/>
    <w:rPr>
      <w:color w:val="0000FF" w:themeColor="hyperlink"/>
      <w:u w:val="single"/>
    </w:rPr>
  </w:style>
  <w:style w:type="paragraph" w:customStyle="1" w:styleId="Revnumber">
    <w:name w:val="Revnumber"/>
    <w:basedOn w:val="Normal"/>
    <w:link w:val="RevnumberChar"/>
    <w:rsid w:val="005958DE"/>
    <w:pPr>
      <w:spacing w:after="0" w:line="240" w:lineRule="auto"/>
      <w:jc w:val="right"/>
    </w:pPr>
    <w:rPr>
      <w:rFonts w:asciiTheme="minorHAnsi" w:hAnsiTheme="minorHAnsi" w:cstheme="minorHAnsi"/>
      <w:b/>
      <w:sz w:val="48"/>
      <w:szCs w:val="48"/>
    </w:rPr>
  </w:style>
  <w:style w:type="character" w:customStyle="1" w:styleId="RevnumberChar">
    <w:name w:val="Revnumber Char"/>
    <w:basedOn w:val="DefaultParagraphFont"/>
    <w:link w:val="Revnumber"/>
    <w:rsid w:val="005958DE"/>
    <w:rPr>
      <w:rFonts w:asciiTheme="minorHAnsi" w:hAnsiTheme="minorHAnsi" w:cstheme="minorHAnsi"/>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99110">
      <w:marLeft w:val="0"/>
      <w:marRight w:val="0"/>
      <w:marTop w:val="0"/>
      <w:marBottom w:val="0"/>
      <w:divBdr>
        <w:top w:val="none" w:sz="0" w:space="0" w:color="auto"/>
        <w:left w:val="none" w:sz="0" w:space="0" w:color="auto"/>
        <w:bottom w:val="none" w:sz="0" w:space="0" w:color="auto"/>
        <w:right w:val="none" w:sz="0" w:space="0" w:color="auto"/>
      </w:divBdr>
    </w:div>
    <w:div w:id="1155799111">
      <w:marLeft w:val="0"/>
      <w:marRight w:val="0"/>
      <w:marTop w:val="0"/>
      <w:marBottom w:val="0"/>
      <w:divBdr>
        <w:top w:val="none" w:sz="0" w:space="0" w:color="auto"/>
        <w:left w:val="none" w:sz="0" w:space="0" w:color="auto"/>
        <w:bottom w:val="none" w:sz="0" w:space="0" w:color="auto"/>
        <w:right w:val="none" w:sz="0" w:space="0" w:color="auto"/>
      </w:divBdr>
    </w:div>
    <w:div w:id="1155799112">
      <w:marLeft w:val="0"/>
      <w:marRight w:val="0"/>
      <w:marTop w:val="0"/>
      <w:marBottom w:val="0"/>
      <w:divBdr>
        <w:top w:val="none" w:sz="0" w:space="0" w:color="auto"/>
        <w:left w:val="none" w:sz="0" w:space="0" w:color="auto"/>
        <w:bottom w:val="none" w:sz="0" w:space="0" w:color="auto"/>
        <w:right w:val="none" w:sz="0" w:space="0" w:color="auto"/>
      </w:divBdr>
    </w:div>
    <w:div w:id="121230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CE\JJHirsch-CPUC\12-2017phase1review\Dispositions\ProcessFanVSD\DispositionTemplate(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SCE\JJHirsch-CPUC\12-2017phase1review\TScalculations\SCE17PR008.0%20Process%20Fan%20VFD_NewBin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kW savings by motor</a:t>
            </a:r>
            <a:r>
              <a:rPr lang="en-US" baseline="0"/>
              <a:t> HP</a:t>
            </a:r>
            <a:endParaRPr lang="en-US"/>
          </a:p>
        </c:rich>
      </c:tx>
      <c:overlay val="0"/>
      <c:spPr>
        <a:noFill/>
        <a:ln>
          <a:noFill/>
        </a:ln>
        <a:effectLst/>
      </c:spPr>
    </c:title>
    <c:autoTitleDeleted val="0"/>
    <c:plotArea>
      <c:layout/>
      <c:scatterChart>
        <c:scatterStyle val="lineMarker"/>
        <c:varyColors val="0"/>
        <c:ser>
          <c:idx val="0"/>
          <c:order val="0"/>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power"/>
            <c:dispRSqr val="1"/>
            <c:dispEq val="1"/>
            <c:trendlineLbl>
              <c:layout>
                <c:manualLayout>
                  <c:x val="-7.7718204139843846E-3"/>
                  <c:y val="-0.17115723875079611"/>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'Savings Calculations'!$D$18:$D$27</c:f>
              <c:numCache>
                <c:formatCode>General</c:formatCode>
                <c:ptCount val="10"/>
                <c:pt idx="0">
                  <c:v>7.5</c:v>
                </c:pt>
                <c:pt idx="1">
                  <c:v>10</c:v>
                </c:pt>
                <c:pt idx="2">
                  <c:v>15</c:v>
                </c:pt>
                <c:pt idx="3">
                  <c:v>20</c:v>
                </c:pt>
                <c:pt idx="4">
                  <c:v>25</c:v>
                </c:pt>
                <c:pt idx="5">
                  <c:v>30</c:v>
                </c:pt>
                <c:pt idx="6">
                  <c:v>40</c:v>
                </c:pt>
                <c:pt idx="7">
                  <c:v>50</c:v>
                </c:pt>
                <c:pt idx="8">
                  <c:v>60</c:v>
                </c:pt>
                <c:pt idx="9">
                  <c:v>75</c:v>
                </c:pt>
              </c:numCache>
            </c:numRef>
          </c:xVal>
          <c:yVal>
            <c:numRef>
              <c:f>'Savings Calculations'!$G$18:$G$27</c:f>
              <c:numCache>
                <c:formatCode>General</c:formatCode>
                <c:ptCount val="10"/>
                <c:pt idx="0">
                  <c:v>0.36254646105179927</c:v>
                </c:pt>
                <c:pt idx="1">
                  <c:v>0.34724792408066429</c:v>
                </c:pt>
                <c:pt idx="2">
                  <c:v>0.36023724792408068</c:v>
                </c:pt>
                <c:pt idx="3">
                  <c:v>0.34205219454329777</c:v>
                </c:pt>
                <c:pt idx="4">
                  <c:v>0.34880664294187425</c:v>
                </c:pt>
                <c:pt idx="5">
                  <c:v>0.34205219454329777</c:v>
                </c:pt>
                <c:pt idx="6">
                  <c:v>0.33707295373665486</c:v>
                </c:pt>
                <c:pt idx="7">
                  <c:v>0.34309134045077111</c:v>
                </c:pt>
                <c:pt idx="8">
                  <c:v>0.32978449980229346</c:v>
                </c:pt>
                <c:pt idx="9">
                  <c:v>0.33495136417556348</c:v>
                </c:pt>
              </c:numCache>
            </c:numRef>
          </c:yVal>
          <c:smooth val="0"/>
          <c:extLst xmlns:c16r2="http://schemas.microsoft.com/office/drawing/2015/06/chart">
            <c:ext xmlns:c16="http://schemas.microsoft.com/office/drawing/2014/chart" uri="{C3380CC4-5D6E-409C-BE32-E72D297353CC}">
              <c16:uniqueId val="{00000001-C291-4ECF-9DDD-07E86B0784A0}"/>
            </c:ext>
          </c:extLst>
        </c:ser>
        <c:dLbls>
          <c:showLegendKey val="0"/>
          <c:showVal val="0"/>
          <c:showCatName val="0"/>
          <c:showSerName val="0"/>
          <c:showPercent val="0"/>
          <c:showBubbleSize val="0"/>
        </c:dLbls>
        <c:axId val="492133216"/>
        <c:axId val="492131256"/>
      </c:scatterChart>
      <c:valAx>
        <c:axId val="4921332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2131256"/>
        <c:crosses val="autoZero"/>
        <c:crossBetween val="midCat"/>
      </c:valAx>
      <c:valAx>
        <c:axId val="4921312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kW savings / HP</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213321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6FF6B-D4AA-4ED2-A8F6-13F23205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DispositionTemplate(1)</Template>
  <TotalTime>5</TotalTime>
  <Pages>6</Pages>
  <Words>1857</Words>
  <Characters>10585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ProcessFanVSD</vt:lpstr>
    </vt:vector>
  </TitlesOfParts>
  <Company>Microsoft</Company>
  <LinksUpToDate>false</LinksUpToDate>
  <CharactersWithSpaces>12418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ProcessFanVSD</dc:title>
  <dc:creator>Treasa</dc:creator>
  <cp:lastModifiedBy>Treasa Sweek</cp:lastModifiedBy>
  <cp:revision>4</cp:revision>
  <cp:lastPrinted>2016-02-15T02:50:00Z</cp:lastPrinted>
  <dcterms:created xsi:type="dcterms:W3CDTF">2017-03-02T01:38:00Z</dcterms:created>
  <dcterms:modified xsi:type="dcterms:W3CDTF">2017-03-02T01:43:00Z</dcterms:modified>
</cp:coreProperties>
</file>