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0B58BCF"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E341F" w:rsidRPr="009E341F">
            <w:t>SCE17OE001</w:t>
          </w:r>
        </w:sdtContent>
      </w:sdt>
    </w:p>
    <w:bookmarkEnd w:id="0"/>
    <w:p w14:paraId="7601CE2F" w14:textId="53397BD0" w:rsidR="00DA690B" w:rsidRPr="00500C4E" w:rsidRDefault="00D2453D"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9E341F">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D2453D"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D06151E" w:rsidR="00DA690B" w:rsidRPr="00500C4E" w:rsidRDefault="00EA0E60" w:rsidP="00DA690B">
      <w:pPr>
        <w:rPr>
          <w:rFonts w:cstheme="minorHAnsi"/>
          <w:b/>
          <w:sz w:val="72"/>
          <w:szCs w:val="72"/>
        </w:rPr>
      </w:pPr>
      <w:r>
        <w:rPr>
          <w:rFonts w:cstheme="minorHAnsi"/>
          <w:b/>
          <w:sz w:val="72"/>
          <w:szCs w:val="72"/>
        </w:rPr>
        <w:t>Power Management Software for Networked Computers</w:t>
      </w:r>
      <w:r w:rsidR="00DA690B" w:rsidRPr="00500C4E">
        <w:rPr>
          <w:rFonts w:cstheme="minorHAnsi"/>
          <w:b/>
          <w:sz w:val="72"/>
          <w:szCs w:val="72"/>
        </w:rPr>
        <w:t xml:space="preserve"> </w:t>
      </w:r>
    </w:p>
    <w:p w14:paraId="12D52D21" w14:textId="3518E518" w:rsidR="009E341F" w:rsidRDefault="009E341F" w:rsidP="00E76B31">
      <w:pPr>
        <w:pStyle w:val="Reminders"/>
        <w:rPr>
          <w:rFonts w:asciiTheme="minorHAnsi" w:hAnsiTheme="minorHAnsi" w:cstheme="minorHAnsi"/>
          <w:b/>
          <w:i w:val="0"/>
          <w:sz w:val="32"/>
          <w:szCs w:val="22"/>
        </w:rPr>
      </w:pPr>
    </w:p>
    <w:p w14:paraId="031EC025" w14:textId="77777777" w:rsidR="009E341F" w:rsidRPr="009E341F" w:rsidRDefault="009E341F" w:rsidP="009E341F"/>
    <w:p w14:paraId="1719A788" w14:textId="4DBDF600" w:rsidR="009E341F" w:rsidRDefault="009E341F" w:rsidP="009E341F"/>
    <w:p w14:paraId="7D04FBB1" w14:textId="77777777" w:rsidR="009E341F" w:rsidRPr="009E341F" w:rsidRDefault="009E341F" w:rsidP="009E341F"/>
    <w:p w14:paraId="6F9B1E93" w14:textId="77777777" w:rsidR="009E341F" w:rsidRPr="009E341F" w:rsidRDefault="009E341F" w:rsidP="009E341F"/>
    <w:p w14:paraId="2E31EF2A" w14:textId="77777777" w:rsidR="009E341F" w:rsidRPr="009E341F" w:rsidRDefault="009E341F" w:rsidP="009E341F"/>
    <w:p w14:paraId="0B933E70" w14:textId="43652D12" w:rsidR="009E341F" w:rsidRDefault="009E341F" w:rsidP="009E341F">
      <w:pPr>
        <w:tabs>
          <w:tab w:val="left" w:pos="8582"/>
        </w:tabs>
      </w:pPr>
      <w:r>
        <w:tab/>
      </w:r>
    </w:p>
    <w:p w14:paraId="37EEF983" w14:textId="31F948A8" w:rsidR="00523736" w:rsidRPr="009E341F" w:rsidRDefault="009E341F" w:rsidP="009E341F">
      <w:pPr>
        <w:tabs>
          <w:tab w:val="left" w:pos="8582"/>
        </w:tabs>
        <w:sectPr w:rsidR="00523736" w:rsidRPr="009E341F">
          <w:footerReference w:type="default" r:id="rId10"/>
          <w:pgSz w:w="12240" w:h="15840"/>
          <w:pgMar w:top="1440" w:right="1440" w:bottom="1440" w:left="1440" w:header="720" w:footer="720" w:gutter="0"/>
          <w:cols w:space="720"/>
          <w:docGrid w:linePitch="360"/>
        </w:sectPr>
      </w:pPr>
      <w:r>
        <w:tab/>
      </w: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344D8797" w:rsidR="00AC5309" w:rsidRPr="00707855" w:rsidRDefault="00707855">
            <w:pPr>
              <w:rPr>
                <w:rFonts w:cs="Arial"/>
                <w:bCs/>
                <w:szCs w:val="20"/>
              </w:rPr>
            </w:pPr>
            <w:r w:rsidRPr="00707855">
              <w:rPr>
                <w:rFonts w:cs="Arial"/>
                <w:szCs w:val="20"/>
              </w:rPr>
              <w:t>OE-65003</w:t>
            </w:r>
            <w:r w:rsidR="00AC5309" w:rsidRPr="00707855">
              <w:rPr>
                <w:rFonts w:cs="Arial"/>
                <w:szCs w:val="20"/>
              </w:rPr>
              <w:t xml:space="preserve"> </w:t>
            </w:r>
          </w:p>
        </w:tc>
      </w:tr>
      <w:tr w:rsidR="00707855" w:rsidRPr="00500C4E" w14:paraId="63B310F0" w14:textId="77777777" w:rsidTr="00920905">
        <w:trPr>
          <w:trHeight w:val="465"/>
        </w:trPr>
        <w:tc>
          <w:tcPr>
            <w:tcW w:w="1875" w:type="pct"/>
          </w:tcPr>
          <w:p w14:paraId="5050E2A3" w14:textId="2CBF1387" w:rsidR="00707855" w:rsidRPr="00500C4E" w:rsidRDefault="00707855" w:rsidP="00707855">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475863B8" w:rsidR="00707855" w:rsidRPr="00707855" w:rsidRDefault="00707855" w:rsidP="00707855">
            <w:pPr>
              <w:rPr>
                <w:rFonts w:cs="Arial"/>
                <w:szCs w:val="20"/>
              </w:rPr>
            </w:pPr>
            <w:r w:rsidRPr="00707855">
              <w:rPr>
                <w:szCs w:val="20"/>
              </w:rPr>
              <w:t>Computers with Personal Computer Power Management Software</w:t>
            </w:r>
          </w:p>
        </w:tc>
      </w:tr>
      <w:tr w:rsidR="00707855" w:rsidRPr="00500C4E" w14:paraId="085771EF" w14:textId="77777777" w:rsidTr="00920905">
        <w:trPr>
          <w:trHeight w:val="465"/>
        </w:trPr>
        <w:tc>
          <w:tcPr>
            <w:tcW w:w="1875" w:type="pct"/>
          </w:tcPr>
          <w:p w14:paraId="679DB8A0" w14:textId="3D691398" w:rsidR="00707855" w:rsidRPr="00500C4E" w:rsidRDefault="00707855" w:rsidP="00707855">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1D1B6E13" w:rsidR="00707855" w:rsidRPr="00707855" w:rsidRDefault="00707855" w:rsidP="00707855">
            <w:pPr>
              <w:rPr>
                <w:rFonts w:cs="Arial"/>
                <w:szCs w:val="20"/>
              </w:rPr>
            </w:pPr>
            <w:r w:rsidRPr="00707855">
              <w:rPr>
                <w:szCs w:val="20"/>
              </w:rPr>
              <w:t>Computers without PCPM Software</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EFA5722" w:rsidR="00D36798" w:rsidRPr="00707855" w:rsidRDefault="00707855">
            <w:pPr>
              <w:rPr>
                <w:rFonts w:cs="Arial"/>
                <w:szCs w:val="20"/>
              </w:rPr>
            </w:pPr>
            <w:r w:rsidRPr="00707855">
              <w:rPr>
                <w:rFonts w:cs="Arial"/>
                <w:szCs w:val="20"/>
              </w:rPr>
              <w:t>Computer</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32F896FD" w:rsidR="00290ED8" w:rsidRPr="001822D3" w:rsidRDefault="00D36798">
            <w:pPr>
              <w:rPr>
                <w:rFonts w:cs="Arial"/>
                <w:szCs w:val="20"/>
              </w:rPr>
            </w:pPr>
            <w:r w:rsidRPr="001822D3">
              <w:rPr>
                <w:rFonts w:cs="Arial"/>
                <w:szCs w:val="20"/>
              </w:rPr>
              <w:t>Refer to Excel Calculation Attachment</w:t>
            </w:r>
            <w:r w:rsidR="00473041">
              <w:rPr>
                <w:rFonts w:cs="Arial"/>
                <w:szCs w:val="20"/>
              </w:rPr>
              <w:t xml:space="preserve"> </w:t>
            </w:r>
            <w:r w:rsidR="007C5B07">
              <w:rPr>
                <w:rFonts w:cs="Arial"/>
                <w:szCs w:val="20"/>
              </w:rPr>
              <w:t>1</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7B5B75B6" w:rsidR="00290ED8" w:rsidRPr="001822D3" w:rsidRDefault="00AC2F5B" w:rsidP="00AC2F5B">
            <w:pPr>
              <w:rPr>
                <w:rFonts w:cs="Arial"/>
                <w:szCs w:val="20"/>
              </w:rPr>
            </w:pPr>
            <w:r w:rsidRPr="001822D3">
              <w:rPr>
                <w:rFonts w:cs="Arial"/>
                <w:szCs w:val="20"/>
              </w:rPr>
              <w:t>Refer to Excel Calculation Attachment</w:t>
            </w:r>
            <w:r w:rsidR="00473041">
              <w:rPr>
                <w:rFonts w:cs="Arial"/>
                <w:szCs w:val="20"/>
              </w:rPr>
              <w:t xml:space="preserve"> </w:t>
            </w:r>
            <w:r w:rsidR="007C5B07">
              <w:rPr>
                <w:rFonts w:cs="Arial"/>
                <w:szCs w:val="20"/>
              </w:rPr>
              <w:t>1</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1EAA6266" w:rsidR="00290ED8" w:rsidRPr="001822D3" w:rsidRDefault="00AC2F5B" w:rsidP="00AC2F5B">
            <w:pPr>
              <w:rPr>
                <w:rFonts w:cs="Arial"/>
                <w:szCs w:val="20"/>
              </w:rPr>
            </w:pPr>
            <w:r w:rsidRPr="001822D3">
              <w:rPr>
                <w:rFonts w:cs="Arial"/>
                <w:szCs w:val="20"/>
              </w:rPr>
              <w:t>Refer to Excel Calculation Attachment</w:t>
            </w:r>
            <w:r w:rsidR="00473041">
              <w:rPr>
                <w:rFonts w:cs="Arial"/>
                <w:szCs w:val="20"/>
              </w:rPr>
              <w:t xml:space="preserve"> </w:t>
            </w:r>
            <w:r w:rsidR="007C5B07">
              <w:rPr>
                <w:rFonts w:cs="Arial"/>
                <w:szCs w:val="20"/>
              </w:rPr>
              <w:t>1</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68F35AA8" w:rsidR="00290ED8" w:rsidRPr="00707855" w:rsidRDefault="00707855">
            <w:pPr>
              <w:rPr>
                <w:rFonts w:cs="Arial"/>
                <w:szCs w:val="20"/>
              </w:rPr>
            </w:pPr>
            <w:r w:rsidRPr="00707855">
              <w:rPr>
                <w:rFonts w:cstheme="minorHAnsi"/>
                <w:szCs w:val="20"/>
              </w:rPr>
              <w:t>Plug-Software: EUL 5yrs, RUL 1.7yrs</w:t>
            </w:r>
          </w:p>
        </w:tc>
      </w:tr>
      <w:tr w:rsidR="00AC5309" w:rsidRPr="00500C4E" w14:paraId="6FFAAB3B" w14:textId="77777777" w:rsidTr="00920905">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8423BBE" w14:textId="5AE9CA7A" w:rsidR="00290ED8" w:rsidRPr="00707855" w:rsidRDefault="001C1338">
            <w:pPr>
              <w:rPr>
                <w:rFonts w:cs="Arial"/>
                <w:szCs w:val="20"/>
              </w:rPr>
            </w:pPr>
            <w:r w:rsidRPr="00707855">
              <w:rPr>
                <w:szCs w:val="20"/>
              </w:rPr>
              <w:t>Retrofit Add-on (REA)</w:t>
            </w:r>
          </w:p>
        </w:tc>
      </w:tr>
      <w:tr w:rsidR="00707855" w:rsidRPr="00500C4E" w14:paraId="2EA80FC2" w14:textId="77777777" w:rsidTr="00517EAF">
        <w:trPr>
          <w:trHeight w:val="465"/>
        </w:trPr>
        <w:tc>
          <w:tcPr>
            <w:tcW w:w="1875" w:type="pct"/>
          </w:tcPr>
          <w:p w14:paraId="7E87F403" w14:textId="5683C17E" w:rsidR="00707855" w:rsidRPr="00500C4E" w:rsidRDefault="00707855" w:rsidP="00707855">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vAlign w:val="center"/>
          </w:tcPr>
          <w:p w14:paraId="4CE68BFD" w14:textId="77777777" w:rsidR="00707855" w:rsidRDefault="00707855" w:rsidP="00707855">
            <w:pPr>
              <w:rPr>
                <w:rFonts w:ascii="Calibri" w:hAnsi="Calibri"/>
                <w:color w:val="000000"/>
                <w:szCs w:val="20"/>
              </w:rPr>
            </w:pPr>
            <w:r>
              <w:rPr>
                <w:rFonts w:cstheme="minorHAnsi"/>
                <w:szCs w:val="20"/>
              </w:rPr>
              <w:t xml:space="preserve">Com-Default&gt;2yrs, </w:t>
            </w:r>
            <w:proofErr w:type="spellStart"/>
            <w:r>
              <w:rPr>
                <w:rFonts w:ascii="Calibri" w:hAnsi="Calibri"/>
                <w:color w:val="000000"/>
                <w:szCs w:val="20"/>
              </w:rPr>
              <w:t>Ind</w:t>
            </w:r>
            <w:proofErr w:type="spellEnd"/>
            <w:r>
              <w:rPr>
                <w:rFonts w:ascii="Calibri" w:hAnsi="Calibri"/>
                <w:color w:val="000000"/>
                <w:szCs w:val="20"/>
              </w:rPr>
              <w:t xml:space="preserve">-Default&gt;2yrs, </w:t>
            </w:r>
            <w:proofErr w:type="spellStart"/>
            <w:r>
              <w:rPr>
                <w:rFonts w:ascii="Calibri" w:hAnsi="Calibri"/>
                <w:color w:val="000000"/>
                <w:szCs w:val="20"/>
              </w:rPr>
              <w:t>Agric</w:t>
            </w:r>
            <w:proofErr w:type="spellEnd"/>
            <w:r>
              <w:rPr>
                <w:rFonts w:ascii="Calibri" w:hAnsi="Calibri"/>
                <w:color w:val="000000"/>
                <w:szCs w:val="20"/>
              </w:rPr>
              <w:t>-Default&gt;2yrs: 0.6</w:t>
            </w:r>
          </w:p>
          <w:p w14:paraId="40A9016A" w14:textId="3EDD66A9" w:rsidR="00707855" w:rsidRPr="00500C4E" w:rsidRDefault="00707855" w:rsidP="00707855">
            <w:pPr>
              <w:rPr>
                <w:rFonts w:cs="Arial"/>
                <w:color w:val="FF0000"/>
                <w:szCs w:val="20"/>
              </w:rPr>
            </w:pPr>
            <w:r>
              <w:rPr>
                <w:szCs w:val="20"/>
              </w:rPr>
              <w:t xml:space="preserve">Com-Default-HTR-di, </w:t>
            </w:r>
            <w:proofErr w:type="spellStart"/>
            <w:r>
              <w:rPr>
                <w:szCs w:val="20"/>
              </w:rPr>
              <w:t>Ind</w:t>
            </w:r>
            <w:proofErr w:type="spellEnd"/>
            <w:r>
              <w:rPr>
                <w:szCs w:val="20"/>
              </w:rPr>
              <w:t xml:space="preserve">-Default-HTR-di, </w:t>
            </w:r>
            <w:proofErr w:type="spellStart"/>
            <w:r>
              <w:rPr>
                <w:szCs w:val="20"/>
              </w:rPr>
              <w:t>Agricult</w:t>
            </w:r>
            <w:proofErr w:type="spellEnd"/>
            <w:r>
              <w:rPr>
                <w:szCs w:val="20"/>
              </w:rPr>
              <w:t>-Default-HTR-di: 0.85</w:t>
            </w:r>
          </w:p>
        </w:tc>
      </w:tr>
      <w:tr w:rsidR="00707855" w:rsidRPr="00500C4E" w14:paraId="7D762862" w14:textId="77777777" w:rsidTr="00920905">
        <w:trPr>
          <w:trHeight w:val="465"/>
        </w:trPr>
        <w:tc>
          <w:tcPr>
            <w:tcW w:w="1875" w:type="pct"/>
          </w:tcPr>
          <w:p w14:paraId="00714D90" w14:textId="439542E6" w:rsidR="00707855" w:rsidRPr="00500C4E" w:rsidRDefault="00707855" w:rsidP="00707855">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707855" w:rsidRPr="00920905" w:rsidRDefault="00707855" w:rsidP="00707855">
            <w:pPr>
              <w:rPr>
                <w:rFonts w:cs="Arial"/>
                <w:szCs w:val="20"/>
              </w:rPr>
            </w:pPr>
            <w:r>
              <w:rPr>
                <w:rFonts w:cs="Arial"/>
                <w:szCs w:val="20"/>
              </w:rPr>
              <w:t xml:space="preserve">This work paper has a complementary </w:t>
            </w:r>
            <w:r w:rsidRPr="00920905">
              <w:rPr>
                <w:rFonts w:cs="Arial"/>
                <w:szCs w:val="20"/>
              </w:rPr>
              <w:t>Ex Ante Database data</w:t>
            </w:r>
            <w:r>
              <w:rPr>
                <w:rFonts w:cs="Arial"/>
                <w:szCs w:val="20"/>
              </w:rPr>
              <w:t xml:space="preserve"> set</w:t>
            </w:r>
            <w:r w:rsidRPr="00920905">
              <w:rPr>
                <w:rFonts w:cs="Arial"/>
                <w:szCs w:val="20"/>
              </w:rPr>
              <w:t xml:space="preserve"> that will be provided in a separate submission to the California Public Utilities Commission (CPUC).</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41"/>
        <w:gridCol w:w="979"/>
        <w:gridCol w:w="1885"/>
        <w:gridCol w:w="6171"/>
      </w:tblGrid>
      <w:tr w:rsidR="003845E5" w:rsidRPr="00500C4E" w14:paraId="5AFD7FBC" w14:textId="77777777" w:rsidTr="00192C4F">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98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2"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EA0E60" w:rsidRPr="00500C4E" w14:paraId="0F8D645E" w14:textId="77777777" w:rsidTr="00192C4F">
        <w:trPr>
          <w:trHeight w:val="20"/>
        </w:trPr>
        <w:tc>
          <w:tcPr>
            <w:tcW w:w="283" w:type="pct"/>
          </w:tcPr>
          <w:p w14:paraId="4A1A2996" w14:textId="77777777" w:rsidR="00EA0E60" w:rsidRPr="00EA0E60" w:rsidRDefault="00EA0E60" w:rsidP="00EA0E60">
            <w:pPr>
              <w:rPr>
                <w:rFonts w:cstheme="minorHAnsi"/>
                <w:szCs w:val="20"/>
              </w:rPr>
            </w:pPr>
            <w:r w:rsidRPr="00EA0E60">
              <w:rPr>
                <w:rFonts w:cstheme="minorHAnsi"/>
                <w:szCs w:val="20"/>
              </w:rPr>
              <w:t>0</w:t>
            </w:r>
          </w:p>
        </w:tc>
        <w:tc>
          <w:tcPr>
            <w:tcW w:w="510" w:type="pct"/>
          </w:tcPr>
          <w:p w14:paraId="68BA349C" w14:textId="4B057309" w:rsidR="00EA0E60" w:rsidRPr="00EA0E60" w:rsidRDefault="00192C4F" w:rsidP="00E27B56">
            <w:pPr>
              <w:rPr>
                <w:rFonts w:cstheme="minorHAnsi"/>
                <w:szCs w:val="20"/>
              </w:rPr>
            </w:pPr>
            <w:r>
              <w:rPr>
                <w:rFonts w:cstheme="minorHAnsi"/>
                <w:szCs w:val="20"/>
              </w:rPr>
              <w:t>12/</w:t>
            </w:r>
            <w:r w:rsidR="00F70F04">
              <w:rPr>
                <w:rFonts w:cstheme="minorHAnsi"/>
                <w:szCs w:val="20"/>
              </w:rPr>
              <w:t>2</w:t>
            </w:r>
            <w:r w:rsidR="005D119F">
              <w:rPr>
                <w:rFonts w:cstheme="minorHAnsi"/>
                <w:szCs w:val="20"/>
              </w:rPr>
              <w:t>7</w:t>
            </w:r>
            <w:r>
              <w:rPr>
                <w:rFonts w:cstheme="minorHAnsi"/>
                <w:szCs w:val="20"/>
              </w:rPr>
              <w:t>/16</w:t>
            </w:r>
          </w:p>
        </w:tc>
        <w:tc>
          <w:tcPr>
            <w:tcW w:w="985" w:type="pct"/>
          </w:tcPr>
          <w:p w14:paraId="4A812BB3" w14:textId="6FB69462" w:rsidR="00EA0E60" w:rsidRPr="00920905" w:rsidRDefault="00192C4F" w:rsidP="00EA0E60">
            <w:pPr>
              <w:rPr>
                <w:rFonts w:cstheme="minorHAnsi"/>
                <w:color w:val="FF0000"/>
                <w:szCs w:val="20"/>
              </w:rPr>
            </w:pPr>
            <w:r w:rsidRPr="00192C4F">
              <w:rPr>
                <w:rFonts w:cstheme="minorHAnsi"/>
                <w:szCs w:val="20"/>
              </w:rPr>
              <w:t xml:space="preserve">Colman </w:t>
            </w:r>
            <w:proofErr w:type="spellStart"/>
            <w:r w:rsidRPr="00192C4F">
              <w:rPr>
                <w:rFonts w:cstheme="minorHAnsi"/>
                <w:szCs w:val="20"/>
              </w:rPr>
              <w:t>Snaith</w:t>
            </w:r>
            <w:proofErr w:type="spellEnd"/>
            <w:r w:rsidRPr="00192C4F">
              <w:rPr>
                <w:rFonts w:cstheme="minorHAnsi"/>
                <w:szCs w:val="20"/>
              </w:rPr>
              <w:t>, TRC</w:t>
            </w:r>
          </w:p>
        </w:tc>
        <w:tc>
          <w:tcPr>
            <w:tcW w:w="3222" w:type="pct"/>
          </w:tcPr>
          <w:p w14:paraId="3525B8EB" w14:textId="3880BD8D" w:rsidR="003A3079" w:rsidRPr="00E84EA4" w:rsidRDefault="003A3079" w:rsidP="003A3079">
            <w:pPr>
              <w:pStyle w:val="ListParagraph"/>
              <w:numPr>
                <w:ilvl w:val="0"/>
                <w:numId w:val="44"/>
              </w:numPr>
            </w:pPr>
            <w:r w:rsidRPr="00E84EA4">
              <w:t>New calculation template for 2017 program year</w:t>
            </w:r>
            <w:r w:rsidR="00054B0F">
              <w:t>.</w:t>
            </w:r>
          </w:p>
          <w:p w14:paraId="0333D6DB" w14:textId="77777777" w:rsidR="003A3079" w:rsidRDefault="003A3079" w:rsidP="003A3079">
            <w:pPr>
              <w:pStyle w:val="ListParagraph"/>
              <w:numPr>
                <w:ilvl w:val="0"/>
                <w:numId w:val="44"/>
              </w:numPr>
            </w:pPr>
            <w:r w:rsidRPr="00E84EA4">
              <w:t>This work paper is an update of SCE13OE001.2</w:t>
            </w:r>
          </w:p>
          <w:p w14:paraId="439834AF" w14:textId="48161205" w:rsidR="005D119F" w:rsidRDefault="005D119F">
            <w:pPr>
              <w:pStyle w:val="ListParagraph"/>
              <w:numPr>
                <w:ilvl w:val="0"/>
                <w:numId w:val="44"/>
              </w:numPr>
            </w:pPr>
            <w:r>
              <w:t xml:space="preserve">Savings were revised based on updated interactive effects from </w:t>
            </w:r>
            <w:r w:rsidRPr="00FD27F4">
              <w:t>READI v.2.4.7</w:t>
            </w:r>
            <w:r>
              <w:t xml:space="preserve"> and current market trends for computer energy use.</w:t>
            </w:r>
          </w:p>
          <w:p w14:paraId="34F0A8ED" w14:textId="1F7A1759" w:rsidR="00FD27F4" w:rsidRPr="00E84EA4" w:rsidRDefault="00F434BD" w:rsidP="00E27B56">
            <w:pPr>
              <w:pStyle w:val="ListParagraph"/>
              <w:numPr>
                <w:ilvl w:val="0"/>
                <w:numId w:val="44"/>
              </w:numPr>
            </w:pPr>
            <w:r>
              <w:t>All PG&amp;E &amp; SCE</w:t>
            </w:r>
            <w:r w:rsidR="005D119F">
              <w:t xml:space="preserve"> climate zones were ad</w:t>
            </w:r>
            <w:r w:rsidR="00054B0F">
              <w:t>ded to the calculation template.</w:t>
            </w: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06C42471" w:rsidR="008877AF" w:rsidRPr="00EE4120" w:rsidRDefault="008877AF" w:rsidP="00A84BF9">
            <w:pPr>
              <w:rPr>
                <w:bCs/>
                <w:color w:val="FF0000"/>
              </w:rPr>
            </w:pPr>
          </w:p>
        </w:tc>
        <w:tc>
          <w:tcPr>
            <w:tcW w:w="351" w:type="pct"/>
          </w:tcPr>
          <w:p w14:paraId="23988046" w14:textId="09D9E21D" w:rsidR="008877AF" w:rsidRPr="00EE4120" w:rsidRDefault="008877AF" w:rsidP="00A84BF9">
            <w:pPr>
              <w:rPr>
                <w:bCs/>
                <w:color w:val="FF0000"/>
                <w:szCs w:val="20"/>
              </w:rPr>
            </w:pPr>
          </w:p>
        </w:tc>
        <w:tc>
          <w:tcPr>
            <w:tcW w:w="548" w:type="pct"/>
          </w:tcPr>
          <w:p w14:paraId="4AB37DB0" w14:textId="446C4D2F" w:rsidR="008877AF" w:rsidRPr="00EE4120" w:rsidRDefault="008877AF" w:rsidP="00A84BF9">
            <w:pPr>
              <w:rPr>
                <w:bCs/>
                <w:color w:val="FF0000"/>
                <w:szCs w:val="20"/>
              </w:rPr>
            </w:pPr>
          </w:p>
        </w:tc>
        <w:tc>
          <w:tcPr>
            <w:tcW w:w="552" w:type="pct"/>
          </w:tcPr>
          <w:p w14:paraId="62E998F6" w14:textId="114CA540" w:rsidR="008877AF" w:rsidRPr="00EE4120" w:rsidRDefault="008877AF" w:rsidP="00A84BF9">
            <w:pPr>
              <w:rPr>
                <w:bCs/>
                <w:color w:val="FF0000"/>
                <w:szCs w:val="20"/>
              </w:rPr>
            </w:pPr>
          </w:p>
        </w:tc>
        <w:tc>
          <w:tcPr>
            <w:tcW w:w="1634" w:type="pct"/>
          </w:tcPr>
          <w:p w14:paraId="369DEEE8" w14:textId="361651CB" w:rsidR="008877AF" w:rsidRPr="00EA0E60" w:rsidRDefault="008877AF" w:rsidP="00F25B36">
            <w:pPr>
              <w:pStyle w:val="ListParagraph"/>
              <w:numPr>
                <w:ilvl w:val="0"/>
                <w:numId w:val="33"/>
              </w:numPr>
              <w:rPr>
                <w:bCs/>
                <w:szCs w:val="20"/>
              </w:rPr>
            </w:pPr>
          </w:p>
        </w:tc>
        <w:tc>
          <w:tcPr>
            <w:tcW w:w="1634" w:type="pct"/>
          </w:tcPr>
          <w:p w14:paraId="1ECCFDB6" w14:textId="1BC3801B" w:rsidR="008877AF" w:rsidRPr="00EA0E60" w:rsidRDefault="008877AF" w:rsidP="00F25B36">
            <w:pPr>
              <w:pStyle w:val="ListParagraph"/>
              <w:numPr>
                <w:ilvl w:val="0"/>
                <w:numId w:val="33"/>
              </w:numPr>
              <w:rPr>
                <w:bCs/>
                <w:szCs w:val="20"/>
              </w:rPr>
            </w:pPr>
          </w:p>
        </w:tc>
      </w:tr>
      <w:tr w:rsidR="008877AF" w:rsidRPr="00500C4E" w14:paraId="69D073CD" w14:textId="392DFDA5" w:rsidTr="00BA5FE4">
        <w:trPr>
          <w:trHeight w:val="20"/>
        </w:trPr>
        <w:tc>
          <w:tcPr>
            <w:tcW w:w="280" w:type="pct"/>
          </w:tcPr>
          <w:p w14:paraId="19E0D6ED" w14:textId="3EB86B4C" w:rsidR="008877AF" w:rsidRPr="00EE4120" w:rsidRDefault="008877AF" w:rsidP="00A84BF9">
            <w:pPr>
              <w:rPr>
                <w:color w:val="FF0000"/>
              </w:rPr>
            </w:pPr>
          </w:p>
        </w:tc>
        <w:tc>
          <w:tcPr>
            <w:tcW w:w="351" w:type="pct"/>
          </w:tcPr>
          <w:p w14:paraId="71879172" w14:textId="5583DCBF" w:rsidR="008877AF" w:rsidRPr="00EE4120" w:rsidRDefault="008877AF" w:rsidP="00A84BF9">
            <w:pPr>
              <w:autoSpaceDE w:val="0"/>
              <w:autoSpaceDN w:val="0"/>
              <w:adjustRightInd w:val="0"/>
              <w:rPr>
                <w:color w:val="FF0000"/>
                <w:szCs w:val="20"/>
              </w:rPr>
            </w:pPr>
          </w:p>
        </w:tc>
        <w:tc>
          <w:tcPr>
            <w:tcW w:w="548" w:type="pct"/>
          </w:tcPr>
          <w:p w14:paraId="61A20ED3" w14:textId="1070E167" w:rsidR="008877AF" w:rsidRPr="00EE4120" w:rsidRDefault="008877AF" w:rsidP="00A84BF9">
            <w:pPr>
              <w:autoSpaceDE w:val="0"/>
              <w:autoSpaceDN w:val="0"/>
              <w:adjustRightInd w:val="0"/>
              <w:rPr>
                <w:color w:val="FF0000"/>
                <w:szCs w:val="20"/>
              </w:rPr>
            </w:pPr>
          </w:p>
        </w:tc>
        <w:tc>
          <w:tcPr>
            <w:tcW w:w="552" w:type="pct"/>
          </w:tcPr>
          <w:p w14:paraId="211F8E7E" w14:textId="68EABD66" w:rsidR="008877AF" w:rsidRPr="00EE4120" w:rsidRDefault="008877AF" w:rsidP="00A84BF9">
            <w:pPr>
              <w:rPr>
                <w:color w:val="FF0000"/>
                <w:szCs w:val="20"/>
              </w:rPr>
            </w:pPr>
          </w:p>
        </w:tc>
        <w:tc>
          <w:tcPr>
            <w:tcW w:w="1634" w:type="pct"/>
          </w:tcPr>
          <w:p w14:paraId="52AA4972" w14:textId="555CEC86" w:rsidR="008877AF" w:rsidRPr="00EA0E60" w:rsidRDefault="008877AF" w:rsidP="00F25B36">
            <w:pPr>
              <w:pStyle w:val="ListParagraph"/>
              <w:numPr>
                <w:ilvl w:val="0"/>
                <w:numId w:val="34"/>
              </w:numPr>
              <w:rPr>
                <w:bCs/>
                <w:szCs w:val="20"/>
              </w:rPr>
            </w:pPr>
          </w:p>
        </w:tc>
        <w:tc>
          <w:tcPr>
            <w:tcW w:w="1634" w:type="pct"/>
          </w:tcPr>
          <w:p w14:paraId="34686434" w14:textId="2DB6B57B" w:rsidR="008877AF" w:rsidRPr="00EA0E60" w:rsidRDefault="008877AF" w:rsidP="008877AF">
            <w:pPr>
              <w:pStyle w:val="ListParagraph"/>
              <w:numPr>
                <w:ilvl w:val="0"/>
                <w:numId w:val="34"/>
              </w:numPr>
              <w:rPr>
                <w:bCs/>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0A689F00" w14:textId="3D28927F" w:rsidR="00DA2822" w:rsidRPr="00EA0E60"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60DA8199" w14:textId="77777777" w:rsidR="00EA0E60" w:rsidRDefault="00EA0E60" w:rsidP="00EA0E60">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This work paper details the retrofit of existing computers and monitors without power management software with personal computer power management (PCPM) software.  </w:t>
      </w:r>
    </w:p>
    <w:p w14:paraId="39AAADCA" w14:textId="77777777" w:rsidR="00EA0E60" w:rsidRDefault="00EA0E60" w:rsidP="00EA0E60">
      <w:pPr>
        <w:pStyle w:val="Reminder"/>
        <w:rPr>
          <w:rFonts w:asciiTheme="minorHAnsi" w:hAnsiTheme="minorHAnsi" w:cstheme="minorHAnsi"/>
          <w:i w:val="0"/>
          <w:color w:val="auto"/>
          <w:szCs w:val="22"/>
        </w:rPr>
      </w:pPr>
    </w:p>
    <w:p w14:paraId="63D9E4BD" w14:textId="783DFB0D" w:rsidR="00EA0E60" w:rsidRDefault="00EA0E60" w:rsidP="00EA0E60">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base case equipment for this measure assumes a typical desktop computer on a distributed network with a single LCD monitor, and is based on monitoring data. The base case power option settings will vary based on existing business policies and individual preferences.  The energy savings are provided on a per computer basis.  </w:t>
      </w:r>
    </w:p>
    <w:p w14:paraId="39291601" w14:textId="77777777" w:rsidR="00EA0E60" w:rsidRDefault="00EA0E60"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DE4BC91" w:rsidR="00D85F09" w:rsidRPr="00537C85" w:rsidRDefault="00EA0E60" w:rsidP="00920905">
            <w:pPr>
              <w:rPr>
                <w:szCs w:val="20"/>
              </w:rPr>
            </w:pPr>
            <w:r w:rsidRPr="00537C85">
              <w:rPr>
                <w:szCs w:val="20"/>
              </w:rPr>
              <w:t xml:space="preserve">Computers </w:t>
            </w:r>
            <w:r w:rsidR="00537C85" w:rsidRPr="00537C85">
              <w:rPr>
                <w:szCs w:val="20"/>
              </w:rPr>
              <w:t>with Personal Computer Power Management Software</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6194428" w:rsidR="00D85F09" w:rsidRPr="00537C85" w:rsidRDefault="00537C85" w:rsidP="00920905">
            <w:pPr>
              <w:rPr>
                <w:i/>
                <w:szCs w:val="20"/>
              </w:rPr>
            </w:pPr>
            <w:r w:rsidRPr="00537C85">
              <w:rPr>
                <w:szCs w:val="20"/>
              </w:rPr>
              <w:t>Computers without PCPM Software</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7258C11" w:rsidR="002344FB" w:rsidRPr="00537C85" w:rsidRDefault="00537C85">
            <w:pPr>
              <w:rPr>
                <w:szCs w:val="20"/>
              </w:rPr>
            </w:pPr>
            <w:r w:rsidRPr="00537C85">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5A6DFD93" w:rsidR="00D85F09" w:rsidRPr="00537C85" w:rsidRDefault="00537C85" w:rsidP="00920905">
            <w:pPr>
              <w:rPr>
                <w:i/>
                <w:szCs w:val="20"/>
              </w:rPr>
            </w:pPr>
            <w:r w:rsidRPr="00537C85">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920905" w:rsidRDefault="00572D2F" w:rsidP="00397406">
            <w:pPr>
              <w:rPr>
                <w:rFonts w:cstheme="minorHAnsi"/>
                <w:color w:val="FF0000"/>
                <w:szCs w:val="20"/>
              </w:rPr>
            </w:pPr>
          </w:p>
        </w:tc>
        <w:tc>
          <w:tcPr>
            <w:tcW w:w="539" w:type="pct"/>
          </w:tcPr>
          <w:p w14:paraId="666F9F6A" w14:textId="77777777" w:rsidR="00572D2F" w:rsidRPr="00920905" w:rsidRDefault="00572D2F" w:rsidP="00397406">
            <w:pPr>
              <w:rPr>
                <w:rFonts w:cstheme="minorHAnsi"/>
                <w:color w:val="FF0000"/>
                <w:szCs w:val="20"/>
              </w:rPr>
            </w:pPr>
          </w:p>
        </w:tc>
        <w:tc>
          <w:tcPr>
            <w:tcW w:w="605" w:type="pct"/>
          </w:tcPr>
          <w:p w14:paraId="63438A36" w14:textId="341B2288" w:rsidR="00572D2F" w:rsidRPr="00920905" w:rsidRDefault="00537C85" w:rsidP="00397406">
            <w:pPr>
              <w:rPr>
                <w:rFonts w:cstheme="minorHAnsi"/>
                <w:color w:val="FF0000"/>
                <w:szCs w:val="20"/>
              </w:rPr>
            </w:pPr>
            <w:r>
              <w:rPr>
                <w:rFonts w:ascii="Calibri" w:hAnsi="Calibri" w:cs="Calibri"/>
                <w:szCs w:val="20"/>
              </w:rPr>
              <w:t>OE-65003</w:t>
            </w:r>
          </w:p>
        </w:tc>
        <w:tc>
          <w:tcPr>
            <w:tcW w:w="673" w:type="pct"/>
          </w:tcPr>
          <w:p w14:paraId="311A1841" w14:textId="1301042F" w:rsidR="00572D2F" w:rsidRPr="00920905" w:rsidRDefault="00537C85" w:rsidP="00537C85">
            <w:pPr>
              <w:rPr>
                <w:rFonts w:cstheme="minorHAnsi"/>
                <w:color w:val="FF0000"/>
                <w:szCs w:val="20"/>
              </w:rPr>
            </w:pPr>
            <w:r w:rsidRPr="00537C85">
              <w:rPr>
                <w:rFonts w:cstheme="minorHAnsi"/>
                <w:szCs w:val="20"/>
              </w:rPr>
              <w:t>M03</w:t>
            </w:r>
          </w:p>
        </w:tc>
        <w:tc>
          <w:tcPr>
            <w:tcW w:w="2644" w:type="pct"/>
          </w:tcPr>
          <w:p w14:paraId="512138E6" w14:textId="777A5453" w:rsidR="00572D2F" w:rsidRPr="00920905" w:rsidRDefault="00537C85">
            <w:pPr>
              <w:rPr>
                <w:color w:val="FF0000"/>
              </w:rPr>
            </w:pPr>
            <w:r>
              <w:rPr>
                <w:rFonts w:cstheme="minorHAnsi"/>
                <w:szCs w:val="20"/>
              </w:rPr>
              <w:t>Power Management Software for Networked Computers</w:t>
            </w:r>
          </w:p>
        </w:tc>
      </w:tr>
      <w:tr w:rsidR="000245B5" w:rsidRPr="00800706" w14:paraId="3EC8DDF0" w14:textId="77777777" w:rsidTr="00920905">
        <w:trPr>
          <w:trHeight w:val="243"/>
        </w:trPr>
        <w:tc>
          <w:tcPr>
            <w:tcW w:w="539" w:type="pct"/>
          </w:tcPr>
          <w:p w14:paraId="036611DE" w14:textId="77777777" w:rsidR="000245B5" w:rsidRPr="00350BF1" w:rsidRDefault="000245B5" w:rsidP="00397406">
            <w:pPr>
              <w:rPr>
                <w:rFonts w:cstheme="minorHAnsi"/>
                <w:szCs w:val="20"/>
              </w:rPr>
            </w:pPr>
          </w:p>
        </w:tc>
        <w:tc>
          <w:tcPr>
            <w:tcW w:w="539" w:type="pct"/>
          </w:tcPr>
          <w:p w14:paraId="7DC81BD5" w14:textId="77777777" w:rsidR="000245B5" w:rsidRPr="00350BF1" w:rsidRDefault="000245B5" w:rsidP="00397406">
            <w:pPr>
              <w:rPr>
                <w:rFonts w:cstheme="minorHAnsi"/>
                <w:szCs w:val="20"/>
              </w:rPr>
            </w:pPr>
          </w:p>
        </w:tc>
        <w:tc>
          <w:tcPr>
            <w:tcW w:w="605" w:type="pct"/>
          </w:tcPr>
          <w:p w14:paraId="00E0B555" w14:textId="77777777" w:rsidR="000245B5" w:rsidRPr="00350BF1" w:rsidRDefault="000245B5" w:rsidP="00397406">
            <w:pPr>
              <w:rPr>
                <w:rFonts w:cstheme="minorHAnsi"/>
                <w:szCs w:val="20"/>
              </w:rPr>
            </w:pPr>
          </w:p>
        </w:tc>
        <w:tc>
          <w:tcPr>
            <w:tcW w:w="673" w:type="pct"/>
          </w:tcPr>
          <w:p w14:paraId="479924EB" w14:textId="77777777" w:rsidR="000245B5" w:rsidRPr="00350BF1" w:rsidRDefault="000245B5" w:rsidP="005729C8">
            <w:pPr>
              <w:rPr>
                <w:rFonts w:cstheme="minorHAnsi"/>
                <w:szCs w:val="20"/>
              </w:rPr>
            </w:pPr>
          </w:p>
        </w:tc>
        <w:tc>
          <w:tcPr>
            <w:tcW w:w="2644" w:type="pct"/>
          </w:tcPr>
          <w:p w14:paraId="592A1733" w14:textId="7F99E78E" w:rsidR="000245B5" w:rsidRPr="00920905" w:rsidRDefault="000245B5" w:rsidP="005729C8"/>
        </w:tc>
      </w:tr>
    </w:tbl>
    <w:p w14:paraId="3AF714EF" w14:textId="77777777" w:rsidR="00760CDC" w:rsidRPr="00800706" w:rsidRDefault="00760CDC" w:rsidP="00697868">
      <w:pPr>
        <w:pStyle w:val="Reminders"/>
        <w:rPr>
          <w:rFonts w:asciiTheme="minorHAnsi" w:hAnsiTheme="minorHAnsi" w:cstheme="minorHAnsi"/>
          <w:i w:val="0"/>
          <w:szCs w:val="22"/>
        </w:rPr>
      </w:pPr>
    </w:p>
    <w:p w14:paraId="016B496B" w14:textId="06B07604" w:rsidR="00537C85" w:rsidRDefault="00537C85" w:rsidP="00537C85">
      <w:pPr>
        <w:rPr>
          <w:rFonts w:cs="Arial"/>
          <w:b/>
          <w:szCs w:val="22"/>
        </w:rPr>
      </w:pPr>
      <w:r>
        <w:rPr>
          <w:rFonts w:cs="Arial"/>
          <w:b/>
          <w:szCs w:val="22"/>
        </w:rPr>
        <w:t>PG&amp;E Requirements</w:t>
      </w:r>
      <w:r w:rsidR="00AA7627">
        <w:rPr>
          <w:rFonts w:cs="Arial"/>
          <w:b/>
          <w:szCs w:val="22"/>
        </w:rPr>
        <w:t xml:space="preserve"> (M03)</w:t>
      </w:r>
    </w:p>
    <w:p w14:paraId="0BEC4A6B" w14:textId="154BC307" w:rsidR="00537C85" w:rsidRDefault="00537C85" w:rsidP="00537C85">
      <w:pPr>
        <w:rPr>
          <w:szCs w:val="22"/>
        </w:rPr>
      </w:pPr>
      <w:r>
        <w:rPr>
          <w:szCs w:val="22"/>
        </w:rPr>
        <w:t xml:space="preserve">The customer must be a PG&amp;E electric customer. When submitting a rebate worksheet, customers must ensure proper documentation is attached (see below).  </w:t>
      </w:r>
    </w:p>
    <w:p w14:paraId="02EF955C" w14:textId="77777777" w:rsidR="00537C85" w:rsidRDefault="00537C85" w:rsidP="00537C85">
      <w:pPr>
        <w:widowControl w:val="0"/>
        <w:numPr>
          <w:ilvl w:val="0"/>
          <w:numId w:val="37"/>
        </w:numPr>
        <w:autoSpaceDE w:val="0"/>
        <w:autoSpaceDN w:val="0"/>
        <w:adjustRightInd w:val="0"/>
        <w:rPr>
          <w:szCs w:val="22"/>
        </w:rPr>
      </w:pPr>
      <w:r>
        <w:rPr>
          <w:szCs w:val="22"/>
        </w:rPr>
        <w:t>For control of desktop computers only</w:t>
      </w:r>
    </w:p>
    <w:p w14:paraId="3C41A906" w14:textId="77777777" w:rsidR="00537C85" w:rsidRDefault="00537C85" w:rsidP="00537C85">
      <w:pPr>
        <w:widowControl w:val="0"/>
        <w:numPr>
          <w:ilvl w:val="0"/>
          <w:numId w:val="37"/>
        </w:numPr>
        <w:autoSpaceDE w:val="0"/>
        <w:autoSpaceDN w:val="0"/>
        <w:adjustRightInd w:val="0"/>
        <w:rPr>
          <w:szCs w:val="22"/>
        </w:rPr>
      </w:pPr>
      <w:r>
        <w:rPr>
          <w:szCs w:val="22"/>
        </w:rPr>
        <w:t>Installation must allow centralized control at the server level of the power management settings (sleep mode and shutdown) of desktop computers on a distributed network</w:t>
      </w:r>
    </w:p>
    <w:p w14:paraId="3DFE2F06" w14:textId="77777777" w:rsidR="00537C85" w:rsidRDefault="00537C85" w:rsidP="00537C85">
      <w:pPr>
        <w:widowControl w:val="0"/>
        <w:numPr>
          <w:ilvl w:val="0"/>
          <w:numId w:val="37"/>
        </w:numPr>
        <w:autoSpaceDE w:val="0"/>
        <w:autoSpaceDN w:val="0"/>
        <w:adjustRightInd w:val="0"/>
        <w:rPr>
          <w:szCs w:val="22"/>
        </w:rPr>
      </w:pPr>
      <w:r>
        <w:rPr>
          <w:szCs w:val="22"/>
        </w:rPr>
        <w:t>The software must have a reporting feature that allows monitoring and validation of energy savings</w:t>
      </w:r>
    </w:p>
    <w:p w14:paraId="5B5ED830" w14:textId="77777777" w:rsidR="00537C85" w:rsidRDefault="00537C85" w:rsidP="00537C85">
      <w:pPr>
        <w:widowControl w:val="0"/>
        <w:numPr>
          <w:ilvl w:val="0"/>
          <w:numId w:val="37"/>
        </w:numPr>
        <w:autoSpaceDE w:val="0"/>
        <w:autoSpaceDN w:val="0"/>
        <w:adjustRightInd w:val="0"/>
        <w:rPr>
          <w:szCs w:val="22"/>
        </w:rPr>
      </w:pPr>
      <w:r>
        <w:rPr>
          <w:szCs w:val="22"/>
        </w:rPr>
        <w:t>Qualifying software must result from:</w:t>
      </w:r>
    </w:p>
    <w:p w14:paraId="60988F90" w14:textId="77777777" w:rsidR="00537C85" w:rsidRDefault="00537C85" w:rsidP="00537C85">
      <w:pPr>
        <w:widowControl w:val="0"/>
        <w:numPr>
          <w:ilvl w:val="0"/>
          <w:numId w:val="38"/>
        </w:numPr>
        <w:autoSpaceDE w:val="0"/>
        <w:autoSpaceDN w:val="0"/>
        <w:adjustRightInd w:val="0"/>
        <w:ind w:left="720" w:hanging="360"/>
        <w:rPr>
          <w:szCs w:val="22"/>
        </w:rPr>
      </w:pPr>
      <w:r>
        <w:rPr>
          <w:szCs w:val="22"/>
        </w:rPr>
        <w:t>A new installation, where none previously existed, or</w:t>
      </w:r>
    </w:p>
    <w:p w14:paraId="2534C3FB" w14:textId="168595C9" w:rsidR="00707A54" w:rsidRDefault="00537C85" w:rsidP="00537C85">
      <w:pPr>
        <w:widowControl w:val="0"/>
        <w:numPr>
          <w:ilvl w:val="0"/>
          <w:numId w:val="38"/>
        </w:numPr>
        <w:autoSpaceDE w:val="0"/>
        <w:autoSpaceDN w:val="0"/>
        <w:adjustRightInd w:val="0"/>
        <w:ind w:left="720" w:hanging="360"/>
        <w:rPr>
          <w:szCs w:val="22"/>
        </w:rPr>
      </w:pPr>
      <w:r>
        <w:rPr>
          <w:szCs w:val="22"/>
        </w:rPr>
        <w:t>An upgrade of an operating system or other network support software where the desktop computer power management function did not previously exist</w:t>
      </w:r>
    </w:p>
    <w:p w14:paraId="4093E0B0" w14:textId="1DCFFEA0" w:rsidR="00537C85" w:rsidRPr="00707A54" w:rsidRDefault="00537C85" w:rsidP="00F1761C">
      <w:pPr>
        <w:widowControl w:val="0"/>
        <w:numPr>
          <w:ilvl w:val="0"/>
          <w:numId w:val="37"/>
        </w:numPr>
        <w:autoSpaceDE w:val="0"/>
        <w:autoSpaceDN w:val="0"/>
        <w:adjustRightInd w:val="0"/>
        <w:rPr>
          <w:szCs w:val="22"/>
        </w:rPr>
      </w:pPr>
      <w:r w:rsidRPr="00707A54">
        <w:rPr>
          <w:szCs w:val="22"/>
        </w:rPr>
        <w:t>Qualifying software must be purchased and installed on or after January 1, 201</w:t>
      </w:r>
      <w:r w:rsidR="00707A54" w:rsidRPr="00707A54">
        <w:rPr>
          <w:szCs w:val="22"/>
        </w:rPr>
        <w:t>7</w:t>
      </w:r>
      <w:r w:rsidRPr="00707A54">
        <w:rPr>
          <w:szCs w:val="22"/>
        </w:rPr>
        <w:t xml:space="preserve">.  </w:t>
      </w:r>
    </w:p>
    <w:p w14:paraId="041FA53F" w14:textId="77777777" w:rsidR="00537C85" w:rsidRDefault="00537C85" w:rsidP="00537C85">
      <w:pPr>
        <w:autoSpaceDE w:val="0"/>
        <w:autoSpaceDN w:val="0"/>
        <w:adjustRightInd w:val="0"/>
        <w:rPr>
          <w:szCs w:val="22"/>
        </w:rPr>
      </w:pPr>
      <w:r>
        <w:rPr>
          <w:szCs w:val="22"/>
        </w:rPr>
        <w:t>Customer must agree to provide PG&amp;E with 100% of the savings for a period of three (3) years from the receipt of the rebate</w:t>
      </w:r>
    </w:p>
    <w:p w14:paraId="6DBA7E64" w14:textId="77777777" w:rsidR="00537C85" w:rsidRDefault="00537C85" w:rsidP="00537C85">
      <w:pPr>
        <w:widowControl w:val="0"/>
        <w:autoSpaceDE w:val="0"/>
        <w:autoSpaceDN w:val="0"/>
        <w:adjustRightInd w:val="0"/>
        <w:rPr>
          <w:szCs w:val="22"/>
        </w:rPr>
      </w:pPr>
      <w:r>
        <w:rPr>
          <w:b/>
          <w:szCs w:val="22"/>
        </w:rPr>
        <w:t>Exclusions</w:t>
      </w:r>
      <w:r>
        <w:rPr>
          <w:szCs w:val="22"/>
        </w:rPr>
        <w:t>:</w:t>
      </w:r>
    </w:p>
    <w:p w14:paraId="268FA383" w14:textId="77777777" w:rsidR="00537C85" w:rsidRDefault="00537C85" w:rsidP="00537C85">
      <w:pPr>
        <w:widowControl w:val="0"/>
        <w:numPr>
          <w:ilvl w:val="0"/>
          <w:numId w:val="39"/>
        </w:numPr>
        <w:autoSpaceDE w:val="0"/>
        <w:autoSpaceDN w:val="0"/>
        <w:adjustRightInd w:val="0"/>
        <w:rPr>
          <w:szCs w:val="22"/>
        </w:rPr>
      </w:pPr>
      <w:r>
        <w:rPr>
          <w:szCs w:val="22"/>
        </w:rPr>
        <w:t>Not for control of laptop and laptop stations</w:t>
      </w:r>
    </w:p>
    <w:p w14:paraId="6F80A2B1" w14:textId="77777777" w:rsidR="00537C85" w:rsidRDefault="00537C85" w:rsidP="00537C85">
      <w:pPr>
        <w:widowControl w:val="0"/>
        <w:autoSpaceDE w:val="0"/>
        <w:autoSpaceDN w:val="0"/>
        <w:adjustRightInd w:val="0"/>
        <w:rPr>
          <w:szCs w:val="22"/>
        </w:rPr>
      </w:pPr>
      <w:r>
        <w:rPr>
          <w:b/>
          <w:szCs w:val="22"/>
        </w:rPr>
        <w:t>Application Process</w:t>
      </w:r>
      <w:r>
        <w:rPr>
          <w:szCs w:val="22"/>
        </w:rPr>
        <w:t>:</w:t>
      </w:r>
    </w:p>
    <w:p w14:paraId="34EE52CB" w14:textId="77777777" w:rsidR="00537C85" w:rsidRDefault="00537C85" w:rsidP="00537C85">
      <w:pPr>
        <w:widowControl w:val="0"/>
        <w:numPr>
          <w:ilvl w:val="0"/>
          <w:numId w:val="39"/>
        </w:numPr>
        <w:autoSpaceDE w:val="0"/>
        <w:autoSpaceDN w:val="0"/>
        <w:adjustRightInd w:val="0"/>
        <w:rPr>
          <w:szCs w:val="22"/>
        </w:rPr>
      </w:pPr>
      <w:r>
        <w:rPr>
          <w:szCs w:val="22"/>
        </w:rPr>
        <w:t>The  following documentation must be attached to and included with the application:</w:t>
      </w:r>
    </w:p>
    <w:p w14:paraId="35EAFE34" w14:textId="77777777" w:rsidR="00537C85" w:rsidRDefault="00537C85" w:rsidP="00537C85">
      <w:pPr>
        <w:widowControl w:val="0"/>
        <w:numPr>
          <w:ilvl w:val="1"/>
          <w:numId w:val="40"/>
        </w:numPr>
        <w:autoSpaceDE w:val="0"/>
        <w:autoSpaceDN w:val="0"/>
        <w:adjustRightInd w:val="0"/>
        <w:ind w:left="900"/>
        <w:rPr>
          <w:szCs w:val="22"/>
        </w:rPr>
      </w:pPr>
      <w:r>
        <w:rPr>
          <w:szCs w:val="22"/>
        </w:rPr>
        <w:t>Copy of Software License Agreement,</w:t>
      </w:r>
    </w:p>
    <w:p w14:paraId="1326DD2C" w14:textId="77777777" w:rsidR="00537C85" w:rsidRDefault="00537C85" w:rsidP="00537C85">
      <w:pPr>
        <w:widowControl w:val="0"/>
        <w:numPr>
          <w:ilvl w:val="1"/>
          <w:numId w:val="40"/>
        </w:numPr>
        <w:autoSpaceDE w:val="0"/>
        <w:autoSpaceDN w:val="0"/>
        <w:adjustRightInd w:val="0"/>
        <w:ind w:left="900"/>
        <w:rPr>
          <w:szCs w:val="22"/>
        </w:rPr>
      </w:pPr>
      <w:r>
        <w:rPr>
          <w:szCs w:val="22"/>
        </w:rPr>
        <w:t xml:space="preserve">A report (print-out) directly from the Network Energy Management Software that shows (a) the location and (b) the number of desktop computers that are being controlled by the system </w:t>
      </w:r>
    </w:p>
    <w:p w14:paraId="54FF9103" w14:textId="77777777" w:rsidR="00537C85" w:rsidRDefault="00537C85" w:rsidP="00537C85">
      <w:pPr>
        <w:widowControl w:val="0"/>
        <w:numPr>
          <w:ilvl w:val="0"/>
          <w:numId w:val="40"/>
        </w:numPr>
        <w:autoSpaceDE w:val="0"/>
        <w:autoSpaceDN w:val="0"/>
        <w:adjustRightInd w:val="0"/>
        <w:rPr>
          <w:szCs w:val="22"/>
        </w:rPr>
      </w:pPr>
      <w:r>
        <w:rPr>
          <w:szCs w:val="22"/>
        </w:rPr>
        <w:lastRenderedPageBreak/>
        <w:t>When contacted, customers must allow PG&amp;E access to customers’ property site to verify:</w:t>
      </w:r>
    </w:p>
    <w:p w14:paraId="311FDD0B" w14:textId="77777777" w:rsidR="001822D3" w:rsidRDefault="00537C85" w:rsidP="001822D3">
      <w:pPr>
        <w:widowControl w:val="0"/>
        <w:numPr>
          <w:ilvl w:val="1"/>
          <w:numId w:val="40"/>
        </w:numPr>
        <w:tabs>
          <w:tab w:val="num" w:pos="900"/>
        </w:tabs>
        <w:autoSpaceDE w:val="0"/>
        <w:autoSpaceDN w:val="0"/>
        <w:adjustRightInd w:val="0"/>
        <w:ind w:left="900"/>
        <w:rPr>
          <w:szCs w:val="22"/>
        </w:rPr>
      </w:pPr>
      <w:r>
        <w:rPr>
          <w:szCs w:val="22"/>
        </w:rPr>
        <w:t>The software installation; and</w:t>
      </w:r>
    </w:p>
    <w:p w14:paraId="047E348E" w14:textId="2E6FC491" w:rsidR="00537C85" w:rsidRPr="001822D3" w:rsidRDefault="00537C85" w:rsidP="001822D3">
      <w:pPr>
        <w:widowControl w:val="0"/>
        <w:numPr>
          <w:ilvl w:val="1"/>
          <w:numId w:val="40"/>
        </w:numPr>
        <w:tabs>
          <w:tab w:val="num" w:pos="900"/>
        </w:tabs>
        <w:autoSpaceDE w:val="0"/>
        <w:autoSpaceDN w:val="0"/>
        <w:adjustRightInd w:val="0"/>
        <w:ind w:left="900"/>
        <w:rPr>
          <w:szCs w:val="22"/>
        </w:rPr>
      </w:pPr>
      <w:r w:rsidRPr="001822D3">
        <w:rPr>
          <w:szCs w:val="22"/>
        </w:rPr>
        <w:t>The location of the installed control software (at the server level); and the number of desktop computers controlled by the system [</w:t>
      </w:r>
      <w:r w:rsidR="00CE5B0B" w:rsidRPr="001822D3">
        <w:rPr>
          <w:szCs w:val="22"/>
        </w:rPr>
        <w:t>A</w:t>
      </w:r>
      <w:r w:rsidRPr="001822D3">
        <w:rPr>
          <w:szCs w:val="22"/>
        </w:rPr>
        <w:t xml:space="preserve">]. </w:t>
      </w:r>
    </w:p>
    <w:p w14:paraId="78B2E8A6" w14:textId="11BDB0BF" w:rsidR="00537C85" w:rsidRDefault="00537C85" w:rsidP="00537C85">
      <w:pPr>
        <w:keepNext/>
        <w:outlineLvl w:val="2"/>
        <w:rPr>
          <w:rFonts w:ascii="Calibri" w:hAnsi="Calibri" w:cs="Calibri"/>
          <w:bCs/>
          <w:szCs w:val="26"/>
        </w:rPr>
      </w:pPr>
      <w:r>
        <w:rPr>
          <w:rFonts w:ascii="Calibri" w:hAnsi="Calibri" w:cs="Calibri"/>
          <w:b/>
          <w:bCs/>
          <w:szCs w:val="26"/>
        </w:rPr>
        <w:t>Terms and Conditions</w:t>
      </w:r>
      <w:r>
        <w:rPr>
          <w:rFonts w:ascii="Calibri" w:hAnsi="Calibri" w:cs="Calibri"/>
          <w:bCs/>
          <w:szCs w:val="26"/>
        </w:rPr>
        <w:t xml:space="preserve">: Any non-residential electric account qualifies if facility computer workstations </w:t>
      </w:r>
      <w:r w:rsidR="00707A54">
        <w:rPr>
          <w:rFonts w:ascii="Calibri" w:hAnsi="Calibri" w:cs="Calibri"/>
          <w:bCs/>
          <w:szCs w:val="26"/>
        </w:rPr>
        <w:t>are</w:t>
      </w:r>
      <w:r>
        <w:rPr>
          <w:rFonts w:ascii="Calibri" w:hAnsi="Calibri" w:cs="Calibri"/>
          <w:bCs/>
          <w:szCs w:val="26"/>
        </w:rPr>
        <w:t xml:space="preserve"> linked and controlled by a LAN system that permits the installation and operation of Desktop Computer network software. Other “T&amp;Cs” are listed above.</w:t>
      </w:r>
    </w:p>
    <w:p w14:paraId="029429EF" w14:textId="77777777" w:rsidR="00537C85" w:rsidRDefault="00537C85" w:rsidP="00537C85">
      <w:pPr>
        <w:keepNext/>
        <w:outlineLvl w:val="2"/>
        <w:rPr>
          <w:rFonts w:ascii="Calibri" w:hAnsi="Calibri" w:cs="Calibri"/>
          <w:bCs/>
          <w:szCs w:val="26"/>
        </w:rPr>
      </w:pPr>
      <w:r>
        <w:rPr>
          <w:rFonts w:ascii="Calibri" w:hAnsi="Calibri" w:cs="Calibri"/>
          <w:b/>
          <w:bCs/>
          <w:szCs w:val="26"/>
        </w:rPr>
        <w:t>Market Applicability</w:t>
      </w:r>
      <w:r>
        <w:rPr>
          <w:rFonts w:ascii="Calibri" w:hAnsi="Calibri" w:cs="Calibri"/>
          <w:bCs/>
          <w:szCs w:val="26"/>
        </w:rPr>
        <w:t>:  All non-residential PG&amp;E electric customers using networked desktop computer workstations.</w:t>
      </w:r>
    </w:p>
    <w:p w14:paraId="5B99A2A4" w14:textId="77777777" w:rsidR="00537C85" w:rsidRDefault="00537C85" w:rsidP="00537C85">
      <w:pPr>
        <w:rPr>
          <w:rFonts w:cs="Arial"/>
          <w:b/>
          <w:szCs w:val="22"/>
        </w:rPr>
      </w:pPr>
    </w:p>
    <w:p w14:paraId="5E2214D1" w14:textId="729094DB" w:rsidR="00537C85" w:rsidRPr="00537C85" w:rsidRDefault="00537C85" w:rsidP="00537C85">
      <w:pPr>
        <w:rPr>
          <w:rFonts w:cs="Arial"/>
          <w:b/>
          <w:szCs w:val="22"/>
        </w:rPr>
      </w:pPr>
      <w:r>
        <w:rPr>
          <w:rFonts w:cs="Arial"/>
          <w:b/>
          <w:szCs w:val="22"/>
        </w:rPr>
        <w:t>SCE Requirements</w:t>
      </w:r>
      <w:r w:rsidR="00AA7627">
        <w:rPr>
          <w:rFonts w:cs="Arial"/>
          <w:b/>
          <w:szCs w:val="22"/>
        </w:rPr>
        <w:t xml:space="preserve"> (</w:t>
      </w:r>
      <w:r w:rsidR="00AA7627" w:rsidRPr="00AA7627">
        <w:rPr>
          <w:rFonts w:cs="Arial"/>
          <w:b/>
          <w:szCs w:val="22"/>
        </w:rPr>
        <w:t>OE-65003</w:t>
      </w:r>
      <w:r w:rsidR="00AA7627">
        <w:rPr>
          <w:rFonts w:cs="Arial"/>
          <w:b/>
          <w:szCs w:val="22"/>
        </w:rPr>
        <w:t>)</w:t>
      </w:r>
    </w:p>
    <w:p w14:paraId="173C9E7C" w14:textId="77777777" w:rsidR="00537C85" w:rsidRPr="00537C85" w:rsidRDefault="00537C85" w:rsidP="00537C85">
      <w:pPr>
        <w:rPr>
          <w:szCs w:val="22"/>
        </w:rPr>
      </w:pPr>
      <w:r w:rsidRPr="00537C85">
        <w:rPr>
          <w:szCs w:val="22"/>
        </w:rPr>
        <w:t>This work paper assumes that a complete PCPM network software application is used on a Windows PC network. The PCPM network software meets the following minimal requirements:</w:t>
      </w:r>
    </w:p>
    <w:p w14:paraId="0B98A982"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accurately monitors, measures, manages, and reports on the electrical demand and energy usage of individual and groups of networked PCs as proven through independent measurement and verification efforts;</w:t>
      </w:r>
    </w:p>
    <w:p w14:paraId="7AAB8503"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is a client-server application capable of handling a large computer network with thousands of PCs across multiple geographic locations from a single application server in a single location;</w:t>
      </w:r>
    </w:p>
    <w:p w14:paraId="211ACB6A"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has built-in security that ensures both user privacy, network security, audit trails, and data integrity;</w:t>
      </w:r>
    </w:p>
    <w:p w14:paraId="1BFA56C9"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uses a robust SQL database system and schema with audit trails;</w:t>
      </w:r>
    </w:p>
    <w:p w14:paraId="6DE0161D" w14:textId="3532403E" w:rsidR="00537C85" w:rsidRPr="001822D3"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 xml:space="preserve">The software supports and manages the power options settings in multiple versions of the Windows operating systems, from Windows 95 up to the latest version </w:t>
      </w:r>
      <w:r w:rsidRPr="001822D3">
        <w:rPr>
          <w:rFonts w:ascii="Calibri" w:hAnsi="Calibri" w:cs="Calibri"/>
          <w:szCs w:val="22"/>
        </w:rPr>
        <w:t xml:space="preserve">of Windows </w:t>
      </w:r>
      <w:r w:rsidR="00707A54">
        <w:rPr>
          <w:rFonts w:ascii="Calibri" w:hAnsi="Calibri" w:cs="Calibri"/>
          <w:szCs w:val="22"/>
        </w:rPr>
        <w:t>10</w:t>
      </w:r>
      <w:r w:rsidRPr="001822D3">
        <w:rPr>
          <w:rFonts w:ascii="Calibri" w:hAnsi="Calibri" w:cs="Calibri"/>
          <w:szCs w:val="22"/>
        </w:rPr>
        <w:t>;</w:t>
      </w:r>
    </w:p>
    <w:p w14:paraId="48BD401C"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 xml:space="preserve">The software identifies and manages the power option settings on individual and groups of computers, </w:t>
      </w:r>
    </w:p>
    <w:p w14:paraId="1F514977"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supports scheduling to allow the power settings to vary as necessary during the day, night, week, etc. for individual and groups of computers;</w:t>
      </w:r>
    </w:p>
    <w:p w14:paraId="0C7C252A"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allows for individuals and groups to create their own power option settings if necessary;</w:t>
      </w:r>
    </w:p>
    <w:p w14:paraId="11AA61F3"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allows for computers running special tasks and applications to override Power Management as needed;</w:t>
      </w:r>
    </w:p>
    <w:p w14:paraId="507C68C4" w14:textId="77777777" w:rsidR="00537C85" w:rsidRDefault="00537C85" w:rsidP="00537C85">
      <w:pPr>
        <w:numPr>
          <w:ilvl w:val="1"/>
          <w:numId w:val="41"/>
        </w:numPr>
        <w:spacing w:before="100" w:beforeAutospacing="1" w:after="100" w:afterAutospacing="1"/>
        <w:rPr>
          <w:rFonts w:ascii="Calibri" w:hAnsi="Calibri" w:cs="Calibri"/>
          <w:szCs w:val="22"/>
        </w:rPr>
      </w:pPr>
      <w:r>
        <w:rPr>
          <w:rFonts w:ascii="Calibri" w:hAnsi="Calibri" w:cs="Calibri"/>
          <w:szCs w:val="22"/>
        </w:rPr>
        <w:t>The software can assign and track the values of the power states for computers and monitors − On, Sleep, Stand-by, Hibernate, Off − for individual and groups of computers for use in estimating the demand, energy consumption, and annual savings, i.e., the application does not rely on a hardcoded set of values; and</w:t>
      </w:r>
    </w:p>
    <w:p w14:paraId="4FCBF79A" w14:textId="77777777" w:rsidR="00537C85" w:rsidRDefault="00537C85" w:rsidP="00537C85">
      <w:pPr>
        <w:numPr>
          <w:ilvl w:val="1"/>
          <w:numId w:val="41"/>
        </w:numPr>
        <w:spacing w:before="100" w:beforeAutospacing="1"/>
        <w:rPr>
          <w:rFonts w:ascii="Calibri" w:hAnsi="Calibri" w:cs="Calibri"/>
          <w:sz w:val="24"/>
        </w:rPr>
      </w:pPr>
      <w:r>
        <w:rPr>
          <w:rFonts w:ascii="Calibri" w:hAnsi="Calibri" w:cs="Calibri"/>
          <w:szCs w:val="22"/>
        </w:rPr>
        <w:t>The software has a separate reporting system application that can run on any workstation on the network that allows authorized individuals, besides the system administrator, to query and produce reports from the central data repository database.</w:t>
      </w:r>
    </w:p>
    <w:p w14:paraId="5EE6A4F6" w14:textId="77777777" w:rsidR="00537C85" w:rsidRDefault="00537C85" w:rsidP="00537C85">
      <w:pPr>
        <w:spacing w:before="100" w:beforeAutospacing="1"/>
        <w:rPr>
          <w:rFonts w:ascii="Calibri" w:hAnsi="Calibri" w:cs="Calibri"/>
          <w:szCs w:val="22"/>
        </w:rPr>
      </w:pPr>
      <w:r>
        <w:rPr>
          <w:rFonts w:ascii="Calibri" w:hAnsi="Calibri" w:cs="Calibri"/>
          <w:b/>
          <w:szCs w:val="22"/>
        </w:rPr>
        <w:t xml:space="preserve">Eligibility Requirements: </w:t>
      </w:r>
      <w:r>
        <w:rPr>
          <w:rFonts w:ascii="Calibri" w:hAnsi="Calibri" w:cs="Calibri"/>
          <w:szCs w:val="22"/>
        </w:rPr>
        <w:t xml:space="preserve">Networked personal computers are eligible only if they do not have power management software currently installed. </w:t>
      </w:r>
    </w:p>
    <w:p w14:paraId="300156EE" w14:textId="77777777" w:rsidR="00537C85" w:rsidRDefault="00537C85" w:rsidP="00537C85">
      <w:pPr>
        <w:spacing w:before="100" w:beforeAutospacing="1"/>
        <w:rPr>
          <w:rFonts w:ascii="Calibri" w:hAnsi="Calibri" w:cs="Calibri"/>
          <w:szCs w:val="22"/>
        </w:rPr>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lastRenderedPageBreak/>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0A4D6D5C" w14:textId="4A1A0D19" w:rsidR="00537C85" w:rsidRDefault="00537C85" w:rsidP="00537C85">
      <w:pPr>
        <w:rPr>
          <w:szCs w:val="22"/>
        </w:rPr>
      </w:pPr>
      <w:r>
        <w:rPr>
          <w:szCs w:val="22"/>
        </w:rPr>
        <w:t>A number of strategies have evolved to save energy in desktop computers. One class of products uses software implemented at the network level for desktop computers that allows system administrators to manipulate the internal power settings of the central processing unit (CPU) and of the monitor. These power settings are an integral part of a computer’s operating system (most commonly, Microsoft Windows; derived from laptop technologies) including “on”, “standby”, “sleep”, and “off” modes and can be set by users from their individual desktops.</w:t>
      </w:r>
    </w:p>
    <w:p w14:paraId="57691C1E" w14:textId="77777777" w:rsidR="00537C85" w:rsidRDefault="00537C85" w:rsidP="00537C85">
      <w:pPr>
        <w:rPr>
          <w:szCs w:val="22"/>
        </w:rPr>
      </w:pPr>
    </w:p>
    <w:p w14:paraId="76687F7D" w14:textId="77777777" w:rsidR="00537C85" w:rsidRDefault="00537C85" w:rsidP="00537C85">
      <w:pPr>
        <w:rPr>
          <w:rFonts w:cs="Courier New"/>
          <w:szCs w:val="22"/>
        </w:rPr>
      </w:pPr>
      <w:r>
        <w:rPr>
          <w:szCs w:val="22"/>
        </w:rPr>
        <w:t>Most individual computer users are unfamiliar with these energy saving settings, and hence, settings are normally set by an IT administrator to minimize user complaints related to bringing the computer back from standby, sleep, or off modes.  However, these strategies use a large amount of energy during times when the computer is not in active use. Studies have shown that energy consumed during non-use periods is large, and is often the majority of total energy consumed.</w:t>
      </w:r>
    </w:p>
    <w:p w14:paraId="21EFE163" w14:textId="77777777" w:rsidR="00537C85" w:rsidRDefault="00537C85" w:rsidP="00537C85">
      <w:pPr>
        <w:rPr>
          <w:szCs w:val="22"/>
        </w:rPr>
      </w:pPr>
    </w:p>
    <w:p w14:paraId="1B3D184D" w14:textId="3735D42B" w:rsidR="00E16609" w:rsidRPr="00500C4E" w:rsidRDefault="00537C85" w:rsidP="00537C85">
      <w:pPr>
        <w:rPr>
          <w:rFonts w:cstheme="minorHAnsi"/>
          <w:i/>
          <w:szCs w:val="22"/>
        </w:rPr>
      </w:pPr>
      <w:r>
        <w:rPr>
          <w:szCs w:val="22"/>
        </w:rPr>
        <w:t xml:space="preserve"> IT-based tools are used to control desktop computer and monitor power settings within a network from a central location, allowing administrators to control power consumption. They also may have programming that enables system upgrades to be performed (typically during low-use periods) and energy use evaluation and reporting capabilities.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B8491DF" w14:textId="77777777" w:rsidR="00537C85" w:rsidRDefault="00537C85" w:rsidP="00920905">
      <w:pPr>
        <w:pStyle w:val="NoSpacing"/>
        <w:rPr>
          <w:rFonts w:ascii="Calibri" w:hAnsi="Calibri" w:cs="Calibri"/>
        </w:rPr>
      </w:pPr>
      <w:r>
        <w:rPr>
          <w:rFonts w:ascii="Calibri" w:hAnsi="Calibri" w:cs="Calibri"/>
        </w:rPr>
        <w:t xml:space="preserve">The measure installation type for this work paper is Retrofit Add-on (REA).  </w:t>
      </w:r>
    </w:p>
    <w:p w14:paraId="5727D10A" w14:textId="77777777" w:rsidR="00537C85" w:rsidRDefault="00537C85" w:rsidP="00920905">
      <w:pPr>
        <w:pStyle w:val="NoSpacing"/>
        <w:rPr>
          <w:rFonts w:ascii="Calibri" w:hAnsi="Calibri" w:cs="Calibri"/>
        </w:rPr>
      </w:pPr>
    </w:p>
    <w:p w14:paraId="6D9C3B45" w14:textId="57DD12D1"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545D6393" w14:textId="77777777" w:rsidR="00537C85" w:rsidRDefault="00537C85" w:rsidP="00537C85">
      <w:pPr>
        <w:pStyle w:val="Reminders"/>
        <w:tabs>
          <w:tab w:val="num" w:pos="360"/>
        </w:tabs>
        <w:rPr>
          <w:rFonts w:asciiTheme="minorHAnsi" w:hAnsiTheme="minorHAnsi" w:cstheme="minorHAnsi"/>
          <w:b/>
          <w:i w:val="0"/>
          <w:color w:val="auto"/>
          <w:szCs w:val="22"/>
        </w:rPr>
      </w:pPr>
      <w:r>
        <w:rPr>
          <w:rFonts w:asciiTheme="minorHAnsi" w:hAnsiTheme="minorHAnsi" w:cstheme="minorHAnsi"/>
          <w:b/>
          <w:i w:val="0"/>
          <w:color w:val="auto"/>
          <w:szCs w:val="22"/>
        </w:rPr>
        <w:t>SCE</w:t>
      </w:r>
    </w:p>
    <w:p w14:paraId="6489BB1C" w14:textId="3592D061" w:rsidR="00FA4BA8" w:rsidRDefault="00FA4BA8" w:rsidP="00537C85">
      <w:pPr>
        <w:rPr>
          <w:rFonts w:ascii="Calibri" w:hAnsi="Calibri" w:cs="Calibri"/>
          <w:szCs w:val="22"/>
        </w:rPr>
      </w:pPr>
      <w:r>
        <w:rPr>
          <w:rFonts w:ascii="Calibri" w:hAnsi="Calibri" w:cs="Calibri"/>
          <w:szCs w:val="22"/>
        </w:rPr>
        <w:t>The delivery methods are:</w:t>
      </w:r>
    </w:p>
    <w:p w14:paraId="1FE56979" w14:textId="293D8ACF" w:rsidR="00FA4BA8" w:rsidRPr="00FA4BA8" w:rsidRDefault="00537C85" w:rsidP="00FA4BA8">
      <w:pPr>
        <w:pStyle w:val="ListParagraph"/>
        <w:numPr>
          <w:ilvl w:val="0"/>
          <w:numId w:val="42"/>
        </w:numPr>
        <w:rPr>
          <w:rFonts w:ascii="Calibri" w:hAnsi="Calibri" w:cs="Calibri"/>
          <w:szCs w:val="22"/>
        </w:rPr>
      </w:pPr>
      <w:r w:rsidRPr="00FA4BA8">
        <w:rPr>
          <w:rFonts w:ascii="Calibri" w:hAnsi="Calibri" w:cs="Calibri"/>
          <w:szCs w:val="22"/>
        </w:rPr>
        <w:t xml:space="preserve">Financial Support / </w:t>
      </w:r>
      <w:r w:rsidR="00FA4BA8" w:rsidRPr="00FA4BA8">
        <w:rPr>
          <w:rFonts w:ascii="Calibri" w:hAnsi="Calibri" w:cs="Calibri"/>
          <w:szCs w:val="22"/>
        </w:rPr>
        <w:t>Down-Stream Incentive – Deemed</w:t>
      </w:r>
    </w:p>
    <w:p w14:paraId="39030130" w14:textId="25E2B134" w:rsidR="00FA4BA8" w:rsidRPr="00FA4BA8" w:rsidRDefault="00537C85" w:rsidP="00FA4BA8">
      <w:pPr>
        <w:pStyle w:val="ListParagraph"/>
        <w:numPr>
          <w:ilvl w:val="0"/>
          <w:numId w:val="42"/>
        </w:numPr>
        <w:rPr>
          <w:rFonts w:ascii="Calibri" w:hAnsi="Calibri" w:cs="Calibri"/>
          <w:szCs w:val="22"/>
        </w:rPr>
      </w:pPr>
      <w:r w:rsidRPr="00FA4BA8">
        <w:rPr>
          <w:rFonts w:ascii="Calibri" w:hAnsi="Calibri" w:cs="Calibri"/>
          <w:szCs w:val="22"/>
        </w:rPr>
        <w:t>Fina</w:t>
      </w:r>
      <w:r w:rsidR="00FA4BA8" w:rsidRPr="00FA4BA8">
        <w:rPr>
          <w:rFonts w:ascii="Calibri" w:hAnsi="Calibri" w:cs="Calibri"/>
          <w:szCs w:val="22"/>
        </w:rPr>
        <w:t>ncial Support - Direct Install</w:t>
      </w:r>
    </w:p>
    <w:p w14:paraId="1502A750" w14:textId="349C3A6E" w:rsidR="00FA4BA8" w:rsidRPr="00FA4BA8" w:rsidRDefault="00537C85" w:rsidP="00FA4BA8">
      <w:pPr>
        <w:pStyle w:val="ListParagraph"/>
        <w:numPr>
          <w:ilvl w:val="0"/>
          <w:numId w:val="42"/>
        </w:numPr>
        <w:rPr>
          <w:rFonts w:ascii="Calibri" w:hAnsi="Calibri" w:cs="Calibri"/>
          <w:szCs w:val="22"/>
        </w:rPr>
      </w:pPr>
      <w:r w:rsidRPr="00FA4BA8">
        <w:rPr>
          <w:rFonts w:ascii="Calibri" w:hAnsi="Calibri" w:cs="Calibri"/>
          <w:szCs w:val="22"/>
        </w:rPr>
        <w:t>Partnership / Down</w:t>
      </w:r>
      <w:r w:rsidR="00FA4BA8" w:rsidRPr="00FA4BA8">
        <w:rPr>
          <w:rFonts w:ascii="Calibri" w:hAnsi="Calibri" w:cs="Calibri"/>
          <w:szCs w:val="22"/>
        </w:rPr>
        <w:t>-Stream Incentive – Deemed</w:t>
      </w:r>
    </w:p>
    <w:p w14:paraId="1DC1D1A6" w14:textId="3C2926EB" w:rsidR="00537C85" w:rsidRPr="00FA4BA8" w:rsidRDefault="00537C85" w:rsidP="00FA4BA8">
      <w:pPr>
        <w:pStyle w:val="ListParagraph"/>
        <w:numPr>
          <w:ilvl w:val="0"/>
          <w:numId w:val="42"/>
        </w:numPr>
        <w:rPr>
          <w:rFonts w:ascii="Calibri" w:hAnsi="Calibri" w:cs="Calibri"/>
          <w:szCs w:val="22"/>
        </w:rPr>
      </w:pPr>
      <w:r w:rsidRPr="00FA4BA8">
        <w:rPr>
          <w:rFonts w:ascii="Calibri" w:hAnsi="Calibri" w:cs="Calibri"/>
          <w:szCs w:val="22"/>
        </w:rPr>
        <w:t>P</w:t>
      </w:r>
      <w:r w:rsidR="00FA4BA8" w:rsidRPr="00FA4BA8">
        <w:rPr>
          <w:rFonts w:ascii="Calibri" w:hAnsi="Calibri" w:cs="Calibri"/>
          <w:szCs w:val="22"/>
        </w:rPr>
        <w:t>artnership - Direct Install</w:t>
      </w:r>
    </w:p>
    <w:p w14:paraId="2F949F94" w14:textId="77777777" w:rsidR="00537C85" w:rsidRDefault="00537C85" w:rsidP="00537C85">
      <w:pPr>
        <w:rPr>
          <w:rFonts w:ascii="Calibri" w:hAnsi="Calibri" w:cs="Calibri"/>
          <w:szCs w:val="22"/>
        </w:rPr>
      </w:pPr>
    </w:p>
    <w:p w14:paraId="73BAB52C" w14:textId="77777777" w:rsidR="00537C85" w:rsidRDefault="00537C85" w:rsidP="00537C85">
      <w:pPr>
        <w:rPr>
          <w:rFonts w:ascii="Calibri" w:hAnsi="Calibri" w:cs="Calibri"/>
          <w:b/>
          <w:szCs w:val="22"/>
        </w:rPr>
      </w:pPr>
      <w:r>
        <w:rPr>
          <w:rFonts w:ascii="Calibri" w:hAnsi="Calibri" w:cs="Calibri"/>
          <w:b/>
          <w:szCs w:val="22"/>
        </w:rPr>
        <w:t>PG&amp;E</w:t>
      </w:r>
    </w:p>
    <w:p w14:paraId="6973F155" w14:textId="4434377A" w:rsidR="00FA4BA8" w:rsidRDefault="00FA4BA8" w:rsidP="00537C85">
      <w:pPr>
        <w:rPr>
          <w:rFonts w:ascii="Calibri" w:hAnsi="Calibri" w:cs="Calibri"/>
          <w:szCs w:val="22"/>
        </w:rPr>
      </w:pPr>
      <w:r>
        <w:rPr>
          <w:rFonts w:ascii="Calibri" w:hAnsi="Calibri" w:cs="Calibri"/>
          <w:szCs w:val="22"/>
        </w:rPr>
        <w:t>The delivery methods are:</w:t>
      </w:r>
    </w:p>
    <w:p w14:paraId="741776BA" w14:textId="07736051" w:rsidR="00FA4BA8" w:rsidRPr="00FA4BA8" w:rsidRDefault="00537C85" w:rsidP="00FA4BA8">
      <w:pPr>
        <w:pStyle w:val="ListParagraph"/>
        <w:numPr>
          <w:ilvl w:val="0"/>
          <w:numId w:val="43"/>
        </w:numPr>
        <w:rPr>
          <w:rFonts w:ascii="Calibri" w:hAnsi="Calibri" w:cs="Calibri"/>
          <w:szCs w:val="22"/>
        </w:rPr>
      </w:pPr>
      <w:r w:rsidRPr="00FA4BA8">
        <w:rPr>
          <w:rFonts w:ascii="Calibri" w:hAnsi="Calibri" w:cs="Calibri"/>
          <w:szCs w:val="22"/>
        </w:rPr>
        <w:t>Financial Support / Dow</w:t>
      </w:r>
      <w:r w:rsidR="00FA4BA8" w:rsidRPr="00FA4BA8">
        <w:rPr>
          <w:rFonts w:ascii="Calibri" w:hAnsi="Calibri" w:cs="Calibri"/>
          <w:szCs w:val="22"/>
        </w:rPr>
        <w:t>n-Stream Incentive – Deemed</w:t>
      </w:r>
    </w:p>
    <w:p w14:paraId="5CC552F7" w14:textId="47DA6B56" w:rsidR="00537C85" w:rsidRPr="00FA4BA8" w:rsidRDefault="00537C85" w:rsidP="00FA4BA8">
      <w:pPr>
        <w:pStyle w:val="ListParagraph"/>
        <w:numPr>
          <w:ilvl w:val="0"/>
          <w:numId w:val="43"/>
        </w:numPr>
        <w:rPr>
          <w:rFonts w:ascii="Calibri" w:hAnsi="Calibri" w:cs="Calibri"/>
          <w:szCs w:val="22"/>
        </w:rPr>
      </w:pPr>
      <w:r w:rsidRPr="00FA4BA8">
        <w:rPr>
          <w:rFonts w:ascii="Calibri" w:hAnsi="Calibri" w:cs="Calibri"/>
          <w:szCs w:val="22"/>
        </w:rPr>
        <w:t xml:space="preserve">Partnership / </w:t>
      </w:r>
      <w:r w:rsidR="00FA4BA8" w:rsidRPr="00FA4BA8">
        <w:rPr>
          <w:rFonts w:ascii="Calibri" w:hAnsi="Calibri" w:cs="Calibri"/>
          <w:szCs w:val="22"/>
        </w:rPr>
        <w:t>Down-Stream Incentive – Deemed</w:t>
      </w:r>
    </w:p>
    <w:p w14:paraId="5417E9CD" w14:textId="77777777" w:rsidR="00537C85" w:rsidRDefault="00537C85"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19293BDC" w14:textId="77777777" w:rsidR="00D73EE0" w:rsidRDefault="00D73EE0">
      <w:pPr>
        <w:spacing w:after="200" w:line="276" w:lineRule="auto"/>
        <w:rPr>
          <w:rFonts w:eastAsiaTheme="minorHAnsi" w:cstheme="minorBidi"/>
          <w:b/>
          <w:szCs w:val="22"/>
        </w:rPr>
      </w:pPr>
      <w:r>
        <w:rPr>
          <w:b/>
        </w:rPr>
        <w:br w:type="page"/>
      </w:r>
    </w:p>
    <w:p w14:paraId="7BCC2724" w14:textId="4E687A50" w:rsidR="00C05AAF" w:rsidRPr="00500C4E" w:rsidRDefault="00AA16C0" w:rsidP="00920905">
      <w:pPr>
        <w:pStyle w:val="NoSpacing"/>
      </w:pPr>
      <w:r w:rsidRPr="00DE77D0">
        <w:rPr>
          <w:b/>
        </w:rPr>
        <w:lastRenderedPageBreak/>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4C7E4CC5" w14:textId="77777777" w:rsidR="00537C85" w:rsidRDefault="00537C85" w:rsidP="00920905">
      <w:pPr>
        <w:pStyle w:val="Caption"/>
        <w:keepNext/>
        <w:jc w:val="center"/>
        <w:rPr>
          <w:rFonts w:cs="Arial"/>
          <w:szCs w:val="22"/>
        </w:rPr>
      </w:pPr>
      <w:bookmarkStart w:id="9" w:name="_Toc385592671"/>
      <w:bookmarkStart w:id="10" w:name="_Toc214003087"/>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9AC4DF5" w:rsidR="00E326BA" w:rsidRPr="00537C85" w:rsidRDefault="00537C85" w:rsidP="00920905">
            <w:pPr>
              <w:rPr>
                <w:rFonts w:cs="Arial"/>
                <w:b/>
                <w:szCs w:val="20"/>
              </w:rPr>
            </w:pPr>
            <w:r w:rsidRPr="00537C85">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90605C0" w:rsidR="00E326BA" w:rsidRPr="00537C85" w:rsidRDefault="00537C85" w:rsidP="00920905">
            <w:pPr>
              <w:rPr>
                <w:rFonts w:cs="Arial"/>
                <w:szCs w:val="20"/>
              </w:rPr>
            </w:pPr>
            <w:r w:rsidRPr="00537C85">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A77D4D2" w:rsidR="00E326BA" w:rsidRPr="00537C85" w:rsidRDefault="00537C85" w:rsidP="00920905">
            <w:pPr>
              <w:rPr>
                <w:rFonts w:cs="Arial"/>
                <w:szCs w:val="20"/>
              </w:rPr>
            </w:pPr>
            <w:r w:rsidRPr="00537C85">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17A69C0C" w:rsidR="00E326BA" w:rsidRPr="00537C85" w:rsidRDefault="00537C85" w:rsidP="00920905">
            <w:pPr>
              <w:rPr>
                <w:rFonts w:cs="Arial"/>
                <w:szCs w:val="20"/>
              </w:rPr>
            </w:pPr>
            <w:r w:rsidRPr="00537C85">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9989CA4" w:rsidR="00E326BA" w:rsidRPr="00537C85" w:rsidRDefault="00537C85" w:rsidP="00920905">
            <w:pPr>
              <w:rPr>
                <w:rFonts w:cs="Arial"/>
                <w:szCs w:val="20"/>
              </w:rPr>
            </w:pPr>
            <w:r w:rsidRPr="00537C85">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5F29AC43" w:rsidR="00E326BA" w:rsidRPr="00537C85" w:rsidRDefault="00537C85" w:rsidP="00920905">
            <w:pPr>
              <w:rPr>
                <w:rFonts w:cs="Arial"/>
                <w:szCs w:val="20"/>
              </w:rPr>
            </w:pPr>
            <w:r w:rsidRPr="00537C85">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2B0432F3" w:rsidR="00505CEC" w:rsidRPr="00537C85" w:rsidDel="00505CEC" w:rsidRDefault="00537C85" w:rsidP="00920905">
            <w:pPr>
              <w:rPr>
                <w:rFonts w:cs="Arial"/>
                <w:szCs w:val="20"/>
              </w:rPr>
            </w:pPr>
            <w:r w:rsidRPr="00537C85">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149DD95C" w:rsidR="00D86A9D" w:rsidRPr="00537C85" w:rsidRDefault="00537C85" w:rsidP="00175D14">
            <w:pPr>
              <w:rPr>
                <w:rFonts w:cs="Arial"/>
                <w:szCs w:val="20"/>
              </w:rPr>
            </w:pPr>
            <w:r w:rsidRPr="00537C85">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06A86409" w:rsidR="00E326BA" w:rsidRPr="00537C85" w:rsidRDefault="00E326BA" w:rsidP="00920905">
            <w:pPr>
              <w:rPr>
                <w:rFonts w:cs="Arial"/>
                <w:szCs w:val="20"/>
              </w:rPr>
            </w:pPr>
            <w:r w:rsidRPr="00BD6DB5">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5E285629" w:rsidR="00E326BA" w:rsidRPr="00537C85" w:rsidRDefault="00537C85" w:rsidP="00920905">
            <w:pPr>
              <w:rPr>
                <w:rFonts w:cs="Arial"/>
                <w:szCs w:val="20"/>
              </w:rPr>
            </w:pPr>
            <w:r w:rsidRPr="00537C85">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5E574DF8"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BD6DB5">
        <w:t xml:space="preserve"> v2.4.7</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37C85" w:rsidRPr="00500C4E" w14:paraId="4A5E1950" w14:textId="77777777" w:rsidTr="00532CFD">
        <w:tc>
          <w:tcPr>
            <w:tcW w:w="673" w:type="pct"/>
            <w:vAlign w:val="center"/>
          </w:tcPr>
          <w:p w14:paraId="00952921" w14:textId="735881DA" w:rsidR="00537C85" w:rsidRPr="00500C4E" w:rsidRDefault="00537C85" w:rsidP="00537C85">
            <w:pPr>
              <w:rPr>
                <w:color w:val="FF0000"/>
                <w:szCs w:val="20"/>
              </w:rPr>
            </w:pPr>
            <w:r>
              <w:rPr>
                <w:rFonts w:cstheme="minorHAnsi"/>
                <w:szCs w:val="20"/>
              </w:rPr>
              <w:t>Com-Default&gt;2yrs</w:t>
            </w:r>
          </w:p>
        </w:tc>
        <w:tc>
          <w:tcPr>
            <w:tcW w:w="2019" w:type="pct"/>
            <w:vAlign w:val="center"/>
          </w:tcPr>
          <w:p w14:paraId="755799BF" w14:textId="67CFAE62" w:rsidR="00537C85" w:rsidRPr="00500C4E" w:rsidRDefault="00537C85" w:rsidP="00537C85">
            <w:pPr>
              <w:rPr>
                <w:color w:val="FF0000"/>
                <w:szCs w:val="20"/>
              </w:rPr>
            </w:pPr>
            <w:r>
              <w:rPr>
                <w:rFonts w:cstheme="minorHAnsi"/>
                <w:szCs w:val="20"/>
              </w:rPr>
              <w:t>All other EEMs with no evaluated NTGR; existing EEM in programs with same delivery mechanism for more than 2 years</w:t>
            </w:r>
          </w:p>
        </w:tc>
        <w:tc>
          <w:tcPr>
            <w:tcW w:w="434" w:type="pct"/>
            <w:vAlign w:val="center"/>
          </w:tcPr>
          <w:p w14:paraId="3CB22E86" w14:textId="37388754" w:rsidR="00537C85" w:rsidRPr="00500C4E" w:rsidRDefault="00537C85" w:rsidP="00537C85">
            <w:pPr>
              <w:rPr>
                <w:color w:val="FF0000"/>
                <w:szCs w:val="20"/>
              </w:rPr>
            </w:pPr>
            <w:r>
              <w:rPr>
                <w:rFonts w:cstheme="minorHAnsi"/>
                <w:szCs w:val="20"/>
              </w:rPr>
              <w:t>Com</w:t>
            </w:r>
          </w:p>
        </w:tc>
        <w:tc>
          <w:tcPr>
            <w:tcW w:w="529" w:type="pct"/>
            <w:vAlign w:val="center"/>
          </w:tcPr>
          <w:p w14:paraId="1AAF8C8B" w14:textId="08FF8F81" w:rsidR="00537C85" w:rsidRPr="00500C4E" w:rsidRDefault="00537C85" w:rsidP="00537C85">
            <w:pPr>
              <w:rPr>
                <w:color w:val="FF0000"/>
                <w:szCs w:val="20"/>
              </w:rPr>
            </w:pPr>
            <w:r>
              <w:rPr>
                <w:rFonts w:cstheme="minorHAnsi"/>
                <w:szCs w:val="20"/>
              </w:rPr>
              <w:t>Any</w:t>
            </w:r>
          </w:p>
        </w:tc>
        <w:tc>
          <w:tcPr>
            <w:tcW w:w="915" w:type="pct"/>
            <w:vAlign w:val="center"/>
          </w:tcPr>
          <w:p w14:paraId="5BAF7D5F" w14:textId="23CB39EE" w:rsidR="00537C85" w:rsidRPr="00500C4E" w:rsidRDefault="00537C85" w:rsidP="00537C85">
            <w:pPr>
              <w:rPr>
                <w:color w:val="FF0000"/>
                <w:szCs w:val="20"/>
              </w:rPr>
            </w:pPr>
            <w:r>
              <w:rPr>
                <w:rFonts w:cstheme="minorHAnsi"/>
                <w:szCs w:val="20"/>
              </w:rPr>
              <w:t>Any</w:t>
            </w:r>
          </w:p>
        </w:tc>
        <w:tc>
          <w:tcPr>
            <w:tcW w:w="430" w:type="pct"/>
            <w:vAlign w:val="center"/>
          </w:tcPr>
          <w:p w14:paraId="76698D49" w14:textId="542133C4" w:rsidR="00537C85" w:rsidRPr="00500C4E" w:rsidRDefault="00537C85" w:rsidP="00537C85">
            <w:pPr>
              <w:rPr>
                <w:color w:val="FF0000"/>
                <w:szCs w:val="20"/>
              </w:rPr>
            </w:pPr>
            <w:r>
              <w:rPr>
                <w:rFonts w:cstheme="minorHAnsi"/>
                <w:szCs w:val="20"/>
              </w:rPr>
              <w:t>0.60</w:t>
            </w:r>
          </w:p>
        </w:tc>
      </w:tr>
      <w:tr w:rsidR="00537C85" w:rsidRPr="00500C4E" w14:paraId="5992A313" w14:textId="77777777" w:rsidTr="00532CFD">
        <w:tc>
          <w:tcPr>
            <w:tcW w:w="673" w:type="pct"/>
            <w:vAlign w:val="bottom"/>
          </w:tcPr>
          <w:p w14:paraId="6CA4D447" w14:textId="18CBB614" w:rsidR="00537C85" w:rsidRPr="00500C4E" w:rsidRDefault="00537C85" w:rsidP="00537C85">
            <w:pPr>
              <w:rPr>
                <w:color w:val="FF0000"/>
                <w:szCs w:val="20"/>
              </w:rPr>
            </w:pPr>
            <w:proofErr w:type="spellStart"/>
            <w:r>
              <w:rPr>
                <w:rFonts w:ascii="Calibri" w:hAnsi="Calibri"/>
                <w:color w:val="000000"/>
                <w:szCs w:val="20"/>
              </w:rPr>
              <w:t>Ind</w:t>
            </w:r>
            <w:proofErr w:type="spellEnd"/>
            <w:r>
              <w:rPr>
                <w:rFonts w:ascii="Calibri" w:hAnsi="Calibri"/>
                <w:color w:val="000000"/>
                <w:szCs w:val="20"/>
              </w:rPr>
              <w:t>-Default&gt;2yrs</w:t>
            </w:r>
          </w:p>
        </w:tc>
        <w:tc>
          <w:tcPr>
            <w:tcW w:w="2019" w:type="pct"/>
            <w:vAlign w:val="bottom"/>
          </w:tcPr>
          <w:p w14:paraId="0A70A84C" w14:textId="5A14E8DE" w:rsidR="00537C85" w:rsidRPr="00500C4E" w:rsidRDefault="00537C85" w:rsidP="00537C85">
            <w:pPr>
              <w:rPr>
                <w:color w:val="FF0000"/>
                <w:szCs w:val="20"/>
              </w:rPr>
            </w:pPr>
            <w:r>
              <w:rPr>
                <w:rFonts w:ascii="Calibri" w:hAnsi="Calibri"/>
                <w:color w:val="000000"/>
                <w:szCs w:val="20"/>
              </w:rPr>
              <w:t>All other EEMs with no evaluated NTGR; existing EEM in programs with same delivery mechanism for more than 2 years</w:t>
            </w:r>
          </w:p>
        </w:tc>
        <w:tc>
          <w:tcPr>
            <w:tcW w:w="434" w:type="pct"/>
            <w:vAlign w:val="center"/>
          </w:tcPr>
          <w:p w14:paraId="1EF532DE" w14:textId="6F36710D" w:rsidR="00537C85" w:rsidRPr="00500C4E" w:rsidRDefault="00537C85" w:rsidP="00537C85">
            <w:pPr>
              <w:rPr>
                <w:color w:val="FF0000"/>
                <w:szCs w:val="20"/>
              </w:rPr>
            </w:pPr>
            <w:proofErr w:type="spellStart"/>
            <w:r>
              <w:rPr>
                <w:rFonts w:cstheme="minorHAnsi"/>
                <w:szCs w:val="20"/>
              </w:rPr>
              <w:t>Ind</w:t>
            </w:r>
            <w:proofErr w:type="spellEnd"/>
          </w:p>
        </w:tc>
        <w:tc>
          <w:tcPr>
            <w:tcW w:w="529" w:type="pct"/>
            <w:vAlign w:val="center"/>
          </w:tcPr>
          <w:p w14:paraId="3FAD3E86" w14:textId="169BE8DA" w:rsidR="00537C85" w:rsidRPr="00500C4E" w:rsidRDefault="00537C85" w:rsidP="00537C85">
            <w:pPr>
              <w:rPr>
                <w:color w:val="FF0000"/>
                <w:szCs w:val="20"/>
              </w:rPr>
            </w:pPr>
            <w:r>
              <w:rPr>
                <w:rFonts w:cstheme="minorHAnsi"/>
                <w:szCs w:val="20"/>
              </w:rPr>
              <w:t>Any</w:t>
            </w:r>
          </w:p>
        </w:tc>
        <w:tc>
          <w:tcPr>
            <w:tcW w:w="915" w:type="pct"/>
            <w:vAlign w:val="center"/>
          </w:tcPr>
          <w:p w14:paraId="74446648" w14:textId="7640A0AC" w:rsidR="00537C85" w:rsidRPr="00500C4E" w:rsidRDefault="00537C85" w:rsidP="00537C85">
            <w:pPr>
              <w:rPr>
                <w:color w:val="FF0000"/>
                <w:szCs w:val="20"/>
              </w:rPr>
            </w:pPr>
            <w:r>
              <w:rPr>
                <w:rFonts w:cstheme="minorHAnsi"/>
                <w:szCs w:val="20"/>
              </w:rPr>
              <w:t>Any</w:t>
            </w:r>
          </w:p>
        </w:tc>
        <w:tc>
          <w:tcPr>
            <w:tcW w:w="430" w:type="pct"/>
            <w:vAlign w:val="center"/>
          </w:tcPr>
          <w:p w14:paraId="7F14BC8E" w14:textId="2860F081" w:rsidR="00537C85" w:rsidRPr="00500C4E" w:rsidRDefault="00537C85" w:rsidP="00537C85">
            <w:pPr>
              <w:rPr>
                <w:color w:val="FF0000"/>
                <w:szCs w:val="20"/>
              </w:rPr>
            </w:pPr>
            <w:r>
              <w:rPr>
                <w:rFonts w:cstheme="minorHAnsi"/>
                <w:szCs w:val="20"/>
              </w:rPr>
              <w:t>0.60</w:t>
            </w:r>
          </w:p>
        </w:tc>
      </w:tr>
      <w:tr w:rsidR="00537C85" w:rsidRPr="00500C4E" w14:paraId="27034892" w14:textId="77777777" w:rsidTr="00532CFD">
        <w:tc>
          <w:tcPr>
            <w:tcW w:w="673" w:type="pct"/>
            <w:vAlign w:val="center"/>
          </w:tcPr>
          <w:p w14:paraId="6AB6E989" w14:textId="29F74ED2" w:rsidR="00537C85" w:rsidRPr="00500C4E" w:rsidRDefault="00537C85" w:rsidP="00537C85">
            <w:pPr>
              <w:rPr>
                <w:color w:val="FF0000"/>
                <w:szCs w:val="20"/>
              </w:rPr>
            </w:pPr>
            <w:proofErr w:type="spellStart"/>
            <w:r>
              <w:rPr>
                <w:rFonts w:ascii="Calibri" w:hAnsi="Calibri"/>
                <w:color w:val="000000"/>
                <w:szCs w:val="20"/>
              </w:rPr>
              <w:t>Agric</w:t>
            </w:r>
            <w:proofErr w:type="spellEnd"/>
            <w:r>
              <w:rPr>
                <w:rFonts w:ascii="Calibri" w:hAnsi="Calibri"/>
                <w:color w:val="000000"/>
                <w:szCs w:val="20"/>
              </w:rPr>
              <w:t>-Default&gt;2yrs</w:t>
            </w:r>
          </w:p>
        </w:tc>
        <w:tc>
          <w:tcPr>
            <w:tcW w:w="2019" w:type="pct"/>
            <w:vAlign w:val="center"/>
          </w:tcPr>
          <w:p w14:paraId="062A19B8" w14:textId="0F978C7C" w:rsidR="00537C85" w:rsidRPr="00500C4E" w:rsidRDefault="00537C85" w:rsidP="00537C85">
            <w:pPr>
              <w:rPr>
                <w:color w:val="FF0000"/>
                <w:szCs w:val="20"/>
              </w:rPr>
            </w:pPr>
            <w:r>
              <w:rPr>
                <w:rFonts w:ascii="Calibri" w:hAnsi="Calibri"/>
                <w:color w:val="000000"/>
                <w:szCs w:val="20"/>
              </w:rPr>
              <w:t>All other EEMs with no evaluated NTGR; existing EEM in programs with same delivery mechanism for more than 2 years</w:t>
            </w:r>
          </w:p>
        </w:tc>
        <w:tc>
          <w:tcPr>
            <w:tcW w:w="434" w:type="pct"/>
            <w:vAlign w:val="center"/>
          </w:tcPr>
          <w:p w14:paraId="18295F5E" w14:textId="43F51B62" w:rsidR="00537C85" w:rsidRPr="00500C4E" w:rsidRDefault="00537C85" w:rsidP="00537C85">
            <w:pPr>
              <w:rPr>
                <w:color w:val="FF0000"/>
                <w:szCs w:val="20"/>
              </w:rPr>
            </w:pPr>
            <w:r>
              <w:rPr>
                <w:rFonts w:cstheme="minorHAnsi"/>
                <w:szCs w:val="20"/>
              </w:rPr>
              <w:t>Ag</w:t>
            </w:r>
          </w:p>
        </w:tc>
        <w:tc>
          <w:tcPr>
            <w:tcW w:w="529" w:type="pct"/>
            <w:vAlign w:val="center"/>
          </w:tcPr>
          <w:p w14:paraId="063C637B" w14:textId="2D284A21" w:rsidR="00537C85" w:rsidRPr="00500C4E" w:rsidRDefault="00537C85" w:rsidP="00537C85">
            <w:pPr>
              <w:rPr>
                <w:color w:val="FF0000"/>
                <w:szCs w:val="20"/>
              </w:rPr>
            </w:pPr>
            <w:r>
              <w:rPr>
                <w:rFonts w:cstheme="minorHAnsi"/>
                <w:szCs w:val="20"/>
              </w:rPr>
              <w:t>Any</w:t>
            </w:r>
          </w:p>
        </w:tc>
        <w:tc>
          <w:tcPr>
            <w:tcW w:w="915" w:type="pct"/>
            <w:vAlign w:val="center"/>
          </w:tcPr>
          <w:p w14:paraId="55C1205A" w14:textId="7DB0B16C" w:rsidR="00537C85" w:rsidRPr="00500C4E" w:rsidRDefault="00537C85" w:rsidP="00537C85">
            <w:pPr>
              <w:rPr>
                <w:color w:val="FF0000"/>
                <w:szCs w:val="20"/>
              </w:rPr>
            </w:pPr>
            <w:r>
              <w:rPr>
                <w:rFonts w:cstheme="minorHAnsi"/>
                <w:szCs w:val="20"/>
              </w:rPr>
              <w:t>Any</w:t>
            </w:r>
          </w:p>
        </w:tc>
        <w:tc>
          <w:tcPr>
            <w:tcW w:w="430" w:type="pct"/>
            <w:vAlign w:val="center"/>
          </w:tcPr>
          <w:p w14:paraId="6D02FF26" w14:textId="7E93697A" w:rsidR="00537C85" w:rsidRPr="00500C4E" w:rsidRDefault="00537C85" w:rsidP="00537C85">
            <w:pPr>
              <w:rPr>
                <w:color w:val="FF0000"/>
                <w:szCs w:val="20"/>
              </w:rPr>
            </w:pPr>
            <w:r>
              <w:rPr>
                <w:rFonts w:cstheme="minorHAnsi"/>
                <w:szCs w:val="20"/>
              </w:rPr>
              <w:t>0.60</w:t>
            </w:r>
          </w:p>
        </w:tc>
      </w:tr>
      <w:tr w:rsidR="00537C85" w:rsidRPr="00500C4E" w14:paraId="1B192908" w14:textId="77777777" w:rsidTr="00920905">
        <w:tc>
          <w:tcPr>
            <w:tcW w:w="673" w:type="pct"/>
          </w:tcPr>
          <w:p w14:paraId="365C637D" w14:textId="534E6EE3" w:rsidR="00537C85" w:rsidRPr="00500C4E" w:rsidRDefault="00537C85" w:rsidP="00537C85">
            <w:pPr>
              <w:rPr>
                <w:color w:val="FF0000"/>
                <w:szCs w:val="20"/>
              </w:rPr>
            </w:pPr>
            <w:r>
              <w:rPr>
                <w:szCs w:val="20"/>
              </w:rPr>
              <w:t>Com-Default-HTR-di</w:t>
            </w:r>
          </w:p>
        </w:tc>
        <w:tc>
          <w:tcPr>
            <w:tcW w:w="2019" w:type="pct"/>
          </w:tcPr>
          <w:p w14:paraId="1161953E" w14:textId="0300D701" w:rsidR="00537C85" w:rsidRPr="00500C4E" w:rsidRDefault="00537C85" w:rsidP="00537C85">
            <w:pPr>
              <w:rPr>
                <w:color w:val="FF0000"/>
                <w:szCs w:val="20"/>
              </w:rPr>
            </w:pPr>
            <w:r>
              <w:rPr>
                <w:szCs w:val="20"/>
              </w:rPr>
              <w:t>All other EEM with no evaluated NTGR; direct install to hard-to-reach only.</w:t>
            </w:r>
          </w:p>
        </w:tc>
        <w:tc>
          <w:tcPr>
            <w:tcW w:w="434" w:type="pct"/>
          </w:tcPr>
          <w:p w14:paraId="67A73567" w14:textId="5245015A" w:rsidR="00537C85" w:rsidRPr="00500C4E" w:rsidRDefault="00537C85" w:rsidP="00537C85">
            <w:pPr>
              <w:rPr>
                <w:color w:val="FF0000"/>
                <w:szCs w:val="20"/>
              </w:rPr>
            </w:pPr>
            <w:r>
              <w:rPr>
                <w:szCs w:val="20"/>
              </w:rPr>
              <w:t>Com</w:t>
            </w:r>
          </w:p>
        </w:tc>
        <w:tc>
          <w:tcPr>
            <w:tcW w:w="529" w:type="pct"/>
          </w:tcPr>
          <w:p w14:paraId="14B88E02" w14:textId="3C51B82F" w:rsidR="00537C85" w:rsidRPr="00500C4E" w:rsidRDefault="00537C85" w:rsidP="00537C85">
            <w:pPr>
              <w:rPr>
                <w:color w:val="FF0000"/>
                <w:szCs w:val="20"/>
              </w:rPr>
            </w:pPr>
            <w:r>
              <w:rPr>
                <w:szCs w:val="20"/>
              </w:rPr>
              <w:t>Any</w:t>
            </w:r>
          </w:p>
        </w:tc>
        <w:tc>
          <w:tcPr>
            <w:tcW w:w="915" w:type="pct"/>
          </w:tcPr>
          <w:p w14:paraId="072C9130" w14:textId="2613AF6E" w:rsidR="00537C85" w:rsidRPr="00500C4E" w:rsidRDefault="00537C85" w:rsidP="00537C85">
            <w:pPr>
              <w:rPr>
                <w:color w:val="FF0000"/>
                <w:szCs w:val="20"/>
              </w:rPr>
            </w:pPr>
            <w:r>
              <w:rPr>
                <w:szCs w:val="20"/>
              </w:rPr>
              <w:t>Any</w:t>
            </w:r>
          </w:p>
        </w:tc>
        <w:tc>
          <w:tcPr>
            <w:tcW w:w="430" w:type="pct"/>
          </w:tcPr>
          <w:p w14:paraId="53CA833A" w14:textId="5C3DC5F5" w:rsidR="00537C85" w:rsidRPr="00500C4E" w:rsidRDefault="00537C85" w:rsidP="00537C85">
            <w:pPr>
              <w:rPr>
                <w:color w:val="FF0000"/>
                <w:szCs w:val="20"/>
              </w:rPr>
            </w:pPr>
            <w:r>
              <w:rPr>
                <w:szCs w:val="20"/>
              </w:rPr>
              <w:t>0.85</w:t>
            </w:r>
          </w:p>
        </w:tc>
      </w:tr>
      <w:tr w:rsidR="00537C85" w:rsidRPr="00500C4E" w14:paraId="6CC0EF5E" w14:textId="77777777" w:rsidTr="00920905">
        <w:tc>
          <w:tcPr>
            <w:tcW w:w="673" w:type="pct"/>
          </w:tcPr>
          <w:p w14:paraId="7814587D" w14:textId="48E02E48" w:rsidR="00537C85" w:rsidRPr="00500C4E" w:rsidRDefault="00537C85" w:rsidP="00537C85">
            <w:pPr>
              <w:rPr>
                <w:color w:val="FF0000"/>
                <w:szCs w:val="20"/>
              </w:rPr>
            </w:pPr>
            <w:proofErr w:type="spellStart"/>
            <w:r>
              <w:rPr>
                <w:szCs w:val="20"/>
              </w:rPr>
              <w:lastRenderedPageBreak/>
              <w:t>Ind</w:t>
            </w:r>
            <w:proofErr w:type="spellEnd"/>
            <w:r>
              <w:rPr>
                <w:szCs w:val="20"/>
              </w:rPr>
              <w:t>-Default-HTR-di</w:t>
            </w:r>
          </w:p>
        </w:tc>
        <w:tc>
          <w:tcPr>
            <w:tcW w:w="2019" w:type="pct"/>
          </w:tcPr>
          <w:p w14:paraId="3F93ADFE" w14:textId="5B5C57AC" w:rsidR="00537C85" w:rsidRPr="00500C4E" w:rsidRDefault="00537C85" w:rsidP="00537C85">
            <w:pPr>
              <w:rPr>
                <w:color w:val="FF0000"/>
                <w:szCs w:val="20"/>
              </w:rPr>
            </w:pPr>
            <w:r>
              <w:rPr>
                <w:szCs w:val="20"/>
              </w:rPr>
              <w:t>All other EEM with no evaluated NTGR; direct install to hard-to-reach only.</w:t>
            </w:r>
          </w:p>
        </w:tc>
        <w:tc>
          <w:tcPr>
            <w:tcW w:w="434" w:type="pct"/>
          </w:tcPr>
          <w:p w14:paraId="1F86C969" w14:textId="009C4152" w:rsidR="00537C85" w:rsidRPr="00500C4E" w:rsidRDefault="00537C85" w:rsidP="00537C85">
            <w:pPr>
              <w:rPr>
                <w:color w:val="FF0000"/>
                <w:szCs w:val="20"/>
              </w:rPr>
            </w:pPr>
            <w:proofErr w:type="spellStart"/>
            <w:r>
              <w:rPr>
                <w:szCs w:val="20"/>
              </w:rPr>
              <w:t>Ind</w:t>
            </w:r>
            <w:proofErr w:type="spellEnd"/>
          </w:p>
        </w:tc>
        <w:tc>
          <w:tcPr>
            <w:tcW w:w="529" w:type="pct"/>
          </w:tcPr>
          <w:p w14:paraId="10E97659" w14:textId="0582A67B" w:rsidR="00537C85" w:rsidRPr="00500C4E" w:rsidRDefault="00537C85" w:rsidP="00537C85">
            <w:pPr>
              <w:rPr>
                <w:color w:val="FF0000"/>
                <w:szCs w:val="20"/>
              </w:rPr>
            </w:pPr>
            <w:r>
              <w:rPr>
                <w:szCs w:val="20"/>
              </w:rPr>
              <w:t>Any</w:t>
            </w:r>
          </w:p>
        </w:tc>
        <w:tc>
          <w:tcPr>
            <w:tcW w:w="915" w:type="pct"/>
          </w:tcPr>
          <w:p w14:paraId="676DE675" w14:textId="00397F4D" w:rsidR="00537C85" w:rsidRPr="00500C4E" w:rsidRDefault="00537C85" w:rsidP="00537C85">
            <w:pPr>
              <w:rPr>
                <w:color w:val="FF0000"/>
                <w:szCs w:val="20"/>
              </w:rPr>
            </w:pPr>
            <w:r>
              <w:rPr>
                <w:szCs w:val="20"/>
              </w:rPr>
              <w:t>Any</w:t>
            </w:r>
          </w:p>
        </w:tc>
        <w:tc>
          <w:tcPr>
            <w:tcW w:w="430" w:type="pct"/>
          </w:tcPr>
          <w:p w14:paraId="7E2F0432" w14:textId="38D557F1" w:rsidR="00537C85" w:rsidRPr="00500C4E" w:rsidRDefault="00537C85" w:rsidP="00537C85">
            <w:pPr>
              <w:rPr>
                <w:color w:val="FF0000"/>
                <w:szCs w:val="20"/>
              </w:rPr>
            </w:pPr>
            <w:r>
              <w:rPr>
                <w:szCs w:val="20"/>
              </w:rPr>
              <w:t>0.85</w:t>
            </w:r>
          </w:p>
        </w:tc>
      </w:tr>
      <w:tr w:rsidR="00537C85" w:rsidRPr="00500C4E" w14:paraId="161B46E4" w14:textId="77777777" w:rsidTr="00920905">
        <w:tc>
          <w:tcPr>
            <w:tcW w:w="673" w:type="pct"/>
          </w:tcPr>
          <w:p w14:paraId="16970F42" w14:textId="6B9B7E23" w:rsidR="00537C85" w:rsidRPr="00500C4E" w:rsidRDefault="00537C85" w:rsidP="00537C85">
            <w:pPr>
              <w:rPr>
                <w:color w:val="FF0000"/>
                <w:szCs w:val="20"/>
              </w:rPr>
            </w:pPr>
            <w:proofErr w:type="spellStart"/>
            <w:r>
              <w:rPr>
                <w:szCs w:val="20"/>
              </w:rPr>
              <w:t>Agricult</w:t>
            </w:r>
            <w:proofErr w:type="spellEnd"/>
            <w:r>
              <w:rPr>
                <w:szCs w:val="20"/>
              </w:rPr>
              <w:t>-Default-HTR-di</w:t>
            </w:r>
          </w:p>
        </w:tc>
        <w:tc>
          <w:tcPr>
            <w:tcW w:w="2019" w:type="pct"/>
          </w:tcPr>
          <w:p w14:paraId="3C3106DB" w14:textId="4742E359" w:rsidR="00537C85" w:rsidRPr="00500C4E" w:rsidRDefault="00537C85" w:rsidP="00537C85">
            <w:pPr>
              <w:rPr>
                <w:color w:val="FF0000"/>
                <w:szCs w:val="20"/>
              </w:rPr>
            </w:pPr>
            <w:r>
              <w:rPr>
                <w:szCs w:val="20"/>
              </w:rPr>
              <w:t>All other EEM with no evaluated NTGR; direct install to hard-to-reach only.</w:t>
            </w:r>
          </w:p>
        </w:tc>
        <w:tc>
          <w:tcPr>
            <w:tcW w:w="434" w:type="pct"/>
          </w:tcPr>
          <w:p w14:paraId="3FE0DC05" w14:textId="6C18B70E" w:rsidR="00537C85" w:rsidRPr="00500C4E" w:rsidRDefault="00537C85" w:rsidP="00537C85">
            <w:pPr>
              <w:rPr>
                <w:color w:val="FF0000"/>
                <w:szCs w:val="20"/>
              </w:rPr>
            </w:pPr>
            <w:r>
              <w:rPr>
                <w:szCs w:val="20"/>
              </w:rPr>
              <w:t>Ag</w:t>
            </w:r>
          </w:p>
        </w:tc>
        <w:tc>
          <w:tcPr>
            <w:tcW w:w="529" w:type="pct"/>
          </w:tcPr>
          <w:p w14:paraId="30658B34" w14:textId="0B33793E" w:rsidR="00537C85" w:rsidRPr="00500C4E" w:rsidRDefault="00537C85" w:rsidP="00537C85">
            <w:pPr>
              <w:rPr>
                <w:color w:val="FF0000"/>
                <w:szCs w:val="20"/>
              </w:rPr>
            </w:pPr>
            <w:r>
              <w:rPr>
                <w:szCs w:val="20"/>
              </w:rPr>
              <w:t>Any</w:t>
            </w:r>
          </w:p>
        </w:tc>
        <w:tc>
          <w:tcPr>
            <w:tcW w:w="915" w:type="pct"/>
          </w:tcPr>
          <w:p w14:paraId="429A0622" w14:textId="50BEFB64" w:rsidR="00537C85" w:rsidRPr="00500C4E" w:rsidRDefault="00537C85" w:rsidP="00537C85">
            <w:pPr>
              <w:rPr>
                <w:color w:val="FF0000"/>
                <w:szCs w:val="20"/>
              </w:rPr>
            </w:pPr>
            <w:r>
              <w:rPr>
                <w:szCs w:val="20"/>
              </w:rPr>
              <w:t>Any</w:t>
            </w:r>
          </w:p>
        </w:tc>
        <w:tc>
          <w:tcPr>
            <w:tcW w:w="430" w:type="pct"/>
          </w:tcPr>
          <w:p w14:paraId="29EA21B1" w14:textId="49BF0A30" w:rsidR="00537C85" w:rsidRPr="00500C4E" w:rsidRDefault="00537C85" w:rsidP="00537C85">
            <w:pPr>
              <w:rPr>
                <w:color w:val="FF0000"/>
                <w:szCs w:val="20"/>
              </w:rPr>
            </w:pPr>
            <w:r>
              <w:rPr>
                <w:szCs w:val="20"/>
              </w:rPr>
              <w:t>0.85</w:t>
            </w:r>
          </w:p>
        </w:tc>
      </w:tr>
    </w:tbl>
    <w:p w14:paraId="2595EDF1" w14:textId="2F7B4629" w:rsidR="000968C6" w:rsidRPr="00537C85" w:rsidRDefault="00FB2590" w:rsidP="000968C6">
      <w:pPr>
        <w:pStyle w:val="Reminders"/>
        <w:rPr>
          <w:rFonts w:asciiTheme="minorHAnsi" w:hAnsiTheme="minorHAnsi" w:cstheme="minorHAnsi"/>
          <w:i w:val="0"/>
          <w:color w:val="auto"/>
          <w:sz w:val="20"/>
          <w:szCs w:val="20"/>
        </w:rPr>
      </w:pPr>
      <w:r w:rsidRPr="00537C85">
        <w:rPr>
          <w:rFonts w:asciiTheme="minorHAnsi" w:hAnsiTheme="minorHAnsi" w:cstheme="minorHAnsi"/>
          <w:i w:val="0"/>
          <w:color w:val="auto"/>
          <w:sz w:val="20"/>
          <w:szCs w:val="20"/>
        </w:rPr>
        <w:t>Note: Direct install measures that are not hard-to-reach will use the default NTG value.</w:t>
      </w:r>
    </w:p>
    <w:p w14:paraId="0E13CC18" w14:textId="77777777" w:rsidR="00C018E0" w:rsidRDefault="00C018E0" w:rsidP="000968C6">
      <w:pPr>
        <w:pStyle w:val="Reminders"/>
        <w:rPr>
          <w:rFonts w:asciiTheme="minorHAnsi" w:hAnsiTheme="minorHAnsi" w:cstheme="minorHAnsi"/>
          <w:i w:val="0"/>
          <w:szCs w:val="22"/>
        </w:rPr>
      </w:pPr>
    </w:p>
    <w:p w14:paraId="38E02F86" w14:textId="77777777" w:rsidR="00537C85" w:rsidRDefault="00537C85" w:rsidP="00537C85">
      <w:pPr>
        <w:rPr>
          <w:color w:val="000000" w:themeColor="text1"/>
        </w:rPr>
      </w:pPr>
      <w:r>
        <w:rPr>
          <w:color w:val="000000" w:themeColor="text1"/>
        </w:rPr>
        <w:t xml:space="preserve">This work paper includes measures that are offered via direct install activities into hard-to-reach (HTR) customer facilities.  “Final Resolution E-4700”, dated December 18, 2014, defines specific criteria to classify customer facilities as HTR and also states that two criteria are sufficient to identify HTR customers if one of the criteria met is the geographic criteria.  </w:t>
      </w:r>
    </w:p>
    <w:p w14:paraId="51DE3206" w14:textId="77777777" w:rsidR="00261046" w:rsidRDefault="00261046" w:rsidP="00537C85">
      <w:pPr>
        <w:rPr>
          <w:color w:val="000000" w:themeColor="text1"/>
          <w:szCs w:val="22"/>
        </w:rPr>
      </w:pPr>
    </w:p>
    <w:p w14:paraId="0B8BF575" w14:textId="77777777" w:rsidR="00537C85" w:rsidRDefault="00537C85" w:rsidP="00537C85">
      <w:pPr>
        <w:rPr>
          <w:color w:val="000000" w:themeColor="text1"/>
        </w:rPr>
      </w:pPr>
      <w:r>
        <w:rPr>
          <w:color w:val="000000" w:themeColor="text1"/>
        </w:rPr>
        <w:t>SCE’s Commercial Direct Install program delivers free and low cost energy efficiency hardware retrofits through installation contractors to reduce peak demand and energy savings for small and medium commercial customers.  The barriers for customer participation include limited capital resources, lack of expertise and understanding of the understanding of the benefits of energy efficiency, a suspicion of the “free offer” and its legitimacy, and language and cultural barriers.  The program also addresses the ongoing concern with “split incentives”, where the customer is not the owner of the property, and therefore, lack incentive to improve their energy usage.  SCE’s Commercial Direct Install program will track the following three (3) customer data points to identify direct install activities in HTR customer facilities.  If geography and business size criteria are satisfied, SCE will identify the customer as HTR.  If geography and language criteria are satisfied, SCE will identify the customer as HTR.  Other measures in the Commercial Direct Install program will receive default NTG (NTGR_ID: Com-Default&gt;2), unless otherwise specified in DEER.</w:t>
      </w:r>
    </w:p>
    <w:p w14:paraId="5C1AE060" w14:textId="77777777" w:rsidR="00B61DCC" w:rsidRDefault="00B61DCC" w:rsidP="00537C85">
      <w:pPr>
        <w:rPr>
          <w:color w:val="000000" w:themeColor="text1"/>
        </w:rPr>
      </w:pPr>
    </w:p>
    <w:p w14:paraId="135451D0" w14:textId="77777777" w:rsidR="00537C85" w:rsidRDefault="00537C85" w:rsidP="00537C85">
      <w:pPr>
        <w:rPr>
          <w:color w:val="000000" w:themeColor="text1"/>
        </w:rPr>
      </w:pPr>
      <w:proofErr w:type="gramStart"/>
      <w:r>
        <w:rPr>
          <w:color w:val="000000" w:themeColor="text1"/>
        </w:rPr>
        <w:t>o</w:t>
      </w:r>
      <w:proofErr w:type="gramEnd"/>
      <w:r>
        <w:rPr>
          <w:color w:val="000000" w:themeColor="text1"/>
        </w:rPr>
        <w:tab/>
      </w:r>
      <w:r>
        <w:rPr>
          <w:b/>
          <w:color w:val="000000" w:themeColor="text1"/>
        </w:rPr>
        <w:t>Business Size</w:t>
      </w:r>
      <w:r>
        <w:rPr>
          <w:color w:val="000000" w:themeColor="text1"/>
        </w:rPr>
        <w:t xml:space="preserve"> – Customer must have less than ten employees </w:t>
      </w:r>
    </w:p>
    <w:p w14:paraId="24D356E8" w14:textId="77777777" w:rsidR="00537C85" w:rsidRDefault="00537C85" w:rsidP="00537C85">
      <w:pPr>
        <w:rPr>
          <w:color w:val="000000" w:themeColor="text1"/>
        </w:rPr>
      </w:pPr>
      <w:proofErr w:type="gramStart"/>
      <w:r>
        <w:rPr>
          <w:color w:val="000000" w:themeColor="text1"/>
        </w:rPr>
        <w:t>o</w:t>
      </w:r>
      <w:proofErr w:type="gramEnd"/>
      <w:r>
        <w:rPr>
          <w:color w:val="000000" w:themeColor="text1"/>
        </w:rPr>
        <w:tab/>
      </w:r>
      <w:r>
        <w:rPr>
          <w:b/>
          <w:color w:val="000000" w:themeColor="text1"/>
        </w:rPr>
        <w:t>Language</w:t>
      </w:r>
      <w:r>
        <w:rPr>
          <w:color w:val="000000" w:themeColor="text1"/>
        </w:rPr>
        <w:t xml:space="preserve"> – Customer’s primary language spoken is not English</w:t>
      </w:r>
    </w:p>
    <w:p w14:paraId="5AB9BA8D" w14:textId="77777777" w:rsidR="00537C85" w:rsidRDefault="00537C85" w:rsidP="00537C85">
      <w:pPr>
        <w:ind w:left="720" w:hanging="720"/>
        <w:rPr>
          <w:color w:val="000000" w:themeColor="text1"/>
        </w:rPr>
      </w:pPr>
      <w:r>
        <w:rPr>
          <w:color w:val="000000" w:themeColor="text1"/>
        </w:rPr>
        <w:t>o</w:t>
      </w:r>
      <w:r>
        <w:rPr>
          <w:color w:val="000000" w:themeColor="text1"/>
        </w:rPr>
        <w:tab/>
      </w:r>
      <w:r>
        <w:rPr>
          <w:b/>
          <w:color w:val="000000" w:themeColor="text1"/>
        </w:rPr>
        <w:t>Geography</w:t>
      </w:r>
      <w:r>
        <w:rPr>
          <w:color w:val="000000" w:themeColor="text1"/>
        </w:rPr>
        <w:t xml:space="preserve"> – Businesses in areas other than the United States Office of Management and Budget (OMB) Combined Statistical Areas (CSA) of the San Francisco Bay Area,  the Greater Los Angeles Area and the Greater Sacramento Area  or the OBM metropolitan statistical areas or San Diego County</w:t>
      </w:r>
    </w:p>
    <w:p w14:paraId="22369CE0" w14:textId="77777777" w:rsidR="00537C85" w:rsidRDefault="00537C85" w:rsidP="00537C85">
      <w:pPr>
        <w:ind w:left="720"/>
        <w:rPr>
          <w:color w:val="000000" w:themeColor="text1"/>
        </w:rPr>
      </w:pPr>
      <w:r>
        <w:rPr>
          <w:color w:val="000000" w:themeColor="text1"/>
        </w:rPr>
        <w:t>The “Required Corrections to Measure Level Input Parameters Identified by Commission Staff per D.14-10-046 Order Paragraph 16”, dated November 3, 2014, includes additional clarification for the geographic criteria:</w:t>
      </w:r>
    </w:p>
    <w:p w14:paraId="242CF533" w14:textId="77777777" w:rsidR="00537C85" w:rsidRDefault="00537C85" w:rsidP="00537C85">
      <w:pPr>
        <w:ind w:left="720"/>
        <w:rPr>
          <w:color w:val="000000" w:themeColor="text1"/>
        </w:rPr>
      </w:pPr>
      <w:r>
        <w:rPr>
          <w:color w:val="000000" w:themeColor="text1"/>
        </w:rPr>
        <w:t>“Notes on OMB CSA designations:</w:t>
      </w:r>
    </w:p>
    <w:p w14:paraId="6BC7655D" w14:textId="77777777" w:rsidR="00537C85" w:rsidRDefault="00537C85" w:rsidP="00537C85">
      <w:pPr>
        <w:ind w:left="720"/>
        <w:rPr>
          <w:color w:val="000000" w:themeColor="text1"/>
        </w:rPr>
      </w:pPr>
      <w:r>
        <w:rPr>
          <w:color w:val="000000" w:themeColor="text1"/>
        </w:rPr>
        <w:t>The OMB has designated a 12-county CSA titled the San Jose-San Francisco-Oakland, CA Combined Statistical Area which includes the nine counties of Alameda, Contra Costa, Marin, Napa, San Francisco, San Mateo, Santa Clara, Solano, and Sonoma which border the San Francisco Bay plus the three counties of San Joaquin, Santa Cruz, and San Benito that are economically tied to the nine counties that that border the San Francisco Bay.”</w:t>
      </w:r>
    </w:p>
    <w:p w14:paraId="5B8897B2" w14:textId="77777777" w:rsidR="00537C85" w:rsidRDefault="00537C85" w:rsidP="00537C85">
      <w:pPr>
        <w:ind w:left="720"/>
        <w:rPr>
          <w:color w:val="000000" w:themeColor="text1"/>
        </w:rPr>
      </w:pPr>
      <w:r>
        <w:rPr>
          <w:color w:val="000000" w:themeColor="text1"/>
        </w:rPr>
        <w:t xml:space="preserve">The OMB definition of this CSA includes Los Angeles, Orange, </w:t>
      </w:r>
      <w:proofErr w:type="gramStart"/>
      <w:r>
        <w:rPr>
          <w:color w:val="000000" w:themeColor="text1"/>
        </w:rPr>
        <w:t>San</w:t>
      </w:r>
      <w:proofErr w:type="gramEnd"/>
      <w:r>
        <w:rPr>
          <w:color w:val="000000" w:themeColor="text1"/>
        </w:rPr>
        <w:t xml:space="preserve"> Bernardino, Riverside and Ventura counties.</w:t>
      </w:r>
    </w:p>
    <w:p w14:paraId="22306BB2" w14:textId="77777777" w:rsidR="00537C85" w:rsidRDefault="00537C85" w:rsidP="00537C85">
      <w:pPr>
        <w:ind w:left="720"/>
        <w:rPr>
          <w:color w:val="000000" w:themeColor="text1"/>
        </w:rPr>
      </w:pPr>
      <w:r>
        <w:rPr>
          <w:color w:val="000000" w:themeColor="text1"/>
        </w:rPr>
        <w:t xml:space="preserve">The OMB definition of this CSA includes Sacramento, Yolo, </w:t>
      </w:r>
      <w:proofErr w:type="gramStart"/>
      <w:r>
        <w:rPr>
          <w:color w:val="000000" w:themeColor="text1"/>
        </w:rPr>
        <w:t>El</w:t>
      </w:r>
      <w:proofErr w:type="gramEnd"/>
      <w:r>
        <w:rPr>
          <w:color w:val="000000" w:themeColor="text1"/>
        </w:rPr>
        <w:t xml:space="preserve"> Dorado, Placer, Sutter, Yuba, and Nevada counties.”  </w:t>
      </w:r>
    </w:p>
    <w:p w14:paraId="273F689D" w14:textId="77777777" w:rsidR="00537C85" w:rsidRPr="00920905" w:rsidRDefault="00537C85" w:rsidP="000968C6">
      <w:pPr>
        <w:pStyle w:val="Reminders"/>
        <w:rPr>
          <w:rFonts w:asciiTheme="minorHAnsi" w:hAnsiTheme="minorHAnsi" w:cstheme="minorHAnsi"/>
          <w:i w:val="0"/>
          <w:szCs w:val="22"/>
        </w:rPr>
      </w:pPr>
    </w:p>
    <w:p w14:paraId="7D47DB94" w14:textId="77777777" w:rsidR="00D73EE0" w:rsidRDefault="00D73EE0">
      <w:pPr>
        <w:spacing w:after="200" w:line="276" w:lineRule="auto"/>
        <w:rPr>
          <w:rFonts w:cstheme="minorHAnsi"/>
          <w:b/>
          <w:szCs w:val="22"/>
        </w:rPr>
      </w:pPr>
      <w:r>
        <w:rPr>
          <w:rFonts w:cstheme="minorHAnsi"/>
          <w:b/>
          <w:i/>
          <w:szCs w:val="22"/>
        </w:rPr>
        <w:br w:type="page"/>
      </w:r>
    </w:p>
    <w:p w14:paraId="4FDF0BF9" w14:textId="5DEA36DE"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lastRenderedPageBreak/>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66E91C31"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7C0262">
        <w:t xml:space="preserve"> v2.4.7</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B61DCC" w:rsidRDefault="002F4E34" w:rsidP="005729C8">
            <w:pPr>
              <w:rPr>
                <w:szCs w:val="20"/>
              </w:rPr>
            </w:pPr>
            <w:r w:rsidRPr="00B61DCC">
              <w:rPr>
                <w:szCs w:val="20"/>
              </w:rPr>
              <w:t>Def-GSIA</w:t>
            </w:r>
          </w:p>
        </w:tc>
        <w:tc>
          <w:tcPr>
            <w:tcW w:w="1404" w:type="pct"/>
          </w:tcPr>
          <w:p w14:paraId="2BFFF598" w14:textId="77777777" w:rsidR="002F4E34" w:rsidRPr="00B61DCC" w:rsidRDefault="002F4E34" w:rsidP="005729C8">
            <w:pPr>
              <w:rPr>
                <w:szCs w:val="20"/>
              </w:rPr>
            </w:pPr>
            <w:r w:rsidRPr="00B61DCC">
              <w:rPr>
                <w:szCs w:val="20"/>
              </w:rPr>
              <w:t>Default GSIA values</w:t>
            </w:r>
          </w:p>
        </w:tc>
        <w:tc>
          <w:tcPr>
            <w:tcW w:w="688" w:type="pct"/>
          </w:tcPr>
          <w:p w14:paraId="157D8A62" w14:textId="77777777" w:rsidR="002F4E34" w:rsidRPr="00B61DCC" w:rsidRDefault="002F4E34" w:rsidP="005729C8">
            <w:pPr>
              <w:rPr>
                <w:szCs w:val="20"/>
              </w:rPr>
            </w:pPr>
            <w:r w:rsidRPr="00B61DCC">
              <w:rPr>
                <w:szCs w:val="20"/>
              </w:rPr>
              <w:t>Any</w:t>
            </w:r>
          </w:p>
        </w:tc>
        <w:tc>
          <w:tcPr>
            <w:tcW w:w="858" w:type="pct"/>
          </w:tcPr>
          <w:p w14:paraId="0C3293FE" w14:textId="77777777" w:rsidR="002F4E34" w:rsidRPr="00B61DCC" w:rsidRDefault="002F4E34" w:rsidP="005729C8">
            <w:pPr>
              <w:rPr>
                <w:szCs w:val="20"/>
              </w:rPr>
            </w:pPr>
            <w:r w:rsidRPr="00B61DCC">
              <w:rPr>
                <w:szCs w:val="20"/>
              </w:rPr>
              <w:t>Any</w:t>
            </w:r>
          </w:p>
        </w:tc>
        <w:tc>
          <w:tcPr>
            <w:tcW w:w="693" w:type="pct"/>
          </w:tcPr>
          <w:p w14:paraId="0B642835" w14:textId="77777777" w:rsidR="002F4E34" w:rsidRPr="00B61DCC" w:rsidRDefault="002F4E34" w:rsidP="005729C8">
            <w:pPr>
              <w:rPr>
                <w:szCs w:val="20"/>
              </w:rPr>
            </w:pPr>
            <w:r w:rsidRPr="00B61DCC">
              <w:rPr>
                <w:szCs w:val="20"/>
              </w:rPr>
              <w:t>Any</w:t>
            </w:r>
          </w:p>
        </w:tc>
        <w:tc>
          <w:tcPr>
            <w:tcW w:w="634" w:type="pct"/>
          </w:tcPr>
          <w:p w14:paraId="1C671DD2" w14:textId="77777777" w:rsidR="002F4E34" w:rsidRPr="00B61DCC" w:rsidRDefault="002F4E34" w:rsidP="005729C8">
            <w:pPr>
              <w:rPr>
                <w:szCs w:val="20"/>
              </w:rPr>
            </w:pPr>
            <w:r w:rsidRPr="00B61DCC">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49CCEB3" w:rsidR="008B1357" w:rsidRPr="00920905" w:rsidRDefault="006A6D15" w:rsidP="00920905">
      <w:pPr>
        <w:pStyle w:val="NoSpacing"/>
      </w:pPr>
      <w:r w:rsidRPr="0087393E">
        <w:t xml:space="preserve">The EUL and RUL values were obtained </w:t>
      </w:r>
      <w:r w:rsidR="00BC6524" w:rsidRPr="0087393E">
        <w:t>using the DEER READI tool</w:t>
      </w:r>
      <w:r w:rsidR="007C0262">
        <w:t xml:space="preserve"> v2.4.7</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8B1357" w:rsidRPr="00500C4E" w14:paraId="5A9EC2BE" w14:textId="77777777" w:rsidTr="00B61DCC">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61DCC" w:rsidRPr="00500C4E" w14:paraId="23E3B0B0" w14:textId="77777777" w:rsidTr="00B61DCC">
        <w:trPr>
          <w:trHeight w:val="243"/>
        </w:trPr>
        <w:tc>
          <w:tcPr>
            <w:tcW w:w="824" w:type="pct"/>
          </w:tcPr>
          <w:p w14:paraId="17A1D7F4" w14:textId="3C78E867" w:rsidR="00B61DCC" w:rsidRPr="00500C4E" w:rsidRDefault="00B61DCC" w:rsidP="00B61DCC">
            <w:pPr>
              <w:jc w:val="both"/>
              <w:rPr>
                <w:color w:val="FF0000"/>
                <w:szCs w:val="20"/>
              </w:rPr>
            </w:pPr>
            <w:r>
              <w:rPr>
                <w:rFonts w:cstheme="minorHAnsi"/>
                <w:szCs w:val="20"/>
              </w:rPr>
              <w:t>Plug-Software</w:t>
            </w:r>
          </w:p>
        </w:tc>
        <w:tc>
          <w:tcPr>
            <w:tcW w:w="1435" w:type="pct"/>
            <w:vAlign w:val="bottom"/>
          </w:tcPr>
          <w:p w14:paraId="36E678D1" w14:textId="1E575D8E" w:rsidR="00B61DCC" w:rsidRPr="00500C4E" w:rsidRDefault="00B61DCC" w:rsidP="00B61DCC">
            <w:pPr>
              <w:jc w:val="both"/>
              <w:rPr>
                <w:color w:val="FF0000"/>
                <w:szCs w:val="20"/>
              </w:rPr>
            </w:pPr>
            <w:r w:rsidRPr="00B61DCC">
              <w:rPr>
                <w:rFonts w:cstheme="minorHAnsi"/>
                <w:szCs w:val="20"/>
              </w:rPr>
              <w:t>Power Management Software</w:t>
            </w:r>
          </w:p>
        </w:tc>
        <w:tc>
          <w:tcPr>
            <w:tcW w:w="473" w:type="pct"/>
          </w:tcPr>
          <w:p w14:paraId="42B5C736" w14:textId="77777777" w:rsidR="00B61DCC" w:rsidRPr="00B61DCC" w:rsidRDefault="00B61DCC" w:rsidP="00B61DCC">
            <w:pPr>
              <w:rPr>
                <w:szCs w:val="20"/>
              </w:rPr>
            </w:pPr>
            <w:r w:rsidRPr="00B61DCC">
              <w:rPr>
                <w:szCs w:val="20"/>
              </w:rPr>
              <w:t>Com</w:t>
            </w:r>
          </w:p>
        </w:tc>
        <w:tc>
          <w:tcPr>
            <w:tcW w:w="679" w:type="pct"/>
          </w:tcPr>
          <w:p w14:paraId="52A841ED" w14:textId="14CF6F31" w:rsidR="00B61DCC" w:rsidRPr="00B61DCC" w:rsidRDefault="00B61DCC" w:rsidP="00B61DCC">
            <w:pPr>
              <w:rPr>
                <w:szCs w:val="20"/>
              </w:rPr>
            </w:pPr>
            <w:r w:rsidRPr="00B61DCC">
              <w:rPr>
                <w:szCs w:val="20"/>
              </w:rPr>
              <w:t>N/A</w:t>
            </w:r>
          </w:p>
        </w:tc>
        <w:tc>
          <w:tcPr>
            <w:tcW w:w="812" w:type="pct"/>
          </w:tcPr>
          <w:p w14:paraId="1BF5FCBD" w14:textId="3586B6C5" w:rsidR="00B61DCC" w:rsidRPr="00B61DCC" w:rsidRDefault="00B61DCC" w:rsidP="00B61DCC">
            <w:pPr>
              <w:rPr>
                <w:szCs w:val="20"/>
              </w:rPr>
            </w:pPr>
            <w:r w:rsidRPr="00B61DCC">
              <w:rPr>
                <w:szCs w:val="20"/>
              </w:rPr>
              <w:t>5</w:t>
            </w:r>
          </w:p>
        </w:tc>
        <w:tc>
          <w:tcPr>
            <w:tcW w:w="776" w:type="pct"/>
          </w:tcPr>
          <w:p w14:paraId="46ED97C1" w14:textId="05C6F299" w:rsidR="00B61DCC" w:rsidRPr="00B61DCC" w:rsidRDefault="00B61DCC" w:rsidP="00B61DCC">
            <w:pPr>
              <w:rPr>
                <w:szCs w:val="20"/>
              </w:rPr>
            </w:pPr>
            <w:r w:rsidRPr="00B61DCC">
              <w:rPr>
                <w:szCs w:val="20"/>
              </w:rPr>
              <w:t>1.7</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7FCE26FD" w14:textId="77777777" w:rsidR="00B61DCC" w:rsidRDefault="00B61DCC" w:rsidP="00B61DCC">
      <w:pPr>
        <w:rPr>
          <w:rFonts w:ascii="Calibri" w:hAnsi="Calibri" w:cs="Calibri"/>
          <w:szCs w:val="22"/>
        </w:rPr>
      </w:pPr>
      <w:r>
        <w:rPr>
          <w:rFonts w:ascii="Calibri" w:hAnsi="Calibri" w:cs="Calibri"/>
          <w:szCs w:val="22"/>
        </w:rPr>
        <w:t>There are neither federal nor state codes applicable to power management software for networked personal computers.</w:t>
      </w:r>
    </w:p>
    <w:p w14:paraId="700AE425" w14:textId="77777777" w:rsidR="00B61DCC" w:rsidRDefault="00B61DCC"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7832DE7C" w:rsidR="00881A42" w:rsidRPr="00B61DCC" w:rsidRDefault="006A6D15" w:rsidP="00DF0D19">
            <w:pPr>
              <w:rPr>
                <w:rFonts w:cstheme="minorHAnsi"/>
                <w:szCs w:val="20"/>
              </w:rPr>
            </w:pPr>
            <w:r w:rsidRPr="00B61DCC">
              <w:rPr>
                <w:rFonts w:cstheme="minorHAnsi"/>
                <w:szCs w:val="20"/>
              </w:rPr>
              <w:t>Title 24 (201</w:t>
            </w:r>
            <w:r w:rsidR="00A873B1">
              <w:rPr>
                <w:rFonts w:cstheme="minorHAnsi"/>
                <w:szCs w:val="20"/>
              </w:rPr>
              <w:t>6</w:t>
            </w:r>
            <w:r w:rsidR="00881A42" w:rsidRPr="00B61DCC">
              <w:rPr>
                <w:rFonts w:cstheme="minorHAnsi"/>
                <w:szCs w:val="20"/>
              </w:rPr>
              <w:t>)</w:t>
            </w:r>
          </w:p>
        </w:tc>
        <w:tc>
          <w:tcPr>
            <w:tcW w:w="2711" w:type="pct"/>
          </w:tcPr>
          <w:p w14:paraId="387D6828" w14:textId="771FD939" w:rsidR="00881A42" w:rsidRPr="00B61DCC" w:rsidRDefault="00B61DCC" w:rsidP="00DF0D19">
            <w:pPr>
              <w:rPr>
                <w:rFonts w:cstheme="minorHAnsi"/>
                <w:szCs w:val="20"/>
              </w:rPr>
            </w:pPr>
            <w:r w:rsidRPr="00B61DCC">
              <w:rPr>
                <w:rFonts w:cstheme="minorHAnsi"/>
                <w:szCs w:val="20"/>
              </w:rPr>
              <w:t>N/A</w:t>
            </w:r>
          </w:p>
        </w:tc>
        <w:tc>
          <w:tcPr>
            <w:tcW w:w="1134" w:type="pct"/>
          </w:tcPr>
          <w:p w14:paraId="3E1189F8" w14:textId="280B4264" w:rsidR="00881A42" w:rsidRPr="00B61DCC" w:rsidRDefault="00A873B1" w:rsidP="00DF0D19">
            <w:pPr>
              <w:rPr>
                <w:rFonts w:cstheme="minorHAnsi"/>
                <w:szCs w:val="20"/>
              </w:rPr>
            </w:pPr>
            <w:r>
              <w:rPr>
                <w:rFonts w:cstheme="minorHAnsi"/>
                <w:szCs w:val="20"/>
              </w:rPr>
              <w:t>January</w:t>
            </w:r>
            <w:r w:rsidRPr="00B61DCC">
              <w:rPr>
                <w:rFonts w:cstheme="minorHAnsi"/>
                <w:szCs w:val="20"/>
              </w:rPr>
              <w:t xml:space="preserve"> 1, 201</w:t>
            </w:r>
            <w:r>
              <w:rPr>
                <w:rFonts w:cstheme="minorHAnsi"/>
                <w:szCs w:val="20"/>
              </w:rPr>
              <w:t>7</w:t>
            </w:r>
          </w:p>
        </w:tc>
      </w:tr>
      <w:tr w:rsidR="00881A42" w:rsidRPr="00500C4E" w14:paraId="55950BED" w14:textId="77777777" w:rsidTr="00920905">
        <w:trPr>
          <w:trHeight w:val="243"/>
        </w:trPr>
        <w:tc>
          <w:tcPr>
            <w:tcW w:w="1155" w:type="pct"/>
          </w:tcPr>
          <w:p w14:paraId="4AB4ED28" w14:textId="528E3DF2" w:rsidR="00881A42" w:rsidRPr="00B61DCC" w:rsidRDefault="006A6D15" w:rsidP="00DF0D19">
            <w:pPr>
              <w:rPr>
                <w:rFonts w:cstheme="minorHAnsi"/>
                <w:szCs w:val="20"/>
              </w:rPr>
            </w:pPr>
            <w:r w:rsidRPr="00A873B1">
              <w:rPr>
                <w:rFonts w:cstheme="minorHAnsi"/>
                <w:szCs w:val="20"/>
              </w:rPr>
              <w:t>Title 20 (201</w:t>
            </w:r>
            <w:r w:rsidR="00A873B1" w:rsidRPr="00A873B1">
              <w:rPr>
                <w:rFonts w:cstheme="minorHAnsi"/>
                <w:szCs w:val="20"/>
              </w:rPr>
              <w:t>6</w:t>
            </w:r>
            <w:r w:rsidR="002C6C7A" w:rsidRPr="00A873B1">
              <w:rPr>
                <w:rFonts w:cstheme="minorHAnsi"/>
                <w:szCs w:val="20"/>
              </w:rPr>
              <w:t>)</w:t>
            </w:r>
          </w:p>
        </w:tc>
        <w:tc>
          <w:tcPr>
            <w:tcW w:w="2711" w:type="pct"/>
          </w:tcPr>
          <w:p w14:paraId="19FAE8D5" w14:textId="1BDD5CEA" w:rsidR="00881A42" w:rsidRPr="00B61DCC" w:rsidRDefault="00B61DCC" w:rsidP="00DF0D19">
            <w:pPr>
              <w:rPr>
                <w:rFonts w:cstheme="minorHAnsi"/>
                <w:szCs w:val="20"/>
              </w:rPr>
            </w:pPr>
            <w:r w:rsidRPr="00B61DCC">
              <w:rPr>
                <w:rFonts w:cstheme="minorHAnsi"/>
                <w:szCs w:val="20"/>
              </w:rPr>
              <w:t>N/A</w:t>
            </w:r>
          </w:p>
        </w:tc>
        <w:tc>
          <w:tcPr>
            <w:tcW w:w="1134" w:type="pct"/>
          </w:tcPr>
          <w:p w14:paraId="49C2E9ED" w14:textId="1FE91610" w:rsidR="00881A42" w:rsidRPr="00B61DCC" w:rsidRDefault="00A873B1" w:rsidP="00A873B1">
            <w:pPr>
              <w:rPr>
                <w:rFonts w:cstheme="minorHAnsi"/>
                <w:szCs w:val="20"/>
              </w:rPr>
            </w:pPr>
            <w:r>
              <w:rPr>
                <w:rFonts w:cstheme="minorHAnsi"/>
                <w:szCs w:val="20"/>
              </w:rPr>
              <w:t>January</w:t>
            </w:r>
            <w:r w:rsidRPr="00B61DCC">
              <w:rPr>
                <w:rFonts w:cstheme="minorHAnsi"/>
                <w:szCs w:val="20"/>
              </w:rPr>
              <w:t xml:space="preserve"> </w:t>
            </w:r>
            <w:r w:rsidR="006A6D15" w:rsidRPr="00B61DCC">
              <w:rPr>
                <w:rFonts w:cstheme="minorHAnsi"/>
                <w:szCs w:val="20"/>
              </w:rPr>
              <w:t>1, 201</w:t>
            </w:r>
            <w:r>
              <w:rPr>
                <w:rFonts w:cstheme="minorHAnsi"/>
                <w:szCs w:val="20"/>
              </w:rPr>
              <w:t>6</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14068225" w14:textId="310EB8B8" w:rsidR="00CE5B0B" w:rsidRDefault="00CE5B0B" w:rsidP="00CE5B0B">
      <w:pPr>
        <w:rPr>
          <w:b/>
          <w:i/>
        </w:rPr>
      </w:pPr>
      <w:r>
        <w:rPr>
          <w:rFonts w:ascii="Calibri" w:hAnsi="Calibri" w:cs="Calibri"/>
          <w:szCs w:val="22"/>
        </w:rPr>
        <w:t xml:space="preserve">The LBNL 1096E [B], LBNL-37383 [C] and the LBNL 45917 [D] were used to investigate the EUL for this measure. LBNL 1096E was a study to investigate the “lifetime” value for computer monitors. The LBNL 45917 study was used to investigate the EUL for office and network equipment and the LBNL-37383 study was used to investigate the life cycle of the network computer and server. </w:t>
      </w:r>
    </w:p>
    <w:p w14:paraId="2B59DE33" w14:textId="77777777" w:rsidR="00CE5B0B" w:rsidRDefault="00CE5B0B" w:rsidP="00CE5B0B">
      <w:pPr>
        <w:pStyle w:val="NoSpacing"/>
        <w:rPr>
          <w:color w:val="FF0000"/>
        </w:rPr>
      </w:pPr>
      <w:r w:rsidRPr="00920905">
        <w:rPr>
          <w:color w:val="FF0000"/>
        </w:rPr>
        <w:t xml:space="preserve"> </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7A6CF450" w:rsidR="00602F18" w:rsidRPr="00CE5B0B" w:rsidRDefault="00CE5B0B" w:rsidP="00CE5B0B">
      <w:pPr>
        <w:rPr>
          <w:rFonts w:cs="Arial"/>
          <w:szCs w:val="22"/>
        </w:rPr>
      </w:pPr>
      <w:r w:rsidRPr="00CE5B0B">
        <w:rPr>
          <w:rFonts w:cs="Arial"/>
          <w:szCs w:val="22"/>
        </w:rPr>
        <w:t>N/A</w:t>
      </w:r>
    </w:p>
    <w:p w14:paraId="7FB87CB7" w14:textId="77777777" w:rsidR="00D73EE0" w:rsidRDefault="00D73EE0">
      <w:pPr>
        <w:spacing w:after="200" w:line="276" w:lineRule="auto"/>
        <w:rPr>
          <w:rFonts w:cstheme="minorHAnsi"/>
          <w:b/>
          <w:bCs/>
          <w:smallCaps/>
          <w:kern w:val="32"/>
          <w:sz w:val="36"/>
          <w:szCs w:val="32"/>
        </w:rPr>
      </w:pPr>
      <w:r>
        <w:rPr>
          <w:rFonts w:cstheme="minorHAnsi"/>
        </w:rPr>
        <w:br w:type="page"/>
      </w:r>
    </w:p>
    <w:p w14:paraId="015A5544" w14:textId="48BFC369" w:rsidR="00E16609" w:rsidRPr="00500C4E" w:rsidRDefault="00E16609" w:rsidP="00560934">
      <w:pPr>
        <w:pStyle w:val="Heading1"/>
        <w:keepNext w:val="0"/>
        <w:rPr>
          <w:rFonts w:cstheme="minorHAnsi"/>
        </w:rPr>
      </w:pPr>
      <w:proofErr w:type="gramStart"/>
      <w:r w:rsidRPr="00500C4E">
        <w:rPr>
          <w:rFonts w:cstheme="minorHAnsi"/>
        </w:rPr>
        <w:lastRenderedPageBreak/>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52183CA7" w14:textId="74D09E6C" w:rsidR="00CE5B0B" w:rsidRDefault="00CE5B0B" w:rsidP="00CE5B0B">
      <w:pPr>
        <w:rPr>
          <w:rFonts w:cs="Calibri"/>
          <w:szCs w:val="22"/>
        </w:rPr>
      </w:pPr>
      <w:r>
        <w:rPr>
          <w:rFonts w:cs="Calibri"/>
          <w:szCs w:val="22"/>
        </w:rPr>
        <w:t xml:space="preserve">Table below summarizes the unit energy savings values from the monitoring studies reviewed for this work paper.  Please see attachment </w:t>
      </w:r>
      <w:r w:rsidR="00473041">
        <w:rPr>
          <w:rFonts w:cs="Calibri"/>
          <w:szCs w:val="22"/>
        </w:rPr>
        <w:t>3</w:t>
      </w:r>
      <w:r>
        <w:rPr>
          <w:rFonts w:cs="Calibri"/>
          <w:szCs w:val="22"/>
        </w:rPr>
        <w:t xml:space="preserve"> for a full discussion of these studies</w:t>
      </w:r>
      <w:r w:rsidR="00C17F10">
        <w:rPr>
          <w:rFonts w:ascii="Calibri" w:hAnsi="Calibri" w:cs="Calibri"/>
          <w:szCs w:val="22"/>
        </w:rPr>
        <w:t xml:space="preserve">.  </w:t>
      </w:r>
      <w:r>
        <w:rPr>
          <w:rFonts w:cs="Calibri"/>
          <w:szCs w:val="22"/>
        </w:rPr>
        <w:t xml:space="preserve">These values form the basis for the deemed values in this work paper. </w:t>
      </w:r>
    </w:p>
    <w:p w14:paraId="328DB3E8" w14:textId="77777777" w:rsidR="003F78FA" w:rsidRDefault="003F78FA" w:rsidP="00CE5B0B">
      <w:pPr>
        <w:rPr>
          <w:rFonts w:ascii="Calibri" w:hAnsi="Calibri" w:cs="Calibri"/>
          <w:b/>
          <w:bCs/>
          <w:szCs w:val="3276"/>
        </w:rPr>
      </w:pPr>
    </w:p>
    <w:p w14:paraId="40E58C96" w14:textId="55B241A8" w:rsidR="00CE5B0B" w:rsidRPr="003F78FA" w:rsidRDefault="003F78FA" w:rsidP="003F78FA">
      <w:pPr>
        <w:pStyle w:val="Caption"/>
        <w:keepNext/>
        <w:rPr>
          <w:rFonts w:cstheme="minorHAnsi"/>
          <w:szCs w:val="22"/>
        </w:rPr>
      </w:pPr>
      <w:r w:rsidRPr="003F78FA">
        <w:rPr>
          <w:rFonts w:cstheme="minorHAnsi"/>
          <w:szCs w:val="22"/>
        </w:rPr>
        <w:t>Summary of Documented Unit Energy Savings for PCPM Network Software</w:t>
      </w:r>
    </w:p>
    <w:tbl>
      <w:tblPr>
        <w:tblStyle w:val="TableGrid1"/>
        <w:tblW w:w="5000" w:type="pct"/>
        <w:tblLook w:val="01E0" w:firstRow="1" w:lastRow="1" w:firstColumn="1" w:lastColumn="1" w:noHBand="0" w:noVBand="0"/>
      </w:tblPr>
      <w:tblGrid>
        <w:gridCol w:w="3129"/>
        <w:gridCol w:w="3319"/>
        <w:gridCol w:w="3128"/>
      </w:tblGrid>
      <w:tr w:rsidR="003F78FA" w:rsidRPr="00500C4E" w14:paraId="0DE9CA85" w14:textId="77777777" w:rsidTr="003F78FA">
        <w:tc>
          <w:tcPr>
            <w:tcW w:w="1634" w:type="pct"/>
            <w:shd w:val="clear" w:color="auto" w:fill="D9D9D9" w:themeFill="background1" w:themeFillShade="D9"/>
            <w:vAlign w:val="center"/>
          </w:tcPr>
          <w:p w14:paraId="44EF295F" w14:textId="78F001CB" w:rsidR="003F78FA" w:rsidRPr="00920905" w:rsidRDefault="003F78FA" w:rsidP="003F78FA">
            <w:pPr>
              <w:rPr>
                <w:rFonts w:cstheme="minorHAnsi"/>
                <w:b/>
                <w:szCs w:val="20"/>
              </w:rPr>
            </w:pPr>
            <w:r>
              <w:rPr>
                <w:rFonts w:ascii="Calibri" w:hAnsi="Calibri" w:cs="Calibri"/>
                <w:b/>
                <w:bCs/>
                <w:szCs w:val="20"/>
              </w:rPr>
              <w:t>Cases</w:t>
            </w:r>
          </w:p>
        </w:tc>
        <w:tc>
          <w:tcPr>
            <w:tcW w:w="1733" w:type="pct"/>
            <w:shd w:val="clear" w:color="auto" w:fill="D9D9D9" w:themeFill="background1" w:themeFillShade="D9"/>
            <w:vAlign w:val="center"/>
          </w:tcPr>
          <w:p w14:paraId="26130D30" w14:textId="4D1B85A6" w:rsidR="003F78FA" w:rsidRPr="00920905" w:rsidRDefault="003F78FA" w:rsidP="003F78FA">
            <w:pPr>
              <w:rPr>
                <w:rFonts w:cstheme="minorHAnsi"/>
                <w:b/>
                <w:szCs w:val="20"/>
              </w:rPr>
            </w:pPr>
            <w:r>
              <w:rPr>
                <w:rFonts w:ascii="Calibri" w:hAnsi="Calibri" w:cs="Calibri"/>
                <w:b/>
                <w:bCs/>
                <w:szCs w:val="20"/>
              </w:rPr>
              <w:t>Building Type</w:t>
            </w:r>
          </w:p>
        </w:tc>
        <w:tc>
          <w:tcPr>
            <w:tcW w:w="1633" w:type="pct"/>
            <w:shd w:val="clear" w:color="auto" w:fill="D9D9D9" w:themeFill="background1" w:themeFillShade="D9"/>
            <w:vAlign w:val="center"/>
          </w:tcPr>
          <w:p w14:paraId="43ED9E96" w14:textId="28C1F585" w:rsidR="003F78FA" w:rsidRPr="00920905" w:rsidRDefault="003F78FA" w:rsidP="003F78FA">
            <w:pPr>
              <w:rPr>
                <w:rFonts w:cstheme="minorHAnsi"/>
                <w:b/>
                <w:szCs w:val="20"/>
                <w:highlight w:val="yellow"/>
              </w:rPr>
            </w:pPr>
            <w:r>
              <w:rPr>
                <w:rFonts w:ascii="Calibri" w:hAnsi="Calibri" w:cs="Calibri"/>
                <w:b/>
                <w:bCs/>
                <w:szCs w:val="20"/>
              </w:rPr>
              <w:t>Annual Energy Savings per Workstation</w:t>
            </w:r>
          </w:p>
        </w:tc>
      </w:tr>
      <w:tr w:rsidR="003F78FA" w:rsidRPr="00500C4E" w14:paraId="0AF358CD" w14:textId="77777777" w:rsidTr="003F78FA">
        <w:tc>
          <w:tcPr>
            <w:tcW w:w="1634" w:type="pct"/>
            <w:vAlign w:val="center"/>
          </w:tcPr>
          <w:p w14:paraId="5D0B049D" w14:textId="4E0455AA" w:rsidR="003F78FA" w:rsidRPr="00920905" w:rsidRDefault="003F78FA" w:rsidP="003F78FA">
            <w:pPr>
              <w:rPr>
                <w:rFonts w:cstheme="minorHAnsi"/>
                <w:color w:val="FF0000"/>
                <w:szCs w:val="20"/>
              </w:rPr>
            </w:pPr>
            <w:proofErr w:type="spellStart"/>
            <w:r>
              <w:rPr>
                <w:rFonts w:ascii="Calibri" w:hAnsi="Calibri" w:cs="Calibri"/>
                <w:szCs w:val="20"/>
              </w:rPr>
              <w:t>Quantec</w:t>
            </w:r>
            <w:proofErr w:type="spellEnd"/>
            <w:r>
              <w:rPr>
                <w:rFonts w:ascii="Calibri" w:hAnsi="Calibri" w:cs="Calibri"/>
                <w:szCs w:val="20"/>
              </w:rPr>
              <w:t xml:space="preserve"> &amp; </w:t>
            </w:r>
            <w:proofErr w:type="spellStart"/>
            <w:r>
              <w:rPr>
                <w:rFonts w:ascii="Calibri" w:hAnsi="Calibri" w:cs="Calibri"/>
                <w:szCs w:val="20"/>
              </w:rPr>
              <w:t>EZConserve</w:t>
            </w:r>
            <w:proofErr w:type="spellEnd"/>
            <w:r>
              <w:rPr>
                <w:rFonts w:ascii="Calibri" w:hAnsi="Calibri" w:cs="Calibri"/>
                <w:szCs w:val="20"/>
              </w:rPr>
              <w:t xml:space="preserve"> PEP</w:t>
            </w:r>
          </w:p>
        </w:tc>
        <w:tc>
          <w:tcPr>
            <w:tcW w:w="1733" w:type="pct"/>
            <w:vAlign w:val="center"/>
          </w:tcPr>
          <w:p w14:paraId="0ABCF300" w14:textId="0741C67E" w:rsidR="003F78FA" w:rsidRPr="00920905" w:rsidRDefault="003F78FA" w:rsidP="003F78FA">
            <w:pPr>
              <w:rPr>
                <w:rFonts w:cstheme="minorHAnsi"/>
                <w:color w:val="FF0000"/>
                <w:szCs w:val="20"/>
              </w:rPr>
            </w:pPr>
            <w:r>
              <w:rPr>
                <w:rFonts w:ascii="Calibri" w:hAnsi="Calibri" w:cs="Calibri"/>
                <w:szCs w:val="20"/>
              </w:rPr>
              <w:t>Office</w:t>
            </w:r>
          </w:p>
        </w:tc>
        <w:tc>
          <w:tcPr>
            <w:tcW w:w="1633" w:type="pct"/>
            <w:vAlign w:val="center"/>
          </w:tcPr>
          <w:p w14:paraId="0DC2F310" w14:textId="1F9FF586" w:rsidR="003F78FA" w:rsidRPr="00920905" w:rsidRDefault="003F78FA" w:rsidP="003F78FA">
            <w:pPr>
              <w:rPr>
                <w:rFonts w:cstheme="minorHAnsi"/>
                <w:color w:val="FF0000"/>
                <w:szCs w:val="20"/>
              </w:rPr>
            </w:pPr>
            <w:r>
              <w:rPr>
                <w:rFonts w:ascii="Calibri" w:hAnsi="Calibri" w:cs="Calibri"/>
                <w:szCs w:val="20"/>
              </w:rPr>
              <w:t>165 kWh/year</w:t>
            </w:r>
          </w:p>
        </w:tc>
      </w:tr>
      <w:tr w:rsidR="003F78FA" w:rsidRPr="00500C4E" w14:paraId="042F9037" w14:textId="77777777" w:rsidTr="003F78FA">
        <w:tc>
          <w:tcPr>
            <w:tcW w:w="1634" w:type="pct"/>
            <w:vAlign w:val="center"/>
          </w:tcPr>
          <w:p w14:paraId="34A2557D" w14:textId="0AB9857E" w:rsidR="003F78FA" w:rsidRPr="00920905" w:rsidRDefault="003F78FA" w:rsidP="003F78FA">
            <w:pPr>
              <w:rPr>
                <w:rFonts w:cstheme="minorHAnsi"/>
                <w:color w:val="FF0000"/>
                <w:szCs w:val="20"/>
              </w:rPr>
            </w:pPr>
            <w:r>
              <w:rPr>
                <w:rFonts w:ascii="Calibri" w:hAnsi="Calibri" w:cs="Calibri"/>
                <w:szCs w:val="20"/>
              </w:rPr>
              <w:t>Puget Sound Energy</w:t>
            </w:r>
          </w:p>
        </w:tc>
        <w:tc>
          <w:tcPr>
            <w:tcW w:w="1733" w:type="pct"/>
            <w:vAlign w:val="center"/>
          </w:tcPr>
          <w:p w14:paraId="52B66BE9" w14:textId="4584C008" w:rsidR="003F78FA" w:rsidRPr="00920905" w:rsidRDefault="003F78FA" w:rsidP="003F78FA">
            <w:pPr>
              <w:rPr>
                <w:rFonts w:cstheme="minorHAnsi"/>
                <w:color w:val="FF0000"/>
                <w:szCs w:val="20"/>
              </w:rPr>
            </w:pPr>
            <w:r>
              <w:rPr>
                <w:rFonts w:ascii="Calibri" w:hAnsi="Calibri" w:cs="Calibri"/>
                <w:szCs w:val="20"/>
              </w:rPr>
              <w:t>Office</w:t>
            </w:r>
          </w:p>
        </w:tc>
        <w:tc>
          <w:tcPr>
            <w:tcW w:w="1633" w:type="pct"/>
            <w:vAlign w:val="center"/>
          </w:tcPr>
          <w:p w14:paraId="3B5698C5" w14:textId="5BE12EBD" w:rsidR="003F78FA" w:rsidRPr="00920905" w:rsidRDefault="003F78FA" w:rsidP="003F78FA">
            <w:pPr>
              <w:rPr>
                <w:rFonts w:cstheme="minorHAnsi"/>
                <w:color w:val="FF0000"/>
                <w:szCs w:val="20"/>
              </w:rPr>
            </w:pPr>
            <w:r>
              <w:rPr>
                <w:rFonts w:ascii="Calibri" w:hAnsi="Calibri" w:cs="Calibri"/>
                <w:szCs w:val="20"/>
              </w:rPr>
              <w:t>176 kWh/year</w:t>
            </w:r>
          </w:p>
        </w:tc>
      </w:tr>
      <w:tr w:rsidR="003F78FA" w:rsidRPr="00500C4E" w14:paraId="17AFD852" w14:textId="77777777" w:rsidTr="003F78FA">
        <w:tc>
          <w:tcPr>
            <w:tcW w:w="1634" w:type="pct"/>
            <w:vAlign w:val="center"/>
          </w:tcPr>
          <w:p w14:paraId="15C8FF2F" w14:textId="68CAF142" w:rsidR="003F78FA" w:rsidRPr="00920905" w:rsidRDefault="003F78FA" w:rsidP="003F78FA">
            <w:pPr>
              <w:rPr>
                <w:rFonts w:cstheme="minorHAnsi"/>
                <w:color w:val="FF0000"/>
                <w:szCs w:val="20"/>
              </w:rPr>
            </w:pPr>
            <w:r>
              <w:rPr>
                <w:rFonts w:ascii="Calibri" w:hAnsi="Calibri" w:cs="Calibri"/>
                <w:szCs w:val="20"/>
              </w:rPr>
              <w:t>SCE Preliminary Evaluation</w:t>
            </w:r>
          </w:p>
        </w:tc>
        <w:tc>
          <w:tcPr>
            <w:tcW w:w="1733" w:type="pct"/>
            <w:vAlign w:val="center"/>
          </w:tcPr>
          <w:p w14:paraId="5AF26944" w14:textId="4C9660B2" w:rsidR="003F78FA" w:rsidRPr="00920905" w:rsidRDefault="003F78FA" w:rsidP="003F78FA">
            <w:pPr>
              <w:rPr>
                <w:rFonts w:cstheme="minorHAnsi"/>
                <w:color w:val="FF0000"/>
                <w:szCs w:val="20"/>
              </w:rPr>
            </w:pPr>
            <w:r>
              <w:rPr>
                <w:rFonts w:ascii="Calibri" w:hAnsi="Calibri" w:cs="Calibri"/>
                <w:szCs w:val="20"/>
              </w:rPr>
              <w:t>Office</w:t>
            </w:r>
          </w:p>
        </w:tc>
        <w:tc>
          <w:tcPr>
            <w:tcW w:w="1633" w:type="pct"/>
            <w:vAlign w:val="center"/>
          </w:tcPr>
          <w:p w14:paraId="20BD4293" w14:textId="40085FD6" w:rsidR="003F78FA" w:rsidRPr="00920905" w:rsidRDefault="003F78FA" w:rsidP="003F78FA">
            <w:pPr>
              <w:rPr>
                <w:rFonts w:cstheme="minorHAnsi"/>
                <w:color w:val="FF0000"/>
                <w:szCs w:val="20"/>
              </w:rPr>
            </w:pPr>
            <w:r>
              <w:rPr>
                <w:rFonts w:ascii="Calibri" w:hAnsi="Calibri" w:cs="Calibri"/>
                <w:szCs w:val="20"/>
              </w:rPr>
              <w:t>323 kWh/year</w:t>
            </w:r>
          </w:p>
        </w:tc>
      </w:tr>
      <w:tr w:rsidR="003F78FA" w:rsidRPr="00500C4E" w14:paraId="2DA1F37E" w14:textId="77777777" w:rsidTr="003F78FA">
        <w:tc>
          <w:tcPr>
            <w:tcW w:w="1634" w:type="pct"/>
            <w:vAlign w:val="center"/>
          </w:tcPr>
          <w:p w14:paraId="0C5B6EED" w14:textId="1C51600C" w:rsidR="003F78FA" w:rsidRPr="00920905" w:rsidRDefault="003F78FA" w:rsidP="003F78FA">
            <w:pPr>
              <w:rPr>
                <w:rFonts w:cstheme="minorHAnsi"/>
                <w:color w:val="FF0000"/>
                <w:szCs w:val="20"/>
              </w:rPr>
            </w:pPr>
            <w:r>
              <w:rPr>
                <w:rFonts w:ascii="Calibri" w:hAnsi="Calibri" w:cs="Calibri"/>
                <w:szCs w:val="20"/>
              </w:rPr>
              <w:t>Portland Metro Government</w:t>
            </w:r>
          </w:p>
        </w:tc>
        <w:tc>
          <w:tcPr>
            <w:tcW w:w="1733" w:type="pct"/>
            <w:vAlign w:val="center"/>
          </w:tcPr>
          <w:p w14:paraId="2ABB440E" w14:textId="78DE74E3" w:rsidR="003F78FA" w:rsidRPr="00920905" w:rsidRDefault="003F78FA" w:rsidP="003F78FA">
            <w:pPr>
              <w:rPr>
                <w:rFonts w:cstheme="minorHAnsi"/>
                <w:color w:val="FF0000"/>
                <w:szCs w:val="20"/>
              </w:rPr>
            </w:pPr>
            <w:r>
              <w:rPr>
                <w:rFonts w:ascii="Calibri" w:hAnsi="Calibri" w:cs="Calibri"/>
                <w:szCs w:val="20"/>
              </w:rPr>
              <w:t>Office</w:t>
            </w:r>
          </w:p>
        </w:tc>
        <w:tc>
          <w:tcPr>
            <w:tcW w:w="1633" w:type="pct"/>
            <w:vAlign w:val="center"/>
          </w:tcPr>
          <w:p w14:paraId="6D2E8B46" w14:textId="09372214" w:rsidR="003F78FA" w:rsidRPr="00920905" w:rsidRDefault="003F78FA" w:rsidP="003F78FA">
            <w:pPr>
              <w:rPr>
                <w:rFonts w:cstheme="minorHAnsi"/>
                <w:color w:val="FF0000"/>
                <w:szCs w:val="20"/>
              </w:rPr>
            </w:pPr>
            <w:r>
              <w:rPr>
                <w:rFonts w:ascii="Calibri" w:hAnsi="Calibri" w:cs="Calibri"/>
                <w:szCs w:val="20"/>
              </w:rPr>
              <w:t>34 kWh/year</w:t>
            </w:r>
          </w:p>
        </w:tc>
      </w:tr>
      <w:tr w:rsidR="003F78FA" w:rsidRPr="00500C4E" w14:paraId="6A5BEFF5" w14:textId="77777777" w:rsidTr="003F78FA">
        <w:tc>
          <w:tcPr>
            <w:tcW w:w="1634" w:type="pct"/>
            <w:vAlign w:val="center"/>
          </w:tcPr>
          <w:p w14:paraId="7E1E6A23" w14:textId="23230540" w:rsidR="003F78FA" w:rsidRPr="00920905" w:rsidRDefault="003F78FA" w:rsidP="003F78FA">
            <w:pPr>
              <w:rPr>
                <w:rFonts w:cstheme="minorHAnsi"/>
                <w:color w:val="FF0000"/>
                <w:szCs w:val="20"/>
              </w:rPr>
            </w:pPr>
            <w:r>
              <w:rPr>
                <w:rFonts w:ascii="Calibri" w:hAnsi="Calibri" w:cs="Calibri"/>
                <w:szCs w:val="20"/>
              </w:rPr>
              <w:t>Energy Savers Participant 3</w:t>
            </w:r>
          </w:p>
        </w:tc>
        <w:tc>
          <w:tcPr>
            <w:tcW w:w="1733" w:type="pct"/>
            <w:vAlign w:val="center"/>
          </w:tcPr>
          <w:p w14:paraId="6FDAC3E9" w14:textId="118D33A2" w:rsidR="003F78FA" w:rsidRPr="00920905" w:rsidRDefault="003F78FA" w:rsidP="003F78FA">
            <w:pPr>
              <w:rPr>
                <w:rFonts w:cstheme="minorHAnsi"/>
                <w:color w:val="FF0000"/>
                <w:szCs w:val="20"/>
              </w:rPr>
            </w:pPr>
            <w:r>
              <w:rPr>
                <w:rFonts w:ascii="Calibri" w:hAnsi="Calibri" w:cs="Calibri"/>
                <w:szCs w:val="20"/>
              </w:rPr>
              <w:t>Office</w:t>
            </w:r>
          </w:p>
        </w:tc>
        <w:tc>
          <w:tcPr>
            <w:tcW w:w="1633" w:type="pct"/>
            <w:vAlign w:val="center"/>
          </w:tcPr>
          <w:p w14:paraId="369AC3F2" w14:textId="710276FC" w:rsidR="003F78FA" w:rsidRPr="00920905" w:rsidRDefault="003F78FA" w:rsidP="003F78FA">
            <w:pPr>
              <w:rPr>
                <w:rFonts w:cstheme="minorHAnsi"/>
                <w:color w:val="FF0000"/>
                <w:szCs w:val="20"/>
              </w:rPr>
            </w:pPr>
            <w:r>
              <w:rPr>
                <w:rFonts w:ascii="Calibri" w:hAnsi="Calibri" w:cs="Calibri"/>
                <w:szCs w:val="20"/>
              </w:rPr>
              <w:t>235 kWh/year</w:t>
            </w:r>
          </w:p>
        </w:tc>
      </w:tr>
      <w:tr w:rsidR="003F78FA" w:rsidRPr="00500C4E" w14:paraId="79979528" w14:textId="77777777" w:rsidTr="003F78FA">
        <w:tc>
          <w:tcPr>
            <w:tcW w:w="1634" w:type="pct"/>
            <w:vAlign w:val="center"/>
          </w:tcPr>
          <w:p w14:paraId="5D4AEFA6" w14:textId="069B970A" w:rsidR="003F78FA" w:rsidRPr="00920905" w:rsidRDefault="003F78FA" w:rsidP="003F78FA">
            <w:pPr>
              <w:rPr>
                <w:rFonts w:cstheme="minorHAnsi"/>
                <w:color w:val="FF0000"/>
                <w:szCs w:val="20"/>
              </w:rPr>
            </w:pPr>
            <w:r>
              <w:rPr>
                <w:rFonts w:ascii="Calibri" w:hAnsi="Calibri" w:cs="Calibri"/>
                <w:szCs w:val="20"/>
              </w:rPr>
              <w:t>Issaquah School District</w:t>
            </w:r>
          </w:p>
        </w:tc>
        <w:tc>
          <w:tcPr>
            <w:tcW w:w="1733" w:type="pct"/>
            <w:vAlign w:val="center"/>
          </w:tcPr>
          <w:p w14:paraId="1ED88DAC" w14:textId="19FE06EB" w:rsidR="003F78FA" w:rsidRPr="00920905" w:rsidRDefault="003F78FA" w:rsidP="003F78FA">
            <w:pPr>
              <w:rPr>
                <w:rFonts w:cstheme="minorHAnsi"/>
                <w:color w:val="FF0000"/>
                <w:szCs w:val="20"/>
              </w:rPr>
            </w:pPr>
            <w:r>
              <w:rPr>
                <w:rFonts w:ascii="Calibri" w:hAnsi="Calibri" w:cs="Calibri"/>
                <w:szCs w:val="20"/>
              </w:rPr>
              <w:t>K-12 School</w:t>
            </w:r>
          </w:p>
        </w:tc>
        <w:tc>
          <w:tcPr>
            <w:tcW w:w="1633" w:type="pct"/>
            <w:vAlign w:val="center"/>
          </w:tcPr>
          <w:p w14:paraId="74BFB534" w14:textId="415C2642" w:rsidR="003F78FA" w:rsidRPr="00920905" w:rsidRDefault="003F78FA" w:rsidP="003F78FA">
            <w:pPr>
              <w:rPr>
                <w:rFonts w:cstheme="minorHAnsi"/>
                <w:color w:val="FF0000"/>
                <w:szCs w:val="20"/>
              </w:rPr>
            </w:pPr>
            <w:r>
              <w:rPr>
                <w:rFonts w:ascii="Calibri" w:hAnsi="Calibri" w:cs="Calibri"/>
                <w:szCs w:val="20"/>
              </w:rPr>
              <w:t>211 kWh/year</w:t>
            </w:r>
          </w:p>
        </w:tc>
      </w:tr>
      <w:tr w:rsidR="003F78FA" w:rsidRPr="00500C4E" w14:paraId="3E6911FA" w14:textId="77777777" w:rsidTr="003F78FA">
        <w:tc>
          <w:tcPr>
            <w:tcW w:w="1634" w:type="pct"/>
            <w:vAlign w:val="center"/>
          </w:tcPr>
          <w:p w14:paraId="3DB78BD5" w14:textId="0734975C" w:rsidR="003F78FA" w:rsidRPr="00920905" w:rsidRDefault="003F78FA" w:rsidP="003F78FA">
            <w:pPr>
              <w:rPr>
                <w:rFonts w:cstheme="minorHAnsi"/>
                <w:color w:val="FF0000"/>
                <w:szCs w:val="20"/>
              </w:rPr>
            </w:pPr>
            <w:r>
              <w:rPr>
                <w:rFonts w:ascii="Calibri" w:hAnsi="Calibri" w:cs="Calibri"/>
                <w:szCs w:val="20"/>
              </w:rPr>
              <w:t xml:space="preserve">Robert </w:t>
            </w:r>
            <w:proofErr w:type="spellStart"/>
            <w:r>
              <w:rPr>
                <w:rFonts w:ascii="Calibri" w:hAnsi="Calibri" w:cs="Calibri"/>
                <w:szCs w:val="20"/>
              </w:rPr>
              <w:t>Batemen</w:t>
            </w:r>
            <w:proofErr w:type="spellEnd"/>
            <w:r>
              <w:rPr>
                <w:rFonts w:ascii="Calibri" w:hAnsi="Calibri" w:cs="Calibri"/>
                <w:szCs w:val="20"/>
              </w:rPr>
              <w:t xml:space="preserve"> School</w:t>
            </w:r>
          </w:p>
        </w:tc>
        <w:tc>
          <w:tcPr>
            <w:tcW w:w="1733" w:type="pct"/>
            <w:vAlign w:val="center"/>
          </w:tcPr>
          <w:p w14:paraId="457C371B" w14:textId="079F4EAF" w:rsidR="003F78FA" w:rsidRPr="00920905" w:rsidRDefault="003F78FA" w:rsidP="003F78FA">
            <w:pPr>
              <w:rPr>
                <w:rFonts w:cstheme="minorHAnsi"/>
                <w:color w:val="FF0000"/>
                <w:szCs w:val="20"/>
              </w:rPr>
            </w:pPr>
            <w:r>
              <w:rPr>
                <w:rFonts w:ascii="Calibri" w:hAnsi="Calibri" w:cs="Calibri"/>
                <w:szCs w:val="20"/>
              </w:rPr>
              <w:t>K-12 School</w:t>
            </w:r>
          </w:p>
        </w:tc>
        <w:tc>
          <w:tcPr>
            <w:tcW w:w="1633" w:type="pct"/>
            <w:vAlign w:val="center"/>
          </w:tcPr>
          <w:p w14:paraId="495AE0A6" w14:textId="059A5423" w:rsidR="003F78FA" w:rsidRPr="00920905" w:rsidRDefault="003F78FA" w:rsidP="003F78FA">
            <w:pPr>
              <w:rPr>
                <w:rFonts w:cstheme="minorHAnsi"/>
                <w:color w:val="FF0000"/>
                <w:szCs w:val="20"/>
              </w:rPr>
            </w:pPr>
            <w:r>
              <w:rPr>
                <w:rFonts w:ascii="Calibri" w:hAnsi="Calibri" w:cs="Calibri"/>
                <w:szCs w:val="20"/>
              </w:rPr>
              <w:t>253 kWh/year</w:t>
            </w:r>
          </w:p>
        </w:tc>
      </w:tr>
      <w:tr w:rsidR="003F78FA" w:rsidRPr="00500C4E" w14:paraId="71741CD2" w14:textId="77777777" w:rsidTr="003F78FA">
        <w:tc>
          <w:tcPr>
            <w:tcW w:w="1634" w:type="pct"/>
            <w:vAlign w:val="center"/>
          </w:tcPr>
          <w:p w14:paraId="5A4BD6AF" w14:textId="0C9A7DE9" w:rsidR="003F78FA" w:rsidRPr="00920905" w:rsidRDefault="003F78FA" w:rsidP="003F78FA">
            <w:pPr>
              <w:rPr>
                <w:rFonts w:cstheme="minorHAnsi"/>
                <w:color w:val="FF0000"/>
                <w:szCs w:val="20"/>
              </w:rPr>
            </w:pPr>
            <w:r>
              <w:rPr>
                <w:rFonts w:ascii="Calibri" w:hAnsi="Calibri" w:cs="Calibri"/>
                <w:szCs w:val="20"/>
              </w:rPr>
              <w:t>Energy Savers Participant 1</w:t>
            </w:r>
          </w:p>
        </w:tc>
        <w:tc>
          <w:tcPr>
            <w:tcW w:w="1733" w:type="pct"/>
            <w:vAlign w:val="center"/>
          </w:tcPr>
          <w:p w14:paraId="2A77D875" w14:textId="1DDD1A28" w:rsidR="003F78FA" w:rsidRPr="00920905" w:rsidRDefault="003F78FA" w:rsidP="003F78FA">
            <w:pPr>
              <w:rPr>
                <w:rFonts w:cstheme="minorHAnsi"/>
                <w:color w:val="FF0000"/>
                <w:szCs w:val="20"/>
              </w:rPr>
            </w:pPr>
            <w:r>
              <w:rPr>
                <w:rFonts w:ascii="Calibri" w:hAnsi="Calibri" w:cs="Calibri"/>
                <w:szCs w:val="20"/>
              </w:rPr>
              <w:t>K-12 School</w:t>
            </w:r>
          </w:p>
        </w:tc>
        <w:tc>
          <w:tcPr>
            <w:tcW w:w="1633" w:type="pct"/>
            <w:vAlign w:val="center"/>
          </w:tcPr>
          <w:p w14:paraId="52B7D506" w14:textId="46412116" w:rsidR="003F78FA" w:rsidRPr="00920905" w:rsidRDefault="003F78FA" w:rsidP="003F78FA">
            <w:pPr>
              <w:rPr>
                <w:rFonts w:cstheme="minorHAnsi"/>
                <w:color w:val="FF0000"/>
                <w:szCs w:val="20"/>
              </w:rPr>
            </w:pPr>
            <w:r>
              <w:rPr>
                <w:rFonts w:ascii="Calibri" w:hAnsi="Calibri" w:cs="Calibri"/>
                <w:szCs w:val="20"/>
              </w:rPr>
              <w:t>133 kWh/year</w:t>
            </w:r>
          </w:p>
        </w:tc>
      </w:tr>
      <w:tr w:rsidR="003F78FA" w:rsidRPr="00500C4E" w14:paraId="76FB781A" w14:textId="77777777" w:rsidTr="003F78FA">
        <w:tc>
          <w:tcPr>
            <w:tcW w:w="1634" w:type="pct"/>
            <w:vAlign w:val="center"/>
          </w:tcPr>
          <w:p w14:paraId="7DE9FDE5" w14:textId="4B9F1771" w:rsidR="003F78FA" w:rsidRPr="00920905" w:rsidRDefault="003F78FA" w:rsidP="003F78FA">
            <w:pPr>
              <w:rPr>
                <w:rFonts w:cstheme="minorHAnsi"/>
                <w:color w:val="FF0000"/>
                <w:szCs w:val="20"/>
              </w:rPr>
            </w:pPr>
            <w:r>
              <w:rPr>
                <w:rFonts w:ascii="Calibri" w:hAnsi="Calibri" w:cs="Calibri"/>
                <w:szCs w:val="20"/>
              </w:rPr>
              <w:t>Energy Savers Participant 2</w:t>
            </w:r>
          </w:p>
        </w:tc>
        <w:tc>
          <w:tcPr>
            <w:tcW w:w="1733" w:type="pct"/>
            <w:vAlign w:val="center"/>
          </w:tcPr>
          <w:p w14:paraId="14BE3049" w14:textId="31532AB6" w:rsidR="003F78FA" w:rsidRPr="00920905" w:rsidRDefault="003F78FA" w:rsidP="003F78FA">
            <w:pPr>
              <w:rPr>
                <w:rFonts w:cstheme="minorHAnsi"/>
                <w:color w:val="FF0000"/>
                <w:szCs w:val="20"/>
              </w:rPr>
            </w:pPr>
            <w:r>
              <w:rPr>
                <w:rFonts w:ascii="Calibri" w:hAnsi="Calibri" w:cs="Calibri"/>
                <w:szCs w:val="20"/>
              </w:rPr>
              <w:t>K-12 School</w:t>
            </w:r>
          </w:p>
        </w:tc>
        <w:tc>
          <w:tcPr>
            <w:tcW w:w="1633" w:type="pct"/>
            <w:vAlign w:val="center"/>
          </w:tcPr>
          <w:p w14:paraId="5F4F0EE6" w14:textId="5E9A47BB" w:rsidR="003F78FA" w:rsidRPr="00920905" w:rsidRDefault="003F78FA" w:rsidP="003F78FA">
            <w:pPr>
              <w:rPr>
                <w:rFonts w:cstheme="minorHAnsi"/>
                <w:color w:val="FF0000"/>
                <w:szCs w:val="20"/>
              </w:rPr>
            </w:pPr>
            <w:r>
              <w:rPr>
                <w:rFonts w:ascii="Calibri" w:hAnsi="Calibri" w:cs="Calibri"/>
                <w:szCs w:val="20"/>
              </w:rPr>
              <w:t>168 kWh/year</w:t>
            </w:r>
          </w:p>
        </w:tc>
      </w:tr>
      <w:tr w:rsidR="003F78FA" w:rsidRPr="00500C4E" w14:paraId="3C05B873" w14:textId="77777777" w:rsidTr="003F78FA">
        <w:tc>
          <w:tcPr>
            <w:tcW w:w="1634" w:type="pct"/>
            <w:vAlign w:val="center"/>
          </w:tcPr>
          <w:p w14:paraId="35AF6055" w14:textId="5FBEB2F0" w:rsidR="003F78FA" w:rsidRPr="00920905" w:rsidRDefault="003F78FA" w:rsidP="003F78FA">
            <w:pPr>
              <w:rPr>
                <w:rFonts w:cstheme="minorHAnsi"/>
                <w:color w:val="FF0000"/>
                <w:szCs w:val="20"/>
              </w:rPr>
            </w:pPr>
            <w:r>
              <w:rPr>
                <w:rFonts w:ascii="Calibri" w:hAnsi="Calibri" w:cs="Calibri"/>
                <w:szCs w:val="20"/>
              </w:rPr>
              <w:t>CSU San Bernardino</w:t>
            </w:r>
          </w:p>
        </w:tc>
        <w:tc>
          <w:tcPr>
            <w:tcW w:w="1733" w:type="pct"/>
            <w:vAlign w:val="center"/>
          </w:tcPr>
          <w:p w14:paraId="240F71DA" w14:textId="31E39182" w:rsidR="003F78FA" w:rsidRPr="00920905" w:rsidRDefault="003F78FA" w:rsidP="003F78FA">
            <w:pPr>
              <w:rPr>
                <w:rFonts w:cstheme="minorHAnsi"/>
                <w:color w:val="FF0000"/>
                <w:szCs w:val="20"/>
              </w:rPr>
            </w:pPr>
            <w:r>
              <w:rPr>
                <w:rFonts w:ascii="Calibri" w:hAnsi="Calibri" w:cs="Calibri"/>
                <w:szCs w:val="20"/>
              </w:rPr>
              <w:t>College</w:t>
            </w:r>
          </w:p>
        </w:tc>
        <w:tc>
          <w:tcPr>
            <w:tcW w:w="1633" w:type="pct"/>
            <w:vAlign w:val="center"/>
          </w:tcPr>
          <w:p w14:paraId="7F8F6AEB" w14:textId="0251E66C" w:rsidR="003F78FA" w:rsidRPr="00920905" w:rsidRDefault="003F78FA" w:rsidP="003F78FA">
            <w:pPr>
              <w:rPr>
                <w:rFonts w:cstheme="minorHAnsi"/>
                <w:color w:val="FF0000"/>
                <w:szCs w:val="20"/>
              </w:rPr>
            </w:pPr>
            <w:r>
              <w:rPr>
                <w:rFonts w:ascii="Calibri" w:hAnsi="Calibri" w:cs="Calibri"/>
                <w:szCs w:val="20"/>
              </w:rPr>
              <w:t>137 kWh/year</w:t>
            </w:r>
          </w:p>
        </w:tc>
      </w:tr>
      <w:tr w:rsidR="003F78FA" w:rsidRPr="00500C4E" w14:paraId="7941A19D" w14:textId="77777777" w:rsidTr="003F78FA">
        <w:tc>
          <w:tcPr>
            <w:tcW w:w="1634" w:type="pct"/>
            <w:vAlign w:val="center"/>
          </w:tcPr>
          <w:p w14:paraId="4F1E562D" w14:textId="1B016792" w:rsidR="003F78FA" w:rsidRPr="00920905" w:rsidRDefault="003F78FA" w:rsidP="003F78FA">
            <w:pPr>
              <w:rPr>
                <w:rFonts w:cstheme="minorHAnsi"/>
                <w:color w:val="FF0000"/>
                <w:szCs w:val="20"/>
              </w:rPr>
            </w:pPr>
            <w:r>
              <w:rPr>
                <w:rFonts w:ascii="Calibri" w:hAnsi="Calibri" w:cs="Calibri"/>
                <w:szCs w:val="20"/>
              </w:rPr>
              <w:t>Cerritos College</w:t>
            </w:r>
          </w:p>
        </w:tc>
        <w:tc>
          <w:tcPr>
            <w:tcW w:w="1733" w:type="pct"/>
            <w:vAlign w:val="center"/>
          </w:tcPr>
          <w:p w14:paraId="59DCCA7F" w14:textId="1FEF1792" w:rsidR="003F78FA" w:rsidRPr="00920905" w:rsidRDefault="003F78FA" w:rsidP="003F78FA">
            <w:pPr>
              <w:rPr>
                <w:rFonts w:cstheme="minorHAnsi"/>
                <w:color w:val="FF0000"/>
                <w:szCs w:val="20"/>
              </w:rPr>
            </w:pPr>
            <w:r>
              <w:rPr>
                <w:rFonts w:ascii="Calibri" w:hAnsi="Calibri" w:cs="Calibri"/>
                <w:szCs w:val="20"/>
              </w:rPr>
              <w:t>College</w:t>
            </w:r>
          </w:p>
        </w:tc>
        <w:tc>
          <w:tcPr>
            <w:tcW w:w="1633" w:type="pct"/>
            <w:vAlign w:val="center"/>
          </w:tcPr>
          <w:p w14:paraId="0651554A" w14:textId="32680A1E" w:rsidR="003F78FA" w:rsidRPr="00920905" w:rsidRDefault="003F78FA" w:rsidP="003F78FA">
            <w:pPr>
              <w:rPr>
                <w:rFonts w:cstheme="minorHAnsi"/>
                <w:color w:val="FF0000"/>
                <w:szCs w:val="20"/>
              </w:rPr>
            </w:pPr>
            <w:r>
              <w:rPr>
                <w:rFonts w:ascii="Calibri" w:hAnsi="Calibri" w:cs="Calibri"/>
                <w:szCs w:val="20"/>
              </w:rPr>
              <w:t>314 kWh/year</w:t>
            </w:r>
          </w:p>
        </w:tc>
      </w:tr>
      <w:tr w:rsidR="003F78FA" w:rsidRPr="00500C4E" w14:paraId="5C3ECFF3" w14:textId="77777777" w:rsidTr="003F78FA">
        <w:tc>
          <w:tcPr>
            <w:tcW w:w="1634" w:type="pct"/>
            <w:vAlign w:val="center"/>
          </w:tcPr>
          <w:p w14:paraId="66B5DAD6" w14:textId="5C58DEB6" w:rsidR="003F78FA" w:rsidRPr="00920905" w:rsidRDefault="003F78FA" w:rsidP="003F78FA">
            <w:pPr>
              <w:rPr>
                <w:rFonts w:cstheme="minorHAnsi"/>
                <w:color w:val="FF0000"/>
                <w:szCs w:val="20"/>
              </w:rPr>
            </w:pPr>
            <w:r>
              <w:rPr>
                <w:rFonts w:ascii="Calibri" w:hAnsi="Calibri" w:cs="Calibri"/>
                <w:szCs w:val="20"/>
              </w:rPr>
              <w:t>LBNL-1096E</w:t>
            </w:r>
          </w:p>
        </w:tc>
        <w:tc>
          <w:tcPr>
            <w:tcW w:w="1733" w:type="pct"/>
            <w:vAlign w:val="center"/>
          </w:tcPr>
          <w:p w14:paraId="69992F56" w14:textId="5864E6B3" w:rsidR="003F78FA" w:rsidRPr="00920905" w:rsidRDefault="003F78FA" w:rsidP="003F78FA">
            <w:pPr>
              <w:rPr>
                <w:rFonts w:cstheme="minorHAnsi"/>
                <w:color w:val="FF0000"/>
                <w:szCs w:val="20"/>
              </w:rPr>
            </w:pPr>
            <w:r>
              <w:rPr>
                <w:rFonts w:ascii="Calibri" w:hAnsi="Calibri" w:cs="Calibri"/>
                <w:szCs w:val="20"/>
              </w:rPr>
              <w:t>All Commercial</w:t>
            </w:r>
          </w:p>
        </w:tc>
        <w:tc>
          <w:tcPr>
            <w:tcW w:w="1633" w:type="pct"/>
            <w:vAlign w:val="center"/>
          </w:tcPr>
          <w:p w14:paraId="34B9F027" w14:textId="31F34129" w:rsidR="003F78FA" w:rsidRPr="00920905" w:rsidRDefault="003F78FA" w:rsidP="003F78FA">
            <w:pPr>
              <w:rPr>
                <w:rFonts w:cstheme="minorHAnsi"/>
                <w:color w:val="FF0000"/>
                <w:szCs w:val="20"/>
              </w:rPr>
            </w:pPr>
            <w:r>
              <w:rPr>
                <w:rFonts w:ascii="Calibri" w:hAnsi="Calibri" w:cs="Calibri"/>
                <w:szCs w:val="20"/>
              </w:rPr>
              <w:t>236 kWh/year</w:t>
            </w:r>
          </w:p>
        </w:tc>
      </w:tr>
      <w:tr w:rsidR="003F78FA" w:rsidRPr="00500C4E" w14:paraId="7C186AF8" w14:textId="77777777" w:rsidTr="003F78FA">
        <w:tc>
          <w:tcPr>
            <w:tcW w:w="1634" w:type="pct"/>
            <w:vAlign w:val="center"/>
          </w:tcPr>
          <w:p w14:paraId="706EE066" w14:textId="5C179D75" w:rsidR="003F78FA" w:rsidRPr="00920905" w:rsidRDefault="003F78FA" w:rsidP="003F78FA">
            <w:pPr>
              <w:rPr>
                <w:rFonts w:cstheme="minorHAnsi"/>
                <w:color w:val="FF0000"/>
                <w:szCs w:val="20"/>
              </w:rPr>
            </w:pPr>
            <w:r>
              <w:rPr>
                <w:rFonts w:ascii="Calibri" w:hAnsi="Calibri" w:cs="Calibri"/>
                <w:szCs w:val="20"/>
              </w:rPr>
              <w:t>TIAX 2004</w:t>
            </w:r>
          </w:p>
        </w:tc>
        <w:tc>
          <w:tcPr>
            <w:tcW w:w="1733" w:type="pct"/>
            <w:vAlign w:val="center"/>
          </w:tcPr>
          <w:p w14:paraId="68A3AC67" w14:textId="110069FF" w:rsidR="003F78FA" w:rsidRPr="00920905" w:rsidRDefault="003F78FA" w:rsidP="003F78FA">
            <w:pPr>
              <w:rPr>
                <w:rFonts w:cstheme="minorHAnsi"/>
                <w:color w:val="FF0000"/>
                <w:szCs w:val="20"/>
              </w:rPr>
            </w:pPr>
            <w:r>
              <w:rPr>
                <w:rFonts w:ascii="Calibri" w:hAnsi="Calibri" w:cs="Calibri"/>
                <w:szCs w:val="20"/>
              </w:rPr>
              <w:t>All Commercial</w:t>
            </w:r>
          </w:p>
        </w:tc>
        <w:tc>
          <w:tcPr>
            <w:tcW w:w="1633" w:type="pct"/>
            <w:vAlign w:val="center"/>
          </w:tcPr>
          <w:p w14:paraId="57EF22F8" w14:textId="77777777" w:rsidR="003F78FA" w:rsidRDefault="003F78FA" w:rsidP="003F78FA">
            <w:pPr>
              <w:keepNext/>
              <w:keepLines/>
              <w:tabs>
                <w:tab w:val="decimal" w:pos="412"/>
              </w:tabs>
              <w:spacing w:line="276" w:lineRule="auto"/>
              <w:rPr>
                <w:rFonts w:ascii="Calibri" w:hAnsi="Calibri" w:cs="Calibri"/>
                <w:szCs w:val="20"/>
              </w:rPr>
            </w:pPr>
            <w:r>
              <w:rPr>
                <w:rFonts w:ascii="Calibri" w:hAnsi="Calibri" w:cs="Calibri"/>
                <w:szCs w:val="20"/>
              </w:rPr>
              <w:t>245 kWh/year Auto Off Strategy</w:t>
            </w:r>
          </w:p>
          <w:p w14:paraId="6A19D54A" w14:textId="0C1D5AF0" w:rsidR="003F78FA" w:rsidRPr="00920905" w:rsidRDefault="003F78FA" w:rsidP="003F78FA">
            <w:pPr>
              <w:rPr>
                <w:rFonts w:cstheme="minorHAnsi"/>
                <w:color w:val="FF0000"/>
                <w:szCs w:val="20"/>
              </w:rPr>
            </w:pPr>
            <w:r>
              <w:rPr>
                <w:rFonts w:ascii="Calibri" w:hAnsi="Calibri" w:cs="Calibri"/>
                <w:szCs w:val="20"/>
              </w:rPr>
              <w:t>163 kWh/year Auto Sleep Strategy</w:t>
            </w:r>
          </w:p>
        </w:tc>
      </w:tr>
      <w:tr w:rsidR="003F78FA" w:rsidRPr="00500C4E" w14:paraId="25487F0E" w14:textId="77777777" w:rsidTr="003F78FA">
        <w:tc>
          <w:tcPr>
            <w:tcW w:w="1634" w:type="pct"/>
            <w:vAlign w:val="center"/>
          </w:tcPr>
          <w:p w14:paraId="4CB26320" w14:textId="5D3670AB" w:rsidR="003F78FA" w:rsidRPr="00920905" w:rsidRDefault="003F78FA" w:rsidP="003F78FA">
            <w:pPr>
              <w:rPr>
                <w:rFonts w:cstheme="minorHAnsi"/>
                <w:color w:val="FF0000"/>
                <w:szCs w:val="20"/>
              </w:rPr>
            </w:pPr>
            <w:r>
              <w:rPr>
                <w:rFonts w:ascii="Calibri" w:hAnsi="Calibri" w:cs="Calibri"/>
                <w:szCs w:val="20"/>
              </w:rPr>
              <w:t>Intel 2007</w:t>
            </w:r>
          </w:p>
        </w:tc>
        <w:tc>
          <w:tcPr>
            <w:tcW w:w="1733" w:type="pct"/>
            <w:vAlign w:val="center"/>
          </w:tcPr>
          <w:p w14:paraId="72919CB0" w14:textId="0C8D34E7" w:rsidR="003F78FA" w:rsidRPr="00920905" w:rsidRDefault="003F78FA" w:rsidP="003F78FA">
            <w:pPr>
              <w:rPr>
                <w:rFonts w:cstheme="minorHAnsi"/>
                <w:color w:val="FF0000"/>
                <w:szCs w:val="20"/>
              </w:rPr>
            </w:pPr>
            <w:r>
              <w:rPr>
                <w:rFonts w:ascii="Calibri" w:hAnsi="Calibri" w:cs="Calibri"/>
                <w:szCs w:val="20"/>
              </w:rPr>
              <w:t>All Commercial</w:t>
            </w:r>
          </w:p>
        </w:tc>
        <w:tc>
          <w:tcPr>
            <w:tcW w:w="1633" w:type="pct"/>
            <w:vAlign w:val="center"/>
          </w:tcPr>
          <w:p w14:paraId="5734F283" w14:textId="20334129" w:rsidR="003F78FA" w:rsidRPr="00920905" w:rsidRDefault="003F78FA" w:rsidP="003F78FA">
            <w:pPr>
              <w:rPr>
                <w:rFonts w:cstheme="minorHAnsi"/>
                <w:color w:val="FF0000"/>
                <w:szCs w:val="20"/>
              </w:rPr>
            </w:pPr>
            <w:r>
              <w:rPr>
                <w:rFonts w:ascii="Calibri" w:hAnsi="Calibri" w:cs="Calibri"/>
                <w:szCs w:val="20"/>
              </w:rPr>
              <w:t>250 kWh/year</w:t>
            </w:r>
          </w:p>
        </w:tc>
      </w:tr>
      <w:tr w:rsidR="003F78FA" w:rsidRPr="00500C4E" w14:paraId="5C1E7521" w14:textId="77777777" w:rsidTr="003F78FA">
        <w:tc>
          <w:tcPr>
            <w:tcW w:w="1634" w:type="pct"/>
            <w:vAlign w:val="center"/>
          </w:tcPr>
          <w:p w14:paraId="40DE17B3" w14:textId="6957810F" w:rsidR="003F78FA" w:rsidRPr="00920905" w:rsidRDefault="003F78FA" w:rsidP="003F78FA">
            <w:pPr>
              <w:rPr>
                <w:rFonts w:cstheme="minorHAnsi"/>
                <w:color w:val="FF0000"/>
                <w:szCs w:val="20"/>
              </w:rPr>
            </w:pPr>
            <w:r>
              <w:rPr>
                <w:rFonts w:ascii="Calibri" w:hAnsi="Calibri" w:cs="Calibri"/>
                <w:szCs w:val="20"/>
              </w:rPr>
              <w:t>NEEA 2003</w:t>
            </w:r>
            <w:r>
              <w:rPr>
                <w:rFonts w:ascii="Calibri" w:hAnsi="Calibri" w:cs="Calibri"/>
                <w:szCs w:val="20"/>
                <w:vertAlign w:val="superscript"/>
              </w:rPr>
              <w:t>**</w:t>
            </w:r>
          </w:p>
        </w:tc>
        <w:tc>
          <w:tcPr>
            <w:tcW w:w="1733" w:type="pct"/>
            <w:vAlign w:val="center"/>
          </w:tcPr>
          <w:p w14:paraId="234005D8" w14:textId="5CFEFB02" w:rsidR="003F78FA" w:rsidRPr="00920905" w:rsidRDefault="003F78FA" w:rsidP="003F78FA">
            <w:pPr>
              <w:rPr>
                <w:rFonts w:cstheme="minorHAnsi"/>
                <w:color w:val="FF0000"/>
                <w:szCs w:val="20"/>
              </w:rPr>
            </w:pPr>
            <w:r>
              <w:rPr>
                <w:rFonts w:ascii="Calibri" w:hAnsi="Calibri" w:cs="Calibri"/>
                <w:szCs w:val="20"/>
              </w:rPr>
              <w:t>All Commercial</w:t>
            </w:r>
          </w:p>
        </w:tc>
        <w:tc>
          <w:tcPr>
            <w:tcW w:w="1633" w:type="pct"/>
            <w:vAlign w:val="center"/>
          </w:tcPr>
          <w:p w14:paraId="6A2D04CF" w14:textId="3CF05E68" w:rsidR="003F78FA" w:rsidRPr="00920905" w:rsidRDefault="003F78FA" w:rsidP="003F78FA">
            <w:pPr>
              <w:rPr>
                <w:rFonts w:cstheme="minorHAnsi"/>
                <w:color w:val="FF0000"/>
                <w:szCs w:val="20"/>
              </w:rPr>
            </w:pPr>
            <w:r>
              <w:rPr>
                <w:rFonts w:ascii="Calibri" w:hAnsi="Calibri" w:cs="Calibri"/>
                <w:szCs w:val="20"/>
              </w:rPr>
              <w:t>200 kWh/year</w:t>
            </w:r>
          </w:p>
        </w:tc>
      </w:tr>
      <w:tr w:rsidR="003F78FA" w:rsidRPr="00500C4E" w14:paraId="4BE96B3D" w14:textId="77777777" w:rsidTr="003F78FA">
        <w:tc>
          <w:tcPr>
            <w:tcW w:w="1634" w:type="pct"/>
            <w:vAlign w:val="center"/>
          </w:tcPr>
          <w:p w14:paraId="269DE8C2" w14:textId="6C629E16" w:rsidR="003F78FA" w:rsidRPr="00920905" w:rsidRDefault="003F78FA" w:rsidP="003F78FA">
            <w:pPr>
              <w:rPr>
                <w:rFonts w:cstheme="minorHAnsi"/>
                <w:color w:val="FF0000"/>
                <w:szCs w:val="20"/>
              </w:rPr>
            </w:pPr>
            <w:r>
              <w:rPr>
                <w:rFonts w:ascii="Calibri" w:hAnsi="Calibri" w:cs="Calibri"/>
                <w:szCs w:val="20"/>
              </w:rPr>
              <w:t>NEEA 2005</w:t>
            </w:r>
          </w:p>
        </w:tc>
        <w:tc>
          <w:tcPr>
            <w:tcW w:w="1733" w:type="pct"/>
            <w:vAlign w:val="center"/>
          </w:tcPr>
          <w:p w14:paraId="12F717B2" w14:textId="1E5797D2" w:rsidR="003F78FA" w:rsidRPr="00920905" w:rsidRDefault="003F78FA" w:rsidP="003F78FA">
            <w:pPr>
              <w:rPr>
                <w:rFonts w:cstheme="minorHAnsi"/>
                <w:color w:val="FF0000"/>
                <w:szCs w:val="20"/>
              </w:rPr>
            </w:pPr>
            <w:r>
              <w:rPr>
                <w:rFonts w:ascii="Calibri" w:hAnsi="Calibri" w:cs="Calibri"/>
                <w:szCs w:val="20"/>
              </w:rPr>
              <w:t>All Commercial</w:t>
            </w:r>
          </w:p>
        </w:tc>
        <w:tc>
          <w:tcPr>
            <w:tcW w:w="1633" w:type="pct"/>
            <w:vAlign w:val="center"/>
          </w:tcPr>
          <w:p w14:paraId="2C54CA80" w14:textId="21682770" w:rsidR="003F78FA" w:rsidRPr="00920905" w:rsidRDefault="003F78FA" w:rsidP="003F78FA">
            <w:pPr>
              <w:rPr>
                <w:rFonts w:cstheme="minorHAnsi"/>
                <w:color w:val="FF0000"/>
                <w:szCs w:val="20"/>
              </w:rPr>
            </w:pPr>
            <w:r>
              <w:rPr>
                <w:rFonts w:ascii="Calibri" w:hAnsi="Calibri" w:cs="Calibri"/>
                <w:szCs w:val="20"/>
              </w:rPr>
              <w:t>200 kWh/year</w:t>
            </w:r>
          </w:p>
        </w:tc>
      </w:tr>
      <w:tr w:rsidR="003F78FA" w:rsidRPr="00500C4E" w14:paraId="3B289A5D" w14:textId="77777777" w:rsidTr="003F78FA">
        <w:tc>
          <w:tcPr>
            <w:tcW w:w="1634" w:type="pct"/>
            <w:vAlign w:val="center"/>
          </w:tcPr>
          <w:p w14:paraId="71973927" w14:textId="33BDA67D" w:rsidR="003F78FA" w:rsidRPr="00920905" w:rsidRDefault="003F78FA" w:rsidP="003F78FA">
            <w:pPr>
              <w:rPr>
                <w:rFonts w:cstheme="minorHAnsi"/>
                <w:color w:val="FF0000"/>
                <w:szCs w:val="20"/>
              </w:rPr>
            </w:pPr>
            <w:r>
              <w:rPr>
                <w:rFonts w:ascii="Calibri" w:hAnsi="Calibri" w:cs="Calibri"/>
                <w:szCs w:val="20"/>
              </w:rPr>
              <w:t>NEEA 2008</w:t>
            </w:r>
            <w:r>
              <w:rPr>
                <w:rFonts w:ascii="Calibri" w:hAnsi="Calibri" w:cs="Calibri"/>
                <w:szCs w:val="20"/>
                <w:vertAlign w:val="superscript"/>
              </w:rPr>
              <w:t>***</w:t>
            </w:r>
          </w:p>
        </w:tc>
        <w:tc>
          <w:tcPr>
            <w:tcW w:w="1733" w:type="pct"/>
            <w:vAlign w:val="center"/>
          </w:tcPr>
          <w:p w14:paraId="51786E6D" w14:textId="0DA8E919" w:rsidR="003F78FA" w:rsidRPr="00920905" w:rsidRDefault="003F78FA" w:rsidP="003F78FA">
            <w:pPr>
              <w:rPr>
                <w:rFonts w:cstheme="minorHAnsi"/>
                <w:color w:val="FF0000"/>
                <w:szCs w:val="20"/>
              </w:rPr>
            </w:pPr>
            <w:r>
              <w:rPr>
                <w:rFonts w:ascii="Calibri" w:hAnsi="Calibri" w:cs="Calibri"/>
                <w:szCs w:val="20"/>
              </w:rPr>
              <w:t>All Commercial</w:t>
            </w:r>
          </w:p>
        </w:tc>
        <w:tc>
          <w:tcPr>
            <w:tcW w:w="1633" w:type="pct"/>
            <w:vAlign w:val="center"/>
          </w:tcPr>
          <w:p w14:paraId="14311CBF" w14:textId="240315D6" w:rsidR="003F78FA" w:rsidRPr="00920905" w:rsidRDefault="003F78FA" w:rsidP="003F78FA">
            <w:pPr>
              <w:rPr>
                <w:rFonts w:cstheme="minorHAnsi"/>
                <w:color w:val="FF0000"/>
                <w:szCs w:val="20"/>
              </w:rPr>
            </w:pPr>
            <w:r>
              <w:rPr>
                <w:rFonts w:ascii="Calibri" w:hAnsi="Calibri" w:cs="Calibri"/>
                <w:szCs w:val="20"/>
              </w:rPr>
              <w:t>180 kWh/year</w:t>
            </w:r>
          </w:p>
        </w:tc>
      </w:tr>
    </w:tbl>
    <w:p w14:paraId="15036D40" w14:textId="77777777" w:rsidR="003F78FA" w:rsidRDefault="003F78FA" w:rsidP="003F78FA">
      <w:pPr>
        <w:keepLines/>
        <w:ind w:left="630" w:hanging="360"/>
        <w:rPr>
          <w:rFonts w:ascii="Calibri" w:hAnsi="Calibri" w:cs="Calibri"/>
          <w:sz w:val="18"/>
          <w:szCs w:val="18"/>
        </w:rPr>
      </w:pPr>
      <w:r>
        <w:rPr>
          <w:rFonts w:ascii="Calibri" w:hAnsi="Calibri" w:cs="Calibri"/>
          <w:sz w:val="18"/>
          <w:szCs w:val="18"/>
        </w:rPr>
        <w:t xml:space="preserve">** </w:t>
      </w:r>
      <w:proofErr w:type="spellStart"/>
      <w:r>
        <w:rPr>
          <w:rFonts w:ascii="Calibri" w:hAnsi="Calibri" w:cs="Calibri"/>
          <w:sz w:val="18"/>
          <w:szCs w:val="18"/>
        </w:rPr>
        <w:t>Queensborough</w:t>
      </w:r>
      <w:proofErr w:type="spellEnd"/>
      <w:r>
        <w:rPr>
          <w:rFonts w:ascii="Calibri" w:hAnsi="Calibri" w:cs="Calibri"/>
          <w:sz w:val="18"/>
          <w:szCs w:val="18"/>
        </w:rPr>
        <w:t xml:space="preserve"> Community College is summarized in NEEA 2003</w:t>
      </w:r>
    </w:p>
    <w:p w14:paraId="3F82F2B6" w14:textId="025A9E6F" w:rsidR="003F78FA" w:rsidRDefault="003F78FA" w:rsidP="003F78FA">
      <w:pPr>
        <w:keepLines/>
        <w:ind w:left="630" w:hanging="360"/>
        <w:rPr>
          <w:rFonts w:ascii="Calibri" w:hAnsi="Calibri" w:cs="Calibri"/>
          <w:sz w:val="18"/>
          <w:szCs w:val="18"/>
          <w:vertAlign w:val="superscript"/>
        </w:rPr>
      </w:pPr>
      <w:r>
        <w:rPr>
          <w:rFonts w:ascii="Calibri" w:hAnsi="Calibri" w:cs="Calibri"/>
          <w:sz w:val="18"/>
          <w:szCs w:val="18"/>
        </w:rPr>
        <w:t>***</w:t>
      </w:r>
      <w:r>
        <w:rPr>
          <w:rFonts w:ascii="Calibri" w:hAnsi="Calibri" w:cs="Calibri"/>
          <w:sz w:val="18"/>
          <w:szCs w:val="18"/>
        </w:rPr>
        <w:tab/>
        <w:t xml:space="preserve">Reduced NEEA 2005 value by 10% as recommended in the 2005 MPER </w:t>
      </w:r>
      <w:r w:rsidR="002B6D47">
        <w:rPr>
          <w:rFonts w:ascii="Calibri" w:hAnsi="Calibri" w:cs="Calibri"/>
          <w:sz w:val="18"/>
          <w:szCs w:val="18"/>
        </w:rPr>
        <w:t>[E]</w:t>
      </w:r>
    </w:p>
    <w:p w14:paraId="414F2325" w14:textId="77777777" w:rsidR="00CE5B0B" w:rsidRDefault="00CE5B0B" w:rsidP="00D23770">
      <w:pPr>
        <w:pStyle w:val="Reminders"/>
        <w:rPr>
          <w:rFonts w:asciiTheme="minorHAnsi" w:hAnsiTheme="minorHAnsi" w:cstheme="minorHAnsi"/>
          <w:i w:val="0"/>
          <w:szCs w:val="22"/>
        </w:rPr>
      </w:pPr>
    </w:p>
    <w:p w14:paraId="1685EC23" w14:textId="6EDC1490" w:rsidR="003F78FA" w:rsidRDefault="003F78FA" w:rsidP="003F78FA">
      <w:pPr>
        <w:pStyle w:val="Caption"/>
        <w:rPr>
          <w:rFonts w:cs="Calibri"/>
          <w:b w:val="0"/>
          <w:bCs w:val="0"/>
          <w:szCs w:val="22"/>
        </w:rPr>
      </w:pPr>
      <w:r w:rsidRPr="0020304E">
        <w:rPr>
          <w:rFonts w:cs="Calibri"/>
          <w:b w:val="0"/>
          <w:bCs w:val="0"/>
          <w:szCs w:val="22"/>
        </w:rPr>
        <w:t>These monitoring studies took place between 2000</w:t>
      </w:r>
      <w:r w:rsidR="00D73EE0">
        <w:rPr>
          <w:rFonts w:cs="Calibri"/>
          <w:b w:val="0"/>
          <w:bCs w:val="0"/>
          <w:szCs w:val="22"/>
        </w:rPr>
        <w:t xml:space="preserve"> </w:t>
      </w:r>
      <w:r w:rsidR="0020304E">
        <w:rPr>
          <w:rFonts w:cs="Calibri"/>
          <w:b w:val="0"/>
          <w:bCs w:val="0"/>
          <w:szCs w:val="22"/>
        </w:rPr>
        <w:t xml:space="preserve">and </w:t>
      </w:r>
      <w:r w:rsidRPr="0020304E">
        <w:rPr>
          <w:rFonts w:cs="Calibri"/>
          <w:b w:val="0"/>
          <w:bCs w:val="0"/>
          <w:szCs w:val="22"/>
        </w:rPr>
        <w:t>2006,</w:t>
      </w:r>
      <w:r>
        <w:rPr>
          <w:rFonts w:cs="Calibri"/>
          <w:b w:val="0"/>
          <w:bCs w:val="0"/>
          <w:szCs w:val="22"/>
        </w:rPr>
        <w:t xml:space="preserve"> and were installed primarily on desktop computers with Cathode Ray Tube (CRT) monitors. While the duty cycle data from these studies is likely to be still valid, there have been notable changes in monitor and desktop energy use since 2006. These changes have been primarily driven by the transition from CRT to LCD monitors and improvements in LCD monitor efficiency. Desktop computers have seen significant improvements in Sleep Mode Power, but have had limited gains in Active Mode energy use. Assuming an even stock turnover cycle, the average age of the installed desktop and monitor base is two years. This suggests that in the currently installed base, the average computer and desktop were purchased in 201</w:t>
      </w:r>
      <w:r w:rsidR="00C17F10">
        <w:rPr>
          <w:rFonts w:cs="Calibri"/>
          <w:b w:val="0"/>
          <w:bCs w:val="0"/>
          <w:szCs w:val="22"/>
        </w:rPr>
        <w:t>6.</w:t>
      </w:r>
    </w:p>
    <w:p w14:paraId="2AC0A833" w14:textId="77777777" w:rsidR="003F78FA" w:rsidRDefault="003F78FA" w:rsidP="003F78FA">
      <w:pPr>
        <w:rPr>
          <w:szCs w:val="22"/>
        </w:rPr>
      </w:pPr>
    </w:p>
    <w:p w14:paraId="3C0169D2" w14:textId="4817BE44" w:rsidR="003F78FA" w:rsidRDefault="003F78FA" w:rsidP="003F78FA">
      <w:pPr>
        <w:pStyle w:val="Caption"/>
        <w:rPr>
          <w:rFonts w:cs="Calibri"/>
          <w:b w:val="0"/>
          <w:bCs w:val="0"/>
          <w:szCs w:val="22"/>
        </w:rPr>
      </w:pPr>
      <w:r>
        <w:rPr>
          <w:rFonts w:cs="Calibri"/>
          <w:b w:val="0"/>
          <w:bCs w:val="0"/>
          <w:szCs w:val="22"/>
        </w:rPr>
        <w:t>To account for thes</w:t>
      </w:r>
      <w:r w:rsidR="0025631C">
        <w:rPr>
          <w:rFonts w:cs="Calibri"/>
          <w:b w:val="0"/>
          <w:bCs w:val="0"/>
          <w:szCs w:val="22"/>
        </w:rPr>
        <w:t>e improvements from 2006 to 2016</w:t>
      </w:r>
      <w:r>
        <w:rPr>
          <w:rFonts w:cs="Calibri"/>
          <w:b w:val="0"/>
          <w:bCs w:val="0"/>
          <w:szCs w:val="22"/>
        </w:rPr>
        <w:t>, we estimated a 5% annual reduction in s</w:t>
      </w:r>
      <w:r w:rsidR="005B102F">
        <w:rPr>
          <w:rFonts w:cs="Calibri"/>
          <w:b w:val="0"/>
          <w:bCs w:val="0"/>
          <w:szCs w:val="22"/>
        </w:rPr>
        <w:t xml:space="preserve">avings, which corresponds to a </w:t>
      </w:r>
      <w:r w:rsidR="0025631C">
        <w:rPr>
          <w:rFonts w:cs="Calibri"/>
          <w:b w:val="0"/>
          <w:bCs w:val="0"/>
          <w:szCs w:val="22"/>
        </w:rPr>
        <w:t>5</w:t>
      </w:r>
      <w:r>
        <w:rPr>
          <w:rFonts w:cs="Calibri"/>
          <w:b w:val="0"/>
          <w:bCs w:val="0"/>
          <w:szCs w:val="22"/>
        </w:rPr>
        <w:t>0% decrease in energy savings over the 2006-201</w:t>
      </w:r>
      <w:r w:rsidR="00B2000C">
        <w:rPr>
          <w:rFonts w:cs="Calibri"/>
          <w:b w:val="0"/>
          <w:bCs w:val="0"/>
          <w:szCs w:val="22"/>
        </w:rPr>
        <w:t>6</w:t>
      </w:r>
      <w:r>
        <w:rPr>
          <w:rFonts w:cs="Calibri"/>
          <w:b w:val="0"/>
          <w:bCs w:val="0"/>
          <w:szCs w:val="22"/>
        </w:rPr>
        <w:t xml:space="preserve"> </w:t>
      </w:r>
      <w:proofErr w:type="gramStart"/>
      <w:r>
        <w:rPr>
          <w:rFonts w:cs="Calibri"/>
          <w:b w:val="0"/>
          <w:bCs w:val="0"/>
          <w:szCs w:val="22"/>
        </w:rPr>
        <w:t>period</w:t>
      </w:r>
      <w:proofErr w:type="gramEnd"/>
      <w:r>
        <w:rPr>
          <w:rFonts w:cs="Calibri"/>
          <w:b w:val="0"/>
          <w:bCs w:val="0"/>
          <w:szCs w:val="22"/>
        </w:rPr>
        <w:t xml:space="preserve">. This 5% figure is derived from average On Mode Power values taken from Energy Star Monitor lists during the 2006-2010 </w:t>
      </w:r>
      <w:proofErr w:type="gramStart"/>
      <w:r>
        <w:rPr>
          <w:rFonts w:cs="Calibri"/>
          <w:b w:val="0"/>
          <w:bCs w:val="0"/>
          <w:szCs w:val="22"/>
        </w:rPr>
        <w:t>period</w:t>
      </w:r>
      <w:proofErr w:type="gramEnd"/>
      <w:r>
        <w:rPr>
          <w:rFonts w:cs="Calibri"/>
          <w:b w:val="0"/>
          <w:bCs w:val="0"/>
          <w:szCs w:val="22"/>
        </w:rPr>
        <w:t xml:space="preserve">. </w:t>
      </w:r>
    </w:p>
    <w:p w14:paraId="1D456719" w14:textId="77777777" w:rsidR="003F78FA" w:rsidRDefault="003F78FA" w:rsidP="003F78FA">
      <w:pPr>
        <w:rPr>
          <w:szCs w:val="22"/>
        </w:rPr>
      </w:pPr>
    </w:p>
    <w:p w14:paraId="0A90DA57" w14:textId="21DDCA62" w:rsidR="003F78FA" w:rsidRDefault="003F78FA" w:rsidP="003F78FA">
      <w:pPr>
        <w:pStyle w:val="Caption"/>
        <w:rPr>
          <w:rFonts w:cs="Calibri"/>
          <w:b w:val="0"/>
          <w:bCs w:val="0"/>
          <w:szCs w:val="22"/>
        </w:rPr>
      </w:pPr>
      <w:r>
        <w:rPr>
          <w:rFonts w:cs="Calibri"/>
          <w:b w:val="0"/>
          <w:bCs w:val="0"/>
          <w:szCs w:val="22"/>
        </w:rPr>
        <w:t xml:space="preserve">For Offices and K-12 Schools, the recommended deemed savings summarized in </w:t>
      </w:r>
      <w:r w:rsidR="00D73EE0">
        <w:rPr>
          <w:rFonts w:cs="Calibri"/>
          <w:b w:val="0"/>
          <w:bCs w:val="0"/>
          <w:szCs w:val="22"/>
        </w:rPr>
        <w:t xml:space="preserve">the </w:t>
      </w:r>
      <w:r>
        <w:rPr>
          <w:rFonts w:cs="Calibri"/>
          <w:b w:val="0"/>
          <w:bCs w:val="0"/>
          <w:szCs w:val="22"/>
        </w:rPr>
        <w:t>table below were derived by averaging each of the</w:t>
      </w:r>
      <w:r w:rsidR="00D73EE0">
        <w:rPr>
          <w:rFonts w:cs="Calibri"/>
          <w:b w:val="0"/>
          <w:bCs w:val="0"/>
          <w:szCs w:val="22"/>
        </w:rPr>
        <w:t>ir</w:t>
      </w:r>
      <w:r>
        <w:rPr>
          <w:rFonts w:cs="Calibri"/>
          <w:b w:val="0"/>
          <w:bCs w:val="0"/>
          <w:szCs w:val="22"/>
        </w:rPr>
        <w:t xml:space="preserve"> Building Type values </w:t>
      </w:r>
      <w:r w:rsidR="00D03159">
        <w:rPr>
          <w:rFonts w:cs="Calibri"/>
          <w:b w:val="0"/>
          <w:bCs w:val="0"/>
          <w:szCs w:val="22"/>
        </w:rPr>
        <w:t>from the</w:t>
      </w:r>
      <w:r w:rsidR="00D03159">
        <w:rPr>
          <w:rFonts w:cs="Calibri"/>
          <w:b w:val="0"/>
          <w:szCs w:val="22"/>
        </w:rPr>
        <w:t xml:space="preserve"> </w:t>
      </w:r>
      <w:r>
        <w:rPr>
          <w:rFonts w:cs="Calibri"/>
          <w:b w:val="0"/>
          <w:szCs w:val="22"/>
        </w:rPr>
        <w:t xml:space="preserve">table above </w:t>
      </w:r>
      <w:r>
        <w:rPr>
          <w:rFonts w:cs="Calibri"/>
          <w:b w:val="0"/>
          <w:bCs w:val="0"/>
          <w:szCs w:val="22"/>
        </w:rPr>
        <w:t>and then adjusti</w:t>
      </w:r>
      <w:r w:rsidR="0025631C">
        <w:rPr>
          <w:rFonts w:cs="Calibri"/>
          <w:b w:val="0"/>
          <w:bCs w:val="0"/>
          <w:szCs w:val="22"/>
        </w:rPr>
        <w:t>ng savings values downwards by 5</w:t>
      </w:r>
      <w:r>
        <w:rPr>
          <w:rFonts w:cs="Calibri"/>
          <w:b w:val="0"/>
          <w:bCs w:val="0"/>
          <w:szCs w:val="22"/>
        </w:rPr>
        <w:t xml:space="preserve">0%. </w:t>
      </w:r>
      <w:r w:rsidR="00D03159">
        <w:rPr>
          <w:rFonts w:cs="Calibri"/>
          <w:b w:val="0"/>
          <w:bCs w:val="0"/>
          <w:szCs w:val="22"/>
        </w:rPr>
        <w:t>It should be noted t</w:t>
      </w:r>
      <w:r w:rsidR="00D03159" w:rsidRPr="00D03159">
        <w:rPr>
          <w:rFonts w:cs="Calibri"/>
          <w:b w:val="0"/>
          <w:bCs w:val="0"/>
          <w:szCs w:val="22"/>
        </w:rPr>
        <w:t>he data did not provide a differentiation between large and small offices</w:t>
      </w:r>
      <w:r w:rsidR="00D03159">
        <w:rPr>
          <w:rFonts w:cs="Calibri"/>
          <w:b w:val="0"/>
          <w:bCs w:val="0"/>
          <w:szCs w:val="22"/>
        </w:rPr>
        <w:t xml:space="preserve">.  </w:t>
      </w:r>
    </w:p>
    <w:p w14:paraId="6341642E" w14:textId="1AB6AE62" w:rsidR="003F78FA" w:rsidRDefault="003F78FA" w:rsidP="003F78FA">
      <w:pPr>
        <w:rPr>
          <w:rFonts w:cs="Calibri"/>
          <w:szCs w:val="22"/>
        </w:rPr>
      </w:pPr>
      <w:r>
        <w:rPr>
          <w:rFonts w:cs="Calibri"/>
          <w:szCs w:val="22"/>
        </w:rPr>
        <w:lastRenderedPageBreak/>
        <w:t>A conservative deemed value to represent unknown commercial building type applications and all other building types is derived by averaging the NEEA 2005 cases and the TIAX 2004 Auto Sleep Strategy [G, H] from</w:t>
      </w:r>
      <w:r w:rsidR="002D2162">
        <w:rPr>
          <w:rFonts w:cs="Calibri"/>
          <w:szCs w:val="22"/>
        </w:rPr>
        <w:t xml:space="preserve"> table Summary of Documented Unit Energy Savings for PCPM Network Software</w:t>
      </w:r>
      <w:r>
        <w:rPr>
          <w:rFonts w:cs="Calibri"/>
          <w:szCs w:val="22"/>
        </w:rPr>
        <w:t xml:space="preserve">.   </w:t>
      </w:r>
    </w:p>
    <w:p w14:paraId="04D758FE" w14:textId="77777777" w:rsidR="00D03159" w:rsidRDefault="00D03159" w:rsidP="003F78FA">
      <w:pPr>
        <w:rPr>
          <w:rFonts w:cs="Calibri"/>
          <w:szCs w:val="22"/>
        </w:rPr>
      </w:pPr>
    </w:p>
    <w:p w14:paraId="5EAD305F" w14:textId="0A5BF51F" w:rsidR="003F78FA" w:rsidRDefault="00D03159" w:rsidP="003F78FA">
      <w:pPr>
        <w:rPr>
          <w:rFonts w:cs="Calibri"/>
          <w:szCs w:val="22"/>
        </w:rPr>
      </w:pPr>
      <w:r w:rsidRPr="00D03159">
        <w:rPr>
          <w:rFonts w:cs="Calibri"/>
          <w:szCs w:val="22"/>
        </w:rPr>
        <w:t>The Average Unit Energy Savings was derived by averaging the values for all of the building types in the table below.</w:t>
      </w:r>
    </w:p>
    <w:p w14:paraId="094EA88D" w14:textId="77777777" w:rsidR="00D03159" w:rsidRDefault="00D03159" w:rsidP="003F78FA">
      <w:pPr>
        <w:rPr>
          <w:rFonts w:cs="Calibri"/>
          <w:szCs w:val="22"/>
        </w:rPr>
      </w:pPr>
    </w:p>
    <w:p w14:paraId="1B7241AF" w14:textId="77777777" w:rsidR="00D03159" w:rsidRPr="003F78FA" w:rsidRDefault="00D03159" w:rsidP="00D03159">
      <w:pPr>
        <w:pStyle w:val="Caption"/>
        <w:keepNext/>
        <w:rPr>
          <w:rFonts w:cstheme="minorHAnsi"/>
          <w:szCs w:val="22"/>
        </w:rPr>
      </w:pPr>
      <w:r w:rsidRPr="003F78FA">
        <w:rPr>
          <w:rFonts w:cstheme="minorHAnsi"/>
          <w:szCs w:val="22"/>
        </w:rPr>
        <w:t>Energy Savings per Networked Computer</w:t>
      </w:r>
    </w:p>
    <w:tbl>
      <w:tblPr>
        <w:tblStyle w:val="TableGrid1"/>
        <w:tblW w:w="4232" w:type="pct"/>
        <w:tblLook w:val="01E0" w:firstRow="1" w:lastRow="1" w:firstColumn="1" w:lastColumn="1" w:noHBand="0" w:noVBand="0"/>
      </w:tblPr>
      <w:tblGrid>
        <w:gridCol w:w="4237"/>
        <w:gridCol w:w="1934"/>
        <w:gridCol w:w="1934"/>
      </w:tblGrid>
      <w:tr w:rsidR="00D03159" w:rsidRPr="00500C4E" w14:paraId="354FAA65" w14:textId="77777777" w:rsidTr="00F1761C">
        <w:tc>
          <w:tcPr>
            <w:tcW w:w="2614" w:type="pct"/>
            <w:shd w:val="clear" w:color="auto" w:fill="D9D9D9" w:themeFill="background1" w:themeFillShade="D9"/>
          </w:tcPr>
          <w:p w14:paraId="349CD688" w14:textId="77777777" w:rsidR="00D03159" w:rsidRPr="003F78FA" w:rsidRDefault="00D03159" w:rsidP="00D03159">
            <w:pPr>
              <w:rPr>
                <w:rFonts w:cstheme="minorHAnsi"/>
                <w:b/>
                <w:szCs w:val="20"/>
              </w:rPr>
            </w:pPr>
            <w:r w:rsidRPr="003F78FA">
              <w:rPr>
                <w:rFonts w:cstheme="minorHAnsi"/>
                <w:b/>
                <w:szCs w:val="20"/>
              </w:rPr>
              <w:t>Building Type</w:t>
            </w:r>
          </w:p>
        </w:tc>
        <w:tc>
          <w:tcPr>
            <w:tcW w:w="1193" w:type="pct"/>
            <w:shd w:val="clear" w:color="auto" w:fill="D9D9D9" w:themeFill="background1" w:themeFillShade="D9"/>
          </w:tcPr>
          <w:p w14:paraId="7FDEF33F" w14:textId="77777777" w:rsidR="00D03159" w:rsidRDefault="00D03159" w:rsidP="00D03159">
            <w:pPr>
              <w:rPr>
                <w:rFonts w:cstheme="minorHAnsi"/>
                <w:b/>
                <w:szCs w:val="20"/>
              </w:rPr>
            </w:pPr>
            <w:r>
              <w:rPr>
                <w:rFonts w:cstheme="minorHAnsi"/>
                <w:b/>
                <w:szCs w:val="20"/>
              </w:rPr>
              <w:t>2006</w:t>
            </w:r>
          </w:p>
          <w:p w14:paraId="2726C1E8" w14:textId="77777777" w:rsidR="00D03159" w:rsidRPr="003F78FA" w:rsidRDefault="00D03159" w:rsidP="00D03159">
            <w:pPr>
              <w:rPr>
                <w:rFonts w:cstheme="minorHAnsi"/>
                <w:b/>
                <w:szCs w:val="20"/>
              </w:rPr>
            </w:pPr>
            <w:r w:rsidRPr="003F78FA">
              <w:rPr>
                <w:rFonts w:cstheme="minorHAnsi"/>
                <w:b/>
                <w:szCs w:val="20"/>
              </w:rPr>
              <w:t>Unit Energy Savings (kWh/year)</w:t>
            </w:r>
          </w:p>
        </w:tc>
        <w:tc>
          <w:tcPr>
            <w:tcW w:w="1193" w:type="pct"/>
            <w:shd w:val="clear" w:color="auto" w:fill="D9D9D9" w:themeFill="background1" w:themeFillShade="D9"/>
          </w:tcPr>
          <w:p w14:paraId="14E9AB3D" w14:textId="75291A85" w:rsidR="00D03159" w:rsidRDefault="007D3364" w:rsidP="00D03159">
            <w:pPr>
              <w:rPr>
                <w:rFonts w:cstheme="minorHAnsi"/>
                <w:b/>
                <w:szCs w:val="20"/>
              </w:rPr>
            </w:pPr>
            <w:r>
              <w:rPr>
                <w:rFonts w:cstheme="minorHAnsi"/>
                <w:b/>
                <w:szCs w:val="20"/>
              </w:rPr>
              <w:t>2017</w:t>
            </w:r>
          </w:p>
          <w:p w14:paraId="635B0159" w14:textId="77777777" w:rsidR="00D03159" w:rsidRPr="003F78FA" w:rsidRDefault="00D03159" w:rsidP="00D03159">
            <w:pPr>
              <w:rPr>
                <w:rFonts w:cstheme="minorHAnsi"/>
                <w:b/>
                <w:szCs w:val="20"/>
                <w:highlight w:val="yellow"/>
              </w:rPr>
            </w:pPr>
            <w:r w:rsidRPr="003F78FA">
              <w:rPr>
                <w:rFonts w:cstheme="minorHAnsi"/>
                <w:b/>
                <w:szCs w:val="20"/>
              </w:rPr>
              <w:t>Unit Energy Savings (kWh/year)</w:t>
            </w:r>
          </w:p>
        </w:tc>
      </w:tr>
      <w:tr w:rsidR="007D3364" w:rsidRPr="00500C4E" w14:paraId="1C9B5D88" w14:textId="77777777" w:rsidTr="00F1761C">
        <w:tc>
          <w:tcPr>
            <w:tcW w:w="2614" w:type="pct"/>
          </w:tcPr>
          <w:p w14:paraId="4C48B038" w14:textId="77777777" w:rsidR="007D3364" w:rsidRPr="00920905" w:rsidRDefault="007D3364" w:rsidP="007D3364">
            <w:pPr>
              <w:rPr>
                <w:rFonts w:cstheme="minorHAnsi"/>
                <w:color w:val="FF0000"/>
                <w:szCs w:val="20"/>
              </w:rPr>
            </w:pPr>
            <w:r>
              <w:rPr>
                <w:rFonts w:ascii="Calibri" w:hAnsi="Calibri" w:cs="Calibri"/>
                <w:szCs w:val="20"/>
              </w:rPr>
              <w:t>Offices</w:t>
            </w:r>
          </w:p>
        </w:tc>
        <w:tc>
          <w:tcPr>
            <w:tcW w:w="1193" w:type="pct"/>
          </w:tcPr>
          <w:p w14:paraId="1B9D31C8" w14:textId="77777777" w:rsidR="007D3364" w:rsidRPr="00932BB9" w:rsidRDefault="007D3364" w:rsidP="007D3364">
            <w:pPr>
              <w:jc w:val="right"/>
            </w:pPr>
            <w:r w:rsidRPr="001E6E2D">
              <w:t>186.6</w:t>
            </w:r>
          </w:p>
        </w:tc>
        <w:tc>
          <w:tcPr>
            <w:tcW w:w="1193" w:type="pct"/>
          </w:tcPr>
          <w:p w14:paraId="788B8C89" w14:textId="3EAEDCDF" w:rsidR="007D3364" w:rsidRPr="00920905" w:rsidRDefault="007D3364" w:rsidP="007D3364">
            <w:pPr>
              <w:jc w:val="right"/>
              <w:rPr>
                <w:rFonts w:cstheme="minorHAnsi"/>
                <w:color w:val="FF0000"/>
                <w:szCs w:val="20"/>
              </w:rPr>
            </w:pPr>
            <w:r w:rsidRPr="002E32F1">
              <w:t>83.97</w:t>
            </w:r>
          </w:p>
        </w:tc>
      </w:tr>
      <w:tr w:rsidR="007D3364" w:rsidRPr="00500C4E" w14:paraId="1D4E1288" w14:textId="77777777" w:rsidTr="00F1761C">
        <w:tc>
          <w:tcPr>
            <w:tcW w:w="2614" w:type="pct"/>
          </w:tcPr>
          <w:p w14:paraId="0F5FE454" w14:textId="77777777" w:rsidR="007D3364" w:rsidRPr="00920905" w:rsidRDefault="007D3364" w:rsidP="007D3364">
            <w:pPr>
              <w:rPr>
                <w:rFonts w:cstheme="minorHAnsi"/>
                <w:color w:val="FF0000"/>
                <w:szCs w:val="20"/>
              </w:rPr>
            </w:pPr>
            <w:r>
              <w:rPr>
                <w:rFonts w:ascii="Calibri" w:hAnsi="Calibri" w:cs="Calibri"/>
                <w:szCs w:val="20"/>
              </w:rPr>
              <w:t>K-12 Schools</w:t>
            </w:r>
          </w:p>
        </w:tc>
        <w:tc>
          <w:tcPr>
            <w:tcW w:w="1193" w:type="pct"/>
          </w:tcPr>
          <w:p w14:paraId="6CC72DA6" w14:textId="77777777" w:rsidR="007D3364" w:rsidRDefault="007D3364" w:rsidP="007D3364">
            <w:pPr>
              <w:jc w:val="right"/>
            </w:pPr>
            <w:r w:rsidRPr="001E6E2D">
              <w:t>191.25</w:t>
            </w:r>
          </w:p>
        </w:tc>
        <w:tc>
          <w:tcPr>
            <w:tcW w:w="1193" w:type="pct"/>
          </w:tcPr>
          <w:p w14:paraId="302F2FEB" w14:textId="4B7A9BFF" w:rsidR="007D3364" w:rsidRPr="005E057E" w:rsidRDefault="007D3364" w:rsidP="007D3364">
            <w:pPr>
              <w:jc w:val="right"/>
            </w:pPr>
            <w:r w:rsidRPr="002E32F1">
              <w:t>86.06</w:t>
            </w:r>
          </w:p>
        </w:tc>
      </w:tr>
      <w:tr w:rsidR="007D3364" w:rsidRPr="00500C4E" w14:paraId="132B0DB4" w14:textId="77777777" w:rsidTr="00F1761C">
        <w:tc>
          <w:tcPr>
            <w:tcW w:w="2614" w:type="pct"/>
          </w:tcPr>
          <w:p w14:paraId="57299BCF" w14:textId="77777777" w:rsidR="007D3364" w:rsidRPr="00920905" w:rsidRDefault="007D3364" w:rsidP="007D3364">
            <w:pPr>
              <w:rPr>
                <w:rFonts w:cstheme="minorHAnsi"/>
                <w:color w:val="FF0000"/>
                <w:szCs w:val="20"/>
              </w:rPr>
            </w:pPr>
            <w:r>
              <w:rPr>
                <w:rFonts w:ascii="Calibri" w:hAnsi="Calibri" w:cs="Calibri"/>
                <w:szCs w:val="20"/>
              </w:rPr>
              <w:t>College</w:t>
            </w:r>
          </w:p>
        </w:tc>
        <w:tc>
          <w:tcPr>
            <w:tcW w:w="1193" w:type="pct"/>
          </w:tcPr>
          <w:p w14:paraId="724B3B13" w14:textId="77777777" w:rsidR="007D3364" w:rsidRPr="00932BB9" w:rsidRDefault="007D3364" w:rsidP="007D3364">
            <w:pPr>
              <w:jc w:val="right"/>
            </w:pPr>
            <w:r w:rsidRPr="001E6E2D">
              <w:t>225.5</w:t>
            </w:r>
          </w:p>
        </w:tc>
        <w:tc>
          <w:tcPr>
            <w:tcW w:w="1193" w:type="pct"/>
          </w:tcPr>
          <w:p w14:paraId="4B2630CD" w14:textId="00F1D823" w:rsidR="007D3364" w:rsidRPr="00920905" w:rsidRDefault="007D3364" w:rsidP="007D3364">
            <w:pPr>
              <w:jc w:val="right"/>
              <w:rPr>
                <w:rFonts w:cstheme="minorHAnsi"/>
                <w:color w:val="FF0000"/>
                <w:szCs w:val="20"/>
              </w:rPr>
            </w:pPr>
            <w:r w:rsidRPr="002E32F1">
              <w:t>101.48</w:t>
            </w:r>
          </w:p>
        </w:tc>
      </w:tr>
      <w:tr w:rsidR="007D3364" w:rsidRPr="00500C4E" w14:paraId="75E221F7" w14:textId="77777777" w:rsidTr="00F1761C">
        <w:tc>
          <w:tcPr>
            <w:tcW w:w="2614" w:type="pct"/>
          </w:tcPr>
          <w:p w14:paraId="75B97513" w14:textId="77777777" w:rsidR="007D3364" w:rsidRPr="00920905" w:rsidRDefault="007D3364" w:rsidP="007D3364">
            <w:pPr>
              <w:rPr>
                <w:rFonts w:cstheme="minorHAnsi"/>
                <w:color w:val="FF0000"/>
                <w:szCs w:val="20"/>
              </w:rPr>
            </w:pPr>
            <w:r>
              <w:rPr>
                <w:rFonts w:ascii="Calibri" w:hAnsi="Calibri" w:cs="Calibri"/>
                <w:szCs w:val="20"/>
              </w:rPr>
              <w:t>Misc. Commercial</w:t>
            </w:r>
          </w:p>
        </w:tc>
        <w:tc>
          <w:tcPr>
            <w:tcW w:w="1193" w:type="pct"/>
          </w:tcPr>
          <w:p w14:paraId="66CD4D11" w14:textId="77777777" w:rsidR="007D3364" w:rsidRPr="00932BB9" w:rsidRDefault="007D3364" w:rsidP="007D3364">
            <w:pPr>
              <w:jc w:val="right"/>
            </w:pPr>
            <w:r w:rsidRPr="001E6E2D">
              <w:t>181.5</w:t>
            </w:r>
          </w:p>
        </w:tc>
        <w:tc>
          <w:tcPr>
            <w:tcW w:w="1193" w:type="pct"/>
          </w:tcPr>
          <w:p w14:paraId="6D12660E" w14:textId="0F04B2C7" w:rsidR="007D3364" w:rsidRPr="00920905" w:rsidRDefault="007D3364" w:rsidP="007D3364">
            <w:pPr>
              <w:jc w:val="right"/>
              <w:rPr>
                <w:rFonts w:cstheme="minorHAnsi"/>
                <w:color w:val="FF0000"/>
                <w:szCs w:val="20"/>
              </w:rPr>
            </w:pPr>
            <w:r w:rsidRPr="002E32F1">
              <w:t>81.68</w:t>
            </w:r>
          </w:p>
        </w:tc>
      </w:tr>
      <w:tr w:rsidR="007D3364" w:rsidRPr="00500C4E" w14:paraId="71B2B6AC" w14:textId="77777777" w:rsidTr="00F1761C">
        <w:tc>
          <w:tcPr>
            <w:tcW w:w="2614" w:type="pct"/>
          </w:tcPr>
          <w:p w14:paraId="7F3DFCBC" w14:textId="77777777" w:rsidR="007D3364" w:rsidRPr="00920905" w:rsidRDefault="007D3364" w:rsidP="007D3364">
            <w:pPr>
              <w:rPr>
                <w:rFonts w:cstheme="minorHAnsi"/>
                <w:color w:val="FF0000"/>
                <w:szCs w:val="20"/>
              </w:rPr>
            </w:pPr>
            <w:r>
              <w:rPr>
                <w:rFonts w:ascii="Calibri" w:hAnsi="Calibri" w:cs="Calibri"/>
                <w:szCs w:val="20"/>
              </w:rPr>
              <w:t xml:space="preserve">Average </w:t>
            </w:r>
          </w:p>
        </w:tc>
        <w:tc>
          <w:tcPr>
            <w:tcW w:w="1193" w:type="pct"/>
          </w:tcPr>
          <w:p w14:paraId="0815A9D1" w14:textId="77777777" w:rsidR="007D3364" w:rsidRPr="00932BB9" w:rsidRDefault="007D3364" w:rsidP="007D3364">
            <w:pPr>
              <w:jc w:val="right"/>
            </w:pPr>
            <w:r w:rsidRPr="001E6E2D">
              <w:t>196.21</w:t>
            </w:r>
          </w:p>
        </w:tc>
        <w:tc>
          <w:tcPr>
            <w:tcW w:w="1193" w:type="pct"/>
          </w:tcPr>
          <w:p w14:paraId="42207198" w14:textId="5821397F" w:rsidR="007D3364" w:rsidRPr="00920905" w:rsidRDefault="007D3364" w:rsidP="007D3364">
            <w:pPr>
              <w:jc w:val="right"/>
              <w:rPr>
                <w:rFonts w:cstheme="minorHAnsi"/>
                <w:color w:val="FF0000"/>
                <w:szCs w:val="20"/>
              </w:rPr>
            </w:pPr>
            <w:r w:rsidRPr="002E32F1">
              <w:t>88.29</w:t>
            </w:r>
          </w:p>
        </w:tc>
      </w:tr>
    </w:tbl>
    <w:p w14:paraId="547DBAA0" w14:textId="77777777" w:rsidR="00D03159" w:rsidRDefault="00D03159" w:rsidP="003F78FA">
      <w:pPr>
        <w:autoSpaceDE w:val="0"/>
        <w:autoSpaceDN w:val="0"/>
        <w:adjustRightInd w:val="0"/>
        <w:rPr>
          <w:rFonts w:cs="Calibri"/>
          <w:szCs w:val="22"/>
        </w:rPr>
      </w:pPr>
    </w:p>
    <w:p w14:paraId="3525896C" w14:textId="78BAA7BB" w:rsidR="003F78FA" w:rsidRDefault="003F78FA" w:rsidP="003F78FA">
      <w:pPr>
        <w:autoSpaceDE w:val="0"/>
        <w:autoSpaceDN w:val="0"/>
        <w:adjustRightInd w:val="0"/>
        <w:rPr>
          <w:rFonts w:cs="Calibri"/>
          <w:szCs w:val="22"/>
        </w:rPr>
      </w:pPr>
      <w:r>
        <w:rPr>
          <w:rFonts w:cs="Calibri"/>
          <w:szCs w:val="22"/>
        </w:rPr>
        <w:t xml:space="preserve">All of the EM&amp;V studies and work papers used to determine these savings consider the possibility of peak demand reduction values to be either negligible or non-existent.  As the TIAX report indicated in its analysis, most PCs in the commercial sector are in use during peak demand periods </w:t>
      </w:r>
      <w:r w:rsidR="002B6D47">
        <w:rPr>
          <w:rFonts w:cs="Calibri"/>
          <w:szCs w:val="22"/>
        </w:rPr>
        <w:t>[H]</w:t>
      </w:r>
      <w:r>
        <w:rPr>
          <w:rFonts w:cs="Calibri"/>
          <w:szCs w:val="22"/>
        </w:rPr>
        <w:t xml:space="preserve">.  However, this point of view fails to recognize that a runtime change, which is the main effect of PCPM Network Software, changes the demand timing of the controlled networked computers.  </w:t>
      </w:r>
    </w:p>
    <w:p w14:paraId="7C15D710" w14:textId="77777777" w:rsidR="003F78FA" w:rsidRDefault="003F78FA" w:rsidP="003F78FA">
      <w:pPr>
        <w:autoSpaceDE w:val="0"/>
        <w:autoSpaceDN w:val="0"/>
        <w:adjustRightInd w:val="0"/>
        <w:rPr>
          <w:rFonts w:cs="Calibri"/>
          <w:szCs w:val="22"/>
        </w:rPr>
      </w:pPr>
    </w:p>
    <w:p w14:paraId="6CE8710D" w14:textId="615029AA" w:rsidR="003F78FA" w:rsidRDefault="003F78FA" w:rsidP="003F78FA">
      <w:pPr>
        <w:rPr>
          <w:szCs w:val="22"/>
        </w:rPr>
      </w:pPr>
      <w:r>
        <w:rPr>
          <w:rFonts w:cs="Calibri"/>
          <w:szCs w:val="22"/>
        </w:rPr>
        <w:t>A change in timing can lead to peak demand reductions for large measure groups.  The effect only becomes evident when a large population is analyzed with before and after hourly demand load profiles. A</w:t>
      </w:r>
      <w:r>
        <w:rPr>
          <w:szCs w:val="22"/>
        </w:rPr>
        <w:t xml:space="preserve"> 2010 power management study by Barr et al </w:t>
      </w:r>
      <w:r w:rsidR="002B6D47">
        <w:rPr>
          <w:szCs w:val="22"/>
        </w:rPr>
        <w:t>[I]</w:t>
      </w:r>
      <w:r>
        <w:rPr>
          <w:szCs w:val="22"/>
        </w:rPr>
        <w:t xml:space="preserve"> has the most available profile data. The study covered over 90,000 desktop computers in the construction, education, financial, government, healthcare, manufacturing, retail, and transportation sectors.  Based on the usages profiles found in the study, 2.3% of energy savings from power management software occur during weekdays between 2-5 PM.</w:t>
      </w:r>
    </w:p>
    <w:p w14:paraId="7563B435" w14:textId="77777777" w:rsidR="0071676F" w:rsidRDefault="0071676F" w:rsidP="003F78FA">
      <w:pPr>
        <w:rPr>
          <w:szCs w:val="22"/>
        </w:rPr>
      </w:pPr>
    </w:p>
    <w:p w14:paraId="3FDFD924" w14:textId="77777777" w:rsidR="003F78FA" w:rsidRDefault="003F78FA" w:rsidP="003F78FA">
      <w:pPr>
        <w:rPr>
          <w:szCs w:val="22"/>
        </w:rPr>
      </w:pPr>
      <w:r>
        <w:rPr>
          <w:szCs w:val="22"/>
        </w:rPr>
        <w:t xml:space="preserve">Peak Demand Reduction </w:t>
      </w:r>
    </w:p>
    <w:p w14:paraId="099A17AB" w14:textId="77777777" w:rsidR="003F78FA" w:rsidRDefault="003F78FA" w:rsidP="003F78FA">
      <w:pPr>
        <w:ind w:left="720" w:firstLine="720"/>
        <w:rPr>
          <w:szCs w:val="22"/>
        </w:rPr>
      </w:pPr>
      <w:r>
        <w:rPr>
          <w:szCs w:val="22"/>
        </w:rPr>
        <w:t>= (2.3% X Annual Unit Energy Averaged Savings) / Operating Hour by Building Type</w:t>
      </w:r>
    </w:p>
    <w:p w14:paraId="778AA993" w14:textId="77777777" w:rsidR="003F78FA" w:rsidRDefault="003F78FA" w:rsidP="003F78FA">
      <w:pPr>
        <w:rPr>
          <w:szCs w:val="22"/>
        </w:rPr>
      </w:pPr>
    </w:p>
    <w:tbl>
      <w:tblPr>
        <w:tblStyle w:val="TableGrid1"/>
        <w:tblW w:w="4088" w:type="pct"/>
        <w:tblLook w:val="01E0" w:firstRow="1" w:lastRow="1" w:firstColumn="1" w:lastColumn="1" w:noHBand="0" w:noVBand="0"/>
      </w:tblPr>
      <w:tblGrid>
        <w:gridCol w:w="1746"/>
        <w:gridCol w:w="2026"/>
        <w:gridCol w:w="1937"/>
        <w:gridCol w:w="2120"/>
      </w:tblGrid>
      <w:tr w:rsidR="0071676F" w:rsidRPr="00500C4E" w14:paraId="7CF3F55A" w14:textId="77777777" w:rsidTr="000F6022">
        <w:tc>
          <w:tcPr>
            <w:tcW w:w="1115" w:type="pct"/>
            <w:shd w:val="clear" w:color="auto" w:fill="D9D9D9" w:themeFill="background1" w:themeFillShade="D9"/>
          </w:tcPr>
          <w:p w14:paraId="1226D31D" w14:textId="36125051" w:rsidR="0071676F" w:rsidRPr="00920905" w:rsidRDefault="0071676F" w:rsidP="0071676F">
            <w:pPr>
              <w:rPr>
                <w:rFonts w:cstheme="minorHAnsi"/>
                <w:b/>
                <w:szCs w:val="20"/>
              </w:rPr>
            </w:pPr>
            <w:r>
              <w:rPr>
                <w:rFonts w:ascii="Calibri" w:hAnsi="Calibri" w:cs="Calibri"/>
                <w:szCs w:val="20"/>
              </w:rPr>
              <w:t>Building Type</w:t>
            </w:r>
          </w:p>
        </w:tc>
        <w:tc>
          <w:tcPr>
            <w:tcW w:w="1294" w:type="pct"/>
            <w:shd w:val="clear" w:color="auto" w:fill="D9D9D9" w:themeFill="background1" w:themeFillShade="D9"/>
          </w:tcPr>
          <w:p w14:paraId="767DB9D4" w14:textId="51E1DE9B" w:rsidR="0071676F" w:rsidRPr="00920905" w:rsidRDefault="0071676F" w:rsidP="0071676F">
            <w:pPr>
              <w:rPr>
                <w:rFonts w:cstheme="minorHAnsi"/>
                <w:b/>
                <w:szCs w:val="20"/>
              </w:rPr>
            </w:pPr>
            <w:r>
              <w:rPr>
                <w:rFonts w:ascii="Calibri" w:hAnsi="Calibri" w:cs="Calibri"/>
                <w:szCs w:val="20"/>
              </w:rPr>
              <w:t>Unit Energy Savings (kWh/year)</w:t>
            </w:r>
          </w:p>
        </w:tc>
        <w:tc>
          <w:tcPr>
            <w:tcW w:w="1237" w:type="pct"/>
            <w:shd w:val="clear" w:color="auto" w:fill="D9D9D9" w:themeFill="background1" w:themeFillShade="D9"/>
          </w:tcPr>
          <w:p w14:paraId="76A63557" w14:textId="6125D412" w:rsidR="0071676F" w:rsidRPr="00920905" w:rsidRDefault="0071676F" w:rsidP="0071676F">
            <w:pPr>
              <w:rPr>
                <w:rFonts w:cstheme="minorHAnsi"/>
                <w:b/>
                <w:szCs w:val="20"/>
              </w:rPr>
            </w:pPr>
            <w:r>
              <w:rPr>
                <w:rFonts w:ascii="Calibri" w:hAnsi="Calibri" w:cs="Calibri"/>
                <w:szCs w:val="20"/>
              </w:rPr>
              <w:t>Annual Operating Hours</w:t>
            </w:r>
          </w:p>
        </w:tc>
        <w:tc>
          <w:tcPr>
            <w:tcW w:w="1354" w:type="pct"/>
            <w:shd w:val="clear" w:color="auto" w:fill="D9D9D9" w:themeFill="background1" w:themeFillShade="D9"/>
          </w:tcPr>
          <w:p w14:paraId="504EDFFE" w14:textId="2266E0E2" w:rsidR="0071676F" w:rsidRPr="00920905" w:rsidRDefault="0071676F" w:rsidP="0071676F">
            <w:pPr>
              <w:rPr>
                <w:rFonts w:cstheme="minorHAnsi"/>
                <w:b/>
                <w:szCs w:val="20"/>
                <w:highlight w:val="yellow"/>
              </w:rPr>
            </w:pPr>
            <w:r>
              <w:rPr>
                <w:rFonts w:ascii="Calibri" w:hAnsi="Calibri" w:cs="Calibri"/>
                <w:szCs w:val="20"/>
              </w:rPr>
              <w:t>Peak Demand Reduction (kW)</w:t>
            </w:r>
          </w:p>
        </w:tc>
      </w:tr>
      <w:tr w:rsidR="000F6022" w:rsidRPr="00500C4E" w14:paraId="0B1C18F7" w14:textId="77777777" w:rsidTr="000F6022">
        <w:tc>
          <w:tcPr>
            <w:tcW w:w="1115" w:type="pct"/>
          </w:tcPr>
          <w:p w14:paraId="361874FB" w14:textId="5FCDF480" w:rsidR="000F6022" w:rsidRPr="00920905" w:rsidRDefault="000F6022" w:rsidP="000F6022">
            <w:pPr>
              <w:rPr>
                <w:rFonts w:cstheme="minorHAnsi"/>
                <w:color w:val="FF0000"/>
                <w:szCs w:val="20"/>
              </w:rPr>
            </w:pPr>
            <w:r>
              <w:rPr>
                <w:rFonts w:ascii="Calibri" w:hAnsi="Calibri" w:cs="Calibri"/>
                <w:szCs w:val="20"/>
              </w:rPr>
              <w:t>Offices</w:t>
            </w:r>
          </w:p>
        </w:tc>
        <w:tc>
          <w:tcPr>
            <w:tcW w:w="1294" w:type="pct"/>
          </w:tcPr>
          <w:p w14:paraId="634CA19D" w14:textId="2FE5D40A" w:rsidR="000F6022" w:rsidRPr="00920905" w:rsidRDefault="000F6022" w:rsidP="000F6022">
            <w:pPr>
              <w:jc w:val="right"/>
              <w:rPr>
                <w:rFonts w:cstheme="minorHAnsi"/>
                <w:color w:val="FF0000"/>
                <w:szCs w:val="20"/>
              </w:rPr>
            </w:pPr>
            <w:r w:rsidRPr="009911B2">
              <w:t>93.3</w:t>
            </w:r>
            <w:r>
              <w:t>0</w:t>
            </w:r>
          </w:p>
        </w:tc>
        <w:tc>
          <w:tcPr>
            <w:tcW w:w="1237" w:type="pct"/>
          </w:tcPr>
          <w:p w14:paraId="396F7AC2" w14:textId="5E091053" w:rsidR="000F6022" w:rsidRPr="00920905" w:rsidRDefault="000F6022" w:rsidP="000F6022">
            <w:pPr>
              <w:jc w:val="right"/>
              <w:rPr>
                <w:rFonts w:cstheme="minorHAnsi"/>
                <w:color w:val="FF0000"/>
                <w:szCs w:val="20"/>
              </w:rPr>
            </w:pPr>
            <w:r w:rsidRPr="009911B2">
              <w:t>2640</w:t>
            </w:r>
          </w:p>
        </w:tc>
        <w:tc>
          <w:tcPr>
            <w:tcW w:w="1354" w:type="pct"/>
          </w:tcPr>
          <w:p w14:paraId="0DE0FB79" w14:textId="1F043E74" w:rsidR="000F6022" w:rsidRPr="00920905" w:rsidRDefault="000F6022" w:rsidP="000F6022">
            <w:pPr>
              <w:jc w:val="right"/>
              <w:rPr>
                <w:rFonts w:cstheme="minorHAnsi"/>
                <w:color w:val="FF0000"/>
                <w:szCs w:val="20"/>
              </w:rPr>
            </w:pPr>
            <w:r w:rsidRPr="009911B2">
              <w:t>0.000813</w:t>
            </w:r>
          </w:p>
        </w:tc>
      </w:tr>
      <w:tr w:rsidR="000F6022" w:rsidRPr="00500C4E" w14:paraId="4A6C8D1A" w14:textId="77777777" w:rsidTr="000F6022">
        <w:tc>
          <w:tcPr>
            <w:tcW w:w="1115" w:type="pct"/>
          </w:tcPr>
          <w:p w14:paraId="083CA56A" w14:textId="0730F20A" w:rsidR="000F6022" w:rsidRPr="00920905" w:rsidRDefault="000F6022" w:rsidP="000F6022">
            <w:pPr>
              <w:rPr>
                <w:rFonts w:cstheme="minorHAnsi"/>
                <w:color w:val="FF0000"/>
                <w:szCs w:val="20"/>
              </w:rPr>
            </w:pPr>
            <w:r>
              <w:rPr>
                <w:rFonts w:ascii="Calibri" w:hAnsi="Calibri" w:cs="Calibri"/>
                <w:szCs w:val="20"/>
              </w:rPr>
              <w:t>K-12 Schools</w:t>
            </w:r>
          </w:p>
        </w:tc>
        <w:tc>
          <w:tcPr>
            <w:tcW w:w="1294" w:type="pct"/>
          </w:tcPr>
          <w:p w14:paraId="19A28676" w14:textId="00DCB22D" w:rsidR="000F6022" w:rsidRPr="00920905" w:rsidRDefault="000F6022" w:rsidP="000F6022">
            <w:pPr>
              <w:jc w:val="right"/>
              <w:rPr>
                <w:rFonts w:cstheme="minorHAnsi"/>
                <w:color w:val="FF0000"/>
                <w:szCs w:val="20"/>
              </w:rPr>
            </w:pPr>
            <w:r>
              <w:t>95.63</w:t>
            </w:r>
          </w:p>
        </w:tc>
        <w:tc>
          <w:tcPr>
            <w:tcW w:w="1237" w:type="pct"/>
          </w:tcPr>
          <w:p w14:paraId="0B0D2421" w14:textId="1CC42CF3" w:rsidR="000F6022" w:rsidRPr="00920905" w:rsidRDefault="000F6022" w:rsidP="000F6022">
            <w:pPr>
              <w:jc w:val="right"/>
              <w:rPr>
                <w:rFonts w:cstheme="minorHAnsi"/>
                <w:color w:val="FF0000"/>
                <w:szCs w:val="20"/>
              </w:rPr>
            </w:pPr>
            <w:r>
              <w:rPr>
                <w:rFonts w:cstheme="minorHAnsi"/>
                <w:szCs w:val="20"/>
              </w:rPr>
              <w:t>2140</w:t>
            </w:r>
          </w:p>
        </w:tc>
        <w:tc>
          <w:tcPr>
            <w:tcW w:w="1354" w:type="pct"/>
          </w:tcPr>
          <w:p w14:paraId="122FAF80" w14:textId="2DAC0725" w:rsidR="000F6022" w:rsidRPr="00920905" w:rsidRDefault="000F6022" w:rsidP="000F6022">
            <w:pPr>
              <w:jc w:val="right"/>
              <w:rPr>
                <w:rFonts w:cstheme="minorHAnsi"/>
                <w:color w:val="FF0000"/>
                <w:szCs w:val="20"/>
              </w:rPr>
            </w:pPr>
            <w:r w:rsidRPr="009911B2">
              <w:t>0.001028</w:t>
            </w:r>
          </w:p>
        </w:tc>
      </w:tr>
      <w:tr w:rsidR="000F6022" w:rsidRPr="00500C4E" w14:paraId="5F837DB8" w14:textId="77777777" w:rsidTr="000F6022">
        <w:tc>
          <w:tcPr>
            <w:tcW w:w="1115" w:type="pct"/>
          </w:tcPr>
          <w:p w14:paraId="76380052" w14:textId="5D3236EA" w:rsidR="000F6022" w:rsidRPr="00920905" w:rsidRDefault="000F6022" w:rsidP="000F6022">
            <w:pPr>
              <w:rPr>
                <w:rFonts w:cstheme="minorHAnsi"/>
                <w:color w:val="FF0000"/>
                <w:szCs w:val="20"/>
              </w:rPr>
            </w:pPr>
            <w:r>
              <w:rPr>
                <w:rFonts w:ascii="Calibri" w:hAnsi="Calibri" w:cs="Calibri"/>
                <w:szCs w:val="20"/>
              </w:rPr>
              <w:t>College</w:t>
            </w:r>
          </w:p>
        </w:tc>
        <w:tc>
          <w:tcPr>
            <w:tcW w:w="1294" w:type="pct"/>
          </w:tcPr>
          <w:p w14:paraId="5D714665" w14:textId="3B9AE305" w:rsidR="000F6022" w:rsidRPr="00920905" w:rsidRDefault="000F6022" w:rsidP="000F6022">
            <w:pPr>
              <w:jc w:val="right"/>
              <w:rPr>
                <w:rFonts w:cstheme="minorHAnsi"/>
                <w:color w:val="FF0000"/>
                <w:szCs w:val="20"/>
              </w:rPr>
            </w:pPr>
            <w:r w:rsidRPr="009911B2">
              <w:t>112.75</w:t>
            </w:r>
          </w:p>
        </w:tc>
        <w:tc>
          <w:tcPr>
            <w:tcW w:w="1237" w:type="pct"/>
          </w:tcPr>
          <w:p w14:paraId="5DA66D3A" w14:textId="2CFD363A" w:rsidR="000F6022" w:rsidRPr="00920905" w:rsidRDefault="000F6022" w:rsidP="000F6022">
            <w:pPr>
              <w:jc w:val="right"/>
              <w:rPr>
                <w:rFonts w:cstheme="minorHAnsi"/>
                <w:color w:val="FF0000"/>
                <w:szCs w:val="20"/>
              </w:rPr>
            </w:pPr>
            <w:r>
              <w:rPr>
                <w:rFonts w:cstheme="minorHAnsi"/>
                <w:szCs w:val="20"/>
              </w:rPr>
              <w:t>2285</w:t>
            </w:r>
            <w:r>
              <w:rPr>
                <w:sz w:val="18"/>
              </w:rPr>
              <w:t>*</w:t>
            </w:r>
          </w:p>
        </w:tc>
        <w:tc>
          <w:tcPr>
            <w:tcW w:w="1354" w:type="pct"/>
          </w:tcPr>
          <w:p w14:paraId="54B9306C" w14:textId="40040E38" w:rsidR="000F6022" w:rsidRPr="00920905" w:rsidRDefault="000F6022" w:rsidP="000F6022">
            <w:pPr>
              <w:jc w:val="right"/>
              <w:rPr>
                <w:rFonts w:cstheme="minorHAnsi"/>
                <w:color w:val="FF0000"/>
                <w:szCs w:val="20"/>
              </w:rPr>
            </w:pPr>
            <w:r w:rsidRPr="009911B2">
              <w:t>0.001135</w:t>
            </w:r>
          </w:p>
        </w:tc>
      </w:tr>
      <w:tr w:rsidR="000F6022" w:rsidRPr="00500C4E" w14:paraId="3BC6AA52" w14:textId="77777777" w:rsidTr="000F6022">
        <w:tc>
          <w:tcPr>
            <w:tcW w:w="1115" w:type="pct"/>
          </w:tcPr>
          <w:p w14:paraId="7DAB33CA" w14:textId="53B4838A" w:rsidR="000F6022" w:rsidRPr="00920905" w:rsidRDefault="000F6022" w:rsidP="000F6022">
            <w:pPr>
              <w:rPr>
                <w:rFonts w:cstheme="minorHAnsi"/>
                <w:color w:val="FF0000"/>
                <w:szCs w:val="20"/>
              </w:rPr>
            </w:pPr>
            <w:r>
              <w:rPr>
                <w:rFonts w:ascii="Calibri" w:hAnsi="Calibri" w:cs="Calibri"/>
                <w:szCs w:val="20"/>
              </w:rPr>
              <w:t>Misc. Commercial</w:t>
            </w:r>
          </w:p>
        </w:tc>
        <w:tc>
          <w:tcPr>
            <w:tcW w:w="1294" w:type="pct"/>
          </w:tcPr>
          <w:p w14:paraId="2BEED4AE" w14:textId="76A262F1" w:rsidR="000F6022" w:rsidRPr="00920905" w:rsidRDefault="000F6022" w:rsidP="000F6022">
            <w:pPr>
              <w:jc w:val="right"/>
              <w:rPr>
                <w:rFonts w:cstheme="minorHAnsi"/>
                <w:color w:val="FF0000"/>
                <w:szCs w:val="20"/>
              </w:rPr>
            </w:pPr>
            <w:r w:rsidRPr="009911B2">
              <w:t>90.75</w:t>
            </w:r>
          </w:p>
        </w:tc>
        <w:tc>
          <w:tcPr>
            <w:tcW w:w="1237" w:type="pct"/>
          </w:tcPr>
          <w:p w14:paraId="0461DA47" w14:textId="091621A5" w:rsidR="000F6022" w:rsidRPr="00920905" w:rsidRDefault="000F6022" w:rsidP="000F6022">
            <w:pPr>
              <w:jc w:val="right"/>
              <w:rPr>
                <w:rFonts w:cstheme="minorHAnsi"/>
                <w:color w:val="FF0000"/>
                <w:szCs w:val="20"/>
              </w:rPr>
            </w:pPr>
            <w:r>
              <w:rPr>
                <w:rFonts w:cstheme="minorHAnsi"/>
                <w:szCs w:val="20"/>
              </w:rPr>
              <w:t>3600</w:t>
            </w:r>
          </w:p>
        </w:tc>
        <w:tc>
          <w:tcPr>
            <w:tcW w:w="1354" w:type="pct"/>
          </w:tcPr>
          <w:p w14:paraId="38FF78B6" w14:textId="4EBAA745" w:rsidR="000F6022" w:rsidRPr="00920905" w:rsidRDefault="000F6022" w:rsidP="000F6022">
            <w:pPr>
              <w:jc w:val="right"/>
              <w:rPr>
                <w:rFonts w:cstheme="minorHAnsi"/>
                <w:color w:val="FF0000"/>
                <w:szCs w:val="20"/>
              </w:rPr>
            </w:pPr>
            <w:r w:rsidRPr="009911B2">
              <w:t>0.00058</w:t>
            </w:r>
            <w:r>
              <w:t>0</w:t>
            </w:r>
          </w:p>
        </w:tc>
      </w:tr>
      <w:tr w:rsidR="000F6022" w:rsidRPr="00500C4E" w14:paraId="3D83196D" w14:textId="77777777" w:rsidTr="000F6022">
        <w:tc>
          <w:tcPr>
            <w:tcW w:w="1115" w:type="pct"/>
          </w:tcPr>
          <w:p w14:paraId="4FF6848F" w14:textId="1801E4FE" w:rsidR="000F6022" w:rsidRPr="00920905" w:rsidRDefault="000F6022" w:rsidP="000F6022">
            <w:pPr>
              <w:rPr>
                <w:rFonts w:cstheme="minorHAnsi"/>
                <w:color w:val="FF0000"/>
                <w:szCs w:val="20"/>
              </w:rPr>
            </w:pPr>
            <w:r>
              <w:rPr>
                <w:rFonts w:ascii="Calibri" w:hAnsi="Calibri" w:cs="Calibri"/>
                <w:szCs w:val="20"/>
              </w:rPr>
              <w:t>Average</w:t>
            </w:r>
          </w:p>
        </w:tc>
        <w:tc>
          <w:tcPr>
            <w:tcW w:w="1294" w:type="pct"/>
          </w:tcPr>
          <w:p w14:paraId="3F485111" w14:textId="69AFD54F" w:rsidR="000F6022" w:rsidRPr="00920905" w:rsidRDefault="000F6022" w:rsidP="000F6022">
            <w:pPr>
              <w:jc w:val="right"/>
              <w:rPr>
                <w:rFonts w:cstheme="minorHAnsi"/>
                <w:color w:val="FF0000"/>
                <w:szCs w:val="20"/>
              </w:rPr>
            </w:pPr>
            <w:r w:rsidRPr="009911B2">
              <w:t>98.11</w:t>
            </w:r>
          </w:p>
        </w:tc>
        <w:tc>
          <w:tcPr>
            <w:tcW w:w="1237" w:type="pct"/>
          </w:tcPr>
          <w:p w14:paraId="1C1470B3" w14:textId="77777777" w:rsidR="000F6022" w:rsidRPr="00920905" w:rsidRDefault="000F6022" w:rsidP="000F6022">
            <w:pPr>
              <w:jc w:val="right"/>
              <w:rPr>
                <w:rFonts w:cstheme="minorHAnsi"/>
                <w:color w:val="FF0000"/>
                <w:szCs w:val="20"/>
              </w:rPr>
            </w:pPr>
          </w:p>
        </w:tc>
        <w:tc>
          <w:tcPr>
            <w:tcW w:w="1354" w:type="pct"/>
          </w:tcPr>
          <w:p w14:paraId="545AE153" w14:textId="19973056" w:rsidR="000F6022" w:rsidRPr="00920905" w:rsidRDefault="000F6022" w:rsidP="000F6022">
            <w:pPr>
              <w:jc w:val="right"/>
              <w:rPr>
                <w:rFonts w:cstheme="minorHAnsi"/>
                <w:color w:val="FF0000"/>
                <w:szCs w:val="20"/>
              </w:rPr>
            </w:pPr>
            <w:r w:rsidRPr="009911B2">
              <w:t>0.000889</w:t>
            </w:r>
          </w:p>
        </w:tc>
      </w:tr>
    </w:tbl>
    <w:p w14:paraId="7485310C" w14:textId="3454B4CF" w:rsidR="0071676F" w:rsidRPr="0071676F" w:rsidRDefault="0071676F" w:rsidP="00D23770">
      <w:pPr>
        <w:pStyle w:val="Reminders"/>
        <w:rPr>
          <w:sz w:val="14"/>
        </w:rPr>
      </w:pPr>
      <w:r w:rsidRPr="0071676F">
        <w:rPr>
          <w:rFonts w:asciiTheme="minorHAnsi" w:hAnsiTheme="minorHAnsi" w:cstheme="minorHAnsi"/>
          <w:i w:val="0"/>
          <w:color w:val="auto"/>
          <w:sz w:val="18"/>
          <w:szCs w:val="22"/>
        </w:rPr>
        <w:t>*</w:t>
      </w:r>
      <w:r w:rsidRPr="0071676F">
        <w:rPr>
          <w:color w:val="auto"/>
          <w:sz w:val="14"/>
        </w:rPr>
        <w:t>Annual Operating Hours is the average of the DEER 2014 Education - University and Education – Community College building types.</w:t>
      </w:r>
    </w:p>
    <w:p w14:paraId="470BDCF2" w14:textId="77777777" w:rsidR="00FF1438" w:rsidRDefault="00FF1438" w:rsidP="00FF1438">
      <w:pPr>
        <w:rPr>
          <w:szCs w:val="22"/>
        </w:rPr>
      </w:pPr>
    </w:p>
    <w:p w14:paraId="771172C8" w14:textId="1BC8545E" w:rsidR="00FF1438" w:rsidRDefault="00FF1438" w:rsidP="00FF1438">
      <w:pPr>
        <w:rPr>
          <w:szCs w:val="22"/>
        </w:rPr>
      </w:pPr>
      <w:r>
        <w:rPr>
          <w:szCs w:val="22"/>
        </w:rPr>
        <w:t>The Average Unit Energy Savings and Peak Demand Reduction values have been applied to the 24 applicable building types listed in Attachment 1.  Interactive effects for each building type</w:t>
      </w:r>
      <w:r w:rsidR="00B2000C">
        <w:rPr>
          <w:szCs w:val="22"/>
        </w:rPr>
        <w:t xml:space="preserve"> and each </w:t>
      </w:r>
      <w:r>
        <w:rPr>
          <w:szCs w:val="22"/>
        </w:rPr>
        <w:t xml:space="preserve">climate zone </w:t>
      </w:r>
      <w:r w:rsidR="00435ACE">
        <w:rPr>
          <w:szCs w:val="22"/>
        </w:rPr>
        <w:t xml:space="preserve">(for PG&amp;E &amp; SCE) </w:t>
      </w:r>
      <w:r>
        <w:rPr>
          <w:szCs w:val="22"/>
        </w:rPr>
        <w:t xml:space="preserve">further adjust the annual energy savings, peak demand reduction, and gas savings.  Commercial indoor linear florescent interactive effects from </w:t>
      </w:r>
      <w:r w:rsidRPr="00FF1438">
        <w:rPr>
          <w:szCs w:val="22"/>
        </w:rPr>
        <w:t xml:space="preserve">READI v.2.4.7 </w:t>
      </w:r>
      <w:r>
        <w:rPr>
          <w:szCs w:val="22"/>
        </w:rPr>
        <w:t xml:space="preserve">were used since </w:t>
      </w:r>
      <w:r>
        <w:rPr>
          <w:szCs w:val="22"/>
        </w:rPr>
        <w:lastRenderedPageBreak/>
        <w:t xml:space="preserve">it is </w:t>
      </w:r>
      <w:proofErr w:type="gramStart"/>
      <w:r w:rsidR="004519EA">
        <w:rPr>
          <w:szCs w:val="22"/>
        </w:rPr>
        <w:t>the predominate</w:t>
      </w:r>
      <w:proofErr w:type="gramEnd"/>
      <w:r w:rsidR="004519EA">
        <w:rPr>
          <w:szCs w:val="22"/>
        </w:rPr>
        <w:t xml:space="preserve"> lighting type in commercial buildings and most accurately reflects the measure.</w:t>
      </w:r>
      <w:r>
        <w:rPr>
          <w:szCs w:val="22"/>
        </w:rPr>
        <w:t xml:space="preserve"> </w:t>
      </w:r>
      <w:r w:rsidR="004519EA">
        <w:rPr>
          <w:szCs w:val="22"/>
        </w:rPr>
        <w:t>See Attachment 3 for additional details.</w:t>
      </w:r>
    </w:p>
    <w:p w14:paraId="7C2AE5A2" w14:textId="77777777" w:rsidR="00B2000C" w:rsidRDefault="00B2000C" w:rsidP="00FF1438">
      <w:pPr>
        <w:rPr>
          <w:szCs w:val="22"/>
        </w:rPr>
      </w:pPr>
    </w:p>
    <w:p w14:paraId="14B8840C" w14:textId="1F37A5E3" w:rsidR="00B2000C" w:rsidRDefault="00B2000C" w:rsidP="00FF1438">
      <w:pPr>
        <w:rPr>
          <w:szCs w:val="22"/>
        </w:rPr>
      </w:pPr>
      <w:r>
        <w:rPr>
          <w:szCs w:val="22"/>
        </w:rPr>
        <w:t xml:space="preserve">It should be noted that </w:t>
      </w:r>
      <w:r w:rsidRPr="00B2000C">
        <w:rPr>
          <w:szCs w:val="22"/>
        </w:rPr>
        <w:t xml:space="preserve">both PGE and SCE savings are included in </w:t>
      </w:r>
      <w:r>
        <w:rPr>
          <w:szCs w:val="22"/>
        </w:rPr>
        <w:t>the same calculation (attachment 3)</w:t>
      </w:r>
      <w:r w:rsidRPr="00B2000C">
        <w:rPr>
          <w:szCs w:val="22"/>
        </w:rPr>
        <w:t xml:space="preserve"> because t</w:t>
      </w:r>
      <w:r w:rsidR="0006527D">
        <w:rPr>
          <w:szCs w:val="22"/>
        </w:rPr>
        <w:t>he 2016 lighting summary HVAC interactive effects (IE)</w:t>
      </w:r>
      <w:r w:rsidRPr="00B2000C">
        <w:rPr>
          <w:szCs w:val="22"/>
        </w:rPr>
        <w:t xml:space="preserve"> and </w:t>
      </w:r>
      <w:r w:rsidR="0006527D" w:rsidRPr="0006527D">
        <w:rPr>
          <w:szCs w:val="22"/>
        </w:rPr>
        <w:t xml:space="preserve">Coincident Diversity Factors </w:t>
      </w:r>
      <w:r w:rsidR="0006527D">
        <w:rPr>
          <w:szCs w:val="22"/>
        </w:rPr>
        <w:t>(</w:t>
      </w:r>
      <w:r w:rsidRPr="00B2000C">
        <w:rPr>
          <w:szCs w:val="22"/>
        </w:rPr>
        <w:t>CDF</w:t>
      </w:r>
      <w:r w:rsidR="0006527D">
        <w:rPr>
          <w:szCs w:val="22"/>
        </w:rPr>
        <w:t>)</w:t>
      </w:r>
      <w:r w:rsidRPr="00B2000C">
        <w:rPr>
          <w:szCs w:val="22"/>
        </w:rPr>
        <w:t xml:space="preserve"> are the same for both</w:t>
      </w:r>
      <w:r w:rsidR="0006527D">
        <w:rPr>
          <w:szCs w:val="22"/>
        </w:rPr>
        <w:t xml:space="preserve"> utilities</w:t>
      </w:r>
      <w:r w:rsidRPr="00B2000C">
        <w:rPr>
          <w:szCs w:val="22"/>
        </w:rPr>
        <w:t>, and the savings do not change per IOU in the same CZ</w:t>
      </w:r>
      <w:r w:rsidR="0006527D">
        <w:rPr>
          <w:szCs w:val="22"/>
        </w:rPr>
        <w:t>.</w:t>
      </w:r>
    </w:p>
    <w:p w14:paraId="6C7EC920" w14:textId="05C4970C" w:rsidR="00E16609" w:rsidRPr="00500C4E" w:rsidRDefault="00E16609" w:rsidP="00E16609">
      <w:pPr>
        <w:pStyle w:val="Heading1"/>
        <w:keepNext w:val="0"/>
        <w:rPr>
          <w:rFonts w:cstheme="minorHAnsi"/>
        </w:rPr>
      </w:pPr>
      <w:bookmarkStart w:id="16" w:name="_Toc214003093"/>
      <w:proofErr w:type="gramStart"/>
      <w:r w:rsidRPr="00707855">
        <w:rPr>
          <w:rFonts w:cstheme="minorHAnsi"/>
        </w:rPr>
        <w:t>Section 3</w:t>
      </w:r>
      <w:r w:rsidR="00317970" w:rsidRPr="00707855">
        <w:rPr>
          <w:rFonts w:cstheme="minorHAnsi"/>
        </w:rPr>
        <w:t>.</w:t>
      </w:r>
      <w:proofErr w:type="gramEnd"/>
      <w:r w:rsidR="00317970" w:rsidRPr="00707855">
        <w:rPr>
          <w:rFonts w:cstheme="minorHAnsi"/>
        </w:rPr>
        <w:t xml:space="preserve"> </w:t>
      </w:r>
      <w:r w:rsidRPr="00707855">
        <w:rPr>
          <w:rFonts w:cstheme="minorHAnsi"/>
        </w:rPr>
        <w:t>Load Shape</w:t>
      </w:r>
      <w:bookmarkEnd w:id="16"/>
      <w:r w:rsidRPr="00707855">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0DE47AD5" w14:textId="77777777" w:rsidR="00532CFD" w:rsidRPr="00500C4E" w:rsidRDefault="00532CFD" w:rsidP="00E16609">
      <w:pPr>
        <w:rPr>
          <w:rFonts w:cstheme="minorHAnsi"/>
          <w:szCs w:val="22"/>
        </w:rPr>
      </w:pPr>
    </w:p>
    <w:p w14:paraId="4E5AEDD2" w14:textId="331675EA"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532CFD" w14:paraId="7866094C" w14:textId="77777777" w:rsidTr="00532CFD">
        <w:tc>
          <w:tcPr>
            <w:tcW w:w="16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A5523C" w14:textId="77777777" w:rsidR="00532CFD" w:rsidRDefault="00532CFD">
            <w:pPr>
              <w:rPr>
                <w:rFonts w:cstheme="minorHAnsi"/>
                <w:b/>
                <w:szCs w:val="20"/>
                <w:highlight w:val="yellow"/>
              </w:rPr>
            </w:pPr>
            <w:r>
              <w:rPr>
                <w:rFonts w:cstheme="minorHAnsi"/>
                <w:b/>
                <w:szCs w:val="20"/>
              </w:rPr>
              <w:t>Building Type</w:t>
            </w:r>
          </w:p>
        </w:tc>
        <w:tc>
          <w:tcPr>
            <w:tcW w:w="177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50B484" w14:textId="77777777" w:rsidR="00532CFD" w:rsidRDefault="00532CFD">
            <w:pPr>
              <w:rPr>
                <w:rFonts w:cstheme="minorHAnsi"/>
                <w:b/>
                <w:szCs w:val="20"/>
              </w:rPr>
            </w:pPr>
            <w:r>
              <w:rPr>
                <w:rFonts w:cstheme="minorHAnsi"/>
                <w:b/>
                <w:szCs w:val="20"/>
              </w:rPr>
              <w:t>Load Shape</w:t>
            </w:r>
          </w:p>
        </w:tc>
        <w:tc>
          <w:tcPr>
            <w:tcW w:w="1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2A1B4B" w14:textId="77777777" w:rsidR="00532CFD" w:rsidRDefault="00532CFD">
            <w:pPr>
              <w:rPr>
                <w:rFonts w:cstheme="minorHAnsi"/>
                <w:b/>
                <w:szCs w:val="20"/>
                <w:highlight w:val="yellow"/>
              </w:rPr>
            </w:pPr>
            <w:r>
              <w:rPr>
                <w:rFonts w:cstheme="minorHAnsi"/>
                <w:b/>
                <w:szCs w:val="20"/>
              </w:rPr>
              <w:t>E3 Alternate Building Type</w:t>
            </w:r>
          </w:p>
        </w:tc>
      </w:tr>
      <w:tr w:rsidR="00532CFD" w14:paraId="742647F4"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7D7FAEE1" w14:textId="77777777" w:rsidR="00532CFD" w:rsidRDefault="00532CFD">
            <w:pPr>
              <w:rPr>
                <w:rFonts w:cstheme="minorHAnsi"/>
                <w:color w:val="FF0000"/>
                <w:szCs w:val="20"/>
              </w:rPr>
            </w:pPr>
            <w:r>
              <w:rPr>
                <w:rFonts w:ascii="Calibri" w:hAnsi="Calibri" w:cs="Calibri"/>
                <w:szCs w:val="20"/>
              </w:rPr>
              <w:t>Assembly</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664DAC3"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6292969"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r w:rsidR="00532CFD" w14:paraId="392679E9"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7BA35F49" w14:textId="77777777" w:rsidR="00532CFD" w:rsidRDefault="00532CFD">
            <w:pPr>
              <w:rPr>
                <w:rFonts w:cstheme="minorHAnsi"/>
                <w:color w:val="FF0000"/>
                <w:szCs w:val="20"/>
              </w:rPr>
            </w:pPr>
            <w:r>
              <w:rPr>
                <w:rFonts w:ascii="Calibri" w:hAnsi="Calibri" w:cs="Calibri"/>
                <w:szCs w:val="20"/>
              </w:rPr>
              <w:t>Education - Primary School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58B7944"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2B80863" w14:textId="77777777" w:rsidR="00532CFD" w:rsidRDefault="00532CFD">
            <w:pPr>
              <w:rPr>
                <w:rFonts w:cstheme="minorHAnsi"/>
                <w:color w:val="FF0000"/>
                <w:szCs w:val="20"/>
              </w:rPr>
            </w:pPr>
            <w:r>
              <w:rPr>
                <w:rFonts w:ascii="Calibri" w:hAnsi="Calibri"/>
                <w:color w:val="000000"/>
                <w:szCs w:val="22"/>
              </w:rPr>
              <w:t>K_thru_12_School</w:t>
            </w:r>
          </w:p>
        </w:tc>
      </w:tr>
      <w:tr w:rsidR="00532CFD" w14:paraId="2BFA73A6"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141F9F1D" w14:textId="77777777" w:rsidR="00532CFD" w:rsidRDefault="00532CFD">
            <w:pPr>
              <w:rPr>
                <w:rFonts w:cstheme="minorHAnsi"/>
                <w:color w:val="FF0000"/>
                <w:szCs w:val="20"/>
              </w:rPr>
            </w:pPr>
            <w:r>
              <w:rPr>
                <w:rFonts w:ascii="Calibri" w:hAnsi="Calibri" w:cs="Calibri"/>
                <w:szCs w:val="20"/>
              </w:rPr>
              <w:t>Education - Secondary School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1C27C93E"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D6021B8" w14:textId="77777777" w:rsidR="00532CFD" w:rsidRDefault="00532CFD">
            <w:pPr>
              <w:rPr>
                <w:rFonts w:cstheme="minorHAnsi"/>
                <w:color w:val="FF0000"/>
                <w:szCs w:val="20"/>
              </w:rPr>
            </w:pPr>
            <w:r>
              <w:rPr>
                <w:rFonts w:ascii="Calibri" w:hAnsi="Calibri"/>
                <w:color w:val="000000"/>
                <w:szCs w:val="22"/>
              </w:rPr>
              <w:t>K_thru_12_School</w:t>
            </w:r>
          </w:p>
        </w:tc>
      </w:tr>
      <w:tr w:rsidR="00532CFD" w14:paraId="2F39E3A6"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42337F0C" w14:textId="77777777" w:rsidR="00532CFD" w:rsidRDefault="00532CFD">
            <w:pPr>
              <w:rPr>
                <w:rFonts w:cstheme="minorHAnsi"/>
                <w:color w:val="FF0000"/>
                <w:szCs w:val="20"/>
              </w:rPr>
            </w:pPr>
            <w:r>
              <w:rPr>
                <w:rFonts w:ascii="Calibri" w:hAnsi="Calibri" w:cs="Calibri"/>
                <w:szCs w:val="20"/>
              </w:rPr>
              <w:t>Education - Relocatable Classroom</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C9DBDBC"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5A84AEFC" w14:textId="77777777" w:rsidR="00532CFD" w:rsidRDefault="00532CFD">
            <w:pPr>
              <w:rPr>
                <w:rFonts w:cstheme="minorHAnsi"/>
                <w:color w:val="FF0000"/>
                <w:szCs w:val="20"/>
              </w:rPr>
            </w:pPr>
            <w:r>
              <w:rPr>
                <w:rFonts w:ascii="Calibri" w:hAnsi="Calibri"/>
                <w:color w:val="000000"/>
                <w:szCs w:val="22"/>
              </w:rPr>
              <w:t>K_thru_12_School</w:t>
            </w:r>
          </w:p>
        </w:tc>
      </w:tr>
      <w:tr w:rsidR="00532CFD" w14:paraId="76CD4697"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5ADF1292" w14:textId="77777777" w:rsidR="00532CFD" w:rsidRDefault="00532CFD">
            <w:pPr>
              <w:rPr>
                <w:rFonts w:cstheme="minorHAnsi"/>
                <w:color w:val="FF0000"/>
                <w:szCs w:val="20"/>
              </w:rPr>
            </w:pPr>
            <w:r>
              <w:rPr>
                <w:rFonts w:ascii="Calibri" w:hAnsi="Calibri" w:cs="Calibri"/>
                <w:szCs w:val="20"/>
              </w:rPr>
              <w:t>Education - Community College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3AD85EE1"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9BCB089" w14:textId="77777777" w:rsidR="00532CFD" w:rsidRDefault="00532CFD">
            <w:pPr>
              <w:rPr>
                <w:rFonts w:cstheme="minorHAnsi"/>
                <w:color w:val="FF0000"/>
                <w:szCs w:val="20"/>
              </w:rPr>
            </w:pPr>
            <w:r>
              <w:rPr>
                <w:rFonts w:ascii="Calibri" w:hAnsi="Calibri"/>
                <w:color w:val="000000"/>
                <w:szCs w:val="22"/>
              </w:rPr>
              <w:t>K_thru_12_School</w:t>
            </w:r>
          </w:p>
        </w:tc>
      </w:tr>
      <w:tr w:rsidR="00532CFD" w14:paraId="7B3471B4"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3C1A125B" w14:textId="77777777" w:rsidR="00532CFD" w:rsidRDefault="00532CFD">
            <w:pPr>
              <w:rPr>
                <w:rFonts w:cstheme="minorHAnsi"/>
                <w:color w:val="FF0000"/>
                <w:szCs w:val="20"/>
              </w:rPr>
            </w:pPr>
            <w:r>
              <w:rPr>
                <w:rFonts w:ascii="Calibri" w:hAnsi="Calibri" w:cs="Calibri"/>
                <w:szCs w:val="20"/>
              </w:rPr>
              <w:t>Education - University</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F3EFE81"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EB685B6" w14:textId="77777777" w:rsidR="00532CFD" w:rsidRDefault="00532CFD">
            <w:pPr>
              <w:rPr>
                <w:rFonts w:cstheme="minorHAnsi"/>
                <w:color w:val="FF0000"/>
                <w:szCs w:val="20"/>
              </w:rPr>
            </w:pPr>
            <w:r>
              <w:rPr>
                <w:rFonts w:ascii="Calibri" w:hAnsi="Calibri"/>
                <w:color w:val="000000"/>
                <w:szCs w:val="22"/>
              </w:rPr>
              <w:t>K_thru_12_School</w:t>
            </w:r>
          </w:p>
        </w:tc>
      </w:tr>
      <w:tr w:rsidR="00532CFD" w14:paraId="22FF8369" w14:textId="77777777" w:rsidTr="00532CFD">
        <w:tc>
          <w:tcPr>
            <w:tcW w:w="1686" w:type="pct"/>
            <w:tcBorders>
              <w:top w:val="single" w:sz="4" w:space="0" w:color="auto"/>
              <w:left w:val="single" w:sz="4" w:space="0" w:color="auto"/>
              <w:bottom w:val="single" w:sz="4" w:space="0" w:color="auto"/>
              <w:right w:val="single" w:sz="4" w:space="0" w:color="auto"/>
            </w:tcBorders>
            <w:hideMark/>
          </w:tcPr>
          <w:p w14:paraId="25FAF762" w14:textId="77777777" w:rsidR="00532CFD" w:rsidRDefault="00532CFD">
            <w:pPr>
              <w:rPr>
                <w:rFonts w:cstheme="minorHAnsi"/>
                <w:color w:val="FF0000"/>
                <w:szCs w:val="20"/>
              </w:rPr>
            </w:pPr>
            <w:r>
              <w:rPr>
                <w:rFonts w:ascii="Calibri" w:hAnsi="Calibri" w:cs="Calibri"/>
                <w:szCs w:val="20"/>
              </w:rPr>
              <w:t>Grocery</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7F14125"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6D5CFA69"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r w:rsidR="00532CFD" w14:paraId="3AE400D6" w14:textId="77777777" w:rsidTr="00532CFD">
        <w:tc>
          <w:tcPr>
            <w:tcW w:w="1686" w:type="pct"/>
            <w:tcBorders>
              <w:top w:val="single" w:sz="4" w:space="0" w:color="auto"/>
              <w:left w:val="single" w:sz="4" w:space="0" w:color="auto"/>
              <w:bottom w:val="single" w:sz="4" w:space="0" w:color="auto"/>
              <w:right w:val="single" w:sz="4" w:space="0" w:color="auto"/>
            </w:tcBorders>
            <w:hideMark/>
          </w:tcPr>
          <w:p w14:paraId="0648C86F" w14:textId="77777777" w:rsidR="00532CFD" w:rsidRDefault="00532CFD">
            <w:pPr>
              <w:rPr>
                <w:rFonts w:ascii="Calibri" w:hAnsi="Calibri" w:cs="Calibri"/>
                <w:szCs w:val="20"/>
              </w:rPr>
            </w:pPr>
            <w:r>
              <w:rPr>
                <w:rFonts w:ascii="Calibri" w:hAnsi="Calibri" w:cs="Calibri"/>
                <w:szCs w:val="20"/>
              </w:rPr>
              <w:t>Health/Medical - Hospital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313DEB4B"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2F787317"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r w:rsidR="00106247" w14:paraId="40FC917D" w14:textId="77777777" w:rsidTr="00261046">
        <w:tc>
          <w:tcPr>
            <w:tcW w:w="1686" w:type="pct"/>
            <w:tcBorders>
              <w:top w:val="single" w:sz="4" w:space="0" w:color="auto"/>
              <w:left w:val="single" w:sz="4" w:space="0" w:color="auto"/>
              <w:bottom w:val="single" w:sz="4" w:space="0" w:color="auto"/>
              <w:right w:val="single" w:sz="4" w:space="0" w:color="auto"/>
            </w:tcBorders>
            <w:hideMark/>
          </w:tcPr>
          <w:p w14:paraId="5CED171B" w14:textId="77777777" w:rsidR="00106247" w:rsidRDefault="00106247" w:rsidP="00261046">
            <w:pPr>
              <w:rPr>
                <w:rFonts w:cstheme="minorHAnsi"/>
                <w:color w:val="FF0000"/>
                <w:szCs w:val="20"/>
              </w:rPr>
            </w:pPr>
            <w:r>
              <w:rPr>
                <w:rFonts w:ascii="Calibri" w:hAnsi="Calibri" w:cs="Calibri"/>
                <w:szCs w:val="20"/>
              </w:rPr>
              <w:t>Health/Medical - Nursing Home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0E9C5A80" w14:textId="77777777" w:rsidR="00106247" w:rsidRDefault="00106247" w:rsidP="00261046">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F48A55D" w14:textId="77777777" w:rsidR="00106247" w:rsidRDefault="00106247" w:rsidP="00261046">
            <w:pPr>
              <w:rPr>
                <w:rFonts w:cstheme="minorHAnsi"/>
                <w:color w:val="FF0000"/>
                <w:szCs w:val="20"/>
              </w:rPr>
            </w:pPr>
            <w:proofErr w:type="spellStart"/>
            <w:r>
              <w:rPr>
                <w:rFonts w:ascii="Calibri" w:hAnsi="Calibri"/>
                <w:color w:val="000000"/>
                <w:szCs w:val="22"/>
              </w:rPr>
              <w:t>Misc._Commercial</w:t>
            </w:r>
            <w:proofErr w:type="spellEnd"/>
          </w:p>
        </w:tc>
      </w:tr>
      <w:tr w:rsidR="00106247" w14:paraId="2AF67364" w14:textId="77777777" w:rsidTr="00261046">
        <w:tc>
          <w:tcPr>
            <w:tcW w:w="1686" w:type="pct"/>
            <w:tcBorders>
              <w:top w:val="single" w:sz="4" w:space="0" w:color="auto"/>
              <w:left w:val="single" w:sz="4" w:space="0" w:color="auto"/>
              <w:bottom w:val="single" w:sz="4" w:space="0" w:color="auto"/>
              <w:right w:val="single" w:sz="4" w:space="0" w:color="auto"/>
            </w:tcBorders>
            <w:hideMark/>
          </w:tcPr>
          <w:p w14:paraId="2ED6F3CD" w14:textId="77777777" w:rsidR="00106247" w:rsidRDefault="00106247" w:rsidP="00261046">
            <w:pPr>
              <w:rPr>
                <w:rFonts w:cstheme="minorHAnsi"/>
                <w:color w:val="FF0000"/>
                <w:szCs w:val="20"/>
              </w:rPr>
            </w:pPr>
            <w:r>
              <w:rPr>
                <w:rFonts w:ascii="Calibri" w:hAnsi="Calibri" w:cs="Calibri"/>
                <w:szCs w:val="20"/>
              </w:rPr>
              <w:t>Lodging - Guest Rooms</w:t>
            </w:r>
          </w:p>
        </w:tc>
        <w:tc>
          <w:tcPr>
            <w:tcW w:w="1779" w:type="pct"/>
            <w:tcBorders>
              <w:top w:val="single" w:sz="4" w:space="0" w:color="auto"/>
              <w:left w:val="single" w:sz="4" w:space="0" w:color="auto"/>
              <w:bottom w:val="single" w:sz="4" w:space="0" w:color="auto"/>
              <w:right w:val="single" w:sz="4" w:space="0" w:color="auto"/>
            </w:tcBorders>
            <w:vAlign w:val="bottom"/>
            <w:hideMark/>
          </w:tcPr>
          <w:p w14:paraId="0753D618" w14:textId="77777777" w:rsidR="00106247" w:rsidRDefault="00106247" w:rsidP="00261046">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3649094C" w14:textId="77777777" w:rsidR="00106247" w:rsidRDefault="00106247" w:rsidP="00261046">
            <w:pPr>
              <w:rPr>
                <w:rFonts w:cstheme="minorHAnsi"/>
                <w:color w:val="FF0000"/>
                <w:szCs w:val="20"/>
              </w:rPr>
            </w:pPr>
            <w:proofErr w:type="spellStart"/>
            <w:r>
              <w:rPr>
                <w:rFonts w:ascii="Calibri" w:hAnsi="Calibri"/>
                <w:color w:val="000000"/>
                <w:szCs w:val="22"/>
              </w:rPr>
              <w:t>Hotel_Motel</w:t>
            </w:r>
            <w:proofErr w:type="spellEnd"/>
          </w:p>
        </w:tc>
      </w:tr>
      <w:tr w:rsidR="00532CFD" w14:paraId="4F92FB1D" w14:textId="77777777" w:rsidTr="00532CFD">
        <w:tc>
          <w:tcPr>
            <w:tcW w:w="1686" w:type="pct"/>
            <w:tcBorders>
              <w:top w:val="single" w:sz="4" w:space="0" w:color="auto"/>
              <w:left w:val="single" w:sz="4" w:space="0" w:color="auto"/>
              <w:bottom w:val="single" w:sz="4" w:space="0" w:color="auto"/>
              <w:right w:val="single" w:sz="4" w:space="0" w:color="auto"/>
            </w:tcBorders>
            <w:hideMark/>
          </w:tcPr>
          <w:p w14:paraId="5800F685" w14:textId="77777777" w:rsidR="00532CFD" w:rsidRDefault="00532CFD">
            <w:pPr>
              <w:rPr>
                <w:rFonts w:cstheme="minorHAnsi"/>
                <w:color w:val="FF0000"/>
                <w:szCs w:val="20"/>
              </w:rPr>
            </w:pPr>
            <w:r>
              <w:rPr>
                <w:rFonts w:ascii="Calibri" w:hAnsi="Calibri" w:cs="Calibri"/>
                <w:szCs w:val="20"/>
              </w:rPr>
              <w:t>Lodging - Hotel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37FE31EC"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2DCDE9E6" w14:textId="77777777" w:rsidR="00532CFD" w:rsidRDefault="00532CFD">
            <w:pPr>
              <w:rPr>
                <w:rFonts w:cstheme="minorHAnsi"/>
                <w:color w:val="FF0000"/>
                <w:szCs w:val="20"/>
              </w:rPr>
            </w:pPr>
            <w:proofErr w:type="spellStart"/>
            <w:r>
              <w:rPr>
                <w:rFonts w:ascii="Calibri" w:hAnsi="Calibri"/>
                <w:color w:val="000000"/>
                <w:szCs w:val="22"/>
              </w:rPr>
              <w:t>Hotel_Motel</w:t>
            </w:r>
            <w:proofErr w:type="spellEnd"/>
          </w:p>
        </w:tc>
      </w:tr>
      <w:tr w:rsidR="00106247" w14:paraId="435285C6" w14:textId="77777777" w:rsidTr="00261046">
        <w:tc>
          <w:tcPr>
            <w:tcW w:w="1686" w:type="pct"/>
            <w:tcBorders>
              <w:top w:val="single" w:sz="4" w:space="0" w:color="auto"/>
              <w:left w:val="single" w:sz="4" w:space="0" w:color="auto"/>
              <w:bottom w:val="single" w:sz="4" w:space="0" w:color="auto"/>
              <w:right w:val="single" w:sz="4" w:space="0" w:color="auto"/>
            </w:tcBorders>
            <w:hideMark/>
          </w:tcPr>
          <w:p w14:paraId="5B0DF8EF" w14:textId="77777777" w:rsidR="00106247" w:rsidRDefault="00106247" w:rsidP="00261046">
            <w:pPr>
              <w:rPr>
                <w:rFonts w:cstheme="minorHAnsi"/>
                <w:color w:val="FF0000"/>
                <w:szCs w:val="20"/>
              </w:rPr>
            </w:pPr>
            <w:r>
              <w:rPr>
                <w:rFonts w:ascii="Calibri" w:hAnsi="Calibri" w:cs="Calibri"/>
                <w:szCs w:val="20"/>
              </w:rPr>
              <w:t>Lodging - Motel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213C1B0" w14:textId="77777777" w:rsidR="00106247" w:rsidRDefault="00106247" w:rsidP="00261046">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AFA671D" w14:textId="77777777" w:rsidR="00106247" w:rsidRDefault="00106247" w:rsidP="00261046">
            <w:pPr>
              <w:rPr>
                <w:rFonts w:cstheme="minorHAnsi"/>
                <w:color w:val="FF0000"/>
                <w:szCs w:val="20"/>
              </w:rPr>
            </w:pPr>
            <w:proofErr w:type="spellStart"/>
            <w:r>
              <w:rPr>
                <w:rFonts w:ascii="Calibri" w:hAnsi="Calibri"/>
                <w:color w:val="000000"/>
                <w:szCs w:val="22"/>
              </w:rPr>
              <w:t>Hotel_Motel</w:t>
            </w:r>
            <w:proofErr w:type="spellEnd"/>
          </w:p>
        </w:tc>
      </w:tr>
      <w:tr w:rsidR="00532CFD" w14:paraId="51271A67"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54B86A37" w14:textId="77777777" w:rsidR="00532CFD" w:rsidRDefault="00532CFD">
            <w:pPr>
              <w:rPr>
                <w:rFonts w:cstheme="minorHAnsi"/>
                <w:color w:val="FF0000"/>
                <w:szCs w:val="20"/>
              </w:rPr>
            </w:pPr>
            <w:r>
              <w:rPr>
                <w:rFonts w:ascii="Calibri" w:hAnsi="Calibri" w:cs="Calibri"/>
                <w:szCs w:val="20"/>
              </w:rPr>
              <w:t>Manufacturing - Bio/Tech</w:t>
            </w:r>
          </w:p>
        </w:tc>
        <w:tc>
          <w:tcPr>
            <w:tcW w:w="1779" w:type="pct"/>
            <w:tcBorders>
              <w:top w:val="single" w:sz="4" w:space="0" w:color="auto"/>
              <w:left w:val="single" w:sz="4" w:space="0" w:color="auto"/>
              <w:bottom w:val="single" w:sz="4" w:space="0" w:color="auto"/>
              <w:right w:val="single" w:sz="4" w:space="0" w:color="auto"/>
            </w:tcBorders>
            <w:vAlign w:val="bottom"/>
            <w:hideMark/>
          </w:tcPr>
          <w:p w14:paraId="41CFA249"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5591B059" w14:textId="77777777" w:rsidR="00532CFD" w:rsidRDefault="00532CFD">
            <w:pPr>
              <w:rPr>
                <w:rFonts w:cstheme="minorHAnsi"/>
                <w:color w:val="FF0000"/>
                <w:szCs w:val="20"/>
              </w:rPr>
            </w:pPr>
            <w:r>
              <w:rPr>
                <w:rFonts w:ascii="Calibri" w:hAnsi="Calibri"/>
                <w:color w:val="000000"/>
                <w:szCs w:val="22"/>
              </w:rPr>
              <w:t>Industrial</w:t>
            </w:r>
          </w:p>
        </w:tc>
      </w:tr>
      <w:tr w:rsidR="00532CFD" w14:paraId="5C567F35"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642CB39D" w14:textId="77777777" w:rsidR="00532CFD" w:rsidRDefault="00532CFD">
            <w:pPr>
              <w:rPr>
                <w:rFonts w:cstheme="minorHAnsi"/>
                <w:color w:val="FF0000"/>
                <w:szCs w:val="20"/>
              </w:rPr>
            </w:pPr>
            <w:r>
              <w:rPr>
                <w:rFonts w:ascii="Calibri" w:hAnsi="Calibri" w:cs="Calibri"/>
                <w:szCs w:val="20"/>
              </w:rPr>
              <w:t>Manufacturing - Light Industrial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1F371D8"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3631CD9" w14:textId="77777777" w:rsidR="00532CFD" w:rsidRDefault="00532CFD">
            <w:pPr>
              <w:rPr>
                <w:rFonts w:cstheme="minorHAnsi"/>
                <w:color w:val="FF0000"/>
                <w:szCs w:val="20"/>
              </w:rPr>
            </w:pPr>
            <w:r>
              <w:rPr>
                <w:rFonts w:ascii="Calibri" w:hAnsi="Calibri"/>
                <w:color w:val="000000"/>
                <w:szCs w:val="22"/>
              </w:rPr>
              <w:t>Industrial</w:t>
            </w:r>
          </w:p>
        </w:tc>
      </w:tr>
      <w:tr w:rsidR="00532CFD" w14:paraId="7FA7ABF1"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7ABCF5EB" w14:textId="77777777" w:rsidR="00532CFD" w:rsidRDefault="00532CFD">
            <w:pPr>
              <w:rPr>
                <w:rFonts w:cstheme="minorHAnsi"/>
                <w:color w:val="FF0000"/>
                <w:szCs w:val="20"/>
              </w:rPr>
            </w:pPr>
            <w:r>
              <w:rPr>
                <w:rFonts w:ascii="Calibri" w:hAnsi="Calibri" w:cs="Calibri"/>
                <w:szCs w:val="20"/>
              </w:rPr>
              <w:t>Office - Large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3E333D85"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4ECBE89D" w14:textId="77777777" w:rsidR="00532CFD" w:rsidRDefault="00532CFD">
            <w:pPr>
              <w:rPr>
                <w:rFonts w:cstheme="minorHAnsi"/>
                <w:color w:val="FF0000"/>
                <w:szCs w:val="20"/>
              </w:rPr>
            </w:pPr>
            <w:proofErr w:type="spellStart"/>
            <w:r>
              <w:rPr>
                <w:rFonts w:ascii="Calibri" w:hAnsi="Calibri"/>
                <w:color w:val="000000"/>
                <w:szCs w:val="22"/>
              </w:rPr>
              <w:t>Large_Office</w:t>
            </w:r>
            <w:proofErr w:type="spellEnd"/>
          </w:p>
        </w:tc>
      </w:tr>
      <w:tr w:rsidR="00532CFD" w14:paraId="57303597"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5E7C45BE" w14:textId="77777777" w:rsidR="00532CFD" w:rsidRDefault="00532CFD">
            <w:pPr>
              <w:rPr>
                <w:rFonts w:cstheme="minorHAnsi"/>
                <w:color w:val="FF0000"/>
                <w:szCs w:val="20"/>
              </w:rPr>
            </w:pPr>
            <w:r>
              <w:rPr>
                <w:rFonts w:ascii="Calibri" w:hAnsi="Calibri" w:cs="Calibri"/>
                <w:szCs w:val="20"/>
              </w:rPr>
              <w:t>Office - Small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608C7A57"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83E402A" w14:textId="77777777" w:rsidR="00532CFD" w:rsidRDefault="00532CFD">
            <w:pPr>
              <w:rPr>
                <w:rFonts w:cstheme="minorHAnsi"/>
                <w:color w:val="FF0000"/>
                <w:szCs w:val="20"/>
              </w:rPr>
            </w:pPr>
            <w:proofErr w:type="spellStart"/>
            <w:r>
              <w:rPr>
                <w:rFonts w:ascii="Calibri" w:hAnsi="Calibri"/>
                <w:color w:val="000000"/>
                <w:szCs w:val="22"/>
              </w:rPr>
              <w:t>Small_Office</w:t>
            </w:r>
            <w:proofErr w:type="spellEnd"/>
          </w:p>
        </w:tc>
      </w:tr>
      <w:tr w:rsidR="00532CFD" w14:paraId="64D16709"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6F84D3BE" w14:textId="77777777" w:rsidR="00532CFD" w:rsidRDefault="00532CFD">
            <w:pPr>
              <w:rPr>
                <w:rFonts w:cstheme="minorHAnsi"/>
                <w:color w:val="FF0000"/>
                <w:szCs w:val="20"/>
              </w:rPr>
            </w:pPr>
            <w:r>
              <w:rPr>
                <w:rFonts w:ascii="Calibri" w:hAnsi="Calibri" w:cs="Calibri"/>
                <w:szCs w:val="20"/>
              </w:rPr>
              <w:t>Restaurant - Fast-Food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55BC23D2"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2DB71C9C"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r w:rsidR="00532CFD" w14:paraId="37CD983B"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506AA05B" w14:textId="77777777" w:rsidR="00532CFD" w:rsidRDefault="00532CFD">
            <w:pPr>
              <w:rPr>
                <w:rFonts w:cstheme="minorHAnsi"/>
                <w:color w:val="FF0000"/>
                <w:szCs w:val="20"/>
              </w:rPr>
            </w:pPr>
            <w:r>
              <w:rPr>
                <w:rFonts w:ascii="Calibri" w:hAnsi="Calibri" w:cs="Calibri"/>
                <w:szCs w:val="20"/>
              </w:rPr>
              <w:t>Restaurant - Sit-Down</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596A5F7"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1F69C595"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r w:rsidR="00532CFD" w14:paraId="2F500D66"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6555E4A0" w14:textId="77777777" w:rsidR="00532CFD" w:rsidRDefault="00532CFD">
            <w:pPr>
              <w:rPr>
                <w:rFonts w:cstheme="minorHAnsi"/>
                <w:color w:val="FF0000"/>
                <w:szCs w:val="20"/>
              </w:rPr>
            </w:pPr>
            <w:r>
              <w:rPr>
                <w:rFonts w:ascii="Calibri" w:hAnsi="Calibri" w:cs="Calibri"/>
                <w:szCs w:val="20"/>
              </w:rPr>
              <w:t>Retail - Multistory Large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2B30BC1F"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7ADBD9E" w14:textId="77777777" w:rsidR="00532CFD" w:rsidRDefault="00532CFD">
            <w:pPr>
              <w:rPr>
                <w:rFonts w:cstheme="minorHAnsi"/>
                <w:color w:val="FF0000"/>
                <w:szCs w:val="20"/>
              </w:rPr>
            </w:pPr>
            <w:proofErr w:type="spellStart"/>
            <w:r>
              <w:rPr>
                <w:rFonts w:ascii="Calibri" w:hAnsi="Calibri"/>
                <w:color w:val="000000"/>
                <w:szCs w:val="22"/>
              </w:rPr>
              <w:t>Large_Retail_Store</w:t>
            </w:r>
            <w:proofErr w:type="spellEnd"/>
          </w:p>
        </w:tc>
      </w:tr>
      <w:tr w:rsidR="00532CFD" w14:paraId="582D08EA"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2D1EC1F8" w14:textId="77777777" w:rsidR="00532CFD" w:rsidRDefault="00532CFD">
            <w:pPr>
              <w:rPr>
                <w:rFonts w:cstheme="minorHAnsi"/>
                <w:color w:val="FF0000"/>
                <w:szCs w:val="20"/>
              </w:rPr>
            </w:pPr>
            <w:r>
              <w:rPr>
                <w:rFonts w:ascii="Calibri" w:hAnsi="Calibri" w:cs="Calibri"/>
                <w:szCs w:val="20"/>
              </w:rPr>
              <w:t>Retail - Single-Story Large</w:t>
            </w:r>
          </w:p>
        </w:tc>
        <w:tc>
          <w:tcPr>
            <w:tcW w:w="1779" w:type="pct"/>
            <w:tcBorders>
              <w:top w:val="single" w:sz="4" w:space="0" w:color="auto"/>
              <w:left w:val="single" w:sz="4" w:space="0" w:color="auto"/>
              <w:bottom w:val="single" w:sz="4" w:space="0" w:color="auto"/>
              <w:right w:val="single" w:sz="4" w:space="0" w:color="auto"/>
            </w:tcBorders>
            <w:vAlign w:val="bottom"/>
            <w:hideMark/>
          </w:tcPr>
          <w:p w14:paraId="10041E9D"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9172682" w14:textId="77777777" w:rsidR="00532CFD" w:rsidRDefault="00532CFD">
            <w:pPr>
              <w:rPr>
                <w:rFonts w:cstheme="minorHAnsi"/>
                <w:color w:val="FF0000"/>
                <w:szCs w:val="20"/>
              </w:rPr>
            </w:pPr>
            <w:proofErr w:type="spellStart"/>
            <w:r>
              <w:rPr>
                <w:rFonts w:ascii="Calibri" w:hAnsi="Calibri"/>
                <w:color w:val="000000"/>
                <w:szCs w:val="22"/>
              </w:rPr>
              <w:t>Large_Retail_Store</w:t>
            </w:r>
            <w:proofErr w:type="spellEnd"/>
          </w:p>
        </w:tc>
      </w:tr>
      <w:tr w:rsidR="00532CFD" w14:paraId="3FA42ACC"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52BBE1FB" w14:textId="77777777" w:rsidR="00532CFD" w:rsidRDefault="00532CFD">
            <w:pPr>
              <w:rPr>
                <w:rFonts w:cstheme="minorHAnsi"/>
                <w:color w:val="FF0000"/>
                <w:szCs w:val="20"/>
              </w:rPr>
            </w:pPr>
            <w:r>
              <w:rPr>
                <w:rFonts w:ascii="Calibri" w:hAnsi="Calibri" w:cs="Calibri"/>
                <w:szCs w:val="20"/>
              </w:rPr>
              <w:t>Retail - Small</w:t>
            </w:r>
          </w:p>
        </w:tc>
        <w:tc>
          <w:tcPr>
            <w:tcW w:w="1779" w:type="pct"/>
            <w:tcBorders>
              <w:top w:val="single" w:sz="4" w:space="0" w:color="auto"/>
              <w:left w:val="single" w:sz="4" w:space="0" w:color="auto"/>
              <w:bottom w:val="single" w:sz="4" w:space="0" w:color="auto"/>
              <w:right w:val="single" w:sz="4" w:space="0" w:color="auto"/>
            </w:tcBorders>
            <w:vAlign w:val="bottom"/>
            <w:hideMark/>
          </w:tcPr>
          <w:p w14:paraId="0CD94662"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066DDC2C" w14:textId="77777777" w:rsidR="00532CFD" w:rsidRDefault="00532CFD">
            <w:pPr>
              <w:rPr>
                <w:rFonts w:cstheme="minorHAnsi"/>
                <w:color w:val="FF0000"/>
                <w:szCs w:val="20"/>
              </w:rPr>
            </w:pPr>
            <w:proofErr w:type="spellStart"/>
            <w:r>
              <w:rPr>
                <w:rFonts w:ascii="Calibri" w:hAnsi="Calibri"/>
                <w:color w:val="000000"/>
                <w:szCs w:val="22"/>
              </w:rPr>
              <w:t>Small_Retail_Store</w:t>
            </w:r>
            <w:proofErr w:type="spellEnd"/>
          </w:p>
        </w:tc>
      </w:tr>
      <w:tr w:rsidR="00532CFD" w14:paraId="0147E2C1"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180AB166" w14:textId="77777777" w:rsidR="00532CFD" w:rsidRDefault="00532CFD">
            <w:pPr>
              <w:rPr>
                <w:rFonts w:cstheme="minorHAnsi"/>
                <w:color w:val="FF0000"/>
                <w:szCs w:val="20"/>
              </w:rPr>
            </w:pPr>
            <w:r>
              <w:rPr>
                <w:rFonts w:ascii="Calibri" w:hAnsi="Calibri" w:cs="Calibri"/>
                <w:szCs w:val="20"/>
              </w:rPr>
              <w:t>Storage - Conditioned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6D444EFF"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70978EA2"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r w:rsidR="00532CFD" w14:paraId="0B747597" w14:textId="77777777" w:rsidTr="00532CFD">
        <w:tc>
          <w:tcPr>
            <w:tcW w:w="1686" w:type="pct"/>
            <w:tcBorders>
              <w:top w:val="single" w:sz="4" w:space="0" w:color="auto"/>
              <w:left w:val="single" w:sz="4" w:space="0" w:color="auto"/>
              <w:bottom w:val="single" w:sz="4" w:space="0" w:color="auto"/>
              <w:right w:val="single" w:sz="4" w:space="0" w:color="auto"/>
            </w:tcBorders>
            <w:vAlign w:val="center"/>
            <w:hideMark/>
          </w:tcPr>
          <w:p w14:paraId="3DD2AA01" w14:textId="77777777" w:rsidR="00532CFD" w:rsidRDefault="00532CFD">
            <w:pPr>
              <w:rPr>
                <w:rFonts w:cstheme="minorHAnsi"/>
                <w:color w:val="FF0000"/>
                <w:szCs w:val="20"/>
              </w:rPr>
            </w:pPr>
            <w:r>
              <w:rPr>
                <w:rFonts w:ascii="Calibri" w:hAnsi="Calibri" w:cs="Calibri"/>
                <w:szCs w:val="20"/>
              </w:rPr>
              <w:t>Storage - Unconditioned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55D0C26D"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44BFC1A3"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r w:rsidR="00532CFD" w14:paraId="36607CA0" w14:textId="77777777" w:rsidTr="00532CFD">
        <w:tc>
          <w:tcPr>
            <w:tcW w:w="1686" w:type="pct"/>
            <w:tcBorders>
              <w:top w:val="single" w:sz="4" w:space="0" w:color="auto"/>
              <w:left w:val="single" w:sz="4" w:space="0" w:color="auto"/>
              <w:bottom w:val="single" w:sz="4" w:space="0" w:color="auto"/>
              <w:right w:val="single" w:sz="4" w:space="0" w:color="auto"/>
            </w:tcBorders>
            <w:hideMark/>
          </w:tcPr>
          <w:p w14:paraId="0DCFE080" w14:textId="77777777" w:rsidR="00532CFD" w:rsidRDefault="00532CFD">
            <w:pPr>
              <w:rPr>
                <w:rFonts w:cstheme="minorHAnsi"/>
                <w:color w:val="FF0000"/>
                <w:szCs w:val="20"/>
              </w:rPr>
            </w:pPr>
            <w:r>
              <w:rPr>
                <w:rFonts w:ascii="Calibri" w:hAnsi="Calibri" w:cs="Calibri"/>
                <w:szCs w:val="20"/>
              </w:rPr>
              <w:t>Warehouse – Refrigerated</w:t>
            </w:r>
          </w:p>
        </w:tc>
        <w:tc>
          <w:tcPr>
            <w:tcW w:w="1779" w:type="pct"/>
            <w:tcBorders>
              <w:top w:val="single" w:sz="4" w:space="0" w:color="auto"/>
              <w:left w:val="single" w:sz="4" w:space="0" w:color="auto"/>
              <w:bottom w:val="single" w:sz="4" w:space="0" w:color="auto"/>
              <w:right w:val="single" w:sz="4" w:space="0" w:color="auto"/>
            </w:tcBorders>
            <w:vAlign w:val="bottom"/>
            <w:hideMark/>
          </w:tcPr>
          <w:p w14:paraId="7AE43C47" w14:textId="77777777" w:rsidR="00532CFD" w:rsidRDefault="00532CFD">
            <w:pPr>
              <w:rPr>
                <w:rFonts w:cstheme="minorHAnsi"/>
                <w:color w:val="FF0000"/>
                <w:szCs w:val="20"/>
              </w:rPr>
            </w:pPr>
            <w:r>
              <w:rPr>
                <w:rFonts w:ascii="Calibri" w:hAnsi="Calibri"/>
                <w:color w:val="000000"/>
                <w:szCs w:val="22"/>
              </w:rPr>
              <w:t>Occupancy Sensor</w:t>
            </w:r>
          </w:p>
        </w:tc>
        <w:tc>
          <w:tcPr>
            <w:tcW w:w="1535" w:type="pct"/>
            <w:tcBorders>
              <w:top w:val="single" w:sz="4" w:space="0" w:color="auto"/>
              <w:left w:val="single" w:sz="4" w:space="0" w:color="auto"/>
              <w:bottom w:val="single" w:sz="4" w:space="0" w:color="auto"/>
              <w:right w:val="single" w:sz="4" w:space="0" w:color="auto"/>
            </w:tcBorders>
            <w:vAlign w:val="bottom"/>
            <w:hideMark/>
          </w:tcPr>
          <w:p w14:paraId="20E96F53" w14:textId="77777777" w:rsidR="00532CFD" w:rsidRDefault="00532CFD">
            <w:pPr>
              <w:rPr>
                <w:rFonts w:cstheme="minorHAnsi"/>
                <w:color w:val="FF0000"/>
                <w:szCs w:val="20"/>
              </w:rPr>
            </w:pPr>
            <w:proofErr w:type="spellStart"/>
            <w:r>
              <w:rPr>
                <w:rFonts w:ascii="Calibri" w:hAnsi="Calibri"/>
                <w:color w:val="000000"/>
                <w:szCs w:val="22"/>
              </w:rPr>
              <w:t>Misc._Commercial</w:t>
            </w:r>
            <w:proofErr w:type="spellEnd"/>
          </w:p>
        </w:tc>
      </w:tr>
    </w:tbl>
    <w:p w14:paraId="66828782" w14:textId="77777777" w:rsidR="00532CFD" w:rsidRDefault="00532CFD" w:rsidP="00532CFD"/>
    <w:p w14:paraId="52C9214C" w14:textId="5A04C955" w:rsidR="005552C3" w:rsidRDefault="00F95E2F" w:rsidP="00920905">
      <w:pPr>
        <w:pStyle w:val="Heading1"/>
      </w:pPr>
      <w:proofErr w:type="gramStart"/>
      <w:r>
        <w:t>Section 4.</w:t>
      </w:r>
      <w:proofErr w:type="gramEnd"/>
      <w:r>
        <w:t xml:space="preserve"> Costs</w:t>
      </w:r>
    </w:p>
    <w:p w14:paraId="4696E137" w14:textId="77777777" w:rsidR="00E16609" w:rsidRDefault="00E16609" w:rsidP="00824F1C">
      <w:pPr>
        <w:pStyle w:val="Heading2"/>
        <w:rPr>
          <w:rFonts w:asciiTheme="minorHAnsi" w:hAnsiTheme="minorHAnsi" w:cstheme="minorHAnsi"/>
        </w:rPr>
      </w:pPr>
      <w:bookmarkStart w:id="17" w:name="_MON_1399297811"/>
      <w:bookmarkStart w:id="18" w:name="_Toc214003097"/>
      <w:bookmarkEnd w:id="17"/>
      <w:r w:rsidRPr="00500C4E">
        <w:rPr>
          <w:rFonts w:asciiTheme="minorHAnsi" w:hAnsiTheme="minorHAnsi" w:cstheme="minorHAnsi"/>
        </w:rPr>
        <w:t>4.1 Base Case Cost</w:t>
      </w:r>
      <w:bookmarkEnd w:id="18"/>
    </w:p>
    <w:p w14:paraId="34E22CE6" w14:textId="77777777" w:rsidR="00532CFD" w:rsidRDefault="00532CFD" w:rsidP="00532CFD">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For REA measures there is no base case cost.  </w:t>
      </w:r>
    </w:p>
    <w:p w14:paraId="44713B57" w14:textId="77777777" w:rsidR="005A0E53" w:rsidRPr="00500C4E" w:rsidRDefault="005A0E53" w:rsidP="005A0E53">
      <w:pPr>
        <w:pStyle w:val="Heading2"/>
        <w:rPr>
          <w:rFonts w:asciiTheme="minorHAnsi" w:hAnsiTheme="minorHAnsi" w:cstheme="minorHAnsi"/>
        </w:rPr>
      </w:pPr>
      <w:bookmarkStart w:id="19" w:name="_Toc214003098"/>
      <w:r w:rsidRPr="00500C4E">
        <w:rPr>
          <w:rFonts w:asciiTheme="minorHAnsi" w:hAnsiTheme="minorHAnsi" w:cstheme="minorHAnsi"/>
        </w:rPr>
        <w:lastRenderedPageBreak/>
        <w:t>4.2 Measure Case Cost</w:t>
      </w:r>
    </w:p>
    <w:p w14:paraId="380F957F" w14:textId="72E8D31E" w:rsidR="00532CFD" w:rsidRDefault="00532CFD" w:rsidP="00532CFD">
      <w:r>
        <w:rPr>
          <w:rFonts w:cs="Calibri"/>
          <w:szCs w:val="22"/>
        </w:rPr>
        <w:t xml:space="preserve">For the PCPM Network Software measure, the “equipment” measure costs may be interpreted as the per computer licensing charge for commercial software.  </w:t>
      </w:r>
      <w:r>
        <w:t xml:space="preserve">The equipment retail prices of vendors’ software range from $15 - $20 per workstation license </w:t>
      </w:r>
      <w:r w:rsidR="002B6D47">
        <w:t>[J]</w:t>
      </w:r>
      <w:r>
        <w:t xml:space="preserve">. </w:t>
      </w:r>
    </w:p>
    <w:p w14:paraId="04CA47A2" w14:textId="77777777" w:rsidR="00532CFD" w:rsidRDefault="00532CFD" w:rsidP="00532CFD"/>
    <w:p w14:paraId="758ED1A0" w14:textId="4D7334A2" w:rsidR="00532CFD" w:rsidRDefault="00532CFD" w:rsidP="00532CFD">
      <w:pPr>
        <w:rPr>
          <w:rFonts w:cs="Calibri"/>
          <w:szCs w:val="22"/>
        </w:rPr>
      </w:pPr>
      <w:r>
        <w:rPr>
          <w:rFonts w:cs="Calibri"/>
          <w:szCs w:val="22"/>
        </w:rPr>
        <w:t>Some of the EM&amp;V studies and work papers reviewed provided either direct per computer software licensing and installation cost data, or enough information that allowed per computer costs to be estimated.   The available data is summarized in</w:t>
      </w:r>
      <w:r w:rsidR="002D2162">
        <w:rPr>
          <w:rFonts w:cs="Calibri"/>
          <w:szCs w:val="22"/>
        </w:rPr>
        <w:t xml:space="preserve"> table below</w:t>
      </w:r>
      <w:r>
        <w:rPr>
          <w:rFonts w:cs="Calibri"/>
          <w:szCs w:val="22"/>
        </w:rPr>
        <w:t>.</w:t>
      </w:r>
    </w:p>
    <w:p w14:paraId="030CEFB9" w14:textId="77777777" w:rsidR="00532CFD" w:rsidRDefault="00532CFD" w:rsidP="00532CFD">
      <w:pPr>
        <w:rPr>
          <w:rFonts w:ascii="Calibri" w:hAnsi="Calibri" w:cs="Calibri"/>
          <w:sz w:val="24"/>
        </w:rPr>
      </w:pPr>
    </w:p>
    <w:p w14:paraId="225544C8" w14:textId="07C8C634" w:rsidR="00532CFD" w:rsidRDefault="00532CFD" w:rsidP="00532CFD">
      <w:pPr>
        <w:pStyle w:val="Caption"/>
        <w:rPr>
          <w:rFonts w:ascii="Calibri" w:hAnsi="Calibri" w:cs="Calibri"/>
          <w:szCs w:val="22"/>
        </w:rPr>
      </w:pPr>
      <w:bookmarkStart w:id="20" w:name="_Toc222454099"/>
      <w:r>
        <w:rPr>
          <w:rFonts w:ascii="Calibri" w:hAnsi="Calibri" w:cs="Calibri"/>
          <w:szCs w:val="22"/>
        </w:rPr>
        <w:t>Available Measure and Installation Cost Data.</w:t>
      </w:r>
      <w:bookmarkEnd w:id="20"/>
    </w:p>
    <w:tbl>
      <w:tblPr>
        <w:tblStyle w:val="TableGrid1"/>
        <w:tblW w:w="5000" w:type="pct"/>
        <w:tblLook w:val="01E0" w:firstRow="1" w:lastRow="1" w:firstColumn="1" w:lastColumn="1" w:noHBand="0" w:noVBand="0"/>
      </w:tblPr>
      <w:tblGrid>
        <w:gridCol w:w="3129"/>
        <w:gridCol w:w="3319"/>
        <w:gridCol w:w="3128"/>
      </w:tblGrid>
      <w:tr w:rsidR="00532CFD" w:rsidRPr="00500C4E" w14:paraId="43FC9890" w14:textId="77777777" w:rsidTr="00532CFD">
        <w:tc>
          <w:tcPr>
            <w:tcW w:w="1634" w:type="pct"/>
            <w:shd w:val="clear" w:color="auto" w:fill="D9D9D9" w:themeFill="background1" w:themeFillShade="D9"/>
          </w:tcPr>
          <w:p w14:paraId="4230C74C" w14:textId="7CB3A76C" w:rsidR="00532CFD" w:rsidRPr="00920905" w:rsidRDefault="00532CFD" w:rsidP="00532CFD">
            <w:pPr>
              <w:rPr>
                <w:rFonts w:cstheme="minorHAnsi"/>
                <w:b/>
                <w:szCs w:val="20"/>
              </w:rPr>
            </w:pPr>
            <w:r>
              <w:rPr>
                <w:rFonts w:ascii="Calibri" w:hAnsi="Calibri" w:cs="Calibri"/>
                <w:szCs w:val="20"/>
              </w:rPr>
              <w:t>Case</w:t>
            </w:r>
          </w:p>
        </w:tc>
        <w:tc>
          <w:tcPr>
            <w:tcW w:w="1733" w:type="pct"/>
            <w:shd w:val="clear" w:color="auto" w:fill="D9D9D9" w:themeFill="background1" w:themeFillShade="D9"/>
          </w:tcPr>
          <w:p w14:paraId="645A739E" w14:textId="6EDCA2EB" w:rsidR="00532CFD" w:rsidRPr="00920905" w:rsidRDefault="00532CFD" w:rsidP="00532CFD">
            <w:pPr>
              <w:rPr>
                <w:rFonts w:cstheme="minorHAnsi"/>
                <w:b/>
                <w:szCs w:val="20"/>
              </w:rPr>
            </w:pPr>
            <w:r>
              <w:rPr>
                <w:rFonts w:ascii="Calibri" w:hAnsi="Calibri" w:cs="Calibri"/>
                <w:szCs w:val="20"/>
              </w:rPr>
              <w:t>Equipment Costs per Workstation</w:t>
            </w:r>
          </w:p>
        </w:tc>
        <w:tc>
          <w:tcPr>
            <w:tcW w:w="1633" w:type="pct"/>
            <w:shd w:val="clear" w:color="auto" w:fill="D9D9D9" w:themeFill="background1" w:themeFillShade="D9"/>
          </w:tcPr>
          <w:p w14:paraId="7D125966" w14:textId="6BBDDEBD" w:rsidR="00532CFD" w:rsidRPr="00920905" w:rsidRDefault="00532CFD" w:rsidP="00532CFD">
            <w:pPr>
              <w:rPr>
                <w:rFonts w:cstheme="minorHAnsi"/>
                <w:b/>
                <w:szCs w:val="20"/>
                <w:highlight w:val="yellow"/>
              </w:rPr>
            </w:pPr>
            <w:r>
              <w:rPr>
                <w:rFonts w:ascii="Calibri" w:hAnsi="Calibri" w:cs="Calibri"/>
                <w:szCs w:val="20"/>
              </w:rPr>
              <w:t>Installation Costs per Workstation</w:t>
            </w:r>
          </w:p>
        </w:tc>
      </w:tr>
      <w:tr w:rsidR="00532CFD" w:rsidRPr="00500C4E" w14:paraId="6A0A70BD" w14:textId="77777777" w:rsidTr="00532CFD">
        <w:tc>
          <w:tcPr>
            <w:tcW w:w="1634" w:type="pct"/>
          </w:tcPr>
          <w:p w14:paraId="4C75A58D" w14:textId="68F82B1E" w:rsidR="00532CFD" w:rsidRPr="00920905" w:rsidRDefault="00532CFD" w:rsidP="002D2162">
            <w:pPr>
              <w:rPr>
                <w:rFonts w:cstheme="minorHAnsi"/>
                <w:color w:val="FF0000"/>
                <w:szCs w:val="20"/>
              </w:rPr>
            </w:pPr>
            <w:r>
              <w:rPr>
                <w:rFonts w:ascii="Calibri" w:hAnsi="Calibri" w:cs="Calibri"/>
                <w:szCs w:val="20"/>
              </w:rPr>
              <w:t xml:space="preserve">LNBL-1096E </w:t>
            </w:r>
            <w:r w:rsidR="002B6D47">
              <w:rPr>
                <w:rFonts w:ascii="Calibri" w:hAnsi="Calibri" w:cs="Calibri"/>
                <w:szCs w:val="20"/>
              </w:rPr>
              <w:t>[K]</w:t>
            </w:r>
          </w:p>
        </w:tc>
        <w:tc>
          <w:tcPr>
            <w:tcW w:w="1733" w:type="pct"/>
          </w:tcPr>
          <w:p w14:paraId="585CF8E0" w14:textId="1F265A72" w:rsidR="00532CFD" w:rsidRPr="00920905" w:rsidRDefault="00532CFD" w:rsidP="00532CFD">
            <w:pPr>
              <w:rPr>
                <w:rFonts w:cstheme="minorHAnsi"/>
                <w:color w:val="FF0000"/>
                <w:szCs w:val="20"/>
              </w:rPr>
            </w:pPr>
            <w:r>
              <w:rPr>
                <w:rFonts w:cstheme="minorHAnsi"/>
                <w:szCs w:val="20"/>
              </w:rPr>
              <w:t>$19.98</w:t>
            </w:r>
          </w:p>
        </w:tc>
        <w:tc>
          <w:tcPr>
            <w:tcW w:w="1633" w:type="pct"/>
          </w:tcPr>
          <w:p w14:paraId="01C47D60" w14:textId="5138B535" w:rsidR="00532CFD" w:rsidRPr="00920905" w:rsidRDefault="00532CFD" w:rsidP="00532CFD">
            <w:pPr>
              <w:rPr>
                <w:rFonts w:cstheme="minorHAnsi"/>
                <w:color w:val="FF0000"/>
                <w:szCs w:val="20"/>
              </w:rPr>
            </w:pPr>
            <w:r>
              <w:rPr>
                <w:rFonts w:cstheme="minorHAnsi"/>
                <w:szCs w:val="20"/>
              </w:rPr>
              <w:t>$9.00</w:t>
            </w:r>
          </w:p>
        </w:tc>
      </w:tr>
      <w:tr w:rsidR="00532CFD" w:rsidRPr="00500C4E" w14:paraId="26506CA8" w14:textId="77777777" w:rsidTr="00532CFD">
        <w:tc>
          <w:tcPr>
            <w:tcW w:w="1634" w:type="pct"/>
          </w:tcPr>
          <w:p w14:paraId="2D93EA97" w14:textId="139B1C9B" w:rsidR="00532CFD" w:rsidRPr="00920905" w:rsidRDefault="00532CFD" w:rsidP="00532CFD">
            <w:pPr>
              <w:rPr>
                <w:rFonts w:cstheme="minorHAnsi"/>
                <w:color w:val="FF0000"/>
                <w:szCs w:val="20"/>
              </w:rPr>
            </w:pPr>
            <w:r>
              <w:rPr>
                <w:rFonts w:ascii="Calibri" w:hAnsi="Calibri" w:cs="Calibri"/>
                <w:szCs w:val="20"/>
              </w:rPr>
              <w:t xml:space="preserve">TIAX 2004 </w:t>
            </w:r>
            <w:r w:rsidR="002B6D47">
              <w:rPr>
                <w:rFonts w:ascii="Calibri" w:hAnsi="Calibri" w:cs="Calibri"/>
                <w:szCs w:val="20"/>
              </w:rPr>
              <w:t>[H]</w:t>
            </w:r>
          </w:p>
        </w:tc>
        <w:tc>
          <w:tcPr>
            <w:tcW w:w="1733" w:type="pct"/>
          </w:tcPr>
          <w:p w14:paraId="1E9B6ADD" w14:textId="0542F1A4" w:rsidR="00532CFD" w:rsidRPr="00920905" w:rsidRDefault="00532CFD" w:rsidP="00532CFD">
            <w:pPr>
              <w:rPr>
                <w:rFonts w:cstheme="minorHAnsi"/>
                <w:color w:val="FF0000"/>
                <w:szCs w:val="20"/>
              </w:rPr>
            </w:pPr>
            <w:r>
              <w:rPr>
                <w:rFonts w:cstheme="minorHAnsi"/>
                <w:szCs w:val="20"/>
              </w:rPr>
              <w:t>$8.00 to $20.00</w:t>
            </w:r>
          </w:p>
        </w:tc>
        <w:tc>
          <w:tcPr>
            <w:tcW w:w="1633" w:type="pct"/>
          </w:tcPr>
          <w:p w14:paraId="4B5F691D" w14:textId="5B8EDB0B" w:rsidR="00532CFD" w:rsidRPr="00920905" w:rsidRDefault="00532CFD" w:rsidP="00532CFD">
            <w:pPr>
              <w:rPr>
                <w:rFonts w:cstheme="minorHAnsi"/>
                <w:color w:val="FF0000"/>
                <w:szCs w:val="20"/>
              </w:rPr>
            </w:pPr>
            <w:r>
              <w:rPr>
                <w:rFonts w:cstheme="minorHAnsi"/>
                <w:szCs w:val="20"/>
              </w:rPr>
              <w:t>$9.00</w:t>
            </w:r>
          </w:p>
        </w:tc>
      </w:tr>
      <w:tr w:rsidR="00532CFD" w:rsidRPr="00500C4E" w14:paraId="318510BD" w14:textId="77777777" w:rsidTr="00532CFD">
        <w:tc>
          <w:tcPr>
            <w:tcW w:w="1634" w:type="pct"/>
          </w:tcPr>
          <w:p w14:paraId="76652AD1" w14:textId="40A51FB4" w:rsidR="00532CFD" w:rsidRPr="00920905" w:rsidRDefault="00532CFD" w:rsidP="00532CFD">
            <w:pPr>
              <w:rPr>
                <w:rFonts w:cstheme="minorHAnsi"/>
                <w:color w:val="FF0000"/>
                <w:szCs w:val="20"/>
              </w:rPr>
            </w:pPr>
            <w:r>
              <w:rPr>
                <w:rFonts w:ascii="Calibri" w:hAnsi="Calibri" w:cs="Calibri"/>
                <w:szCs w:val="20"/>
              </w:rPr>
              <w:t xml:space="preserve">NEEA 2003 </w:t>
            </w:r>
            <w:r w:rsidR="002B6D47">
              <w:rPr>
                <w:rFonts w:ascii="Calibri" w:hAnsi="Calibri" w:cs="Calibri"/>
                <w:szCs w:val="20"/>
              </w:rPr>
              <w:t>[L]</w:t>
            </w:r>
          </w:p>
        </w:tc>
        <w:tc>
          <w:tcPr>
            <w:tcW w:w="1733" w:type="pct"/>
          </w:tcPr>
          <w:p w14:paraId="22288033" w14:textId="7A440A0E" w:rsidR="00532CFD" w:rsidRPr="00920905" w:rsidRDefault="00532CFD" w:rsidP="00532CFD">
            <w:pPr>
              <w:rPr>
                <w:rFonts w:cstheme="minorHAnsi"/>
                <w:color w:val="FF0000"/>
                <w:szCs w:val="20"/>
              </w:rPr>
            </w:pPr>
            <w:r>
              <w:rPr>
                <w:rFonts w:cstheme="minorHAnsi"/>
                <w:szCs w:val="20"/>
              </w:rPr>
              <w:t>$15.00</w:t>
            </w:r>
          </w:p>
        </w:tc>
        <w:tc>
          <w:tcPr>
            <w:tcW w:w="1633" w:type="pct"/>
          </w:tcPr>
          <w:p w14:paraId="06CAEA24" w14:textId="5AF2FBD7" w:rsidR="00532CFD" w:rsidRPr="00920905" w:rsidRDefault="00532CFD" w:rsidP="00532CFD">
            <w:pPr>
              <w:rPr>
                <w:rFonts w:cstheme="minorHAnsi"/>
                <w:color w:val="FF0000"/>
                <w:szCs w:val="20"/>
              </w:rPr>
            </w:pPr>
            <w:r>
              <w:rPr>
                <w:rFonts w:cstheme="minorHAnsi"/>
                <w:szCs w:val="20"/>
              </w:rPr>
              <w:t>$2.50</w:t>
            </w:r>
          </w:p>
        </w:tc>
      </w:tr>
      <w:tr w:rsidR="00532CFD" w:rsidRPr="00500C4E" w14:paraId="201FE94B" w14:textId="77777777" w:rsidTr="00532CFD">
        <w:tc>
          <w:tcPr>
            <w:tcW w:w="1634" w:type="pct"/>
          </w:tcPr>
          <w:p w14:paraId="58DFFC33" w14:textId="19BE1B7A" w:rsidR="00532CFD" w:rsidRPr="00920905" w:rsidRDefault="00532CFD" w:rsidP="002D2162">
            <w:pPr>
              <w:rPr>
                <w:rFonts w:cstheme="minorHAnsi"/>
                <w:color w:val="FF0000"/>
                <w:szCs w:val="20"/>
              </w:rPr>
            </w:pPr>
            <w:r>
              <w:rPr>
                <w:rFonts w:ascii="Calibri" w:hAnsi="Calibri" w:cs="Calibri"/>
                <w:szCs w:val="20"/>
              </w:rPr>
              <w:t xml:space="preserve">NEEA 2005 </w:t>
            </w:r>
            <w:r w:rsidR="002B6D47">
              <w:rPr>
                <w:rFonts w:ascii="Calibri" w:hAnsi="Calibri" w:cs="Calibri"/>
                <w:szCs w:val="20"/>
              </w:rPr>
              <w:t>[M]</w:t>
            </w:r>
          </w:p>
        </w:tc>
        <w:tc>
          <w:tcPr>
            <w:tcW w:w="1733" w:type="pct"/>
          </w:tcPr>
          <w:p w14:paraId="23DB0CB1" w14:textId="3CC15A14" w:rsidR="00532CFD" w:rsidRPr="00920905" w:rsidRDefault="00532CFD" w:rsidP="00532CFD">
            <w:pPr>
              <w:rPr>
                <w:rFonts w:cstheme="minorHAnsi"/>
                <w:color w:val="FF0000"/>
                <w:szCs w:val="20"/>
              </w:rPr>
            </w:pPr>
            <w:r>
              <w:rPr>
                <w:rFonts w:cstheme="minorHAnsi"/>
                <w:szCs w:val="20"/>
              </w:rPr>
              <w:t>$18.00 Average</w:t>
            </w:r>
          </w:p>
        </w:tc>
        <w:tc>
          <w:tcPr>
            <w:tcW w:w="1633" w:type="pct"/>
          </w:tcPr>
          <w:p w14:paraId="2582A5D0" w14:textId="6324FE29" w:rsidR="00532CFD" w:rsidRPr="00920905" w:rsidRDefault="00532CFD" w:rsidP="00532CFD">
            <w:pPr>
              <w:rPr>
                <w:rFonts w:cstheme="minorHAnsi"/>
                <w:color w:val="FF0000"/>
                <w:szCs w:val="20"/>
              </w:rPr>
            </w:pPr>
            <w:r>
              <w:rPr>
                <w:rFonts w:cstheme="minorHAnsi"/>
                <w:szCs w:val="20"/>
              </w:rPr>
              <w:t>$5.00</w:t>
            </w:r>
          </w:p>
        </w:tc>
      </w:tr>
    </w:tbl>
    <w:p w14:paraId="6896353C" w14:textId="77777777" w:rsidR="00532CFD" w:rsidRDefault="00532CFD" w:rsidP="00532CFD"/>
    <w:p w14:paraId="7EF1DA7B" w14:textId="0CC1A772" w:rsidR="00532CFD" w:rsidRDefault="00532CFD" w:rsidP="00532CFD">
      <w:pPr>
        <w:rPr>
          <w:rFonts w:cs="Calibri"/>
          <w:szCs w:val="22"/>
        </w:rPr>
      </w:pPr>
      <w:r>
        <w:rPr>
          <w:rFonts w:cs="Calibri"/>
          <w:szCs w:val="22"/>
        </w:rPr>
        <w:t>Given the wide range of costs listed in table above, this work paper selected the LBNL-1096E report values that were used for estimating the U.S. commercial market potential, rounded to the nearest whole number:</w:t>
      </w:r>
    </w:p>
    <w:p w14:paraId="1F57A828" w14:textId="77777777" w:rsidR="00532CFD" w:rsidRDefault="00532CFD" w:rsidP="00532CFD">
      <w:pPr>
        <w:rPr>
          <w:rFonts w:cs="Calibri"/>
          <w:szCs w:val="22"/>
        </w:rPr>
      </w:pPr>
    </w:p>
    <w:p w14:paraId="00DAC999" w14:textId="3125452F" w:rsidR="00532CFD" w:rsidRDefault="00532CFD" w:rsidP="00532CFD">
      <w:pPr>
        <w:rPr>
          <w:rFonts w:cs="Calibri"/>
          <w:szCs w:val="22"/>
        </w:rPr>
      </w:pPr>
      <w:r>
        <w:rPr>
          <w:rFonts w:cs="Calibri"/>
          <w:szCs w:val="22"/>
        </w:rPr>
        <w:tab/>
        <w:t xml:space="preserve">Measure Equipment Cost </w:t>
      </w:r>
      <w:r>
        <w:rPr>
          <w:noProof/>
          <w:szCs w:val="22"/>
        </w:rPr>
        <w:drawing>
          <wp:inline distT="0" distB="0" distL="0" distR="0" wp14:anchorId="730A84A0" wp14:editId="2CD2E198">
            <wp:extent cx="66675" cy="66675"/>
            <wp:effectExtent l="0" t="0" r="9525" b="9525"/>
            <wp:docPr id="1" name="Picture 1" descr="\appro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prox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675" cy="66675"/>
                    </a:xfrm>
                    <a:prstGeom prst="rect">
                      <a:avLst/>
                    </a:prstGeom>
                    <a:noFill/>
                    <a:ln>
                      <a:noFill/>
                    </a:ln>
                  </pic:spPr>
                </pic:pic>
              </a:graphicData>
            </a:graphic>
          </wp:inline>
        </w:drawing>
      </w:r>
      <w:r>
        <w:rPr>
          <w:rFonts w:cs="Calibri"/>
          <w:szCs w:val="22"/>
        </w:rPr>
        <w:t xml:space="preserve"> $20.00 per computer</w:t>
      </w:r>
    </w:p>
    <w:p w14:paraId="6474957F" w14:textId="77777777" w:rsidR="00532CFD" w:rsidRDefault="00532CFD" w:rsidP="00532CFD">
      <w:pPr>
        <w:rPr>
          <w:szCs w:val="22"/>
        </w:rPr>
      </w:pPr>
      <w:r>
        <w:rPr>
          <w:rFonts w:cs="Calibri"/>
          <w:szCs w:val="22"/>
        </w:rPr>
        <w:tab/>
      </w:r>
    </w:p>
    <w:p w14:paraId="67981BB3" w14:textId="77777777" w:rsidR="00532CFD" w:rsidRDefault="00532CFD" w:rsidP="00532CFD">
      <w:pPr>
        <w:rPr>
          <w:szCs w:val="22"/>
        </w:rPr>
      </w:pPr>
      <w:r>
        <w:rPr>
          <w:szCs w:val="22"/>
        </w:rPr>
        <w:tab/>
      </w:r>
      <w:r>
        <w:rPr>
          <w:rFonts w:cs="Calibri"/>
          <w:szCs w:val="22"/>
        </w:rPr>
        <w:t>Installation Labor Cost = $9.00 per computer</w:t>
      </w:r>
    </w:p>
    <w:p w14:paraId="03F2BAF2" w14:textId="77777777" w:rsidR="00532CFD" w:rsidRDefault="00532CFD" w:rsidP="00532CFD"/>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AB9A00" w14:textId="2B7D3DC8" w:rsidR="00C95D16" w:rsidRDefault="00C95D16">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474EF" w:rsidRPr="00500C4E" w14:paraId="31204A9D" w14:textId="77777777" w:rsidTr="00F474EF">
        <w:tc>
          <w:tcPr>
            <w:tcW w:w="587" w:type="pct"/>
          </w:tcPr>
          <w:p w14:paraId="20624498" w14:textId="757E797A" w:rsidR="00F474EF" w:rsidRPr="00920905" w:rsidRDefault="00532CFD" w:rsidP="00175D14">
            <w:pPr>
              <w:rPr>
                <w:rFonts w:cstheme="minorHAnsi"/>
                <w:color w:val="FF0000"/>
                <w:szCs w:val="20"/>
              </w:rPr>
            </w:pPr>
            <w:r>
              <w:rPr>
                <w:rFonts w:ascii="Calibri" w:hAnsi="Calibri" w:cs="Calibri"/>
                <w:szCs w:val="20"/>
              </w:rPr>
              <w:t>OE-65003</w:t>
            </w:r>
          </w:p>
        </w:tc>
        <w:tc>
          <w:tcPr>
            <w:tcW w:w="618" w:type="pct"/>
          </w:tcPr>
          <w:p w14:paraId="1B8D4FEE" w14:textId="48CAABFA" w:rsidR="00F474EF" w:rsidRPr="00532CFD" w:rsidRDefault="00532CFD" w:rsidP="00175D14">
            <w:pPr>
              <w:rPr>
                <w:rFonts w:cstheme="minorHAnsi"/>
                <w:szCs w:val="20"/>
              </w:rPr>
            </w:pPr>
            <w:r w:rsidRPr="00532CFD">
              <w:rPr>
                <w:rFonts w:cstheme="minorHAnsi"/>
                <w:szCs w:val="20"/>
              </w:rPr>
              <w:t>REA</w:t>
            </w:r>
          </w:p>
        </w:tc>
        <w:tc>
          <w:tcPr>
            <w:tcW w:w="1266" w:type="pct"/>
          </w:tcPr>
          <w:p w14:paraId="17400ED7" w14:textId="40011B31" w:rsidR="00F474EF" w:rsidRPr="00532CFD" w:rsidRDefault="00532CFD" w:rsidP="00175D14">
            <w:pPr>
              <w:rPr>
                <w:rFonts w:cstheme="minorHAnsi"/>
                <w:szCs w:val="20"/>
              </w:rPr>
            </w:pPr>
            <w:r w:rsidRPr="00532CFD">
              <w:rPr>
                <w:rFonts w:cstheme="minorHAnsi"/>
                <w:szCs w:val="20"/>
              </w:rPr>
              <w:t>$29</w:t>
            </w:r>
          </w:p>
        </w:tc>
        <w:tc>
          <w:tcPr>
            <w:tcW w:w="1225" w:type="pct"/>
          </w:tcPr>
          <w:p w14:paraId="0F861C7C" w14:textId="61CE9603" w:rsidR="00F474EF" w:rsidRPr="00532CFD" w:rsidRDefault="00532CFD" w:rsidP="00175D14">
            <w:pPr>
              <w:rPr>
                <w:rFonts w:cstheme="minorHAnsi"/>
                <w:szCs w:val="20"/>
              </w:rPr>
            </w:pPr>
            <w:r w:rsidRPr="00532CFD">
              <w:rPr>
                <w:rFonts w:cstheme="minorHAnsi"/>
                <w:szCs w:val="20"/>
              </w:rPr>
              <w:t>$29</w:t>
            </w:r>
          </w:p>
        </w:tc>
        <w:tc>
          <w:tcPr>
            <w:tcW w:w="1304" w:type="pct"/>
          </w:tcPr>
          <w:p w14:paraId="26FF7460" w14:textId="77777777" w:rsidR="00F474EF" w:rsidRPr="00532CFD" w:rsidRDefault="00F474EF" w:rsidP="00175D14">
            <w:pPr>
              <w:rPr>
                <w:rFonts w:cstheme="minorHAnsi"/>
                <w:szCs w:val="20"/>
              </w:rPr>
            </w:pPr>
            <w:r w:rsidRPr="00532CFD">
              <w:rPr>
                <w:rFonts w:cstheme="minorHAnsi"/>
                <w:szCs w:val="20"/>
              </w:rPr>
              <w:t>N/A</w:t>
            </w:r>
          </w:p>
        </w:tc>
      </w:tr>
    </w:tbl>
    <w:p w14:paraId="37E9FBDB" w14:textId="754E7BBE" w:rsidR="00E16609" w:rsidRPr="00920905" w:rsidRDefault="00E16609">
      <w:pPr>
        <w:rPr>
          <w:rFonts w:cstheme="minorHAnsi"/>
          <w:sz w:val="20"/>
          <w:szCs w:val="20"/>
        </w:rPr>
      </w:pPr>
      <w:bookmarkStart w:id="21" w:name="_Toc214003099"/>
      <w:r w:rsidRPr="00920905">
        <w:rPr>
          <w:rFonts w:cstheme="minorHAnsi"/>
          <w:sz w:val="20"/>
          <w:szCs w:val="20"/>
        </w:rPr>
        <w:br w:type="page"/>
      </w:r>
    </w:p>
    <w:bookmarkEnd w:id="2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CC896D8" w14:textId="77777777" w:rsidR="00473041" w:rsidRDefault="00473041" w:rsidP="00E40CF9">
      <w:pPr>
        <w:pStyle w:val="Reminders"/>
        <w:rPr>
          <w:rFonts w:asciiTheme="minorHAnsi" w:hAnsiTheme="minorHAnsi" w:cstheme="minorHAnsi"/>
          <w:i w:val="0"/>
          <w:color w:val="auto"/>
          <w:szCs w:val="22"/>
        </w:rPr>
      </w:pPr>
    </w:p>
    <w:p w14:paraId="761E23FE" w14:textId="1E92449C" w:rsidR="00473041" w:rsidRDefault="00CC6E1F" w:rsidP="00943724">
      <w:pPr>
        <w:pStyle w:val="Reminders"/>
        <w:numPr>
          <w:ilvl w:val="0"/>
          <w:numId w:val="45"/>
        </w:numPr>
        <w:rPr>
          <w:rFonts w:asciiTheme="minorHAnsi" w:hAnsiTheme="minorHAnsi" w:cstheme="minorHAnsi"/>
          <w:i w:val="0"/>
          <w:color w:val="auto"/>
          <w:szCs w:val="22"/>
        </w:rPr>
      </w:pPr>
      <w:r>
        <w:rPr>
          <w:rFonts w:asciiTheme="minorHAnsi" w:hAnsiTheme="minorHAnsi" w:cstheme="minorHAnsi"/>
          <w:i w:val="0"/>
          <w:color w:val="auto"/>
          <w:szCs w:val="22"/>
        </w:rPr>
        <w:t>A</w:t>
      </w:r>
      <w:r w:rsidR="00D2453D">
        <w:rPr>
          <w:rFonts w:asciiTheme="minorHAnsi" w:hAnsiTheme="minorHAnsi" w:cstheme="minorHAnsi"/>
          <w:i w:val="0"/>
          <w:color w:val="auto"/>
          <w:szCs w:val="22"/>
        </w:rPr>
        <w:t>1</w:t>
      </w:r>
      <w:r w:rsidR="00943724">
        <w:rPr>
          <w:rFonts w:asciiTheme="minorHAnsi" w:hAnsiTheme="minorHAnsi" w:cstheme="minorHAnsi"/>
          <w:i w:val="0"/>
          <w:color w:val="auto"/>
          <w:szCs w:val="22"/>
        </w:rPr>
        <w:t xml:space="preserve">  </w:t>
      </w:r>
      <w:r>
        <w:rPr>
          <w:rFonts w:asciiTheme="minorHAnsi" w:hAnsiTheme="minorHAnsi" w:cstheme="minorHAnsi"/>
          <w:i w:val="0"/>
          <w:color w:val="auto"/>
          <w:szCs w:val="22"/>
        </w:rPr>
        <w:t>SCE170E001.0 - Calculations</w:t>
      </w:r>
      <w:r w:rsidR="00943724" w:rsidRPr="00943724">
        <w:rPr>
          <w:rFonts w:asciiTheme="minorHAnsi" w:hAnsiTheme="minorHAnsi" w:cstheme="minorHAnsi"/>
          <w:i w:val="0"/>
          <w:color w:val="auto"/>
          <w:szCs w:val="22"/>
        </w:rPr>
        <w:t>.xlsm</w:t>
      </w:r>
    </w:p>
    <w:p w14:paraId="750D5225" w14:textId="0B25ABFF" w:rsidR="006D4BBD" w:rsidRDefault="00CC6E1F" w:rsidP="00943724">
      <w:pPr>
        <w:pStyle w:val="Reminders"/>
        <w:numPr>
          <w:ilvl w:val="0"/>
          <w:numId w:val="45"/>
        </w:numPr>
        <w:rPr>
          <w:rFonts w:asciiTheme="minorHAnsi" w:hAnsiTheme="minorHAnsi" w:cstheme="minorHAnsi"/>
          <w:i w:val="0"/>
          <w:color w:val="auto"/>
          <w:szCs w:val="22"/>
        </w:rPr>
      </w:pPr>
      <w:r>
        <w:rPr>
          <w:rFonts w:asciiTheme="minorHAnsi" w:hAnsiTheme="minorHAnsi" w:cstheme="minorHAnsi"/>
          <w:i w:val="0"/>
          <w:color w:val="auto"/>
          <w:szCs w:val="22"/>
        </w:rPr>
        <w:t>A</w:t>
      </w:r>
      <w:r w:rsidR="00D2453D">
        <w:rPr>
          <w:rFonts w:asciiTheme="minorHAnsi" w:hAnsiTheme="minorHAnsi" w:cstheme="minorHAnsi"/>
          <w:i w:val="0"/>
          <w:color w:val="auto"/>
          <w:szCs w:val="22"/>
        </w:rPr>
        <w:t>2</w:t>
      </w:r>
      <w:r w:rsidR="00943724">
        <w:rPr>
          <w:rFonts w:asciiTheme="minorHAnsi" w:hAnsiTheme="minorHAnsi" w:cstheme="minorHAnsi"/>
          <w:i w:val="0"/>
          <w:color w:val="auto"/>
          <w:szCs w:val="22"/>
        </w:rPr>
        <w:t xml:space="preserve">  </w:t>
      </w:r>
      <w:r w:rsidR="00943724" w:rsidRPr="00943724">
        <w:rPr>
          <w:rFonts w:asciiTheme="minorHAnsi" w:hAnsiTheme="minorHAnsi" w:cstheme="minorHAnsi"/>
          <w:i w:val="0"/>
          <w:color w:val="auto"/>
          <w:szCs w:val="22"/>
        </w:rPr>
        <w:t>SCE17OE001.0 - Savings Calcs.xlsx</w:t>
      </w:r>
    </w:p>
    <w:p w14:paraId="6A5747C6" w14:textId="3F441926" w:rsidR="00532CFD" w:rsidRPr="00532CFD" w:rsidRDefault="00CC6E1F" w:rsidP="00943724">
      <w:pPr>
        <w:pStyle w:val="Reminders"/>
        <w:numPr>
          <w:ilvl w:val="0"/>
          <w:numId w:val="45"/>
        </w:numPr>
        <w:rPr>
          <w:rFonts w:asciiTheme="minorHAnsi" w:hAnsiTheme="minorHAnsi" w:cstheme="minorHAnsi"/>
          <w:i w:val="0"/>
          <w:color w:val="auto"/>
          <w:szCs w:val="22"/>
        </w:rPr>
      </w:pPr>
      <w:r>
        <w:rPr>
          <w:rFonts w:asciiTheme="minorHAnsi" w:hAnsiTheme="minorHAnsi" w:cstheme="minorHAnsi"/>
          <w:i w:val="0"/>
          <w:color w:val="auto"/>
          <w:szCs w:val="22"/>
        </w:rPr>
        <w:t>A</w:t>
      </w:r>
      <w:r w:rsidR="00943724" w:rsidRPr="00943724">
        <w:rPr>
          <w:rFonts w:asciiTheme="minorHAnsi" w:hAnsiTheme="minorHAnsi" w:cstheme="minorHAnsi"/>
          <w:i w:val="0"/>
          <w:color w:val="auto"/>
          <w:szCs w:val="22"/>
        </w:rPr>
        <w:t>3</w:t>
      </w:r>
      <w:r w:rsidR="00943724">
        <w:rPr>
          <w:rFonts w:asciiTheme="minorHAnsi" w:hAnsiTheme="minorHAnsi" w:cstheme="minorHAnsi"/>
          <w:i w:val="0"/>
          <w:color w:val="auto"/>
          <w:szCs w:val="22"/>
        </w:rPr>
        <w:t xml:space="preserve"> </w:t>
      </w:r>
      <w:r w:rsidR="00943724" w:rsidRPr="00943724">
        <w:rPr>
          <w:rFonts w:asciiTheme="minorHAnsi" w:hAnsiTheme="minorHAnsi" w:cstheme="minorHAnsi"/>
          <w:i w:val="0"/>
          <w:color w:val="auto"/>
          <w:szCs w:val="22"/>
        </w:rPr>
        <w:t xml:space="preserve"> SCE17OE001.0 - Summary of Studies.pdf</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bookmarkStart w:id="22" w:name="_GoBack"/>
      <w:bookmarkEnd w:id="22"/>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433B3A94" w14:textId="1E2F6986" w:rsidR="00CE5B0B" w:rsidRDefault="00CE5B0B">
      <w:pPr>
        <w:rPr>
          <w:rFonts w:cstheme="minorHAnsi"/>
          <w:color w:val="FF0000"/>
        </w:rPr>
      </w:pPr>
    </w:p>
    <w:p w14:paraId="1C2B5116" w14:textId="1BF00E0D" w:rsidR="00532CFD" w:rsidRDefault="00C3574C">
      <w:pPr>
        <w:rPr>
          <w:rFonts w:cstheme="minorHAnsi"/>
          <w:color w:val="FF0000"/>
        </w:rPr>
      </w:pPr>
      <w:r>
        <w:rPr>
          <w:rFonts w:cstheme="minorHAnsi"/>
          <w:color w:val="FF0000"/>
        </w:rPr>
        <w:object w:dxaOrig="1539" w:dyaOrig="995" w14:anchorId="0C8E5C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13" o:title=""/>
          </v:shape>
          <o:OLEObject Type="Embed" ProgID="Excel.Sheet.12" ShapeID="_x0000_i1025" DrawAspect="Icon" ObjectID="_1550294015" r:id="rId14"/>
        </w:object>
      </w:r>
    </w:p>
    <w:p w14:paraId="44D26739" w14:textId="77777777" w:rsidR="00532CFD" w:rsidRDefault="00532CFD">
      <w:pPr>
        <w:rPr>
          <w:rFonts w:cstheme="minorHAnsi"/>
          <w:color w:val="FF0000"/>
        </w:rPr>
      </w:pPr>
    </w:p>
    <w:p w14:paraId="3DCC344C" w14:textId="4D9FD55B" w:rsidR="00CE5B0B" w:rsidRPr="00532CFD" w:rsidRDefault="00CE5B0B">
      <w:pPr>
        <w:rPr>
          <w:rFonts w:ascii="Calibri" w:hAnsi="Calibri" w:cs="Calibri"/>
          <w:noProof/>
          <w:sz w:val="20"/>
        </w:rPr>
      </w:pPr>
      <w:r w:rsidRPr="00532CFD">
        <w:rPr>
          <w:rFonts w:cstheme="minorHAnsi"/>
          <w:sz w:val="20"/>
        </w:rPr>
        <w:t>[A]</w:t>
      </w:r>
      <w:r w:rsidRPr="00532CFD">
        <w:rPr>
          <w:rFonts w:ascii="Calibri" w:hAnsi="Calibri" w:cs="Calibri"/>
          <w:noProof/>
          <w:sz w:val="20"/>
        </w:rPr>
        <w:t xml:space="preserve"> Quantec 2005, page VI-3</w:t>
      </w:r>
    </w:p>
    <w:p w14:paraId="07C8DF36" w14:textId="2A0A2B33" w:rsidR="00CE5B0B" w:rsidRPr="00532CFD" w:rsidRDefault="00CE5B0B">
      <w:pPr>
        <w:rPr>
          <w:rFonts w:ascii="Calibri" w:hAnsi="Calibri" w:cs="Calibri"/>
          <w:sz w:val="20"/>
        </w:rPr>
      </w:pPr>
      <w:r w:rsidRPr="00532CFD">
        <w:rPr>
          <w:rFonts w:ascii="Calibri" w:hAnsi="Calibri" w:cs="Calibri"/>
          <w:noProof/>
          <w:sz w:val="20"/>
        </w:rPr>
        <w:t>[B]</w:t>
      </w:r>
      <w:r w:rsidRPr="00532CFD">
        <w:rPr>
          <w:rFonts w:ascii="Calibri" w:hAnsi="Calibri" w:cs="Calibri"/>
          <w:sz w:val="20"/>
        </w:rPr>
        <w:t xml:space="preserve"> LBNL-1096E, Note C2, page 10.</w:t>
      </w:r>
    </w:p>
    <w:p w14:paraId="4C308FA5" w14:textId="67E7B707" w:rsidR="00CE5B0B" w:rsidRPr="00532CFD" w:rsidRDefault="00CE5B0B">
      <w:pPr>
        <w:rPr>
          <w:rFonts w:ascii="Calibri" w:hAnsi="Calibri" w:cs="Calibri"/>
          <w:noProof/>
          <w:sz w:val="20"/>
        </w:rPr>
      </w:pPr>
      <w:r w:rsidRPr="00532CFD">
        <w:rPr>
          <w:rFonts w:ascii="Calibri" w:hAnsi="Calibri" w:cs="Calibri"/>
          <w:sz w:val="20"/>
        </w:rPr>
        <w:t>[C]</w:t>
      </w:r>
      <w:r w:rsidRPr="00532CFD">
        <w:rPr>
          <w:rFonts w:ascii="Calibri" w:hAnsi="Calibri" w:cs="Calibri"/>
          <w:noProof/>
          <w:sz w:val="20"/>
        </w:rPr>
        <w:t xml:space="preserve"> Ernest Orlando Lawrence Berkeley National Laboratory, “Efficiency Improvements in U.S. Office Equipment: Expected Policy Impacts and Uncertainties,” LBNL-37383, J.G. Koomey, M. Cramer, M.A. Piette, and J.H. Eto, 1995.</w:t>
      </w:r>
    </w:p>
    <w:p w14:paraId="4BD6E4C3" w14:textId="665E684D" w:rsidR="00CE5B0B" w:rsidRPr="00532CFD" w:rsidRDefault="00CE5B0B" w:rsidP="003F78FA">
      <w:pPr>
        <w:pStyle w:val="Caption"/>
        <w:rPr>
          <w:rFonts w:ascii="Calibri" w:hAnsi="Calibri" w:cs="Calibri"/>
          <w:noProof/>
          <w:sz w:val="20"/>
          <w:szCs w:val="24"/>
        </w:rPr>
      </w:pPr>
      <w:r w:rsidRPr="00532CFD">
        <w:rPr>
          <w:rFonts w:ascii="Calibri" w:hAnsi="Calibri" w:cs="Calibri"/>
          <w:b w:val="0"/>
          <w:noProof/>
          <w:sz w:val="20"/>
        </w:rPr>
        <w:t>[D]</w:t>
      </w:r>
      <w:r w:rsidR="003F78FA" w:rsidRPr="00532CFD">
        <w:rPr>
          <w:rFonts w:ascii="Calibri" w:hAnsi="Calibri" w:cs="Calibri"/>
          <w:b w:val="0"/>
          <w:bCs w:val="0"/>
          <w:noProof/>
          <w:sz w:val="20"/>
        </w:rPr>
        <w:t xml:space="preserve"> </w:t>
      </w:r>
      <w:r w:rsidR="003F78FA" w:rsidRPr="00532CFD">
        <w:rPr>
          <w:rFonts w:ascii="Calibri" w:hAnsi="Calibri" w:cs="Calibri"/>
          <w:b w:val="0"/>
          <w:bCs w:val="0"/>
          <w:noProof/>
          <w:sz w:val="20"/>
          <w:szCs w:val="24"/>
        </w:rPr>
        <w:t>Ernest Orlando Lawrence Berkeley National Laboratory, “Electricity Used by Office Equipment and Network Equipment in the U.S.: Detailed Report and Appendices,” LBNL-45917, Kaoru Kawamoto, Jonathan G. Koomey, Bruce Nordman, Richard E. Brown, Mary Ann Piette, Michael Ting, and Alan K. Meier, February 2001, page 15.</w:t>
      </w:r>
    </w:p>
    <w:p w14:paraId="1DA60E61" w14:textId="4E715758" w:rsidR="003F78FA" w:rsidRPr="00532CFD" w:rsidRDefault="003F78FA">
      <w:pPr>
        <w:rPr>
          <w:rFonts w:ascii="Calibri" w:hAnsi="Calibri" w:cs="Calibri"/>
          <w:noProof/>
          <w:sz w:val="20"/>
        </w:rPr>
      </w:pPr>
      <w:r w:rsidRPr="00532CFD">
        <w:rPr>
          <w:rFonts w:ascii="Calibri" w:hAnsi="Calibri" w:cs="Calibri"/>
          <w:noProof/>
          <w:sz w:val="20"/>
        </w:rPr>
        <w:t>[</w:t>
      </w:r>
      <w:r w:rsidR="002B6D47">
        <w:rPr>
          <w:rFonts w:ascii="Calibri" w:hAnsi="Calibri" w:cs="Calibri"/>
          <w:noProof/>
          <w:sz w:val="20"/>
        </w:rPr>
        <w:t>E</w:t>
      </w:r>
      <w:r w:rsidRPr="00532CFD">
        <w:rPr>
          <w:rFonts w:ascii="Calibri" w:hAnsi="Calibri" w:cs="Calibri"/>
          <w:noProof/>
          <w:sz w:val="20"/>
        </w:rPr>
        <w:t>] Quantec 2005, page VI-3</w:t>
      </w:r>
    </w:p>
    <w:p w14:paraId="7957E166" w14:textId="6D309EF6" w:rsidR="003F78FA" w:rsidRPr="00532CFD" w:rsidRDefault="002B6D47" w:rsidP="003F78FA">
      <w:pPr>
        <w:pStyle w:val="EndnoteText"/>
        <w:keepNext/>
        <w:rPr>
          <w:rFonts w:ascii="Calibri" w:hAnsi="Calibri" w:cs="Calibri"/>
          <w:noProof/>
          <w:szCs w:val="24"/>
        </w:rPr>
      </w:pPr>
      <w:r>
        <w:rPr>
          <w:rFonts w:ascii="Calibri" w:hAnsi="Calibri" w:cs="Calibri"/>
          <w:noProof/>
          <w:sz w:val="18"/>
        </w:rPr>
        <w:t>[F]</w:t>
      </w:r>
      <w:r w:rsidR="003F78FA" w:rsidRPr="00532CFD">
        <w:rPr>
          <w:rFonts w:ascii="Calibri" w:hAnsi="Calibri" w:cs="Calibri"/>
          <w:noProof/>
          <w:sz w:val="18"/>
        </w:rPr>
        <w:t xml:space="preserve"> </w:t>
      </w:r>
      <w:r w:rsidR="003F78FA" w:rsidRPr="00532CFD">
        <w:rPr>
          <w:rFonts w:ascii="Calibri" w:hAnsi="Calibri" w:cs="Calibri"/>
          <w:noProof/>
          <w:szCs w:val="24"/>
        </w:rPr>
        <w:t>LBNL-1096E, page 4-83</w:t>
      </w:r>
    </w:p>
    <w:p w14:paraId="01CDD4F6" w14:textId="7D4F34F4" w:rsidR="003F78FA" w:rsidRPr="00532CFD" w:rsidRDefault="002B6D47">
      <w:pPr>
        <w:rPr>
          <w:rFonts w:ascii="Calibri" w:hAnsi="Calibri" w:cs="Calibri"/>
          <w:noProof/>
          <w:sz w:val="20"/>
        </w:rPr>
      </w:pPr>
      <w:r>
        <w:rPr>
          <w:rFonts w:ascii="Calibri" w:hAnsi="Calibri" w:cs="Calibri"/>
          <w:noProof/>
          <w:sz w:val="20"/>
        </w:rPr>
        <w:t>[G]</w:t>
      </w:r>
      <w:r w:rsidR="003F78FA" w:rsidRPr="00532CFD">
        <w:rPr>
          <w:rFonts w:ascii="Calibri" w:hAnsi="Calibri" w:cs="Calibri"/>
          <w:noProof/>
          <w:sz w:val="20"/>
        </w:rPr>
        <w:t xml:space="preserve"> Quantec 2005, page VI-1 and VI-2</w:t>
      </w:r>
    </w:p>
    <w:p w14:paraId="00CD5501" w14:textId="62AF82ED" w:rsidR="003F78FA" w:rsidRPr="00532CFD" w:rsidRDefault="002B6D47">
      <w:pPr>
        <w:rPr>
          <w:rFonts w:ascii="Calibri" w:hAnsi="Calibri" w:cs="Calibri"/>
          <w:noProof/>
          <w:sz w:val="20"/>
        </w:rPr>
      </w:pPr>
      <w:r>
        <w:rPr>
          <w:rFonts w:ascii="Calibri" w:hAnsi="Calibri" w:cs="Calibri"/>
          <w:noProof/>
          <w:sz w:val="20"/>
        </w:rPr>
        <w:t>[H]</w:t>
      </w:r>
      <w:r w:rsidR="003F78FA" w:rsidRPr="00532CFD">
        <w:rPr>
          <w:rFonts w:ascii="Calibri" w:hAnsi="Calibri" w:cs="Calibri"/>
          <w:noProof/>
          <w:sz w:val="20"/>
        </w:rPr>
        <w:t xml:space="preserve"> Roth et al., December 2004, pages 4-83</w:t>
      </w:r>
    </w:p>
    <w:p w14:paraId="4D5316DB" w14:textId="023EBBE8" w:rsidR="0071676F" w:rsidRPr="00532CFD" w:rsidRDefault="002B6D47">
      <w:pPr>
        <w:rPr>
          <w:sz w:val="20"/>
        </w:rPr>
      </w:pPr>
      <w:r>
        <w:rPr>
          <w:rFonts w:ascii="Calibri" w:hAnsi="Calibri" w:cs="Calibri"/>
          <w:noProof/>
          <w:sz w:val="20"/>
        </w:rPr>
        <w:t>[I]</w:t>
      </w:r>
      <w:r w:rsidR="0071676F" w:rsidRPr="00532CFD">
        <w:rPr>
          <w:rFonts w:cs="Calibri"/>
          <w:noProof/>
          <w:sz w:val="20"/>
          <w:szCs w:val="22"/>
        </w:rPr>
        <w:t xml:space="preserve"> Barr, M., C. Harty, and J. Nero. Thin Client Investigation including PC and Imaging State Data. Draft submitted to PG&amp;E Emerging Technologies Program. June 2010. </w:t>
      </w:r>
      <w:hyperlink r:id="rId15" w:history="1">
        <w:r w:rsidR="0071676F" w:rsidRPr="00532CFD">
          <w:rPr>
            <w:rStyle w:val="Hyperlink"/>
            <w:noProof/>
            <w:color w:val="auto"/>
            <w:sz w:val="20"/>
            <w:szCs w:val="22"/>
          </w:rPr>
          <w:t>http://www.etcc-ca.com/component/content/article/48-Commercial/2977-thin-client-investigation-including-pc-and-imaging-state-data</w:t>
        </w:r>
      </w:hyperlink>
    </w:p>
    <w:p w14:paraId="5CCA18D8" w14:textId="3BBB65C9" w:rsidR="0071676F" w:rsidRPr="00532CFD" w:rsidRDefault="002B6D47">
      <w:pPr>
        <w:rPr>
          <w:rFonts w:ascii="Calibri" w:hAnsi="Calibri" w:cs="Calibri"/>
          <w:noProof/>
          <w:sz w:val="20"/>
        </w:rPr>
      </w:pPr>
      <w:r>
        <w:rPr>
          <w:sz w:val="20"/>
        </w:rPr>
        <w:t>[J]</w:t>
      </w:r>
      <w:r w:rsidR="00532CFD" w:rsidRPr="00532CFD">
        <w:rPr>
          <w:rFonts w:ascii="Calibri" w:hAnsi="Calibri" w:cs="Calibri"/>
          <w:noProof/>
          <w:sz w:val="20"/>
        </w:rPr>
        <w:t xml:space="preserve"> THE 451 GROUP: ECO-EFFICIENT IT. 2010 THE 451 GROUP, LLC, TIER1 RESEARCH, LLC, AND/OR ITS AFFILIATES</w:t>
      </w:r>
    </w:p>
    <w:p w14:paraId="4170433A" w14:textId="1F3C93D6" w:rsidR="00532CFD" w:rsidRPr="00532CFD" w:rsidRDefault="002B6D47">
      <w:pPr>
        <w:rPr>
          <w:rFonts w:ascii="Calibri" w:hAnsi="Calibri" w:cs="Calibri"/>
          <w:noProof/>
          <w:sz w:val="20"/>
        </w:rPr>
      </w:pPr>
      <w:r>
        <w:rPr>
          <w:rFonts w:ascii="Calibri" w:hAnsi="Calibri" w:cs="Calibri"/>
          <w:noProof/>
          <w:sz w:val="20"/>
        </w:rPr>
        <w:t>[K]</w:t>
      </w:r>
      <w:r w:rsidR="00532CFD" w:rsidRPr="00532CFD">
        <w:rPr>
          <w:rFonts w:ascii="Calibri" w:hAnsi="Calibri" w:cs="Calibri"/>
          <w:noProof/>
          <w:sz w:val="20"/>
        </w:rPr>
        <w:t xml:space="preserve"> LBNL-1096E, Note C2, page 10.</w:t>
      </w:r>
    </w:p>
    <w:p w14:paraId="710B5B74" w14:textId="72002B9E" w:rsidR="00532CFD" w:rsidRPr="00532CFD" w:rsidRDefault="002B6D47">
      <w:pPr>
        <w:rPr>
          <w:rFonts w:ascii="Calibri" w:hAnsi="Calibri" w:cs="Calibri"/>
          <w:noProof/>
          <w:sz w:val="20"/>
        </w:rPr>
      </w:pPr>
      <w:r>
        <w:rPr>
          <w:sz w:val="20"/>
        </w:rPr>
        <w:t>[L]</w:t>
      </w:r>
      <w:r w:rsidR="00532CFD" w:rsidRPr="00532CFD">
        <w:rPr>
          <w:rFonts w:ascii="Calibri" w:hAnsi="Calibri" w:cs="Calibri"/>
          <w:noProof/>
          <w:sz w:val="20"/>
        </w:rPr>
        <w:t xml:space="preserve"> Quantec 2003, page VI-1</w:t>
      </w:r>
    </w:p>
    <w:p w14:paraId="369A4C08" w14:textId="0B96330E" w:rsidR="00532CFD" w:rsidRPr="00532CFD" w:rsidRDefault="002B6D47">
      <w:pPr>
        <w:rPr>
          <w:color w:val="FF0000"/>
          <w:sz w:val="20"/>
        </w:rPr>
      </w:pPr>
      <w:r>
        <w:rPr>
          <w:sz w:val="20"/>
        </w:rPr>
        <w:t>[M]</w:t>
      </w:r>
      <w:r w:rsidR="00532CFD" w:rsidRPr="00532CFD">
        <w:rPr>
          <w:rFonts w:ascii="Calibri" w:hAnsi="Calibri" w:cs="Calibri"/>
          <w:noProof/>
          <w:sz w:val="20"/>
        </w:rPr>
        <w:t xml:space="preserve"> Quantec 2005, page V-13</w:t>
      </w:r>
    </w:p>
    <w:sectPr w:rsidR="00532CFD" w:rsidRPr="00532CFD"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E39EF" w14:textId="77777777" w:rsidR="00992D20" w:rsidRDefault="00992D20" w:rsidP="00447D6E">
      <w:r>
        <w:separator/>
      </w:r>
    </w:p>
    <w:p w14:paraId="63A16342" w14:textId="77777777" w:rsidR="00992D20" w:rsidRDefault="00992D20"/>
  </w:endnote>
  <w:endnote w:type="continuationSeparator" w:id="0">
    <w:p w14:paraId="1233061B" w14:textId="77777777" w:rsidR="00992D20" w:rsidRDefault="00992D20" w:rsidP="00447D6E">
      <w:r>
        <w:continuationSeparator/>
      </w:r>
    </w:p>
    <w:p w14:paraId="4A7DF3A7" w14:textId="77777777" w:rsidR="00992D20" w:rsidRDefault="00992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32ABA4DB" w:rsidR="00992D20" w:rsidRDefault="00D2453D"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2-27T00:00:00Z">
          <w:dateFormat w:val="MMMM d, yyyy"/>
          <w:lid w:val="en-US"/>
          <w:storeMappedDataAs w:val="dateTime"/>
          <w:calendar w:val="gregorian"/>
        </w:date>
      </w:sdtPr>
      <w:sdtEndPr/>
      <w:sdtContent>
        <w:r w:rsidR="00992D20">
          <w:rPr>
            <w:rFonts w:cstheme="minorHAnsi"/>
            <w:b/>
            <w:sz w:val="36"/>
            <w:szCs w:val="36"/>
          </w:rPr>
          <w:t>December 27, 2016</w:t>
        </w:r>
      </w:sdtContent>
    </w:sdt>
  </w:p>
  <w:p w14:paraId="650DB54B" w14:textId="670C7D5C" w:rsidR="00992D20" w:rsidRPr="009500DC" w:rsidRDefault="00992D20"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5D38F1FD" w:rsidR="00992D20" w:rsidRPr="009500DC" w:rsidRDefault="00D2453D" w:rsidP="009E341F">
    <w:pPr>
      <w:pStyle w:val="Footer"/>
      <w:pBdr>
        <w:top w:val="single" w:sz="4" w:space="0"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92D20">
          <w:rPr>
            <w:rFonts w:cstheme="minorHAnsi"/>
            <w:b/>
            <w:sz w:val="20"/>
            <w:szCs w:val="20"/>
          </w:rPr>
          <w:t>SCE17OE001</w:t>
        </w:r>
      </w:sdtContent>
    </w:sdt>
    <w:r w:rsidR="00992D20">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92D20">
          <w:rPr>
            <w:rFonts w:cstheme="minorHAnsi"/>
            <w:b/>
            <w:sz w:val="20"/>
            <w:szCs w:val="20"/>
          </w:rPr>
          <w:t>Revision 0</w:t>
        </w:r>
      </w:sdtContent>
    </w:sdt>
    <w:r w:rsidR="00992D20" w:rsidRPr="009500DC">
      <w:rPr>
        <w:rFonts w:cstheme="minorHAnsi"/>
        <w:b/>
        <w:sz w:val="20"/>
        <w:szCs w:val="20"/>
      </w:rPr>
      <w:tab/>
    </w:r>
    <w:r w:rsidR="00992D20" w:rsidRPr="009500DC">
      <w:rPr>
        <w:rFonts w:cstheme="minorHAnsi"/>
        <w:b/>
        <w:sz w:val="20"/>
        <w:szCs w:val="20"/>
      </w:rPr>
      <w:fldChar w:fldCharType="begin"/>
    </w:r>
    <w:r w:rsidR="00992D20" w:rsidRPr="009500DC">
      <w:rPr>
        <w:rFonts w:cstheme="minorHAnsi"/>
        <w:b/>
        <w:sz w:val="20"/>
        <w:szCs w:val="20"/>
      </w:rPr>
      <w:instrText xml:space="preserve"> PAGE   \* MERGEFORMAT </w:instrText>
    </w:r>
    <w:r w:rsidR="00992D20" w:rsidRPr="009500DC">
      <w:rPr>
        <w:rFonts w:cstheme="minorHAnsi"/>
        <w:b/>
        <w:sz w:val="20"/>
        <w:szCs w:val="20"/>
      </w:rPr>
      <w:fldChar w:fldCharType="separate"/>
    </w:r>
    <w:r>
      <w:rPr>
        <w:rFonts w:cstheme="minorHAnsi"/>
        <w:b/>
        <w:noProof/>
        <w:sz w:val="20"/>
        <w:szCs w:val="20"/>
      </w:rPr>
      <w:t>14</w:t>
    </w:r>
    <w:r w:rsidR="00992D20" w:rsidRPr="009500DC">
      <w:rPr>
        <w:rFonts w:cstheme="minorHAnsi"/>
        <w:b/>
        <w:noProof/>
        <w:sz w:val="20"/>
        <w:szCs w:val="20"/>
      </w:rPr>
      <w:fldChar w:fldCharType="end"/>
    </w:r>
    <w:r w:rsidR="00992D2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2-27T00:00:00Z">
          <w:dateFormat w:val="MMMM d, yyyy"/>
          <w:lid w:val="en-US"/>
          <w:storeMappedDataAs w:val="dateTime"/>
          <w:calendar w:val="gregorian"/>
        </w:date>
      </w:sdtPr>
      <w:sdtEndPr/>
      <w:sdtContent>
        <w:r w:rsidR="00992D20">
          <w:rPr>
            <w:rFonts w:cstheme="minorHAnsi"/>
            <w:b/>
            <w:sz w:val="20"/>
            <w:szCs w:val="20"/>
          </w:rPr>
          <w:t>December 27, 2016</w:t>
        </w:r>
      </w:sdtContent>
    </w:sdt>
  </w:p>
  <w:p w14:paraId="43C07EA5" w14:textId="544E4323" w:rsidR="00992D20" w:rsidRPr="009500DC" w:rsidRDefault="00D2453D" w:rsidP="009E341F">
    <w:pPr>
      <w:pStyle w:val="Footer"/>
      <w:pBdr>
        <w:top w:val="single" w:sz="4" w:space="0"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92D20">
          <w:rPr>
            <w:rFonts w:cstheme="minorHAnsi"/>
            <w:b/>
            <w:sz w:val="20"/>
            <w:szCs w:val="20"/>
          </w:rPr>
          <w:t>Southern California Edison</w:t>
        </w:r>
      </w:sdtContent>
    </w:sdt>
  </w:p>
  <w:p w14:paraId="4AC7586E" w14:textId="77777777" w:rsidR="00992D20" w:rsidRDefault="00992D20"/>
  <w:p w14:paraId="5C9861A8" w14:textId="77777777" w:rsidR="00992D20" w:rsidRDefault="00992D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F864E" w14:textId="77777777" w:rsidR="00992D20" w:rsidRDefault="00992D20" w:rsidP="00447D6E">
      <w:r>
        <w:separator/>
      </w:r>
    </w:p>
    <w:p w14:paraId="6FD014E2" w14:textId="77777777" w:rsidR="00992D20" w:rsidRDefault="00992D20"/>
  </w:footnote>
  <w:footnote w:type="continuationSeparator" w:id="0">
    <w:p w14:paraId="40D00EC7" w14:textId="77777777" w:rsidR="00992D20" w:rsidRDefault="00992D20" w:rsidP="00447D6E">
      <w:r>
        <w:continuationSeparator/>
      </w:r>
    </w:p>
    <w:p w14:paraId="08D3CCDA" w14:textId="77777777" w:rsidR="00992D20" w:rsidRDefault="00992D2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1C6166A"/>
    <w:multiLevelType w:val="hybridMultilevel"/>
    <w:tmpl w:val="3A84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4F125E"/>
    <w:multiLevelType w:val="hybridMultilevel"/>
    <w:tmpl w:val="EBE67164"/>
    <w:lvl w:ilvl="0" w:tplc="04090001">
      <w:start w:val="1"/>
      <w:numFmt w:val="bullet"/>
      <w:lvlText w:val=""/>
      <w:lvlJc w:val="left"/>
      <w:pPr>
        <w:tabs>
          <w:tab w:val="num" w:pos="504"/>
        </w:tabs>
        <w:ind w:left="288" w:hanging="72"/>
      </w:pPr>
      <w:rPr>
        <w:rFonts w:ascii="Symbol" w:hAnsi="Symbol" w:hint="default"/>
      </w:rPr>
    </w:lvl>
    <w:lvl w:ilvl="1" w:tplc="9F7E387A">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19F741ED"/>
    <w:multiLevelType w:val="hybridMultilevel"/>
    <w:tmpl w:val="D46CD970"/>
    <w:lvl w:ilvl="0" w:tplc="209EA520">
      <w:start w:val="1"/>
      <w:numFmt w:val="bullet"/>
      <w:lvlText w:val=""/>
      <w:lvlJc w:val="left"/>
      <w:pPr>
        <w:tabs>
          <w:tab w:val="num" w:pos="936"/>
        </w:tabs>
        <w:ind w:left="936"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D2F12E6"/>
    <w:multiLevelType w:val="hybridMultilevel"/>
    <w:tmpl w:val="4C9EAEB8"/>
    <w:lvl w:ilvl="0" w:tplc="0409000F">
      <w:start w:val="1"/>
      <w:numFmt w:val="decimal"/>
      <w:lvlText w:val="%1."/>
      <w:lvlJc w:val="left"/>
      <w:pPr>
        <w:tabs>
          <w:tab w:val="num" w:pos="360"/>
        </w:tabs>
        <w:ind w:left="360" w:hanging="360"/>
      </w:pPr>
    </w:lvl>
    <w:lvl w:ilvl="1" w:tplc="04090003">
      <w:start w:val="1"/>
      <w:numFmt w:val="bullet"/>
      <w:lvlText w:val="o"/>
      <w:lvlJc w:val="left"/>
      <w:pPr>
        <w:tabs>
          <w:tab w:val="num" w:pos="1224"/>
        </w:tabs>
        <w:ind w:left="1224" w:hanging="360"/>
      </w:pPr>
      <w:rPr>
        <w:rFonts w:ascii="Courier New" w:hAnsi="Courier New" w:cs="Times New Roman"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2664"/>
        </w:tabs>
        <w:ind w:left="2664" w:hanging="360"/>
      </w:pPr>
      <w:rPr>
        <w:rFonts w:ascii="Symbol" w:hAnsi="Symbol" w:hint="default"/>
      </w:rPr>
    </w:lvl>
    <w:lvl w:ilvl="4" w:tplc="04090003">
      <w:start w:val="1"/>
      <w:numFmt w:val="bullet"/>
      <w:lvlText w:val="o"/>
      <w:lvlJc w:val="left"/>
      <w:pPr>
        <w:tabs>
          <w:tab w:val="num" w:pos="3384"/>
        </w:tabs>
        <w:ind w:left="3384" w:hanging="360"/>
      </w:pPr>
      <w:rPr>
        <w:rFonts w:ascii="Courier New" w:hAnsi="Courier New" w:cs="Times New Roman" w:hint="default"/>
      </w:rPr>
    </w:lvl>
    <w:lvl w:ilvl="5" w:tplc="04090005">
      <w:start w:val="1"/>
      <w:numFmt w:val="bullet"/>
      <w:lvlText w:val=""/>
      <w:lvlJc w:val="left"/>
      <w:pPr>
        <w:tabs>
          <w:tab w:val="num" w:pos="4104"/>
        </w:tabs>
        <w:ind w:left="4104" w:hanging="360"/>
      </w:pPr>
      <w:rPr>
        <w:rFonts w:ascii="Wingdings" w:hAnsi="Wingdings" w:hint="default"/>
      </w:rPr>
    </w:lvl>
    <w:lvl w:ilvl="6" w:tplc="04090001">
      <w:start w:val="1"/>
      <w:numFmt w:val="bullet"/>
      <w:lvlText w:val=""/>
      <w:lvlJc w:val="left"/>
      <w:pPr>
        <w:tabs>
          <w:tab w:val="num" w:pos="4824"/>
        </w:tabs>
        <w:ind w:left="4824" w:hanging="360"/>
      </w:pPr>
      <w:rPr>
        <w:rFonts w:ascii="Symbol" w:hAnsi="Symbol" w:hint="default"/>
      </w:rPr>
    </w:lvl>
    <w:lvl w:ilvl="7" w:tplc="04090003">
      <w:start w:val="1"/>
      <w:numFmt w:val="bullet"/>
      <w:lvlText w:val="o"/>
      <w:lvlJc w:val="left"/>
      <w:pPr>
        <w:tabs>
          <w:tab w:val="num" w:pos="5544"/>
        </w:tabs>
        <w:ind w:left="5544" w:hanging="360"/>
      </w:pPr>
      <w:rPr>
        <w:rFonts w:ascii="Courier New" w:hAnsi="Courier New" w:cs="Times New Roman" w:hint="default"/>
      </w:rPr>
    </w:lvl>
    <w:lvl w:ilvl="8" w:tplc="04090005">
      <w:start w:val="1"/>
      <w:numFmt w:val="bullet"/>
      <w:lvlText w:val=""/>
      <w:lvlJc w:val="left"/>
      <w:pPr>
        <w:tabs>
          <w:tab w:val="num" w:pos="6264"/>
        </w:tabs>
        <w:ind w:left="6264" w:hanging="360"/>
      </w:pPr>
      <w:rPr>
        <w:rFonts w:ascii="Wingdings" w:hAnsi="Wingdings" w:hint="default"/>
      </w:rPr>
    </w:lvl>
  </w:abstractNum>
  <w:abstractNum w:abstractNumId="2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nsid w:val="304A4342"/>
    <w:multiLevelType w:val="hybridMultilevel"/>
    <w:tmpl w:val="4C9EAEB8"/>
    <w:lvl w:ilvl="0" w:tplc="0409000F">
      <w:start w:val="1"/>
      <w:numFmt w:val="decimal"/>
      <w:lvlText w:val="%1."/>
      <w:lvlJc w:val="left"/>
      <w:pPr>
        <w:tabs>
          <w:tab w:val="num" w:pos="360"/>
        </w:tabs>
        <w:ind w:left="360" w:hanging="360"/>
      </w:pPr>
    </w:lvl>
    <w:lvl w:ilvl="1" w:tplc="04090003">
      <w:start w:val="1"/>
      <w:numFmt w:val="bullet"/>
      <w:lvlText w:val="o"/>
      <w:lvlJc w:val="left"/>
      <w:pPr>
        <w:tabs>
          <w:tab w:val="num" w:pos="1224"/>
        </w:tabs>
        <w:ind w:left="1224" w:hanging="360"/>
      </w:pPr>
      <w:rPr>
        <w:rFonts w:ascii="Courier New" w:hAnsi="Courier New" w:cs="Times New Roman" w:hint="default"/>
      </w:rPr>
    </w:lvl>
    <w:lvl w:ilvl="2" w:tplc="04090005">
      <w:start w:val="1"/>
      <w:numFmt w:val="bullet"/>
      <w:lvlText w:val=""/>
      <w:lvlJc w:val="left"/>
      <w:pPr>
        <w:tabs>
          <w:tab w:val="num" w:pos="1944"/>
        </w:tabs>
        <w:ind w:left="1944" w:hanging="360"/>
      </w:pPr>
      <w:rPr>
        <w:rFonts w:ascii="Wingdings" w:hAnsi="Wingdings" w:hint="default"/>
      </w:rPr>
    </w:lvl>
    <w:lvl w:ilvl="3" w:tplc="04090001">
      <w:start w:val="1"/>
      <w:numFmt w:val="bullet"/>
      <w:lvlText w:val=""/>
      <w:lvlJc w:val="left"/>
      <w:pPr>
        <w:tabs>
          <w:tab w:val="num" w:pos="2664"/>
        </w:tabs>
        <w:ind w:left="2664" w:hanging="360"/>
      </w:pPr>
      <w:rPr>
        <w:rFonts w:ascii="Symbol" w:hAnsi="Symbol" w:hint="default"/>
      </w:rPr>
    </w:lvl>
    <w:lvl w:ilvl="4" w:tplc="04090003">
      <w:start w:val="1"/>
      <w:numFmt w:val="bullet"/>
      <w:lvlText w:val="o"/>
      <w:lvlJc w:val="left"/>
      <w:pPr>
        <w:tabs>
          <w:tab w:val="num" w:pos="3384"/>
        </w:tabs>
        <w:ind w:left="3384" w:hanging="360"/>
      </w:pPr>
      <w:rPr>
        <w:rFonts w:ascii="Courier New" w:hAnsi="Courier New" w:cs="Times New Roman" w:hint="default"/>
      </w:rPr>
    </w:lvl>
    <w:lvl w:ilvl="5" w:tplc="04090005">
      <w:start w:val="1"/>
      <w:numFmt w:val="bullet"/>
      <w:lvlText w:val=""/>
      <w:lvlJc w:val="left"/>
      <w:pPr>
        <w:tabs>
          <w:tab w:val="num" w:pos="4104"/>
        </w:tabs>
        <w:ind w:left="4104" w:hanging="360"/>
      </w:pPr>
      <w:rPr>
        <w:rFonts w:ascii="Wingdings" w:hAnsi="Wingdings" w:hint="default"/>
      </w:rPr>
    </w:lvl>
    <w:lvl w:ilvl="6" w:tplc="04090001">
      <w:start w:val="1"/>
      <w:numFmt w:val="bullet"/>
      <w:lvlText w:val=""/>
      <w:lvlJc w:val="left"/>
      <w:pPr>
        <w:tabs>
          <w:tab w:val="num" w:pos="4824"/>
        </w:tabs>
        <w:ind w:left="4824" w:hanging="360"/>
      </w:pPr>
      <w:rPr>
        <w:rFonts w:ascii="Symbol" w:hAnsi="Symbol" w:hint="default"/>
      </w:rPr>
    </w:lvl>
    <w:lvl w:ilvl="7" w:tplc="04090003">
      <w:start w:val="1"/>
      <w:numFmt w:val="bullet"/>
      <w:lvlText w:val="o"/>
      <w:lvlJc w:val="left"/>
      <w:pPr>
        <w:tabs>
          <w:tab w:val="num" w:pos="5544"/>
        </w:tabs>
        <w:ind w:left="5544" w:hanging="360"/>
      </w:pPr>
      <w:rPr>
        <w:rFonts w:ascii="Courier New" w:hAnsi="Courier New" w:cs="Times New Roman" w:hint="default"/>
      </w:rPr>
    </w:lvl>
    <w:lvl w:ilvl="8" w:tplc="04090005">
      <w:start w:val="1"/>
      <w:numFmt w:val="bullet"/>
      <w:lvlText w:val=""/>
      <w:lvlJc w:val="left"/>
      <w:pPr>
        <w:tabs>
          <w:tab w:val="num" w:pos="6264"/>
        </w:tabs>
        <w:ind w:left="6264"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EA309C"/>
    <w:multiLevelType w:val="hybridMultilevel"/>
    <w:tmpl w:val="29981756"/>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8">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463C16"/>
    <w:multiLevelType w:val="hybridMultilevel"/>
    <w:tmpl w:val="9FF038BC"/>
    <w:lvl w:ilvl="0" w:tplc="04090001">
      <w:start w:val="1"/>
      <w:numFmt w:val="bullet"/>
      <w:lvlText w:val=""/>
      <w:lvlJc w:val="left"/>
      <w:pPr>
        <w:tabs>
          <w:tab w:val="num" w:pos="504"/>
        </w:tabs>
        <w:ind w:left="288" w:hanging="7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4A81024F"/>
    <w:multiLevelType w:val="hybridMultilevel"/>
    <w:tmpl w:val="7C52D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6A496B"/>
    <w:multiLevelType w:val="hybridMultilevel"/>
    <w:tmpl w:val="8112F7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502844"/>
    <w:multiLevelType w:val="hybridMultilevel"/>
    <w:tmpl w:val="FC54B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93724B6"/>
    <w:multiLevelType w:val="hybridMultilevel"/>
    <w:tmpl w:val="41DE58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4"/>
  </w:num>
  <w:num w:numId="3">
    <w:abstractNumId w:val="23"/>
  </w:num>
  <w:num w:numId="4">
    <w:abstractNumId w:val="19"/>
  </w:num>
  <w:num w:numId="5">
    <w:abstractNumId w:val="19"/>
  </w:num>
  <w:num w:numId="6">
    <w:abstractNumId w:val="2"/>
  </w:num>
  <w:num w:numId="7">
    <w:abstractNumId w:val="25"/>
  </w:num>
  <w:num w:numId="8">
    <w:abstractNumId w:val="21"/>
  </w:num>
  <w:num w:numId="9">
    <w:abstractNumId w:val="13"/>
  </w:num>
  <w:num w:numId="10">
    <w:abstractNumId w:val="8"/>
  </w:num>
  <w:num w:numId="11">
    <w:abstractNumId w:val="26"/>
  </w:num>
  <w:num w:numId="12">
    <w:abstractNumId w:val="18"/>
  </w:num>
  <w:num w:numId="13">
    <w:abstractNumId w:val="12"/>
  </w:num>
  <w:num w:numId="14">
    <w:abstractNumId w:val="40"/>
  </w:num>
  <w:num w:numId="15">
    <w:abstractNumId w:val="10"/>
  </w:num>
  <w:num w:numId="16">
    <w:abstractNumId w:val="14"/>
  </w:num>
  <w:num w:numId="17">
    <w:abstractNumId w:val="5"/>
  </w:num>
  <w:num w:numId="18">
    <w:abstractNumId w:val="0"/>
  </w:num>
  <w:num w:numId="19">
    <w:abstractNumId w:val="39"/>
  </w:num>
  <w:num w:numId="20">
    <w:abstractNumId w:val="4"/>
  </w:num>
  <w:num w:numId="21">
    <w:abstractNumId w:val="29"/>
  </w:num>
  <w:num w:numId="22">
    <w:abstractNumId w:val="32"/>
  </w:num>
  <w:num w:numId="23">
    <w:abstractNumId w:val="41"/>
  </w:num>
  <w:num w:numId="24">
    <w:abstractNumId w:val="37"/>
  </w:num>
  <w:num w:numId="25">
    <w:abstractNumId w:val="15"/>
  </w:num>
  <w:num w:numId="26">
    <w:abstractNumId w:val="17"/>
  </w:num>
  <w:num w:numId="27">
    <w:abstractNumId w:val="34"/>
  </w:num>
  <w:num w:numId="28">
    <w:abstractNumId w:val="16"/>
  </w:num>
  <w:num w:numId="29">
    <w:abstractNumId w:val="9"/>
  </w:num>
  <w:num w:numId="30">
    <w:abstractNumId w:val="1"/>
  </w:num>
  <w:num w:numId="31">
    <w:abstractNumId w:val="42"/>
  </w:num>
  <w:num w:numId="32">
    <w:abstractNumId w:val="28"/>
  </w:num>
  <w:num w:numId="33">
    <w:abstractNumId w:val="36"/>
  </w:num>
  <w:num w:numId="34">
    <w:abstractNumId w:val="11"/>
  </w:num>
  <w:num w:numId="35">
    <w:abstractNumId w:val="31"/>
  </w:num>
  <w:num w:numId="36">
    <w:abstractNumId w:val="33"/>
  </w:num>
  <w:num w:numId="37">
    <w:abstractNumId w:val="22"/>
  </w:num>
  <w:num w:numId="38">
    <w:abstractNumId w:val="7"/>
  </w:num>
  <w:num w:numId="39">
    <w:abstractNumId w:val="30"/>
  </w:num>
  <w:num w:numId="40">
    <w:abstractNumId w:val="6"/>
    <w:lvlOverride w:ilvl="0"/>
    <w:lvlOverride w:ilvl="1">
      <w:startOverride w:val="1"/>
    </w:lvlOverride>
    <w:lvlOverride w:ilvl="2"/>
    <w:lvlOverride w:ilvl="3"/>
    <w:lvlOverride w:ilvl="4"/>
    <w:lvlOverride w:ilvl="5"/>
    <w:lvlOverride w:ilvl="6"/>
    <w:lvlOverride w:ilvl="7"/>
    <w:lvlOverride w:ilvl="8"/>
  </w:num>
  <w:num w:numId="41">
    <w:abstractNumId w:val="27"/>
  </w:num>
  <w:num w:numId="42">
    <w:abstractNumId w:val="3"/>
  </w:num>
  <w:num w:numId="43">
    <w:abstractNumId w:val="35"/>
  </w:num>
  <w:num w:numId="44">
    <w:abstractNumId w:val="38"/>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50F3"/>
    <w:rsid w:val="0003746D"/>
    <w:rsid w:val="0004020F"/>
    <w:rsid w:val="000436CB"/>
    <w:rsid w:val="00052E17"/>
    <w:rsid w:val="00054B0F"/>
    <w:rsid w:val="00056947"/>
    <w:rsid w:val="00061A8E"/>
    <w:rsid w:val="00064CB3"/>
    <w:rsid w:val="0006527D"/>
    <w:rsid w:val="00070BEE"/>
    <w:rsid w:val="00072040"/>
    <w:rsid w:val="00074667"/>
    <w:rsid w:val="00076DF4"/>
    <w:rsid w:val="00076F51"/>
    <w:rsid w:val="00083144"/>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0F6022"/>
    <w:rsid w:val="00106247"/>
    <w:rsid w:val="00107242"/>
    <w:rsid w:val="00111CC5"/>
    <w:rsid w:val="001206F7"/>
    <w:rsid w:val="001236C1"/>
    <w:rsid w:val="001329F8"/>
    <w:rsid w:val="00133EE8"/>
    <w:rsid w:val="00140B30"/>
    <w:rsid w:val="00147155"/>
    <w:rsid w:val="00153CB3"/>
    <w:rsid w:val="00154C3B"/>
    <w:rsid w:val="00160158"/>
    <w:rsid w:val="00165357"/>
    <w:rsid w:val="001722B7"/>
    <w:rsid w:val="001727D9"/>
    <w:rsid w:val="00174BB4"/>
    <w:rsid w:val="00175D14"/>
    <w:rsid w:val="001811EE"/>
    <w:rsid w:val="001822D3"/>
    <w:rsid w:val="00185AD4"/>
    <w:rsid w:val="00192C4F"/>
    <w:rsid w:val="001979AF"/>
    <w:rsid w:val="001A0EB4"/>
    <w:rsid w:val="001A1A86"/>
    <w:rsid w:val="001A2CCC"/>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E5E28"/>
    <w:rsid w:val="001F05CE"/>
    <w:rsid w:val="001F1905"/>
    <w:rsid w:val="001F4A65"/>
    <w:rsid w:val="0020304E"/>
    <w:rsid w:val="00205C45"/>
    <w:rsid w:val="00205D37"/>
    <w:rsid w:val="0021035B"/>
    <w:rsid w:val="00211153"/>
    <w:rsid w:val="0023254A"/>
    <w:rsid w:val="002344FB"/>
    <w:rsid w:val="00236216"/>
    <w:rsid w:val="002405CD"/>
    <w:rsid w:val="00240B74"/>
    <w:rsid w:val="00243B62"/>
    <w:rsid w:val="0024675B"/>
    <w:rsid w:val="002469DD"/>
    <w:rsid w:val="00247180"/>
    <w:rsid w:val="00254671"/>
    <w:rsid w:val="0025631C"/>
    <w:rsid w:val="00257D36"/>
    <w:rsid w:val="0026104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B6D47"/>
    <w:rsid w:val="002C2853"/>
    <w:rsid w:val="002C444C"/>
    <w:rsid w:val="002C458F"/>
    <w:rsid w:val="002C6C20"/>
    <w:rsid w:val="002C6C7A"/>
    <w:rsid w:val="002C7F78"/>
    <w:rsid w:val="002D2162"/>
    <w:rsid w:val="002D5277"/>
    <w:rsid w:val="002D71FA"/>
    <w:rsid w:val="002D73AF"/>
    <w:rsid w:val="002E4FD9"/>
    <w:rsid w:val="002E5B58"/>
    <w:rsid w:val="002F1437"/>
    <w:rsid w:val="002F3943"/>
    <w:rsid w:val="002F4E34"/>
    <w:rsid w:val="002F6A42"/>
    <w:rsid w:val="002F79E7"/>
    <w:rsid w:val="003003EC"/>
    <w:rsid w:val="0030102B"/>
    <w:rsid w:val="00301483"/>
    <w:rsid w:val="003035E3"/>
    <w:rsid w:val="0030363A"/>
    <w:rsid w:val="00315DDE"/>
    <w:rsid w:val="00317970"/>
    <w:rsid w:val="00317EB0"/>
    <w:rsid w:val="00332700"/>
    <w:rsid w:val="003358BD"/>
    <w:rsid w:val="00344E88"/>
    <w:rsid w:val="00345D80"/>
    <w:rsid w:val="003471D4"/>
    <w:rsid w:val="00350BF1"/>
    <w:rsid w:val="00353C49"/>
    <w:rsid w:val="003540B1"/>
    <w:rsid w:val="00354A28"/>
    <w:rsid w:val="003557E9"/>
    <w:rsid w:val="003560BA"/>
    <w:rsid w:val="00364CC6"/>
    <w:rsid w:val="003650F6"/>
    <w:rsid w:val="0036726C"/>
    <w:rsid w:val="003832D2"/>
    <w:rsid w:val="003845E5"/>
    <w:rsid w:val="00393137"/>
    <w:rsid w:val="0039615F"/>
    <w:rsid w:val="00397406"/>
    <w:rsid w:val="003A3079"/>
    <w:rsid w:val="003A3170"/>
    <w:rsid w:val="003A360E"/>
    <w:rsid w:val="003B0763"/>
    <w:rsid w:val="003D17FF"/>
    <w:rsid w:val="003D2871"/>
    <w:rsid w:val="003D2981"/>
    <w:rsid w:val="003D5B83"/>
    <w:rsid w:val="003E6E47"/>
    <w:rsid w:val="003F0623"/>
    <w:rsid w:val="003F33DE"/>
    <w:rsid w:val="003F3A41"/>
    <w:rsid w:val="003F67E9"/>
    <w:rsid w:val="003F78FA"/>
    <w:rsid w:val="00401031"/>
    <w:rsid w:val="004023B7"/>
    <w:rsid w:val="004045A0"/>
    <w:rsid w:val="00413CDB"/>
    <w:rsid w:val="004200FE"/>
    <w:rsid w:val="00421183"/>
    <w:rsid w:val="00421BA6"/>
    <w:rsid w:val="00421C17"/>
    <w:rsid w:val="00426CDE"/>
    <w:rsid w:val="00433EA1"/>
    <w:rsid w:val="00435ACE"/>
    <w:rsid w:val="00441957"/>
    <w:rsid w:val="00443D32"/>
    <w:rsid w:val="00445B98"/>
    <w:rsid w:val="004469DD"/>
    <w:rsid w:val="004476B2"/>
    <w:rsid w:val="00447CE5"/>
    <w:rsid w:val="00447D6E"/>
    <w:rsid w:val="0045048F"/>
    <w:rsid w:val="0045181B"/>
    <w:rsid w:val="004519EA"/>
    <w:rsid w:val="00452133"/>
    <w:rsid w:val="00452C7A"/>
    <w:rsid w:val="00456B53"/>
    <w:rsid w:val="0046286E"/>
    <w:rsid w:val="004673A2"/>
    <w:rsid w:val="00471234"/>
    <w:rsid w:val="00472250"/>
    <w:rsid w:val="00473041"/>
    <w:rsid w:val="0047437C"/>
    <w:rsid w:val="00477522"/>
    <w:rsid w:val="00480E7B"/>
    <w:rsid w:val="004843E5"/>
    <w:rsid w:val="00484BF6"/>
    <w:rsid w:val="0049052C"/>
    <w:rsid w:val="00493457"/>
    <w:rsid w:val="00494628"/>
    <w:rsid w:val="0049566B"/>
    <w:rsid w:val="00497338"/>
    <w:rsid w:val="004A1650"/>
    <w:rsid w:val="004B1184"/>
    <w:rsid w:val="004B1E19"/>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17EAF"/>
    <w:rsid w:val="00523597"/>
    <w:rsid w:val="00523736"/>
    <w:rsid w:val="00532530"/>
    <w:rsid w:val="00532CFD"/>
    <w:rsid w:val="00535CA4"/>
    <w:rsid w:val="00537C85"/>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A4F68"/>
    <w:rsid w:val="005B102F"/>
    <w:rsid w:val="005B28C1"/>
    <w:rsid w:val="005B6344"/>
    <w:rsid w:val="005C1C74"/>
    <w:rsid w:val="005C2E48"/>
    <w:rsid w:val="005C3F23"/>
    <w:rsid w:val="005D119F"/>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21B"/>
    <w:rsid w:val="0069264D"/>
    <w:rsid w:val="0069578B"/>
    <w:rsid w:val="00697868"/>
    <w:rsid w:val="006A055F"/>
    <w:rsid w:val="006A126F"/>
    <w:rsid w:val="006A14E9"/>
    <w:rsid w:val="006A2A65"/>
    <w:rsid w:val="006A5293"/>
    <w:rsid w:val="006A67E4"/>
    <w:rsid w:val="006A6819"/>
    <w:rsid w:val="006A6D15"/>
    <w:rsid w:val="006B0DF3"/>
    <w:rsid w:val="006B0F11"/>
    <w:rsid w:val="006B27FA"/>
    <w:rsid w:val="006B4A48"/>
    <w:rsid w:val="006C2C55"/>
    <w:rsid w:val="006C430A"/>
    <w:rsid w:val="006D2809"/>
    <w:rsid w:val="006D4BBD"/>
    <w:rsid w:val="006E27A3"/>
    <w:rsid w:val="006E3342"/>
    <w:rsid w:val="006E4B12"/>
    <w:rsid w:val="006E65D0"/>
    <w:rsid w:val="006F1B21"/>
    <w:rsid w:val="006F21E8"/>
    <w:rsid w:val="006F486D"/>
    <w:rsid w:val="006F78D5"/>
    <w:rsid w:val="0070091B"/>
    <w:rsid w:val="007048AC"/>
    <w:rsid w:val="00707855"/>
    <w:rsid w:val="00707A54"/>
    <w:rsid w:val="0071676F"/>
    <w:rsid w:val="00726338"/>
    <w:rsid w:val="00726AD5"/>
    <w:rsid w:val="00733C7D"/>
    <w:rsid w:val="00740761"/>
    <w:rsid w:val="00745F77"/>
    <w:rsid w:val="007464DE"/>
    <w:rsid w:val="007529EA"/>
    <w:rsid w:val="00755A45"/>
    <w:rsid w:val="00760CDC"/>
    <w:rsid w:val="00764D0D"/>
    <w:rsid w:val="00777C53"/>
    <w:rsid w:val="00786E92"/>
    <w:rsid w:val="007933F1"/>
    <w:rsid w:val="007A5F52"/>
    <w:rsid w:val="007B090A"/>
    <w:rsid w:val="007C0262"/>
    <w:rsid w:val="007C5B07"/>
    <w:rsid w:val="007D3364"/>
    <w:rsid w:val="007E43F8"/>
    <w:rsid w:val="007E5076"/>
    <w:rsid w:val="007E656B"/>
    <w:rsid w:val="007E6B16"/>
    <w:rsid w:val="007F2997"/>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36FF4"/>
    <w:rsid w:val="00843763"/>
    <w:rsid w:val="00847A4E"/>
    <w:rsid w:val="00871D79"/>
    <w:rsid w:val="0087393E"/>
    <w:rsid w:val="00881A42"/>
    <w:rsid w:val="00882386"/>
    <w:rsid w:val="0088361D"/>
    <w:rsid w:val="00885E0A"/>
    <w:rsid w:val="0088603B"/>
    <w:rsid w:val="008877AF"/>
    <w:rsid w:val="00893F92"/>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43724"/>
    <w:rsid w:val="009500DC"/>
    <w:rsid w:val="00951923"/>
    <w:rsid w:val="00972C81"/>
    <w:rsid w:val="00975D2B"/>
    <w:rsid w:val="009824E9"/>
    <w:rsid w:val="009826E5"/>
    <w:rsid w:val="009844A1"/>
    <w:rsid w:val="00986E20"/>
    <w:rsid w:val="00992D20"/>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41F"/>
    <w:rsid w:val="009E3829"/>
    <w:rsid w:val="009E51E2"/>
    <w:rsid w:val="009F5044"/>
    <w:rsid w:val="009F7A61"/>
    <w:rsid w:val="00A115BF"/>
    <w:rsid w:val="00A11800"/>
    <w:rsid w:val="00A11C16"/>
    <w:rsid w:val="00A126B6"/>
    <w:rsid w:val="00A1423E"/>
    <w:rsid w:val="00A17664"/>
    <w:rsid w:val="00A20FAF"/>
    <w:rsid w:val="00A24520"/>
    <w:rsid w:val="00A3164A"/>
    <w:rsid w:val="00A32227"/>
    <w:rsid w:val="00A36217"/>
    <w:rsid w:val="00A37F42"/>
    <w:rsid w:val="00A4411F"/>
    <w:rsid w:val="00A500D6"/>
    <w:rsid w:val="00A523FF"/>
    <w:rsid w:val="00A54756"/>
    <w:rsid w:val="00A54C66"/>
    <w:rsid w:val="00A57D36"/>
    <w:rsid w:val="00A61BB6"/>
    <w:rsid w:val="00A64709"/>
    <w:rsid w:val="00A65734"/>
    <w:rsid w:val="00A6687F"/>
    <w:rsid w:val="00A67907"/>
    <w:rsid w:val="00A73CC1"/>
    <w:rsid w:val="00A80270"/>
    <w:rsid w:val="00A82DB1"/>
    <w:rsid w:val="00A84127"/>
    <w:rsid w:val="00A84BF9"/>
    <w:rsid w:val="00A86DA2"/>
    <w:rsid w:val="00A873B1"/>
    <w:rsid w:val="00A90DFC"/>
    <w:rsid w:val="00A90F1A"/>
    <w:rsid w:val="00A91BF3"/>
    <w:rsid w:val="00AA0A9C"/>
    <w:rsid w:val="00AA16C0"/>
    <w:rsid w:val="00AA4CDC"/>
    <w:rsid w:val="00AA7627"/>
    <w:rsid w:val="00AB21D4"/>
    <w:rsid w:val="00AB21F5"/>
    <w:rsid w:val="00AB3386"/>
    <w:rsid w:val="00AB36DB"/>
    <w:rsid w:val="00AC0B1D"/>
    <w:rsid w:val="00AC2F5B"/>
    <w:rsid w:val="00AC3DAD"/>
    <w:rsid w:val="00AC5309"/>
    <w:rsid w:val="00AC5B97"/>
    <w:rsid w:val="00AD37FD"/>
    <w:rsid w:val="00AD4DD0"/>
    <w:rsid w:val="00AE0A8D"/>
    <w:rsid w:val="00AF6342"/>
    <w:rsid w:val="00AF72CF"/>
    <w:rsid w:val="00B053FB"/>
    <w:rsid w:val="00B05647"/>
    <w:rsid w:val="00B07EE5"/>
    <w:rsid w:val="00B2000C"/>
    <w:rsid w:val="00B21CC5"/>
    <w:rsid w:val="00B26778"/>
    <w:rsid w:val="00B26B83"/>
    <w:rsid w:val="00B32479"/>
    <w:rsid w:val="00B33FE2"/>
    <w:rsid w:val="00B403ED"/>
    <w:rsid w:val="00B4065F"/>
    <w:rsid w:val="00B45091"/>
    <w:rsid w:val="00B45447"/>
    <w:rsid w:val="00B5254A"/>
    <w:rsid w:val="00B55BA0"/>
    <w:rsid w:val="00B614F1"/>
    <w:rsid w:val="00B61DCC"/>
    <w:rsid w:val="00B767DC"/>
    <w:rsid w:val="00B866B4"/>
    <w:rsid w:val="00B94226"/>
    <w:rsid w:val="00BA0A8C"/>
    <w:rsid w:val="00BA0CEB"/>
    <w:rsid w:val="00BA2383"/>
    <w:rsid w:val="00BA2E7E"/>
    <w:rsid w:val="00BA590A"/>
    <w:rsid w:val="00BA5FE4"/>
    <w:rsid w:val="00BB0B39"/>
    <w:rsid w:val="00BB30D1"/>
    <w:rsid w:val="00BB39D8"/>
    <w:rsid w:val="00BB5F75"/>
    <w:rsid w:val="00BC4BFE"/>
    <w:rsid w:val="00BC6524"/>
    <w:rsid w:val="00BD3931"/>
    <w:rsid w:val="00BD5B88"/>
    <w:rsid w:val="00BD5F58"/>
    <w:rsid w:val="00BD6DB5"/>
    <w:rsid w:val="00BE0AEB"/>
    <w:rsid w:val="00C018E0"/>
    <w:rsid w:val="00C05AAF"/>
    <w:rsid w:val="00C118C7"/>
    <w:rsid w:val="00C17F10"/>
    <w:rsid w:val="00C20877"/>
    <w:rsid w:val="00C20E7B"/>
    <w:rsid w:val="00C21456"/>
    <w:rsid w:val="00C24D03"/>
    <w:rsid w:val="00C25E61"/>
    <w:rsid w:val="00C3574C"/>
    <w:rsid w:val="00C35A1B"/>
    <w:rsid w:val="00C413F3"/>
    <w:rsid w:val="00C50F8F"/>
    <w:rsid w:val="00C54EFF"/>
    <w:rsid w:val="00C55D03"/>
    <w:rsid w:val="00C63548"/>
    <w:rsid w:val="00C63F96"/>
    <w:rsid w:val="00C65450"/>
    <w:rsid w:val="00C677AF"/>
    <w:rsid w:val="00C67E59"/>
    <w:rsid w:val="00C72B8B"/>
    <w:rsid w:val="00C72CB5"/>
    <w:rsid w:val="00C76D4F"/>
    <w:rsid w:val="00C805BC"/>
    <w:rsid w:val="00C93E33"/>
    <w:rsid w:val="00C959CA"/>
    <w:rsid w:val="00C95D16"/>
    <w:rsid w:val="00CA2AB4"/>
    <w:rsid w:val="00CB0100"/>
    <w:rsid w:val="00CB04D2"/>
    <w:rsid w:val="00CC6E1F"/>
    <w:rsid w:val="00CD5680"/>
    <w:rsid w:val="00CD7EFE"/>
    <w:rsid w:val="00CE0C66"/>
    <w:rsid w:val="00CE28CF"/>
    <w:rsid w:val="00CE4386"/>
    <w:rsid w:val="00CE4CDC"/>
    <w:rsid w:val="00CE5B0B"/>
    <w:rsid w:val="00CE5BEB"/>
    <w:rsid w:val="00CE69E9"/>
    <w:rsid w:val="00CE71F2"/>
    <w:rsid w:val="00CE7FB4"/>
    <w:rsid w:val="00CF3F65"/>
    <w:rsid w:val="00CF464D"/>
    <w:rsid w:val="00D03159"/>
    <w:rsid w:val="00D17EF4"/>
    <w:rsid w:val="00D23770"/>
    <w:rsid w:val="00D2453D"/>
    <w:rsid w:val="00D25074"/>
    <w:rsid w:val="00D34517"/>
    <w:rsid w:val="00D36798"/>
    <w:rsid w:val="00D47E80"/>
    <w:rsid w:val="00D70563"/>
    <w:rsid w:val="00D70D89"/>
    <w:rsid w:val="00D72051"/>
    <w:rsid w:val="00D7380B"/>
    <w:rsid w:val="00D73EE0"/>
    <w:rsid w:val="00D75D77"/>
    <w:rsid w:val="00D7639E"/>
    <w:rsid w:val="00D835EF"/>
    <w:rsid w:val="00D85F09"/>
    <w:rsid w:val="00D86A9D"/>
    <w:rsid w:val="00DA089A"/>
    <w:rsid w:val="00DA11A0"/>
    <w:rsid w:val="00DA2822"/>
    <w:rsid w:val="00DA690B"/>
    <w:rsid w:val="00DA7225"/>
    <w:rsid w:val="00DB44E9"/>
    <w:rsid w:val="00DC1966"/>
    <w:rsid w:val="00DC230C"/>
    <w:rsid w:val="00DC3259"/>
    <w:rsid w:val="00DD0523"/>
    <w:rsid w:val="00DE1878"/>
    <w:rsid w:val="00DE48B5"/>
    <w:rsid w:val="00DE5758"/>
    <w:rsid w:val="00DE5FCF"/>
    <w:rsid w:val="00DF0D19"/>
    <w:rsid w:val="00DF2EE9"/>
    <w:rsid w:val="00DF6FD8"/>
    <w:rsid w:val="00E05A80"/>
    <w:rsid w:val="00E06A37"/>
    <w:rsid w:val="00E071A5"/>
    <w:rsid w:val="00E07752"/>
    <w:rsid w:val="00E16609"/>
    <w:rsid w:val="00E16F08"/>
    <w:rsid w:val="00E171F8"/>
    <w:rsid w:val="00E21E38"/>
    <w:rsid w:val="00E233F3"/>
    <w:rsid w:val="00E26B34"/>
    <w:rsid w:val="00E27B56"/>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4EA4"/>
    <w:rsid w:val="00E859BD"/>
    <w:rsid w:val="00E86B70"/>
    <w:rsid w:val="00E87C8F"/>
    <w:rsid w:val="00E924C3"/>
    <w:rsid w:val="00E954EE"/>
    <w:rsid w:val="00E96759"/>
    <w:rsid w:val="00EA0E60"/>
    <w:rsid w:val="00EA4437"/>
    <w:rsid w:val="00EA4D87"/>
    <w:rsid w:val="00EB34FC"/>
    <w:rsid w:val="00EB76E1"/>
    <w:rsid w:val="00EC2499"/>
    <w:rsid w:val="00EE29DF"/>
    <w:rsid w:val="00EE4120"/>
    <w:rsid w:val="00EF23C7"/>
    <w:rsid w:val="00EF2E8A"/>
    <w:rsid w:val="00EF4E6B"/>
    <w:rsid w:val="00EF5416"/>
    <w:rsid w:val="00F06CCF"/>
    <w:rsid w:val="00F1053D"/>
    <w:rsid w:val="00F110D5"/>
    <w:rsid w:val="00F11E63"/>
    <w:rsid w:val="00F12733"/>
    <w:rsid w:val="00F171E1"/>
    <w:rsid w:val="00F1720B"/>
    <w:rsid w:val="00F1761C"/>
    <w:rsid w:val="00F20DCF"/>
    <w:rsid w:val="00F25B36"/>
    <w:rsid w:val="00F3052A"/>
    <w:rsid w:val="00F341E3"/>
    <w:rsid w:val="00F35D09"/>
    <w:rsid w:val="00F412D3"/>
    <w:rsid w:val="00F4304D"/>
    <w:rsid w:val="00F434BD"/>
    <w:rsid w:val="00F46612"/>
    <w:rsid w:val="00F474EF"/>
    <w:rsid w:val="00F4752B"/>
    <w:rsid w:val="00F476E8"/>
    <w:rsid w:val="00F53BDA"/>
    <w:rsid w:val="00F541AE"/>
    <w:rsid w:val="00F56792"/>
    <w:rsid w:val="00F571A6"/>
    <w:rsid w:val="00F6018B"/>
    <w:rsid w:val="00F60265"/>
    <w:rsid w:val="00F60E32"/>
    <w:rsid w:val="00F644FF"/>
    <w:rsid w:val="00F65ABA"/>
    <w:rsid w:val="00F65E15"/>
    <w:rsid w:val="00F70F04"/>
    <w:rsid w:val="00F7242E"/>
    <w:rsid w:val="00F74B33"/>
    <w:rsid w:val="00F810DD"/>
    <w:rsid w:val="00F946FC"/>
    <w:rsid w:val="00F95E2F"/>
    <w:rsid w:val="00F96DEB"/>
    <w:rsid w:val="00FA1872"/>
    <w:rsid w:val="00FA4BA8"/>
    <w:rsid w:val="00FA4F34"/>
    <w:rsid w:val="00FB2590"/>
    <w:rsid w:val="00FD27F4"/>
    <w:rsid w:val="00FD5A8C"/>
    <w:rsid w:val="00FE286E"/>
    <w:rsid w:val="00FE3233"/>
    <w:rsid w:val="00FE4C68"/>
    <w:rsid w:val="00FE5FAF"/>
    <w:rsid w:val="00FE6D74"/>
    <w:rsid w:val="00FF1438"/>
    <w:rsid w:val="00FF3458"/>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uiPriority w:val="99"/>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572D2F"/>
    <w:rPr>
      <w:rFonts w:ascii="Arial" w:hAnsi="Arial"/>
      <w:sz w:val="20"/>
      <w:szCs w:val="20"/>
    </w:rPr>
  </w:style>
  <w:style w:type="character" w:customStyle="1" w:styleId="EndnoteTextChar">
    <w:name w:val="Endnote Text Char"/>
    <w:basedOn w:val="DefaultParagraphFont"/>
    <w:link w:val="EndnoteText"/>
    <w:uiPriority w:val="99"/>
    <w:semiHidden/>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uiPriority w:val="99"/>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572D2F"/>
    <w:rPr>
      <w:rFonts w:ascii="Arial" w:hAnsi="Arial"/>
      <w:sz w:val="20"/>
      <w:szCs w:val="20"/>
    </w:rPr>
  </w:style>
  <w:style w:type="character" w:customStyle="1" w:styleId="EndnoteTextChar">
    <w:name w:val="Endnote Text Char"/>
    <w:basedOn w:val="DefaultParagraphFont"/>
    <w:link w:val="EndnoteText"/>
    <w:uiPriority w:val="99"/>
    <w:semiHidden/>
    <w:rsid w:val="00572D2F"/>
    <w:rPr>
      <w:rFonts w:ascii="Arial" w:eastAsia="Times New Roman" w:hAnsi="Arial" w:cs="Times New Roman"/>
      <w:sz w:val="20"/>
      <w:szCs w:val="20"/>
    </w:rPr>
  </w:style>
  <w:style w:type="character" w:styleId="EndnoteReference">
    <w:name w:val="endnote reference"/>
    <w:uiPriority w:val="99"/>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63230">
      <w:bodyDiv w:val="1"/>
      <w:marLeft w:val="0"/>
      <w:marRight w:val="0"/>
      <w:marTop w:val="0"/>
      <w:marBottom w:val="0"/>
      <w:divBdr>
        <w:top w:val="none" w:sz="0" w:space="0" w:color="auto"/>
        <w:left w:val="none" w:sz="0" w:space="0" w:color="auto"/>
        <w:bottom w:val="none" w:sz="0" w:space="0" w:color="auto"/>
        <w:right w:val="none" w:sz="0" w:space="0" w:color="auto"/>
      </w:divBdr>
    </w:div>
    <w:div w:id="135490809">
      <w:bodyDiv w:val="1"/>
      <w:marLeft w:val="0"/>
      <w:marRight w:val="0"/>
      <w:marTop w:val="0"/>
      <w:marBottom w:val="0"/>
      <w:divBdr>
        <w:top w:val="none" w:sz="0" w:space="0" w:color="auto"/>
        <w:left w:val="none" w:sz="0" w:space="0" w:color="auto"/>
        <w:bottom w:val="none" w:sz="0" w:space="0" w:color="auto"/>
        <w:right w:val="none" w:sz="0" w:space="0" w:color="auto"/>
      </w:divBdr>
    </w:div>
    <w:div w:id="141696913">
      <w:bodyDiv w:val="1"/>
      <w:marLeft w:val="0"/>
      <w:marRight w:val="0"/>
      <w:marTop w:val="0"/>
      <w:marBottom w:val="0"/>
      <w:divBdr>
        <w:top w:val="none" w:sz="0" w:space="0" w:color="auto"/>
        <w:left w:val="none" w:sz="0" w:space="0" w:color="auto"/>
        <w:bottom w:val="none" w:sz="0" w:space="0" w:color="auto"/>
        <w:right w:val="none" w:sz="0" w:space="0" w:color="auto"/>
      </w:divBdr>
    </w:div>
    <w:div w:id="348486086">
      <w:bodyDiv w:val="1"/>
      <w:marLeft w:val="0"/>
      <w:marRight w:val="0"/>
      <w:marTop w:val="0"/>
      <w:marBottom w:val="0"/>
      <w:divBdr>
        <w:top w:val="none" w:sz="0" w:space="0" w:color="auto"/>
        <w:left w:val="none" w:sz="0" w:space="0" w:color="auto"/>
        <w:bottom w:val="none" w:sz="0" w:space="0" w:color="auto"/>
        <w:right w:val="none" w:sz="0" w:space="0" w:color="auto"/>
      </w:divBdr>
    </w:div>
    <w:div w:id="490415975">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4760565">
      <w:bodyDiv w:val="1"/>
      <w:marLeft w:val="0"/>
      <w:marRight w:val="0"/>
      <w:marTop w:val="0"/>
      <w:marBottom w:val="0"/>
      <w:divBdr>
        <w:top w:val="none" w:sz="0" w:space="0" w:color="auto"/>
        <w:left w:val="none" w:sz="0" w:space="0" w:color="auto"/>
        <w:bottom w:val="none" w:sz="0" w:space="0" w:color="auto"/>
        <w:right w:val="none" w:sz="0" w:space="0" w:color="auto"/>
      </w:divBdr>
    </w:div>
    <w:div w:id="888690789">
      <w:bodyDiv w:val="1"/>
      <w:marLeft w:val="0"/>
      <w:marRight w:val="0"/>
      <w:marTop w:val="0"/>
      <w:marBottom w:val="0"/>
      <w:divBdr>
        <w:top w:val="none" w:sz="0" w:space="0" w:color="auto"/>
        <w:left w:val="none" w:sz="0" w:space="0" w:color="auto"/>
        <w:bottom w:val="none" w:sz="0" w:space="0" w:color="auto"/>
        <w:right w:val="none" w:sz="0" w:space="0" w:color="auto"/>
      </w:divBdr>
    </w:div>
    <w:div w:id="916017942">
      <w:bodyDiv w:val="1"/>
      <w:marLeft w:val="0"/>
      <w:marRight w:val="0"/>
      <w:marTop w:val="0"/>
      <w:marBottom w:val="0"/>
      <w:divBdr>
        <w:top w:val="none" w:sz="0" w:space="0" w:color="auto"/>
        <w:left w:val="none" w:sz="0" w:space="0" w:color="auto"/>
        <w:bottom w:val="none" w:sz="0" w:space="0" w:color="auto"/>
        <w:right w:val="none" w:sz="0" w:space="0" w:color="auto"/>
      </w:divBdr>
    </w:div>
    <w:div w:id="935790254">
      <w:bodyDiv w:val="1"/>
      <w:marLeft w:val="0"/>
      <w:marRight w:val="0"/>
      <w:marTop w:val="0"/>
      <w:marBottom w:val="0"/>
      <w:divBdr>
        <w:top w:val="none" w:sz="0" w:space="0" w:color="auto"/>
        <w:left w:val="none" w:sz="0" w:space="0" w:color="auto"/>
        <w:bottom w:val="none" w:sz="0" w:space="0" w:color="auto"/>
        <w:right w:val="none" w:sz="0" w:space="0" w:color="auto"/>
      </w:divBdr>
    </w:div>
    <w:div w:id="101410783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91003261">
      <w:bodyDiv w:val="1"/>
      <w:marLeft w:val="0"/>
      <w:marRight w:val="0"/>
      <w:marTop w:val="0"/>
      <w:marBottom w:val="0"/>
      <w:divBdr>
        <w:top w:val="none" w:sz="0" w:space="0" w:color="auto"/>
        <w:left w:val="none" w:sz="0" w:space="0" w:color="auto"/>
        <w:bottom w:val="none" w:sz="0" w:space="0" w:color="auto"/>
        <w:right w:val="none" w:sz="0" w:space="0" w:color="auto"/>
      </w:divBdr>
    </w:div>
    <w:div w:id="1280406957">
      <w:bodyDiv w:val="1"/>
      <w:marLeft w:val="0"/>
      <w:marRight w:val="0"/>
      <w:marTop w:val="0"/>
      <w:marBottom w:val="0"/>
      <w:divBdr>
        <w:top w:val="none" w:sz="0" w:space="0" w:color="auto"/>
        <w:left w:val="none" w:sz="0" w:space="0" w:color="auto"/>
        <w:bottom w:val="none" w:sz="0" w:space="0" w:color="auto"/>
        <w:right w:val="none" w:sz="0" w:space="0" w:color="auto"/>
      </w:divBdr>
    </w:div>
    <w:div w:id="1829708043">
      <w:bodyDiv w:val="1"/>
      <w:marLeft w:val="0"/>
      <w:marRight w:val="0"/>
      <w:marTop w:val="0"/>
      <w:marBottom w:val="0"/>
      <w:divBdr>
        <w:top w:val="none" w:sz="0" w:space="0" w:color="auto"/>
        <w:left w:val="none" w:sz="0" w:space="0" w:color="auto"/>
        <w:bottom w:val="none" w:sz="0" w:space="0" w:color="auto"/>
        <w:right w:val="none" w:sz="0" w:space="0" w:color="auto"/>
      </w:divBdr>
    </w:div>
    <w:div w:id="1835754861">
      <w:bodyDiv w:val="1"/>
      <w:marLeft w:val="0"/>
      <w:marRight w:val="0"/>
      <w:marTop w:val="0"/>
      <w:marBottom w:val="0"/>
      <w:divBdr>
        <w:top w:val="none" w:sz="0" w:space="0" w:color="auto"/>
        <w:left w:val="none" w:sz="0" w:space="0" w:color="auto"/>
        <w:bottom w:val="none" w:sz="0" w:space="0" w:color="auto"/>
        <w:right w:val="none" w:sz="0" w:space="0" w:color="auto"/>
      </w:divBdr>
    </w:div>
    <w:div w:id="1835756166">
      <w:bodyDiv w:val="1"/>
      <w:marLeft w:val="0"/>
      <w:marRight w:val="0"/>
      <w:marTop w:val="0"/>
      <w:marBottom w:val="0"/>
      <w:divBdr>
        <w:top w:val="none" w:sz="0" w:space="0" w:color="auto"/>
        <w:left w:val="none" w:sz="0" w:space="0" w:color="auto"/>
        <w:bottom w:val="none" w:sz="0" w:space="0" w:color="auto"/>
        <w:right w:val="none" w:sz="0" w:space="0" w:color="auto"/>
      </w:divBdr>
    </w:div>
    <w:div w:id="1965427632">
      <w:bodyDiv w:val="1"/>
      <w:marLeft w:val="0"/>
      <w:marRight w:val="0"/>
      <w:marTop w:val="0"/>
      <w:marBottom w:val="0"/>
      <w:divBdr>
        <w:top w:val="none" w:sz="0" w:space="0" w:color="auto"/>
        <w:left w:val="none" w:sz="0" w:space="0" w:color="auto"/>
        <w:bottom w:val="none" w:sz="0" w:space="0" w:color="auto"/>
        <w:right w:val="none" w:sz="0" w:space="0" w:color="auto"/>
      </w:divBdr>
    </w:div>
    <w:div w:id="2003967686">
      <w:bodyDiv w:val="1"/>
      <w:marLeft w:val="0"/>
      <w:marRight w:val="0"/>
      <w:marTop w:val="0"/>
      <w:marBottom w:val="0"/>
      <w:divBdr>
        <w:top w:val="none" w:sz="0" w:space="0" w:color="auto"/>
        <w:left w:val="none" w:sz="0" w:space="0" w:color="auto"/>
        <w:bottom w:val="none" w:sz="0" w:space="0" w:color="auto"/>
        <w:right w:val="none" w:sz="0" w:space="0" w:color="auto"/>
      </w:divBdr>
    </w:div>
    <w:div w:id="2075808045">
      <w:bodyDiv w:val="1"/>
      <w:marLeft w:val="0"/>
      <w:marRight w:val="0"/>
      <w:marTop w:val="0"/>
      <w:marBottom w:val="0"/>
      <w:divBdr>
        <w:top w:val="none" w:sz="0" w:space="0" w:color="auto"/>
        <w:left w:val="none" w:sz="0" w:space="0" w:color="auto"/>
        <w:bottom w:val="none" w:sz="0" w:space="0" w:color="auto"/>
        <w:right w:val="none" w:sz="0" w:space="0" w:color="auto"/>
      </w:divBdr>
    </w:div>
    <w:div w:id="2119979807">
      <w:bodyDiv w:val="1"/>
      <w:marLeft w:val="0"/>
      <w:marRight w:val="0"/>
      <w:marTop w:val="0"/>
      <w:marBottom w:val="0"/>
      <w:divBdr>
        <w:top w:val="none" w:sz="0" w:space="0" w:color="auto"/>
        <w:left w:val="none" w:sz="0" w:space="0" w:color="auto"/>
        <w:bottom w:val="none" w:sz="0" w:space="0" w:color="auto"/>
        <w:right w:val="none" w:sz="0" w:space="0" w:color="auto"/>
      </w:divBdr>
    </w:div>
    <w:div w:id="2137411019">
      <w:bodyDiv w:val="1"/>
      <w:marLeft w:val="0"/>
      <w:marRight w:val="0"/>
      <w:marTop w:val="0"/>
      <w:marBottom w:val="0"/>
      <w:divBdr>
        <w:top w:val="none" w:sz="0" w:space="0" w:color="auto"/>
        <w:left w:val="none" w:sz="0" w:space="0" w:color="auto"/>
        <w:bottom w:val="none" w:sz="0" w:space="0" w:color="auto"/>
        <w:right w:val="none" w:sz="0" w:space="0" w:color="auto"/>
      </w:divBdr>
    </w:div>
    <w:div w:id="214580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hyperlink" Target="http://www.etcc-ca.com/component/content/article/48-Commercial/2977-thin-client-investigation-including-pc-and-imaging-state-data"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package" Target="embeddings/Microsoft_Excel_Worksheet1.xlsx"/></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5419C"/>
    <w:rsid w:val="001909C8"/>
    <w:rsid w:val="00204A7F"/>
    <w:rsid w:val="002B514B"/>
    <w:rsid w:val="002C0C03"/>
    <w:rsid w:val="00311B0D"/>
    <w:rsid w:val="00375FCB"/>
    <w:rsid w:val="003A131F"/>
    <w:rsid w:val="00560392"/>
    <w:rsid w:val="00563E45"/>
    <w:rsid w:val="006B7FA8"/>
    <w:rsid w:val="008211B5"/>
    <w:rsid w:val="00832412"/>
    <w:rsid w:val="00874653"/>
    <w:rsid w:val="00A25B9D"/>
    <w:rsid w:val="00A330C9"/>
    <w:rsid w:val="00A5022A"/>
    <w:rsid w:val="00AC372A"/>
    <w:rsid w:val="00AE4C28"/>
    <w:rsid w:val="00AE7AA2"/>
    <w:rsid w:val="00AF2C4B"/>
    <w:rsid w:val="00B73964"/>
    <w:rsid w:val="00B74704"/>
    <w:rsid w:val="00C059D7"/>
    <w:rsid w:val="00C947B8"/>
    <w:rsid w:val="00D0496D"/>
    <w:rsid w:val="00D051F5"/>
    <w:rsid w:val="00DF4A2A"/>
    <w:rsid w:val="00EC4F28"/>
    <w:rsid w:val="00EC59D9"/>
    <w:rsid w:val="00F63D05"/>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128574-4643-4DAD-9792-E2E8BB0A1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3928</Words>
  <Characters>22394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SCE17OE001</vt:lpstr>
    </vt:vector>
  </TitlesOfParts>
  <Company>Southern California Edison</Company>
  <LinksUpToDate>false</LinksUpToDate>
  <CharactersWithSpaces>26270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SCE17OE001</dc:title>
  <dc:creator>Jim Wyatt (PG&amp;E);Jason Wang (SCE)</dc:creator>
  <cp:lastModifiedBy>Ajay Wadhera</cp:lastModifiedBy>
  <cp:revision>5</cp:revision>
  <dcterms:created xsi:type="dcterms:W3CDTF">2017-03-06T14:57:00Z</dcterms:created>
  <dcterms:modified xsi:type="dcterms:W3CDTF">2017-03-06T16:27:00Z</dcterms:modified>
  <cp:contentStatus>Revision 0</cp:contentStatus>
</cp:coreProperties>
</file>