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2BA3E9D3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</w:t>
          </w:r>
          <w:r w:rsidR="0025406E">
            <w:t>17LG118</w:t>
          </w:r>
        </w:sdtContent>
      </w:sdt>
    </w:p>
    <w:bookmarkEnd w:id="0"/>
    <w:p w14:paraId="7601CE2F" w14:textId="62762500" w:rsidR="00DA690B" w:rsidRPr="00500C4E" w:rsidRDefault="007767A4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DF185F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7767A4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3B3E275A" w14:textId="77777777" w:rsidR="0025406E" w:rsidRDefault="0025406E" w:rsidP="0025406E">
      <w:pPr>
        <w:pStyle w:val="Default"/>
      </w:pPr>
    </w:p>
    <w:p w14:paraId="29CC4055" w14:textId="5A787B17" w:rsidR="00E76B31" w:rsidRPr="0025406E" w:rsidRDefault="0025406E" w:rsidP="0025406E">
      <w:pPr>
        <w:pStyle w:val="Reminders"/>
        <w:rPr>
          <w:rFonts w:asciiTheme="minorHAnsi" w:hAnsiTheme="minorHAnsi" w:cstheme="minorHAnsi"/>
          <w:i w:val="0"/>
          <w:color w:val="auto"/>
          <w:sz w:val="72"/>
          <w:szCs w:val="72"/>
        </w:rPr>
      </w:pPr>
      <w:r>
        <w:t xml:space="preserve"> </w:t>
      </w:r>
      <w:r w:rsidRPr="0025406E">
        <w:rPr>
          <w:b/>
          <w:bCs/>
          <w:i w:val="0"/>
          <w:color w:val="auto"/>
          <w:sz w:val="72"/>
          <w:szCs w:val="72"/>
        </w:rPr>
        <w:t>LED Ambient Commercial Fixtures and Retrofit Kits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78940EFD" w14:textId="02F8488E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This short form workpaper documents (WP) the values adopted from PGE’s WP entitled “</w:t>
      </w:r>
      <w:r w:rsidR="0025406E" w:rsidRPr="0025406E">
        <w:rPr>
          <w:rFonts w:asciiTheme="minorHAnsi" w:hAnsiTheme="minorHAnsi" w:cstheme="minorHAnsi"/>
          <w:i w:val="0"/>
          <w:color w:val="auto"/>
          <w:szCs w:val="22"/>
        </w:rPr>
        <w:t>PGECOLTG179 R5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- </w:t>
      </w:r>
      <w:r w:rsidR="0025406E" w:rsidRPr="0025406E">
        <w:rPr>
          <w:rFonts w:asciiTheme="minorHAnsi" w:hAnsiTheme="minorHAnsi" w:cstheme="minorHAnsi"/>
          <w:i w:val="0"/>
          <w:color w:val="auto"/>
          <w:szCs w:val="22"/>
        </w:rPr>
        <w:t>LED Ambient Commercial Fixtures and Retrofit Kits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>. SCE adopts all the methodology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in </w:t>
      </w:r>
      <w:r w:rsidR="0025406E" w:rsidRPr="0025406E">
        <w:rPr>
          <w:rFonts w:asciiTheme="minorHAnsi" w:hAnsiTheme="minorHAnsi" w:cstheme="minorHAnsi"/>
          <w:i w:val="0"/>
          <w:color w:val="auto"/>
          <w:szCs w:val="22"/>
        </w:rPr>
        <w:t>PGECOLTG179 R5</w:t>
      </w:r>
      <w:r w:rsidR="0025406E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- </w:t>
      </w:r>
      <w:r w:rsidR="0025406E" w:rsidRPr="0025406E">
        <w:rPr>
          <w:rFonts w:asciiTheme="minorHAnsi" w:hAnsiTheme="minorHAnsi" w:cstheme="minorHAnsi"/>
          <w:i w:val="0"/>
          <w:color w:val="auto"/>
          <w:szCs w:val="22"/>
        </w:rPr>
        <w:t>LED Ambient Commercial Fixtures and Retrofit Kits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CD6187">
        <w:rPr>
          <w:rFonts w:asciiTheme="minorHAnsi" w:hAnsiTheme="minorHAnsi" w:cstheme="minorHAnsi"/>
          <w:i w:val="0"/>
          <w:color w:val="auto"/>
          <w:szCs w:val="22"/>
        </w:rPr>
        <w:t>with the exceptions noted</w:t>
      </w:r>
      <w:r w:rsidR="0025406E">
        <w:rPr>
          <w:rFonts w:asciiTheme="minorHAnsi" w:hAnsiTheme="minorHAnsi" w:cstheme="minorHAnsi"/>
          <w:i w:val="0"/>
          <w:color w:val="auto"/>
          <w:szCs w:val="22"/>
        </w:rPr>
        <w:t xml:space="preserve"> below</w:t>
      </w:r>
      <w:r w:rsidR="008D7491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097843B" w14:textId="77777777" w:rsidR="0025406E" w:rsidRDefault="0025406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FB8AEDD" w14:textId="5E34924B" w:rsidR="0025406E" w:rsidRDefault="0025406E" w:rsidP="0025406E">
      <w:pPr>
        <w:pStyle w:val="Reminders"/>
        <w:numPr>
          <w:ilvl w:val="0"/>
          <w:numId w:val="44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Two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different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calculation templates for 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 xml:space="preserve">Multifamily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Common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Area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2017 calculation template.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The different 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 xml:space="preserve">applications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have independent 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 xml:space="preserve">SCE </w:t>
      </w:r>
      <w:r>
        <w:rPr>
          <w:rFonts w:asciiTheme="minorHAnsi" w:hAnsiTheme="minorHAnsi" w:cstheme="minorHAnsi"/>
          <w:i w:val="0"/>
          <w:color w:val="auto"/>
          <w:szCs w:val="22"/>
        </w:rPr>
        <w:t>solution codes and cost-effectiveness assumptions associated with them to avoid confusion. The NTG values and other cost effectiveness assumptions were chosen according to the delivery method.</w:t>
      </w:r>
    </w:p>
    <w:p w14:paraId="675437A6" w14:textId="6A84A3C3" w:rsidR="0025406E" w:rsidRPr="005837B0" w:rsidRDefault="0025406E" w:rsidP="007B051B">
      <w:pPr>
        <w:pStyle w:val="Reminders"/>
        <w:numPr>
          <w:ilvl w:val="0"/>
          <w:numId w:val="44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Common Areas were added fo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r the Multifamily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(MFm)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Building Type.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Common A</w:t>
      </w:r>
      <w:r>
        <w:rPr>
          <w:rFonts w:asciiTheme="minorHAnsi" w:hAnsiTheme="minorHAnsi" w:cstheme="minorHAnsi"/>
          <w:i w:val="0"/>
          <w:color w:val="auto"/>
          <w:szCs w:val="22"/>
        </w:rPr>
        <w:t>reas used operating hours of 4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>,</w:t>
      </w:r>
      <w:r>
        <w:rPr>
          <w:rFonts w:asciiTheme="minorHAnsi" w:hAnsiTheme="minorHAnsi" w:cstheme="minorHAnsi"/>
          <w:i w:val="0"/>
          <w:color w:val="auto"/>
          <w:szCs w:val="22"/>
        </w:rPr>
        <w:t>340 for savings calculations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 xml:space="preserve">, consistent with </w:t>
      </w:r>
      <w:r w:rsidR="007B051B">
        <w:rPr>
          <w:rFonts w:asciiTheme="minorHAnsi" w:hAnsiTheme="minorHAnsi" w:cstheme="minorHAnsi"/>
          <w:i w:val="0"/>
          <w:color w:val="auto"/>
          <w:szCs w:val="22"/>
        </w:rPr>
        <w:t>”</w:t>
      </w:r>
      <w:r w:rsidR="007B051B" w:rsidRPr="007B051B">
        <w:t xml:space="preserve"> </w:t>
      </w:r>
      <w:r w:rsidR="007B051B" w:rsidRPr="007B051B">
        <w:rPr>
          <w:rFonts w:asciiTheme="minorHAnsi" w:hAnsiTheme="minorHAnsi" w:cstheme="minorHAnsi"/>
          <w:i w:val="0"/>
          <w:color w:val="auto"/>
          <w:szCs w:val="22"/>
        </w:rPr>
        <w:t>2015_Lighting_Retrofit_Guidance_memo_FINAL</w:t>
      </w:r>
      <w:r w:rsidR="007B051B">
        <w:rPr>
          <w:rFonts w:asciiTheme="minorHAnsi" w:hAnsiTheme="minorHAnsi" w:cstheme="minorHAnsi"/>
          <w:i w:val="0"/>
          <w:color w:val="auto"/>
          <w:szCs w:val="22"/>
        </w:rPr>
        <w:t xml:space="preserve">” 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 xml:space="preserve">CPUC </w:t>
      </w:r>
      <w:r w:rsidR="007B051B">
        <w:rPr>
          <w:rFonts w:asciiTheme="minorHAnsi" w:hAnsiTheme="minorHAnsi" w:cstheme="minorHAnsi"/>
          <w:i w:val="0"/>
          <w:color w:val="auto"/>
          <w:szCs w:val="22"/>
        </w:rPr>
        <w:t>memo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For Non-Res building types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>,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SCE calculate</w:t>
      </w:r>
      <w:r w:rsidR="005B4AB5">
        <w:rPr>
          <w:rFonts w:asciiTheme="minorHAnsi" w:hAnsiTheme="minorHAnsi" w:cstheme="minorHAnsi"/>
          <w:i w:val="0"/>
          <w:color w:val="auto"/>
          <w:szCs w:val="22"/>
        </w:rPr>
        <w:t>s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savings based on climate zone specific Interactive Effects (IE) and Coincident Demand Factors (CDF) to calculate savings. 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16B00232" w:rsidR="004147A4" w:rsidRPr="004147A4" w:rsidRDefault="008D7491" w:rsidP="008D7491">
            <w:pPr>
              <w:rPr>
                <w:rFonts w:cstheme="minorHAnsi"/>
                <w:szCs w:val="20"/>
              </w:rPr>
            </w:pPr>
            <w:r>
              <w:t>11</w:t>
            </w:r>
            <w:r w:rsidR="009D5DD9">
              <w:t>/</w:t>
            </w:r>
            <w:r w:rsidR="0076158E">
              <w:t>02</w:t>
            </w:r>
            <w:r w:rsidR="009D5DD9">
              <w:t>/2017</w:t>
            </w:r>
          </w:p>
        </w:tc>
        <w:tc>
          <w:tcPr>
            <w:tcW w:w="1235" w:type="pct"/>
          </w:tcPr>
          <w:p w14:paraId="4A812BB3" w14:textId="6A0CB325" w:rsidR="004147A4" w:rsidRPr="004147A4" w:rsidRDefault="0025406E" w:rsidP="008D7491">
            <w:pPr>
              <w:rPr>
                <w:rFonts w:cstheme="minorHAnsi"/>
                <w:szCs w:val="20"/>
              </w:rPr>
            </w:pPr>
            <w:r>
              <w:t>Ajay Wadhera/SCE</w:t>
            </w:r>
          </w:p>
        </w:tc>
        <w:tc>
          <w:tcPr>
            <w:tcW w:w="2758" w:type="pct"/>
          </w:tcPr>
          <w:p w14:paraId="34F0A8ED" w14:textId="2F3DA93B" w:rsidR="004147A4" w:rsidRPr="00535581" w:rsidRDefault="009E0BAA" w:rsidP="0025406E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25406E" w:rsidRPr="0025406E">
              <w:t>PGECOLTG179 R5-9-11-2015F</w:t>
            </w:r>
            <w:r w:rsidRPr="00535581">
              <w:t>”.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47DC696A" w:rsidR="009A2332" w:rsidRDefault="00A30A0C" w:rsidP="00AF5FE0">
            <w:r>
              <w:t xml:space="preserve">This short form </w:t>
            </w:r>
            <w:r w:rsidR="0076158E">
              <w:t>work paper</w:t>
            </w:r>
            <w:r>
              <w:t xml:space="preserve"> documents ex-ante load impacts and cost-effectiveness values for </w:t>
            </w:r>
            <w:r w:rsidR="009B3422" w:rsidRPr="009B3422">
              <w:t>LED Ambient Commercial Fixtures and Retrofit Kits</w:t>
            </w:r>
            <w:r w:rsidR="00DB10D9" w:rsidRPr="00DB10D9">
              <w:t>.</w:t>
            </w:r>
            <w:r w:rsidR="00DB10D9">
              <w:t xml:space="preserve"> 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7D8B621A" w:rsidR="009A2332" w:rsidRDefault="0014395D" w:rsidP="005B4AB5">
            <w:r w:rsidRPr="0014395D">
              <w:t xml:space="preserve">No </w:t>
            </w:r>
            <w:r w:rsidR="005B4AB5">
              <w:t>d</w:t>
            </w:r>
            <w:r w:rsidRPr="0014395D">
              <w:t>ifference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285515E1" w:rsidR="009A2332" w:rsidRDefault="00535581" w:rsidP="000D46BF">
            <w:r>
              <w:t xml:space="preserve">No </w:t>
            </w:r>
            <w:r w:rsidR="000D46BF">
              <w:t>d</w:t>
            </w:r>
            <w:r>
              <w:t>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C2076AD" w:rsidR="009A2332" w:rsidRDefault="009B3422" w:rsidP="00B53CF1">
            <w:r>
              <w:t>SCE Specific solution codes (See Attachment 1 for more details).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AF5FE0">
        <w:trPr>
          <w:trHeight w:val="593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30AECB4C" w14:textId="0AECAA02" w:rsidR="006A497A" w:rsidRPr="00535581" w:rsidRDefault="00AF5FE0" w:rsidP="000D46BF">
            <w:r w:rsidRPr="00AF5FE0">
              <w:t xml:space="preserve">No </w:t>
            </w:r>
            <w:r w:rsidR="0076158E">
              <w:t>d</w:t>
            </w:r>
            <w:r w:rsidR="0076158E" w:rsidRPr="00AF5FE0">
              <w:t>ifference</w:t>
            </w:r>
            <w:r w:rsidR="0076158E">
              <w:t>s except customers are</w:t>
            </w:r>
            <w:r w:rsidR="009B3422">
              <w:t xml:space="preserve"> SCE territory wide.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2D9FAB36" w:rsidR="009A2332" w:rsidRDefault="00535581" w:rsidP="000D46BF">
            <w:r>
              <w:t xml:space="preserve">No </w:t>
            </w:r>
            <w:r w:rsidR="000D46BF">
              <w:t>d</w:t>
            </w:r>
            <w:r>
              <w:t>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C2D68E" w14:textId="77777777" w:rsidR="005B4AB5" w:rsidRDefault="005B4AB5" w:rsidP="00535581">
            <w:pPr>
              <w:rPr>
                <w:u w:val="single"/>
              </w:rPr>
            </w:pPr>
          </w:p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733F9BB" w14:textId="3CACE84D" w:rsidR="00535581" w:rsidRDefault="00535581" w:rsidP="007B051B">
            <w:pPr>
              <w:pStyle w:val="ListParagraph"/>
              <w:numPr>
                <w:ilvl w:val="0"/>
                <w:numId w:val="45"/>
              </w:numPr>
            </w:pPr>
            <w:r>
              <w:t xml:space="preserve">Down-Stream Incentive </w:t>
            </w:r>
            <w:r w:rsidR="009B3422">
              <w:t>–</w:t>
            </w:r>
            <w:r>
              <w:t xml:space="preserve"> Deemed</w:t>
            </w:r>
          </w:p>
          <w:p w14:paraId="3F812B73" w14:textId="310DBE1A" w:rsidR="009B3422" w:rsidRDefault="009B3422" w:rsidP="007B051B">
            <w:pPr>
              <w:pStyle w:val="ListParagraph"/>
              <w:numPr>
                <w:ilvl w:val="0"/>
                <w:numId w:val="45"/>
              </w:numPr>
            </w:pPr>
            <w:r>
              <w:t>Mid-Stream Incentive</w:t>
            </w:r>
          </w:p>
          <w:p w14:paraId="5058A24C" w14:textId="77777777" w:rsidR="009B3422" w:rsidRDefault="0076158E" w:rsidP="007B051B">
            <w:pPr>
              <w:pStyle w:val="ListParagraph"/>
              <w:numPr>
                <w:ilvl w:val="0"/>
                <w:numId w:val="45"/>
              </w:numPr>
            </w:pPr>
            <w:r>
              <w:t>Direct install</w:t>
            </w:r>
          </w:p>
          <w:p w14:paraId="2243295D" w14:textId="77777777" w:rsidR="0076158E" w:rsidRDefault="0076158E" w:rsidP="00535581"/>
          <w:p w14:paraId="7AE7E4A8" w14:textId="77777777" w:rsidR="0076158E" w:rsidRDefault="0076158E" w:rsidP="00535581">
            <w:pPr>
              <w:rPr>
                <w:u w:val="single"/>
              </w:rPr>
            </w:pPr>
            <w:r w:rsidRPr="0076158E">
              <w:rPr>
                <w:u w:val="single"/>
              </w:rPr>
              <w:t>Residential:</w:t>
            </w:r>
          </w:p>
          <w:p w14:paraId="0E5CA704" w14:textId="7742BA0B" w:rsidR="0076158E" w:rsidRDefault="0076158E" w:rsidP="007B051B">
            <w:pPr>
              <w:pStyle w:val="ListParagraph"/>
              <w:numPr>
                <w:ilvl w:val="0"/>
                <w:numId w:val="46"/>
              </w:numPr>
            </w:pPr>
            <w:r>
              <w:t xml:space="preserve">Down-Stream Incentive – Deemed </w:t>
            </w:r>
          </w:p>
          <w:p w14:paraId="67E45078" w14:textId="5DDE1521" w:rsidR="009E0BAA" w:rsidRPr="005B4AB5" w:rsidRDefault="0076158E" w:rsidP="007B051B">
            <w:pPr>
              <w:pStyle w:val="ListParagraph"/>
              <w:numPr>
                <w:ilvl w:val="0"/>
                <w:numId w:val="46"/>
              </w:numPr>
              <w:rPr>
                <w:u w:val="single"/>
              </w:rPr>
            </w:pPr>
            <w:r>
              <w:t>Direct install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F4DABE4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D507F5A" w14:textId="1432A825" w:rsidR="005B4AB5" w:rsidRDefault="005B4AB5" w:rsidP="00D04433">
            <w:r>
              <w:t>No difference</w:t>
            </w:r>
          </w:p>
          <w:p w14:paraId="2DD933F3" w14:textId="77777777" w:rsidR="005F762C" w:rsidRDefault="0076158E" w:rsidP="00D04433">
            <w:r>
              <w:t xml:space="preserve">Agricultural: </w:t>
            </w:r>
            <w:r w:rsidRPr="0076158E">
              <w:t>Agric-Default&gt;2yrs</w:t>
            </w:r>
            <w:r>
              <w:t xml:space="preserve"> – 0.6</w:t>
            </w:r>
          </w:p>
          <w:p w14:paraId="333AD55A" w14:textId="77777777" w:rsidR="0076158E" w:rsidRDefault="0076158E" w:rsidP="00D04433">
            <w:r>
              <w:t>Industrial: Ind</w:t>
            </w:r>
            <w:r w:rsidRPr="0076158E">
              <w:t>-Default&gt;2yrs</w:t>
            </w:r>
            <w:r>
              <w:t xml:space="preserve"> – 0.6</w:t>
            </w:r>
          </w:p>
          <w:p w14:paraId="7C5DD696" w14:textId="77777777" w:rsidR="0076158E" w:rsidRDefault="0076158E" w:rsidP="00D04433">
            <w:r>
              <w:t>Commercial: Com</w:t>
            </w:r>
            <w:r w:rsidRPr="0076158E">
              <w:t>-Default&gt;2yrs</w:t>
            </w:r>
            <w:r>
              <w:t xml:space="preserve"> – 0.6</w:t>
            </w:r>
          </w:p>
          <w:p w14:paraId="7C01181E" w14:textId="51CD09CC" w:rsidR="0076158E" w:rsidRDefault="0076158E" w:rsidP="00D04433">
            <w:r>
              <w:t>Residential: Res</w:t>
            </w:r>
            <w:r w:rsidRPr="0076158E">
              <w:t>-Default&gt;2yrs</w:t>
            </w:r>
            <w:r>
              <w:t xml:space="preserve"> – 0.55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00AACC3F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6BE5F631" w14:textId="7B1897A7" w:rsidR="000D46BF" w:rsidRDefault="000D46BF" w:rsidP="00D04433">
            <w:r>
              <w:t>No difference</w:t>
            </w:r>
          </w:p>
          <w:p w14:paraId="70BC13BC" w14:textId="41FDA8EE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E8B08E2" w:rsidR="009A2332" w:rsidRDefault="00AF5FE0" w:rsidP="0048099B">
            <w:r>
              <w:t>No difference</w:t>
            </w:r>
            <w:r w:rsidR="0076158E">
              <w:t xml:space="preserve"> in delta watt calculation except SCE uses climate zone specific IE and CDF values to calculate kWh and kW savings.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6BA62E96" w:rsidR="009A2332" w:rsidRDefault="0076158E" w:rsidP="00853F0E">
            <w:r w:rsidRPr="0076158E">
              <w:t>DEER:Indoor_Non-CFL_Ltg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1EC9BC13" w:rsidR="009A2332" w:rsidRDefault="00913E25" w:rsidP="00C7681E">
            <w:r>
              <w:t xml:space="preserve">No </w:t>
            </w:r>
            <w:r w:rsidR="00C7681E">
              <w:t>d</w:t>
            </w:r>
            <w:r>
              <w:t>ifference</w:t>
            </w:r>
          </w:p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11B6B2E3" w14:textId="7896289C" w:rsidR="0048099B" w:rsidRDefault="007B051B" w:rsidP="0048099B">
            <w:r>
              <w:t xml:space="preserve">Measure Cost - </w:t>
            </w:r>
            <w:r w:rsidR="0014395D">
              <w:t>No difference</w:t>
            </w:r>
          </w:p>
          <w:p w14:paraId="33A0F071" w14:textId="065EBBC8" w:rsidR="007B051B" w:rsidRDefault="007B051B" w:rsidP="0048099B">
            <w:r>
              <w:t xml:space="preserve">Base Case Cost – </w:t>
            </w:r>
            <w:r w:rsidR="007767A4">
              <w:t>No difference</w:t>
            </w:r>
            <w:bookmarkStart w:id="3" w:name="_GoBack"/>
            <w:bookmarkEnd w:id="3"/>
          </w:p>
          <w:p w14:paraId="4A8F9241" w14:textId="61561D83" w:rsidR="009A2332" w:rsidRDefault="009A2332" w:rsidP="0048099B"/>
        </w:tc>
      </w:tr>
    </w:tbl>
    <w:p w14:paraId="31A3A294" w14:textId="77777777" w:rsidR="009A2332" w:rsidRDefault="009A2332" w:rsidP="009A2332"/>
    <w:p w14:paraId="4ADFD17A" w14:textId="6701DC67" w:rsidR="009A2332" w:rsidRPr="008C26D8" w:rsidRDefault="009A2332" w:rsidP="009A2332">
      <w:pPr>
        <w:spacing w:after="200" w:line="276" w:lineRule="auto"/>
        <w:rPr>
          <w:b/>
          <w:szCs w:val="22"/>
        </w:rPr>
      </w:pPr>
    </w:p>
    <w:p w14:paraId="70F7AFE0" w14:textId="33BECC75" w:rsidR="007B2FFB" w:rsidRPr="00924B0A" w:rsidRDefault="007B2FFB" w:rsidP="007B2FFB">
      <w:pPr>
        <w:rPr>
          <w:b/>
          <w:szCs w:val="20"/>
        </w:rPr>
      </w:pPr>
      <w:bookmarkStart w:id="4" w:name="_Toc214003099"/>
      <w:bookmarkEnd w:id="1"/>
      <w:bookmarkEnd w:id="4"/>
      <w:r w:rsidRPr="00924B0A">
        <w:rPr>
          <w:b/>
          <w:szCs w:val="20"/>
        </w:rPr>
        <w:t>Attachments</w:t>
      </w:r>
    </w:p>
    <w:p w14:paraId="37E9FBDB" w14:textId="2F84B4E2" w:rsidR="00E16609" w:rsidRPr="007B2FFB" w:rsidRDefault="004E6B61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 xml:space="preserve">A1 </w:t>
      </w:r>
      <w:r w:rsidR="007B2FFB" w:rsidRPr="007B2FFB">
        <w:rPr>
          <w:szCs w:val="20"/>
        </w:rPr>
        <w:t>SCE17</w:t>
      </w:r>
      <w:r w:rsidR="0076158E">
        <w:rPr>
          <w:szCs w:val="20"/>
        </w:rPr>
        <w:t>LG118</w:t>
      </w:r>
      <w:r w:rsidR="007B2FFB" w:rsidRPr="007B2FFB">
        <w:rPr>
          <w:szCs w:val="20"/>
        </w:rPr>
        <w:t>.0 – Calculation Templates</w:t>
      </w:r>
      <w:r w:rsidR="00924B0A">
        <w:rPr>
          <w:szCs w:val="20"/>
        </w:rPr>
        <w:t>_Final.zip</w:t>
      </w:r>
      <w:r w:rsidR="00862B74">
        <w:rPr>
          <w:szCs w:val="20"/>
        </w:rPr>
        <w:t xml:space="preserve"> </w:t>
      </w:r>
      <w:r w:rsidR="00862B74">
        <w:rPr>
          <w:szCs w:val="20"/>
        </w:rPr>
        <w:tab/>
      </w:r>
    </w:p>
    <w:sectPr w:rsidR="00E16609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B35A0" w14:textId="77777777" w:rsidR="00A30015" w:rsidRDefault="00A30015" w:rsidP="00447D6E">
      <w:r>
        <w:separator/>
      </w:r>
    </w:p>
    <w:p w14:paraId="70D5236C" w14:textId="77777777" w:rsidR="00A30015" w:rsidRDefault="00A30015"/>
  </w:endnote>
  <w:endnote w:type="continuationSeparator" w:id="0">
    <w:p w14:paraId="57FB32C7" w14:textId="77777777" w:rsidR="00A30015" w:rsidRDefault="00A30015" w:rsidP="00447D6E">
      <w:r>
        <w:continuationSeparator/>
      </w:r>
    </w:p>
    <w:p w14:paraId="5AD7F36D" w14:textId="77777777" w:rsidR="00A30015" w:rsidRDefault="00A30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0F059944" w:rsidR="00F30167" w:rsidRPr="009500DC" w:rsidRDefault="007767A4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5406E">
          <w:rPr>
            <w:rFonts w:cstheme="minorHAnsi"/>
            <w:b/>
            <w:sz w:val="20"/>
            <w:szCs w:val="20"/>
          </w:rPr>
          <w:t>SCE17LG118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F185F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7-11-02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25406E">
          <w:rPr>
            <w:rFonts w:cstheme="minorHAnsi"/>
            <w:b/>
            <w:sz w:val="20"/>
            <w:szCs w:val="20"/>
          </w:rPr>
          <w:t>November 2</w:t>
        </w:r>
        <w:r w:rsidR="00E61B5E">
          <w:rPr>
            <w:rFonts w:cstheme="minorHAnsi"/>
            <w:b/>
            <w:sz w:val="20"/>
            <w:szCs w:val="20"/>
          </w:rPr>
          <w:t>, 2017</w:t>
        </w:r>
      </w:sdtContent>
    </w:sdt>
  </w:p>
  <w:p w14:paraId="43C07EA5" w14:textId="544E4323" w:rsidR="00F30167" w:rsidRPr="009500DC" w:rsidRDefault="007767A4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2DEE7" w14:textId="77777777" w:rsidR="00A30015" w:rsidRDefault="00A30015" w:rsidP="00447D6E">
      <w:r>
        <w:separator/>
      </w:r>
    </w:p>
    <w:p w14:paraId="42BE3DE7" w14:textId="77777777" w:rsidR="00A30015" w:rsidRDefault="00A30015"/>
  </w:footnote>
  <w:footnote w:type="continuationSeparator" w:id="0">
    <w:p w14:paraId="64DABFC0" w14:textId="77777777" w:rsidR="00A30015" w:rsidRDefault="00A30015" w:rsidP="00447D6E">
      <w:r>
        <w:continuationSeparator/>
      </w:r>
    </w:p>
    <w:p w14:paraId="36FB0F7A" w14:textId="77777777" w:rsidR="00A30015" w:rsidRDefault="00A300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E7995"/>
    <w:multiLevelType w:val="hybridMultilevel"/>
    <w:tmpl w:val="4522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CC00CBD"/>
    <w:multiLevelType w:val="hybridMultilevel"/>
    <w:tmpl w:val="3FD8B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D614D"/>
    <w:multiLevelType w:val="hybridMultilevel"/>
    <w:tmpl w:val="3BA45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D95CEA"/>
    <w:multiLevelType w:val="hybridMultilevel"/>
    <w:tmpl w:val="12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6"/>
  </w:num>
  <w:num w:numId="4">
    <w:abstractNumId w:val="23"/>
  </w:num>
  <w:num w:numId="5">
    <w:abstractNumId w:val="23"/>
  </w:num>
  <w:num w:numId="6">
    <w:abstractNumId w:val="2"/>
  </w:num>
  <w:num w:numId="7">
    <w:abstractNumId w:val="28"/>
  </w:num>
  <w:num w:numId="8">
    <w:abstractNumId w:val="25"/>
  </w:num>
  <w:num w:numId="9">
    <w:abstractNumId w:val="15"/>
  </w:num>
  <w:num w:numId="10">
    <w:abstractNumId w:val="8"/>
  </w:num>
  <w:num w:numId="11">
    <w:abstractNumId w:val="29"/>
  </w:num>
  <w:num w:numId="12">
    <w:abstractNumId w:val="21"/>
  </w:num>
  <w:num w:numId="13">
    <w:abstractNumId w:val="14"/>
  </w:num>
  <w:num w:numId="14">
    <w:abstractNumId w:val="41"/>
  </w:num>
  <w:num w:numId="15">
    <w:abstractNumId w:val="11"/>
  </w:num>
  <w:num w:numId="16">
    <w:abstractNumId w:val="16"/>
  </w:num>
  <w:num w:numId="17">
    <w:abstractNumId w:val="6"/>
  </w:num>
  <w:num w:numId="18">
    <w:abstractNumId w:val="0"/>
  </w:num>
  <w:num w:numId="19">
    <w:abstractNumId w:val="39"/>
  </w:num>
  <w:num w:numId="20">
    <w:abstractNumId w:val="5"/>
  </w:num>
  <w:num w:numId="21">
    <w:abstractNumId w:val="31"/>
  </w:num>
  <w:num w:numId="22">
    <w:abstractNumId w:val="32"/>
  </w:num>
  <w:num w:numId="23">
    <w:abstractNumId w:val="42"/>
  </w:num>
  <w:num w:numId="24">
    <w:abstractNumId w:val="36"/>
  </w:num>
  <w:num w:numId="25">
    <w:abstractNumId w:val="17"/>
  </w:num>
  <w:num w:numId="26">
    <w:abstractNumId w:val="20"/>
  </w:num>
  <w:num w:numId="27">
    <w:abstractNumId w:val="33"/>
  </w:num>
  <w:num w:numId="28">
    <w:abstractNumId w:val="19"/>
  </w:num>
  <w:num w:numId="29">
    <w:abstractNumId w:val="10"/>
  </w:num>
  <w:num w:numId="30">
    <w:abstractNumId w:val="1"/>
  </w:num>
  <w:num w:numId="31">
    <w:abstractNumId w:val="43"/>
  </w:num>
  <w:num w:numId="32">
    <w:abstractNumId w:val="30"/>
  </w:num>
  <w:num w:numId="33">
    <w:abstractNumId w:val="35"/>
  </w:num>
  <w:num w:numId="34">
    <w:abstractNumId w:val="13"/>
  </w:num>
  <w:num w:numId="35">
    <w:abstractNumId w:val="18"/>
  </w:num>
  <w:num w:numId="36">
    <w:abstractNumId w:val="9"/>
  </w:num>
  <w:num w:numId="37">
    <w:abstractNumId w:val="40"/>
  </w:num>
  <w:num w:numId="38">
    <w:abstractNumId w:val="3"/>
  </w:num>
  <w:num w:numId="39">
    <w:abstractNumId w:val="4"/>
  </w:num>
  <w:num w:numId="40">
    <w:abstractNumId w:val="22"/>
  </w:num>
  <w:num w:numId="41">
    <w:abstractNumId w:val="34"/>
  </w:num>
  <w:num w:numId="42">
    <w:abstractNumId w:val="38"/>
  </w:num>
  <w:num w:numId="43">
    <w:abstractNumId w:val="7"/>
  </w:num>
  <w:num w:numId="44">
    <w:abstractNumId w:val="24"/>
  </w:num>
  <w:num w:numId="45">
    <w:abstractNumId w:val="37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46BF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395D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06E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1BE6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99B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6B61"/>
    <w:rsid w:val="004E76CA"/>
    <w:rsid w:val="004F1698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4AB5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02C3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158E"/>
    <w:rsid w:val="00764D0D"/>
    <w:rsid w:val="007767A4"/>
    <w:rsid w:val="00777C53"/>
    <w:rsid w:val="00786E92"/>
    <w:rsid w:val="0079252E"/>
    <w:rsid w:val="007933F1"/>
    <w:rsid w:val="007A5F52"/>
    <w:rsid w:val="007B051B"/>
    <w:rsid w:val="007B090A"/>
    <w:rsid w:val="007B2FFB"/>
    <w:rsid w:val="007E43F8"/>
    <w:rsid w:val="007E5076"/>
    <w:rsid w:val="007E59E1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6E0D"/>
    <w:rsid w:val="00842884"/>
    <w:rsid w:val="00843763"/>
    <w:rsid w:val="00847A4E"/>
    <w:rsid w:val="00853F0E"/>
    <w:rsid w:val="00862B74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D7491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3E25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3422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015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5FE0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14F1"/>
    <w:rsid w:val="00B772A2"/>
    <w:rsid w:val="00B866B4"/>
    <w:rsid w:val="00B91FD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350F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81E"/>
    <w:rsid w:val="00C76D4F"/>
    <w:rsid w:val="00C805BC"/>
    <w:rsid w:val="00C959CA"/>
    <w:rsid w:val="00C95D16"/>
    <w:rsid w:val="00CA2AB4"/>
    <w:rsid w:val="00CB0100"/>
    <w:rsid w:val="00CB04D2"/>
    <w:rsid w:val="00CD6187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1E6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42AC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254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254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3C53AC"/>
    <w:rsid w:val="004817CD"/>
    <w:rsid w:val="004B5B42"/>
    <w:rsid w:val="00560392"/>
    <w:rsid w:val="005F53B2"/>
    <w:rsid w:val="006B7FA8"/>
    <w:rsid w:val="00791C47"/>
    <w:rsid w:val="008211B5"/>
    <w:rsid w:val="00874653"/>
    <w:rsid w:val="008D1F72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4E28E1-2EE9-4282-84D5-FE76963D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SCE17LG118</vt:lpstr>
    </vt:vector>
  </TitlesOfParts>
  <Company>Southern California Edison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SCE17LG118</dc:title>
  <dc:creator>Jim Wyatt (PG&amp;E);Jason Wang (SCE)</dc:creator>
  <cp:lastModifiedBy>Cuaresma, Cassie</cp:lastModifiedBy>
  <cp:revision>3</cp:revision>
  <dcterms:created xsi:type="dcterms:W3CDTF">2017-11-06T21:01:00Z</dcterms:created>
  <dcterms:modified xsi:type="dcterms:W3CDTF">2017-11-06T22:00:00Z</dcterms:modified>
  <cp:contentStatus>Revision 0</cp:contentStatus>
</cp:coreProperties>
</file>