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2E4480DD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A267E">
            <w:t>SCE17LG111</w:t>
          </w:r>
        </w:sdtContent>
      </w:sdt>
    </w:p>
    <w:bookmarkEnd w:id="0"/>
    <w:p w14:paraId="7601CE2F" w14:textId="73230CA9" w:rsidR="00DA690B" w:rsidRPr="00500C4E" w:rsidRDefault="005F19F2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4D57EC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5F19F2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7CB856B9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28DEAC3F" w:rsidR="00F30167" w:rsidRDefault="001A267E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ascii="Arial" w:hAnsi="Arial" w:cs="Arial"/>
          <w:b/>
          <w:sz w:val="72"/>
          <w:szCs w:val="72"/>
        </w:rPr>
        <w:t>LED High-Bay and Low-Bay Fixtures</w:t>
      </w:r>
      <w:r w:rsidR="00F30167"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514146DE" w:rsid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2842F8">
        <w:rPr>
          <w:rFonts w:asciiTheme="minorHAnsi" w:hAnsiTheme="minorHAnsi" w:cstheme="minorHAnsi"/>
          <w:i w:val="0"/>
          <w:color w:val="auto"/>
          <w:szCs w:val="22"/>
        </w:rPr>
        <w:t>(WP) documents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the values adopted from PGE’s WP entitled “</w:t>
      </w:r>
      <w:r w:rsidR="001A267E" w:rsidRPr="001A267E">
        <w:rPr>
          <w:rFonts w:asciiTheme="minorHAnsi" w:hAnsiTheme="minorHAnsi" w:cstheme="minorHAnsi"/>
          <w:i w:val="0"/>
          <w:color w:val="auto"/>
          <w:szCs w:val="22"/>
        </w:rPr>
        <w:t>PGECOLTG178 R3-LED Core-DI H-</w:t>
      </w:r>
      <w:proofErr w:type="spellStart"/>
      <w:r w:rsidR="001A267E" w:rsidRPr="001A267E">
        <w:rPr>
          <w:rFonts w:asciiTheme="minorHAnsi" w:hAnsiTheme="minorHAnsi" w:cstheme="minorHAnsi"/>
          <w:i w:val="0"/>
          <w:color w:val="auto"/>
          <w:szCs w:val="22"/>
        </w:rPr>
        <w:t>LBayFixt_InterimSolution</w:t>
      </w:r>
      <w:proofErr w:type="spellEnd"/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1A267E" w:rsidRPr="001A267E">
        <w:rPr>
          <w:rFonts w:asciiTheme="minorHAnsi" w:hAnsiTheme="minorHAnsi" w:cstheme="minorHAnsi"/>
          <w:i w:val="0"/>
          <w:color w:val="auto"/>
          <w:szCs w:val="22"/>
        </w:rPr>
        <w:t>PGECOLTG178 R3-LED Core-DI H-</w:t>
      </w:r>
      <w:proofErr w:type="spellStart"/>
      <w:r w:rsidR="001A267E" w:rsidRPr="001A267E">
        <w:rPr>
          <w:rFonts w:asciiTheme="minorHAnsi" w:hAnsiTheme="minorHAnsi" w:cstheme="minorHAnsi"/>
          <w:i w:val="0"/>
          <w:color w:val="auto"/>
          <w:szCs w:val="22"/>
        </w:rPr>
        <w:t>LBayFixt_InterimSolution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, with the following exceptions. </w:t>
      </w:r>
    </w:p>
    <w:p w14:paraId="50488D03" w14:textId="77777777" w:rsidR="001A267E" w:rsidRDefault="001A267E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0A56882E" w14:textId="4CDB9DC9" w:rsidR="001A267E" w:rsidRDefault="001A267E" w:rsidP="001A267E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Added the Measure definitions and scaling provided by the CPUC in the PEAR database version 2.4.7.</w:t>
      </w:r>
    </w:p>
    <w:p w14:paraId="6CB3E817" w14:textId="4E49ACB8" w:rsidR="001A267E" w:rsidRPr="005837B0" w:rsidRDefault="001A267E" w:rsidP="001A267E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Implemented all measures with NTG of 0.91 per CPUC disposition on May 7</w:t>
      </w:r>
      <w:r w:rsidR="00A46111">
        <w:rPr>
          <w:rFonts w:asciiTheme="minorHAnsi" w:hAnsiTheme="minorHAnsi" w:cstheme="minorHAnsi"/>
          <w:i w:val="0"/>
          <w:color w:val="auto"/>
          <w:szCs w:val="22"/>
        </w:rPr>
        <w:t>, 2018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and ID provided in the PEAR database.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5B533B13" w14:textId="0788691C" w:rsidR="004147A4" w:rsidRDefault="001A267E" w:rsidP="00A30A0C">
            <w:r>
              <w:t>05/30/2018</w:t>
            </w:r>
          </w:p>
          <w:p w14:paraId="230E2E42" w14:textId="77777777" w:rsidR="004467AF" w:rsidRDefault="004467AF" w:rsidP="00A30A0C"/>
          <w:p w14:paraId="72115218" w14:textId="77777777" w:rsidR="004467AF" w:rsidRDefault="004467AF" w:rsidP="00A30A0C"/>
          <w:p w14:paraId="1D8764CC" w14:textId="77777777" w:rsidR="004467AF" w:rsidRDefault="004467AF" w:rsidP="00A30A0C"/>
          <w:p w14:paraId="68BA349C" w14:textId="697A6002" w:rsidR="004467AF" w:rsidRPr="004147A4" w:rsidRDefault="004467AF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687C40B7" w14:textId="2DF7B28B" w:rsidR="004147A4" w:rsidRDefault="001A267E" w:rsidP="00A30A0C">
            <w:r>
              <w:t xml:space="preserve">Ajay </w:t>
            </w:r>
            <w:proofErr w:type="spellStart"/>
            <w:r>
              <w:t>Wadhera</w:t>
            </w:r>
            <w:proofErr w:type="spellEnd"/>
            <w:r>
              <w:t xml:space="preserve"> (SCE)</w:t>
            </w:r>
          </w:p>
          <w:p w14:paraId="01CB9A7B" w14:textId="77777777" w:rsidR="004467AF" w:rsidRDefault="004467AF" w:rsidP="00A30A0C"/>
          <w:p w14:paraId="7AF206AB" w14:textId="77777777" w:rsidR="004467AF" w:rsidRDefault="004467AF" w:rsidP="00A30A0C"/>
          <w:p w14:paraId="281DCB70" w14:textId="77777777" w:rsidR="004467AF" w:rsidRDefault="004467AF" w:rsidP="00A30A0C">
            <w:pPr>
              <w:rPr>
                <w:rFonts w:cstheme="minorHAnsi"/>
                <w:szCs w:val="20"/>
              </w:rPr>
            </w:pPr>
          </w:p>
          <w:p w14:paraId="4A812BB3" w14:textId="41335616" w:rsidR="004467AF" w:rsidRPr="004147A4" w:rsidRDefault="004467AF" w:rsidP="00A30A0C">
            <w:pPr>
              <w:rPr>
                <w:rFonts w:cstheme="minorHAnsi"/>
                <w:szCs w:val="20"/>
              </w:rPr>
            </w:pPr>
          </w:p>
        </w:tc>
        <w:tc>
          <w:tcPr>
            <w:tcW w:w="2758" w:type="pct"/>
          </w:tcPr>
          <w:p w14:paraId="5EEA6346" w14:textId="7458D0BA" w:rsidR="004147A4" w:rsidRDefault="009E0BAA" w:rsidP="004467AF">
            <w:pPr>
              <w:pStyle w:val="ListParagraph"/>
              <w:numPr>
                <w:ilvl w:val="0"/>
                <w:numId w:val="42"/>
              </w:numPr>
              <w:ind w:left="284"/>
            </w:pPr>
            <w:r w:rsidRPr="00535581">
              <w:t>Calculation templates were developed based on PGE’s template “</w:t>
            </w:r>
            <w:r w:rsidR="001A267E" w:rsidRPr="001A267E">
              <w:rPr>
                <w:rFonts w:cstheme="minorHAnsi"/>
                <w:szCs w:val="22"/>
              </w:rPr>
              <w:t>PGECOLTG178 R3</w:t>
            </w:r>
            <w:r w:rsidR="001A267E">
              <w:t>” and PEAR database measure definitions.</w:t>
            </w:r>
          </w:p>
          <w:p w14:paraId="30BBF4D9" w14:textId="77777777" w:rsidR="004467AF" w:rsidRDefault="004467AF" w:rsidP="00685F04">
            <w:pPr>
              <w:pStyle w:val="ListParagraph"/>
              <w:ind w:left="284"/>
            </w:pPr>
          </w:p>
          <w:p w14:paraId="34F0A8ED" w14:textId="0CF65D79" w:rsidR="004467AF" w:rsidRPr="004467AF" w:rsidRDefault="004467AF" w:rsidP="00685F04">
            <w:pPr>
              <w:pStyle w:val="ListParagraph"/>
              <w:ind w:left="284"/>
            </w:pP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E463AD1" w14:textId="685FB250" w:rsidR="009A2332" w:rsidRDefault="00A30A0C" w:rsidP="001A267E">
            <w:r>
              <w:t xml:space="preserve">This short form </w:t>
            </w:r>
            <w:proofErr w:type="spellStart"/>
            <w:r>
              <w:t>workpaper</w:t>
            </w:r>
            <w:proofErr w:type="spellEnd"/>
            <w:r>
              <w:t xml:space="preserve"> documents ex-ante load impacts and cost-effectiveness values for </w:t>
            </w:r>
            <w:r w:rsidR="009516CF">
              <w:t xml:space="preserve">LED </w:t>
            </w:r>
            <w:r w:rsidR="001A267E">
              <w:t>High and Low Bay Fixtures</w:t>
            </w:r>
            <w:r w:rsidR="009516CF">
              <w:t xml:space="preserve">. </w:t>
            </w:r>
            <w:r w:rsidR="001A267E">
              <w:t xml:space="preserve">All measure definitions were adopted from the </w:t>
            </w:r>
            <w:proofErr w:type="spellStart"/>
            <w:r w:rsidR="001A267E">
              <w:t>READi</w:t>
            </w:r>
            <w:proofErr w:type="spellEnd"/>
            <w:r w:rsidR="001A267E">
              <w:t xml:space="preserve"> PEAR database version 2.4.7 as indicated in the May 7, 2018 disposition from CPUC.</w:t>
            </w:r>
          </w:p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C13548F" w:rsidR="009A2332" w:rsidRDefault="008B6976" w:rsidP="001A267E">
            <w:r>
              <w:t>Please refer to Attachment #1 Calculation Templates for the</w:t>
            </w:r>
            <w:r w:rsidR="001A267E">
              <w:t xml:space="preserve"> list of measure solution codes.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73BF7696" w:rsidR="009A2332" w:rsidRDefault="00535581" w:rsidP="001A267E">
            <w:r>
              <w:t>No Difference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11725A28" w:rsidR="009A2332" w:rsidRDefault="00535581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535581">
        <w:trPr>
          <w:trHeight w:val="3095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1DE471C2" w14:textId="24EB8CB3" w:rsidR="00535581" w:rsidRPr="00963BD4" w:rsidRDefault="00535581" w:rsidP="00535581">
            <w:pPr>
              <w:rPr>
                <w:szCs w:val="22"/>
              </w:rPr>
            </w:pPr>
            <w:r w:rsidRPr="00EC016F">
              <w:rPr>
                <w:szCs w:val="22"/>
              </w:rPr>
              <w:t xml:space="preserve">Please refer to </w:t>
            </w:r>
            <w:r w:rsidR="001A267E" w:rsidRPr="001A267E">
              <w:rPr>
                <w:rFonts w:cstheme="minorHAnsi"/>
                <w:szCs w:val="22"/>
              </w:rPr>
              <w:t>PGECOLTG178 R3</w:t>
            </w:r>
            <w:r w:rsidRPr="00963BD4">
              <w:rPr>
                <w:szCs w:val="22"/>
              </w:rPr>
              <w:t xml:space="preserve"> </w:t>
            </w:r>
            <w:proofErr w:type="spellStart"/>
            <w:r w:rsidRPr="00963BD4">
              <w:rPr>
                <w:szCs w:val="22"/>
              </w:rPr>
              <w:t>workpaper</w:t>
            </w:r>
            <w:proofErr w:type="spellEnd"/>
            <w:r w:rsidRPr="00963BD4">
              <w:rPr>
                <w:szCs w:val="22"/>
              </w:rPr>
              <w:t xml:space="preserve"> for further details.</w:t>
            </w:r>
          </w:p>
          <w:p w14:paraId="01143A00" w14:textId="77777777" w:rsidR="00535581" w:rsidRPr="00EC016F" w:rsidRDefault="00535581" w:rsidP="00535581">
            <w:pPr>
              <w:rPr>
                <w:szCs w:val="22"/>
              </w:rPr>
            </w:pPr>
          </w:p>
          <w:p w14:paraId="5BC8B01C" w14:textId="4F6FF7C2" w:rsidR="00535581" w:rsidRPr="00F46158" w:rsidRDefault="00535581" w:rsidP="00535581">
            <w:pPr>
              <w:pStyle w:val="ListParagraph"/>
              <w:numPr>
                <w:ilvl w:val="0"/>
                <w:numId w:val="43"/>
              </w:numPr>
            </w:pPr>
            <w:r w:rsidRPr="00963BD4">
              <w:rPr>
                <w:rFonts w:cs="Arial"/>
                <w:szCs w:val="22"/>
              </w:rPr>
              <w:t xml:space="preserve">The customer must be </w:t>
            </w:r>
            <w:r w:rsidR="00A45775">
              <w:rPr>
                <w:rFonts w:cs="Arial"/>
                <w:szCs w:val="22"/>
              </w:rPr>
              <w:t>non-residential</w:t>
            </w:r>
            <w:r w:rsidRPr="00963BD4">
              <w:rPr>
                <w:rFonts w:cs="Arial"/>
                <w:szCs w:val="22"/>
              </w:rPr>
              <w:t xml:space="preserve"> SCE electric customer.</w:t>
            </w:r>
          </w:p>
          <w:p w14:paraId="0E2B5FC4" w14:textId="77777777" w:rsidR="00535581" w:rsidRDefault="00535581" w:rsidP="00535581"/>
          <w:p w14:paraId="30AECB4C" w14:textId="34EEA736" w:rsidR="00EC016F" w:rsidRPr="00535581" w:rsidRDefault="006A497A" w:rsidP="001A267E">
            <w:r>
              <w:t xml:space="preserve">Note: Other program level restrictions and guidelines exist for this work paper. Please see the </w:t>
            </w:r>
            <w:r w:rsidRPr="00535581">
              <w:rPr>
                <w:b/>
              </w:rPr>
              <w:t xml:space="preserve">Programs Restrictions and Guidelines </w:t>
            </w:r>
            <w:r w:rsidR="001A267E">
              <w:t>section.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0001AFFA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1B0764E4" w:rsidR="009A2332" w:rsidRDefault="00535581" w:rsidP="009A2332">
            <w:r>
              <w:t>No Difference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F86BE4B" w14:textId="77777777" w:rsidR="00535581" w:rsidRPr="000C3091" w:rsidRDefault="00535581" w:rsidP="00535581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6F3F3728" w14:textId="77777777" w:rsidR="00535581" w:rsidRDefault="00535581" w:rsidP="00535581">
            <w:r>
              <w:t>Direct Install</w:t>
            </w:r>
          </w:p>
          <w:p w14:paraId="6733F9BB" w14:textId="77777777" w:rsidR="00535581" w:rsidRDefault="00535581" w:rsidP="00535581">
            <w:r>
              <w:t>Down-Stream Incentive - Deemed</w:t>
            </w:r>
          </w:p>
          <w:p w14:paraId="67E45078" w14:textId="42919796" w:rsidR="00685F04" w:rsidRDefault="00535581" w:rsidP="001A267E">
            <w:r w:rsidRPr="000C3091">
              <w:t>Mid-Stream Incentive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C01181E" w14:textId="4AD4CCC0" w:rsidR="005F762C" w:rsidRPr="001A267E" w:rsidRDefault="001A267E" w:rsidP="001A267E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Com-</w:t>
            </w:r>
            <w:proofErr w:type="spellStart"/>
            <w:r>
              <w:rPr>
                <w:rFonts w:ascii="Calibri" w:hAnsi="Calibri"/>
                <w:color w:val="000000"/>
                <w:szCs w:val="22"/>
              </w:rPr>
              <w:t>InHB</w:t>
            </w:r>
            <w:proofErr w:type="spellEnd"/>
            <w:r>
              <w:rPr>
                <w:rFonts w:ascii="Calibri" w:hAnsi="Calibri"/>
                <w:color w:val="000000"/>
                <w:szCs w:val="22"/>
              </w:rPr>
              <w:t>-</w:t>
            </w:r>
            <w:proofErr w:type="spellStart"/>
            <w:r>
              <w:rPr>
                <w:rFonts w:ascii="Calibri" w:hAnsi="Calibri"/>
                <w:color w:val="000000"/>
                <w:szCs w:val="22"/>
              </w:rPr>
              <w:t>Ltg-LEDFixt</w:t>
            </w:r>
            <w:proofErr w:type="spellEnd"/>
            <w:r>
              <w:rPr>
                <w:rFonts w:ascii="Calibri" w:hAnsi="Calibri"/>
                <w:color w:val="000000"/>
                <w:szCs w:val="22"/>
              </w:rPr>
              <w:t xml:space="preserve"> </w:t>
            </w:r>
            <w:r w:rsidR="000D0CCD">
              <w:t>= 0.91.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4DAC9C9" w14:textId="716F7024" w:rsidR="000D0CCD" w:rsidRDefault="001A267E" w:rsidP="00D04433">
            <w:r>
              <w:t>No Difference</w:t>
            </w:r>
          </w:p>
          <w:p w14:paraId="70BC13BC" w14:textId="64903FA1" w:rsidR="009A2332" w:rsidRDefault="009A2332" w:rsidP="00D04433"/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3BF0BEB4" w:rsidR="009A2332" w:rsidRDefault="001A267E" w:rsidP="000D0CCD">
            <w:r>
              <w:t xml:space="preserve">Savings come from the </w:t>
            </w:r>
            <w:proofErr w:type="spellStart"/>
            <w:r>
              <w:t>READi</w:t>
            </w:r>
            <w:proofErr w:type="spellEnd"/>
            <w:r>
              <w:t xml:space="preserve"> PEAR database for all applicable measure definitions adopted in this </w:t>
            </w:r>
            <w:proofErr w:type="spellStart"/>
            <w:r>
              <w:t>workpaper</w:t>
            </w:r>
            <w:proofErr w:type="spellEnd"/>
            <w:r>
              <w:t>.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39CA13CA" w:rsidR="009A2332" w:rsidRDefault="009A2332" w:rsidP="009A2332">
            <w:r w:rsidRPr="00853F0E">
              <w:rPr>
                <w:b/>
                <w:bCs/>
              </w:rPr>
              <w:t>Section 3. Load Shapes</w:t>
            </w:r>
          </w:p>
        </w:tc>
        <w:tc>
          <w:tcPr>
            <w:tcW w:w="4675" w:type="dxa"/>
          </w:tcPr>
          <w:p w14:paraId="573722DD" w14:textId="5C5B6C5B" w:rsidR="009A2332" w:rsidRDefault="001A267E" w:rsidP="00853F0E">
            <w:proofErr w:type="spellStart"/>
            <w:r w:rsidRPr="001A267E">
              <w:t>DEER:Indoor_Non-CFL_Ltg</w:t>
            </w:r>
            <w:proofErr w:type="spellEnd"/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9A2332" w:rsidRDefault="009A2332" w:rsidP="009A2332"/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31A3A294" w14:textId="77777777" w:rsidR="009A2332" w:rsidRDefault="009A2332" w:rsidP="009A2332"/>
    <w:p w14:paraId="0C9AC5FC" w14:textId="77777777" w:rsidR="008C26D8" w:rsidRPr="009A2332" w:rsidRDefault="008C26D8" w:rsidP="009A2332"/>
    <w:p w14:paraId="70F7AFE0" w14:textId="156C07ED" w:rsidR="007B2FFB" w:rsidRPr="004D57EC" w:rsidRDefault="00642213" w:rsidP="004D57EC">
      <w:pPr>
        <w:spacing w:after="200" w:line="276" w:lineRule="auto"/>
        <w:rPr>
          <w:rFonts w:cs="Arial"/>
          <w:szCs w:val="22"/>
        </w:rPr>
      </w:pPr>
      <w:bookmarkStart w:id="3" w:name="_Toc467224143"/>
      <w:r>
        <w:t xml:space="preserve"> </w:t>
      </w:r>
      <w:bookmarkStart w:id="4" w:name="_Toc214003099"/>
      <w:bookmarkEnd w:id="1"/>
      <w:bookmarkEnd w:id="3"/>
      <w:bookmarkEnd w:id="4"/>
      <w:r w:rsidR="007B2FFB" w:rsidRPr="00924B0A">
        <w:rPr>
          <w:b/>
          <w:szCs w:val="20"/>
        </w:rPr>
        <w:t>Attachments</w:t>
      </w:r>
    </w:p>
    <w:p w14:paraId="37E9FBDB" w14:textId="2A8C9223" w:rsidR="00E16609" w:rsidRDefault="004D57EC" w:rsidP="007B2FFB">
      <w:pPr>
        <w:pStyle w:val="ListParagraph"/>
        <w:numPr>
          <w:ilvl w:val="0"/>
          <w:numId w:val="39"/>
        </w:numPr>
        <w:rPr>
          <w:szCs w:val="20"/>
        </w:rPr>
      </w:pPr>
      <w:r>
        <w:rPr>
          <w:szCs w:val="20"/>
        </w:rPr>
        <w:t>SCE17LG111.0</w:t>
      </w:r>
      <w:r w:rsidR="007B2FFB" w:rsidRPr="007B2FFB">
        <w:rPr>
          <w:szCs w:val="20"/>
        </w:rPr>
        <w:t xml:space="preserve"> A1 – Calculation </w:t>
      </w:r>
      <w:proofErr w:type="spellStart"/>
      <w:r w:rsidR="007B2FFB" w:rsidRPr="007B2FFB">
        <w:rPr>
          <w:szCs w:val="20"/>
        </w:rPr>
        <w:t>Templates</w:t>
      </w:r>
      <w:r>
        <w:rPr>
          <w:szCs w:val="20"/>
        </w:rPr>
        <w:t>_Final</w:t>
      </w:r>
      <w:proofErr w:type="spellEnd"/>
    </w:p>
    <w:p w14:paraId="28C15FC0" w14:textId="083F96A1" w:rsidR="000D0CCD" w:rsidRPr="007B2FFB" w:rsidRDefault="004D57EC" w:rsidP="004D57EC">
      <w:pPr>
        <w:pStyle w:val="ListParagraph"/>
        <w:numPr>
          <w:ilvl w:val="0"/>
          <w:numId w:val="39"/>
        </w:numPr>
        <w:rPr>
          <w:szCs w:val="20"/>
        </w:rPr>
      </w:pPr>
      <w:bookmarkStart w:id="5" w:name="_GoBack"/>
      <w:bookmarkEnd w:id="5"/>
      <w:r w:rsidRPr="004D57EC">
        <w:rPr>
          <w:szCs w:val="20"/>
        </w:rPr>
        <w:t>InteriorHighAndLowBayLEDPhase2-7May2018-Final</w:t>
      </w:r>
      <w:r>
        <w:rPr>
          <w:szCs w:val="20"/>
        </w:rPr>
        <w:t>.pdf</w:t>
      </w:r>
    </w:p>
    <w:sectPr w:rsidR="000D0CCD" w:rsidRPr="007B2FFB" w:rsidSect="00E87C8F">
      <w:footerReference w:type="default" r:id="rId10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C60B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40FB6" w14:textId="77777777" w:rsidR="006F7DA4" w:rsidRDefault="006F7DA4" w:rsidP="00447D6E">
      <w:r>
        <w:separator/>
      </w:r>
    </w:p>
    <w:p w14:paraId="31AB7F8D" w14:textId="77777777" w:rsidR="006F7DA4" w:rsidRDefault="006F7DA4"/>
  </w:endnote>
  <w:endnote w:type="continuationSeparator" w:id="0">
    <w:p w14:paraId="5D97AE8E" w14:textId="77777777" w:rsidR="006F7DA4" w:rsidRDefault="006F7DA4" w:rsidP="00447D6E">
      <w:r>
        <w:continuationSeparator/>
      </w:r>
    </w:p>
    <w:p w14:paraId="1F105DDF" w14:textId="77777777" w:rsidR="006F7DA4" w:rsidRDefault="006F7D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6340CCA3" w:rsidR="00F30167" w:rsidRPr="009500DC" w:rsidRDefault="005F19F2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A267E">
          <w:rPr>
            <w:rFonts w:cstheme="minorHAnsi"/>
            <w:b/>
            <w:sz w:val="20"/>
            <w:szCs w:val="20"/>
          </w:rPr>
          <w:t>SCE17LG111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4D57EC">
          <w:rPr>
            <w:rFonts w:cstheme="minorHAnsi"/>
            <w:b/>
            <w:sz w:val="20"/>
            <w:szCs w:val="20"/>
          </w:rPr>
          <w:t>Revision 0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2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5-30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1A267E">
          <w:rPr>
            <w:rFonts w:cstheme="minorHAnsi"/>
            <w:b/>
            <w:sz w:val="20"/>
            <w:szCs w:val="20"/>
          </w:rPr>
          <w:t>May 30</w:t>
        </w:r>
        <w:r w:rsidR="000D0CCD">
          <w:rPr>
            <w:rFonts w:cstheme="minorHAnsi"/>
            <w:b/>
            <w:sz w:val="20"/>
            <w:szCs w:val="20"/>
          </w:rPr>
          <w:t>, 2018</w:t>
        </w:r>
      </w:sdtContent>
    </w:sdt>
  </w:p>
  <w:p w14:paraId="43C07EA5" w14:textId="544E4323" w:rsidR="00F30167" w:rsidRPr="009500DC" w:rsidRDefault="005F19F2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A3017" w14:textId="77777777" w:rsidR="006F7DA4" w:rsidRDefault="006F7DA4" w:rsidP="00447D6E">
      <w:r>
        <w:separator/>
      </w:r>
    </w:p>
    <w:p w14:paraId="2AC3C723" w14:textId="77777777" w:rsidR="006F7DA4" w:rsidRDefault="006F7DA4"/>
  </w:footnote>
  <w:footnote w:type="continuationSeparator" w:id="0">
    <w:p w14:paraId="32EA9E2B" w14:textId="77777777" w:rsidR="006F7DA4" w:rsidRDefault="006F7DA4" w:rsidP="00447D6E">
      <w:r>
        <w:continuationSeparator/>
      </w:r>
    </w:p>
    <w:p w14:paraId="6DC2B62E" w14:textId="77777777" w:rsidR="006F7DA4" w:rsidRDefault="006F7DA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B2C73"/>
    <w:multiLevelType w:val="hybridMultilevel"/>
    <w:tmpl w:val="8E665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10A7A"/>
    <w:multiLevelType w:val="hybridMultilevel"/>
    <w:tmpl w:val="51801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559DD"/>
    <w:multiLevelType w:val="hybridMultilevel"/>
    <w:tmpl w:val="8BF4BAB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0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>
    <w:nsid w:val="1C37292C"/>
    <w:multiLevelType w:val="hybridMultilevel"/>
    <w:tmpl w:val="364EABDC"/>
    <w:lvl w:ilvl="0" w:tplc="8CF619D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6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8643E0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D95CEA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26"/>
  </w:num>
  <w:num w:numId="4">
    <w:abstractNumId w:val="24"/>
  </w:num>
  <w:num w:numId="5">
    <w:abstractNumId w:val="24"/>
  </w:num>
  <w:num w:numId="6">
    <w:abstractNumId w:val="2"/>
  </w:num>
  <w:num w:numId="7">
    <w:abstractNumId w:val="28"/>
  </w:num>
  <w:num w:numId="8">
    <w:abstractNumId w:val="25"/>
  </w:num>
  <w:num w:numId="9">
    <w:abstractNumId w:val="16"/>
  </w:num>
  <w:num w:numId="10">
    <w:abstractNumId w:val="10"/>
  </w:num>
  <w:num w:numId="11">
    <w:abstractNumId w:val="29"/>
  </w:num>
  <w:num w:numId="12">
    <w:abstractNumId w:val="22"/>
  </w:num>
  <w:num w:numId="13">
    <w:abstractNumId w:val="15"/>
  </w:num>
  <w:num w:numId="14">
    <w:abstractNumId w:val="42"/>
  </w:num>
  <w:num w:numId="15">
    <w:abstractNumId w:val="13"/>
  </w:num>
  <w:num w:numId="16">
    <w:abstractNumId w:val="17"/>
  </w:num>
  <w:num w:numId="17">
    <w:abstractNumId w:val="8"/>
  </w:num>
  <w:num w:numId="18">
    <w:abstractNumId w:val="0"/>
  </w:num>
  <w:num w:numId="19">
    <w:abstractNumId w:val="40"/>
  </w:num>
  <w:num w:numId="20">
    <w:abstractNumId w:val="7"/>
  </w:num>
  <w:num w:numId="21">
    <w:abstractNumId w:val="31"/>
  </w:num>
  <w:num w:numId="22">
    <w:abstractNumId w:val="33"/>
  </w:num>
  <w:num w:numId="23">
    <w:abstractNumId w:val="43"/>
  </w:num>
  <w:num w:numId="24">
    <w:abstractNumId w:val="37"/>
  </w:num>
  <w:num w:numId="25">
    <w:abstractNumId w:val="18"/>
  </w:num>
  <w:num w:numId="26">
    <w:abstractNumId w:val="21"/>
  </w:num>
  <w:num w:numId="27">
    <w:abstractNumId w:val="34"/>
  </w:num>
  <w:num w:numId="28">
    <w:abstractNumId w:val="20"/>
  </w:num>
  <w:num w:numId="29">
    <w:abstractNumId w:val="12"/>
  </w:num>
  <w:num w:numId="30">
    <w:abstractNumId w:val="1"/>
  </w:num>
  <w:num w:numId="31">
    <w:abstractNumId w:val="44"/>
  </w:num>
  <w:num w:numId="32">
    <w:abstractNumId w:val="30"/>
  </w:num>
  <w:num w:numId="33">
    <w:abstractNumId w:val="36"/>
  </w:num>
  <w:num w:numId="34">
    <w:abstractNumId w:val="14"/>
  </w:num>
  <w:num w:numId="35">
    <w:abstractNumId w:val="19"/>
  </w:num>
  <w:num w:numId="36">
    <w:abstractNumId w:val="11"/>
  </w:num>
  <w:num w:numId="37">
    <w:abstractNumId w:val="41"/>
  </w:num>
  <w:num w:numId="38">
    <w:abstractNumId w:val="3"/>
  </w:num>
  <w:num w:numId="39">
    <w:abstractNumId w:val="4"/>
  </w:num>
  <w:num w:numId="40">
    <w:abstractNumId w:val="23"/>
  </w:num>
  <w:num w:numId="41">
    <w:abstractNumId w:val="35"/>
  </w:num>
  <w:num w:numId="42">
    <w:abstractNumId w:val="39"/>
  </w:num>
  <w:num w:numId="43">
    <w:abstractNumId w:val="9"/>
  </w:num>
  <w:num w:numId="44">
    <w:abstractNumId w:val="32"/>
  </w:num>
  <w:num w:numId="45">
    <w:abstractNumId w:val="38"/>
  </w:num>
  <w:num w:numId="46">
    <w:abstractNumId w:val="6"/>
  </w:num>
  <w:num w:numId="4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sco, Lake">
    <w15:presenceInfo w15:providerId="AD" w15:userId="S-1-5-21-1786704334-1080620903-3496478664-62351"/>
  </w15:person>
  <w15:person w15:author="Vega, Kara">
    <w15:presenceInfo w15:providerId="AD" w15:userId="S-1-5-21-1786704334-1080620903-3496478664-33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4CB8"/>
    <w:rsid w:val="00056947"/>
    <w:rsid w:val="00061A8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4F37"/>
    <w:rsid w:val="000C687D"/>
    <w:rsid w:val="000C7ED1"/>
    <w:rsid w:val="000D0CCD"/>
    <w:rsid w:val="000D789A"/>
    <w:rsid w:val="000E4B5F"/>
    <w:rsid w:val="000E5A59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C7D"/>
    <w:rsid w:val="001A0EB4"/>
    <w:rsid w:val="001A1A86"/>
    <w:rsid w:val="001A267E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5550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2671B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42F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32D4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181D"/>
    <w:rsid w:val="003035E3"/>
    <w:rsid w:val="0030363A"/>
    <w:rsid w:val="00317970"/>
    <w:rsid w:val="00317EB0"/>
    <w:rsid w:val="00322FD1"/>
    <w:rsid w:val="003245C4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49AD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67AF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29D5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D57EC"/>
    <w:rsid w:val="004E01F5"/>
    <w:rsid w:val="004E297E"/>
    <w:rsid w:val="004E5037"/>
    <w:rsid w:val="004E76CA"/>
    <w:rsid w:val="004F1698"/>
    <w:rsid w:val="004F517B"/>
    <w:rsid w:val="00500C4E"/>
    <w:rsid w:val="00505CEC"/>
    <w:rsid w:val="0051020F"/>
    <w:rsid w:val="00513CAB"/>
    <w:rsid w:val="00516CF5"/>
    <w:rsid w:val="005210F9"/>
    <w:rsid w:val="00523597"/>
    <w:rsid w:val="00523736"/>
    <w:rsid w:val="00525101"/>
    <w:rsid w:val="00532530"/>
    <w:rsid w:val="00535581"/>
    <w:rsid w:val="00535CA4"/>
    <w:rsid w:val="005476F6"/>
    <w:rsid w:val="00551D72"/>
    <w:rsid w:val="005540B6"/>
    <w:rsid w:val="005552C3"/>
    <w:rsid w:val="00560934"/>
    <w:rsid w:val="00563E58"/>
    <w:rsid w:val="00564960"/>
    <w:rsid w:val="00564AFE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F23"/>
    <w:rsid w:val="005D4720"/>
    <w:rsid w:val="005D4DD7"/>
    <w:rsid w:val="005E12A9"/>
    <w:rsid w:val="005F139E"/>
    <w:rsid w:val="005F19F2"/>
    <w:rsid w:val="005F69D5"/>
    <w:rsid w:val="005F762C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2213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85F04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13E7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6F7DA4"/>
    <w:rsid w:val="0070091B"/>
    <w:rsid w:val="007048AC"/>
    <w:rsid w:val="00726338"/>
    <w:rsid w:val="00726AD5"/>
    <w:rsid w:val="00733C7D"/>
    <w:rsid w:val="00740761"/>
    <w:rsid w:val="00743C3C"/>
    <w:rsid w:val="00745F77"/>
    <w:rsid w:val="007464DE"/>
    <w:rsid w:val="007529EA"/>
    <w:rsid w:val="00755A45"/>
    <w:rsid w:val="00760CDC"/>
    <w:rsid w:val="00764D0D"/>
    <w:rsid w:val="00777C53"/>
    <w:rsid w:val="00784C4D"/>
    <w:rsid w:val="00786E92"/>
    <w:rsid w:val="0079252E"/>
    <w:rsid w:val="007933F1"/>
    <w:rsid w:val="007A5F52"/>
    <w:rsid w:val="007B090A"/>
    <w:rsid w:val="007B2FFB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13A4A"/>
    <w:rsid w:val="00824F1C"/>
    <w:rsid w:val="00826688"/>
    <w:rsid w:val="0083369B"/>
    <w:rsid w:val="00835D38"/>
    <w:rsid w:val="00842884"/>
    <w:rsid w:val="00843763"/>
    <w:rsid w:val="00847A4E"/>
    <w:rsid w:val="00853F0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A769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24B0A"/>
    <w:rsid w:val="00930CDC"/>
    <w:rsid w:val="00931E45"/>
    <w:rsid w:val="00933188"/>
    <w:rsid w:val="00935AF9"/>
    <w:rsid w:val="009403A5"/>
    <w:rsid w:val="009500DC"/>
    <w:rsid w:val="009516CF"/>
    <w:rsid w:val="00951923"/>
    <w:rsid w:val="00963BD4"/>
    <w:rsid w:val="00966709"/>
    <w:rsid w:val="00972C81"/>
    <w:rsid w:val="0097589E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BD"/>
    <w:rsid w:val="009C6FE0"/>
    <w:rsid w:val="009D0753"/>
    <w:rsid w:val="009D10A4"/>
    <w:rsid w:val="009D5131"/>
    <w:rsid w:val="009D5DD9"/>
    <w:rsid w:val="009D6F71"/>
    <w:rsid w:val="009E0BAA"/>
    <w:rsid w:val="009E1802"/>
    <w:rsid w:val="009E1CDE"/>
    <w:rsid w:val="009E2B06"/>
    <w:rsid w:val="009E3829"/>
    <w:rsid w:val="009E51E2"/>
    <w:rsid w:val="009E5301"/>
    <w:rsid w:val="009F67A9"/>
    <w:rsid w:val="009F7A61"/>
    <w:rsid w:val="00A11800"/>
    <w:rsid w:val="00A11C16"/>
    <w:rsid w:val="00A1423E"/>
    <w:rsid w:val="00A17664"/>
    <w:rsid w:val="00A20FAF"/>
    <w:rsid w:val="00A24520"/>
    <w:rsid w:val="00A2781A"/>
    <w:rsid w:val="00A30A0C"/>
    <w:rsid w:val="00A3164A"/>
    <w:rsid w:val="00A37F42"/>
    <w:rsid w:val="00A4411F"/>
    <w:rsid w:val="00A45775"/>
    <w:rsid w:val="00A46111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25E"/>
    <w:rsid w:val="00B53CF1"/>
    <w:rsid w:val="00B614F1"/>
    <w:rsid w:val="00B772A2"/>
    <w:rsid w:val="00B773B6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118C7"/>
    <w:rsid w:val="00C20877"/>
    <w:rsid w:val="00C20E7B"/>
    <w:rsid w:val="00C21456"/>
    <w:rsid w:val="00C24D03"/>
    <w:rsid w:val="00C25E61"/>
    <w:rsid w:val="00C35A1B"/>
    <w:rsid w:val="00C413F3"/>
    <w:rsid w:val="00C53CE6"/>
    <w:rsid w:val="00C54EFF"/>
    <w:rsid w:val="00C55D03"/>
    <w:rsid w:val="00C63548"/>
    <w:rsid w:val="00C63F96"/>
    <w:rsid w:val="00C65450"/>
    <w:rsid w:val="00C677AF"/>
    <w:rsid w:val="00C67E59"/>
    <w:rsid w:val="00C72058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4E0"/>
    <w:rsid w:val="00D23770"/>
    <w:rsid w:val="00D25074"/>
    <w:rsid w:val="00D318A3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5108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0CAD"/>
    <w:rsid w:val="00E5625D"/>
    <w:rsid w:val="00E61B5E"/>
    <w:rsid w:val="00E648BB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016F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158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A6500"/>
    <w:rsid w:val="00FB2590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4817CD"/>
    <w:rsid w:val="00560392"/>
    <w:rsid w:val="005F53B2"/>
    <w:rsid w:val="006B7FA8"/>
    <w:rsid w:val="00791C47"/>
    <w:rsid w:val="008211B5"/>
    <w:rsid w:val="00874653"/>
    <w:rsid w:val="008D1F72"/>
    <w:rsid w:val="008F565B"/>
    <w:rsid w:val="009C7937"/>
    <w:rsid w:val="00A5022A"/>
    <w:rsid w:val="00A91599"/>
    <w:rsid w:val="00AE4C28"/>
    <w:rsid w:val="00AF2C4B"/>
    <w:rsid w:val="00B73964"/>
    <w:rsid w:val="00B74704"/>
    <w:rsid w:val="00C947B8"/>
    <w:rsid w:val="00D0496D"/>
    <w:rsid w:val="00D051F5"/>
    <w:rsid w:val="00DE0786"/>
    <w:rsid w:val="00E2593E"/>
    <w:rsid w:val="00EC59D9"/>
    <w:rsid w:val="00ED312E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2018-05-30T00:00:00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6352116-D981-4D5E-9D90-C96CE890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SCE17LG111</vt:lpstr>
    </vt:vector>
  </TitlesOfParts>
  <Company>Southern California Edison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SCE17LG111</dc:title>
  <dc:creator>Jim Wyatt (PG&amp;E);Jason Wang (SCE)</dc:creator>
  <cp:lastModifiedBy>Cuaresma, Cassie</cp:lastModifiedBy>
  <cp:revision>4</cp:revision>
  <dcterms:created xsi:type="dcterms:W3CDTF">2018-05-31T18:52:00Z</dcterms:created>
  <dcterms:modified xsi:type="dcterms:W3CDTF">2018-06-01T18:18:00Z</dcterms:modified>
  <cp:contentStatus>Revision 0</cp:contentStatus>
</cp:coreProperties>
</file>